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0" w:lineRule="atLeast"/>
        <w:jc w:val="center"/>
        <w:rPr>
          <w:rFonts w:ascii="黑体" w:hAnsi="宋体" w:eastAsia="黑体"/>
          <w:b w:val="0"/>
          <w:bCs/>
          <w:color w:val="auto"/>
          <w:sz w:val="32"/>
          <w:szCs w:val="32"/>
        </w:rPr>
      </w:pPr>
      <w:r>
        <w:rPr>
          <w:rFonts w:hint="eastAsia" w:ascii="黑体" w:hAnsi="宋体" w:eastAsia="黑体"/>
          <w:b w:val="0"/>
          <w:bCs/>
          <w:color w:val="auto"/>
          <w:sz w:val="32"/>
          <w:szCs w:val="32"/>
        </w:rPr>
        <w:t>《覆铜陶瓷基板用无氧铜带》</w:t>
      </w:r>
    </w:p>
    <w:p>
      <w:pPr>
        <w:spacing w:afterLines="50" w:line="240" w:lineRule="atLeast"/>
        <w:jc w:val="center"/>
        <w:rPr>
          <w:rFonts w:ascii="黑体" w:hAnsi="宋体" w:eastAsia="黑体"/>
          <w:b w:val="0"/>
          <w:bCs/>
          <w:color w:val="auto"/>
          <w:sz w:val="32"/>
          <w:szCs w:val="32"/>
        </w:rPr>
      </w:pPr>
      <w:r>
        <w:rPr>
          <w:rFonts w:hint="eastAsia" w:ascii="黑体" w:hAnsi="宋体" w:eastAsia="黑体"/>
          <w:b w:val="0"/>
          <w:bCs/>
          <w:color w:val="auto"/>
          <w:sz w:val="32"/>
          <w:szCs w:val="32"/>
        </w:rPr>
        <w:t>（预审稿）编制说明</w:t>
      </w:r>
    </w:p>
    <w:p>
      <w:pPr>
        <w:spacing w:beforeLines="50" w:afterLines="50" w:line="440" w:lineRule="exact"/>
        <w:jc w:val="left"/>
        <w:rPr>
          <w:rFonts w:ascii="黑体" w:hAnsi="宋体" w:eastAsia="黑体"/>
          <w:bCs/>
          <w:color w:val="auto"/>
          <w:sz w:val="24"/>
        </w:rPr>
      </w:pPr>
      <w:r>
        <w:rPr>
          <w:rFonts w:hint="eastAsia" w:ascii="黑体" w:hAnsi="宋体" w:eastAsia="黑体"/>
          <w:bCs/>
          <w:color w:val="auto"/>
          <w:sz w:val="24"/>
        </w:rPr>
        <w:t>一、工作简况</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1.1任务来源</w:t>
      </w:r>
    </w:p>
    <w:p>
      <w:pPr>
        <w:widowControl/>
        <w:spacing w:line="360" w:lineRule="auto"/>
        <w:ind w:firstLine="480" w:firstLineChars="200"/>
        <w:rPr>
          <w:rFonts w:ascii="宋体" w:hAnsi="宋体"/>
          <w:color w:val="auto"/>
          <w:kern w:val="0"/>
          <w:sz w:val="24"/>
        </w:rPr>
      </w:pPr>
      <w:r>
        <w:rPr>
          <w:rFonts w:hint="eastAsia" w:ascii="宋体" w:hAnsi="宋体"/>
          <w:color w:val="auto"/>
          <w:kern w:val="0"/>
          <w:sz w:val="24"/>
        </w:rPr>
        <w:t>根据工信厅科</w:t>
      </w:r>
      <w:r>
        <w:rPr>
          <w:rFonts w:hint="eastAsia" w:ascii="宋体" w:hAnsi="宋体" w:cs="宋体"/>
          <w:color w:val="auto"/>
          <w:kern w:val="0"/>
          <w:sz w:val="24"/>
        </w:rPr>
        <w:t>函〔2022〕94号</w:t>
      </w:r>
      <w:r>
        <w:rPr>
          <w:rFonts w:hint="eastAsia" w:ascii="宋体" w:hAnsi="宋体"/>
          <w:color w:val="auto"/>
          <w:kern w:val="0"/>
          <w:sz w:val="24"/>
        </w:rPr>
        <w:t>及有色标委[2022] 102号文件《关于转发2022年第一批有色金属国家、行业、协会标准制（修）订项目计划的通知》其中《</w:t>
      </w:r>
      <w:r>
        <w:rPr>
          <w:rFonts w:hint="eastAsia" w:ascii="宋体" w:hAnsi="宋体" w:cs="宋体"/>
          <w:color w:val="auto"/>
          <w:kern w:val="0"/>
          <w:sz w:val="24"/>
        </w:rPr>
        <w:t>覆铜陶瓷基板用无氧铜带</w:t>
      </w:r>
      <w:r>
        <w:rPr>
          <w:rFonts w:hint="eastAsia" w:ascii="宋体" w:hAnsi="宋体"/>
          <w:color w:val="auto"/>
          <w:kern w:val="0"/>
          <w:sz w:val="24"/>
        </w:rPr>
        <w:t>》（计划号:2022-00040T-YS）行业标准由中铝洛阳铜加工有限公司等单位负责起草制定，完成年限2024年4月。</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1.2立项目的和意义</w:t>
      </w:r>
    </w:p>
    <w:p>
      <w:pPr>
        <w:spacing w:line="360" w:lineRule="auto"/>
        <w:ind w:firstLine="480" w:firstLineChars="200"/>
        <w:rPr>
          <w:rFonts w:ascii="宋体" w:hAnsi="宋体"/>
          <w:color w:val="auto"/>
          <w:sz w:val="24"/>
        </w:rPr>
      </w:pPr>
      <w:r>
        <w:rPr>
          <w:rFonts w:hint="eastAsia" w:ascii="宋体" w:hAnsi="宋体"/>
          <w:color w:val="auto"/>
          <w:sz w:val="24"/>
        </w:rPr>
        <w:t>随着技术发展，陶瓷复合用铜带因其各种优异特性，引起高度重视，与此相适应的电子封装与基板材料的开发趋势要求材料具有高纯度、低应力、低热膨胀、高热传导和高耐热性等特征。</w:t>
      </w:r>
      <w:r>
        <w:rPr>
          <w:rFonts w:ascii="宋体" w:hAnsi="宋体" w:cs="宋体"/>
          <w:color w:val="auto"/>
          <w:kern w:val="0"/>
          <w:sz w:val="24"/>
        </w:rPr>
        <w:t>陶瓷</w:t>
      </w:r>
      <w:r>
        <w:rPr>
          <w:rFonts w:hint="eastAsia" w:ascii="宋体" w:hAnsi="宋体" w:cs="宋体"/>
          <w:color w:val="auto"/>
          <w:kern w:val="0"/>
          <w:sz w:val="24"/>
        </w:rPr>
        <w:t>覆</w:t>
      </w:r>
      <w:r>
        <w:rPr>
          <w:rFonts w:ascii="宋体" w:hAnsi="宋体" w:cs="宋体"/>
          <w:color w:val="auto"/>
          <w:kern w:val="0"/>
          <w:sz w:val="24"/>
        </w:rPr>
        <w:t>铜</w:t>
      </w:r>
      <w:r>
        <w:rPr>
          <w:rFonts w:hint="eastAsia" w:ascii="宋体" w:hAnsi="宋体" w:cs="宋体"/>
          <w:color w:val="auto"/>
          <w:kern w:val="0"/>
          <w:sz w:val="24"/>
        </w:rPr>
        <w:t>材料</w:t>
      </w:r>
      <w:r>
        <w:rPr>
          <w:rFonts w:ascii="宋体" w:hAnsi="宋体" w:cs="宋体"/>
          <w:color w:val="auto"/>
          <w:kern w:val="0"/>
          <w:sz w:val="24"/>
        </w:rPr>
        <w:t>既具有陶瓷的高导热性、高电绝缘性、高机械强度、低膨胀等特性，又具有无氧铜金属的高导电性和优异的焊接性能，是不可或缺的关键基础材料。</w:t>
      </w:r>
      <w:r>
        <w:rPr>
          <w:rFonts w:hint="eastAsia" w:ascii="宋体" w:hAnsi="宋体"/>
          <w:color w:val="auto"/>
          <w:sz w:val="24"/>
        </w:rPr>
        <w:t>陶瓷复合带中所用的铜带对技术要求高，为保证复合材料的致密性和高温稳定性，无氧铜在高温下要保持细晶状态，材料技术和制备难度大。</w:t>
      </w:r>
    </w:p>
    <w:p>
      <w:pPr>
        <w:spacing w:line="360" w:lineRule="auto"/>
        <w:ind w:firstLine="480" w:firstLineChars="200"/>
        <w:rPr>
          <w:rFonts w:ascii="宋体" w:hAnsi="宋体"/>
          <w:color w:val="auto"/>
          <w:sz w:val="24"/>
        </w:rPr>
      </w:pPr>
      <w:r>
        <w:rPr>
          <w:rFonts w:hint="eastAsia" w:ascii="宋体" w:hAnsi="宋体"/>
          <w:color w:val="auto"/>
          <w:sz w:val="24"/>
        </w:rPr>
        <w:t>陶瓷覆铜板是在高温、流动气氛下铜带与陶瓷基片的复合材料。它具有优良的热导性，稳定的机械性能等，已成为目前电力电子模块制作、结构技术和互联网技术的基础关键材料。研究表明，晶粒大小将影响铜带和陶瓷的结合强度。</w:t>
      </w:r>
      <w:r>
        <w:rPr>
          <w:color w:val="auto"/>
          <w:sz w:val="24"/>
        </w:rPr>
        <w:t>晶粒较细，铜</w:t>
      </w:r>
      <w:r>
        <w:rPr>
          <w:rFonts w:hint="eastAsia"/>
          <w:color w:val="auto"/>
          <w:sz w:val="24"/>
        </w:rPr>
        <w:t>带</w:t>
      </w:r>
      <w:r>
        <w:rPr>
          <w:color w:val="auto"/>
          <w:sz w:val="24"/>
        </w:rPr>
        <w:t>与陶瓷基板结合非常紧密，有着结合力高、电阻率低的优点</w:t>
      </w:r>
      <w:r>
        <w:rPr>
          <w:rFonts w:hint="eastAsia"/>
          <w:color w:val="auto"/>
          <w:sz w:val="24"/>
        </w:rPr>
        <w:t>。</w:t>
      </w:r>
      <w:r>
        <w:rPr>
          <w:rFonts w:hint="eastAsia" w:ascii="宋体" w:hAnsi="宋体"/>
          <w:color w:val="auto"/>
          <w:sz w:val="24"/>
        </w:rPr>
        <w:t>本项目材料的开发成功,可实现进口替代，为陶瓷复合铜带材料国产化提供支撑。</w:t>
      </w:r>
    </w:p>
    <w:p>
      <w:pPr>
        <w:spacing w:line="360" w:lineRule="auto"/>
        <w:ind w:firstLine="480" w:firstLineChars="200"/>
        <w:rPr>
          <w:rFonts w:ascii="宋体" w:hAnsi="宋体"/>
          <w:color w:val="auto"/>
          <w:kern w:val="0"/>
          <w:sz w:val="24"/>
        </w:rPr>
      </w:pPr>
      <w:r>
        <w:rPr>
          <w:rFonts w:hint="eastAsia" w:ascii="宋体" w:hAnsi="宋体"/>
          <w:color w:val="auto"/>
          <w:sz w:val="24"/>
        </w:rPr>
        <w:t>本标准的制定有利于促进陶瓷复合用铜带的推广应用，有助于促进我国新能源产业的发展。本标准的制定有助于铜产品转型升级、消化过剩产能，并促进新产品、新技术发展，提升节能环保产业供给质量和水平。该标准可起到规范市场、引导市场的作用，且可填补国内标准空白。按该标准组织生产的产品投入使用后，不仅可产生较好的经济效益，且具有很高的社会价值，对推动铜带的应用有着重要的意义。因此，制定</w:t>
      </w:r>
      <w:r>
        <w:rPr>
          <w:rFonts w:hint="eastAsia" w:ascii="宋体" w:hAnsi="宋体" w:cs="宋体"/>
          <w:color w:val="auto"/>
          <w:kern w:val="0"/>
          <w:sz w:val="24"/>
        </w:rPr>
        <w:t>覆铜陶瓷基板用无氧铜带</w:t>
      </w:r>
      <w:r>
        <w:rPr>
          <w:rFonts w:hint="eastAsia" w:ascii="宋体" w:hAnsi="宋体"/>
          <w:color w:val="auto"/>
          <w:sz w:val="24"/>
        </w:rPr>
        <w:t>标准是非常必要的。</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1.3 项目编制组及其技术基础</w:t>
      </w:r>
    </w:p>
    <w:p>
      <w:pPr>
        <w:spacing w:line="360" w:lineRule="auto"/>
        <w:ind w:firstLine="480" w:firstLineChars="200"/>
        <w:rPr>
          <w:rFonts w:ascii="宋体" w:hAnsi="宋体" w:cs="宋体"/>
          <w:color w:val="auto"/>
          <w:sz w:val="24"/>
        </w:rPr>
      </w:pPr>
      <w:r>
        <w:rPr>
          <w:rFonts w:hint="eastAsia" w:ascii="宋体" w:hAnsi="宋体" w:cs="宋体"/>
          <w:color w:val="auto"/>
          <w:sz w:val="24"/>
        </w:rPr>
        <w:t>1）项目编制组</w:t>
      </w:r>
    </w:p>
    <w:p>
      <w:pPr>
        <w:spacing w:line="360" w:lineRule="auto"/>
        <w:ind w:firstLine="480" w:firstLineChars="200"/>
        <w:rPr>
          <w:rFonts w:ascii="宋体" w:hAnsi="宋体" w:cs="宋体"/>
          <w:color w:val="auto"/>
          <w:sz w:val="24"/>
        </w:rPr>
      </w:pPr>
      <w:r>
        <w:rPr>
          <w:rFonts w:hint="eastAsia" w:ascii="宋体" w:hAnsi="宋体" w:cs="宋体"/>
          <w:color w:val="auto"/>
          <w:sz w:val="24"/>
        </w:rPr>
        <w:t>标准制订计划任务正式下达后，立即成立了标准编制组，并落实起草任务，确定标准的主要起草人，拟定该标准的工作计划。具体分工为：中铝洛阳铜加工有限公司总负责，市场和同行业信息收集、资料汇总及执笔；其他负责补充市场信息和标准数据的验证。编制组分工明确，紧密合作，共同完成标准的修订工作。</w:t>
      </w:r>
    </w:p>
    <w:p>
      <w:pPr>
        <w:spacing w:line="360" w:lineRule="auto"/>
        <w:ind w:firstLine="480" w:firstLineChars="200"/>
        <w:rPr>
          <w:rFonts w:ascii="宋体" w:hAnsi="宋体" w:cs="宋体"/>
          <w:color w:val="auto"/>
          <w:sz w:val="24"/>
        </w:rPr>
      </w:pPr>
      <w:r>
        <w:rPr>
          <w:rFonts w:hint="eastAsia" w:ascii="宋体" w:hAnsi="宋体" w:cs="宋体"/>
          <w:color w:val="auto"/>
          <w:sz w:val="24"/>
        </w:rPr>
        <w:t>2）编制单位技术基础</w:t>
      </w:r>
    </w:p>
    <w:p>
      <w:pPr>
        <w:spacing w:line="360" w:lineRule="auto"/>
        <w:ind w:firstLine="482" w:firstLineChars="200"/>
        <w:rPr>
          <w:bCs/>
          <w:color w:val="auto"/>
          <w:sz w:val="24"/>
        </w:rPr>
      </w:pPr>
      <w:r>
        <w:rPr>
          <w:rFonts w:hint="eastAsia" w:ascii="宋体" w:hAnsi="宋体" w:cs="宋体"/>
          <w:b/>
          <w:bCs/>
          <w:color w:val="auto"/>
          <w:sz w:val="24"/>
        </w:rPr>
        <w:t>中铝洛阳铜加工有限公司</w:t>
      </w:r>
      <w:r>
        <w:rPr>
          <w:rFonts w:hint="eastAsia" w:ascii="宋体" w:hAnsi="宋体" w:cs="宋体"/>
          <w:color w:val="auto"/>
          <w:sz w:val="24"/>
        </w:rPr>
        <w:t>是综合性有色金属加工企业，拥有铜及铜合金高精度电子</w:t>
      </w:r>
      <w:r>
        <w:rPr>
          <w:rFonts w:hint="eastAsia" w:ascii="宋体" w:hAnsi="宋体"/>
          <w:color w:val="auto"/>
          <w:sz w:val="24"/>
        </w:rPr>
        <w:t>带、大管大棒、弥散强化无氧铜、宽厚板等多条生产线，产品涉及铜及铜合金板、带、箔、管、棒、型材，广泛应用于电子信息通讯、新能源、汽车、海洋工程、轨道交通等领域。</w:t>
      </w:r>
      <w:r>
        <w:rPr>
          <w:rFonts w:hint="eastAsia"/>
          <w:color w:val="auto"/>
          <w:sz w:val="24"/>
        </w:rPr>
        <w:t>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color w:val="auto"/>
          <w:sz w:val="24"/>
        </w:rPr>
        <w:t>80</w:t>
      </w:r>
      <w:r>
        <w:rPr>
          <w:rFonts w:hint="eastAsia"/>
          <w:color w:val="auto"/>
          <w:sz w:val="24"/>
        </w:rPr>
        <w:t>台</w:t>
      </w:r>
      <w:r>
        <w:rPr>
          <w:color w:val="auto"/>
          <w:sz w:val="24"/>
        </w:rPr>
        <w:t>(</w:t>
      </w:r>
      <w:r>
        <w:rPr>
          <w:rFonts w:hint="eastAsia"/>
          <w:color w:val="auto"/>
          <w:sz w:val="24"/>
        </w:rPr>
        <w:t>套</w:t>
      </w:r>
      <w:r>
        <w:rPr>
          <w:color w:val="auto"/>
          <w:sz w:val="24"/>
        </w:rPr>
        <w:t>)</w:t>
      </w:r>
      <w:r>
        <w:rPr>
          <w:rFonts w:hint="eastAsia"/>
          <w:color w:val="auto"/>
          <w:sz w:val="24"/>
        </w:rPr>
        <w:t>先进的设备和检测仪器，为有色金属产品的研制和生产打下了坚实的基础。</w:t>
      </w:r>
      <w:r>
        <w:rPr>
          <w:rFonts w:hint="eastAsia" w:ascii="宋体" w:hAnsi="宋体"/>
          <w:color w:val="auto"/>
          <w:sz w:val="24"/>
        </w:rPr>
        <w:t>公司拥有一支高素质的科研技术研发队伍，具备丰富的生产技术经验和技术能力。铜及铜合金板带箔材</w:t>
      </w:r>
      <w:r>
        <w:rPr>
          <w:rFonts w:hint="eastAsia" w:ascii="宋体" w:hAnsi="宋体"/>
          <w:bCs/>
          <w:color w:val="auto"/>
          <w:sz w:val="24"/>
        </w:rPr>
        <w:t>生产</w:t>
      </w:r>
      <w:r>
        <w:rPr>
          <w:rFonts w:hint="eastAsia" w:ascii="宋体" w:hAnsi="宋体"/>
          <w:color w:val="auto"/>
          <w:sz w:val="24"/>
        </w:rPr>
        <w:t>技术成熟</w:t>
      </w:r>
      <w:r>
        <w:rPr>
          <w:rFonts w:hint="eastAsia"/>
          <w:color w:val="auto"/>
          <w:sz w:val="24"/>
        </w:rPr>
        <w:t>，</w:t>
      </w:r>
      <w:r>
        <w:rPr>
          <w:rFonts w:hint="eastAsia"/>
          <w:bCs/>
          <w:color w:val="auto"/>
          <w:sz w:val="24"/>
        </w:rPr>
        <w:t>产品质量稳定、性能满足用户使用要求，有较好的技术基础和能力。</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浙江力博实业股份有限公司</w:t>
      </w:r>
      <w:r>
        <w:rPr>
          <w:rFonts w:hint="eastAsia" w:ascii="宋体" w:hAnsi="宋体" w:cs="宋体"/>
          <w:color w:val="auto"/>
          <w:sz w:val="24"/>
        </w:rPr>
        <w:t>专业生产各类电力、电工、电子用铜及铜合金，包括铜线、铜板带、铜型材及电磁线等产品。浙江力博实业股份有限公司为中国有色金属加工工业协会副理事长单位、中国铜棒线材十强企业、中国铜板带材十强企业、中国铜棒排材十强企业、浙江省AAA级“守合同重信用”企业、浙江省信用管理示范企业，“力博”品牌为中国市场推荐品牌。公司建有省级企业研究院、省级技术中心、博士后工作站等科技创新平台，拥有国家授权专利近百项，主持（参与）制定国家（行业、团体）标准近五十项，承担国家“十二五”科技支撑计划重点项目和多项国家火炬计划项目等，获得了省部级科技进步奖十项。公司是国内最大的高档电力、电工、电子铜材生产企业之一，拥有高纯无氧铜熔炼技术、连续挤压铜加工技术等核心技术优势。</w:t>
      </w:r>
    </w:p>
    <w:p>
      <w:pPr>
        <w:spacing w:line="360" w:lineRule="auto"/>
        <w:ind w:firstLine="482" w:firstLineChars="200"/>
        <w:rPr>
          <w:bCs/>
          <w:color w:val="auto"/>
          <w:sz w:val="24"/>
        </w:rPr>
      </w:pPr>
      <w:r>
        <w:rPr>
          <w:rFonts w:hint="eastAsia" w:ascii="宋体" w:hAnsi="宋体" w:cs="宋体"/>
          <w:b/>
          <w:color w:val="auto"/>
          <w:sz w:val="24"/>
        </w:rPr>
        <w:t>铜陵有色金属集团股份有限公司金威铜业分公司</w:t>
      </w:r>
      <w:r>
        <w:rPr>
          <w:rFonts w:hint="eastAsia" w:ascii="宋体" w:hAnsi="宋体" w:cs="宋体"/>
          <w:color w:val="auto"/>
          <w:sz w:val="24"/>
        </w:rPr>
        <w:t>是铜陵有色金属集团股份有限公司的下属分公司(以下简称金威)。金威铜业分公司项目总投资17.8 亿元，年产高精度铜及铜合金板带材10万吨。主要是专业化生产黄铜、紫铜、框架材、磷青铜、锌白铜等各系列高精度铜及铜合金板带材产品。产品广泛应用于电子信息通讯、新能源、汽车、海洋工程、轨道交通、军工、机电、仪器仪表、日用五金、装饰等领域。公司先后从德国、美国、法国、日本、意大利等多个国家引进了先进的设备和检测仪器。项目采用先进成熟的熔铸和压延生产工艺，配备国际一流的自动控制系统，产品最大宽度为1250mm,最小厚度为0. 05mm:产品具有高附加值、高科技含量。目前，公司拥有获国家知识产权局授权专利18项，包括发明专利7项、实用新型专利11项，多项科技项目获得安徽省、铜陵市科技成果奖。公司拥有-支高素质的科研技术研发队伍，具备丰富的生产技术经验和技术能力。铜及铜合金板带箔材生产技术成熟，产品质量稳定、性能满足用户使用要求。尤其是德国引进世界先进的全连续铸造的无氧铜炉生产线具备年产6万吨无氧铜铸锭的生产能力，满足国内各行业的市场需求。</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1.4主要工作过程</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1.4.1 标准预研</w:t>
      </w:r>
    </w:p>
    <w:p>
      <w:pPr>
        <w:spacing w:line="360" w:lineRule="auto"/>
        <w:ind w:firstLine="480" w:firstLineChars="200"/>
        <w:rPr>
          <w:rFonts w:ascii="宋体" w:hAnsi="宋体"/>
          <w:color w:val="auto"/>
          <w:sz w:val="24"/>
        </w:rPr>
      </w:pPr>
      <w:r>
        <w:rPr>
          <w:rFonts w:ascii="宋体" w:hAnsi="宋体" w:cs="宋体"/>
          <w:color w:val="auto"/>
          <w:kern w:val="0"/>
          <w:sz w:val="24"/>
        </w:rPr>
        <w:t>陶瓷</w:t>
      </w:r>
      <w:r>
        <w:rPr>
          <w:rFonts w:hint="eastAsia" w:ascii="宋体" w:hAnsi="宋体" w:cs="宋体"/>
          <w:color w:val="auto"/>
          <w:kern w:val="0"/>
          <w:sz w:val="24"/>
        </w:rPr>
        <w:t>覆</w:t>
      </w:r>
      <w:r>
        <w:rPr>
          <w:rFonts w:ascii="宋体" w:hAnsi="宋体" w:cs="宋体"/>
          <w:color w:val="auto"/>
          <w:kern w:val="0"/>
          <w:sz w:val="24"/>
        </w:rPr>
        <w:t>铜</w:t>
      </w:r>
      <w:r>
        <w:rPr>
          <w:rFonts w:hint="eastAsia" w:ascii="宋体" w:hAnsi="宋体" w:cs="宋体"/>
          <w:color w:val="auto"/>
          <w:kern w:val="0"/>
          <w:sz w:val="24"/>
        </w:rPr>
        <w:t>材料</w:t>
      </w:r>
      <w:r>
        <w:rPr>
          <w:rFonts w:ascii="宋体" w:hAnsi="宋体" w:cs="宋体"/>
          <w:color w:val="auto"/>
          <w:kern w:val="0"/>
          <w:sz w:val="24"/>
        </w:rPr>
        <w:t>既具有陶瓷的高导热性、高电绝缘性、高机械强度、低膨胀等特性，又具有无氧铜金属的高导电性和优异的焊接性能，是IGBT功率模块封装的不可或缺的关键基础材料。</w:t>
      </w:r>
      <w:r>
        <w:rPr>
          <w:rFonts w:hint="eastAsia" w:ascii="宋体" w:hAnsi="宋体"/>
          <w:color w:val="auto"/>
          <w:sz w:val="24"/>
        </w:rPr>
        <w:t>适用于电力电子及半导体模块，如</w:t>
      </w:r>
      <w:r>
        <w:rPr>
          <w:rFonts w:ascii="宋体" w:hAnsi="宋体"/>
          <w:color w:val="auto"/>
          <w:sz w:val="24"/>
        </w:rPr>
        <w:t>LED组件、聚光太阳能电池、封装外壳中的功率模块等，利于提高可靠性、扩大功率、简化结构和集成智能化模块。</w:t>
      </w:r>
    </w:p>
    <w:p>
      <w:pPr>
        <w:spacing w:line="360" w:lineRule="auto"/>
        <w:ind w:firstLine="480" w:firstLineChars="200"/>
        <w:rPr>
          <w:rFonts w:ascii="宋体" w:hAnsi="宋体"/>
          <w:color w:val="auto"/>
          <w:sz w:val="24"/>
        </w:rPr>
      </w:pPr>
      <w:r>
        <w:rPr>
          <w:rFonts w:hint="eastAsia" w:ascii="宋体" w:hAnsi="宋体"/>
          <w:color w:val="auto"/>
          <w:sz w:val="24"/>
        </w:rPr>
        <w:t>陶瓷复合带中所用的铜带对技术要求高，材料技术和制备难度大。陶瓷覆铜板是在高温、流动气氛下铜带与陶瓷基片的复合材料。它具有优良的热导性，稳定的机械性能等，已成为目前电力电子模块制作、结构技术和互联网技术的基础关键材料。</w:t>
      </w:r>
    </w:p>
    <w:p>
      <w:pPr>
        <w:spacing w:line="360" w:lineRule="auto"/>
        <w:ind w:firstLine="480" w:firstLineChars="200"/>
        <w:rPr>
          <w:rFonts w:ascii="宋体" w:hAnsi="宋体"/>
          <w:color w:val="auto"/>
          <w:sz w:val="18"/>
          <w:szCs w:val="18"/>
        </w:rPr>
      </w:pPr>
      <w:r>
        <w:rPr>
          <w:rFonts w:hint="eastAsia" w:ascii="宋体" w:hAnsi="宋体"/>
          <w:color w:val="auto"/>
          <w:sz w:val="24"/>
        </w:rPr>
        <w:t>为确保无氧铜带满足使用要求，制定专用生产工艺，通过材料、加工率和退火工艺控制，同时严格控制无氧铜带板型、表面质量控制等难题，确保无氧铜带满足高温热稳定性。研制出的高温稳定高纯无氧铜带，力学性能、导电率、晶粒度、板型和表面质量良好,可以很好地与陶瓷覆合，实现陶瓷复合用铜带的进口替代，解决国内该材料的卡脖子问题，为陶瓷复合铜带材料国产化提供支撑。</w:t>
      </w:r>
    </w:p>
    <w:p>
      <w:pPr>
        <w:spacing w:line="360" w:lineRule="auto"/>
        <w:ind w:firstLine="480" w:firstLineChars="200"/>
        <w:rPr>
          <w:rFonts w:ascii="黑体" w:hAnsi="宋体" w:eastAsia="黑体"/>
          <w:bCs/>
          <w:color w:val="auto"/>
          <w:sz w:val="24"/>
        </w:rPr>
      </w:pPr>
      <w:r>
        <w:rPr>
          <w:rFonts w:hint="eastAsia" w:ascii="宋体" w:hAnsi="宋体"/>
          <w:color w:val="auto"/>
          <w:sz w:val="24"/>
        </w:rPr>
        <w:t>目前，国内外尚无陶瓷复合无氧铜带专用技术标准。</w:t>
      </w:r>
      <w:r>
        <w:rPr>
          <w:rFonts w:ascii="宋体" w:hAnsi="宋体"/>
          <w:color w:val="auto"/>
          <w:sz w:val="24"/>
        </w:rPr>
        <w:t>为规范</w:t>
      </w:r>
      <w:r>
        <w:rPr>
          <w:rFonts w:hint="eastAsia" w:ascii="宋体" w:hAnsi="宋体"/>
          <w:color w:val="auto"/>
          <w:sz w:val="24"/>
        </w:rPr>
        <w:t>陶瓷复合无氧铜带</w:t>
      </w:r>
      <w:r>
        <w:rPr>
          <w:rFonts w:ascii="宋体" w:hAnsi="宋体"/>
          <w:color w:val="auto"/>
          <w:sz w:val="24"/>
        </w:rPr>
        <w:t>的技术要求，稳定提高产品质量，制定</w:t>
      </w:r>
      <w:r>
        <w:rPr>
          <w:rFonts w:hint="eastAsia" w:ascii="宋体" w:hAnsi="宋体"/>
          <w:color w:val="auto"/>
          <w:sz w:val="24"/>
        </w:rPr>
        <w:t>本行业</w:t>
      </w:r>
      <w:r>
        <w:rPr>
          <w:rFonts w:ascii="宋体" w:hAnsi="宋体"/>
          <w:color w:val="auto"/>
          <w:sz w:val="24"/>
        </w:rPr>
        <w:t>标准，</w:t>
      </w:r>
      <w:r>
        <w:rPr>
          <w:rFonts w:hint="eastAsia" w:ascii="宋体" w:hAnsi="宋体"/>
          <w:color w:val="auto"/>
          <w:sz w:val="24"/>
        </w:rPr>
        <w:t>可起到规范市场、引导市场的作用，有利于促进陶瓷复合用铜带的推广应用，有助于促进我国新能源产业的发展。</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1.4.2标准立项</w:t>
      </w:r>
    </w:p>
    <w:p>
      <w:pPr>
        <w:spacing w:line="360" w:lineRule="auto"/>
        <w:ind w:firstLine="480" w:firstLineChars="200"/>
        <w:rPr>
          <w:rFonts w:ascii="宋体" w:hAnsi="宋体"/>
          <w:color w:val="auto"/>
          <w:kern w:val="0"/>
          <w:sz w:val="24"/>
        </w:rPr>
      </w:pPr>
      <w:r>
        <w:rPr>
          <w:rFonts w:hint="eastAsia" w:ascii="宋体" w:hAnsi="宋体" w:cs="宋体"/>
          <w:color w:val="auto"/>
          <w:sz w:val="24"/>
        </w:rPr>
        <w:t>有中铝洛阳铜加工有限公司提出，</w:t>
      </w:r>
      <w:r>
        <w:rPr>
          <w:rFonts w:hint="eastAsia" w:ascii="宋体" w:hAnsi="宋体"/>
          <w:color w:val="auto"/>
          <w:kern w:val="0"/>
          <w:sz w:val="24"/>
        </w:rPr>
        <w:t>根据工信厅科</w:t>
      </w:r>
      <w:r>
        <w:rPr>
          <w:rFonts w:hint="eastAsia" w:ascii="宋体" w:hAnsi="宋体" w:cs="宋体"/>
          <w:color w:val="auto"/>
          <w:kern w:val="0"/>
          <w:sz w:val="24"/>
        </w:rPr>
        <w:t>函〔2022〕94号</w:t>
      </w:r>
      <w:r>
        <w:rPr>
          <w:rFonts w:hint="eastAsia" w:ascii="宋体" w:hAnsi="宋体"/>
          <w:color w:val="auto"/>
          <w:kern w:val="0"/>
          <w:sz w:val="24"/>
        </w:rPr>
        <w:t>及有色标委[2022] 102号文件《关于转发2022年第一批有色金属国家、行业、协会标准制（修）订项目计划的通知》，《</w:t>
      </w:r>
      <w:r>
        <w:rPr>
          <w:rFonts w:hint="eastAsia" w:ascii="宋体" w:hAnsi="宋体" w:cs="宋体"/>
          <w:color w:val="auto"/>
          <w:kern w:val="0"/>
          <w:sz w:val="24"/>
        </w:rPr>
        <w:t>覆铜陶瓷基板用无氧铜带</w:t>
      </w:r>
      <w:r>
        <w:rPr>
          <w:rFonts w:hint="eastAsia" w:ascii="宋体" w:hAnsi="宋体"/>
          <w:color w:val="auto"/>
          <w:kern w:val="0"/>
          <w:sz w:val="24"/>
        </w:rPr>
        <w:t>》</w:t>
      </w:r>
      <w:r>
        <w:rPr>
          <w:rFonts w:hint="eastAsia" w:ascii="宋体" w:hAnsi="宋体" w:cs="宋体"/>
          <w:color w:val="auto"/>
          <w:sz w:val="24"/>
        </w:rPr>
        <w:t>行业标准获批立项，项目计划号 “</w:t>
      </w:r>
      <w:r>
        <w:rPr>
          <w:rFonts w:hint="eastAsia" w:ascii="宋体" w:hAnsi="宋体"/>
          <w:color w:val="auto"/>
          <w:kern w:val="0"/>
          <w:sz w:val="24"/>
        </w:rPr>
        <w:t>2022-00040T-YS</w:t>
      </w:r>
      <w:r>
        <w:rPr>
          <w:rFonts w:hint="eastAsia" w:ascii="宋体" w:hAnsi="宋体" w:cs="宋体"/>
          <w:color w:val="auto"/>
          <w:sz w:val="24"/>
        </w:rPr>
        <w:t>” 。</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1.4.3项目分工</w:t>
      </w:r>
    </w:p>
    <w:p>
      <w:pPr>
        <w:spacing w:line="360" w:lineRule="auto"/>
        <w:ind w:firstLine="480" w:firstLineChars="200"/>
        <w:rPr>
          <w:rFonts w:ascii="宋体" w:hAnsi="宋体" w:cs="Courier New"/>
          <w:color w:val="auto"/>
          <w:sz w:val="24"/>
        </w:rPr>
      </w:pPr>
      <w:r>
        <w:rPr>
          <w:rFonts w:hint="eastAsia" w:ascii="宋体" w:hAnsi="宋体" w:cs="宋体"/>
          <w:color w:val="auto"/>
          <w:sz w:val="24"/>
        </w:rPr>
        <w:t>标准制订计划任务正式下达后，立即成立了标准编制组，并落实起草任务，确定标准的主要起草人（详见表1），拟定该标准的工作计划。具体分工为：中铝洛阳铜加工有限公司总负责，市场和同行业信息收集、资料汇总及执笔；浙江力博实业股份有限公司、铜陵有色金属集团股份有限公司金威铜业分公司等负责补充市场信息收集、标准数据的验证和指标确定，参与标准起草。编制组分工明确，紧密合作</w:t>
      </w:r>
      <w:r>
        <w:rPr>
          <w:rFonts w:hint="eastAsia" w:ascii="宋体" w:hAnsi="宋体" w:cs="Courier New"/>
          <w:color w:val="auto"/>
          <w:sz w:val="24"/>
        </w:rPr>
        <w:t>，进行了全面的市场调研、资料查询，收集了大量的产品测试结果、用户使用方面的相关技术数据，比较全面和准确地了解</w:t>
      </w:r>
      <w:r>
        <w:rPr>
          <w:rFonts w:hint="eastAsia" w:ascii="宋体" w:hAnsi="宋体" w:cs="宋体"/>
          <w:color w:val="auto"/>
          <w:kern w:val="0"/>
          <w:sz w:val="24"/>
        </w:rPr>
        <w:t>覆铜陶瓷基板用无氧铜带</w:t>
      </w:r>
      <w:r>
        <w:rPr>
          <w:rFonts w:hint="eastAsia" w:ascii="宋体" w:hAnsi="宋体" w:cs="Courier New"/>
          <w:color w:val="auto"/>
          <w:sz w:val="24"/>
        </w:rPr>
        <w:t>的应用等领域的需求及其技术要求，为本标准的制定提供了依据。</w:t>
      </w:r>
    </w:p>
    <w:p>
      <w:pPr>
        <w:spacing w:line="360" w:lineRule="auto"/>
        <w:jc w:val="center"/>
        <w:rPr>
          <w:rFonts w:ascii="宋体" w:hAnsi="宋体" w:cs="宋体"/>
          <w:bCs/>
          <w:color w:val="auto"/>
          <w:sz w:val="24"/>
        </w:rPr>
      </w:pPr>
      <w:r>
        <w:rPr>
          <w:rFonts w:hint="eastAsia" w:ascii="宋体" w:hAnsi="宋体" w:cs="宋体"/>
          <w:bCs/>
          <w:color w:val="auto"/>
          <w:sz w:val="24"/>
        </w:rPr>
        <w:t>表1   标准编制组成员及职责</w:t>
      </w:r>
    </w:p>
    <w:tbl>
      <w:tblPr>
        <w:tblStyle w:val="16"/>
        <w:tblW w:w="85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696"/>
        <w:gridCol w:w="1276"/>
        <w:gridCol w:w="6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bottom w:val="single" w:color="auto" w:sz="8" w:space="0"/>
            </w:tcBorders>
            <w:noWrap/>
            <w:tcMar>
              <w:top w:w="0" w:type="dxa"/>
              <w:left w:w="108" w:type="dxa"/>
              <w:bottom w:w="0" w:type="dxa"/>
              <w:right w:w="108" w:type="dxa"/>
            </w:tcMar>
            <w:vAlign w:val="center"/>
          </w:tcPr>
          <w:p>
            <w:pPr>
              <w:jc w:val="center"/>
              <w:rPr>
                <w:rFonts w:ascii="宋体" w:hAnsi="宋体"/>
                <w:color w:val="auto"/>
                <w:szCs w:val="21"/>
              </w:rPr>
            </w:pPr>
            <w:r>
              <w:rPr>
                <w:rFonts w:hint="eastAsia" w:ascii="宋体" w:hAnsi="宋体"/>
                <w:color w:val="auto"/>
                <w:szCs w:val="21"/>
              </w:rPr>
              <w:t>序号</w:t>
            </w:r>
          </w:p>
        </w:tc>
        <w:tc>
          <w:tcPr>
            <w:tcW w:w="1276" w:type="dxa"/>
            <w:tcBorders>
              <w:bottom w:val="single" w:color="auto" w:sz="8" w:space="0"/>
            </w:tcBorders>
            <w:noWrap/>
            <w:tcMar>
              <w:top w:w="0" w:type="dxa"/>
              <w:left w:w="108" w:type="dxa"/>
              <w:bottom w:w="0" w:type="dxa"/>
              <w:right w:w="108" w:type="dxa"/>
            </w:tcMar>
            <w:vAlign w:val="center"/>
          </w:tcPr>
          <w:p>
            <w:pPr>
              <w:jc w:val="center"/>
              <w:rPr>
                <w:rFonts w:ascii="宋体" w:hAnsi="宋体"/>
                <w:color w:val="auto"/>
                <w:szCs w:val="21"/>
              </w:rPr>
            </w:pPr>
            <w:r>
              <w:rPr>
                <w:rFonts w:hint="eastAsia" w:ascii="宋体" w:hAnsi="宋体"/>
                <w:color w:val="auto"/>
                <w:szCs w:val="21"/>
              </w:rPr>
              <w:t>起草人姓名</w:t>
            </w:r>
          </w:p>
        </w:tc>
        <w:tc>
          <w:tcPr>
            <w:tcW w:w="6597" w:type="dxa"/>
            <w:tcBorders>
              <w:bottom w:val="single" w:color="auto" w:sz="8" w:space="0"/>
            </w:tcBorders>
            <w:noWrap/>
            <w:tcMar>
              <w:top w:w="0" w:type="dxa"/>
              <w:left w:w="108" w:type="dxa"/>
              <w:bottom w:w="0" w:type="dxa"/>
              <w:right w:w="108" w:type="dxa"/>
            </w:tcMar>
            <w:vAlign w:val="center"/>
          </w:tcPr>
          <w:p>
            <w:pPr>
              <w:jc w:val="center"/>
              <w:rPr>
                <w:rFonts w:ascii="宋体" w:hAnsi="宋体"/>
                <w:color w:val="auto"/>
                <w:szCs w:val="21"/>
              </w:rPr>
            </w:pPr>
            <w:r>
              <w:rPr>
                <w:rFonts w:hint="eastAsia" w:ascii="宋体" w:hAnsi="宋体"/>
                <w:color w:val="auto"/>
                <w:szCs w:val="21"/>
              </w:rPr>
              <w:t>职责及分工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8" w:space="0"/>
              <w:bottom w:val="single" w:color="auto" w:sz="4" w:space="0"/>
            </w:tcBorders>
            <w:noWrap/>
            <w:tcMar>
              <w:top w:w="0" w:type="dxa"/>
              <w:left w:w="108" w:type="dxa"/>
              <w:bottom w:w="0" w:type="dxa"/>
              <w:right w:w="108" w:type="dxa"/>
            </w:tcMar>
            <w:vAlign w:val="center"/>
          </w:tcPr>
          <w:p>
            <w:pPr>
              <w:jc w:val="center"/>
              <w:rPr>
                <w:rFonts w:ascii="宋体" w:hAnsi="宋体"/>
                <w:color w:val="auto"/>
                <w:szCs w:val="21"/>
              </w:rPr>
            </w:pPr>
            <w:r>
              <w:rPr>
                <w:rFonts w:hint="eastAsia" w:ascii="宋体" w:hAnsi="宋体"/>
                <w:color w:val="auto"/>
                <w:szCs w:val="21"/>
              </w:rPr>
              <w:t>1</w:t>
            </w:r>
          </w:p>
        </w:tc>
        <w:tc>
          <w:tcPr>
            <w:tcW w:w="1276" w:type="dxa"/>
            <w:tcBorders>
              <w:top w:val="single" w:color="auto" w:sz="8" w:space="0"/>
              <w:bottom w:val="single" w:color="auto" w:sz="4" w:space="0"/>
            </w:tcBorders>
            <w:noWrap/>
            <w:tcMar>
              <w:top w:w="0" w:type="dxa"/>
              <w:left w:w="108" w:type="dxa"/>
              <w:bottom w:w="0" w:type="dxa"/>
              <w:right w:w="108"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刘月梅</w:t>
            </w:r>
          </w:p>
        </w:tc>
        <w:tc>
          <w:tcPr>
            <w:tcW w:w="6597" w:type="dxa"/>
            <w:tcBorders>
              <w:top w:val="single" w:color="auto" w:sz="8" w:space="0"/>
              <w:bottom w:val="single" w:color="auto" w:sz="4" w:space="0"/>
            </w:tcBorders>
            <w:noWrap/>
            <w:tcMar>
              <w:top w:w="0" w:type="dxa"/>
              <w:left w:w="108" w:type="dxa"/>
              <w:bottom w:w="0" w:type="dxa"/>
              <w:right w:w="108" w:type="dxa"/>
            </w:tcMar>
            <w:vAlign w:val="center"/>
          </w:tcPr>
          <w:p>
            <w:pPr>
              <w:pStyle w:val="13"/>
              <w:spacing w:before="0" w:beforeAutospacing="0" w:after="0" w:afterAutospacing="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负责标准编制过程中各方案</w:t>
            </w:r>
            <w:r>
              <w:rPr>
                <w:rFonts w:hint="eastAsia" w:asciiTheme="minorEastAsia" w:hAnsiTheme="minorEastAsia" w:eastAsiaTheme="minorEastAsia"/>
                <w:color w:val="auto"/>
                <w:sz w:val="21"/>
                <w:szCs w:val="21"/>
                <w:lang w:val="en-US" w:eastAsia="zh-CN"/>
              </w:rPr>
              <w:t>的</w:t>
            </w:r>
            <w:r>
              <w:rPr>
                <w:rFonts w:hint="eastAsia" w:asciiTheme="minorEastAsia" w:hAnsiTheme="minorEastAsia" w:eastAsiaTheme="minorEastAsia"/>
                <w:color w:val="auto"/>
                <w:sz w:val="21"/>
                <w:szCs w:val="21"/>
              </w:rPr>
              <w:t>编制，</w:t>
            </w:r>
            <w:r>
              <w:rPr>
                <w:rFonts w:hint="eastAsia" w:asciiTheme="minorEastAsia" w:hAnsiTheme="minorEastAsia" w:eastAsiaTheme="minorEastAsia"/>
                <w:color w:val="auto"/>
                <w:sz w:val="21"/>
                <w:szCs w:val="21"/>
                <w:lang w:val="en-US" w:eastAsia="zh-CN"/>
              </w:rPr>
              <w:t>标准</w:t>
            </w:r>
            <w:r>
              <w:rPr>
                <w:rFonts w:hint="eastAsia" w:asciiTheme="minorEastAsia" w:hAnsiTheme="minorEastAsia" w:eastAsiaTheme="minorEastAsia"/>
                <w:color w:val="auto"/>
                <w:sz w:val="21"/>
                <w:szCs w:val="21"/>
              </w:rPr>
              <w:t>指标的</w:t>
            </w:r>
            <w:r>
              <w:rPr>
                <w:rFonts w:hint="eastAsia" w:asciiTheme="minorEastAsia" w:hAnsiTheme="minorEastAsia" w:eastAsiaTheme="minorEastAsia"/>
                <w:color w:val="auto"/>
                <w:sz w:val="21"/>
                <w:szCs w:val="21"/>
                <w:lang w:val="en-US" w:eastAsia="zh-CN"/>
              </w:rPr>
              <w:t>确定和标准高审查，</w:t>
            </w:r>
            <w:r>
              <w:rPr>
                <w:rFonts w:hint="eastAsia" w:asciiTheme="minorEastAsia" w:hAnsiTheme="minorEastAsia" w:eastAsiaTheme="minorEastAsia"/>
                <w:color w:val="auto"/>
                <w:sz w:val="21"/>
                <w:szCs w:val="21"/>
              </w:rPr>
              <w:t>负责标准协调管理</w:t>
            </w:r>
            <w:r>
              <w:rPr>
                <w:rFonts w:hint="eastAsia" w:asciiTheme="minorEastAsia" w:hAnsiTheme="minorEastAsia" w:eastAsiaTheme="minorEastAsia"/>
                <w:color w:val="auto"/>
                <w:sz w:val="21"/>
                <w:szCs w:val="21"/>
                <w:lang w:eastAsia="zh-CN"/>
              </w:rPr>
              <w:t>，</w:t>
            </w:r>
            <w:r>
              <w:rPr>
                <w:rFonts w:hint="eastAsia" w:ascii="宋体" w:hAnsi="宋体"/>
                <w:color w:val="auto"/>
                <w:szCs w:val="21"/>
              </w:rPr>
              <w:t>参加标准讨论、预审和审定；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赵万花</w:t>
            </w:r>
          </w:p>
        </w:tc>
        <w:tc>
          <w:tcPr>
            <w:tcW w:w="6597" w:type="dxa"/>
            <w:tcBorders>
              <w:top w:val="single" w:color="auto" w:sz="4" w:space="0"/>
              <w:bottom w:val="single" w:color="auto" w:sz="4" w:space="0"/>
            </w:tcBorders>
            <w:noWrap/>
            <w:tcMar>
              <w:top w:w="0" w:type="dxa"/>
              <w:left w:w="108" w:type="dxa"/>
              <w:bottom w:w="0" w:type="dxa"/>
              <w:right w:w="108" w:type="dxa"/>
            </w:tcMar>
            <w:vAlign w:val="center"/>
          </w:tcPr>
          <w:p>
            <w:pPr>
              <w:pStyle w:val="13"/>
              <w:spacing w:before="0" w:beforeAutospacing="0" w:after="0" w:afterAutospacing="0" w:line="320" w:lineRule="exact"/>
              <w:rPr>
                <w:rFonts w:cs="宋体" w:asciiTheme="minorEastAsia" w:hAnsiTheme="minorEastAsia" w:eastAsiaTheme="minorEastAsia"/>
                <w:color w:val="auto"/>
                <w:kern w:val="2"/>
                <w:sz w:val="21"/>
                <w:szCs w:val="21"/>
                <w:lang w:val="en-US" w:eastAsia="zh-CN" w:bidi="ar-SA"/>
              </w:rPr>
            </w:pPr>
            <w:r>
              <w:rPr>
                <w:rFonts w:hint="eastAsia"/>
                <w:color w:val="auto"/>
                <w:sz w:val="21"/>
                <w:szCs w:val="21"/>
              </w:rPr>
              <w:t>标准</w:t>
            </w:r>
            <w:r>
              <w:rPr>
                <w:rFonts w:hint="eastAsia"/>
                <w:color w:val="auto"/>
                <w:sz w:val="21"/>
                <w:szCs w:val="21"/>
                <w:lang w:val="en-US" w:eastAsia="zh-CN"/>
              </w:rPr>
              <w:t>执笔</w:t>
            </w:r>
            <w:bookmarkStart w:id="1" w:name="_GoBack"/>
            <w:bookmarkEnd w:id="1"/>
            <w:r>
              <w:rPr>
                <w:rFonts w:hint="eastAsia"/>
                <w:color w:val="auto"/>
                <w:sz w:val="21"/>
                <w:szCs w:val="21"/>
                <w:lang w:val="en-US" w:eastAsia="zh-CN"/>
              </w:rPr>
              <w:t>者</w:t>
            </w:r>
            <w:r>
              <w:rPr>
                <w:rFonts w:hint="eastAsia"/>
                <w:color w:val="auto"/>
                <w:sz w:val="21"/>
                <w:szCs w:val="21"/>
              </w:rPr>
              <w:t>，</w:t>
            </w:r>
            <w:r>
              <w:rPr>
                <w:rFonts w:hint="eastAsia" w:asciiTheme="minorEastAsia" w:hAnsiTheme="minorEastAsia" w:eastAsiaTheme="minorEastAsia"/>
                <w:color w:val="auto"/>
                <w:sz w:val="21"/>
                <w:szCs w:val="21"/>
              </w:rPr>
              <w:t>负责各种文件的编制；负责</w:t>
            </w:r>
            <w:r>
              <w:rPr>
                <w:rFonts w:hint="eastAsia" w:asciiTheme="minorEastAsia" w:hAnsiTheme="minorEastAsia" w:eastAsiaTheme="minorEastAsia"/>
                <w:color w:val="auto"/>
                <w:sz w:val="21"/>
                <w:szCs w:val="21"/>
                <w:lang w:val="en-US" w:eastAsia="zh-CN"/>
              </w:rPr>
              <w:t>数据</w:t>
            </w:r>
            <w:r>
              <w:rPr>
                <w:rFonts w:hint="eastAsia" w:asciiTheme="minorEastAsia" w:hAnsiTheme="minorEastAsia" w:eastAsiaTheme="minorEastAsia"/>
                <w:color w:val="auto"/>
                <w:sz w:val="21"/>
                <w:szCs w:val="21"/>
              </w:rPr>
              <w:t>汇总计算</w:t>
            </w:r>
            <w:r>
              <w:rPr>
                <w:rFonts w:hint="eastAsia" w:asciiTheme="minorEastAsia" w:hAnsiTheme="minorEastAsia" w:eastAsiaTheme="minorEastAsia"/>
                <w:color w:val="auto"/>
                <w:sz w:val="21"/>
                <w:szCs w:val="21"/>
                <w:lang w:val="en-US" w:eastAsia="zh-CN"/>
              </w:rPr>
              <w:t>和分析</w:t>
            </w:r>
            <w:r>
              <w:rPr>
                <w:rFonts w:hint="eastAsia" w:asciiTheme="minorEastAsia" w:hAnsiTheme="minorEastAsia" w:eastAsiaTheme="minorEastAsia"/>
                <w:color w:val="auto"/>
                <w:sz w:val="21"/>
                <w:szCs w:val="21"/>
              </w:rPr>
              <w:t>及指标确定</w:t>
            </w:r>
            <w:r>
              <w:rPr>
                <w:rFonts w:hint="eastAsia" w:asciiTheme="minorEastAsia" w:hAnsiTheme="minorEastAsia" w:eastAsiaTheme="minorEastAsia"/>
                <w:color w:val="auto"/>
                <w:sz w:val="21"/>
                <w:szCs w:val="21"/>
                <w:lang w:eastAsia="zh-CN"/>
              </w:rPr>
              <w:t>，</w:t>
            </w:r>
            <w:r>
              <w:rPr>
                <w:rFonts w:hint="eastAsia" w:ascii="宋体" w:hAnsi="宋体"/>
                <w:color w:val="auto"/>
                <w:szCs w:val="21"/>
              </w:rPr>
              <w:t>参加标准讨论、预审和审定；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3</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张梦雨</w:t>
            </w:r>
          </w:p>
        </w:tc>
        <w:tc>
          <w:tcPr>
            <w:tcW w:w="6597" w:type="dxa"/>
            <w:tcBorders>
              <w:top w:val="single" w:color="auto" w:sz="4" w:space="0"/>
              <w:bottom w:val="single" w:color="auto" w:sz="4" w:space="0"/>
            </w:tcBorders>
            <w:noWrap/>
            <w:tcMar>
              <w:top w:w="0" w:type="dxa"/>
              <w:left w:w="108" w:type="dxa"/>
              <w:bottom w:w="0" w:type="dxa"/>
              <w:right w:w="108" w:type="dxa"/>
            </w:tcMar>
            <w:vAlign w:val="center"/>
          </w:tcPr>
          <w:p>
            <w:pPr>
              <w:pStyle w:val="13"/>
              <w:spacing w:before="0" w:beforeAutospacing="0" w:after="0" w:afterAutospacing="0" w:line="320" w:lineRule="exact"/>
              <w:rPr>
                <w:rFonts w:hint="eastAsia" w:cs="宋体" w:asciiTheme="minorEastAsia" w:hAnsiTheme="minorEastAsia" w:eastAsiaTheme="minorEastAsia"/>
                <w:color w:val="auto"/>
                <w:kern w:val="2"/>
                <w:sz w:val="21"/>
                <w:szCs w:val="21"/>
                <w:lang w:val="en-US" w:eastAsia="zh-CN" w:bidi="ar-SA"/>
              </w:rPr>
            </w:pPr>
            <w:r>
              <w:rPr>
                <w:rFonts w:hint="eastAsia"/>
                <w:color w:val="auto"/>
                <w:szCs w:val="21"/>
                <w:lang w:val="en-US" w:eastAsia="zh-CN"/>
              </w:rPr>
              <w:t>负责</w:t>
            </w:r>
            <w:r>
              <w:rPr>
                <w:rFonts w:hint="eastAsia" w:ascii="宋体" w:hAnsi="宋体"/>
                <w:color w:val="auto"/>
                <w:szCs w:val="21"/>
              </w:rPr>
              <w:t>产品</w:t>
            </w:r>
            <w:r>
              <w:rPr>
                <w:rFonts w:hint="eastAsia"/>
                <w:color w:val="auto"/>
                <w:szCs w:val="21"/>
                <w:lang w:val="en-US" w:eastAsia="zh-CN"/>
              </w:rPr>
              <w:t>生产、</w:t>
            </w:r>
            <w:r>
              <w:rPr>
                <w:rFonts w:hint="eastAsia" w:ascii="宋体" w:hAnsi="宋体"/>
                <w:color w:val="auto"/>
                <w:szCs w:val="21"/>
              </w:rPr>
              <w:t>数据的归集和验证，指标确定，参加标准讨论</w:t>
            </w:r>
            <w:r>
              <w:rPr>
                <w:rFonts w:hint="eastAsia"/>
                <w:color w:val="auto"/>
                <w:szCs w:val="21"/>
                <w:lang w:val="en-US" w:eastAsia="zh-CN"/>
              </w:rPr>
              <w:t>和预审</w:t>
            </w:r>
            <w:r>
              <w:rPr>
                <w:rFonts w:hint="eastAsia"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浙江力博</w:t>
            </w:r>
          </w:p>
        </w:tc>
        <w:tc>
          <w:tcPr>
            <w:tcW w:w="6597" w:type="dxa"/>
            <w:tcBorders>
              <w:top w:val="single" w:color="auto" w:sz="4" w:space="0"/>
              <w:bottom w:val="single" w:color="auto" w:sz="4" w:space="0"/>
            </w:tcBorders>
            <w:noWrap/>
            <w:tcMar>
              <w:top w:w="0" w:type="dxa"/>
              <w:left w:w="108" w:type="dxa"/>
              <w:bottom w:w="0" w:type="dxa"/>
              <w:right w:w="108" w:type="dxa"/>
            </w:tcMar>
            <w:vAlign w:val="center"/>
          </w:tcPr>
          <w:p>
            <w:pPr>
              <w:jc w:val="left"/>
              <w:rPr>
                <w:rFonts w:ascii="宋体" w:hAnsi="宋体"/>
                <w:color w:val="auto"/>
                <w:szCs w:val="21"/>
              </w:rPr>
            </w:pPr>
            <w:r>
              <w:rPr>
                <w:rFonts w:hint="eastAsia" w:ascii="宋体" w:hAnsi="宋体"/>
                <w:color w:val="auto"/>
                <w:szCs w:val="21"/>
              </w:rPr>
              <w:t>负责</w:t>
            </w:r>
            <w:r>
              <w:rPr>
                <w:rFonts w:hint="eastAsia" w:ascii="宋体" w:hAnsi="宋体"/>
                <w:color w:val="auto"/>
                <w:szCs w:val="21"/>
                <w:lang w:val="en-US" w:eastAsia="zh-CN"/>
              </w:rPr>
              <w:t>力博</w:t>
            </w:r>
            <w:r>
              <w:rPr>
                <w:rFonts w:hint="eastAsia" w:ascii="宋体" w:hAnsi="宋体"/>
                <w:color w:val="auto"/>
                <w:szCs w:val="21"/>
              </w:rPr>
              <w:t>产品数据的归集和指标验证，指标确定，参加标准讨论、预审和审定；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1276" w:type="dxa"/>
            <w:tcBorders>
              <w:top w:val="single" w:color="auto" w:sz="4" w:space="0"/>
              <w:bottom w:val="single" w:color="auto" w:sz="4" w:space="0"/>
            </w:tcBorders>
            <w:noWrap/>
            <w:tcMar>
              <w:top w:w="0" w:type="dxa"/>
              <w:left w:w="108" w:type="dxa"/>
              <w:bottom w:w="0" w:type="dxa"/>
              <w:right w:w="108" w:type="dxa"/>
            </w:tcMar>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王之平</w:t>
            </w:r>
          </w:p>
        </w:tc>
        <w:tc>
          <w:tcPr>
            <w:tcW w:w="6597" w:type="dxa"/>
            <w:tcBorders>
              <w:top w:val="single" w:color="auto" w:sz="4" w:space="0"/>
              <w:bottom w:val="single" w:color="auto" w:sz="4" w:space="0"/>
            </w:tcBorders>
            <w:noWrap/>
            <w:tcMar>
              <w:top w:w="0" w:type="dxa"/>
              <w:left w:w="108" w:type="dxa"/>
              <w:bottom w:w="0" w:type="dxa"/>
              <w:right w:w="108" w:type="dxa"/>
            </w:tcMar>
            <w:vAlign w:val="center"/>
          </w:tcPr>
          <w:p>
            <w:pPr>
              <w:jc w:val="left"/>
              <w:rPr>
                <w:rFonts w:ascii="宋体" w:hAnsi="宋体"/>
                <w:color w:val="auto"/>
                <w:szCs w:val="21"/>
              </w:rPr>
            </w:pPr>
            <w:r>
              <w:rPr>
                <w:rFonts w:hint="eastAsia" w:ascii="宋体" w:hAnsi="宋体"/>
                <w:color w:val="auto"/>
                <w:szCs w:val="21"/>
              </w:rPr>
              <w:t>负责</w:t>
            </w:r>
            <w:r>
              <w:rPr>
                <w:rFonts w:hint="eastAsia" w:ascii="宋体" w:hAnsi="宋体"/>
                <w:color w:val="auto"/>
                <w:szCs w:val="21"/>
                <w:lang w:val="en-US" w:eastAsia="zh-CN"/>
              </w:rPr>
              <w:t>金威</w:t>
            </w:r>
            <w:r>
              <w:rPr>
                <w:rFonts w:hint="eastAsia" w:ascii="宋体" w:hAnsi="宋体"/>
                <w:color w:val="auto"/>
                <w:szCs w:val="21"/>
              </w:rPr>
              <w:t>产品数据的归集和指标验证，指标确定，参加标准讨论、预审和审定；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tcBorders>
            <w:noWrap/>
            <w:tcMar>
              <w:top w:w="0" w:type="dxa"/>
              <w:left w:w="108" w:type="dxa"/>
              <w:bottom w:w="0" w:type="dxa"/>
              <w:right w:w="108" w:type="dxa"/>
            </w:tcMar>
            <w:vAlign w:val="center"/>
          </w:tcPr>
          <w:p>
            <w:pPr>
              <w:jc w:val="center"/>
              <w:rPr>
                <w:rFonts w:ascii="宋体" w:hAnsi="宋体"/>
                <w:color w:val="auto"/>
                <w:szCs w:val="21"/>
              </w:rPr>
            </w:pPr>
          </w:p>
        </w:tc>
        <w:tc>
          <w:tcPr>
            <w:tcW w:w="1276" w:type="dxa"/>
            <w:tcBorders>
              <w:top w:val="single" w:color="auto" w:sz="4" w:space="0"/>
            </w:tcBorders>
            <w:noWrap/>
            <w:tcMar>
              <w:top w:w="0" w:type="dxa"/>
              <w:left w:w="108" w:type="dxa"/>
              <w:bottom w:w="0" w:type="dxa"/>
              <w:right w:w="108" w:type="dxa"/>
            </w:tcMar>
            <w:vAlign w:val="center"/>
          </w:tcPr>
          <w:p>
            <w:pPr>
              <w:jc w:val="center"/>
              <w:rPr>
                <w:rFonts w:ascii="宋体" w:hAnsi="宋体"/>
                <w:color w:val="auto"/>
                <w:szCs w:val="21"/>
              </w:rPr>
            </w:pPr>
          </w:p>
        </w:tc>
        <w:tc>
          <w:tcPr>
            <w:tcW w:w="6597" w:type="dxa"/>
            <w:tcBorders>
              <w:top w:val="single" w:color="auto" w:sz="4" w:space="0"/>
            </w:tcBorders>
            <w:noWrap/>
            <w:tcMar>
              <w:top w:w="0" w:type="dxa"/>
              <w:left w:w="108" w:type="dxa"/>
              <w:bottom w:w="0" w:type="dxa"/>
              <w:right w:w="108" w:type="dxa"/>
            </w:tcMar>
            <w:vAlign w:val="center"/>
          </w:tcPr>
          <w:p>
            <w:pPr>
              <w:jc w:val="lef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tcBorders>
            <w:noWrap/>
            <w:tcMar>
              <w:top w:w="0" w:type="dxa"/>
              <w:left w:w="108" w:type="dxa"/>
              <w:bottom w:w="0" w:type="dxa"/>
              <w:right w:w="108" w:type="dxa"/>
            </w:tcMar>
            <w:vAlign w:val="center"/>
          </w:tcPr>
          <w:p>
            <w:pPr>
              <w:jc w:val="center"/>
              <w:rPr>
                <w:rFonts w:ascii="宋体" w:hAnsi="宋体"/>
                <w:color w:val="auto"/>
                <w:szCs w:val="21"/>
              </w:rPr>
            </w:pPr>
          </w:p>
        </w:tc>
        <w:tc>
          <w:tcPr>
            <w:tcW w:w="1276" w:type="dxa"/>
            <w:tcBorders>
              <w:top w:val="single" w:color="auto" w:sz="4" w:space="0"/>
            </w:tcBorders>
            <w:noWrap/>
            <w:tcMar>
              <w:top w:w="0" w:type="dxa"/>
              <w:left w:w="108" w:type="dxa"/>
              <w:bottom w:w="0" w:type="dxa"/>
              <w:right w:w="108" w:type="dxa"/>
            </w:tcMar>
            <w:vAlign w:val="center"/>
          </w:tcPr>
          <w:p>
            <w:pPr>
              <w:jc w:val="center"/>
              <w:rPr>
                <w:rFonts w:ascii="宋体" w:hAnsi="宋体"/>
                <w:color w:val="auto"/>
                <w:szCs w:val="21"/>
              </w:rPr>
            </w:pPr>
          </w:p>
        </w:tc>
        <w:tc>
          <w:tcPr>
            <w:tcW w:w="6597" w:type="dxa"/>
            <w:tcBorders>
              <w:top w:val="single" w:color="auto" w:sz="4" w:space="0"/>
            </w:tcBorders>
            <w:noWrap/>
            <w:tcMar>
              <w:top w:w="0" w:type="dxa"/>
              <w:left w:w="108" w:type="dxa"/>
              <w:bottom w:w="0" w:type="dxa"/>
              <w:right w:w="108" w:type="dxa"/>
            </w:tcMar>
            <w:vAlign w:val="center"/>
          </w:tcPr>
          <w:p>
            <w:pPr>
              <w:jc w:val="lef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404" w:hRule="atLeast"/>
          <w:jc w:val="center"/>
        </w:trPr>
        <w:tc>
          <w:tcPr>
            <w:tcW w:w="696" w:type="dxa"/>
            <w:tcBorders>
              <w:top w:val="single" w:color="auto" w:sz="4" w:space="0"/>
            </w:tcBorders>
            <w:noWrap/>
            <w:tcMar>
              <w:top w:w="0" w:type="dxa"/>
              <w:left w:w="108" w:type="dxa"/>
              <w:bottom w:w="0" w:type="dxa"/>
              <w:right w:w="108" w:type="dxa"/>
            </w:tcMar>
            <w:vAlign w:val="center"/>
          </w:tcPr>
          <w:p>
            <w:pPr>
              <w:jc w:val="center"/>
              <w:rPr>
                <w:rFonts w:ascii="宋体" w:hAnsi="宋体"/>
                <w:color w:val="auto"/>
                <w:szCs w:val="21"/>
              </w:rPr>
            </w:pPr>
          </w:p>
        </w:tc>
        <w:tc>
          <w:tcPr>
            <w:tcW w:w="1276" w:type="dxa"/>
            <w:tcBorders>
              <w:top w:val="single" w:color="auto" w:sz="4" w:space="0"/>
            </w:tcBorders>
            <w:noWrap/>
            <w:tcMar>
              <w:top w:w="0" w:type="dxa"/>
              <w:left w:w="108" w:type="dxa"/>
              <w:bottom w:w="0" w:type="dxa"/>
              <w:right w:w="108" w:type="dxa"/>
            </w:tcMar>
            <w:vAlign w:val="center"/>
          </w:tcPr>
          <w:p>
            <w:pPr>
              <w:jc w:val="center"/>
              <w:rPr>
                <w:rFonts w:ascii="宋体" w:hAnsi="宋体"/>
                <w:color w:val="auto"/>
                <w:szCs w:val="21"/>
              </w:rPr>
            </w:pPr>
          </w:p>
        </w:tc>
        <w:tc>
          <w:tcPr>
            <w:tcW w:w="6597" w:type="dxa"/>
            <w:tcBorders>
              <w:top w:val="single" w:color="auto" w:sz="4" w:space="0"/>
            </w:tcBorders>
            <w:noWrap/>
            <w:tcMar>
              <w:top w:w="0" w:type="dxa"/>
              <w:left w:w="108" w:type="dxa"/>
              <w:bottom w:w="0" w:type="dxa"/>
              <w:right w:w="108" w:type="dxa"/>
            </w:tcMar>
            <w:vAlign w:val="center"/>
          </w:tcPr>
          <w:p>
            <w:pPr>
              <w:jc w:val="left"/>
              <w:rPr>
                <w:rFonts w:ascii="宋体" w:hAnsi="宋体"/>
                <w:color w:val="auto"/>
                <w:szCs w:val="21"/>
              </w:rPr>
            </w:pPr>
          </w:p>
        </w:tc>
      </w:tr>
    </w:tbl>
    <w:p>
      <w:pPr>
        <w:spacing w:line="360" w:lineRule="auto"/>
        <w:rPr>
          <w:rFonts w:ascii="宋体" w:hAnsi="宋体" w:cs="Courier New"/>
          <w:color w:val="auto"/>
          <w:sz w:val="24"/>
        </w:rPr>
      </w:pP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1.4.4各阶段工作过程</w:t>
      </w:r>
    </w:p>
    <w:p>
      <w:pPr>
        <w:spacing w:line="360" w:lineRule="auto"/>
        <w:ind w:firstLine="480" w:firstLineChars="200"/>
        <w:rPr>
          <w:rFonts w:ascii="宋体" w:hAnsi="宋体"/>
          <w:color w:val="auto"/>
          <w:kern w:val="0"/>
          <w:sz w:val="24"/>
        </w:rPr>
      </w:pPr>
      <w:r>
        <w:rPr>
          <w:rFonts w:hint="eastAsia" w:ascii="宋体" w:hAnsi="宋体"/>
          <w:color w:val="auto"/>
          <w:kern w:val="0"/>
          <w:sz w:val="24"/>
        </w:rPr>
        <w:t>在标准起草修订过程中，我们查阅了国内外有关无氧铜的信息和相关标准。通过信息收集，发现</w:t>
      </w:r>
      <w:r>
        <w:rPr>
          <w:rFonts w:hint="eastAsia" w:ascii="宋体" w:hAnsi="宋体" w:cs="宋体"/>
          <w:color w:val="auto"/>
          <w:kern w:val="0"/>
          <w:sz w:val="24"/>
        </w:rPr>
        <w:t>国内外关于无氧铜带的标准有ASTM 152-2009《铜薄板、带材、厚板和轧制条材》；JIS H 3510-2012</w:t>
      </w:r>
      <w:r>
        <w:rPr>
          <w:rFonts w:hint="eastAsia" w:ascii="宋体" w:hAnsi="宋体"/>
          <w:color w:val="auto"/>
          <w:sz w:val="24"/>
        </w:rPr>
        <w:t>《</w:t>
      </w:r>
      <w:r>
        <w:rPr>
          <w:rFonts w:hint="eastAsia" w:ascii="宋体" w:hAnsi="宋体" w:cs="宋体"/>
          <w:color w:val="auto"/>
          <w:kern w:val="0"/>
          <w:sz w:val="24"/>
        </w:rPr>
        <w:t>电子器件用无氧铜薄片、板材； GB/T 2059-2017《铜及铜合金带材》、GB/T 14594-2014《电真空器件用无氧铜板和带》，均</w:t>
      </w:r>
      <w:r>
        <w:rPr>
          <w:rFonts w:hint="eastAsia" w:ascii="宋体" w:hAnsi="宋体"/>
          <w:color w:val="auto"/>
          <w:kern w:val="0"/>
          <w:sz w:val="24"/>
        </w:rPr>
        <w:t>不适合本标准。本标准是根据国内的市场需求和生产能力，陶瓷复合的使用要求，并结合铜加工铜带的发展趋势进行的制定。</w:t>
      </w:r>
    </w:p>
    <w:p>
      <w:pPr>
        <w:pStyle w:val="13"/>
        <w:spacing w:before="0" w:beforeAutospacing="0" w:after="0" w:afterAutospacing="0" w:line="360" w:lineRule="auto"/>
        <w:ind w:firstLine="482"/>
        <w:rPr>
          <w:bCs/>
          <w:color w:val="auto"/>
          <w:sz w:val="24"/>
        </w:rPr>
      </w:pPr>
      <w:r>
        <w:rPr>
          <w:rFonts w:hint="eastAsia"/>
          <w:bCs/>
          <w:color w:val="auto"/>
          <w:sz w:val="24"/>
        </w:rPr>
        <w:t>本标准适应市场和环境需要，根据使用要求和国内实际情况，结合我国无氧铜带材生产实际，规范铜</w:t>
      </w:r>
      <w:r>
        <w:rPr>
          <w:rFonts w:hint="eastAsia"/>
          <w:color w:val="auto"/>
          <w:kern w:val="0"/>
          <w:sz w:val="24"/>
        </w:rPr>
        <w:t>覆铜陶瓷基板用无氧铜带</w:t>
      </w:r>
      <w:r>
        <w:rPr>
          <w:color w:val="auto"/>
          <w:sz w:val="24"/>
        </w:rPr>
        <w:t>的技术要求，稳定提高产品质量</w:t>
      </w:r>
      <w:r>
        <w:rPr>
          <w:rFonts w:hint="eastAsia"/>
          <w:color w:val="auto"/>
          <w:sz w:val="24"/>
        </w:rPr>
        <w:t>，</w:t>
      </w:r>
      <w:r>
        <w:rPr>
          <w:rFonts w:hint="eastAsia"/>
          <w:bCs/>
          <w:color w:val="auto"/>
          <w:sz w:val="24"/>
        </w:rPr>
        <w:t>经过充分讨论，2023年3月初形成了标准《讨论稿》及其编制说明。</w:t>
      </w:r>
    </w:p>
    <w:p>
      <w:pPr>
        <w:spacing w:line="360" w:lineRule="auto"/>
        <w:ind w:firstLine="480" w:firstLineChars="200"/>
        <w:rPr>
          <w:bCs/>
          <w:color w:val="auto"/>
          <w:sz w:val="24"/>
        </w:rPr>
      </w:pPr>
      <w:r>
        <w:rPr>
          <w:rFonts w:hint="eastAsia"/>
          <w:bCs/>
          <w:color w:val="auto"/>
          <w:sz w:val="24"/>
        </w:rPr>
        <w:t>2023年3月29日～4月1日由</w:t>
      </w:r>
      <w:r>
        <w:rPr>
          <w:bCs/>
          <w:color w:val="auto"/>
          <w:sz w:val="24"/>
        </w:rPr>
        <w:t>全国有色金属标准化技术委员会</w:t>
      </w:r>
      <w:r>
        <w:rPr>
          <w:rFonts w:hint="eastAsia"/>
          <w:bCs/>
          <w:color w:val="auto"/>
          <w:sz w:val="24"/>
        </w:rPr>
        <w:t>主持</w:t>
      </w:r>
      <w:r>
        <w:rPr>
          <w:bCs/>
          <w:color w:val="auto"/>
          <w:sz w:val="24"/>
        </w:rPr>
        <w:t>在</w:t>
      </w:r>
      <w:r>
        <w:rPr>
          <w:rFonts w:hint="eastAsia"/>
          <w:bCs/>
          <w:color w:val="auto"/>
          <w:sz w:val="24"/>
        </w:rPr>
        <w:t>湖南省衡阳市召开该标准的讨论会。编制组根据标准讨论会会议精神和各专家意见，</w:t>
      </w:r>
      <w:r>
        <w:rPr>
          <w:rFonts w:hint="eastAsia" w:ascii="宋体" w:hAnsi="宋体"/>
          <w:color w:val="auto"/>
          <w:sz w:val="24"/>
        </w:rPr>
        <w:t>对标准进行修改和完善</w:t>
      </w:r>
      <w:r>
        <w:rPr>
          <w:rFonts w:hint="eastAsia" w:ascii="宋体" w:hAnsi="宋体"/>
          <w:bCs/>
          <w:color w:val="auto"/>
          <w:sz w:val="24"/>
        </w:rPr>
        <w:t>，形成了标准《预审稿》及《编制说明》。</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二、 标准编制原则</w:t>
      </w:r>
    </w:p>
    <w:p>
      <w:pPr>
        <w:spacing w:line="360" w:lineRule="auto"/>
        <w:ind w:firstLine="480" w:firstLineChars="200"/>
        <w:rPr>
          <w:rFonts w:ascii="宋体" w:hAnsi="宋体"/>
          <w:color w:val="auto"/>
          <w:kern w:val="0"/>
          <w:sz w:val="24"/>
        </w:rPr>
      </w:pPr>
      <w:bookmarkStart w:id="0" w:name="OLE_LINK7"/>
      <w:r>
        <w:rPr>
          <w:rFonts w:hint="eastAsia"/>
          <w:color w:val="auto"/>
          <w:sz w:val="24"/>
        </w:rPr>
        <w:t>1）</w:t>
      </w:r>
      <w:r>
        <w:rPr>
          <w:rFonts w:hint="eastAsia" w:ascii="宋体" w:hAnsi="宋体"/>
          <w:color w:val="auto"/>
          <w:kern w:val="0"/>
          <w:sz w:val="24"/>
        </w:rPr>
        <w:t>本标准按照</w:t>
      </w:r>
      <w:r>
        <w:rPr>
          <w:rFonts w:ascii="宋体" w:hAnsi="宋体"/>
          <w:color w:val="auto"/>
          <w:kern w:val="0"/>
          <w:sz w:val="24"/>
        </w:rPr>
        <w:t>GB/T1.1-20</w:t>
      </w:r>
      <w:r>
        <w:rPr>
          <w:rFonts w:hint="eastAsia" w:ascii="宋体" w:hAnsi="宋体"/>
          <w:color w:val="auto"/>
          <w:kern w:val="0"/>
          <w:sz w:val="24"/>
        </w:rPr>
        <w:t>20《标准化工作导则 第1部分：标准化文件的结构和起草规则》的规则进行起草，并符合</w:t>
      </w:r>
      <w:r>
        <w:rPr>
          <w:rFonts w:ascii="宋体" w:hAnsi="宋体"/>
          <w:color w:val="auto"/>
          <w:kern w:val="0"/>
          <w:sz w:val="24"/>
        </w:rPr>
        <w:t>TCS2009</w:t>
      </w:r>
      <w:r>
        <w:rPr>
          <w:rFonts w:hint="eastAsia" w:ascii="宋体" w:hAnsi="宋体"/>
          <w:color w:val="auto"/>
          <w:kern w:val="0"/>
          <w:sz w:val="24"/>
        </w:rPr>
        <w:t>《中国标准编写模板》国家标准的电子文本要求。</w:t>
      </w:r>
    </w:p>
    <w:p>
      <w:pPr>
        <w:spacing w:line="360" w:lineRule="auto"/>
        <w:ind w:firstLine="480" w:firstLineChars="200"/>
        <w:rPr>
          <w:rFonts w:ascii="宋体" w:hAnsi="宋体"/>
          <w:color w:val="auto"/>
          <w:sz w:val="24"/>
        </w:rPr>
      </w:pPr>
      <w:r>
        <w:rPr>
          <w:rFonts w:hint="eastAsia" w:ascii="宋体" w:hAnsi="宋体"/>
          <w:color w:val="auto"/>
          <w:sz w:val="24"/>
        </w:rPr>
        <w:t>2）查阅相关标准和国内外客户的相关技术要求；</w:t>
      </w:r>
    </w:p>
    <w:p>
      <w:pPr>
        <w:spacing w:line="360" w:lineRule="auto"/>
        <w:ind w:firstLine="480" w:firstLineChars="200"/>
        <w:rPr>
          <w:rFonts w:ascii="宋体" w:hAnsi="宋体"/>
          <w:color w:val="auto"/>
          <w:sz w:val="24"/>
        </w:rPr>
      </w:pPr>
      <w:r>
        <w:rPr>
          <w:rFonts w:hint="eastAsia" w:ascii="宋体" w:hAnsi="宋体"/>
          <w:color w:val="auto"/>
          <w:sz w:val="24"/>
        </w:rPr>
        <w:t>3）根据陶瓷复合用无氧铜带材应用领域的消费特点，力求做到标准的合理性与实用性；</w:t>
      </w:r>
    </w:p>
    <w:p>
      <w:pPr>
        <w:spacing w:line="360" w:lineRule="auto"/>
        <w:ind w:firstLine="480" w:firstLineChars="200"/>
        <w:rPr>
          <w:rFonts w:ascii="宋体" w:hAnsi="宋体"/>
          <w:color w:val="auto"/>
          <w:sz w:val="24"/>
        </w:rPr>
      </w:pPr>
      <w:r>
        <w:rPr>
          <w:rFonts w:hint="eastAsia" w:ascii="宋体" w:hAnsi="宋体"/>
          <w:color w:val="auto"/>
          <w:sz w:val="24"/>
        </w:rPr>
        <w:t>4）根据产品工艺的成熟与完善、技术发展水平及测试数据确定技术指标取值范围；</w:t>
      </w:r>
    </w:p>
    <w:p>
      <w:pPr>
        <w:spacing w:line="360" w:lineRule="auto"/>
        <w:ind w:firstLine="480" w:firstLineChars="200"/>
        <w:rPr>
          <w:rFonts w:ascii="宋体" w:hAnsi="宋体"/>
          <w:color w:val="auto"/>
          <w:sz w:val="24"/>
        </w:rPr>
      </w:pPr>
      <w:r>
        <w:rPr>
          <w:rFonts w:hint="eastAsia" w:ascii="宋体" w:hAnsi="宋体"/>
          <w:color w:val="auto"/>
          <w:sz w:val="24"/>
        </w:rPr>
        <w:t>6）标准由国内铜加工板带无氧铜生产厂家联合制定，反映了国内生产企业的先进生产技术，便于生产，易于应用。</w:t>
      </w:r>
    </w:p>
    <w:bookmarkEnd w:id="0"/>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三、 标准的主要内容及确定依据</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szCs w:val="24"/>
        </w:rPr>
        <w:t>3.1标准适用范围</w:t>
      </w:r>
    </w:p>
    <w:p>
      <w:pPr>
        <w:spacing w:line="360" w:lineRule="auto"/>
        <w:ind w:firstLine="480" w:firstLineChars="200"/>
        <w:rPr>
          <w:color w:val="auto"/>
          <w:sz w:val="24"/>
        </w:rPr>
      </w:pPr>
      <w:r>
        <w:rPr>
          <w:rFonts w:hint="eastAsia"/>
          <w:color w:val="auto"/>
          <w:sz w:val="24"/>
        </w:rPr>
        <w:t>本文件规定了覆铜陶瓷基板用无氧铜带的分类和标记、技术要求、试验方法、检验规则和标志、包装、运输、贮存及随行文件和订货单内容。</w:t>
      </w:r>
    </w:p>
    <w:p>
      <w:pPr>
        <w:spacing w:line="360" w:lineRule="auto"/>
        <w:ind w:firstLine="480" w:firstLineChars="200"/>
        <w:rPr>
          <w:rFonts w:hAnsi="Calibri"/>
          <w:b/>
          <w:bCs/>
          <w:color w:val="auto"/>
          <w:sz w:val="24"/>
        </w:rPr>
      </w:pPr>
      <w:r>
        <w:rPr>
          <w:rFonts w:hint="eastAsia"/>
          <w:color w:val="auto"/>
          <w:sz w:val="24"/>
        </w:rPr>
        <w:t>本文件适用于陶瓷覆合用无氧铜带材。</w:t>
      </w:r>
    </w:p>
    <w:p>
      <w:pPr>
        <w:pStyle w:val="7"/>
        <w:spacing w:beforeLines="50" w:afterLines="50" w:line="360" w:lineRule="auto"/>
        <w:rPr>
          <w:rFonts w:hint="eastAsia" w:ascii="黑体" w:hAnsi="宋体" w:eastAsia="黑体"/>
          <w:bCs/>
          <w:color w:val="auto"/>
          <w:sz w:val="24"/>
        </w:rPr>
      </w:pPr>
      <w:r>
        <w:rPr>
          <w:rFonts w:hint="eastAsia" w:ascii="黑体" w:hAnsi="宋体" w:eastAsia="黑体"/>
          <w:bCs/>
          <w:color w:val="auto"/>
          <w:sz w:val="24"/>
        </w:rPr>
        <w:t>3.2主要技术内容及确定依据</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3.2.1牌号、规格、状态</w:t>
      </w:r>
    </w:p>
    <w:p>
      <w:pPr>
        <w:spacing w:line="360" w:lineRule="auto"/>
        <w:ind w:firstLine="480" w:firstLineChars="200"/>
        <w:rPr>
          <w:rFonts w:ascii="宋体" w:hAnsi="宋体"/>
          <w:color w:val="auto"/>
          <w:sz w:val="24"/>
        </w:rPr>
      </w:pPr>
      <w:r>
        <w:rPr>
          <w:rFonts w:hint="eastAsia" w:ascii="宋体" w:hAnsi="宋体" w:cs="宋体"/>
          <w:color w:val="auto"/>
          <w:sz w:val="24"/>
        </w:rPr>
        <w:t>本标准</w:t>
      </w:r>
      <w:r>
        <w:rPr>
          <w:rFonts w:hint="eastAsia" w:ascii="宋体" w:hAnsi="宋体"/>
          <w:color w:val="auto"/>
          <w:sz w:val="24"/>
        </w:rPr>
        <w:t>所含</w:t>
      </w:r>
      <w:r>
        <w:rPr>
          <w:rFonts w:hint="eastAsia"/>
          <w:color w:val="auto"/>
          <w:sz w:val="24"/>
        </w:rPr>
        <w:t>陶瓷覆合用无氧铜带的</w:t>
      </w:r>
      <w:r>
        <w:rPr>
          <w:rFonts w:hint="eastAsia" w:ascii="宋体" w:hAnsi="宋体"/>
          <w:color w:val="auto"/>
          <w:sz w:val="24"/>
        </w:rPr>
        <w:t>牌号、规格是依据市场需求、批量供货合同和实际情况确定，</w:t>
      </w:r>
      <w:r>
        <w:rPr>
          <w:rFonts w:hint="eastAsia" w:ascii="宋体" w:hAnsi="宋体" w:cs="宋体"/>
          <w:bCs/>
          <w:color w:val="auto"/>
          <w:sz w:val="24"/>
          <w:highlight w:val="none"/>
        </w:rPr>
        <w:t>牌号为TU00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TU0、TU1、TU3</w:t>
      </w:r>
      <w:r>
        <w:rPr>
          <w:rFonts w:ascii="宋体" w:hAnsi="宋体" w:cs="宋体"/>
          <w:bCs/>
          <w:color w:val="auto"/>
          <w:sz w:val="24"/>
          <w:highlight w:val="none"/>
        </w:rPr>
        <w:t>,</w:t>
      </w:r>
      <w:r>
        <w:rPr>
          <w:rFonts w:hint="eastAsia" w:ascii="宋体" w:hAnsi="宋体" w:cs="宋体"/>
          <w:bCs/>
          <w:color w:val="auto"/>
          <w:sz w:val="24"/>
        </w:rPr>
        <w:t>规格范围</w:t>
      </w:r>
      <w:r>
        <w:rPr>
          <w:rFonts w:hint="eastAsia" w:ascii="宋体" w:hAnsi="宋体"/>
          <w:color w:val="auto"/>
          <w:sz w:val="24"/>
        </w:rPr>
        <w:t>见表2。状态依据GB/T29094-2012《铜及铜合金状态表示方法》确定。</w:t>
      </w:r>
    </w:p>
    <w:p>
      <w:pPr>
        <w:spacing w:line="360" w:lineRule="auto"/>
        <w:jc w:val="center"/>
        <w:rPr>
          <w:rFonts w:ascii="宋体" w:hAnsi="宋体" w:cs="Courier New"/>
          <w:color w:val="auto"/>
          <w:sz w:val="24"/>
        </w:rPr>
      </w:pPr>
      <w:r>
        <w:rPr>
          <w:rFonts w:hint="eastAsia" w:ascii="宋体" w:hAnsi="宋体" w:cs="Courier New"/>
          <w:color w:val="auto"/>
          <w:sz w:val="24"/>
        </w:rPr>
        <w:t>表2  牌号</w:t>
      </w:r>
      <w:r>
        <w:rPr>
          <w:rFonts w:hint="eastAsia" w:ascii="宋体" w:hAnsi="宋体"/>
          <w:color w:val="auto"/>
          <w:sz w:val="24"/>
        </w:rPr>
        <w:t>、</w:t>
      </w:r>
      <w:r>
        <w:rPr>
          <w:rFonts w:hint="eastAsia" w:ascii="宋体" w:hAnsi="宋体" w:cs="Courier New"/>
          <w:color w:val="auto"/>
          <w:sz w:val="24"/>
        </w:rPr>
        <w:t>代号、状态和规格</w:t>
      </w:r>
    </w:p>
    <w:tbl>
      <w:tblPr>
        <w:tblStyle w:val="16"/>
        <w:tblW w:w="94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744"/>
        <w:gridCol w:w="2047"/>
        <w:gridCol w:w="197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694" w:type="dxa"/>
            <w:vMerge w:val="restart"/>
            <w:noWrap/>
            <w:vAlign w:val="center"/>
          </w:tcPr>
          <w:p>
            <w:pPr>
              <w:jc w:val="center"/>
              <w:rPr>
                <w:rFonts w:ascii="宋体" w:hAnsi="宋体"/>
                <w:color w:val="auto"/>
                <w:szCs w:val="21"/>
                <w:highlight w:val="none"/>
              </w:rPr>
            </w:pPr>
            <w:r>
              <w:rPr>
                <w:rFonts w:hint="eastAsia" w:ascii="宋体" w:hAnsi="宋体"/>
                <w:color w:val="auto"/>
                <w:szCs w:val="21"/>
                <w:highlight w:val="none"/>
              </w:rPr>
              <w:t>牌号</w:t>
            </w:r>
          </w:p>
        </w:tc>
        <w:tc>
          <w:tcPr>
            <w:tcW w:w="1744" w:type="dxa"/>
            <w:vMerge w:val="restart"/>
            <w:noWrap/>
            <w:vAlign w:val="center"/>
          </w:tcPr>
          <w:p>
            <w:pPr>
              <w:jc w:val="center"/>
              <w:rPr>
                <w:rFonts w:ascii="宋体" w:hAnsi="宋体"/>
                <w:color w:val="auto"/>
                <w:szCs w:val="21"/>
                <w:highlight w:val="none"/>
              </w:rPr>
            </w:pPr>
            <w:r>
              <w:rPr>
                <w:rFonts w:hint="eastAsia" w:ascii="宋体" w:hAnsi="宋体"/>
                <w:color w:val="auto"/>
                <w:szCs w:val="21"/>
                <w:highlight w:val="none"/>
              </w:rPr>
              <w:t>代号</w:t>
            </w:r>
          </w:p>
        </w:tc>
        <w:tc>
          <w:tcPr>
            <w:tcW w:w="2047" w:type="dxa"/>
            <w:vMerge w:val="restart"/>
            <w:noWrap/>
            <w:vAlign w:val="center"/>
          </w:tcPr>
          <w:p>
            <w:pPr>
              <w:jc w:val="center"/>
              <w:rPr>
                <w:rFonts w:ascii="宋体" w:hAnsi="宋体"/>
                <w:color w:val="auto"/>
                <w:szCs w:val="21"/>
              </w:rPr>
            </w:pPr>
            <w:r>
              <w:rPr>
                <w:rFonts w:hint="eastAsia" w:ascii="宋体" w:hAnsi="宋体"/>
                <w:color w:val="auto"/>
                <w:szCs w:val="21"/>
              </w:rPr>
              <w:t>状态</w:t>
            </w:r>
          </w:p>
        </w:tc>
        <w:tc>
          <w:tcPr>
            <w:tcW w:w="3953" w:type="dxa"/>
            <w:gridSpan w:val="2"/>
            <w:noWrap/>
            <w:vAlign w:val="center"/>
          </w:tcPr>
          <w:p>
            <w:pPr>
              <w:jc w:val="center"/>
              <w:rPr>
                <w:rFonts w:ascii="宋体" w:hAnsi="宋体"/>
                <w:color w:val="auto"/>
                <w:szCs w:val="21"/>
              </w:rPr>
            </w:pPr>
            <w:r>
              <w:rPr>
                <w:rFonts w:hint="eastAsia" w:ascii="宋体" w:hAnsi="宋体"/>
                <w:color w:val="auto"/>
                <w:szCs w:val="21"/>
              </w:rPr>
              <w:t>规格/mm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694" w:type="dxa"/>
            <w:vMerge w:val="continue"/>
            <w:noWrap/>
            <w:vAlign w:val="center"/>
          </w:tcPr>
          <w:p>
            <w:pPr>
              <w:jc w:val="center"/>
              <w:rPr>
                <w:rFonts w:ascii="宋体" w:hAnsi="宋体"/>
                <w:color w:val="auto"/>
                <w:szCs w:val="21"/>
                <w:highlight w:val="none"/>
              </w:rPr>
            </w:pPr>
          </w:p>
        </w:tc>
        <w:tc>
          <w:tcPr>
            <w:tcW w:w="1744" w:type="dxa"/>
            <w:vMerge w:val="continue"/>
            <w:noWrap/>
          </w:tcPr>
          <w:p>
            <w:pPr>
              <w:jc w:val="center"/>
              <w:rPr>
                <w:rFonts w:ascii="宋体" w:hAnsi="宋体"/>
                <w:color w:val="auto"/>
                <w:szCs w:val="21"/>
                <w:highlight w:val="none"/>
              </w:rPr>
            </w:pPr>
          </w:p>
        </w:tc>
        <w:tc>
          <w:tcPr>
            <w:tcW w:w="2047" w:type="dxa"/>
            <w:vMerge w:val="continue"/>
            <w:noWrap/>
            <w:vAlign w:val="center"/>
          </w:tcPr>
          <w:p>
            <w:pPr>
              <w:jc w:val="center"/>
              <w:rPr>
                <w:rFonts w:ascii="宋体" w:hAnsi="宋体"/>
                <w:color w:val="auto"/>
                <w:szCs w:val="21"/>
              </w:rPr>
            </w:pPr>
          </w:p>
        </w:tc>
        <w:tc>
          <w:tcPr>
            <w:tcW w:w="1976" w:type="dxa"/>
            <w:noWrap/>
            <w:vAlign w:val="center"/>
          </w:tcPr>
          <w:p>
            <w:pPr>
              <w:jc w:val="center"/>
              <w:rPr>
                <w:rFonts w:ascii="宋体" w:hAnsi="宋体"/>
                <w:color w:val="auto"/>
                <w:szCs w:val="21"/>
              </w:rPr>
            </w:pPr>
            <w:r>
              <w:rPr>
                <w:rFonts w:hint="eastAsia" w:ascii="宋体" w:hAnsi="宋体"/>
                <w:color w:val="auto"/>
                <w:szCs w:val="21"/>
              </w:rPr>
              <w:t>厚度</w:t>
            </w:r>
          </w:p>
        </w:tc>
        <w:tc>
          <w:tcPr>
            <w:tcW w:w="1977" w:type="dxa"/>
            <w:noWrap/>
            <w:vAlign w:val="center"/>
          </w:tcPr>
          <w:p>
            <w:pPr>
              <w:jc w:val="center"/>
              <w:rPr>
                <w:rFonts w:ascii="宋体" w:hAnsi="宋体"/>
                <w:color w:val="auto"/>
                <w:szCs w:val="21"/>
              </w:rPr>
            </w:pPr>
            <w:r>
              <w:rPr>
                <w:rFonts w:hint="eastAsia" w:ascii="宋体" w:hAnsi="宋体"/>
                <w:color w:val="auto"/>
                <w:szCs w:val="21"/>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694" w:type="dxa"/>
            <w:noWrap/>
            <w:vAlign w:val="center"/>
          </w:tcPr>
          <w:p>
            <w:pPr>
              <w:jc w:val="center"/>
              <w:rPr>
                <w:rFonts w:ascii="宋体" w:hAnsi="宋体"/>
                <w:color w:val="auto"/>
                <w:szCs w:val="21"/>
                <w:highlight w:val="none"/>
              </w:rPr>
            </w:pPr>
            <w:r>
              <w:rPr>
                <w:rFonts w:ascii="宋体" w:hAnsi="宋体"/>
                <w:color w:val="auto"/>
                <w:szCs w:val="21"/>
                <w:highlight w:val="none"/>
              </w:rPr>
              <w:t>T</w:t>
            </w:r>
            <w:r>
              <w:rPr>
                <w:rFonts w:hint="eastAsia" w:ascii="宋体" w:hAnsi="宋体"/>
                <w:color w:val="auto"/>
                <w:szCs w:val="21"/>
                <w:highlight w:val="none"/>
              </w:rPr>
              <w:t xml:space="preserve">U00 </w:t>
            </w:r>
          </w:p>
        </w:tc>
        <w:tc>
          <w:tcPr>
            <w:tcW w:w="1744" w:type="dxa"/>
            <w:noWrap/>
            <w:vAlign w:val="center"/>
          </w:tcPr>
          <w:p>
            <w:pPr>
              <w:jc w:val="center"/>
              <w:rPr>
                <w:rFonts w:ascii="宋体" w:hAnsi="宋体"/>
                <w:color w:val="auto"/>
                <w:szCs w:val="21"/>
                <w:highlight w:val="none"/>
              </w:rPr>
            </w:pPr>
            <w:r>
              <w:rPr>
                <w:rFonts w:hint="eastAsia" w:ascii="宋体" w:hAnsi="宋体"/>
                <w:color w:val="auto"/>
                <w:szCs w:val="21"/>
                <w:highlight w:val="none"/>
              </w:rPr>
              <w:t>C10100</w:t>
            </w:r>
          </w:p>
        </w:tc>
        <w:tc>
          <w:tcPr>
            <w:tcW w:w="2047" w:type="dxa"/>
            <w:vMerge w:val="restart"/>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硬（H0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pPr>
              <w:jc w:val="center"/>
              <w:rPr>
                <w:rFonts w:ascii="宋体" w:hAnsi="宋体"/>
                <w:color w:val="auto"/>
                <w:szCs w:val="21"/>
              </w:rPr>
            </w:pPr>
            <w:r>
              <w:rPr>
                <w:rFonts w:hint="eastAsia"/>
                <w:color w:val="auto"/>
                <w:szCs w:val="21"/>
              </w:rPr>
              <w:t>硬（H0</w:t>
            </w:r>
            <w:r>
              <w:rPr>
                <w:color w:val="auto"/>
                <w:szCs w:val="21"/>
              </w:rPr>
              <w:t>4</w:t>
            </w:r>
            <w:r>
              <w:rPr>
                <w:rFonts w:hint="eastAsia"/>
                <w:color w:val="auto"/>
                <w:szCs w:val="21"/>
              </w:rPr>
              <w:t>）</w:t>
            </w:r>
          </w:p>
        </w:tc>
        <w:tc>
          <w:tcPr>
            <w:tcW w:w="1976" w:type="dxa"/>
            <w:vMerge w:val="restart"/>
            <w:noWrap/>
            <w:vAlign w:val="center"/>
          </w:tcPr>
          <w:p>
            <w:pPr>
              <w:jc w:val="center"/>
              <w:rPr>
                <w:rFonts w:ascii="宋体" w:hAnsi="宋体"/>
                <w:color w:val="auto"/>
                <w:szCs w:val="21"/>
                <w:highlight w:val="yellow"/>
              </w:rPr>
            </w:pPr>
            <w:r>
              <w:rPr>
                <w:rFonts w:hint="eastAsia" w:ascii="宋体" w:hAnsi="宋体"/>
                <w:color w:val="auto"/>
                <w:szCs w:val="21"/>
                <w:highlight w:val="none"/>
              </w:rPr>
              <w:t>0.10～1.00</w:t>
            </w:r>
          </w:p>
        </w:tc>
        <w:tc>
          <w:tcPr>
            <w:tcW w:w="1977" w:type="dxa"/>
            <w:vMerge w:val="restart"/>
            <w:noWrap/>
            <w:vAlign w:val="center"/>
          </w:tcPr>
          <w:p>
            <w:pPr>
              <w:jc w:val="center"/>
              <w:rPr>
                <w:rFonts w:ascii="宋体" w:hAnsi="宋体"/>
                <w:color w:val="auto"/>
                <w:szCs w:val="21"/>
              </w:rPr>
            </w:pPr>
            <w:r>
              <w:rPr>
                <w:rFonts w:hint="eastAsia" w:ascii="宋体" w:hAnsi="宋体"/>
                <w:color w:val="auto"/>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694" w:type="dxa"/>
            <w:noWrap/>
            <w:vAlign w:val="center"/>
          </w:tcPr>
          <w:p>
            <w:pPr>
              <w:jc w:val="center"/>
              <w:rPr>
                <w:rFonts w:ascii="宋体" w:hAnsi="宋体"/>
                <w:color w:val="auto"/>
                <w:szCs w:val="21"/>
                <w:highlight w:val="none"/>
              </w:rPr>
            </w:pPr>
            <w:r>
              <w:rPr>
                <w:rFonts w:hint="eastAsia" w:ascii="宋体" w:hAnsi="宋体"/>
                <w:color w:val="auto"/>
                <w:szCs w:val="21"/>
                <w:highlight w:val="none"/>
              </w:rPr>
              <w:t>TU0</w:t>
            </w:r>
          </w:p>
        </w:tc>
        <w:tc>
          <w:tcPr>
            <w:tcW w:w="1744" w:type="dxa"/>
            <w:noWrap/>
            <w:vAlign w:val="center"/>
          </w:tcPr>
          <w:p>
            <w:pPr>
              <w:jc w:val="center"/>
              <w:rPr>
                <w:rFonts w:ascii="宋体" w:hAnsi="宋体"/>
                <w:color w:val="auto"/>
                <w:szCs w:val="21"/>
                <w:highlight w:val="none"/>
              </w:rPr>
            </w:pPr>
            <w:r>
              <w:rPr>
                <w:rFonts w:hint="eastAsia" w:ascii="宋体" w:hAnsi="宋体"/>
                <w:color w:val="auto"/>
                <w:szCs w:val="21"/>
                <w:highlight w:val="none"/>
              </w:rPr>
              <w:t>T10130</w:t>
            </w:r>
          </w:p>
        </w:tc>
        <w:tc>
          <w:tcPr>
            <w:tcW w:w="2047" w:type="dxa"/>
            <w:vMerge w:val="continue"/>
            <w:noWrap/>
            <w:vAlign w:val="center"/>
          </w:tcPr>
          <w:p>
            <w:pPr>
              <w:jc w:val="center"/>
              <w:rPr>
                <w:color w:val="auto"/>
                <w:szCs w:val="21"/>
              </w:rPr>
            </w:pPr>
          </w:p>
        </w:tc>
        <w:tc>
          <w:tcPr>
            <w:tcW w:w="1976" w:type="dxa"/>
            <w:vMerge w:val="continue"/>
            <w:noWrap/>
            <w:vAlign w:val="center"/>
          </w:tcPr>
          <w:p>
            <w:pPr>
              <w:jc w:val="center"/>
              <w:rPr>
                <w:rFonts w:ascii="宋体" w:hAnsi="宋体"/>
                <w:color w:val="auto"/>
                <w:szCs w:val="21"/>
                <w:highlight w:val="yellow"/>
              </w:rPr>
            </w:pPr>
          </w:p>
        </w:tc>
        <w:tc>
          <w:tcPr>
            <w:tcW w:w="1977" w:type="dxa"/>
            <w:vMerge w:val="continue"/>
            <w:noWrap/>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1694" w:type="dxa"/>
            <w:noWrap/>
            <w:vAlign w:val="center"/>
          </w:tcPr>
          <w:p>
            <w:pPr>
              <w:jc w:val="center"/>
              <w:rPr>
                <w:rFonts w:ascii="宋体" w:hAnsi="宋体"/>
                <w:color w:val="auto"/>
                <w:szCs w:val="21"/>
                <w:highlight w:val="none"/>
              </w:rPr>
            </w:pPr>
            <w:r>
              <w:rPr>
                <w:rFonts w:hint="eastAsia" w:ascii="宋体" w:hAnsi="宋体"/>
                <w:color w:val="auto"/>
                <w:szCs w:val="21"/>
                <w:highlight w:val="none"/>
              </w:rPr>
              <w:t>TU1</w:t>
            </w:r>
          </w:p>
        </w:tc>
        <w:tc>
          <w:tcPr>
            <w:tcW w:w="1744" w:type="dxa"/>
            <w:noWrap/>
            <w:vAlign w:val="center"/>
          </w:tcPr>
          <w:p>
            <w:pPr>
              <w:jc w:val="center"/>
              <w:rPr>
                <w:rFonts w:ascii="宋体" w:hAnsi="宋体"/>
                <w:color w:val="auto"/>
                <w:szCs w:val="21"/>
                <w:highlight w:val="none"/>
              </w:rPr>
            </w:pPr>
            <w:r>
              <w:rPr>
                <w:rFonts w:hint="eastAsia" w:ascii="宋体" w:hAnsi="宋体"/>
                <w:color w:val="auto"/>
                <w:szCs w:val="21"/>
                <w:highlight w:val="none"/>
              </w:rPr>
              <w:t>T10150</w:t>
            </w:r>
          </w:p>
        </w:tc>
        <w:tc>
          <w:tcPr>
            <w:tcW w:w="2047" w:type="dxa"/>
            <w:vMerge w:val="continue"/>
            <w:noWrap/>
            <w:vAlign w:val="center"/>
          </w:tcPr>
          <w:p>
            <w:pPr>
              <w:jc w:val="center"/>
              <w:rPr>
                <w:color w:val="auto"/>
                <w:szCs w:val="21"/>
              </w:rPr>
            </w:pPr>
          </w:p>
        </w:tc>
        <w:tc>
          <w:tcPr>
            <w:tcW w:w="1976" w:type="dxa"/>
            <w:vMerge w:val="continue"/>
            <w:noWrap/>
            <w:vAlign w:val="center"/>
          </w:tcPr>
          <w:p>
            <w:pPr>
              <w:jc w:val="center"/>
              <w:rPr>
                <w:rFonts w:ascii="宋体" w:hAnsi="宋体"/>
                <w:color w:val="auto"/>
                <w:szCs w:val="21"/>
                <w:highlight w:val="yellow"/>
              </w:rPr>
            </w:pPr>
          </w:p>
        </w:tc>
        <w:tc>
          <w:tcPr>
            <w:tcW w:w="1977" w:type="dxa"/>
            <w:vMerge w:val="continue"/>
            <w:noWrap/>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1694" w:type="dxa"/>
            <w:noWrap/>
            <w:vAlign w:val="center"/>
          </w:tcPr>
          <w:p>
            <w:pPr>
              <w:adjustRightInd/>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kern w:val="2"/>
                <w:sz w:val="21"/>
                <w:szCs w:val="21"/>
              </w:rPr>
              <w:t>TU3</w:t>
            </w:r>
          </w:p>
        </w:tc>
        <w:tc>
          <w:tcPr>
            <w:tcW w:w="1744" w:type="dxa"/>
            <w:noWrap/>
            <w:vAlign w:val="center"/>
          </w:tcPr>
          <w:p>
            <w:pPr>
              <w:adjustRightInd/>
              <w:spacing w:line="240" w:lineRule="auto"/>
              <w:jc w:val="center"/>
              <w:textAlignment w:val="auto"/>
              <w:rPr>
                <w:rFonts w:hint="eastAsia" w:ascii="宋体" w:hAnsi="宋体" w:eastAsia="宋体" w:cs="Times New Roman"/>
                <w:color w:val="auto"/>
                <w:kern w:val="2"/>
                <w:sz w:val="21"/>
                <w:szCs w:val="21"/>
                <w:lang w:val="en-US" w:eastAsia="zh-CN" w:bidi="ar-SA"/>
              </w:rPr>
            </w:pPr>
            <w:r>
              <w:rPr>
                <w:rFonts w:ascii="宋体" w:hAnsi="宋体"/>
                <w:color w:val="auto"/>
                <w:kern w:val="2"/>
                <w:sz w:val="21"/>
                <w:szCs w:val="21"/>
              </w:rPr>
              <w:t>C</w:t>
            </w:r>
            <w:r>
              <w:rPr>
                <w:rFonts w:hint="eastAsia" w:ascii="宋体" w:hAnsi="宋体"/>
                <w:color w:val="auto"/>
                <w:kern w:val="2"/>
                <w:sz w:val="21"/>
                <w:szCs w:val="21"/>
              </w:rPr>
              <w:t>10200</w:t>
            </w:r>
          </w:p>
        </w:tc>
        <w:tc>
          <w:tcPr>
            <w:tcW w:w="2047" w:type="dxa"/>
            <w:vMerge w:val="continue"/>
            <w:noWrap/>
            <w:vAlign w:val="center"/>
          </w:tcPr>
          <w:p>
            <w:pPr>
              <w:jc w:val="center"/>
              <w:rPr>
                <w:color w:val="auto"/>
                <w:szCs w:val="21"/>
              </w:rPr>
            </w:pPr>
          </w:p>
        </w:tc>
        <w:tc>
          <w:tcPr>
            <w:tcW w:w="1976" w:type="dxa"/>
            <w:vMerge w:val="continue"/>
            <w:noWrap/>
            <w:vAlign w:val="center"/>
          </w:tcPr>
          <w:p>
            <w:pPr>
              <w:jc w:val="center"/>
              <w:rPr>
                <w:rFonts w:ascii="宋体" w:hAnsi="宋体"/>
                <w:color w:val="auto"/>
                <w:szCs w:val="21"/>
                <w:highlight w:val="yellow"/>
              </w:rPr>
            </w:pPr>
          </w:p>
        </w:tc>
        <w:tc>
          <w:tcPr>
            <w:tcW w:w="1977" w:type="dxa"/>
            <w:vMerge w:val="continue"/>
            <w:noWrap/>
            <w:vAlign w:val="center"/>
          </w:tcPr>
          <w:p>
            <w:pPr>
              <w:jc w:val="center"/>
              <w:rPr>
                <w:rFonts w:ascii="宋体" w:hAnsi="宋体"/>
                <w:color w:val="auto"/>
                <w:szCs w:val="21"/>
              </w:rPr>
            </w:pPr>
          </w:p>
        </w:tc>
      </w:tr>
    </w:tbl>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3.2.2 化学成分</w:t>
      </w:r>
    </w:p>
    <w:p>
      <w:pPr>
        <w:pStyle w:val="13"/>
        <w:spacing w:before="0" w:beforeAutospacing="0" w:after="0" w:afterAutospacing="0" w:line="360" w:lineRule="auto"/>
        <w:ind w:firstLine="482"/>
        <w:rPr>
          <w:color w:val="auto"/>
          <w:sz w:val="24"/>
        </w:rPr>
      </w:pPr>
      <w:r>
        <w:rPr>
          <w:rFonts w:hint="eastAsia"/>
          <w:color w:val="auto"/>
          <w:sz w:val="24"/>
        </w:rPr>
        <w:t>本标准所含铜合金的牌号的化学成分与</w:t>
      </w:r>
      <w:r>
        <w:rPr>
          <w:color w:val="auto"/>
          <w:sz w:val="24"/>
        </w:rPr>
        <w:t xml:space="preserve">GB/T </w:t>
      </w:r>
      <w:r>
        <w:rPr>
          <w:rFonts w:hint="eastAsia"/>
          <w:color w:val="auto"/>
          <w:sz w:val="24"/>
        </w:rPr>
        <w:t>5231《加工铜及铜合金牌号和化学成分》中相应牌号的化学成分一致。</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3.2.3 外形尺寸及其允许偏差</w:t>
      </w:r>
    </w:p>
    <w:p>
      <w:pPr>
        <w:pStyle w:val="13"/>
        <w:spacing w:before="0" w:beforeAutospacing="0" w:after="0" w:afterAutospacing="0" w:line="360" w:lineRule="auto"/>
        <w:ind w:firstLine="482"/>
        <w:rPr>
          <w:b/>
          <w:bCs/>
          <w:color w:val="auto"/>
          <w:sz w:val="24"/>
        </w:rPr>
      </w:pPr>
      <w:r>
        <w:rPr>
          <w:rFonts w:hint="eastAsia"/>
          <w:color w:val="auto"/>
          <w:sz w:val="24"/>
        </w:rPr>
        <w:t>带材的外形尺寸允许偏差主要是根据按目前订货的技术要求、产品应用领域、国内生产工艺水平制定的、专用技术条件和供货合同进行规定。</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3.2.4 力学性能</w:t>
      </w:r>
    </w:p>
    <w:p>
      <w:pPr>
        <w:widowControl/>
        <w:spacing w:line="360" w:lineRule="auto"/>
        <w:ind w:firstLine="480" w:firstLineChars="200"/>
        <w:jc w:val="left"/>
        <w:rPr>
          <w:rFonts w:ascii="宋体" w:hAnsi="宋体" w:cs="宋体"/>
          <w:color w:val="auto"/>
          <w:sz w:val="24"/>
        </w:rPr>
      </w:pPr>
      <w:r>
        <w:rPr>
          <w:rFonts w:hint="eastAsia"/>
          <w:color w:val="auto"/>
          <w:sz w:val="24"/>
        </w:rPr>
        <w:t>根据市场需求、订货情况和实际供货情况，本标准规定了带材的力学性能指标。力学性能是带材的重要技术指标</w:t>
      </w:r>
      <w:r>
        <w:rPr>
          <w:rFonts w:hint="eastAsia" w:ascii="宋体" w:hAnsi="宋体" w:cs="宋体"/>
          <w:color w:val="auto"/>
          <w:kern w:val="0"/>
          <w:sz w:val="24"/>
        </w:rPr>
        <w:t>。</w:t>
      </w:r>
      <w:r>
        <w:rPr>
          <w:rFonts w:hint="eastAsia"/>
          <w:color w:val="auto"/>
          <w:sz w:val="24"/>
        </w:rPr>
        <w:t>力学性能通过拉伸试验和硬度试验两种方式加以检测，试验按GB/T 34505规定的方法进行。维氏硬度试验方法按GB/T 4340.1规定的方法进行。试验使用的电子万能试验机及维氏硬度计均是经过校准合格的设备。</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w:t>
      </w:r>
      <w:r>
        <w:rPr>
          <w:rFonts w:ascii="黑体" w:hAnsi="宋体" w:eastAsia="黑体"/>
          <w:bCs/>
          <w:color w:val="auto"/>
          <w:sz w:val="24"/>
        </w:rPr>
        <w:t>.</w:t>
      </w:r>
      <w:r>
        <w:rPr>
          <w:rFonts w:hint="eastAsia" w:ascii="黑体" w:hAnsi="宋体" w:eastAsia="黑体"/>
          <w:bCs/>
          <w:color w:val="auto"/>
          <w:sz w:val="24"/>
        </w:rPr>
        <w:t>2.5 电性能、晶粒度</w:t>
      </w:r>
    </w:p>
    <w:p>
      <w:pPr>
        <w:widowControl/>
        <w:spacing w:line="360" w:lineRule="auto"/>
        <w:ind w:firstLine="480" w:firstLineChars="200"/>
        <w:jc w:val="left"/>
        <w:rPr>
          <w:rFonts w:ascii="宋体" w:hAnsi="宋体" w:cs="宋体"/>
          <w:b/>
          <w:bCs/>
          <w:color w:val="auto"/>
          <w:sz w:val="24"/>
        </w:rPr>
      </w:pPr>
      <w:r>
        <w:rPr>
          <w:rFonts w:hint="eastAsia"/>
          <w:color w:val="auto"/>
          <w:sz w:val="24"/>
        </w:rPr>
        <w:t>根据客户及产品使用领域要求确定，保障</w:t>
      </w:r>
      <w:r>
        <w:rPr>
          <w:rFonts w:hint="eastAsia" w:ascii="宋体" w:hAnsi="宋体"/>
          <w:color w:val="auto"/>
          <w:sz w:val="24"/>
        </w:rPr>
        <w:t>复合材料的致密性和高温稳定性</w:t>
      </w:r>
      <w:r>
        <w:rPr>
          <w:rFonts w:hint="eastAsia"/>
          <w:color w:val="auto"/>
          <w:sz w:val="24"/>
        </w:rPr>
        <w:t>。</w:t>
      </w:r>
      <w:r>
        <w:rPr>
          <w:rFonts w:hint="eastAsia" w:ascii="宋体" w:hAnsi="宋体" w:cs="宋体"/>
          <w:color w:val="auto"/>
          <w:kern w:val="0"/>
          <w:sz w:val="24"/>
        </w:rPr>
        <w:t>电性能、晶粒度均应符合特殊使用要求，以适用于大功率电力电子及半导体模块，利于提高模块的可靠性、扩大功率、简化结构和集成智能化。</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3.2.6  氢脆试验</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根据客户及产品使用领域要求、取样检测得出。</w:t>
      </w:r>
      <w:r>
        <w:rPr>
          <w:rFonts w:hint="eastAsia"/>
          <w:color w:val="auto"/>
          <w:sz w:val="24"/>
        </w:rPr>
        <w:t>此项为选做项，如需方有要求并在合同中注明时，进行</w:t>
      </w:r>
      <w:r>
        <w:rPr>
          <w:rFonts w:hint="eastAsia" w:ascii="宋体" w:hAnsi="宋体" w:cs="宋体"/>
          <w:bCs/>
          <w:color w:val="auto"/>
          <w:sz w:val="24"/>
        </w:rPr>
        <w:t>氧含量、氢脆试验</w:t>
      </w:r>
      <w:r>
        <w:rPr>
          <w:rFonts w:hint="eastAsia"/>
          <w:color w:val="auto"/>
          <w:sz w:val="24"/>
        </w:rPr>
        <w:t>的检验。</w:t>
      </w:r>
    </w:p>
    <w:p>
      <w:pPr>
        <w:pStyle w:val="7"/>
        <w:spacing w:beforeLines="50" w:afterLines="50" w:line="360" w:lineRule="auto"/>
        <w:rPr>
          <w:rFonts w:ascii="黑体" w:hAnsi="宋体" w:eastAsia="黑体"/>
          <w:bCs/>
          <w:color w:val="auto"/>
          <w:sz w:val="24"/>
        </w:rPr>
      </w:pPr>
      <w:r>
        <w:rPr>
          <w:rFonts w:hint="eastAsia" w:ascii="黑体" w:hAnsi="宋体" w:eastAsia="黑体"/>
          <w:bCs/>
          <w:color w:val="auto"/>
          <w:sz w:val="24"/>
        </w:rPr>
        <w:t>3.3 主要技术内容试验验证情况分析</w:t>
      </w:r>
    </w:p>
    <w:p>
      <w:pPr>
        <w:pStyle w:val="7"/>
        <w:spacing w:line="360" w:lineRule="auto"/>
        <w:rPr>
          <w:rFonts w:ascii="黑体" w:hAnsi="宋体" w:eastAsia="黑体"/>
          <w:bCs/>
          <w:color w:val="auto"/>
          <w:sz w:val="24"/>
        </w:rPr>
      </w:pPr>
      <w:r>
        <w:rPr>
          <w:rFonts w:hint="eastAsia" w:ascii="黑体" w:hAnsi="宋体" w:eastAsia="黑体"/>
          <w:bCs/>
          <w:color w:val="auto"/>
          <w:sz w:val="24"/>
        </w:rPr>
        <w:t>3.3.1  化学成分</w:t>
      </w:r>
    </w:p>
    <w:p>
      <w:pPr>
        <w:spacing w:line="360" w:lineRule="auto"/>
        <w:jc w:val="center"/>
        <w:rPr>
          <w:rFonts w:ascii="黑体" w:hAnsi="宋体" w:eastAsia="黑体" w:cs="Courier New"/>
          <w:bCs/>
          <w:color w:val="auto"/>
          <w:sz w:val="24"/>
        </w:rPr>
      </w:pPr>
      <w:r>
        <w:rPr>
          <w:rFonts w:hint="eastAsia" w:ascii="宋体" w:hAnsi="宋体"/>
          <w:color w:val="auto"/>
          <w:sz w:val="24"/>
        </w:rPr>
        <w:t>表3  化学成分统计计算情况</w:t>
      </w:r>
    </w:p>
    <w:tbl>
      <w:tblPr>
        <w:tblStyle w:val="16"/>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57"/>
        <w:gridCol w:w="822"/>
        <w:gridCol w:w="840"/>
        <w:gridCol w:w="911"/>
        <w:gridCol w:w="893"/>
        <w:gridCol w:w="830"/>
        <w:gridCol w:w="840"/>
        <w:gridCol w:w="860"/>
        <w:gridCol w:w="943"/>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1247"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元素</w:t>
            </w:r>
          </w:p>
        </w:tc>
        <w:tc>
          <w:tcPr>
            <w:tcW w:w="857"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Cu+Ag</w:t>
            </w:r>
          </w:p>
        </w:tc>
        <w:tc>
          <w:tcPr>
            <w:tcW w:w="822"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P</w:t>
            </w:r>
          </w:p>
        </w:tc>
        <w:tc>
          <w:tcPr>
            <w:tcW w:w="840"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Fe</w:t>
            </w:r>
          </w:p>
        </w:tc>
        <w:tc>
          <w:tcPr>
            <w:tcW w:w="911"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Ni</w:t>
            </w:r>
          </w:p>
        </w:tc>
        <w:tc>
          <w:tcPr>
            <w:tcW w:w="893"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Pb</w:t>
            </w:r>
          </w:p>
        </w:tc>
        <w:tc>
          <w:tcPr>
            <w:tcW w:w="830"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Sn</w:t>
            </w:r>
          </w:p>
        </w:tc>
        <w:tc>
          <w:tcPr>
            <w:tcW w:w="840"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S</w:t>
            </w:r>
          </w:p>
        </w:tc>
        <w:tc>
          <w:tcPr>
            <w:tcW w:w="860"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Zn</w:t>
            </w:r>
          </w:p>
        </w:tc>
        <w:tc>
          <w:tcPr>
            <w:tcW w:w="943" w:type="dxa"/>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Mn</w:t>
            </w:r>
          </w:p>
        </w:tc>
        <w:tc>
          <w:tcPr>
            <w:tcW w:w="849" w:type="dxa"/>
            <w:noWrap/>
            <w:vAlign w:val="center"/>
          </w:tcPr>
          <w:p>
            <w:pPr>
              <w:spacing w:line="200" w:lineRule="exact"/>
              <w:jc w:val="center"/>
              <w:rPr>
                <w:rFonts w:hint="eastAsia" w:ascii="宋体" w:hAnsi="宋体" w:eastAsia="宋体" w:cs="宋体"/>
                <w:color w:val="auto"/>
                <w:sz w:val="18"/>
                <w:szCs w:val="18"/>
              </w:rPr>
            </w:pPr>
            <w:r>
              <w:rPr>
                <w:rFonts w:hint="default" w:ascii="Times New Roman" w:hAnsi="Times New Roman" w:eastAsia="宋体" w:cs="Times New Roman"/>
                <w:color w:val="auto"/>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9892" w:type="dxa"/>
            <w:gridSpan w:val="11"/>
            <w:noWrap/>
            <w:vAlign w:val="center"/>
          </w:tcPr>
          <w:p>
            <w:pPr>
              <w:spacing w:line="2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TU00（C10100）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标准值/%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≥99.99</w:t>
            </w:r>
          </w:p>
        </w:tc>
        <w:tc>
          <w:tcPr>
            <w:tcW w:w="822"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≤0.0003</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≤0.0010</w:t>
            </w:r>
          </w:p>
        </w:tc>
        <w:tc>
          <w:tcPr>
            <w:tcW w:w="911"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≤0.0010</w:t>
            </w:r>
          </w:p>
        </w:tc>
        <w:tc>
          <w:tcPr>
            <w:tcW w:w="893"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≤0.0005</w:t>
            </w:r>
          </w:p>
        </w:tc>
        <w:tc>
          <w:tcPr>
            <w:tcW w:w="83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≤0.0002</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≤0.0015</w:t>
            </w:r>
          </w:p>
        </w:tc>
        <w:tc>
          <w:tcPr>
            <w:tcW w:w="86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≤0.0001</w:t>
            </w:r>
          </w:p>
        </w:tc>
        <w:tc>
          <w:tcPr>
            <w:tcW w:w="943"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 xml:space="preserve">≤0.00005 </w:t>
            </w:r>
          </w:p>
        </w:tc>
        <w:tc>
          <w:tcPr>
            <w:tcW w:w="849"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实际值/%</w:t>
            </w:r>
          </w:p>
        </w:tc>
        <w:tc>
          <w:tcPr>
            <w:tcW w:w="857"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＞99.990</w:t>
            </w:r>
          </w:p>
        </w:tc>
        <w:tc>
          <w:tcPr>
            <w:tcW w:w="822"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≤0.0003</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≤0.0010</w:t>
            </w:r>
          </w:p>
        </w:tc>
        <w:tc>
          <w:tcPr>
            <w:tcW w:w="911"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≤0.0010</w:t>
            </w:r>
          </w:p>
        </w:tc>
        <w:tc>
          <w:tcPr>
            <w:tcW w:w="893"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≤0.0005</w:t>
            </w:r>
          </w:p>
        </w:tc>
        <w:tc>
          <w:tcPr>
            <w:tcW w:w="83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≤0.0002</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≤0.0015</w:t>
            </w:r>
          </w:p>
        </w:tc>
        <w:tc>
          <w:tcPr>
            <w:tcW w:w="86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≤0.0001</w:t>
            </w:r>
          </w:p>
        </w:tc>
        <w:tc>
          <w:tcPr>
            <w:tcW w:w="943"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 xml:space="preserve">≤0.00005 </w:t>
            </w:r>
          </w:p>
        </w:tc>
        <w:tc>
          <w:tcPr>
            <w:tcW w:w="849"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统计数/个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合格率/%</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892" w:type="dxa"/>
            <w:gridSpan w:val="11"/>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TU0（T10130）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标准值/%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≥99.97</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0.004</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0.004</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实际值/%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≥99.98</w:t>
            </w:r>
          </w:p>
        </w:tc>
        <w:tc>
          <w:tcPr>
            <w:tcW w:w="822"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≤0.002</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≤0.004</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83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≤0.002</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≤0.004</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统计数/个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合格率/%</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892" w:type="dxa"/>
            <w:gridSpan w:val="11"/>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TU1(T10150）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标准值/%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≥99.97</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0.004</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0.004</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实际值/%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＞99.97</w:t>
            </w:r>
          </w:p>
        </w:tc>
        <w:tc>
          <w:tcPr>
            <w:tcW w:w="822"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﹤0.002</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﹤0.004</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83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﹤0.002</w:t>
            </w:r>
          </w:p>
        </w:tc>
        <w:tc>
          <w:tcPr>
            <w:tcW w:w="840"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﹤0.004</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﹤0.003</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统计数/个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合格率/%</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892" w:type="dxa"/>
            <w:gridSpan w:val="11"/>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TU3（C10200）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标准值/%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≥99.95</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widowControl/>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实际值/%</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＞99.97</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0.0019</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0.0018</w:t>
            </w:r>
          </w:p>
        </w:tc>
        <w:tc>
          <w:tcPr>
            <w:tcW w:w="911"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≤0.0010</w:t>
            </w:r>
          </w:p>
        </w:tc>
        <w:tc>
          <w:tcPr>
            <w:tcW w:w="893" w:type="dxa"/>
            <w:noWrap/>
            <w:vAlign w:val="center"/>
          </w:tcPr>
          <w:p>
            <w:pPr>
              <w:spacing w:line="280" w:lineRule="exact"/>
              <w:jc w:val="center"/>
              <w:rPr>
                <w:rFonts w:hint="eastAsia" w:ascii="宋体" w:hAnsi="宋体" w:eastAsia="宋体" w:cs="宋体"/>
                <w:color w:val="auto"/>
                <w:spacing w:val="-20"/>
                <w:sz w:val="18"/>
                <w:szCs w:val="18"/>
              </w:rPr>
            </w:pPr>
            <w:r>
              <w:rPr>
                <w:rFonts w:hint="eastAsia" w:ascii="宋体" w:hAnsi="宋体" w:eastAsia="宋体" w:cs="宋体"/>
                <w:color w:val="auto"/>
                <w:spacing w:val="-20"/>
                <w:sz w:val="18"/>
                <w:szCs w:val="18"/>
              </w:rPr>
              <w:t>≤0.0010</w:t>
            </w:r>
          </w:p>
        </w:tc>
        <w:tc>
          <w:tcPr>
            <w:tcW w:w="83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0.0026</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pacing w:val="-20"/>
                <w:sz w:val="18"/>
                <w:szCs w:val="18"/>
              </w:rPr>
              <w:t>≤0.0010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pacing w:val="-20"/>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统计数/个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30" w:type="dxa"/>
            <w:noWrap/>
            <w:vAlign w:val="center"/>
          </w:tcPr>
          <w:p>
            <w:pPr>
              <w:spacing w:line="280" w:lineRule="exact"/>
              <w:jc w:val="center"/>
              <w:rPr>
                <w:rFonts w:hint="eastAsia" w:ascii="宋体" w:hAnsi="宋体" w:eastAsia="宋体" w:cs="宋体"/>
                <w:color w:val="auto"/>
                <w:sz w:val="18"/>
                <w:szCs w:val="18"/>
              </w:rPr>
            </w:pP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合格数/个</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30" w:type="dxa"/>
            <w:noWrap/>
            <w:vAlign w:val="center"/>
          </w:tcPr>
          <w:p>
            <w:pPr>
              <w:spacing w:line="280" w:lineRule="exact"/>
              <w:jc w:val="center"/>
              <w:rPr>
                <w:rFonts w:hint="eastAsia" w:ascii="宋体" w:hAnsi="宋体" w:eastAsia="宋体" w:cs="宋体"/>
                <w:color w:val="auto"/>
                <w:sz w:val="18"/>
                <w:szCs w:val="18"/>
              </w:rPr>
            </w:pP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47" w:type="dxa"/>
            <w:noWrap/>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合格率/%</w:t>
            </w:r>
          </w:p>
        </w:tc>
        <w:tc>
          <w:tcPr>
            <w:tcW w:w="857"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22"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11"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9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30" w:type="dxa"/>
            <w:noWrap/>
            <w:vAlign w:val="center"/>
          </w:tcPr>
          <w:p>
            <w:pPr>
              <w:spacing w:line="280" w:lineRule="exact"/>
              <w:jc w:val="center"/>
              <w:rPr>
                <w:rFonts w:hint="eastAsia" w:ascii="宋体" w:hAnsi="宋体" w:eastAsia="宋体" w:cs="宋体"/>
                <w:color w:val="auto"/>
                <w:sz w:val="18"/>
                <w:szCs w:val="18"/>
              </w:rPr>
            </w:pPr>
          </w:p>
        </w:tc>
        <w:tc>
          <w:tcPr>
            <w:tcW w:w="84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60"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943"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c>
          <w:tcPr>
            <w:tcW w:w="849" w:type="dxa"/>
            <w:noWrap/>
            <w:vAlign w:val="center"/>
          </w:tcPr>
          <w:p>
            <w:pPr>
              <w:spacing w:line="28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100</w:t>
            </w:r>
          </w:p>
        </w:tc>
      </w:tr>
    </w:tbl>
    <w:p>
      <w:pPr>
        <w:pStyle w:val="13"/>
        <w:spacing w:beforeLines="50" w:beforeAutospacing="0" w:after="0" w:afterAutospacing="0" w:line="360" w:lineRule="auto"/>
        <w:ind w:firstLine="482"/>
        <w:rPr>
          <w:color w:val="auto"/>
          <w:sz w:val="24"/>
        </w:rPr>
      </w:pPr>
      <w:r>
        <w:rPr>
          <w:rFonts w:hint="eastAsia"/>
          <w:color w:val="auto"/>
          <w:sz w:val="24"/>
        </w:rPr>
        <w:t>由上表可知，TU00（C10100）、TU0（T10130）、TU(T10150)、TU3(C10200无氧铜成分控制稳定，Cu、O、P、Fe、Ni、Pb、S、Zn等元素含量均在GB/T 5231标准指标要求范围内，合格率全部为100%。</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3.3.2 力学性能</w:t>
      </w:r>
    </w:p>
    <w:p>
      <w:pPr>
        <w:spacing w:line="360" w:lineRule="auto"/>
        <w:ind w:firstLine="480" w:firstLineChars="200"/>
        <w:rPr>
          <w:rFonts w:ascii="黑体" w:hAnsi="黑体" w:eastAsia="黑体" w:cs="黑体"/>
          <w:bCs/>
          <w:color w:val="auto"/>
          <w:kern w:val="0"/>
          <w:sz w:val="24"/>
        </w:rPr>
      </w:pPr>
      <w:r>
        <w:rPr>
          <w:rFonts w:hint="eastAsia" w:ascii="黑体" w:hAnsi="黑体" w:eastAsia="黑体" w:cs="黑体"/>
          <w:bCs/>
          <w:color w:val="auto"/>
          <w:sz w:val="24"/>
        </w:rPr>
        <w:t>（1）半硬（H02）态</w:t>
      </w:r>
      <w:r>
        <w:rPr>
          <w:rFonts w:hint="eastAsia" w:ascii="黑体" w:hAnsi="黑体" w:eastAsia="黑体" w:cs="黑体"/>
          <w:bCs/>
          <w:color w:val="auto"/>
          <w:kern w:val="0"/>
          <w:sz w:val="24"/>
        </w:rPr>
        <w:t>带材性能</w:t>
      </w:r>
    </w:p>
    <w:p>
      <w:pPr>
        <w:pStyle w:val="13"/>
        <w:spacing w:before="0" w:beforeAutospacing="0" w:after="0" w:afterAutospacing="0" w:line="360" w:lineRule="auto"/>
        <w:ind w:firstLine="482"/>
        <w:rPr>
          <w:rFonts w:hint="eastAsia"/>
          <w:color w:val="auto"/>
          <w:sz w:val="24"/>
        </w:rPr>
      </w:pPr>
      <w:r>
        <w:rPr>
          <w:rFonts w:hint="eastAsia"/>
          <w:color w:val="auto"/>
          <w:sz w:val="24"/>
        </w:rPr>
        <w:t>TU00（C10100）、TU0（T10130）、TU(T10150)、TU3(C10200陶瓷覆合无氧带半硬（H02）态数据统计如表4～表5，数据分布直方图如图 1～图2所示。</w:t>
      </w:r>
    </w:p>
    <w:p>
      <w:pPr>
        <w:pStyle w:val="13"/>
        <w:spacing w:before="120" w:beforeAutospacing="0" w:after="0" w:afterAutospacing="0" w:line="360" w:lineRule="auto"/>
        <w:ind w:firstLine="482"/>
        <w:jc w:val="center"/>
        <w:rPr>
          <w:color w:val="auto"/>
          <w:sz w:val="24"/>
        </w:rPr>
      </w:pPr>
      <w:r>
        <w:rPr>
          <w:rFonts w:hint="eastAsia"/>
          <w:color w:val="auto"/>
          <w:sz w:val="24"/>
        </w:rPr>
        <w:t>表4 半硬态带材抗拉强度(Rm)频数和频率分布表</w:t>
      </w:r>
    </w:p>
    <w:tbl>
      <w:tblPr>
        <w:tblStyle w:val="16"/>
        <w:tblpPr w:leftFromText="180" w:rightFromText="180" w:vertAnchor="text" w:horzAnchor="page" w:tblpX="1725" w:tblpY="4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979"/>
        <w:gridCol w:w="1910"/>
        <w:gridCol w:w="185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9"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9" w:type="dxa"/>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[245  255]</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250.0</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9" w:type="dxa"/>
            <w:vAlign w:val="center"/>
          </w:tcPr>
          <w:p>
            <w:pPr>
              <w:widowControl/>
              <w:jc w:val="center"/>
              <w:textAlignment w:val="center"/>
              <w:rPr>
                <w:rFonts w:ascii="宋体" w:hAnsi="宋体" w:cs="宋体"/>
                <w:color w:val="auto"/>
                <w:sz w:val="22"/>
                <w:szCs w:val="22"/>
                <w:highlight w:val="none"/>
              </w:rPr>
            </w:pPr>
            <w:r>
              <w:rPr>
                <w:rStyle w:val="35"/>
                <w:rFonts w:hint="default"/>
                <w:b w:val="0"/>
                <w:bCs w:val="0"/>
                <w:color w:val="auto"/>
                <w:highlight w:val="none"/>
              </w:rPr>
              <w:t xml:space="preserve">[255  </w:t>
            </w:r>
            <w:r>
              <w:rPr>
                <w:rStyle w:val="36"/>
                <w:rFonts w:hint="default"/>
                <w:color w:val="auto"/>
                <w:highlight w:val="none"/>
              </w:rPr>
              <w:t>270]</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262.5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[270  295]</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282.5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69</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0.3</w:t>
            </w:r>
            <w:r>
              <w:rPr>
                <w:rFonts w:hint="eastAsia" w:ascii="宋体" w:hAnsi="宋体" w:cs="宋体"/>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[295  320]</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307.5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102</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0.4</w:t>
            </w:r>
            <w:r>
              <w:rPr>
                <w:rFonts w:hint="eastAsia" w:ascii="宋体" w:hAnsi="宋体" w:cs="宋体"/>
                <w:color w:val="auto"/>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[320  345]</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332.5</w:t>
            </w:r>
          </w:p>
        </w:tc>
        <w:tc>
          <w:tcPr>
            <w:tcW w:w="185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0.0</w:t>
            </w:r>
            <w:r>
              <w:rPr>
                <w:rFonts w:hint="eastAsia" w:ascii="宋体" w:hAnsi="宋体" w:cs="宋体"/>
                <w:color w:val="auto"/>
                <w:szCs w:val="21"/>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[345  375]</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260</w:t>
            </w:r>
          </w:p>
        </w:tc>
        <w:tc>
          <w:tcPr>
            <w:tcW w:w="185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0.0</w:t>
            </w:r>
            <w:r>
              <w:rPr>
                <w:rFonts w:hint="eastAsia" w:ascii="宋体" w:hAnsi="宋体" w:cs="宋体"/>
                <w:color w:val="auto"/>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9" w:type="dxa"/>
            <w:vAlign w:val="center"/>
          </w:tcPr>
          <w:p>
            <w:pPr>
              <w:jc w:val="center"/>
              <w:rPr>
                <w:rFonts w:ascii="宋体" w:hAnsi="宋体" w:cs="宋体"/>
                <w:color w:val="auto"/>
                <w:szCs w:val="21"/>
              </w:rPr>
            </w:pPr>
          </w:p>
        </w:tc>
        <w:tc>
          <w:tcPr>
            <w:tcW w:w="1910" w:type="dxa"/>
            <w:vAlign w:val="center"/>
          </w:tcPr>
          <w:p>
            <w:pPr>
              <w:jc w:val="center"/>
              <w:rPr>
                <w:rFonts w:ascii="宋体" w:hAnsi="宋体" w:cs="宋体"/>
                <w:color w:val="auto"/>
                <w:szCs w:val="21"/>
              </w:rPr>
            </w:pPr>
          </w:p>
        </w:tc>
        <w:tc>
          <w:tcPr>
            <w:tcW w:w="1853" w:type="dxa"/>
            <w:vAlign w:val="center"/>
          </w:tcPr>
          <w:p>
            <w:pPr>
              <w:jc w:val="center"/>
              <w:rPr>
                <w:rFonts w:ascii="宋体" w:hAnsi="宋体" w:cs="宋体"/>
                <w:color w:val="auto"/>
                <w:szCs w:val="21"/>
              </w:rPr>
            </w:pPr>
            <w:r>
              <w:rPr>
                <w:rFonts w:hint="eastAsia" w:ascii="宋体" w:hAnsi="宋体" w:cs="宋体"/>
                <w:color w:val="auto"/>
                <w:szCs w:val="21"/>
              </w:rPr>
              <w:t>209</w:t>
            </w:r>
          </w:p>
        </w:tc>
        <w:tc>
          <w:tcPr>
            <w:tcW w:w="1846" w:type="dxa"/>
            <w:vAlign w:val="center"/>
          </w:tcPr>
          <w:p>
            <w:pPr>
              <w:jc w:val="center"/>
              <w:rPr>
                <w:rFonts w:ascii="宋体" w:hAnsi="宋体" w:cs="宋体"/>
                <w:color w:val="auto"/>
                <w:szCs w:val="21"/>
              </w:rPr>
            </w:pPr>
          </w:p>
        </w:tc>
      </w:tr>
    </w:tbl>
    <w:p>
      <w:pPr>
        <w:pStyle w:val="13"/>
        <w:spacing w:before="120" w:beforeAutospacing="0" w:after="0" w:afterAutospacing="0" w:line="360" w:lineRule="auto"/>
        <w:ind w:firstLine="482"/>
        <w:jc w:val="center"/>
        <w:rPr>
          <w:color w:val="auto"/>
        </w:rPr>
      </w:pPr>
      <w:r>
        <w:rPr>
          <w:rFonts w:hint="eastAsia"/>
          <w:color w:val="auto"/>
        </w:rPr>
        <w:t>表5 半硬态带材维氏硬度(HV)频数和频率分布表</w:t>
      </w:r>
    </w:p>
    <w:tbl>
      <w:tblPr>
        <w:tblStyle w:val="16"/>
        <w:tblpPr w:leftFromText="180" w:rightFromText="180" w:vertAnchor="text" w:horzAnchor="page" w:tblpX="1725" w:tblpY="4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979"/>
        <w:gridCol w:w="1910"/>
        <w:gridCol w:w="185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9"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[80  90]</w:t>
            </w:r>
          </w:p>
        </w:tc>
        <w:tc>
          <w:tcPr>
            <w:tcW w:w="191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85</w:t>
            </w:r>
          </w:p>
        </w:tc>
        <w:tc>
          <w:tcPr>
            <w:tcW w:w="1853"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4</w:t>
            </w:r>
          </w:p>
        </w:tc>
        <w:tc>
          <w:tcPr>
            <w:tcW w:w="1846" w:type="dxa"/>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[90  100]</w:t>
            </w:r>
          </w:p>
        </w:tc>
        <w:tc>
          <w:tcPr>
            <w:tcW w:w="191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95</w:t>
            </w:r>
          </w:p>
        </w:tc>
        <w:tc>
          <w:tcPr>
            <w:tcW w:w="1853"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97</w:t>
            </w:r>
          </w:p>
        </w:tc>
        <w:tc>
          <w:tcPr>
            <w:tcW w:w="1846" w:type="dxa"/>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[100  110]</w:t>
            </w:r>
          </w:p>
        </w:tc>
        <w:tc>
          <w:tcPr>
            <w:tcW w:w="191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105</w:t>
            </w:r>
          </w:p>
        </w:tc>
        <w:tc>
          <w:tcPr>
            <w:tcW w:w="1853"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51</w:t>
            </w:r>
          </w:p>
        </w:tc>
        <w:tc>
          <w:tcPr>
            <w:tcW w:w="1846" w:type="dxa"/>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[110  120]</w:t>
            </w:r>
          </w:p>
        </w:tc>
        <w:tc>
          <w:tcPr>
            <w:tcW w:w="191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115</w:t>
            </w:r>
          </w:p>
        </w:tc>
        <w:tc>
          <w:tcPr>
            <w:tcW w:w="1853"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3</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9" w:type="dxa"/>
            <w:vAlign w:val="center"/>
          </w:tcPr>
          <w:p>
            <w:pPr>
              <w:jc w:val="center"/>
              <w:rPr>
                <w:rFonts w:ascii="宋体" w:hAnsi="宋体" w:cs="宋体"/>
                <w:color w:val="auto"/>
                <w:szCs w:val="21"/>
              </w:rPr>
            </w:pPr>
          </w:p>
        </w:tc>
        <w:tc>
          <w:tcPr>
            <w:tcW w:w="1910" w:type="dxa"/>
            <w:vAlign w:val="center"/>
          </w:tcPr>
          <w:p>
            <w:pPr>
              <w:jc w:val="center"/>
              <w:rPr>
                <w:rFonts w:ascii="宋体" w:hAnsi="宋体" w:cs="宋体"/>
                <w:color w:val="auto"/>
                <w:szCs w:val="21"/>
              </w:rPr>
            </w:pPr>
          </w:p>
        </w:tc>
        <w:tc>
          <w:tcPr>
            <w:tcW w:w="185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155</w:t>
            </w:r>
          </w:p>
        </w:tc>
        <w:tc>
          <w:tcPr>
            <w:tcW w:w="1846" w:type="dxa"/>
            <w:vAlign w:val="center"/>
          </w:tcPr>
          <w:p>
            <w:pPr>
              <w:jc w:val="center"/>
              <w:rPr>
                <w:rFonts w:ascii="宋体" w:hAnsi="宋体" w:cs="宋体"/>
                <w:color w:val="auto"/>
                <w:szCs w:val="21"/>
              </w:rPr>
            </w:pPr>
          </w:p>
        </w:tc>
      </w:tr>
    </w:tbl>
    <w:p>
      <w:pPr>
        <w:pStyle w:val="13"/>
        <w:spacing w:beforeLines="100" w:beforeAutospacing="0" w:after="0" w:afterAutospacing="0" w:line="360" w:lineRule="auto"/>
        <w:jc w:val="center"/>
        <w:rPr>
          <w:color w:val="auto"/>
        </w:rPr>
      </w:pPr>
      <w:r>
        <w:rPr>
          <w:color w:val="auto"/>
        </w:rPr>
        <w:pict>
          <v:shape id="_x0000_i1025" o:spt="75" type="#_x0000_t75" style="height:225.8pt;width:298.85pt;" filled="f" o:preferrelative="t" stroked="f" coordsize="21600,21600">
            <v:path/>
            <v:fill on="f" focussize="0,0"/>
            <v:stroke on="f"/>
            <v:imagedata r:id="rId6" cropleft="1645f" croptop="4614f" cropright="3793f" cropbottom="2944f" o:title=""/>
            <o:lock v:ext="edit" aspectratio="f"/>
            <w10:wrap type="none"/>
            <w10:anchorlock/>
          </v:shape>
        </w:pic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图1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半硬态带材抗拉强度（Rm）数据直方图  </w:t>
      </w:r>
    </w:p>
    <w:p>
      <w:pPr>
        <w:pStyle w:val="13"/>
        <w:spacing w:beforeLines="100" w:beforeAutospacing="0" w:after="0" w:afterAutospacing="0" w:line="360" w:lineRule="auto"/>
        <w:jc w:val="center"/>
        <w:rPr>
          <w:color w:val="auto"/>
        </w:rPr>
      </w:pPr>
      <w:r>
        <w:rPr>
          <w:color w:val="auto"/>
        </w:rPr>
        <w:pict>
          <v:shape id="_x0000_i1026" o:spt="75" type="#_x0000_t75" style="height:213.05pt;width:291.35pt;" filled="f" o:preferrelative="t" stroked="f" coordsize="21600,21600">
            <v:path/>
            <v:fill on="f" focussize="0,0"/>
            <v:stroke on="f"/>
            <v:imagedata r:id="rId7" cropleft="5256f" croptop="4112f" cropright="3663f" cropbottom="10233f" o:title=""/>
            <o:lock v:ext="edit" aspectratio="f"/>
            <w10:wrap type="none"/>
            <w10:anchorlock/>
          </v:shape>
        </w:pict>
      </w:r>
    </w:p>
    <w:p>
      <w:pPr>
        <w:pStyle w:val="13"/>
        <w:spacing w:before="0" w:beforeAutospacing="0" w:after="0" w:afterAutospacing="0" w:line="360" w:lineRule="auto"/>
        <w:jc w:val="center"/>
        <w:rPr>
          <w:color w:val="auto"/>
          <w:sz w:val="24"/>
          <w:szCs w:val="24"/>
        </w:rPr>
      </w:pPr>
      <w:r>
        <w:rPr>
          <w:rFonts w:hint="eastAsia"/>
          <w:color w:val="auto"/>
          <w:sz w:val="24"/>
          <w:szCs w:val="24"/>
        </w:rPr>
        <w:t xml:space="preserve">图2 </w:t>
      </w:r>
      <w:r>
        <w:rPr>
          <w:rFonts w:hint="eastAsia"/>
          <w:color w:val="auto"/>
          <w:sz w:val="24"/>
          <w:szCs w:val="24"/>
          <w:lang w:val="en-US" w:eastAsia="zh-CN"/>
        </w:rPr>
        <w:t xml:space="preserve"> </w:t>
      </w:r>
      <w:r>
        <w:rPr>
          <w:rFonts w:hint="eastAsia"/>
          <w:color w:val="auto"/>
          <w:sz w:val="24"/>
          <w:szCs w:val="24"/>
        </w:rPr>
        <w:t>半硬态带材维氏硬度(HV)数据直方图</w:t>
      </w:r>
    </w:p>
    <w:p>
      <w:pPr>
        <w:spacing w:beforeLines="50" w:line="360" w:lineRule="auto"/>
        <w:ind w:firstLine="480" w:firstLineChars="200"/>
        <w:rPr>
          <w:color w:val="auto"/>
        </w:rPr>
      </w:pPr>
      <w:r>
        <w:rPr>
          <w:rFonts w:hint="eastAsia" w:ascii="宋体" w:hAnsi="宋体" w:cs="宋体"/>
          <w:color w:val="auto"/>
          <w:sz w:val="24"/>
        </w:rPr>
        <w:t>由图表可知，TU00（C10100）、TU0（T10130）、TU(T10150)、TU3(C10200陶瓷覆合无氧带半硬（H02）抗拉强度Rm在255MPa～3</w:t>
      </w:r>
      <w:r>
        <w:rPr>
          <w:rFonts w:hint="eastAsia" w:ascii="宋体" w:hAnsi="宋体" w:cs="宋体"/>
          <w:color w:val="auto"/>
          <w:sz w:val="24"/>
          <w:lang w:val="en-US" w:eastAsia="zh-CN"/>
        </w:rPr>
        <w:t>60</w:t>
      </w:r>
      <w:r>
        <w:rPr>
          <w:rFonts w:hint="eastAsia" w:ascii="宋体" w:hAnsi="宋体" w:cs="宋体"/>
          <w:color w:val="auto"/>
          <w:sz w:val="24"/>
        </w:rPr>
        <w:t>MPa的合格率为96.</w:t>
      </w:r>
      <w:r>
        <w:rPr>
          <w:rFonts w:hint="eastAsia" w:ascii="宋体" w:hAnsi="宋体" w:cs="宋体"/>
          <w:color w:val="auto"/>
          <w:sz w:val="24"/>
          <w:lang w:val="en-US" w:eastAsia="zh-CN"/>
        </w:rPr>
        <w:t>65</w:t>
      </w:r>
      <w:r>
        <w:rPr>
          <w:rFonts w:hint="eastAsia" w:ascii="宋体" w:hAnsi="宋体" w:cs="宋体"/>
          <w:color w:val="auto"/>
          <w:sz w:val="24"/>
        </w:rPr>
        <w:t>%、硬度HV在</w:t>
      </w:r>
      <w:r>
        <w:rPr>
          <w:rFonts w:hint="eastAsia" w:ascii="宋体" w:hAnsi="宋体" w:cs="宋体"/>
          <w:color w:val="auto"/>
          <w:sz w:val="24"/>
          <w:lang w:val="en-US" w:eastAsia="zh-CN"/>
        </w:rPr>
        <w:t>9</w:t>
      </w:r>
      <w:r>
        <w:rPr>
          <w:rFonts w:hint="eastAsia" w:ascii="宋体" w:hAnsi="宋体" w:cs="宋体"/>
          <w:color w:val="auto"/>
          <w:sz w:val="24"/>
        </w:rPr>
        <w:t>0～110的合格率为95.</w:t>
      </w:r>
      <w:r>
        <w:rPr>
          <w:rFonts w:hint="eastAsia" w:ascii="宋体" w:hAnsi="宋体" w:cs="宋体"/>
          <w:color w:val="auto"/>
          <w:sz w:val="24"/>
          <w:lang w:val="en-US" w:eastAsia="zh-CN"/>
        </w:rPr>
        <w:t>48</w:t>
      </w:r>
      <w:r>
        <w:rPr>
          <w:rFonts w:hint="eastAsia" w:ascii="宋体" w:hAnsi="宋体" w:cs="宋体"/>
          <w:color w:val="auto"/>
          <w:sz w:val="24"/>
        </w:rPr>
        <w:t>%。该产品技术指标： Rm255MPa～345MPa</w:t>
      </w:r>
      <w:r>
        <w:rPr>
          <w:rFonts w:hint="eastAsia" w:ascii="宋体" w:hAnsi="宋体"/>
          <w:color w:val="auto"/>
          <w:sz w:val="24"/>
        </w:rPr>
        <w:t>、HV</w:t>
      </w:r>
      <w:r>
        <w:rPr>
          <w:rFonts w:hint="eastAsia" w:ascii="宋体" w:hAnsi="宋体" w:cs="宋体"/>
          <w:color w:val="auto"/>
          <w:sz w:val="24"/>
          <w:lang w:val="en-US" w:eastAsia="zh-CN"/>
        </w:rPr>
        <w:t>9</w:t>
      </w:r>
      <w:r>
        <w:rPr>
          <w:rFonts w:hint="eastAsia" w:ascii="宋体" w:hAnsi="宋体" w:cs="宋体"/>
          <w:color w:val="auto"/>
          <w:sz w:val="24"/>
        </w:rPr>
        <w:t>0～110</w:t>
      </w:r>
      <w:r>
        <w:rPr>
          <w:rFonts w:hint="eastAsia" w:ascii="宋体" w:hAnsi="宋体"/>
          <w:color w:val="auto"/>
          <w:sz w:val="24"/>
        </w:rPr>
        <w:t>，指标制定合理,该产品属于成熟稳定产品。</w:t>
      </w:r>
    </w:p>
    <w:p>
      <w:pPr>
        <w:spacing w:line="360" w:lineRule="auto"/>
        <w:ind w:firstLine="480" w:firstLineChars="200"/>
        <w:rPr>
          <w:rFonts w:ascii="黑体" w:hAnsi="黑体" w:eastAsia="黑体" w:cs="黑体"/>
          <w:bCs/>
          <w:color w:val="auto"/>
          <w:kern w:val="0"/>
          <w:sz w:val="24"/>
        </w:rPr>
      </w:pPr>
      <w:r>
        <w:rPr>
          <w:rFonts w:hint="eastAsia" w:ascii="黑体" w:hAnsi="黑体" w:eastAsia="黑体" w:cs="黑体"/>
          <w:bCs/>
          <w:color w:val="auto"/>
          <w:sz w:val="24"/>
        </w:rPr>
        <w:t>（2）硬（H04）态</w:t>
      </w:r>
      <w:r>
        <w:rPr>
          <w:rFonts w:hint="eastAsia" w:ascii="黑体" w:hAnsi="黑体" w:eastAsia="黑体" w:cs="黑体"/>
          <w:bCs/>
          <w:color w:val="auto"/>
          <w:kern w:val="0"/>
          <w:sz w:val="24"/>
        </w:rPr>
        <w:t>带材性能</w:t>
      </w:r>
    </w:p>
    <w:p>
      <w:pPr>
        <w:pStyle w:val="13"/>
        <w:spacing w:before="0" w:beforeAutospacing="0" w:after="0" w:afterAutospacing="0" w:line="360" w:lineRule="auto"/>
        <w:ind w:firstLine="482"/>
        <w:rPr>
          <w:color w:val="auto"/>
          <w:sz w:val="24"/>
        </w:rPr>
      </w:pPr>
      <w:r>
        <w:rPr>
          <w:rFonts w:hint="eastAsia"/>
          <w:color w:val="auto"/>
          <w:sz w:val="24"/>
        </w:rPr>
        <w:t>TU00（C10100）、TU0（T10130）、TU(T10150)、TU3(C10200陶瓷覆合无氧带硬（H04）态数据统计如表6～表7，数据分布直方图如图 3～图4所示。</w:t>
      </w:r>
    </w:p>
    <w:p>
      <w:pPr>
        <w:pStyle w:val="13"/>
        <w:spacing w:before="120" w:beforeAutospacing="0" w:after="0" w:afterAutospacing="0" w:line="360" w:lineRule="auto"/>
        <w:ind w:firstLine="482"/>
        <w:jc w:val="center"/>
        <w:rPr>
          <w:color w:val="auto"/>
          <w:sz w:val="24"/>
        </w:rPr>
      </w:pPr>
      <w:r>
        <w:rPr>
          <w:rFonts w:hint="eastAsia"/>
          <w:color w:val="auto"/>
          <w:sz w:val="24"/>
        </w:rPr>
        <w:t>表6</w:t>
      </w:r>
      <w:r>
        <w:rPr>
          <w:rFonts w:hint="eastAsia"/>
          <w:color w:val="auto"/>
          <w:sz w:val="24"/>
          <w:lang w:val="en-US" w:eastAsia="zh-CN"/>
        </w:rPr>
        <w:t xml:space="preserve"> </w:t>
      </w:r>
      <w:r>
        <w:rPr>
          <w:rFonts w:hint="eastAsia"/>
          <w:color w:val="auto"/>
          <w:sz w:val="24"/>
        </w:rPr>
        <w:t xml:space="preserve"> 硬态带材抗拉强度(Rm)频数和频率分布表</w:t>
      </w:r>
    </w:p>
    <w:tbl>
      <w:tblPr>
        <w:tblStyle w:val="16"/>
        <w:tblpPr w:leftFromText="180" w:rightFromText="180" w:vertAnchor="text" w:horzAnchor="page" w:tblpX="1725" w:tblpY="4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979"/>
        <w:gridCol w:w="1910"/>
        <w:gridCol w:w="185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9"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9</w:t>
            </w:r>
            <w:r>
              <w:rPr>
                <w:rFonts w:hint="eastAsia" w:ascii="宋体" w:hAnsi="宋体" w:cs="宋体"/>
                <w:color w:val="auto"/>
                <w:kern w:val="0"/>
                <w:sz w:val="22"/>
                <w:szCs w:val="22"/>
              </w:rPr>
              <w:t xml:space="preserve">0  </w:t>
            </w:r>
            <w:r>
              <w:rPr>
                <w:rFonts w:hint="eastAsia" w:ascii="宋体" w:hAnsi="宋体" w:cs="宋体"/>
                <w:color w:val="auto"/>
                <w:kern w:val="0"/>
                <w:sz w:val="22"/>
                <w:szCs w:val="22"/>
                <w:lang w:val="en-US" w:eastAsia="zh-CN"/>
              </w:rPr>
              <w:t>300</w:t>
            </w:r>
            <w:r>
              <w:rPr>
                <w:rFonts w:hint="eastAsia" w:ascii="宋体" w:hAnsi="宋体" w:cs="宋体"/>
                <w:color w:val="auto"/>
                <w:kern w:val="0"/>
                <w:sz w:val="22"/>
                <w:szCs w:val="22"/>
              </w:rPr>
              <w:t>]</w:t>
            </w:r>
          </w:p>
        </w:tc>
        <w:tc>
          <w:tcPr>
            <w:tcW w:w="1910"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295.0</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9</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9" w:type="dxa"/>
            <w:vAlign w:val="center"/>
          </w:tcPr>
          <w:p>
            <w:pPr>
              <w:widowControl/>
              <w:jc w:val="center"/>
              <w:textAlignment w:val="center"/>
              <w:rPr>
                <w:rFonts w:ascii="宋体" w:hAnsi="宋体" w:cs="宋体"/>
                <w:color w:val="auto"/>
                <w:sz w:val="22"/>
                <w:szCs w:val="22"/>
              </w:rPr>
            </w:pPr>
            <w:r>
              <w:rPr>
                <w:rStyle w:val="35"/>
                <w:rFonts w:hint="default"/>
                <w:b w:val="0"/>
                <w:bCs w:val="0"/>
                <w:color w:val="auto"/>
              </w:rPr>
              <w:t>[</w:t>
            </w:r>
            <w:r>
              <w:rPr>
                <w:rStyle w:val="35"/>
                <w:rFonts w:hint="eastAsia"/>
                <w:b w:val="0"/>
                <w:bCs w:val="0"/>
                <w:color w:val="auto"/>
                <w:lang w:val="en-US" w:eastAsia="zh-CN"/>
              </w:rPr>
              <w:t xml:space="preserve">300  </w:t>
            </w:r>
            <w:r>
              <w:rPr>
                <w:rStyle w:val="36"/>
                <w:rFonts w:hint="default"/>
                <w:color w:val="auto"/>
              </w:rPr>
              <w:t>330]</w:t>
            </w:r>
          </w:p>
        </w:tc>
        <w:tc>
          <w:tcPr>
            <w:tcW w:w="1910"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315.0</w:t>
            </w:r>
          </w:p>
        </w:tc>
        <w:tc>
          <w:tcPr>
            <w:tcW w:w="1853"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6</w:t>
            </w:r>
            <w:r>
              <w:rPr>
                <w:rFonts w:hint="eastAsia" w:ascii="宋体" w:hAnsi="宋体" w:cs="宋体"/>
                <w:color w:val="auto"/>
                <w:szCs w:val="21"/>
                <w:lang w:val="en-US" w:eastAsia="zh-CN"/>
              </w:rPr>
              <w:t>0</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w:t>
            </w:r>
            <w:r>
              <w:rPr>
                <w:rFonts w:hint="eastAsia" w:ascii="宋体" w:hAnsi="宋体" w:cs="宋体"/>
                <w:color w:val="auto"/>
                <w:szCs w:val="21"/>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  365]</w:t>
            </w:r>
          </w:p>
        </w:tc>
        <w:tc>
          <w:tcPr>
            <w:tcW w:w="19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347.5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177</w:t>
            </w:r>
          </w:p>
        </w:tc>
        <w:tc>
          <w:tcPr>
            <w:tcW w:w="1846"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0.4</w:t>
            </w:r>
            <w:r>
              <w:rPr>
                <w:rFonts w:hint="eastAsia" w:ascii="宋体" w:hAnsi="宋体" w:cs="宋体"/>
                <w:color w:val="auto"/>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[365  400]</w:t>
            </w:r>
          </w:p>
        </w:tc>
        <w:tc>
          <w:tcPr>
            <w:tcW w:w="19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382.5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88</w:t>
            </w:r>
          </w:p>
        </w:tc>
        <w:tc>
          <w:tcPr>
            <w:tcW w:w="1846"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0.23</w:t>
            </w:r>
            <w:r>
              <w:rPr>
                <w:rFonts w:hint="eastAsia" w:ascii="宋体" w:hAnsi="宋体" w:cs="宋体"/>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5</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[400  435]</w:t>
            </w:r>
          </w:p>
        </w:tc>
        <w:tc>
          <w:tcPr>
            <w:tcW w:w="19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417.5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35</w:t>
            </w:r>
          </w:p>
        </w:tc>
        <w:tc>
          <w:tcPr>
            <w:tcW w:w="1846"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0.09</w:t>
            </w: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979" w:type="dxa"/>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[435  470]</w:t>
            </w:r>
          </w:p>
        </w:tc>
        <w:tc>
          <w:tcPr>
            <w:tcW w:w="191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452.5</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9" w:type="dxa"/>
            <w:vAlign w:val="center"/>
          </w:tcPr>
          <w:p>
            <w:pPr>
              <w:jc w:val="center"/>
              <w:rPr>
                <w:rFonts w:ascii="宋体" w:hAnsi="宋体" w:cs="宋体"/>
                <w:color w:val="auto"/>
                <w:szCs w:val="21"/>
              </w:rPr>
            </w:pPr>
          </w:p>
        </w:tc>
        <w:tc>
          <w:tcPr>
            <w:tcW w:w="1910" w:type="dxa"/>
            <w:vAlign w:val="center"/>
          </w:tcPr>
          <w:p>
            <w:pPr>
              <w:jc w:val="center"/>
              <w:rPr>
                <w:rFonts w:ascii="宋体" w:hAnsi="宋体" w:cs="宋体"/>
                <w:color w:val="auto"/>
                <w:szCs w:val="21"/>
              </w:rPr>
            </w:pPr>
          </w:p>
        </w:tc>
        <w:tc>
          <w:tcPr>
            <w:tcW w:w="1853"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37</w:t>
            </w:r>
            <w:r>
              <w:rPr>
                <w:rFonts w:hint="eastAsia" w:ascii="宋体" w:hAnsi="宋体" w:cs="宋体"/>
                <w:color w:val="auto"/>
                <w:szCs w:val="21"/>
                <w:lang w:val="en-US" w:eastAsia="zh-CN"/>
              </w:rPr>
              <w:t>3</w:t>
            </w:r>
          </w:p>
        </w:tc>
        <w:tc>
          <w:tcPr>
            <w:tcW w:w="1846" w:type="dxa"/>
            <w:vAlign w:val="center"/>
          </w:tcPr>
          <w:p>
            <w:pPr>
              <w:jc w:val="center"/>
              <w:rPr>
                <w:rFonts w:ascii="宋体" w:hAnsi="宋体" w:cs="宋体"/>
                <w:color w:val="auto"/>
                <w:szCs w:val="21"/>
              </w:rPr>
            </w:pPr>
          </w:p>
        </w:tc>
      </w:tr>
    </w:tbl>
    <w:p>
      <w:pPr>
        <w:pStyle w:val="13"/>
        <w:spacing w:before="120" w:beforeAutospacing="0" w:after="0" w:afterAutospacing="0" w:line="360" w:lineRule="auto"/>
        <w:ind w:firstLine="482"/>
        <w:jc w:val="center"/>
        <w:rPr>
          <w:color w:val="auto"/>
          <w:sz w:val="24"/>
        </w:rPr>
      </w:pPr>
      <w:r>
        <w:rPr>
          <w:rFonts w:hint="eastAsia"/>
          <w:color w:val="auto"/>
          <w:sz w:val="24"/>
        </w:rPr>
        <w:t>表7</w:t>
      </w:r>
      <w:r>
        <w:rPr>
          <w:rFonts w:hint="eastAsia"/>
          <w:color w:val="auto"/>
          <w:sz w:val="24"/>
          <w:lang w:val="en-US" w:eastAsia="zh-CN"/>
        </w:rPr>
        <w:t xml:space="preserve"> </w:t>
      </w:r>
      <w:r>
        <w:rPr>
          <w:rFonts w:hint="eastAsia"/>
          <w:color w:val="auto"/>
          <w:sz w:val="24"/>
        </w:rPr>
        <w:t xml:space="preserve"> 硬态带材维氏硬度(HV)频数和频率分布表</w:t>
      </w:r>
    </w:p>
    <w:tbl>
      <w:tblPr>
        <w:tblStyle w:val="16"/>
        <w:tblpPr w:leftFromText="180" w:rightFromText="180" w:vertAnchor="text" w:horzAnchor="page" w:tblpX="1725" w:tblpY="4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979"/>
        <w:gridCol w:w="1910"/>
        <w:gridCol w:w="185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9"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10"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3"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6"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[90  100]</w:t>
            </w:r>
          </w:p>
        </w:tc>
        <w:tc>
          <w:tcPr>
            <w:tcW w:w="1910"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95</w:t>
            </w:r>
          </w:p>
        </w:tc>
        <w:tc>
          <w:tcPr>
            <w:tcW w:w="1853"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8</w:t>
            </w:r>
          </w:p>
        </w:tc>
        <w:tc>
          <w:tcPr>
            <w:tcW w:w="1846" w:type="dxa"/>
            <w:vAlign w:val="center"/>
          </w:tcPr>
          <w:p>
            <w:pPr>
              <w:widowControl/>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0"/>
                <w:sz w:val="22"/>
                <w:szCs w:val="22"/>
              </w:rPr>
              <w:t>0.0</w:t>
            </w:r>
            <w:r>
              <w:rPr>
                <w:rFonts w:hint="eastAsia" w:ascii="宋体" w:hAnsi="宋体" w:cs="宋体"/>
                <w:color w:val="auto"/>
                <w:kern w:val="0"/>
                <w:sz w:val="22"/>
                <w:szCs w:val="22"/>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[100  110]</w:t>
            </w:r>
          </w:p>
        </w:tc>
        <w:tc>
          <w:tcPr>
            <w:tcW w:w="1910"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105</w:t>
            </w:r>
          </w:p>
        </w:tc>
        <w:tc>
          <w:tcPr>
            <w:tcW w:w="1853"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8</w:t>
            </w:r>
            <w:r>
              <w:rPr>
                <w:rFonts w:hint="eastAsia" w:ascii="宋体" w:hAnsi="宋体" w:cs="宋体"/>
                <w:color w:val="auto"/>
                <w:szCs w:val="21"/>
                <w:lang w:val="en-US" w:eastAsia="zh-CN"/>
              </w:rPr>
              <w:t>4</w:t>
            </w:r>
          </w:p>
        </w:tc>
        <w:tc>
          <w:tcPr>
            <w:tcW w:w="1846" w:type="dxa"/>
            <w:vAlign w:val="center"/>
          </w:tcPr>
          <w:p>
            <w:pPr>
              <w:widowControl/>
              <w:jc w:val="center"/>
              <w:textAlignment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0"/>
                <w:sz w:val="22"/>
                <w:szCs w:val="22"/>
              </w:rPr>
              <w:t>0.</w:t>
            </w:r>
            <w:r>
              <w:rPr>
                <w:rFonts w:hint="eastAsia" w:ascii="宋体" w:hAnsi="宋体" w:cs="宋体"/>
                <w:color w:val="auto"/>
                <w:kern w:val="0"/>
                <w:sz w:val="22"/>
                <w:szCs w:val="22"/>
                <w:lang w:val="en-US"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[110  120]</w:t>
            </w:r>
          </w:p>
        </w:tc>
        <w:tc>
          <w:tcPr>
            <w:tcW w:w="1910"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115</w:t>
            </w:r>
          </w:p>
        </w:tc>
        <w:tc>
          <w:tcPr>
            <w:tcW w:w="1853"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148</w:t>
            </w:r>
          </w:p>
        </w:tc>
        <w:tc>
          <w:tcPr>
            <w:tcW w:w="1846" w:type="dxa"/>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0.</w:t>
            </w:r>
            <w:r>
              <w:rPr>
                <w:rFonts w:hint="eastAsia" w:ascii="宋体" w:hAnsi="宋体" w:cs="宋体"/>
                <w:color w:val="auto"/>
                <w:szCs w:val="21"/>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9" w:type="dxa"/>
            <w:vAlign w:val="center"/>
          </w:tcPr>
          <w:p>
            <w:pPr>
              <w:widowControl/>
              <w:jc w:val="center"/>
              <w:textAlignment w:val="center"/>
              <w:rPr>
                <w:rFonts w:ascii="宋体" w:hAnsi="宋体" w:eastAsia="宋体" w:cs="宋体"/>
                <w:color w:val="auto"/>
                <w:kern w:val="2"/>
                <w:sz w:val="22"/>
                <w:szCs w:val="22"/>
                <w:lang w:val="en-US" w:eastAsia="zh-CN" w:bidi="ar-SA"/>
              </w:rPr>
            </w:pPr>
            <w:r>
              <w:rPr>
                <w:rFonts w:hint="eastAsia" w:ascii="宋体" w:hAnsi="宋体" w:cs="宋体"/>
                <w:color w:val="auto"/>
                <w:kern w:val="0"/>
                <w:sz w:val="22"/>
                <w:szCs w:val="22"/>
              </w:rPr>
              <w:t>[120  130]</w:t>
            </w:r>
          </w:p>
        </w:tc>
        <w:tc>
          <w:tcPr>
            <w:tcW w:w="1910"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125</w:t>
            </w:r>
          </w:p>
        </w:tc>
        <w:tc>
          <w:tcPr>
            <w:tcW w:w="1853" w:type="dxa"/>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p>
        </w:tc>
        <w:tc>
          <w:tcPr>
            <w:tcW w:w="1846" w:type="dxa"/>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0.0</w:t>
            </w:r>
            <w:r>
              <w:rPr>
                <w:rFonts w:hint="eastAsia" w:ascii="宋体" w:hAnsi="宋体" w:cs="宋体"/>
                <w:color w:val="auto"/>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9" w:type="dxa"/>
            <w:vAlign w:val="center"/>
          </w:tcPr>
          <w:p>
            <w:pPr>
              <w:jc w:val="center"/>
              <w:rPr>
                <w:rFonts w:ascii="宋体" w:hAnsi="宋体" w:cs="宋体"/>
                <w:color w:val="auto"/>
                <w:szCs w:val="21"/>
              </w:rPr>
            </w:pPr>
          </w:p>
        </w:tc>
        <w:tc>
          <w:tcPr>
            <w:tcW w:w="1910" w:type="dxa"/>
            <w:vAlign w:val="center"/>
          </w:tcPr>
          <w:p>
            <w:pPr>
              <w:jc w:val="center"/>
              <w:rPr>
                <w:rFonts w:ascii="宋体" w:hAnsi="宋体" w:cs="宋体"/>
                <w:color w:val="auto"/>
                <w:szCs w:val="21"/>
              </w:rPr>
            </w:pPr>
          </w:p>
        </w:tc>
        <w:tc>
          <w:tcPr>
            <w:tcW w:w="185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244</w:t>
            </w:r>
          </w:p>
        </w:tc>
        <w:tc>
          <w:tcPr>
            <w:tcW w:w="1846" w:type="dxa"/>
            <w:vAlign w:val="center"/>
          </w:tcPr>
          <w:p>
            <w:pPr>
              <w:jc w:val="center"/>
              <w:rPr>
                <w:rFonts w:ascii="宋体" w:hAnsi="宋体" w:cs="宋体"/>
                <w:color w:val="auto"/>
                <w:szCs w:val="21"/>
              </w:rPr>
            </w:pPr>
          </w:p>
        </w:tc>
      </w:tr>
    </w:tbl>
    <w:p>
      <w:pPr>
        <w:pStyle w:val="13"/>
        <w:spacing w:beforeLines="100" w:beforeAutospacing="0" w:after="0" w:afterAutospacing="0" w:line="360" w:lineRule="auto"/>
        <w:jc w:val="center"/>
        <w:rPr>
          <w:color w:val="auto"/>
        </w:rPr>
      </w:pPr>
      <w:r>
        <w:rPr>
          <w:color w:val="auto"/>
        </w:rPr>
        <w:pict>
          <v:shape id="_x0000_i1027" o:spt="75" type="#_x0000_t75" style="height:205.6pt;width:293.4pt;" filled="f" o:preferrelative="t" stroked="f" coordsize="21600,21600">
            <v:path/>
            <v:fill on="f" focussize="0,0"/>
            <v:stroke on="f"/>
            <v:imagedata r:id="rId8" cropleft="3383f" croptop="3984f" cropright="4026f" cropbottom="5000f" o:title=""/>
            <o:lock v:ext="edit" aspectratio="t"/>
            <w10:wrap type="none"/>
            <w10:anchorlock/>
          </v:shape>
        </w:pic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图3</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硬态带材抗拉强度（Rm）数据直方图  </w:t>
      </w:r>
    </w:p>
    <w:p>
      <w:pPr>
        <w:spacing w:beforeLines="50" w:afterLines="50" w:line="360" w:lineRule="auto"/>
        <w:jc w:val="center"/>
        <w:rPr>
          <w:color w:val="auto"/>
        </w:rPr>
      </w:pPr>
      <w:r>
        <w:rPr>
          <w:color w:val="auto"/>
        </w:rPr>
        <w:pict>
          <v:shape id="_x0000_i1028" o:spt="75" type="#_x0000_t75" style="height:206.05pt;width:309pt;" filled="f" o:preferrelative="t" stroked="f" coordsize="21600,21600">
            <v:path/>
            <v:fill on="f" focussize="0,0"/>
            <v:stroke on="f"/>
            <v:imagedata r:id="rId9" cropleft="4040f" croptop="4065f" cropright="3766f" cropbottom="10140f" o:title=""/>
            <o:lock v:ext="edit" aspectratio="f"/>
            <w10:wrap type="none"/>
            <w10:anchorlock/>
          </v:shape>
        </w:pict>
      </w:r>
    </w:p>
    <w:p>
      <w:pPr>
        <w:pStyle w:val="13"/>
        <w:spacing w:before="0" w:beforeAutospacing="0" w:after="0" w:afterAutospacing="0" w:line="360" w:lineRule="auto"/>
        <w:jc w:val="center"/>
        <w:rPr>
          <w:color w:val="auto"/>
          <w:sz w:val="24"/>
          <w:szCs w:val="24"/>
        </w:rPr>
      </w:pPr>
      <w:r>
        <w:rPr>
          <w:rFonts w:hint="eastAsia"/>
          <w:color w:val="auto"/>
          <w:sz w:val="24"/>
          <w:szCs w:val="24"/>
        </w:rPr>
        <w:t>图4</w:t>
      </w:r>
      <w:r>
        <w:rPr>
          <w:rFonts w:hint="eastAsia"/>
          <w:color w:val="auto"/>
          <w:sz w:val="24"/>
          <w:szCs w:val="24"/>
          <w:lang w:val="en-US" w:eastAsia="zh-CN"/>
        </w:rPr>
        <w:t xml:space="preserve"> </w:t>
      </w:r>
      <w:r>
        <w:rPr>
          <w:rFonts w:hint="eastAsia"/>
          <w:color w:val="auto"/>
          <w:sz w:val="24"/>
          <w:szCs w:val="24"/>
        </w:rPr>
        <w:t>硬态带材维氏硬度(HV)数据直方图</w:t>
      </w:r>
    </w:p>
    <w:p>
      <w:pPr>
        <w:spacing w:beforeLines="50" w:line="360" w:lineRule="auto"/>
        <w:ind w:firstLine="480" w:firstLineChars="200"/>
        <w:rPr>
          <w:rFonts w:ascii="宋体" w:hAnsi="宋体"/>
          <w:color w:val="auto"/>
          <w:sz w:val="24"/>
        </w:rPr>
      </w:pPr>
      <w:r>
        <w:rPr>
          <w:rFonts w:hint="eastAsia" w:ascii="宋体" w:hAnsi="宋体" w:cs="宋体"/>
          <w:color w:val="auto"/>
          <w:sz w:val="24"/>
        </w:rPr>
        <w:t>由图表可知，TU00（C10100）、TU0（T10130）、TU(T10150)、TU3(C10200陶瓷覆合无氧带硬（H04）抗拉强度Rm在</w:t>
      </w:r>
      <w:r>
        <w:rPr>
          <w:rFonts w:hint="eastAsia" w:ascii="宋体" w:hAnsi="宋体" w:cs="宋体"/>
          <w:color w:val="auto"/>
          <w:sz w:val="24"/>
          <w:lang w:val="en-US" w:eastAsia="zh-CN"/>
        </w:rPr>
        <w:t>300</w:t>
      </w:r>
      <w:r>
        <w:rPr>
          <w:rFonts w:hint="eastAsia" w:ascii="宋体" w:hAnsi="宋体" w:cs="宋体"/>
          <w:color w:val="auto"/>
          <w:sz w:val="24"/>
        </w:rPr>
        <w:t>MPa以上的合格率为97.</w:t>
      </w:r>
      <w:r>
        <w:rPr>
          <w:rFonts w:hint="eastAsia" w:ascii="宋体" w:hAnsi="宋体" w:cs="宋体"/>
          <w:color w:val="auto"/>
          <w:sz w:val="24"/>
          <w:lang w:val="en-US" w:eastAsia="zh-CN"/>
        </w:rPr>
        <w:t>59</w:t>
      </w:r>
      <w:r>
        <w:rPr>
          <w:rFonts w:hint="eastAsia" w:ascii="宋体" w:hAnsi="宋体" w:cs="宋体"/>
          <w:color w:val="auto"/>
          <w:sz w:val="24"/>
        </w:rPr>
        <w:t>%、硬度HV在</w:t>
      </w:r>
      <w:r>
        <w:rPr>
          <w:rFonts w:hint="eastAsia" w:ascii="宋体" w:hAnsi="宋体" w:cs="宋体"/>
          <w:color w:val="auto"/>
          <w:sz w:val="24"/>
          <w:lang w:val="en-US" w:eastAsia="zh-CN"/>
        </w:rPr>
        <w:t>100</w:t>
      </w:r>
      <w:r>
        <w:rPr>
          <w:rFonts w:hint="eastAsia" w:ascii="宋体" w:hAnsi="宋体" w:cs="宋体"/>
          <w:color w:val="auto"/>
          <w:sz w:val="24"/>
        </w:rPr>
        <w:t>～120的合格率为95.</w:t>
      </w:r>
      <w:r>
        <w:rPr>
          <w:rFonts w:hint="eastAsia" w:ascii="宋体" w:hAnsi="宋体" w:cs="宋体"/>
          <w:color w:val="auto"/>
          <w:sz w:val="24"/>
          <w:lang w:val="en-US" w:eastAsia="zh-CN"/>
        </w:rPr>
        <w:t>08</w:t>
      </w:r>
      <w:r>
        <w:rPr>
          <w:rFonts w:hint="eastAsia" w:ascii="宋体" w:hAnsi="宋体" w:cs="宋体"/>
          <w:color w:val="auto"/>
          <w:sz w:val="24"/>
        </w:rPr>
        <w:t>%。该产品技术指标： Rm≥</w:t>
      </w:r>
      <w:r>
        <w:rPr>
          <w:rFonts w:hint="eastAsia" w:ascii="宋体" w:hAnsi="宋体" w:cs="宋体"/>
          <w:color w:val="auto"/>
          <w:sz w:val="24"/>
          <w:lang w:val="en-US" w:eastAsia="zh-CN"/>
        </w:rPr>
        <w:t>300</w:t>
      </w:r>
      <w:r>
        <w:rPr>
          <w:rFonts w:hint="eastAsia" w:ascii="宋体" w:hAnsi="宋体" w:cs="宋体"/>
          <w:color w:val="auto"/>
          <w:sz w:val="24"/>
        </w:rPr>
        <w:t>MPa</w:t>
      </w:r>
      <w:r>
        <w:rPr>
          <w:rFonts w:hint="eastAsia" w:ascii="宋体" w:hAnsi="宋体"/>
          <w:color w:val="auto"/>
          <w:sz w:val="24"/>
        </w:rPr>
        <w:t>、HV</w:t>
      </w:r>
      <w:r>
        <w:rPr>
          <w:rFonts w:hint="eastAsia" w:ascii="宋体" w:hAnsi="宋体" w:cs="宋体"/>
          <w:color w:val="auto"/>
          <w:sz w:val="24"/>
          <w:lang w:val="en-US" w:eastAsia="zh-CN"/>
        </w:rPr>
        <w:t>100</w:t>
      </w:r>
      <w:r>
        <w:rPr>
          <w:rFonts w:hint="eastAsia" w:ascii="宋体" w:hAnsi="宋体" w:cs="宋体"/>
          <w:color w:val="auto"/>
          <w:sz w:val="24"/>
        </w:rPr>
        <w:t>～120</w:t>
      </w:r>
      <w:r>
        <w:rPr>
          <w:rFonts w:hint="eastAsia" w:ascii="宋体" w:hAnsi="宋体"/>
          <w:color w:val="auto"/>
          <w:sz w:val="24"/>
        </w:rPr>
        <w:t>，指标制定合理,该产品属于成熟稳定产品。</w:t>
      </w:r>
    </w:p>
    <w:p>
      <w:pPr>
        <w:pStyle w:val="7"/>
        <w:spacing w:beforeLines="50" w:afterLines="50" w:line="360" w:lineRule="auto"/>
        <w:rPr>
          <w:rFonts w:ascii="黑体" w:hAnsi="宋体" w:eastAsia="黑体"/>
          <w:bCs/>
          <w:color w:val="auto"/>
          <w:sz w:val="24"/>
          <w:szCs w:val="24"/>
        </w:rPr>
      </w:pPr>
      <w:r>
        <w:rPr>
          <w:rFonts w:hint="eastAsia" w:ascii="黑体" w:hAnsi="宋体" w:eastAsia="黑体"/>
          <w:bCs/>
          <w:color w:val="auto"/>
          <w:sz w:val="24"/>
          <w:szCs w:val="24"/>
        </w:rPr>
        <w:t>3.3.3 电性能</w:t>
      </w:r>
    </w:p>
    <w:p>
      <w:pPr>
        <w:spacing w:line="360" w:lineRule="auto"/>
        <w:ind w:firstLine="480" w:firstLineChars="200"/>
        <w:rPr>
          <w:rFonts w:ascii="宋体" w:hAnsi="宋体" w:cs="宋体"/>
          <w:color w:val="auto"/>
          <w:sz w:val="24"/>
        </w:rPr>
      </w:pPr>
      <w:r>
        <w:rPr>
          <w:rFonts w:hint="eastAsia" w:ascii="宋体" w:hAnsi="宋体" w:cs="宋体"/>
          <w:color w:val="auto"/>
          <w:sz w:val="24"/>
        </w:rPr>
        <w:t>带材导电率统计如表8-表10，数据分布直方图如图5-图7所示。</w:t>
      </w:r>
    </w:p>
    <w:p>
      <w:pPr>
        <w:spacing w:line="360" w:lineRule="auto"/>
        <w:jc w:val="center"/>
        <w:rPr>
          <w:rFonts w:ascii="宋体" w:hAnsi="宋体" w:cs="宋体"/>
          <w:color w:val="auto"/>
          <w:sz w:val="24"/>
        </w:rPr>
      </w:pPr>
      <w:r>
        <w:rPr>
          <w:rFonts w:hint="eastAsia" w:ascii="宋体" w:hAnsi="宋体" w:cs="宋体"/>
          <w:color w:val="auto"/>
          <w:sz w:val="24"/>
        </w:rPr>
        <w:t>表8</w:t>
      </w:r>
      <w:r>
        <w:rPr>
          <w:rFonts w:hint="eastAsia" w:ascii="宋体" w:hAnsi="宋体" w:cs="宋体"/>
          <w:color w:val="auto"/>
          <w:sz w:val="24"/>
          <w:lang w:val="en-US" w:eastAsia="zh-CN"/>
        </w:rPr>
        <w:t xml:space="preserve">  </w:t>
      </w:r>
      <w:r>
        <w:rPr>
          <w:rFonts w:hint="eastAsia" w:ascii="宋体" w:hAnsi="宋体" w:cs="宋体"/>
          <w:color w:val="auto"/>
          <w:sz w:val="24"/>
        </w:rPr>
        <w:t>TU00</w:t>
      </w:r>
      <w:r>
        <w:rPr>
          <w:rFonts w:hint="eastAsia" w:ascii="宋体" w:hAnsi="宋体" w:cs="宋体"/>
          <w:color w:val="auto"/>
          <w:kern w:val="0"/>
          <w:sz w:val="24"/>
        </w:rPr>
        <w:t>带材导电率率</w:t>
      </w:r>
      <w:r>
        <w:rPr>
          <w:rFonts w:hint="eastAsia" w:ascii="宋体" w:hAnsi="宋体" w:cs="宋体"/>
          <w:color w:val="auto"/>
          <w:sz w:val="24"/>
        </w:rPr>
        <w:t>频数和频率分布表</w:t>
      </w:r>
    </w:p>
    <w:tbl>
      <w:tblPr>
        <w:tblStyle w:val="16"/>
        <w:tblpPr w:leftFromText="180" w:rightFromText="180" w:vertAnchor="text" w:horzAnchor="page" w:tblpX="1681"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6"/>
        <w:gridCol w:w="1907"/>
        <w:gridCol w:w="1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[97</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99]</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98</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 xml:space="preserve">[99 </w:t>
            </w:r>
            <w:r>
              <w:rPr>
                <w:rFonts w:hint="eastAsia" w:ascii="宋体" w:hAnsi="宋体" w:cs="宋体"/>
                <w:color w:val="auto"/>
                <w:szCs w:val="21"/>
                <w:lang w:val="en-US" w:eastAsia="zh-CN"/>
              </w:rPr>
              <w:t xml:space="preserve"> </w:t>
            </w:r>
            <w:r>
              <w:rPr>
                <w:rFonts w:hint="eastAsia" w:ascii="宋体" w:hAnsi="宋体" w:cs="宋体"/>
                <w:color w:val="auto"/>
                <w:szCs w:val="21"/>
              </w:rPr>
              <w:t>100]</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99.5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[100</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101]</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100.5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58</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[101</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102]</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101.5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24</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6" w:type="dxa"/>
            <w:vAlign w:val="center"/>
          </w:tcPr>
          <w:p>
            <w:pPr>
              <w:jc w:val="center"/>
              <w:rPr>
                <w:rFonts w:ascii="宋体" w:hAnsi="宋体" w:cs="宋体"/>
                <w:color w:val="auto"/>
                <w:szCs w:val="21"/>
              </w:rPr>
            </w:pPr>
          </w:p>
        </w:tc>
        <w:tc>
          <w:tcPr>
            <w:tcW w:w="1907" w:type="dxa"/>
            <w:vAlign w:val="center"/>
          </w:tcPr>
          <w:p>
            <w:pPr>
              <w:jc w:val="center"/>
              <w:rPr>
                <w:rFonts w:ascii="宋体" w:hAnsi="宋体" w:cs="宋体"/>
                <w:color w:val="auto"/>
                <w:szCs w:val="21"/>
              </w:rPr>
            </w:pPr>
          </w:p>
        </w:tc>
        <w:tc>
          <w:tcPr>
            <w:tcW w:w="1850" w:type="dxa"/>
            <w:vAlign w:val="center"/>
          </w:tcPr>
          <w:p>
            <w:pPr>
              <w:jc w:val="center"/>
              <w:rPr>
                <w:rFonts w:ascii="宋体" w:hAnsi="宋体" w:cs="宋体"/>
                <w:color w:val="auto"/>
                <w:szCs w:val="21"/>
              </w:rPr>
            </w:pPr>
            <w:r>
              <w:rPr>
                <w:rFonts w:hint="eastAsia" w:ascii="宋体" w:hAnsi="宋体" w:cs="宋体"/>
                <w:color w:val="auto"/>
                <w:szCs w:val="21"/>
              </w:rPr>
              <w:t>97</w:t>
            </w:r>
          </w:p>
        </w:tc>
        <w:tc>
          <w:tcPr>
            <w:tcW w:w="1843" w:type="dxa"/>
            <w:vAlign w:val="center"/>
          </w:tcPr>
          <w:p>
            <w:pPr>
              <w:jc w:val="center"/>
              <w:rPr>
                <w:rFonts w:ascii="宋体" w:hAnsi="宋体" w:cs="宋体"/>
                <w:color w:val="auto"/>
                <w:szCs w:val="21"/>
              </w:rPr>
            </w:pPr>
          </w:p>
        </w:tc>
      </w:tr>
    </w:tbl>
    <w:p>
      <w:pPr>
        <w:spacing w:line="360" w:lineRule="auto"/>
        <w:jc w:val="center"/>
        <w:rPr>
          <w:rFonts w:ascii="宋体" w:hAnsi="宋体" w:cs="宋体"/>
          <w:color w:val="auto"/>
          <w:sz w:val="24"/>
        </w:rPr>
      </w:pPr>
      <w:r>
        <w:rPr>
          <w:rFonts w:hint="eastAsia" w:ascii="宋体" w:hAnsi="宋体" w:cs="宋体"/>
          <w:color w:val="auto"/>
          <w:sz w:val="24"/>
        </w:rPr>
        <w:t>表9</w:t>
      </w:r>
      <w:r>
        <w:rPr>
          <w:rFonts w:hint="eastAsia" w:ascii="宋体" w:hAnsi="宋体" w:cs="宋体"/>
          <w:color w:val="auto"/>
          <w:sz w:val="24"/>
          <w:lang w:val="en-US" w:eastAsia="zh-CN"/>
        </w:rPr>
        <w:t xml:space="preserve">  </w:t>
      </w:r>
      <w:r>
        <w:rPr>
          <w:rFonts w:hint="eastAsia" w:ascii="宋体" w:hAnsi="宋体" w:cs="宋体"/>
          <w:color w:val="auto"/>
          <w:sz w:val="24"/>
        </w:rPr>
        <w:t>TU0、TU1</w:t>
      </w:r>
      <w:r>
        <w:rPr>
          <w:rFonts w:hint="eastAsia" w:ascii="宋体" w:hAnsi="宋体" w:cs="宋体"/>
          <w:color w:val="auto"/>
          <w:kern w:val="0"/>
          <w:sz w:val="24"/>
        </w:rPr>
        <w:t>带材导电率率</w:t>
      </w:r>
      <w:r>
        <w:rPr>
          <w:rFonts w:hint="eastAsia" w:ascii="宋体" w:hAnsi="宋体" w:cs="宋体"/>
          <w:color w:val="auto"/>
          <w:sz w:val="24"/>
        </w:rPr>
        <w:t>频数和频率分布表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6"/>
        <w:gridCol w:w="1907"/>
        <w:gridCol w:w="1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[95</w:t>
            </w:r>
            <w:r>
              <w:rPr>
                <w:rFonts w:hint="eastAsia" w:ascii="宋体" w:hAnsi="宋体" w:cs="宋体"/>
                <w:color w:val="auto"/>
                <w:szCs w:val="21"/>
                <w:lang w:val="en-US" w:eastAsia="zh-CN"/>
              </w:rPr>
              <w:t xml:space="preserve">  </w:t>
            </w:r>
            <w:r>
              <w:rPr>
                <w:rFonts w:hint="eastAsia" w:ascii="宋体" w:hAnsi="宋体" w:cs="宋体"/>
                <w:color w:val="auto"/>
                <w:szCs w:val="21"/>
              </w:rPr>
              <w:t>98]</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96.5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[98</w:t>
            </w:r>
            <w:r>
              <w:rPr>
                <w:rFonts w:hint="eastAsia" w:ascii="宋体" w:hAnsi="宋体" w:cs="宋体"/>
                <w:color w:val="auto"/>
                <w:szCs w:val="21"/>
                <w:lang w:val="en-US" w:eastAsia="zh-CN"/>
              </w:rPr>
              <w:t xml:space="preserve">  </w:t>
            </w:r>
            <w:r>
              <w:rPr>
                <w:rFonts w:hint="eastAsia" w:ascii="宋体" w:hAnsi="宋体" w:cs="宋体"/>
                <w:color w:val="auto"/>
                <w:szCs w:val="21"/>
              </w:rPr>
              <w:t>99]</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98.5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[99</w:t>
            </w:r>
            <w:r>
              <w:rPr>
                <w:rFonts w:hint="eastAsia" w:ascii="宋体" w:hAnsi="宋体" w:cs="宋体"/>
                <w:color w:val="auto"/>
                <w:szCs w:val="21"/>
                <w:lang w:val="en-US" w:eastAsia="zh-CN"/>
              </w:rPr>
              <w:t xml:space="preserve">  </w:t>
            </w:r>
            <w:r>
              <w:rPr>
                <w:rFonts w:hint="eastAsia" w:ascii="宋体" w:hAnsi="宋体" w:cs="宋体"/>
                <w:color w:val="auto"/>
                <w:szCs w:val="21"/>
              </w:rPr>
              <w:t>100]</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99.5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58</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[100</w:t>
            </w:r>
            <w:r>
              <w:rPr>
                <w:rFonts w:hint="eastAsia" w:ascii="宋体" w:hAnsi="宋体" w:cs="宋体"/>
                <w:color w:val="auto"/>
                <w:szCs w:val="21"/>
                <w:lang w:val="en-US" w:eastAsia="zh-CN"/>
              </w:rPr>
              <w:t xml:space="preserve">  </w:t>
            </w:r>
            <w:r>
              <w:rPr>
                <w:rFonts w:hint="eastAsia" w:ascii="宋体" w:hAnsi="宋体" w:cs="宋体"/>
                <w:color w:val="auto"/>
                <w:szCs w:val="21"/>
              </w:rPr>
              <w:t>101]</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100.5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98</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p>
        </w:tc>
        <w:tc>
          <w:tcPr>
            <w:tcW w:w="1976" w:type="dxa"/>
            <w:vAlign w:val="center"/>
          </w:tcPr>
          <w:p>
            <w:pPr>
              <w:jc w:val="center"/>
              <w:rPr>
                <w:rFonts w:ascii="宋体" w:hAnsi="宋体" w:cs="宋体"/>
                <w:color w:val="auto"/>
                <w:szCs w:val="21"/>
              </w:rPr>
            </w:pPr>
            <w:r>
              <w:rPr>
                <w:rFonts w:hint="eastAsia" w:ascii="宋体" w:hAnsi="宋体" w:cs="宋体"/>
                <w:color w:val="auto"/>
                <w:szCs w:val="21"/>
              </w:rPr>
              <w:t>[101</w:t>
            </w:r>
            <w:r>
              <w:rPr>
                <w:rFonts w:hint="eastAsia" w:ascii="宋体" w:hAnsi="宋体" w:cs="宋体"/>
                <w:color w:val="auto"/>
                <w:szCs w:val="21"/>
                <w:lang w:val="en-US" w:eastAsia="zh-CN"/>
              </w:rPr>
              <w:t xml:space="preserve">  </w:t>
            </w:r>
            <w:r>
              <w:rPr>
                <w:rFonts w:hint="eastAsia" w:ascii="宋体" w:hAnsi="宋体" w:cs="宋体"/>
                <w:color w:val="auto"/>
                <w:szCs w:val="21"/>
              </w:rPr>
              <w:t>102]</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101.5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35</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6" w:type="dxa"/>
            <w:vAlign w:val="center"/>
          </w:tcPr>
          <w:p>
            <w:pPr>
              <w:jc w:val="center"/>
              <w:rPr>
                <w:rFonts w:ascii="宋体" w:hAnsi="宋体" w:cs="宋体"/>
                <w:color w:val="auto"/>
                <w:szCs w:val="21"/>
              </w:rPr>
            </w:pPr>
          </w:p>
        </w:tc>
        <w:tc>
          <w:tcPr>
            <w:tcW w:w="1907" w:type="dxa"/>
            <w:vAlign w:val="center"/>
          </w:tcPr>
          <w:p>
            <w:pPr>
              <w:jc w:val="center"/>
              <w:rPr>
                <w:rFonts w:ascii="宋体" w:hAnsi="宋体" w:cs="宋体"/>
                <w:color w:val="auto"/>
                <w:szCs w:val="21"/>
              </w:rPr>
            </w:pPr>
          </w:p>
        </w:tc>
        <w:tc>
          <w:tcPr>
            <w:tcW w:w="1850" w:type="dxa"/>
            <w:vAlign w:val="center"/>
          </w:tcPr>
          <w:p>
            <w:pPr>
              <w:jc w:val="center"/>
              <w:rPr>
                <w:rFonts w:ascii="宋体" w:hAnsi="宋体" w:cs="宋体"/>
                <w:color w:val="auto"/>
                <w:szCs w:val="21"/>
              </w:rPr>
            </w:pPr>
            <w:r>
              <w:rPr>
                <w:rFonts w:hint="eastAsia" w:ascii="宋体" w:hAnsi="宋体" w:cs="宋体"/>
                <w:color w:val="auto"/>
                <w:szCs w:val="21"/>
              </w:rPr>
              <w:t>205</w:t>
            </w:r>
          </w:p>
        </w:tc>
        <w:tc>
          <w:tcPr>
            <w:tcW w:w="1843" w:type="dxa"/>
            <w:vAlign w:val="center"/>
          </w:tcPr>
          <w:p>
            <w:pPr>
              <w:jc w:val="center"/>
              <w:rPr>
                <w:rFonts w:ascii="宋体" w:hAnsi="宋体" w:cs="宋体"/>
                <w:color w:val="auto"/>
                <w:szCs w:val="21"/>
              </w:rPr>
            </w:pPr>
          </w:p>
        </w:tc>
      </w:tr>
    </w:tbl>
    <w:p>
      <w:pPr>
        <w:spacing w:line="360" w:lineRule="auto"/>
        <w:jc w:val="center"/>
        <w:rPr>
          <w:rFonts w:ascii="宋体" w:hAnsi="宋体" w:cs="宋体"/>
          <w:color w:val="auto"/>
          <w:sz w:val="24"/>
        </w:rPr>
      </w:pPr>
      <w:r>
        <w:rPr>
          <w:rFonts w:hint="eastAsia" w:ascii="宋体" w:hAnsi="宋体" w:cs="宋体"/>
          <w:color w:val="auto"/>
          <w:sz w:val="24"/>
        </w:rPr>
        <w:t>表10</w:t>
      </w:r>
      <w:r>
        <w:rPr>
          <w:rFonts w:hint="eastAsia" w:ascii="宋体" w:hAnsi="宋体" w:cs="宋体"/>
          <w:color w:val="auto"/>
          <w:sz w:val="24"/>
          <w:lang w:val="en-US" w:eastAsia="zh-CN"/>
        </w:rPr>
        <w:t xml:space="preserve">  </w:t>
      </w:r>
      <w:r>
        <w:rPr>
          <w:rFonts w:hint="eastAsia" w:ascii="宋体" w:hAnsi="宋体" w:cs="宋体"/>
          <w:color w:val="auto"/>
          <w:sz w:val="24"/>
        </w:rPr>
        <w:t>TU3</w:t>
      </w:r>
      <w:r>
        <w:rPr>
          <w:rFonts w:hint="eastAsia" w:ascii="宋体" w:hAnsi="宋体" w:cs="宋体"/>
          <w:color w:val="auto"/>
          <w:kern w:val="0"/>
          <w:sz w:val="24"/>
        </w:rPr>
        <w:t>带材导电率率</w:t>
      </w:r>
      <w:r>
        <w:rPr>
          <w:rFonts w:hint="eastAsia" w:ascii="宋体" w:hAnsi="宋体" w:cs="宋体"/>
          <w:color w:val="auto"/>
          <w:sz w:val="24"/>
        </w:rPr>
        <w:t>频数和频率分布表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6"/>
        <w:gridCol w:w="1907"/>
        <w:gridCol w:w="1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[90</w:t>
            </w:r>
            <w:r>
              <w:rPr>
                <w:rFonts w:hint="eastAsia" w:ascii="宋体" w:hAnsi="宋体" w:cs="宋体"/>
                <w:color w:val="auto"/>
                <w:szCs w:val="21"/>
                <w:lang w:val="en-US" w:eastAsia="zh-CN"/>
              </w:rPr>
              <w:t xml:space="preserve">  </w:t>
            </w:r>
            <w:r>
              <w:rPr>
                <w:rFonts w:hint="eastAsia" w:ascii="宋体" w:hAnsi="宋体" w:cs="宋体"/>
                <w:color w:val="auto"/>
                <w:szCs w:val="21"/>
              </w:rPr>
              <w:t>98]</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94</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[98</w:t>
            </w:r>
            <w:r>
              <w:rPr>
                <w:rFonts w:hint="eastAsia" w:ascii="宋体" w:hAnsi="宋体" w:cs="宋体"/>
                <w:color w:val="auto"/>
                <w:szCs w:val="21"/>
                <w:lang w:val="en-US" w:eastAsia="zh-CN"/>
              </w:rPr>
              <w:t xml:space="preserve">  </w:t>
            </w:r>
            <w:r>
              <w:rPr>
                <w:rFonts w:hint="eastAsia" w:ascii="宋体" w:hAnsi="宋体" w:cs="宋体"/>
                <w:color w:val="auto"/>
                <w:szCs w:val="21"/>
              </w:rPr>
              <w:t>99]</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98.5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59</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[99</w:t>
            </w:r>
            <w:r>
              <w:rPr>
                <w:rFonts w:hint="eastAsia" w:ascii="宋体" w:hAnsi="宋体" w:cs="宋体"/>
                <w:color w:val="auto"/>
                <w:szCs w:val="21"/>
                <w:lang w:val="en-US" w:eastAsia="zh-CN"/>
              </w:rPr>
              <w:t xml:space="preserve">  </w:t>
            </w:r>
            <w:r>
              <w:rPr>
                <w:rFonts w:hint="eastAsia" w:ascii="宋体" w:hAnsi="宋体" w:cs="宋体"/>
                <w:color w:val="auto"/>
                <w:szCs w:val="21"/>
              </w:rPr>
              <w:t>100]</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99.5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86</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[100</w:t>
            </w:r>
            <w:r>
              <w:rPr>
                <w:rFonts w:hint="eastAsia" w:ascii="宋体" w:hAnsi="宋体" w:cs="宋体"/>
                <w:color w:val="auto"/>
                <w:szCs w:val="21"/>
                <w:lang w:val="en-US" w:eastAsia="zh-CN"/>
              </w:rPr>
              <w:t xml:space="preserve">  </w:t>
            </w:r>
            <w:r>
              <w:rPr>
                <w:rFonts w:hint="eastAsia" w:ascii="宋体" w:hAnsi="宋体" w:cs="宋体"/>
                <w:color w:val="auto"/>
                <w:szCs w:val="21"/>
              </w:rPr>
              <w:t>101]</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100.5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131</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p>
        </w:tc>
        <w:tc>
          <w:tcPr>
            <w:tcW w:w="1976" w:type="dxa"/>
            <w:vAlign w:val="center"/>
          </w:tcPr>
          <w:p>
            <w:pPr>
              <w:jc w:val="center"/>
              <w:rPr>
                <w:rFonts w:ascii="宋体" w:hAnsi="宋体" w:cs="宋体"/>
                <w:color w:val="auto"/>
                <w:szCs w:val="21"/>
              </w:rPr>
            </w:pPr>
            <w:r>
              <w:rPr>
                <w:rFonts w:hint="eastAsia" w:ascii="宋体" w:hAnsi="宋体" w:cs="宋体"/>
                <w:color w:val="auto"/>
                <w:szCs w:val="21"/>
              </w:rPr>
              <w:t>[101</w:t>
            </w:r>
            <w:r>
              <w:rPr>
                <w:rFonts w:hint="eastAsia" w:ascii="宋体" w:hAnsi="宋体" w:cs="宋体"/>
                <w:color w:val="auto"/>
                <w:szCs w:val="21"/>
                <w:lang w:val="en-US" w:eastAsia="zh-CN"/>
              </w:rPr>
              <w:t xml:space="preserve">  </w:t>
            </w:r>
            <w:r>
              <w:rPr>
                <w:rFonts w:hint="eastAsia" w:ascii="宋体" w:hAnsi="宋体" w:cs="宋体"/>
                <w:color w:val="auto"/>
                <w:szCs w:val="21"/>
              </w:rPr>
              <w:t>102]</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101.5</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26</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6" w:type="dxa"/>
            <w:vAlign w:val="center"/>
          </w:tcPr>
          <w:p>
            <w:pPr>
              <w:jc w:val="center"/>
              <w:rPr>
                <w:rFonts w:ascii="宋体" w:hAnsi="宋体" w:cs="宋体"/>
                <w:color w:val="auto"/>
                <w:szCs w:val="21"/>
              </w:rPr>
            </w:pPr>
          </w:p>
        </w:tc>
        <w:tc>
          <w:tcPr>
            <w:tcW w:w="1907" w:type="dxa"/>
            <w:vAlign w:val="center"/>
          </w:tcPr>
          <w:p>
            <w:pPr>
              <w:jc w:val="center"/>
              <w:rPr>
                <w:rFonts w:ascii="宋体" w:hAnsi="宋体" w:cs="宋体"/>
                <w:color w:val="auto"/>
                <w:szCs w:val="21"/>
              </w:rPr>
            </w:pPr>
          </w:p>
        </w:tc>
        <w:tc>
          <w:tcPr>
            <w:tcW w:w="1850" w:type="dxa"/>
            <w:vAlign w:val="center"/>
          </w:tcPr>
          <w:p>
            <w:pPr>
              <w:jc w:val="center"/>
              <w:rPr>
                <w:rFonts w:ascii="宋体" w:hAnsi="宋体" w:cs="宋体"/>
                <w:color w:val="auto"/>
                <w:szCs w:val="21"/>
              </w:rPr>
            </w:pPr>
            <w:r>
              <w:rPr>
                <w:rFonts w:hint="eastAsia" w:ascii="宋体" w:hAnsi="宋体" w:cs="宋体"/>
                <w:color w:val="auto"/>
                <w:szCs w:val="21"/>
              </w:rPr>
              <w:t>314</w:t>
            </w:r>
          </w:p>
        </w:tc>
        <w:tc>
          <w:tcPr>
            <w:tcW w:w="1843" w:type="dxa"/>
            <w:vAlign w:val="center"/>
          </w:tcPr>
          <w:p>
            <w:pPr>
              <w:jc w:val="center"/>
              <w:rPr>
                <w:rFonts w:ascii="宋体" w:hAnsi="宋体" w:cs="宋体"/>
                <w:color w:val="auto"/>
                <w:szCs w:val="21"/>
              </w:rPr>
            </w:pPr>
          </w:p>
        </w:tc>
      </w:tr>
    </w:tbl>
    <w:p>
      <w:pPr>
        <w:spacing w:beforeLines="50" w:line="360" w:lineRule="auto"/>
        <w:jc w:val="center"/>
        <w:rPr>
          <w:rFonts w:ascii="宋体" w:hAnsi="宋体"/>
          <w:color w:val="auto"/>
          <w:sz w:val="24"/>
        </w:rPr>
      </w:pPr>
      <w:r>
        <w:rPr>
          <w:color w:val="auto"/>
        </w:rPr>
        <w:drawing>
          <wp:inline distT="0" distB="0" distL="114300" distR="114300">
            <wp:extent cx="3730625" cy="2480945"/>
            <wp:effectExtent l="0" t="0" r="3175" b="14605"/>
            <wp:docPr id="5" name="Chart 26"/>
            <wp:cNvGraphicFramePr/>
            <a:graphic xmlns:a="http://schemas.openxmlformats.org/drawingml/2006/main">
              <a:graphicData uri="http://schemas.openxmlformats.org/drawingml/2006/picture">
                <pic:pic xmlns:pic="http://schemas.openxmlformats.org/drawingml/2006/picture">
                  <pic:nvPicPr>
                    <pic:cNvPr id="5" name="Chart 26"/>
                    <pic:cNvPicPr/>
                  </pic:nvPicPr>
                  <pic:blipFill>
                    <a:blip r:embed="rId10"/>
                    <a:srcRect l="9833" t="6613" r="5750" b="16435"/>
                    <a:stretch>
                      <a:fillRect/>
                    </a:stretch>
                  </pic:blipFill>
                  <pic:spPr>
                    <a:xfrm>
                      <a:off x="6229350" y="3438525"/>
                      <a:ext cx="3730625" cy="2480945"/>
                    </a:xfrm>
                    <a:prstGeom prst="rect">
                      <a:avLst/>
                    </a:prstGeom>
                    <a:noFill/>
                    <a:ln>
                      <a:noFill/>
                    </a:ln>
                  </pic:spPr>
                </pic:pic>
              </a:graphicData>
            </a:graphic>
          </wp:inline>
        </w:drawing>
      </w:r>
    </w:p>
    <w:p>
      <w:pPr>
        <w:pStyle w:val="13"/>
        <w:spacing w:before="0" w:beforeAutospacing="0" w:after="0" w:afterAutospacing="0" w:line="360" w:lineRule="auto"/>
        <w:jc w:val="center"/>
        <w:rPr>
          <w:color w:val="auto"/>
        </w:rPr>
      </w:pPr>
      <w:r>
        <w:rPr>
          <w:rFonts w:hint="eastAsia"/>
          <w:color w:val="auto"/>
          <w:sz w:val="24"/>
          <w:szCs w:val="24"/>
        </w:rPr>
        <w:t>图5</w:t>
      </w:r>
      <w:r>
        <w:rPr>
          <w:rFonts w:hint="eastAsia"/>
          <w:color w:val="auto"/>
          <w:szCs w:val="21"/>
          <w:lang w:val="en-US" w:eastAsia="zh-CN"/>
        </w:rPr>
        <w:t xml:space="preserve"> </w:t>
      </w:r>
      <w:r>
        <w:rPr>
          <w:rFonts w:hint="eastAsia"/>
          <w:color w:val="auto"/>
          <w:sz w:val="24"/>
        </w:rPr>
        <w:t>TU00(C10100）</w:t>
      </w:r>
      <w:r>
        <w:rPr>
          <w:rFonts w:hint="eastAsia"/>
          <w:color w:val="auto"/>
          <w:kern w:val="0"/>
          <w:sz w:val="24"/>
        </w:rPr>
        <w:t>带材导电率导电率</w:t>
      </w:r>
      <w:r>
        <w:rPr>
          <w:rFonts w:hint="eastAsia"/>
          <w:color w:val="auto"/>
          <w:szCs w:val="21"/>
        </w:rPr>
        <w:t>数据直方图</w:t>
      </w:r>
    </w:p>
    <w:p>
      <w:pPr>
        <w:spacing w:beforeLines="50" w:line="360" w:lineRule="auto"/>
        <w:jc w:val="center"/>
        <w:rPr>
          <w:rFonts w:ascii="宋体" w:hAnsi="宋体"/>
          <w:color w:val="auto"/>
          <w:sz w:val="24"/>
        </w:rPr>
      </w:pPr>
      <w:r>
        <w:rPr>
          <w:color w:val="auto"/>
        </w:rPr>
        <w:drawing>
          <wp:inline distT="0" distB="0" distL="114300" distR="114300">
            <wp:extent cx="3737610" cy="2553970"/>
            <wp:effectExtent l="0" t="0" r="15240" b="17780"/>
            <wp:docPr id="6" name="Chart 26"/>
            <wp:cNvGraphicFramePr/>
            <a:graphic xmlns:a="http://schemas.openxmlformats.org/drawingml/2006/main">
              <a:graphicData uri="http://schemas.openxmlformats.org/drawingml/2006/picture">
                <pic:pic xmlns:pic="http://schemas.openxmlformats.org/drawingml/2006/picture">
                  <pic:nvPicPr>
                    <pic:cNvPr id="6" name="Chart 26"/>
                    <pic:cNvPicPr/>
                  </pic:nvPicPr>
                  <pic:blipFill>
                    <a:blip r:embed="rId11"/>
                    <a:srcRect l="10039" t="7024" r="6270" b="15686"/>
                    <a:stretch>
                      <a:fillRect/>
                    </a:stretch>
                  </pic:blipFill>
                  <pic:spPr>
                    <a:xfrm>
                      <a:off x="6124575" y="2952750"/>
                      <a:ext cx="3737610" cy="2553970"/>
                    </a:xfrm>
                    <a:prstGeom prst="rect">
                      <a:avLst/>
                    </a:prstGeom>
                    <a:noFill/>
                    <a:ln>
                      <a:noFill/>
                    </a:ln>
                  </pic:spPr>
                </pic:pic>
              </a:graphicData>
            </a:graphic>
          </wp:inline>
        </w:drawing>
      </w:r>
    </w:p>
    <w:p>
      <w:pPr>
        <w:pStyle w:val="13"/>
        <w:spacing w:before="0" w:beforeAutospacing="0" w:after="0" w:afterAutospacing="0" w:line="360" w:lineRule="auto"/>
        <w:jc w:val="center"/>
        <w:rPr>
          <w:rFonts w:ascii="宋体" w:hAnsi="宋体"/>
          <w:color w:val="auto"/>
          <w:sz w:val="24"/>
        </w:rPr>
      </w:pPr>
      <w:r>
        <w:rPr>
          <w:rFonts w:hint="eastAsia"/>
          <w:color w:val="auto"/>
          <w:sz w:val="24"/>
          <w:szCs w:val="24"/>
        </w:rPr>
        <w:t>图6</w:t>
      </w:r>
      <w:r>
        <w:rPr>
          <w:rFonts w:hint="eastAsia"/>
          <w:color w:val="auto"/>
          <w:sz w:val="24"/>
          <w:szCs w:val="24"/>
          <w:lang w:val="en-US" w:eastAsia="zh-CN"/>
        </w:rPr>
        <w:t xml:space="preserve">  </w:t>
      </w:r>
      <w:r>
        <w:rPr>
          <w:rFonts w:hint="eastAsia"/>
          <w:color w:val="auto"/>
          <w:sz w:val="24"/>
          <w:szCs w:val="24"/>
        </w:rPr>
        <w:t>TU1(T10150）</w:t>
      </w:r>
      <w:r>
        <w:rPr>
          <w:rFonts w:hint="eastAsia"/>
          <w:color w:val="auto"/>
          <w:kern w:val="0"/>
          <w:sz w:val="24"/>
          <w:szCs w:val="24"/>
        </w:rPr>
        <w:t>带材导电率导电率</w:t>
      </w:r>
      <w:r>
        <w:rPr>
          <w:rFonts w:hint="eastAsia"/>
          <w:color w:val="auto"/>
          <w:sz w:val="24"/>
          <w:szCs w:val="24"/>
        </w:rPr>
        <w:t>数据直方图</w:t>
      </w:r>
      <w:r>
        <w:rPr>
          <w:color w:val="auto"/>
        </w:rPr>
        <w:drawing>
          <wp:inline distT="0" distB="0" distL="114300" distR="114300">
            <wp:extent cx="3816350" cy="2684780"/>
            <wp:effectExtent l="0" t="0" r="12700" b="1270"/>
            <wp:docPr id="7" name="Chart 26"/>
            <wp:cNvGraphicFramePr/>
            <a:graphic xmlns:a="http://schemas.openxmlformats.org/drawingml/2006/main">
              <a:graphicData uri="http://schemas.openxmlformats.org/drawingml/2006/picture">
                <pic:pic xmlns:pic="http://schemas.openxmlformats.org/drawingml/2006/picture">
                  <pic:nvPicPr>
                    <pic:cNvPr id="7" name="Chart 26"/>
                    <pic:cNvPicPr/>
                  </pic:nvPicPr>
                  <pic:blipFill>
                    <a:blip r:embed="rId12"/>
                    <a:srcRect l="9500" t="5917" r="5333" b="15080"/>
                    <a:stretch>
                      <a:fillRect/>
                    </a:stretch>
                  </pic:blipFill>
                  <pic:spPr>
                    <a:xfrm>
                      <a:off x="7277100" y="10115550"/>
                      <a:ext cx="3816350" cy="2684780"/>
                    </a:xfrm>
                    <a:prstGeom prst="rect">
                      <a:avLst/>
                    </a:prstGeom>
                    <a:noFill/>
                    <a:ln>
                      <a:noFill/>
                    </a:ln>
                  </pic:spPr>
                </pic:pic>
              </a:graphicData>
            </a:graphic>
          </wp:inline>
        </w:drawing>
      </w:r>
    </w:p>
    <w:p>
      <w:pPr>
        <w:pStyle w:val="13"/>
        <w:spacing w:before="0" w:beforeAutospacing="0" w:after="0" w:afterAutospacing="0" w:line="360" w:lineRule="auto"/>
        <w:jc w:val="center"/>
        <w:rPr>
          <w:color w:val="auto"/>
          <w:sz w:val="24"/>
          <w:szCs w:val="24"/>
        </w:rPr>
      </w:pPr>
      <w:r>
        <w:rPr>
          <w:rFonts w:hint="eastAsia"/>
          <w:color w:val="auto"/>
          <w:sz w:val="24"/>
          <w:szCs w:val="24"/>
        </w:rPr>
        <w:t>图7</w:t>
      </w:r>
      <w:r>
        <w:rPr>
          <w:rFonts w:hint="eastAsia"/>
          <w:color w:val="auto"/>
          <w:sz w:val="24"/>
          <w:szCs w:val="24"/>
          <w:lang w:val="en-US" w:eastAsia="zh-CN"/>
        </w:rPr>
        <w:t xml:space="preserve">  </w:t>
      </w:r>
      <w:r>
        <w:rPr>
          <w:rFonts w:hint="eastAsia"/>
          <w:color w:val="auto"/>
          <w:sz w:val="24"/>
          <w:szCs w:val="24"/>
        </w:rPr>
        <w:t>TU3(T10200）</w:t>
      </w:r>
      <w:r>
        <w:rPr>
          <w:rFonts w:hint="eastAsia"/>
          <w:color w:val="auto"/>
          <w:kern w:val="0"/>
          <w:sz w:val="24"/>
          <w:szCs w:val="24"/>
        </w:rPr>
        <w:t>带材导电率导电率</w:t>
      </w:r>
      <w:r>
        <w:rPr>
          <w:rFonts w:hint="eastAsia"/>
          <w:color w:val="auto"/>
          <w:sz w:val="24"/>
          <w:szCs w:val="24"/>
        </w:rPr>
        <w:t>数据直方图</w:t>
      </w:r>
    </w:p>
    <w:p>
      <w:pPr>
        <w:spacing w:beforeLines="50" w:line="360" w:lineRule="auto"/>
        <w:ind w:firstLine="480" w:firstLineChars="200"/>
        <w:rPr>
          <w:rFonts w:hint="eastAsia" w:ascii="宋体" w:hAnsi="宋体"/>
          <w:color w:val="auto"/>
          <w:sz w:val="24"/>
        </w:rPr>
      </w:pPr>
      <w:r>
        <w:rPr>
          <w:rFonts w:hint="eastAsia" w:ascii="宋体" w:hAnsi="宋体" w:cs="宋体"/>
          <w:color w:val="auto"/>
          <w:sz w:val="24"/>
        </w:rPr>
        <w:t>由图表可知，TU00（C10100）带材导电率在99%IACS以上的合格率为97.94%；TU0(T10130)、TU1(T10150)带材导电率在98%IACS以上的合格率为99.51%；TU3(C10200带材导电率在98%IACS以上的合格率为96.18%。该产品技术指标：C10100导电率≥99%IACS，TU0（T10130）、TU(T10150)、TU3(C10200导电率≥98%IACS</w:t>
      </w:r>
      <w:r>
        <w:rPr>
          <w:rFonts w:hint="eastAsia" w:ascii="宋体" w:hAnsi="宋体"/>
          <w:color w:val="auto"/>
          <w:sz w:val="24"/>
        </w:rPr>
        <w:t>，指标制定合理,该产品属于成熟稳定产品。</w:t>
      </w:r>
    </w:p>
    <w:p>
      <w:pPr>
        <w:pStyle w:val="7"/>
        <w:spacing w:beforeLines="50" w:afterLines="50" w:line="360" w:lineRule="auto"/>
        <w:rPr>
          <w:rFonts w:hint="eastAsia" w:ascii="黑体" w:hAnsi="宋体" w:eastAsia="黑体"/>
          <w:bCs/>
          <w:color w:val="auto"/>
          <w:sz w:val="24"/>
          <w:szCs w:val="24"/>
          <w:lang w:val="en-US" w:eastAsia="zh-CN"/>
        </w:rPr>
      </w:pPr>
      <w:r>
        <w:rPr>
          <w:rFonts w:hint="eastAsia" w:ascii="黑体" w:hAnsi="宋体" w:eastAsia="黑体"/>
          <w:bCs/>
          <w:color w:val="auto"/>
          <w:sz w:val="24"/>
          <w:szCs w:val="24"/>
        </w:rPr>
        <w:t>3.3.</w:t>
      </w:r>
      <w:r>
        <w:rPr>
          <w:rFonts w:hint="eastAsia" w:ascii="黑体" w:hAnsi="宋体" w:eastAsia="黑体"/>
          <w:bCs/>
          <w:color w:val="auto"/>
          <w:sz w:val="24"/>
          <w:szCs w:val="24"/>
          <w:lang w:val="en-US" w:eastAsia="zh-CN"/>
        </w:rPr>
        <w:t>4</w:t>
      </w:r>
      <w:r>
        <w:rPr>
          <w:rFonts w:hint="eastAsia" w:ascii="黑体" w:hAnsi="宋体" w:eastAsia="黑体"/>
          <w:bCs/>
          <w:color w:val="auto"/>
          <w:sz w:val="24"/>
          <w:szCs w:val="24"/>
        </w:rPr>
        <w:t xml:space="preserve"> </w:t>
      </w:r>
      <w:r>
        <w:rPr>
          <w:rFonts w:hint="eastAsia" w:ascii="黑体" w:hAnsi="宋体" w:eastAsia="黑体"/>
          <w:bCs/>
          <w:color w:val="auto"/>
          <w:sz w:val="24"/>
          <w:szCs w:val="24"/>
          <w:lang w:val="en-US" w:eastAsia="zh-CN"/>
        </w:rPr>
        <w:t>粗糙度</w:t>
      </w:r>
    </w:p>
    <w:p>
      <w:pPr>
        <w:spacing w:line="360" w:lineRule="auto"/>
        <w:ind w:firstLine="480" w:firstLineChars="200"/>
        <w:rPr>
          <w:rFonts w:ascii="宋体" w:hAnsi="宋体" w:cs="宋体"/>
          <w:color w:val="auto"/>
          <w:sz w:val="24"/>
        </w:rPr>
      </w:pPr>
      <w:r>
        <w:rPr>
          <w:rFonts w:hint="eastAsia" w:ascii="宋体" w:hAnsi="宋体" w:cs="宋体"/>
          <w:color w:val="auto"/>
          <w:sz w:val="24"/>
        </w:rPr>
        <w:t>带材导电率统计如表</w:t>
      </w:r>
      <w:r>
        <w:rPr>
          <w:rFonts w:hint="eastAsia" w:ascii="宋体" w:hAnsi="宋体" w:cs="宋体"/>
          <w:color w:val="auto"/>
          <w:sz w:val="24"/>
          <w:lang w:val="en-US" w:eastAsia="zh-CN"/>
        </w:rPr>
        <w:t>11</w:t>
      </w:r>
      <w:r>
        <w:rPr>
          <w:rFonts w:hint="eastAsia" w:ascii="宋体" w:hAnsi="宋体" w:cs="宋体"/>
          <w:color w:val="auto"/>
          <w:sz w:val="24"/>
        </w:rPr>
        <w:t>，数据分布直方图如图</w:t>
      </w:r>
      <w:r>
        <w:rPr>
          <w:rFonts w:hint="eastAsia" w:ascii="宋体" w:hAnsi="宋体" w:cs="宋体"/>
          <w:color w:val="auto"/>
          <w:sz w:val="24"/>
          <w:lang w:val="en-US" w:eastAsia="zh-CN"/>
        </w:rPr>
        <w:t>8</w:t>
      </w:r>
      <w:r>
        <w:rPr>
          <w:rFonts w:hint="eastAsia" w:ascii="宋体" w:hAnsi="宋体" w:cs="宋体"/>
          <w:color w:val="auto"/>
          <w:sz w:val="24"/>
        </w:rPr>
        <w:t>所示。</w:t>
      </w:r>
    </w:p>
    <w:p>
      <w:pPr>
        <w:pStyle w:val="7"/>
        <w:spacing w:beforeLines="50" w:afterLines="50" w:line="360" w:lineRule="auto"/>
        <w:rPr>
          <w:rFonts w:hint="eastAsia" w:ascii="宋体" w:hAnsi="宋体" w:eastAsia="宋体" w:cs="宋体"/>
          <w:bCs/>
          <w:color w:val="auto"/>
          <w:sz w:val="24"/>
          <w:szCs w:val="24"/>
          <w:lang w:val="en-US" w:eastAsia="zh-CN"/>
        </w:rPr>
      </w:pPr>
    </w:p>
    <w:p>
      <w:pPr>
        <w:spacing w:line="360" w:lineRule="auto"/>
        <w:jc w:val="center"/>
        <w:rPr>
          <w:rFonts w:ascii="宋体" w:hAnsi="宋体" w:cs="宋体"/>
          <w:color w:val="auto"/>
          <w:sz w:val="24"/>
        </w:rPr>
      </w:pPr>
      <w:r>
        <w:rPr>
          <w:rFonts w:hint="eastAsia" w:ascii="宋体" w:hAnsi="宋体" w:cs="宋体"/>
          <w:color w:val="auto"/>
          <w:sz w:val="24"/>
        </w:rPr>
        <w:t>表1</w:t>
      </w:r>
      <w:r>
        <w:rPr>
          <w:rFonts w:hint="eastAsia" w:ascii="宋体" w:hAnsi="宋体" w:cs="宋体"/>
          <w:color w:val="auto"/>
          <w:sz w:val="24"/>
          <w:lang w:val="en-US" w:eastAsia="zh-CN"/>
        </w:rPr>
        <w:t xml:space="preserve">1  </w:t>
      </w:r>
      <w:r>
        <w:rPr>
          <w:rFonts w:hint="eastAsia" w:ascii="宋体" w:hAnsi="宋体" w:cs="宋体"/>
          <w:color w:val="auto"/>
          <w:kern w:val="0"/>
          <w:sz w:val="24"/>
        </w:rPr>
        <w:t>带材</w:t>
      </w:r>
      <w:r>
        <w:rPr>
          <w:rFonts w:hint="eastAsia" w:ascii="宋体" w:hAnsi="宋体" w:cs="宋体"/>
          <w:color w:val="auto"/>
          <w:kern w:val="0"/>
          <w:sz w:val="24"/>
          <w:lang w:val="en-US" w:eastAsia="zh-CN"/>
        </w:rPr>
        <w:t>粗糙度</w:t>
      </w:r>
      <w:r>
        <w:rPr>
          <w:rFonts w:hint="eastAsia" w:ascii="宋体" w:hAnsi="宋体" w:cs="宋体"/>
          <w:color w:val="auto"/>
          <w:sz w:val="24"/>
        </w:rPr>
        <w:t>频数和频率分布表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76"/>
        <w:gridCol w:w="1907"/>
        <w:gridCol w:w="1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组号</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区间</w:t>
            </w:r>
          </w:p>
        </w:tc>
        <w:tc>
          <w:tcPr>
            <w:tcW w:w="1907" w:type="dxa"/>
            <w:vAlign w:val="center"/>
          </w:tcPr>
          <w:p>
            <w:pPr>
              <w:jc w:val="center"/>
              <w:rPr>
                <w:rFonts w:ascii="宋体" w:hAnsi="宋体" w:cs="宋体"/>
                <w:color w:val="auto"/>
                <w:szCs w:val="21"/>
              </w:rPr>
            </w:pPr>
            <w:r>
              <w:rPr>
                <w:rFonts w:hint="eastAsia" w:ascii="宋体" w:hAnsi="宋体" w:cs="宋体"/>
                <w:color w:val="auto"/>
                <w:szCs w:val="21"/>
              </w:rPr>
              <w:t>组中值X＇i</w:t>
            </w:r>
          </w:p>
        </w:tc>
        <w:tc>
          <w:tcPr>
            <w:tcW w:w="1850" w:type="dxa"/>
            <w:vAlign w:val="center"/>
          </w:tcPr>
          <w:p>
            <w:pPr>
              <w:jc w:val="center"/>
              <w:rPr>
                <w:rFonts w:ascii="宋体" w:hAnsi="宋体" w:cs="宋体"/>
                <w:color w:val="auto"/>
                <w:szCs w:val="21"/>
              </w:rPr>
            </w:pPr>
            <w:r>
              <w:rPr>
                <w:rFonts w:hint="eastAsia" w:ascii="宋体" w:hAnsi="宋体" w:cs="宋体"/>
                <w:color w:val="auto"/>
                <w:szCs w:val="21"/>
              </w:rPr>
              <w:t>频数ni</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频率fi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0.09  0.15</w:t>
            </w:r>
            <w:r>
              <w:rPr>
                <w:rFonts w:hint="eastAsia" w:ascii="宋体" w:hAnsi="宋体" w:cs="宋体"/>
                <w:color w:val="auto"/>
                <w:szCs w:val="21"/>
              </w:rPr>
              <w:t>]</w:t>
            </w:r>
          </w:p>
        </w:tc>
        <w:tc>
          <w:tcPr>
            <w:tcW w:w="1907"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0.120</w:t>
            </w:r>
          </w:p>
        </w:tc>
        <w:tc>
          <w:tcPr>
            <w:tcW w:w="1850"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843" w:type="dxa"/>
            <w:vAlign w:val="center"/>
          </w:tcPr>
          <w:p>
            <w:pPr>
              <w:jc w:val="center"/>
              <w:rPr>
                <w:rFonts w:ascii="宋体" w:hAnsi="宋体" w:cs="宋体"/>
                <w:color w:val="auto"/>
                <w:szCs w:val="21"/>
              </w:rPr>
            </w:pPr>
            <w:r>
              <w:rPr>
                <w:rFonts w:hint="eastAsia" w:ascii="宋体" w:hAnsi="宋体" w:cs="宋体"/>
                <w:color w:val="auto"/>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0.15  0.20</w:t>
            </w:r>
            <w:r>
              <w:rPr>
                <w:rFonts w:hint="eastAsia" w:ascii="宋体" w:hAnsi="宋体" w:cs="宋体"/>
                <w:color w:val="auto"/>
                <w:szCs w:val="21"/>
              </w:rPr>
              <w:t>]</w:t>
            </w:r>
          </w:p>
        </w:tc>
        <w:tc>
          <w:tcPr>
            <w:tcW w:w="1907"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0.175</w:t>
            </w:r>
          </w:p>
        </w:tc>
        <w:tc>
          <w:tcPr>
            <w:tcW w:w="185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43</w:t>
            </w:r>
          </w:p>
        </w:tc>
        <w:tc>
          <w:tcPr>
            <w:tcW w:w="184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w:t>
            </w:r>
            <w:r>
              <w:rPr>
                <w:rFonts w:hint="eastAsia" w:ascii="宋体" w:hAnsi="宋体" w:cs="宋体"/>
                <w:color w:val="auto"/>
                <w:szCs w:val="21"/>
                <w:lang w:val="en-US" w:eastAsia="zh-CN"/>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0.20  0.25</w:t>
            </w:r>
            <w:r>
              <w:rPr>
                <w:rFonts w:hint="eastAsia" w:ascii="宋体" w:hAnsi="宋体" w:cs="宋体"/>
                <w:color w:val="auto"/>
                <w:szCs w:val="21"/>
              </w:rPr>
              <w:t>]</w:t>
            </w:r>
          </w:p>
        </w:tc>
        <w:tc>
          <w:tcPr>
            <w:tcW w:w="1907"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0.2255</w:t>
            </w:r>
          </w:p>
        </w:tc>
        <w:tc>
          <w:tcPr>
            <w:tcW w:w="185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48</w:t>
            </w:r>
          </w:p>
        </w:tc>
        <w:tc>
          <w:tcPr>
            <w:tcW w:w="184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0.25  0.40</w:t>
            </w:r>
            <w:r>
              <w:rPr>
                <w:rFonts w:hint="eastAsia" w:ascii="宋体" w:hAnsi="宋体" w:cs="宋体"/>
                <w:color w:val="auto"/>
                <w:szCs w:val="21"/>
              </w:rPr>
              <w:t>]</w:t>
            </w:r>
          </w:p>
        </w:tc>
        <w:tc>
          <w:tcPr>
            <w:tcW w:w="1907"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0.375</w:t>
            </w:r>
          </w:p>
        </w:tc>
        <w:tc>
          <w:tcPr>
            <w:tcW w:w="185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35</w:t>
            </w:r>
          </w:p>
        </w:tc>
        <w:tc>
          <w:tcPr>
            <w:tcW w:w="184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0.2</w:t>
            </w:r>
            <w:r>
              <w:rPr>
                <w:rFonts w:hint="eastAsia" w:ascii="宋体" w:hAnsi="宋体" w:cs="宋体"/>
                <w:color w:val="auto"/>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976" w:type="dxa"/>
            <w:vAlign w:val="center"/>
          </w:tcPr>
          <w:p>
            <w:pPr>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0.40  0.45</w:t>
            </w:r>
            <w:r>
              <w:rPr>
                <w:rFonts w:hint="eastAsia" w:ascii="宋体" w:hAnsi="宋体" w:cs="宋体"/>
                <w:color w:val="auto"/>
                <w:szCs w:val="21"/>
              </w:rPr>
              <w:t>]</w:t>
            </w:r>
          </w:p>
        </w:tc>
        <w:tc>
          <w:tcPr>
            <w:tcW w:w="1907"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0.425</w:t>
            </w:r>
          </w:p>
        </w:tc>
        <w:tc>
          <w:tcPr>
            <w:tcW w:w="1850"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843"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rPr>
              <w:t>0.</w:t>
            </w:r>
            <w:r>
              <w:rPr>
                <w:rFonts w:hint="eastAsia" w:ascii="宋体" w:hAnsi="宋体" w:cs="宋体"/>
                <w:color w:val="auto"/>
                <w:szCs w:val="21"/>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8"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976" w:type="dxa"/>
            <w:vAlign w:val="center"/>
          </w:tcPr>
          <w:p>
            <w:pPr>
              <w:jc w:val="center"/>
              <w:rPr>
                <w:rFonts w:ascii="宋体" w:hAnsi="宋体" w:cs="宋体"/>
                <w:color w:val="auto"/>
                <w:szCs w:val="21"/>
              </w:rPr>
            </w:pPr>
          </w:p>
        </w:tc>
        <w:tc>
          <w:tcPr>
            <w:tcW w:w="1907" w:type="dxa"/>
            <w:vAlign w:val="center"/>
          </w:tcPr>
          <w:p>
            <w:pPr>
              <w:jc w:val="center"/>
              <w:rPr>
                <w:rFonts w:ascii="宋体" w:hAnsi="宋体" w:cs="宋体"/>
                <w:color w:val="auto"/>
                <w:szCs w:val="21"/>
              </w:rPr>
            </w:pPr>
          </w:p>
        </w:tc>
        <w:tc>
          <w:tcPr>
            <w:tcW w:w="1850" w:type="dxa"/>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132</w:t>
            </w:r>
          </w:p>
        </w:tc>
        <w:tc>
          <w:tcPr>
            <w:tcW w:w="1843" w:type="dxa"/>
            <w:vAlign w:val="center"/>
          </w:tcPr>
          <w:p>
            <w:pPr>
              <w:jc w:val="center"/>
              <w:rPr>
                <w:rFonts w:ascii="宋体" w:hAnsi="宋体" w:cs="宋体"/>
                <w:color w:val="auto"/>
                <w:szCs w:val="21"/>
              </w:rPr>
            </w:pPr>
          </w:p>
        </w:tc>
      </w:tr>
    </w:tbl>
    <w:p>
      <w:pPr>
        <w:keepNext w:val="0"/>
        <w:keepLines w:val="0"/>
        <w:pageBreakBefore w:val="0"/>
        <w:widowControl w:val="0"/>
        <w:kinsoku/>
        <w:wordWrap/>
        <w:overflowPunct/>
        <w:topLinePunct w:val="0"/>
        <w:autoSpaceDE/>
        <w:autoSpaceDN/>
        <w:bidi w:val="0"/>
        <w:adjustRightInd/>
        <w:snapToGrid/>
        <w:spacing w:before="313" w:beforeLines="100" w:afterLines="50" w:line="360" w:lineRule="auto"/>
        <w:jc w:val="center"/>
        <w:textAlignment w:val="auto"/>
        <w:rPr>
          <w:rFonts w:hint="eastAsia" w:ascii="黑体" w:hAnsi="黑体" w:eastAsia="黑体"/>
          <w:bCs/>
          <w:color w:val="auto"/>
          <w:sz w:val="24"/>
        </w:rPr>
      </w:pPr>
      <w:r>
        <w:rPr>
          <w:color w:val="auto"/>
        </w:rPr>
        <w:pict>
          <v:shape id="_x0000_i1029" o:spt="75" type="#_x0000_t75" style="height:217.6pt;width:334.8pt;" filled="f" o:preferrelative="t" stroked="f" coordsize="21600,21600">
            <v:path/>
            <v:fill on="f" focussize="0,0"/>
            <v:stroke on="f"/>
            <v:imagedata r:id="rId13" cropleft="6230f" croptop="4357f" cropright="3927f" cropbottom="10339f" o:title=""/>
            <o:lock v:ext="edit" aspectratio="f"/>
            <w10:wrap type="none"/>
            <w10:anchorlock/>
          </v:shape>
        </w:pict>
      </w:r>
    </w:p>
    <w:p>
      <w:pPr>
        <w:pStyle w:val="13"/>
        <w:spacing w:before="0" w:beforeAutospacing="0" w:after="0" w:afterAutospacing="0" w:line="360" w:lineRule="auto"/>
        <w:jc w:val="center"/>
        <w:rPr>
          <w:color w:val="auto"/>
          <w:sz w:val="24"/>
          <w:szCs w:val="24"/>
        </w:rPr>
      </w:pPr>
      <w:r>
        <w:rPr>
          <w:rFonts w:hint="eastAsia"/>
          <w:color w:val="auto"/>
          <w:sz w:val="24"/>
          <w:szCs w:val="24"/>
        </w:rPr>
        <w:t>图</w:t>
      </w:r>
      <w:r>
        <w:rPr>
          <w:rFonts w:hint="eastAsia"/>
          <w:color w:val="auto"/>
          <w:sz w:val="24"/>
          <w:szCs w:val="24"/>
          <w:lang w:val="en-US" w:eastAsia="zh-CN"/>
        </w:rPr>
        <w:t xml:space="preserve">8  </w:t>
      </w:r>
      <w:r>
        <w:rPr>
          <w:rFonts w:hint="eastAsia"/>
          <w:color w:val="auto"/>
          <w:kern w:val="0"/>
          <w:sz w:val="24"/>
          <w:szCs w:val="24"/>
        </w:rPr>
        <w:t>带材</w:t>
      </w:r>
      <w:r>
        <w:rPr>
          <w:rFonts w:hint="eastAsia"/>
          <w:color w:val="auto"/>
          <w:kern w:val="0"/>
          <w:sz w:val="24"/>
          <w:szCs w:val="24"/>
          <w:lang w:val="en-US" w:eastAsia="zh-CN"/>
        </w:rPr>
        <w:t>粗糙度</w:t>
      </w:r>
      <w:r>
        <w:rPr>
          <w:rFonts w:hint="eastAsia"/>
          <w:color w:val="auto"/>
          <w:sz w:val="24"/>
          <w:szCs w:val="24"/>
        </w:rPr>
        <w:t>数据直方图</w:t>
      </w:r>
    </w:p>
    <w:p>
      <w:pPr>
        <w:pStyle w:val="15"/>
        <w:keepNext w:val="0"/>
        <w:keepLines w:val="0"/>
        <w:pageBreakBefore w:val="0"/>
        <w:widowControl w:val="0"/>
        <w:tabs>
          <w:tab w:val="left" w:pos="2400"/>
        </w:tabs>
        <w:kinsoku/>
        <w:wordWrap/>
        <w:overflowPunct/>
        <w:topLinePunct w:val="0"/>
        <w:autoSpaceDE/>
        <w:autoSpaceDN/>
        <w:bidi w:val="0"/>
        <w:adjustRightInd/>
        <w:snapToGrid/>
        <w:spacing w:before="157" w:beforeLines="50" w:line="360" w:lineRule="auto"/>
        <w:textAlignment w:val="auto"/>
        <w:rPr>
          <w:rFonts w:hint="eastAsia" w:ascii="宋体" w:hAnsi="宋体"/>
          <w:color w:val="auto"/>
          <w:sz w:val="24"/>
        </w:rPr>
      </w:pPr>
      <w:r>
        <w:rPr>
          <w:rFonts w:hint="eastAsia" w:ascii="宋体" w:hAnsi="宋体" w:cs="宋体"/>
          <w:color w:val="auto"/>
          <w:sz w:val="24"/>
        </w:rPr>
        <w:t>由图表可知，</w:t>
      </w:r>
      <w:r>
        <w:rPr>
          <w:rFonts w:hint="eastAsia" w:ascii="宋体" w:hAnsi="宋体" w:eastAsia="宋体" w:cs="宋体"/>
          <w:color w:val="auto"/>
          <w:sz w:val="24"/>
          <w:szCs w:val="24"/>
        </w:rPr>
        <w:t>带材的表面粗糙度（</w:t>
      </w:r>
      <w:r>
        <w:rPr>
          <w:rFonts w:hint="eastAsia" w:ascii="宋体" w:hAnsi="宋体" w:eastAsia="宋体" w:cs="宋体"/>
          <w:i/>
          <w:color w:val="auto"/>
          <w:sz w:val="24"/>
          <w:szCs w:val="24"/>
        </w:rPr>
        <w:t>R</w:t>
      </w:r>
      <w:r>
        <w:rPr>
          <w:rFonts w:hint="eastAsia" w:ascii="宋体" w:hAnsi="宋体" w:eastAsia="宋体" w:cs="宋体"/>
          <w:color w:val="auto"/>
          <w:sz w:val="24"/>
          <w:szCs w:val="24"/>
        </w:rPr>
        <w:t>a）</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rPr>
        <w:t>0.15μm～0.40μm</w:t>
      </w:r>
      <w:r>
        <w:rPr>
          <w:rFonts w:hint="eastAsia" w:ascii="宋体" w:hAnsi="宋体" w:cs="宋体"/>
          <w:color w:val="auto"/>
          <w:sz w:val="24"/>
          <w:szCs w:val="24"/>
          <w:lang w:val="en-US" w:eastAsia="zh-CN"/>
        </w:rPr>
        <w:t>之间</w:t>
      </w:r>
      <w:r>
        <w:rPr>
          <w:rFonts w:hint="eastAsia" w:ascii="宋体" w:hAnsi="宋体" w:cs="宋体"/>
          <w:color w:val="auto"/>
          <w:sz w:val="24"/>
        </w:rPr>
        <w:t>的合格率为9</w:t>
      </w:r>
      <w:r>
        <w:rPr>
          <w:rFonts w:hint="eastAsia" w:ascii="宋体" w:hAnsi="宋体" w:cs="宋体"/>
          <w:color w:val="auto"/>
          <w:sz w:val="24"/>
          <w:lang w:val="en-US" w:eastAsia="zh-CN"/>
        </w:rPr>
        <w:t>5.45</w:t>
      </w:r>
      <w:r>
        <w:rPr>
          <w:rFonts w:hint="eastAsia" w:ascii="宋体" w:hAnsi="宋体" w:cs="宋体"/>
          <w:color w:val="auto"/>
          <w:sz w:val="24"/>
        </w:rPr>
        <w:t>%。该产品技术指标：</w:t>
      </w:r>
      <w:r>
        <w:rPr>
          <w:rFonts w:hint="eastAsia" w:ascii="宋体" w:hAnsi="宋体" w:eastAsia="宋体" w:cs="宋体"/>
          <w:color w:val="auto"/>
          <w:sz w:val="24"/>
          <w:szCs w:val="24"/>
        </w:rPr>
        <w:t>带材的表面粗糙度（</w:t>
      </w:r>
      <w:r>
        <w:rPr>
          <w:rFonts w:hint="eastAsia" w:ascii="宋体" w:hAnsi="宋体" w:eastAsia="宋体" w:cs="宋体"/>
          <w:i/>
          <w:color w:val="auto"/>
          <w:sz w:val="24"/>
          <w:szCs w:val="24"/>
        </w:rPr>
        <w:t>R</w:t>
      </w:r>
      <w:r>
        <w:rPr>
          <w:rFonts w:hint="eastAsia" w:ascii="宋体" w:hAnsi="宋体" w:eastAsia="宋体" w:cs="宋体"/>
          <w:color w:val="auto"/>
          <w:sz w:val="24"/>
          <w:szCs w:val="24"/>
        </w:rPr>
        <w:t>a）0.15μm～0.40μm</w:t>
      </w:r>
      <w:r>
        <w:rPr>
          <w:rFonts w:hint="eastAsia" w:ascii="宋体" w:hAnsi="宋体"/>
          <w:color w:val="auto"/>
          <w:sz w:val="24"/>
        </w:rPr>
        <w:t>，指标制定合理。</w:t>
      </w:r>
    </w:p>
    <w:p>
      <w:pPr>
        <w:pStyle w:val="7"/>
        <w:spacing w:beforeLines="50" w:afterLines="50" w:line="360" w:lineRule="auto"/>
        <w:rPr>
          <w:rFonts w:hint="eastAsia" w:ascii="黑体" w:hAnsi="宋体" w:eastAsia="黑体"/>
          <w:bCs/>
          <w:color w:val="auto"/>
          <w:sz w:val="24"/>
          <w:szCs w:val="24"/>
          <w:lang w:val="en-US" w:eastAsia="zh-CN"/>
        </w:rPr>
      </w:pPr>
      <w:r>
        <w:rPr>
          <w:rFonts w:hint="eastAsia" w:ascii="黑体" w:hAnsi="宋体" w:eastAsia="黑体"/>
          <w:bCs/>
          <w:color w:val="auto"/>
          <w:sz w:val="24"/>
          <w:szCs w:val="24"/>
          <w:lang w:val="en-US" w:eastAsia="zh-CN"/>
        </w:rPr>
        <w:t>3.3.5  外形尺寸允许偏差</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本标准</w:t>
      </w:r>
      <w:r>
        <w:rPr>
          <w:rFonts w:hint="eastAsia" w:ascii="宋体" w:hAnsi="宋体" w:cs="宋体"/>
          <w:color w:val="auto"/>
          <w:sz w:val="24"/>
          <w:szCs w:val="24"/>
          <w:lang w:val="en-US" w:eastAsia="zh-CN"/>
        </w:rPr>
        <w:t>带材厚度</w:t>
      </w:r>
      <w:r>
        <w:rPr>
          <w:rFonts w:hint="eastAsia" w:ascii="宋体" w:hAnsi="宋体" w:eastAsia="宋体" w:cs="宋体"/>
          <w:color w:val="auto"/>
          <w:sz w:val="24"/>
          <w:szCs w:val="24"/>
        </w:rPr>
        <w:t>为</w:t>
      </w:r>
      <w:r>
        <w:rPr>
          <w:rFonts w:hint="eastAsia" w:ascii="宋体" w:hAnsi="宋体" w:cs="宋体"/>
          <w:color w:val="auto"/>
          <w:sz w:val="24"/>
          <w:szCs w:val="24"/>
          <w:lang w:val="en-US" w:eastAsia="zh-CN"/>
        </w:rPr>
        <w:t>0.10</w:t>
      </w:r>
      <w:r>
        <w:rPr>
          <w:rFonts w:hint="eastAsia" w:ascii="宋体" w:hAnsi="宋体" w:eastAsia="宋体" w:cs="宋体"/>
          <w:color w:val="auto"/>
          <w:sz w:val="24"/>
          <w:szCs w:val="24"/>
        </w:rPr>
        <w:t>mm～1.</w:t>
      </w:r>
      <w:r>
        <w:rPr>
          <w:rFonts w:hint="eastAsia" w:ascii="宋体" w:hAnsi="宋体" w:cs="宋体"/>
          <w:color w:val="auto"/>
          <w:sz w:val="24"/>
          <w:szCs w:val="24"/>
          <w:lang w:val="en-US" w:eastAsia="zh-CN"/>
        </w:rPr>
        <w:t>00</w:t>
      </w:r>
      <w:r>
        <w:rPr>
          <w:rFonts w:hint="eastAsia" w:ascii="宋体" w:hAnsi="宋体" w:eastAsia="宋体" w:cs="宋体"/>
          <w:color w:val="auto"/>
          <w:sz w:val="24"/>
          <w:szCs w:val="24"/>
        </w:rPr>
        <w:t>mm</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宽度不大于</w:t>
      </w:r>
      <w:r>
        <w:rPr>
          <w:rFonts w:hint="eastAsia" w:ascii="宋体" w:hAnsi="宋体"/>
          <w:color w:val="auto"/>
          <w:kern w:val="2"/>
          <w:sz w:val="24"/>
          <w:szCs w:val="24"/>
        </w:rPr>
        <w:t>600</w:t>
      </w:r>
      <w:r>
        <w:rPr>
          <w:rFonts w:hint="eastAsia" w:ascii="宋体" w:hAnsi="宋体"/>
          <w:color w:val="auto"/>
          <w:kern w:val="2"/>
          <w:sz w:val="24"/>
          <w:szCs w:val="24"/>
          <w:lang w:val="en-US" w:eastAsia="zh-CN"/>
        </w:rPr>
        <w:t>mm</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规定了带材厚度、</w:t>
      </w:r>
      <w:r>
        <w:rPr>
          <w:rFonts w:hint="eastAsia" w:ascii="宋体" w:hAnsi="宋体" w:eastAsia="宋体" w:cs="宋体"/>
          <w:color w:val="auto"/>
          <w:sz w:val="24"/>
          <w:szCs w:val="24"/>
        </w:rPr>
        <w:t>宽度</w:t>
      </w:r>
      <w:r>
        <w:rPr>
          <w:rFonts w:hint="eastAsia" w:ascii="宋体" w:hAnsi="宋体" w:cs="宋体"/>
          <w:color w:val="auto"/>
          <w:sz w:val="24"/>
          <w:szCs w:val="24"/>
          <w:lang w:val="en-US" w:eastAsia="zh-CN"/>
        </w:rPr>
        <w:t>和侧边弯曲度</w:t>
      </w:r>
      <w:r>
        <w:rPr>
          <w:rFonts w:hint="eastAsia" w:ascii="宋体" w:hAnsi="宋体" w:eastAsia="宋体" w:cs="宋体"/>
          <w:color w:val="auto"/>
          <w:sz w:val="24"/>
          <w:szCs w:val="24"/>
        </w:rPr>
        <w:t>允许偏差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带材外形尺寸允许偏差检测数据统计见表12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表14.</w:t>
      </w:r>
    </w:p>
    <w:p>
      <w:pPr>
        <w:spacing w:line="360" w:lineRule="auto"/>
        <w:ind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表1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厚度检测数据统计表</w:t>
      </w:r>
    </w:p>
    <w:tbl>
      <w:tblPr>
        <w:tblStyle w:val="16"/>
        <w:tblW w:w="4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053"/>
        <w:gridCol w:w="2219"/>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8"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厚度，mm</w:t>
            </w:r>
          </w:p>
        </w:tc>
        <w:tc>
          <w:tcPr>
            <w:tcW w:w="1202"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厚度允许偏差，mm</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样品数</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8" w:type="pct"/>
            <w:vAlign w:val="center"/>
          </w:tcPr>
          <w:p>
            <w:pPr>
              <w:pStyle w:val="2"/>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0.10～0.15</w:t>
            </w:r>
          </w:p>
        </w:tc>
        <w:tc>
          <w:tcPr>
            <w:tcW w:w="1202"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±0.007</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8" w:type="pct"/>
            <w:vAlign w:val="center"/>
          </w:tcPr>
          <w:p>
            <w:pPr>
              <w:pStyle w:val="2"/>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＞0.15～0.30</w:t>
            </w:r>
          </w:p>
        </w:tc>
        <w:tc>
          <w:tcPr>
            <w:tcW w:w="1202"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±0.010</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8" w:type="pct"/>
            <w:vAlign w:val="center"/>
          </w:tcPr>
          <w:p>
            <w:pPr>
              <w:pStyle w:val="2"/>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＞0.30～0.50</w:t>
            </w:r>
          </w:p>
        </w:tc>
        <w:tc>
          <w:tcPr>
            <w:tcW w:w="1202"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±0.015</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98" w:type="pct"/>
            <w:vAlign w:val="center"/>
          </w:tcPr>
          <w:p>
            <w:pPr>
              <w:pStyle w:val="2"/>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＞0.50～0.80</w:t>
            </w:r>
          </w:p>
        </w:tc>
        <w:tc>
          <w:tcPr>
            <w:tcW w:w="1202"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±0.025</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98" w:type="pct"/>
            <w:vAlign w:val="center"/>
          </w:tcPr>
          <w:p>
            <w:pPr>
              <w:pStyle w:val="2"/>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＞0.80～1.00</w:t>
            </w:r>
          </w:p>
        </w:tc>
        <w:tc>
          <w:tcPr>
            <w:tcW w:w="1202"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±0.035</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9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99</w:t>
            </w:r>
          </w:p>
        </w:tc>
      </w:tr>
    </w:tbl>
    <w:p>
      <w:pPr>
        <w:spacing w:line="360" w:lineRule="auto"/>
        <w:ind w:firstLine="420"/>
        <w:jc w:val="center"/>
        <w:rPr>
          <w:rFonts w:hint="eastAsia" w:ascii="宋体" w:hAnsi="宋体" w:eastAsia="宋体" w:cs="宋体"/>
          <w:color w:val="auto"/>
          <w:sz w:val="24"/>
          <w:szCs w:val="24"/>
        </w:rPr>
      </w:pPr>
      <w:r>
        <w:rPr>
          <w:rFonts w:hint="eastAsia" w:ascii="宋体" w:hAnsi="宋体" w:eastAsia="宋体" w:cs="宋体"/>
          <w:color w:val="auto"/>
          <w:sz w:val="24"/>
          <w:szCs w:val="24"/>
        </w:rPr>
        <w:t>表</w:t>
      </w:r>
      <w:r>
        <w:rPr>
          <w:rFonts w:hint="eastAsia" w:ascii="宋体" w:hAnsi="宋体" w:cs="宋体"/>
          <w:color w:val="auto"/>
          <w:sz w:val="24"/>
          <w:szCs w:val="24"/>
          <w:lang w:val="en-US" w:eastAsia="zh-CN"/>
        </w:rPr>
        <w:t>13  带材</w:t>
      </w:r>
      <w:r>
        <w:rPr>
          <w:rFonts w:hint="eastAsia" w:ascii="宋体" w:hAnsi="宋体" w:eastAsia="宋体" w:cs="宋体"/>
          <w:color w:val="auto"/>
          <w:sz w:val="24"/>
          <w:szCs w:val="24"/>
        </w:rPr>
        <w:t>宽度规格检测数据统计表</w:t>
      </w:r>
    </w:p>
    <w:tbl>
      <w:tblPr>
        <w:tblStyle w:val="16"/>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686"/>
        <w:gridCol w:w="2220"/>
        <w:gridCol w:w="1294"/>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vAlign w:val="center"/>
          </w:tcPr>
          <w:p>
            <w:pPr>
              <w:spacing w:before="100" w:beforeAutospacing="1" w:after="100" w:afterAutospacing="1"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厚度</w:t>
            </w:r>
          </w:p>
        </w:tc>
        <w:tc>
          <w:tcPr>
            <w:tcW w:w="967"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宽度，mm</w:t>
            </w:r>
          </w:p>
        </w:tc>
        <w:tc>
          <w:tcPr>
            <w:tcW w:w="1273"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宽度允许偏差，mm</w:t>
            </w:r>
          </w:p>
        </w:tc>
        <w:tc>
          <w:tcPr>
            <w:tcW w:w="742"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样品数</w:t>
            </w:r>
          </w:p>
        </w:tc>
        <w:tc>
          <w:tcPr>
            <w:tcW w:w="104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0.10</w:t>
            </w:r>
            <w:r>
              <w:rPr>
                <w:rFonts w:hint="eastAsia" w:ascii="宋体" w:hAnsi="宋体" w:eastAsia="宋体" w:cs="宋体"/>
                <w:color w:val="auto"/>
                <w:kern w:val="2"/>
                <w:sz w:val="21"/>
                <w:szCs w:val="21"/>
              </w:rPr>
              <w:t>～</w:t>
            </w:r>
            <w:r>
              <w:rPr>
                <w:rFonts w:hint="eastAsia" w:ascii="宋体" w:hAnsi="宋体" w:eastAsia="宋体" w:cs="宋体"/>
                <w:color w:val="auto"/>
                <w:sz w:val="21"/>
                <w:szCs w:val="21"/>
              </w:rPr>
              <w:t>0.5</w:t>
            </w:r>
          </w:p>
        </w:tc>
        <w:tc>
          <w:tcPr>
            <w:tcW w:w="967"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r>
              <w:rPr>
                <w:rStyle w:val="36"/>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w:t>
            </w:r>
          </w:p>
        </w:tc>
        <w:tc>
          <w:tcPr>
            <w:tcW w:w="1273" w:type="pct"/>
            <w:vAlign w:val="center"/>
          </w:tcPr>
          <w:p>
            <w:pPr>
              <w:spacing w:before="100" w:beforeAutospacing="1" w:after="100" w:afterAutospacing="1"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±0.1</w:t>
            </w:r>
            <w:r>
              <w:rPr>
                <w:rFonts w:hint="eastAsia" w:ascii="宋体" w:hAnsi="宋体" w:eastAsia="宋体" w:cs="宋体"/>
                <w:color w:val="auto"/>
                <w:sz w:val="21"/>
                <w:szCs w:val="21"/>
                <w:lang w:val="en-US" w:eastAsia="zh-CN"/>
              </w:rPr>
              <w:t>5</w:t>
            </w:r>
          </w:p>
        </w:tc>
        <w:tc>
          <w:tcPr>
            <w:tcW w:w="742"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04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6" w:type="pct"/>
            <w:vAlign w:val="center"/>
          </w:tcPr>
          <w:p>
            <w:pPr>
              <w:pStyle w:val="2"/>
              <w:ind w:firstLine="0" w:firstLine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＞0.50～1.00</w:t>
            </w:r>
          </w:p>
        </w:tc>
        <w:tc>
          <w:tcPr>
            <w:tcW w:w="967" w:type="pct"/>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r>
              <w:rPr>
                <w:rStyle w:val="36"/>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w:t>
            </w:r>
          </w:p>
        </w:tc>
        <w:tc>
          <w:tcPr>
            <w:tcW w:w="1273" w:type="pct"/>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20</w:t>
            </w:r>
          </w:p>
        </w:tc>
        <w:tc>
          <w:tcPr>
            <w:tcW w:w="742"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049" w:type="pct"/>
            <w:vAlign w:val="center"/>
          </w:tcPr>
          <w:p>
            <w:pPr>
              <w:spacing w:before="100" w:beforeAutospacing="1" w:after="100" w:afterAutospacing="1"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r>
    </w:tbl>
    <w:p>
      <w:pPr>
        <w:tabs>
          <w:tab w:val="left" w:pos="5080"/>
        </w:tabs>
        <w:ind w:firstLine="420" w:firstLineChars="200"/>
        <w:rPr>
          <w:rFonts w:hint="eastAsia"/>
          <w:color w:val="auto"/>
          <w:sz w:val="21"/>
          <w:szCs w:val="21"/>
        </w:rPr>
      </w:pPr>
    </w:p>
    <w:p>
      <w:pPr>
        <w:tabs>
          <w:tab w:val="left" w:pos="5080"/>
        </w:tabs>
        <w:ind w:firstLine="480" w:firstLineChars="200"/>
        <w:rPr>
          <w:rFonts w:hint="eastAsia" w:ascii="宋体" w:hAnsi="宋体"/>
          <w:color w:val="auto"/>
          <w:sz w:val="24"/>
          <w:szCs w:val="24"/>
        </w:rPr>
      </w:pPr>
      <w:r>
        <w:rPr>
          <w:rFonts w:hint="eastAsia"/>
          <w:color w:val="auto"/>
          <w:sz w:val="24"/>
          <w:szCs w:val="24"/>
        </w:rPr>
        <w:t>根据以上数据分析，标准中规定的外形尺寸允许偏差</w:t>
      </w:r>
      <w:r>
        <w:rPr>
          <w:rFonts w:hint="eastAsia" w:ascii="宋体" w:hAnsi="宋体"/>
          <w:color w:val="auto"/>
          <w:sz w:val="24"/>
          <w:szCs w:val="24"/>
        </w:rPr>
        <w:t>指标制定合理</w:t>
      </w:r>
      <w:r>
        <w:rPr>
          <w:rFonts w:hint="eastAsia"/>
          <w:color w:val="auto"/>
          <w:sz w:val="24"/>
          <w:szCs w:val="24"/>
        </w:rPr>
        <w:t>。</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四、标准水平对</w:t>
      </w:r>
      <w:r>
        <w:rPr>
          <w:rFonts w:hint="eastAsia" w:ascii="黑体" w:hAnsi="宋体" w:eastAsia="黑体" w:cs="Courier New"/>
          <w:bCs/>
          <w:color w:val="auto"/>
          <w:sz w:val="24"/>
          <w:szCs w:val="21"/>
        </w:rPr>
        <w:t>比</w:t>
      </w:r>
    </w:p>
    <w:p>
      <w:pPr>
        <w:spacing w:line="360" w:lineRule="auto"/>
        <w:ind w:firstLine="480" w:firstLineChars="200"/>
        <w:rPr>
          <w:rFonts w:hint="eastAsia" w:ascii="宋体" w:hAnsi="宋体"/>
          <w:color w:val="auto"/>
          <w:sz w:val="24"/>
        </w:rPr>
      </w:pPr>
      <w:r>
        <w:rPr>
          <w:rFonts w:hint="eastAsia" w:ascii="宋体" w:hAnsi="宋体"/>
          <w:color w:val="auto"/>
          <w:sz w:val="24"/>
        </w:rPr>
        <w:t>通过文献检索和网上查询和国内外关于无氧铜带的标准的对比。国内标准GB/T14594-2014 《电真空器件用用无氧铜板和带》；日本</w:t>
      </w:r>
      <w:r>
        <w:rPr>
          <w:rFonts w:hint="eastAsia" w:ascii="宋体" w:hAnsi="宋体" w:cs="宋体"/>
          <w:color w:val="auto"/>
          <w:kern w:val="0"/>
          <w:sz w:val="24"/>
        </w:rPr>
        <w:t xml:space="preserve">JIS H 3510-2012 </w:t>
      </w:r>
      <w:r>
        <w:rPr>
          <w:rFonts w:hint="eastAsia" w:ascii="宋体" w:hAnsi="宋体"/>
          <w:color w:val="auto"/>
          <w:sz w:val="24"/>
        </w:rPr>
        <w:t>《</w:t>
      </w:r>
      <w:r>
        <w:rPr>
          <w:rFonts w:hint="eastAsia" w:ascii="宋体" w:hAnsi="宋体" w:cs="宋体"/>
          <w:color w:val="auto"/>
          <w:kern w:val="0"/>
          <w:sz w:val="24"/>
        </w:rPr>
        <w:t>电子器件用无氧铜薄片、板材</w:t>
      </w:r>
      <w:r>
        <w:rPr>
          <w:rFonts w:hint="eastAsia" w:ascii="宋体" w:hAnsi="宋体"/>
          <w:color w:val="auto"/>
          <w:sz w:val="24"/>
        </w:rPr>
        <w:t>》</w:t>
      </w:r>
      <w:r>
        <w:rPr>
          <w:rFonts w:hint="eastAsia" w:ascii="宋体" w:hAnsi="宋体" w:cs="宋体"/>
          <w:color w:val="auto"/>
          <w:kern w:val="0"/>
          <w:sz w:val="24"/>
        </w:rPr>
        <w:t>；美国ASTM B152-2013</w:t>
      </w:r>
      <w:r>
        <w:rPr>
          <w:rFonts w:hint="eastAsia" w:ascii="宋体" w:hAnsi="宋体"/>
          <w:color w:val="auto"/>
          <w:sz w:val="24"/>
        </w:rPr>
        <w:t xml:space="preserve"> 《</w:t>
      </w:r>
      <w:r>
        <w:rPr>
          <w:rFonts w:hint="eastAsia" w:ascii="宋体" w:hAnsi="宋体" w:cs="宋体"/>
          <w:color w:val="auto"/>
          <w:kern w:val="0"/>
          <w:sz w:val="24"/>
        </w:rPr>
        <w:t>铜薄板、带材、厚板和轧制条材</w:t>
      </w:r>
      <w:r>
        <w:rPr>
          <w:rFonts w:hint="eastAsia" w:ascii="宋体" w:hAnsi="宋体"/>
          <w:color w:val="auto"/>
          <w:sz w:val="24"/>
        </w:rPr>
        <w:t>》</w:t>
      </w:r>
      <w:r>
        <w:rPr>
          <w:rFonts w:hint="eastAsia" w:ascii="宋体" w:hAnsi="宋体" w:cs="宋体"/>
          <w:color w:val="auto"/>
          <w:kern w:val="0"/>
          <w:sz w:val="24"/>
        </w:rPr>
        <w:t>带材从</w:t>
      </w:r>
      <w:r>
        <w:rPr>
          <w:rFonts w:hint="eastAsia" w:ascii="宋体" w:hAnsi="宋体"/>
          <w:color w:val="auto"/>
          <w:sz w:val="24"/>
        </w:rPr>
        <w:t>产品牌号、力学性能、电性能、晶粒度、氧含量、粗糙度比对，本标准产品规定指标优于以上标准，且涵盖的范围比以上国内外标准的适应面更广，能够适应电力电子等领域陶瓷复合的使用要求，具体见下表。</w:t>
      </w:r>
    </w:p>
    <w:p>
      <w:pPr>
        <w:spacing w:line="360" w:lineRule="auto"/>
        <w:jc w:val="center"/>
        <w:rPr>
          <w:rFonts w:ascii="宋体" w:hAnsi="宋体"/>
          <w:color w:val="auto"/>
          <w:sz w:val="24"/>
        </w:rPr>
      </w:pPr>
      <w:r>
        <w:rPr>
          <w:rFonts w:hint="eastAsia" w:ascii="宋体" w:hAnsi="宋体"/>
          <w:color w:val="auto"/>
          <w:sz w:val="24"/>
        </w:rPr>
        <w:t>表</w:t>
      </w:r>
      <w:r>
        <w:rPr>
          <w:rFonts w:hint="eastAsia" w:ascii="宋体" w:hAnsi="宋体"/>
          <w:color w:val="auto"/>
          <w:sz w:val="24"/>
          <w:lang w:val="en-US" w:eastAsia="zh-CN"/>
        </w:rPr>
        <w:t xml:space="preserve">14 </w:t>
      </w:r>
      <w:r>
        <w:rPr>
          <w:rFonts w:hint="eastAsia" w:ascii="宋体" w:hAnsi="宋体"/>
          <w:color w:val="auto"/>
          <w:sz w:val="24"/>
        </w:rPr>
        <w:t xml:space="preserve"> 国内、外无氧铜带（H04态）标准对比表</w:t>
      </w:r>
    </w:p>
    <w:tbl>
      <w:tblPr>
        <w:tblStyle w:val="16"/>
        <w:tblW w:w="9043" w:type="dxa"/>
        <w:jc w:val="center"/>
        <w:tblLayout w:type="fixed"/>
        <w:tblCellMar>
          <w:top w:w="0" w:type="dxa"/>
          <w:left w:w="0" w:type="dxa"/>
          <w:bottom w:w="0" w:type="dxa"/>
          <w:right w:w="0" w:type="dxa"/>
        </w:tblCellMar>
      </w:tblPr>
      <w:tblGrid>
        <w:gridCol w:w="1751"/>
        <w:gridCol w:w="2258"/>
        <w:gridCol w:w="1290"/>
        <w:gridCol w:w="1882"/>
        <w:gridCol w:w="1862"/>
      </w:tblGrid>
      <w:tr>
        <w:tblPrEx>
          <w:tblCellMar>
            <w:top w:w="0" w:type="dxa"/>
            <w:left w:w="0" w:type="dxa"/>
            <w:bottom w:w="0" w:type="dxa"/>
            <w:right w:w="0" w:type="dxa"/>
          </w:tblCellMar>
        </w:tblPrEx>
        <w:trPr>
          <w:trHeight w:val="600" w:hRule="atLeast"/>
          <w:jc w:val="center"/>
        </w:trPr>
        <w:tc>
          <w:tcPr>
            <w:tcW w:w="1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2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本标准</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 xml:space="preserve">JIS H3510 </w:t>
            </w: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ASTM B152M</w:t>
            </w:r>
          </w:p>
        </w:tc>
        <w:tc>
          <w:tcPr>
            <w:tcW w:w="1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GB/T14594-2014</w:t>
            </w:r>
          </w:p>
        </w:tc>
      </w:tr>
      <w:tr>
        <w:tblPrEx>
          <w:tblCellMar>
            <w:top w:w="0" w:type="dxa"/>
            <w:left w:w="0" w:type="dxa"/>
            <w:bottom w:w="0" w:type="dxa"/>
            <w:right w:w="0" w:type="dxa"/>
          </w:tblCellMar>
        </w:tblPrEx>
        <w:trPr>
          <w:trHeight w:val="684" w:hRule="atLeast"/>
          <w:jc w:val="center"/>
        </w:trPr>
        <w:tc>
          <w:tcPr>
            <w:tcW w:w="1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牌号</w:t>
            </w:r>
          </w:p>
        </w:tc>
        <w:tc>
          <w:tcPr>
            <w:tcW w:w="2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18"/>
                <w:szCs w:val="18"/>
                <w:highlight w:val="none"/>
              </w:rPr>
              <w:t>TU00</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C10100</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TU0(T10130）、TU1(T10150）、TU3（C10200）</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C1011</w:t>
            </w: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C10100</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C10200</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C10300</w:t>
            </w:r>
          </w:p>
        </w:tc>
        <w:tc>
          <w:tcPr>
            <w:tcW w:w="1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TU00</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TU0</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TU1</w:t>
            </w:r>
          </w:p>
        </w:tc>
      </w:tr>
      <w:tr>
        <w:tblPrEx>
          <w:tblCellMar>
            <w:top w:w="0" w:type="dxa"/>
            <w:left w:w="0" w:type="dxa"/>
            <w:bottom w:w="0" w:type="dxa"/>
            <w:right w:w="0" w:type="dxa"/>
          </w:tblCellMar>
        </w:tblPrEx>
        <w:trPr>
          <w:trHeight w:val="355" w:hRule="atLeast"/>
          <w:jc w:val="center"/>
        </w:trPr>
        <w:tc>
          <w:tcPr>
            <w:tcW w:w="1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抗拉强度/MPa</w:t>
            </w:r>
          </w:p>
        </w:tc>
        <w:tc>
          <w:tcPr>
            <w:tcW w:w="2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H04:</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lang w:val="en-US" w:eastAsia="zh-CN"/>
              </w:rPr>
              <w:t>300</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 xml:space="preserve">275 </w:t>
            </w: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H04:Rm295-360;</w:t>
            </w:r>
          </w:p>
        </w:tc>
        <w:tc>
          <w:tcPr>
            <w:tcW w:w="1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H04:</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275</w:t>
            </w:r>
          </w:p>
        </w:tc>
      </w:tr>
      <w:tr>
        <w:tblPrEx>
          <w:tblCellMar>
            <w:top w:w="0" w:type="dxa"/>
            <w:left w:w="0" w:type="dxa"/>
            <w:bottom w:w="0" w:type="dxa"/>
            <w:right w:w="0" w:type="dxa"/>
          </w:tblCellMar>
        </w:tblPrEx>
        <w:trPr>
          <w:trHeight w:val="532" w:hRule="atLeast"/>
          <w:jc w:val="center"/>
        </w:trPr>
        <w:tc>
          <w:tcPr>
            <w:tcW w:w="1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硬度</w:t>
            </w:r>
          </w:p>
        </w:tc>
        <w:tc>
          <w:tcPr>
            <w:tcW w:w="2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HV 90～120</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HRF</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80</w:t>
            </w: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HRF 86-93</w:t>
            </w:r>
          </w:p>
        </w:tc>
        <w:tc>
          <w:tcPr>
            <w:tcW w:w="1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HV</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100</w:t>
            </w:r>
          </w:p>
        </w:tc>
      </w:tr>
      <w:tr>
        <w:tblPrEx>
          <w:tblCellMar>
            <w:top w:w="0" w:type="dxa"/>
            <w:left w:w="0" w:type="dxa"/>
            <w:bottom w:w="0" w:type="dxa"/>
            <w:right w:w="0" w:type="dxa"/>
          </w:tblCellMar>
        </w:tblPrEx>
        <w:trPr>
          <w:trHeight w:val="684" w:hRule="atLeast"/>
          <w:jc w:val="center"/>
        </w:trPr>
        <w:tc>
          <w:tcPr>
            <w:tcW w:w="17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电性能/% IACS</w:t>
            </w:r>
          </w:p>
        </w:tc>
        <w:tc>
          <w:tcPr>
            <w:tcW w:w="2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H04:</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99</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2.0mm以下97</w:t>
            </w:r>
          </w:p>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2.0mm以上98</w:t>
            </w:r>
          </w:p>
        </w:tc>
        <w:tc>
          <w:tcPr>
            <w:tcW w:w="1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w:t>
            </w:r>
          </w:p>
        </w:tc>
        <w:tc>
          <w:tcPr>
            <w:tcW w:w="1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H04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0"/>
                <w:sz w:val="21"/>
                <w:szCs w:val="21"/>
                <w:highlight w:val="none"/>
              </w:rPr>
              <w:t>98</w:t>
            </w:r>
          </w:p>
        </w:tc>
      </w:tr>
      <w:tr>
        <w:tblPrEx>
          <w:tblCellMar>
            <w:top w:w="0" w:type="dxa"/>
            <w:left w:w="0" w:type="dxa"/>
            <w:bottom w:w="0" w:type="dxa"/>
            <w:right w:w="0" w:type="dxa"/>
          </w:tblCellMar>
        </w:tblPrEx>
        <w:trPr>
          <w:trHeight w:val="684" w:hRule="atLeast"/>
          <w:jc w:val="center"/>
        </w:trPr>
        <w:tc>
          <w:tcPr>
            <w:tcW w:w="175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高温晶粒度/</w:t>
            </w:r>
          </w:p>
        </w:tc>
        <w:tc>
          <w:tcPr>
            <w:tcW w:w="225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0.10</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1070℃±10℃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0.15</w:t>
            </w:r>
          </w:p>
        </w:tc>
        <w:tc>
          <w:tcPr>
            <w:tcW w:w="129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tc>
        <w:tc>
          <w:tcPr>
            <w:tcW w:w="188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tc>
        <w:tc>
          <w:tcPr>
            <w:tcW w:w="186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tc>
      </w:tr>
      <w:tr>
        <w:tblPrEx>
          <w:tblCellMar>
            <w:top w:w="0" w:type="dxa"/>
            <w:left w:w="0" w:type="dxa"/>
            <w:bottom w:w="0" w:type="dxa"/>
            <w:right w:w="0" w:type="dxa"/>
          </w:tblCellMar>
        </w:tblPrEx>
        <w:trPr>
          <w:trHeight w:val="546" w:hRule="atLeast"/>
          <w:jc w:val="center"/>
        </w:trPr>
        <w:tc>
          <w:tcPr>
            <w:tcW w:w="17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粗糙度（</w:t>
            </w:r>
            <w:r>
              <w:rPr>
                <w:rFonts w:hint="eastAsia" w:ascii="宋体" w:hAnsi="宋体" w:eastAsia="宋体" w:cs="宋体"/>
                <w:b/>
                <w:bCs/>
                <w:i/>
                <w:color w:val="auto"/>
                <w:sz w:val="21"/>
                <w:szCs w:val="21"/>
                <w:highlight w:val="none"/>
              </w:rPr>
              <w:t>R</w:t>
            </w:r>
            <w:r>
              <w:rPr>
                <w:rFonts w:hint="eastAsia" w:ascii="宋体" w:hAnsi="宋体" w:eastAsia="宋体" w:cs="宋体"/>
                <w:b/>
                <w:bCs/>
                <w:color w:val="auto"/>
                <w:sz w:val="21"/>
                <w:szCs w:val="21"/>
                <w:highlight w:val="none"/>
              </w:rPr>
              <w:t>a</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μm</w:t>
            </w:r>
          </w:p>
        </w:tc>
        <w:tc>
          <w:tcPr>
            <w:tcW w:w="225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0.15～0.40</w:t>
            </w:r>
          </w:p>
        </w:tc>
        <w:tc>
          <w:tcPr>
            <w:tcW w:w="12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p>
        </w:tc>
        <w:tc>
          <w:tcPr>
            <w:tcW w:w="188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8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r>
    </w:tbl>
    <w:p>
      <w:pPr>
        <w:spacing w:beforeLines="50" w:line="360" w:lineRule="auto"/>
        <w:ind w:firstLine="480" w:firstLineChars="200"/>
        <w:rPr>
          <w:rFonts w:ascii="宋体" w:hAnsi="宋体"/>
          <w:color w:val="auto"/>
          <w:sz w:val="24"/>
        </w:rPr>
      </w:pPr>
      <w:r>
        <w:rPr>
          <w:rFonts w:hint="eastAsia"/>
          <w:color w:val="auto"/>
          <w:sz w:val="24"/>
        </w:rPr>
        <w:t>综上所述，国内目前还没有覆铜陶瓷基板用无氧铜带的专用技术标准，而目前国内覆铜陶瓷基板用无氧铜带无氧铜产品已经批量生产和广泛应用，其订货均按照客户要求或公司企业标准组织生产</w:t>
      </w:r>
      <w:r>
        <w:rPr>
          <w:rFonts w:hint="eastAsia" w:ascii="宋体" w:hAnsi="宋体"/>
          <w:color w:val="auto"/>
          <w:sz w:val="24"/>
        </w:rPr>
        <w:t>，为了满足国内、外市场对</w:t>
      </w:r>
      <w:r>
        <w:rPr>
          <w:rFonts w:hint="eastAsia"/>
          <w:color w:val="auto"/>
          <w:sz w:val="24"/>
        </w:rPr>
        <w:t>无氧铜带</w:t>
      </w:r>
      <w:r>
        <w:rPr>
          <w:rFonts w:hint="eastAsia" w:ascii="宋体" w:hAnsi="宋体"/>
          <w:color w:val="auto"/>
          <w:sz w:val="24"/>
        </w:rPr>
        <w:t>的需要，制订该产品标准。本标准结合国内</w:t>
      </w:r>
      <w:r>
        <w:rPr>
          <w:rFonts w:hint="eastAsia"/>
          <w:color w:val="auto"/>
          <w:sz w:val="24"/>
        </w:rPr>
        <w:t>无氧铜带</w:t>
      </w:r>
      <w:r>
        <w:rPr>
          <w:rFonts w:hint="eastAsia" w:ascii="宋体" w:hAnsi="宋体"/>
          <w:color w:val="auto"/>
          <w:sz w:val="24"/>
        </w:rPr>
        <w:t>的生产现状进行制定，充分体现并保障了无氧铜带的不同力学性能的特性、无氧铜应用领域的不同要求，填补了我国没有陶瓷复合专用无氧铜带的行业标准空白。</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五、与现行相关法律、法规、规章及相关标准，特别是强制性标准的协调性</w:t>
      </w:r>
    </w:p>
    <w:p>
      <w:pPr>
        <w:pStyle w:val="2"/>
        <w:spacing w:line="360" w:lineRule="auto"/>
        <w:ind w:firstLine="480"/>
        <w:rPr>
          <w:rFonts w:ascii="Times New Roman"/>
          <w:color w:val="auto"/>
          <w:kern w:val="2"/>
          <w:sz w:val="24"/>
          <w:szCs w:val="24"/>
        </w:rPr>
      </w:pPr>
      <w:r>
        <w:rPr>
          <w:rFonts w:hint="eastAsia" w:ascii="Times New Roman"/>
          <w:color w:val="auto"/>
          <w:kern w:val="2"/>
          <w:sz w:val="24"/>
          <w:szCs w:val="24"/>
        </w:rPr>
        <w:t>目前，我国</w:t>
      </w:r>
      <w:r>
        <w:rPr>
          <w:rFonts w:hint="eastAsia" w:hAnsi="宋体"/>
          <w:color w:val="auto"/>
          <w:sz w:val="24"/>
          <w:szCs w:val="24"/>
        </w:rPr>
        <w:t>GB/T 14594-2014 《</w:t>
      </w:r>
      <w:r>
        <w:rPr>
          <w:rFonts w:hint="eastAsia" w:ascii="Times New Roman"/>
          <w:color w:val="auto"/>
          <w:kern w:val="2"/>
          <w:sz w:val="24"/>
          <w:szCs w:val="24"/>
        </w:rPr>
        <w:t>电真空器件用无氧铜板和带</w:t>
      </w:r>
      <w:r>
        <w:rPr>
          <w:rFonts w:hint="eastAsia" w:hAnsi="宋体"/>
          <w:color w:val="auto"/>
          <w:sz w:val="24"/>
          <w:szCs w:val="24"/>
        </w:rPr>
        <w:t>》、YS/T 1517-2022《细晶无氧铜带箔材》</w:t>
      </w:r>
      <w:r>
        <w:rPr>
          <w:rFonts w:hint="eastAsia" w:ascii="Times New Roman"/>
          <w:color w:val="auto"/>
          <w:kern w:val="2"/>
          <w:sz w:val="24"/>
          <w:szCs w:val="24"/>
        </w:rPr>
        <w:t>标准是与无氧铜带相关的，而本标准要求更高，是陶瓷复合无氧铜带专用技术标准，</w:t>
      </w:r>
      <w:r>
        <w:rPr>
          <w:rFonts w:hint="eastAsia" w:hAnsi="宋体" w:cs="宋体"/>
          <w:color w:val="auto"/>
          <w:kern w:val="2"/>
          <w:sz w:val="24"/>
          <w:szCs w:val="24"/>
        </w:rPr>
        <w:t>本标准</w:t>
      </w:r>
      <w:r>
        <w:rPr>
          <w:rFonts w:hint="eastAsia" w:ascii="Times New Roman"/>
          <w:color w:val="auto"/>
          <w:kern w:val="2"/>
          <w:sz w:val="24"/>
          <w:szCs w:val="24"/>
        </w:rPr>
        <w:t>与</w:t>
      </w:r>
      <w:r>
        <w:rPr>
          <w:rFonts w:hint="eastAsia" w:hAnsi="宋体"/>
          <w:color w:val="auto"/>
          <w:sz w:val="24"/>
          <w:szCs w:val="24"/>
        </w:rPr>
        <w:t>GB/T14594-2014和 YS/T 1517-2022</w:t>
      </w:r>
      <w:r>
        <w:rPr>
          <w:rFonts w:hint="eastAsia" w:hAnsi="宋体" w:cs="宋体"/>
          <w:color w:val="auto"/>
          <w:kern w:val="2"/>
          <w:sz w:val="24"/>
          <w:szCs w:val="24"/>
        </w:rPr>
        <w:t>无冲突，相互协调。</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六、重大分歧意见的处理经过和依据</w:t>
      </w:r>
    </w:p>
    <w:p>
      <w:pPr>
        <w:spacing w:beforeLines="50" w:afterLines="50" w:line="400" w:lineRule="exact"/>
        <w:rPr>
          <w:rFonts w:ascii="宋体" w:hAnsi="宋体"/>
          <w:color w:val="auto"/>
          <w:kern w:val="0"/>
          <w:sz w:val="24"/>
        </w:rPr>
      </w:pPr>
      <w:r>
        <w:rPr>
          <w:rFonts w:hint="eastAsia" w:ascii="宋体" w:hAnsi="宋体"/>
          <w:color w:val="auto"/>
          <w:kern w:val="0"/>
          <w:sz w:val="24"/>
        </w:rPr>
        <w:t xml:space="preserve">  无</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七、作为强制性国家标准的建议</w:t>
      </w:r>
    </w:p>
    <w:p>
      <w:pPr>
        <w:spacing w:beforeLines="50" w:afterLines="50"/>
        <w:ind w:firstLine="480" w:firstLineChars="200"/>
        <w:rPr>
          <w:color w:val="auto"/>
          <w:sz w:val="24"/>
        </w:rPr>
      </w:pPr>
      <w:r>
        <w:rPr>
          <w:rFonts w:hint="eastAsia"/>
          <w:color w:val="auto"/>
          <w:sz w:val="24"/>
        </w:rPr>
        <w:t>本标准建议不作为强制性标准，而建议作为推荐性标准。</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八、贯彻标准的要求和措施建议</w:t>
      </w:r>
    </w:p>
    <w:p>
      <w:pPr>
        <w:pStyle w:val="15"/>
        <w:spacing w:line="360" w:lineRule="auto"/>
        <w:ind w:firstLine="470" w:firstLineChars="196"/>
        <w:rPr>
          <w:rFonts w:hAnsi="宋体" w:cs="宋体"/>
          <w:color w:val="auto"/>
          <w:sz w:val="24"/>
        </w:rPr>
      </w:pPr>
      <w:r>
        <w:rPr>
          <w:rFonts w:hint="eastAsia" w:hAnsi="宋体"/>
          <w:color w:val="auto"/>
          <w:sz w:val="24"/>
        </w:rPr>
        <w:t>本标准是以我国无氧铜带生产的实际生产现状为基础，本标准是根据市场需求、订货技术要求进行制定。标准全面覆盖了陶瓷复合用无氧铜带产品的技术要求，</w:t>
      </w:r>
      <w:r>
        <w:rPr>
          <w:rFonts w:hint="eastAsia" w:hAnsi="宋体" w:cs="宋体"/>
          <w:color w:val="auto"/>
          <w:sz w:val="24"/>
        </w:rPr>
        <w:t>建议相关单位组织专项标准宣贯会进行系统学习。本标准发布后，各企业应积极宣传和贯彻，并立即采用新标准订货，以保证产品质量，满足国内、外市场及用户的需要。</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九、废止现行有关标准的建议</w:t>
      </w:r>
    </w:p>
    <w:p>
      <w:pPr>
        <w:pStyle w:val="2"/>
        <w:spacing w:line="360" w:lineRule="auto"/>
        <w:ind w:firstLine="470" w:firstLineChars="196"/>
        <w:rPr>
          <w:rFonts w:hAnsi="宋体"/>
          <w:bCs/>
          <w:color w:val="auto"/>
          <w:sz w:val="24"/>
          <w:szCs w:val="24"/>
        </w:rPr>
      </w:pPr>
      <w:r>
        <w:rPr>
          <w:rFonts w:hint="eastAsia" w:hAnsi="宋体"/>
          <w:bCs/>
          <w:color w:val="auto"/>
          <w:sz w:val="24"/>
          <w:szCs w:val="24"/>
        </w:rPr>
        <w:t>无</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十、其它应予说明的事项</w:t>
      </w:r>
    </w:p>
    <w:p>
      <w:pPr>
        <w:pStyle w:val="2"/>
        <w:spacing w:line="360" w:lineRule="auto"/>
        <w:ind w:firstLine="480"/>
        <w:rPr>
          <w:rFonts w:ascii="Times New Roman"/>
          <w:color w:val="auto"/>
          <w:kern w:val="2"/>
          <w:sz w:val="24"/>
          <w:szCs w:val="24"/>
        </w:rPr>
      </w:pPr>
      <w:r>
        <w:rPr>
          <w:rFonts w:hint="eastAsia" w:ascii="Times New Roman"/>
          <w:color w:val="auto"/>
          <w:kern w:val="2"/>
          <w:sz w:val="24"/>
          <w:szCs w:val="24"/>
        </w:rPr>
        <w:t>本标准根据目前国内无氧铜带的实际生产现状和订货合同情况确定采用的牌号、规格和性能，考虑随着新材料的开发使用的更新，如果以后生产或订货合同中有其他牌号、规格或性能需求可在下一版中进行补充修订。</w:t>
      </w:r>
    </w:p>
    <w:p>
      <w:pPr>
        <w:spacing w:beforeLines="50" w:afterLines="50" w:line="360" w:lineRule="auto"/>
        <w:rPr>
          <w:rFonts w:ascii="黑体" w:hAnsi="黑体" w:eastAsia="黑体"/>
          <w:bCs/>
          <w:color w:val="auto"/>
          <w:sz w:val="24"/>
        </w:rPr>
      </w:pPr>
      <w:r>
        <w:rPr>
          <w:rFonts w:hint="eastAsia" w:ascii="黑体" w:hAnsi="黑体" w:eastAsia="黑体"/>
          <w:bCs/>
          <w:color w:val="auto"/>
          <w:sz w:val="24"/>
        </w:rPr>
        <w:t>十一、预期效果</w:t>
      </w:r>
    </w:p>
    <w:p>
      <w:pPr>
        <w:spacing w:line="360" w:lineRule="auto"/>
        <w:ind w:firstLine="480" w:firstLineChars="200"/>
        <w:rPr>
          <w:rFonts w:ascii="宋体" w:hAnsi="宋体"/>
          <w:color w:val="auto"/>
          <w:sz w:val="24"/>
        </w:rPr>
      </w:pPr>
      <w:r>
        <w:rPr>
          <w:rFonts w:hint="eastAsia" w:ascii="宋体" w:hAnsi="宋体"/>
          <w:color w:val="auto"/>
          <w:sz w:val="24"/>
        </w:rPr>
        <w:t>陶瓷覆合</w:t>
      </w:r>
      <w:r>
        <w:rPr>
          <w:rFonts w:hint="eastAsia" w:ascii="宋体" w:hAnsi="宋体"/>
          <w:color w:val="auto"/>
          <w:sz w:val="24"/>
          <w:lang w:val="en-US" w:eastAsia="zh-CN"/>
        </w:rPr>
        <w:t>无氧</w:t>
      </w:r>
      <w:r>
        <w:rPr>
          <w:rFonts w:hint="eastAsia" w:ascii="宋体" w:hAnsi="宋体"/>
          <w:color w:val="auto"/>
          <w:sz w:val="24"/>
        </w:rPr>
        <w:t>铜带不仅对带材表面质量、公差要求较高</w:t>
      </w:r>
      <w:r>
        <w:rPr>
          <w:rFonts w:hint="eastAsia" w:ascii="宋体" w:hAnsi="宋体"/>
          <w:color w:val="auto"/>
          <w:sz w:val="24"/>
          <w:lang w:eastAsia="zh-CN"/>
        </w:rPr>
        <w:t>，</w:t>
      </w:r>
      <w:r>
        <w:rPr>
          <w:rFonts w:hint="eastAsia" w:ascii="宋体" w:hAnsi="宋体"/>
          <w:color w:val="auto"/>
          <w:sz w:val="24"/>
          <w:highlight w:val="none"/>
        </w:rPr>
        <w:t>要求高温晶粒度均符合特殊要求，</w:t>
      </w:r>
      <w:r>
        <w:rPr>
          <w:rFonts w:hint="eastAsia" w:ascii="宋体" w:hAnsi="宋体"/>
          <w:color w:val="auto"/>
          <w:sz w:val="24"/>
        </w:rPr>
        <w:t>以适用于大功率电力电子及半导体模块，利于提高模块的可靠性、扩大功率、简化结构和集成智能化。</w:t>
      </w:r>
      <w:r>
        <w:rPr>
          <w:rFonts w:ascii="宋体" w:hAnsi="宋体"/>
          <w:bCs/>
          <w:color w:val="auto"/>
          <w:sz w:val="24"/>
        </w:rPr>
        <w:t>陶瓷覆铜板的性能决定</w:t>
      </w:r>
      <w:r>
        <w:rPr>
          <w:rFonts w:hint="eastAsia" w:ascii="宋体" w:hAnsi="宋体"/>
          <w:bCs/>
          <w:color w:val="auto"/>
          <w:sz w:val="24"/>
        </w:rPr>
        <w:t>其具有良好的</w:t>
      </w:r>
      <w:r>
        <w:rPr>
          <w:rFonts w:ascii="宋体" w:hAnsi="宋体"/>
          <w:bCs/>
          <w:color w:val="auto"/>
          <w:sz w:val="24"/>
        </w:rPr>
        <w:t>市场和应用</w:t>
      </w:r>
      <w:r>
        <w:rPr>
          <w:rFonts w:hint="eastAsia" w:ascii="宋体" w:hAnsi="宋体"/>
          <w:bCs/>
          <w:color w:val="auto"/>
          <w:sz w:val="24"/>
        </w:rPr>
        <w:t>前景，</w:t>
      </w:r>
      <w:r>
        <w:rPr>
          <w:rFonts w:ascii="宋体" w:hAnsi="宋体"/>
          <w:color w:val="auto"/>
          <w:sz w:val="24"/>
        </w:rPr>
        <w:t>减少焊层，提高成品率；无环保毒性问题；节材、省工、降低成本；优良的导热性，从而使功率密度大大提高，改善系统和装置的可靠性</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本标准技术指标合理，具有普遍性、广泛性、适用性、科学性和先进性。本标准发布后，将规范我国陶瓷覆合</w:t>
      </w:r>
      <w:r>
        <w:rPr>
          <w:rFonts w:hint="eastAsia" w:ascii="宋体" w:hAnsi="宋体"/>
          <w:color w:val="auto"/>
          <w:sz w:val="24"/>
          <w:lang w:val="en-US" w:eastAsia="zh-CN"/>
        </w:rPr>
        <w:t>无氧</w:t>
      </w:r>
      <w:r>
        <w:rPr>
          <w:rFonts w:hint="eastAsia" w:ascii="宋体" w:hAnsi="宋体"/>
          <w:color w:val="auto"/>
          <w:sz w:val="24"/>
        </w:rPr>
        <w:t>铜带的性能和技术要求，提高产品在国内、外市场上的竞争力，为生产企业带来良好的经济效益。</w:t>
      </w:r>
    </w:p>
    <w:p>
      <w:pPr>
        <w:widowControl/>
        <w:spacing w:line="360" w:lineRule="auto"/>
        <w:ind w:firstLine="480" w:firstLineChars="200"/>
        <w:rPr>
          <w:rFonts w:ascii="宋体" w:hAnsi="宋体"/>
          <w:color w:val="auto"/>
          <w:sz w:val="24"/>
        </w:rPr>
      </w:pPr>
    </w:p>
    <w:p>
      <w:pPr>
        <w:widowControl/>
        <w:adjustRightInd w:val="0"/>
        <w:snapToGrid w:val="0"/>
        <w:spacing w:line="340" w:lineRule="exact"/>
        <w:ind w:firstLine="6240" w:firstLineChars="2600"/>
        <w:rPr>
          <w:rFonts w:ascii="宋体" w:hAnsi="宋体"/>
          <w:color w:val="auto"/>
          <w:sz w:val="24"/>
        </w:rPr>
      </w:pPr>
    </w:p>
    <w:p>
      <w:pPr>
        <w:widowControl/>
        <w:adjustRightInd w:val="0"/>
        <w:snapToGrid w:val="0"/>
        <w:spacing w:line="360" w:lineRule="auto"/>
        <w:ind w:firstLine="3960" w:firstLineChars="1650"/>
        <w:rPr>
          <w:rFonts w:ascii="宋体" w:hAnsi="宋体"/>
          <w:color w:val="auto"/>
          <w:sz w:val="24"/>
        </w:rPr>
      </w:pPr>
      <w:r>
        <w:rPr>
          <w:rFonts w:hint="eastAsia" w:ascii="宋体" w:hAnsi="宋体"/>
          <w:color w:val="auto"/>
          <w:sz w:val="24"/>
        </w:rPr>
        <w:t>《</w:t>
      </w:r>
      <w:r>
        <w:rPr>
          <w:rFonts w:hint="eastAsia" w:ascii="宋体" w:hAnsi="宋体" w:cs="宋体"/>
          <w:color w:val="auto"/>
          <w:kern w:val="0"/>
          <w:sz w:val="24"/>
        </w:rPr>
        <w:t>覆铜陶瓷基板用无氧铜带</w:t>
      </w:r>
      <w:r>
        <w:rPr>
          <w:rFonts w:hint="eastAsia" w:ascii="宋体" w:hAnsi="宋体"/>
          <w:color w:val="auto"/>
          <w:sz w:val="24"/>
        </w:rPr>
        <w:t>》行业标准编制组</w:t>
      </w:r>
    </w:p>
    <w:p>
      <w:pPr>
        <w:widowControl/>
        <w:adjustRightInd w:val="0"/>
        <w:snapToGrid w:val="0"/>
        <w:spacing w:line="360" w:lineRule="auto"/>
        <w:ind w:firstLine="480" w:firstLineChars="200"/>
        <w:jc w:val="center"/>
        <w:rPr>
          <w:rFonts w:ascii="宋体" w:hAnsi="宋体"/>
          <w:color w:val="auto"/>
          <w:sz w:val="24"/>
        </w:rPr>
      </w:pPr>
      <w:r>
        <w:rPr>
          <w:rFonts w:hint="eastAsia" w:ascii="宋体" w:hAnsi="宋体"/>
          <w:color w:val="auto"/>
          <w:sz w:val="24"/>
        </w:rPr>
        <w:t xml:space="preserve">                             2023年12月</w:t>
      </w:r>
      <w:r>
        <w:rPr>
          <w:rFonts w:hint="eastAsia" w:ascii="宋体" w:hAnsi="宋体"/>
          <w:color w:val="auto"/>
          <w:sz w:val="24"/>
          <w:lang w:val="en-US" w:eastAsia="zh-CN"/>
        </w:rPr>
        <w:t>8</w:t>
      </w:r>
      <w:r>
        <w:rPr>
          <w:rFonts w:hint="eastAsia" w:ascii="宋体" w:hAnsi="宋体"/>
          <w:color w:val="auto"/>
          <w:sz w:val="24"/>
        </w:rPr>
        <w:t>日</w:t>
      </w:r>
    </w:p>
    <w:sectPr>
      <w:footerReference r:id="rId3" w:type="default"/>
      <w:footerReference r:id="rId4" w:type="even"/>
      <w:pgSz w:w="11906" w:h="16838"/>
      <w:pgMar w:top="1474" w:right="1474" w:bottom="1474" w:left="1474" w:header="851" w:footer="7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fldChar w:fldCharType="begin"/>
    </w:r>
    <w:r>
      <w:rPr>
        <w:rStyle w:val="20"/>
      </w:rPr>
      <w:instrText xml:space="preserve">PAGE  </w:instrText>
    </w:r>
    <w:r>
      <w:fldChar w:fldCharType="separate"/>
    </w:r>
    <w:r>
      <w:rPr>
        <w:rStyle w:val="20"/>
      </w:rPr>
      <w:t>14</w: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fldChar w:fldCharType="begin"/>
    </w:r>
    <w:r>
      <w:rPr>
        <w:rStyle w:val="20"/>
      </w:rPr>
      <w:instrText xml:space="preserve">PAGE  </w:instrText>
    </w:r>
    <w:r>
      <w:fldChar w:fldCharType="separate"/>
    </w:r>
    <w:r>
      <w:rPr>
        <w:rStyle w:val="20"/>
      </w:rPr>
      <w:t>24</w:t>
    </w:r>
    <w: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93C6778"/>
    <w:multiLevelType w:val="multilevel"/>
    <w:tmpl w:val="093C6778"/>
    <w:lvl w:ilvl="0" w:tentative="0">
      <w:start w:val="1"/>
      <w:numFmt w:val="decimal"/>
      <w:pStyle w:val="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DBF04F4"/>
    <w:multiLevelType w:val="multilevel"/>
    <w:tmpl w:val="6DBF04F4"/>
    <w:lvl w:ilvl="0" w:tentative="0">
      <w:start w:val="1"/>
      <w:numFmt w:val="none"/>
      <w:pStyle w:val="2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MjliNmM5YzJkZDc1MzliMmM2MWJiZmYxOTI5NTU0YWMifQ=="/>
  </w:docVars>
  <w:rsids>
    <w:rsidRoot w:val="007150AE"/>
    <w:rsid w:val="0000669C"/>
    <w:rsid w:val="00014BAC"/>
    <w:rsid w:val="00014E5D"/>
    <w:rsid w:val="000163D9"/>
    <w:rsid w:val="0002258D"/>
    <w:rsid w:val="00022685"/>
    <w:rsid w:val="0002696D"/>
    <w:rsid w:val="00026D97"/>
    <w:rsid w:val="00027BEC"/>
    <w:rsid w:val="000349CF"/>
    <w:rsid w:val="000366DB"/>
    <w:rsid w:val="000373C2"/>
    <w:rsid w:val="000375CB"/>
    <w:rsid w:val="00041EE3"/>
    <w:rsid w:val="00041F73"/>
    <w:rsid w:val="0004232F"/>
    <w:rsid w:val="00043105"/>
    <w:rsid w:val="00043699"/>
    <w:rsid w:val="00043783"/>
    <w:rsid w:val="0004764A"/>
    <w:rsid w:val="00054822"/>
    <w:rsid w:val="00055619"/>
    <w:rsid w:val="00056871"/>
    <w:rsid w:val="00056BF1"/>
    <w:rsid w:val="00057381"/>
    <w:rsid w:val="00061428"/>
    <w:rsid w:val="00061FB7"/>
    <w:rsid w:val="0006240E"/>
    <w:rsid w:val="00063129"/>
    <w:rsid w:val="00063D70"/>
    <w:rsid w:val="0006507D"/>
    <w:rsid w:val="0006742B"/>
    <w:rsid w:val="000713AE"/>
    <w:rsid w:val="000729B8"/>
    <w:rsid w:val="00073464"/>
    <w:rsid w:val="00076365"/>
    <w:rsid w:val="00080221"/>
    <w:rsid w:val="0008400B"/>
    <w:rsid w:val="000902E6"/>
    <w:rsid w:val="000924B6"/>
    <w:rsid w:val="0009310F"/>
    <w:rsid w:val="00093375"/>
    <w:rsid w:val="000B05B3"/>
    <w:rsid w:val="000B181F"/>
    <w:rsid w:val="000B1E40"/>
    <w:rsid w:val="000C07B1"/>
    <w:rsid w:val="000C149F"/>
    <w:rsid w:val="000D2D31"/>
    <w:rsid w:val="000D5553"/>
    <w:rsid w:val="000D561B"/>
    <w:rsid w:val="000D751F"/>
    <w:rsid w:val="000E457B"/>
    <w:rsid w:val="000E63D9"/>
    <w:rsid w:val="0010016C"/>
    <w:rsid w:val="00100E37"/>
    <w:rsid w:val="0010190C"/>
    <w:rsid w:val="001025A0"/>
    <w:rsid w:val="001045AC"/>
    <w:rsid w:val="001055DF"/>
    <w:rsid w:val="001110C5"/>
    <w:rsid w:val="0011393E"/>
    <w:rsid w:val="00115AE3"/>
    <w:rsid w:val="00120111"/>
    <w:rsid w:val="00121FD1"/>
    <w:rsid w:val="00123929"/>
    <w:rsid w:val="00132084"/>
    <w:rsid w:val="001366F6"/>
    <w:rsid w:val="001417DC"/>
    <w:rsid w:val="00142AB1"/>
    <w:rsid w:val="001444F8"/>
    <w:rsid w:val="0014469C"/>
    <w:rsid w:val="00144FFA"/>
    <w:rsid w:val="00150107"/>
    <w:rsid w:val="00152CB3"/>
    <w:rsid w:val="00154E91"/>
    <w:rsid w:val="00157109"/>
    <w:rsid w:val="001633A9"/>
    <w:rsid w:val="00163868"/>
    <w:rsid w:val="00166B0C"/>
    <w:rsid w:val="0016722C"/>
    <w:rsid w:val="00173B60"/>
    <w:rsid w:val="00176755"/>
    <w:rsid w:val="00181C6B"/>
    <w:rsid w:val="00187D7B"/>
    <w:rsid w:val="00193A9D"/>
    <w:rsid w:val="00193FCF"/>
    <w:rsid w:val="001973D5"/>
    <w:rsid w:val="00197EF7"/>
    <w:rsid w:val="001A1EAB"/>
    <w:rsid w:val="001A7B8A"/>
    <w:rsid w:val="001B181F"/>
    <w:rsid w:val="001B7282"/>
    <w:rsid w:val="001C3504"/>
    <w:rsid w:val="001C3FC0"/>
    <w:rsid w:val="001C47B0"/>
    <w:rsid w:val="001C548A"/>
    <w:rsid w:val="001C6272"/>
    <w:rsid w:val="001C62D4"/>
    <w:rsid w:val="001C69D8"/>
    <w:rsid w:val="001D023F"/>
    <w:rsid w:val="001D0670"/>
    <w:rsid w:val="001D203F"/>
    <w:rsid w:val="001D24DA"/>
    <w:rsid w:val="001D26DE"/>
    <w:rsid w:val="001D2852"/>
    <w:rsid w:val="001D2C3F"/>
    <w:rsid w:val="001D57D6"/>
    <w:rsid w:val="001E0B79"/>
    <w:rsid w:val="001E5BC3"/>
    <w:rsid w:val="001E7620"/>
    <w:rsid w:val="001F5D14"/>
    <w:rsid w:val="00200743"/>
    <w:rsid w:val="00205BCC"/>
    <w:rsid w:val="00217C05"/>
    <w:rsid w:val="00220F1B"/>
    <w:rsid w:val="0022142E"/>
    <w:rsid w:val="002217B8"/>
    <w:rsid w:val="00226A13"/>
    <w:rsid w:val="00226C22"/>
    <w:rsid w:val="00230BBE"/>
    <w:rsid w:val="00241C49"/>
    <w:rsid w:val="002465B0"/>
    <w:rsid w:val="00247AA4"/>
    <w:rsid w:val="00260F3C"/>
    <w:rsid w:val="00261D88"/>
    <w:rsid w:val="00265F15"/>
    <w:rsid w:val="002676DC"/>
    <w:rsid w:val="0027237B"/>
    <w:rsid w:val="00273DF4"/>
    <w:rsid w:val="0027443D"/>
    <w:rsid w:val="00274825"/>
    <w:rsid w:val="00275C69"/>
    <w:rsid w:val="00280A88"/>
    <w:rsid w:val="00280EFB"/>
    <w:rsid w:val="002815CF"/>
    <w:rsid w:val="0029610E"/>
    <w:rsid w:val="00296D41"/>
    <w:rsid w:val="002975F1"/>
    <w:rsid w:val="002A15BD"/>
    <w:rsid w:val="002A4923"/>
    <w:rsid w:val="002A6B27"/>
    <w:rsid w:val="002A6F5C"/>
    <w:rsid w:val="002B39D4"/>
    <w:rsid w:val="002C066F"/>
    <w:rsid w:val="002C0960"/>
    <w:rsid w:val="002D009C"/>
    <w:rsid w:val="002D566B"/>
    <w:rsid w:val="002D716F"/>
    <w:rsid w:val="002D739E"/>
    <w:rsid w:val="002E0318"/>
    <w:rsid w:val="002E0E75"/>
    <w:rsid w:val="002E2442"/>
    <w:rsid w:val="002E3A67"/>
    <w:rsid w:val="002E6132"/>
    <w:rsid w:val="002F247C"/>
    <w:rsid w:val="002F2A70"/>
    <w:rsid w:val="002F2C9F"/>
    <w:rsid w:val="002F5960"/>
    <w:rsid w:val="002F675F"/>
    <w:rsid w:val="003022D6"/>
    <w:rsid w:val="00305DF0"/>
    <w:rsid w:val="00306555"/>
    <w:rsid w:val="00307018"/>
    <w:rsid w:val="003106AA"/>
    <w:rsid w:val="00313907"/>
    <w:rsid w:val="00326281"/>
    <w:rsid w:val="00326A6F"/>
    <w:rsid w:val="00326AAF"/>
    <w:rsid w:val="00327579"/>
    <w:rsid w:val="00330503"/>
    <w:rsid w:val="00333237"/>
    <w:rsid w:val="00336113"/>
    <w:rsid w:val="00336659"/>
    <w:rsid w:val="00336B68"/>
    <w:rsid w:val="003370A3"/>
    <w:rsid w:val="0033746A"/>
    <w:rsid w:val="003448DA"/>
    <w:rsid w:val="00345B3B"/>
    <w:rsid w:val="00353216"/>
    <w:rsid w:val="0035559C"/>
    <w:rsid w:val="00356427"/>
    <w:rsid w:val="003566DD"/>
    <w:rsid w:val="0036382B"/>
    <w:rsid w:val="00366B78"/>
    <w:rsid w:val="00370FA4"/>
    <w:rsid w:val="0037261A"/>
    <w:rsid w:val="00372B8A"/>
    <w:rsid w:val="00383545"/>
    <w:rsid w:val="00384E4F"/>
    <w:rsid w:val="00385467"/>
    <w:rsid w:val="00386E07"/>
    <w:rsid w:val="00392F6B"/>
    <w:rsid w:val="00396399"/>
    <w:rsid w:val="00396B35"/>
    <w:rsid w:val="003A07BF"/>
    <w:rsid w:val="003A77D9"/>
    <w:rsid w:val="003B2712"/>
    <w:rsid w:val="003B6347"/>
    <w:rsid w:val="003C565E"/>
    <w:rsid w:val="003E1BBB"/>
    <w:rsid w:val="003E2C0B"/>
    <w:rsid w:val="003E4C95"/>
    <w:rsid w:val="003E5511"/>
    <w:rsid w:val="003E6F27"/>
    <w:rsid w:val="003F32D7"/>
    <w:rsid w:val="003F43E3"/>
    <w:rsid w:val="003F46E3"/>
    <w:rsid w:val="00400890"/>
    <w:rsid w:val="0040105E"/>
    <w:rsid w:val="00401ECE"/>
    <w:rsid w:val="00405B39"/>
    <w:rsid w:val="00406309"/>
    <w:rsid w:val="004122DE"/>
    <w:rsid w:val="00415393"/>
    <w:rsid w:val="00420EAC"/>
    <w:rsid w:val="004221AB"/>
    <w:rsid w:val="0042255F"/>
    <w:rsid w:val="0042671D"/>
    <w:rsid w:val="00426AF8"/>
    <w:rsid w:val="0042714F"/>
    <w:rsid w:val="00430032"/>
    <w:rsid w:val="004308A6"/>
    <w:rsid w:val="00430F17"/>
    <w:rsid w:val="0043303F"/>
    <w:rsid w:val="0043311A"/>
    <w:rsid w:val="00434928"/>
    <w:rsid w:val="00436173"/>
    <w:rsid w:val="00440E09"/>
    <w:rsid w:val="004458D5"/>
    <w:rsid w:val="004601FB"/>
    <w:rsid w:val="0046163C"/>
    <w:rsid w:val="004618BF"/>
    <w:rsid w:val="00462FF5"/>
    <w:rsid w:val="00464264"/>
    <w:rsid w:val="00472C19"/>
    <w:rsid w:val="0048001B"/>
    <w:rsid w:val="004867CE"/>
    <w:rsid w:val="00493824"/>
    <w:rsid w:val="004971A2"/>
    <w:rsid w:val="00497B28"/>
    <w:rsid w:val="004A06A0"/>
    <w:rsid w:val="004A0B20"/>
    <w:rsid w:val="004A22AC"/>
    <w:rsid w:val="004A3F41"/>
    <w:rsid w:val="004A7B7E"/>
    <w:rsid w:val="004A7CF6"/>
    <w:rsid w:val="004B008C"/>
    <w:rsid w:val="004B35C5"/>
    <w:rsid w:val="004B3F77"/>
    <w:rsid w:val="004B5734"/>
    <w:rsid w:val="004C08EA"/>
    <w:rsid w:val="004C5E72"/>
    <w:rsid w:val="004D094F"/>
    <w:rsid w:val="004D41C7"/>
    <w:rsid w:val="004E1322"/>
    <w:rsid w:val="004E5DF3"/>
    <w:rsid w:val="004F2064"/>
    <w:rsid w:val="004F3B44"/>
    <w:rsid w:val="004F4B04"/>
    <w:rsid w:val="004F51A9"/>
    <w:rsid w:val="005005BB"/>
    <w:rsid w:val="00510828"/>
    <w:rsid w:val="00511A57"/>
    <w:rsid w:val="00515493"/>
    <w:rsid w:val="005167ED"/>
    <w:rsid w:val="005168C2"/>
    <w:rsid w:val="00516ACF"/>
    <w:rsid w:val="00517A7B"/>
    <w:rsid w:val="0052081E"/>
    <w:rsid w:val="00521583"/>
    <w:rsid w:val="00524CF9"/>
    <w:rsid w:val="005261D8"/>
    <w:rsid w:val="00527962"/>
    <w:rsid w:val="005317D4"/>
    <w:rsid w:val="00535E63"/>
    <w:rsid w:val="00541583"/>
    <w:rsid w:val="00542BD3"/>
    <w:rsid w:val="00544E6E"/>
    <w:rsid w:val="005464DB"/>
    <w:rsid w:val="005468C9"/>
    <w:rsid w:val="00550890"/>
    <w:rsid w:val="00550A7A"/>
    <w:rsid w:val="00553569"/>
    <w:rsid w:val="00553C46"/>
    <w:rsid w:val="00556A80"/>
    <w:rsid w:val="005608D2"/>
    <w:rsid w:val="00561F3B"/>
    <w:rsid w:val="005621A8"/>
    <w:rsid w:val="00570B87"/>
    <w:rsid w:val="005778CF"/>
    <w:rsid w:val="00580582"/>
    <w:rsid w:val="005874F8"/>
    <w:rsid w:val="005902E6"/>
    <w:rsid w:val="0059064A"/>
    <w:rsid w:val="005952EB"/>
    <w:rsid w:val="005A2A41"/>
    <w:rsid w:val="005A5840"/>
    <w:rsid w:val="005A73A5"/>
    <w:rsid w:val="005A75B2"/>
    <w:rsid w:val="005A7719"/>
    <w:rsid w:val="005B04BA"/>
    <w:rsid w:val="005B3637"/>
    <w:rsid w:val="005B42FD"/>
    <w:rsid w:val="005B54ED"/>
    <w:rsid w:val="005B5787"/>
    <w:rsid w:val="005C281B"/>
    <w:rsid w:val="005C2FA9"/>
    <w:rsid w:val="005C3386"/>
    <w:rsid w:val="005C3F71"/>
    <w:rsid w:val="005C6092"/>
    <w:rsid w:val="005D6CCD"/>
    <w:rsid w:val="005D74CC"/>
    <w:rsid w:val="005E48D2"/>
    <w:rsid w:val="005E6D02"/>
    <w:rsid w:val="005F02D1"/>
    <w:rsid w:val="005F24C7"/>
    <w:rsid w:val="005F50CB"/>
    <w:rsid w:val="005F523D"/>
    <w:rsid w:val="005F6E1C"/>
    <w:rsid w:val="006012DE"/>
    <w:rsid w:val="00601331"/>
    <w:rsid w:val="006025E0"/>
    <w:rsid w:val="00602FDB"/>
    <w:rsid w:val="00603D41"/>
    <w:rsid w:val="0060654C"/>
    <w:rsid w:val="00611689"/>
    <w:rsid w:val="00622B5F"/>
    <w:rsid w:val="00624C70"/>
    <w:rsid w:val="006433C4"/>
    <w:rsid w:val="0064366A"/>
    <w:rsid w:val="00644B0A"/>
    <w:rsid w:val="006454F0"/>
    <w:rsid w:val="00645EA5"/>
    <w:rsid w:val="00651367"/>
    <w:rsid w:val="00653C63"/>
    <w:rsid w:val="00654CF9"/>
    <w:rsid w:val="0065699A"/>
    <w:rsid w:val="006572ED"/>
    <w:rsid w:val="00661C58"/>
    <w:rsid w:val="00662ED8"/>
    <w:rsid w:val="00671E3E"/>
    <w:rsid w:val="006728CF"/>
    <w:rsid w:val="00676658"/>
    <w:rsid w:val="006823AC"/>
    <w:rsid w:val="0068402F"/>
    <w:rsid w:val="00684808"/>
    <w:rsid w:val="00685032"/>
    <w:rsid w:val="0069228E"/>
    <w:rsid w:val="00694139"/>
    <w:rsid w:val="00696318"/>
    <w:rsid w:val="006A0F0E"/>
    <w:rsid w:val="006A2F34"/>
    <w:rsid w:val="006A44EB"/>
    <w:rsid w:val="006A5BFF"/>
    <w:rsid w:val="006B1AFC"/>
    <w:rsid w:val="006B461D"/>
    <w:rsid w:val="006B7D6A"/>
    <w:rsid w:val="006C0F75"/>
    <w:rsid w:val="006C2B55"/>
    <w:rsid w:val="006C4C2A"/>
    <w:rsid w:val="006D3087"/>
    <w:rsid w:val="006E017E"/>
    <w:rsid w:val="006E64FB"/>
    <w:rsid w:val="006F19D4"/>
    <w:rsid w:val="006F51D8"/>
    <w:rsid w:val="006F5BC9"/>
    <w:rsid w:val="006F5FB7"/>
    <w:rsid w:val="006F6FC8"/>
    <w:rsid w:val="006F7831"/>
    <w:rsid w:val="007000BB"/>
    <w:rsid w:val="007002BA"/>
    <w:rsid w:val="0070533E"/>
    <w:rsid w:val="007056B3"/>
    <w:rsid w:val="00705DC5"/>
    <w:rsid w:val="00707007"/>
    <w:rsid w:val="00707F5A"/>
    <w:rsid w:val="0071115C"/>
    <w:rsid w:val="00713C89"/>
    <w:rsid w:val="007150AE"/>
    <w:rsid w:val="00720134"/>
    <w:rsid w:val="007259C7"/>
    <w:rsid w:val="00734341"/>
    <w:rsid w:val="00735FA9"/>
    <w:rsid w:val="00735FDC"/>
    <w:rsid w:val="00736A2E"/>
    <w:rsid w:val="00736B75"/>
    <w:rsid w:val="00736F33"/>
    <w:rsid w:val="007513A8"/>
    <w:rsid w:val="00752710"/>
    <w:rsid w:val="007636D4"/>
    <w:rsid w:val="00764351"/>
    <w:rsid w:val="00765267"/>
    <w:rsid w:val="007707E4"/>
    <w:rsid w:val="00776720"/>
    <w:rsid w:val="00777902"/>
    <w:rsid w:val="00785969"/>
    <w:rsid w:val="00786D53"/>
    <w:rsid w:val="0078725F"/>
    <w:rsid w:val="0079691B"/>
    <w:rsid w:val="007A1E25"/>
    <w:rsid w:val="007A7C1D"/>
    <w:rsid w:val="007B2C91"/>
    <w:rsid w:val="007B55BD"/>
    <w:rsid w:val="007C096F"/>
    <w:rsid w:val="007C1FD3"/>
    <w:rsid w:val="007C625D"/>
    <w:rsid w:val="007C785A"/>
    <w:rsid w:val="007D1EEF"/>
    <w:rsid w:val="007D3AF9"/>
    <w:rsid w:val="007D50F0"/>
    <w:rsid w:val="007D72A7"/>
    <w:rsid w:val="007E0FB7"/>
    <w:rsid w:val="007E2585"/>
    <w:rsid w:val="007E7325"/>
    <w:rsid w:val="007F06E1"/>
    <w:rsid w:val="007F2DD4"/>
    <w:rsid w:val="007F6F3C"/>
    <w:rsid w:val="007F7CEA"/>
    <w:rsid w:val="00800E63"/>
    <w:rsid w:val="008022C1"/>
    <w:rsid w:val="00803668"/>
    <w:rsid w:val="008074DA"/>
    <w:rsid w:val="00816207"/>
    <w:rsid w:val="0082674D"/>
    <w:rsid w:val="00837E6F"/>
    <w:rsid w:val="008403AD"/>
    <w:rsid w:val="008445E4"/>
    <w:rsid w:val="008453EC"/>
    <w:rsid w:val="00846A6E"/>
    <w:rsid w:val="00847F4C"/>
    <w:rsid w:val="0085396A"/>
    <w:rsid w:val="00855494"/>
    <w:rsid w:val="00856AB5"/>
    <w:rsid w:val="00862AA2"/>
    <w:rsid w:val="00864C3E"/>
    <w:rsid w:val="00864CA6"/>
    <w:rsid w:val="00866142"/>
    <w:rsid w:val="00870CF1"/>
    <w:rsid w:val="00871509"/>
    <w:rsid w:val="008717D8"/>
    <w:rsid w:val="00875266"/>
    <w:rsid w:val="00883E96"/>
    <w:rsid w:val="00885868"/>
    <w:rsid w:val="00887088"/>
    <w:rsid w:val="00887163"/>
    <w:rsid w:val="00887BB9"/>
    <w:rsid w:val="00890585"/>
    <w:rsid w:val="00892032"/>
    <w:rsid w:val="00892B21"/>
    <w:rsid w:val="00897DBC"/>
    <w:rsid w:val="008A1063"/>
    <w:rsid w:val="008A230E"/>
    <w:rsid w:val="008C2F24"/>
    <w:rsid w:val="008C38BC"/>
    <w:rsid w:val="008C57CD"/>
    <w:rsid w:val="008C7D31"/>
    <w:rsid w:val="008D0579"/>
    <w:rsid w:val="008D1BCA"/>
    <w:rsid w:val="008D378F"/>
    <w:rsid w:val="008D6A53"/>
    <w:rsid w:val="008D7FDC"/>
    <w:rsid w:val="008E35DE"/>
    <w:rsid w:val="008E514B"/>
    <w:rsid w:val="008E53BF"/>
    <w:rsid w:val="008E5F44"/>
    <w:rsid w:val="008E60A1"/>
    <w:rsid w:val="008E6E32"/>
    <w:rsid w:val="008F0A41"/>
    <w:rsid w:val="008F2240"/>
    <w:rsid w:val="008F3896"/>
    <w:rsid w:val="008F4C07"/>
    <w:rsid w:val="008F5670"/>
    <w:rsid w:val="00905F43"/>
    <w:rsid w:val="0091257E"/>
    <w:rsid w:val="00913A51"/>
    <w:rsid w:val="00914E57"/>
    <w:rsid w:val="00914F83"/>
    <w:rsid w:val="00916D1C"/>
    <w:rsid w:val="009173E4"/>
    <w:rsid w:val="00921100"/>
    <w:rsid w:val="009212BC"/>
    <w:rsid w:val="009323E6"/>
    <w:rsid w:val="00933F79"/>
    <w:rsid w:val="0093416A"/>
    <w:rsid w:val="00937FBA"/>
    <w:rsid w:val="00942630"/>
    <w:rsid w:val="0094469D"/>
    <w:rsid w:val="009449CB"/>
    <w:rsid w:val="00944F82"/>
    <w:rsid w:val="00950ACD"/>
    <w:rsid w:val="0095112A"/>
    <w:rsid w:val="00951387"/>
    <w:rsid w:val="00954C28"/>
    <w:rsid w:val="0095549D"/>
    <w:rsid w:val="00955BFF"/>
    <w:rsid w:val="00955F90"/>
    <w:rsid w:val="00957A20"/>
    <w:rsid w:val="00963AC3"/>
    <w:rsid w:val="0096435C"/>
    <w:rsid w:val="009644A4"/>
    <w:rsid w:val="00971192"/>
    <w:rsid w:val="009767A4"/>
    <w:rsid w:val="009900AB"/>
    <w:rsid w:val="009926A7"/>
    <w:rsid w:val="00993022"/>
    <w:rsid w:val="00996E71"/>
    <w:rsid w:val="00997048"/>
    <w:rsid w:val="009A1CCD"/>
    <w:rsid w:val="009A24F2"/>
    <w:rsid w:val="009A29B9"/>
    <w:rsid w:val="009A3C20"/>
    <w:rsid w:val="009A6218"/>
    <w:rsid w:val="009A77E7"/>
    <w:rsid w:val="009A7A11"/>
    <w:rsid w:val="009B1FFA"/>
    <w:rsid w:val="009B3B66"/>
    <w:rsid w:val="009B40D2"/>
    <w:rsid w:val="009B4612"/>
    <w:rsid w:val="009B55F0"/>
    <w:rsid w:val="009B6C54"/>
    <w:rsid w:val="009B780D"/>
    <w:rsid w:val="009B79F4"/>
    <w:rsid w:val="009B7BD9"/>
    <w:rsid w:val="009B7C1D"/>
    <w:rsid w:val="009C21B5"/>
    <w:rsid w:val="009C2661"/>
    <w:rsid w:val="009C311A"/>
    <w:rsid w:val="009C5609"/>
    <w:rsid w:val="009C66F4"/>
    <w:rsid w:val="009D31FC"/>
    <w:rsid w:val="009D3A02"/>
    <w:rsid w:val="009E125E"/>
    <w:rsid w:val="009F5A5D"/>
    <w:rsid w:val="009F7854"/>
    <w:rsid w:val="00A04DCB"/>
    <w:rsid w:val="00A056D9"/>
    <w:rsid w:val="00A1015A"/>
    <w:rsid w:val="00A125A9"/>
    <w:rsid w:val="00A252AF"/>
    <w:rsid w:val="00A30975"/>
    <w:rsid w:val="00A3138C"/>
    <w:rsid w:val="00A3290F"/>
    <w:rsid w:val="00A32B5F"/>
    <w:rsid w:val="00A32FA1"/>
    <w:rsid w:val="00A340FF"/>
    <w:rsid w:val="00A34519"/>
    <w:rsid w:val="00A408AF"/>
    <w:rsid w:val="00A434E5"/>
    <w:rsid w:val="00A4490B"/>
    <w:rsid w:val="00A45629"/>
    <w:rsid w:val="00A47CD3"/>
    <w:rsid w:val="00A50875"/>
    <w:rsid w:val="00A53B8B"/>
    <w:rsid w:val="00A54213"/>
    <w:rsid w:val="00A55BBA"/>
    <w:rsid w:val="00A56E02"/>
    <w:rsid w:val="00A56FB4"/>
    <w:rsid w:val="00A633B1"/>
    <w:rsid w:val="00A67F58"/>
    <w:rsid w:val="00A7132B"/>
    <w:rsid w:val="00A71886"/>
    <w:rsid w:val="00A767D8"/>
    <w:rsid w:val="00A77535"/>
    <w:rsid w:val="00A77E1F"/>
    <w:rsid w:val="00A81153"/>
    <w:rsid w:val="00A83310"/>
    <w:rsid w:val="00A833DF"/>
    <w:rsid w:val="00A85843"/>
    <w:rsid w:val="00A9380E"/>
    <w:rsid w:val="00AA261A"/>
    <w:rsid w:val="00AA2E00"/>
    <w:rsid w:val="00AA38B9"/>
    <w:rsid w:val="00AA3C29"/>
    <w:rsid w:val="00AA46E6"/>
    <w:rsid w:val="00AA7338"/>
    <w:rsid w:val="00AB0415"/>
    <w:rsid w:val="00AB083B"/>
    <w:rsid w:val="00AC669B"/>
    <w:rsid w:val="00AD52B4"/>
    <w:rsid w:val="00AE6A20"/>
    <w:rsid w:val="00AF2715"/>
    <w:rsid w:val="00AF3F7B"/>
    <w:rsid w:val="00AF4DC9"/>
    <w:rsid w:val="00AF6D21"/>
    <w:rsid w:val="00AF7930"/>
    <w:rsid w:val="00B03284"/>
    <w:rsid w:val="00B0630F"/>
    <w:rsid w:val="00B06ED5"/>
    <w:rsid w:val="00B06F20"/>
    <w:rsid w:val="00B10F6E"/>
    <w:rsid w:val="00B140A4"/>
    <w:rsid w:val="00B1617E"/>
    <w:rsid w:val="00B17E06"/>
    <w:rsid w:val="00B204F1"/>
    <w:rsid w:val="00B223B6"/>
    <w:rsid w:val="00B23A15"/>
    <w:rsid w:val="00B257B8"/>
    <w:rsid w:val="00B2703D"/>
    <w:rsid w:val="00B302C1"/>
    <w:rsid w:val="00B31880"/>
    <w:rsid w:val="00B35A65"/>
    <w:rsid w:val="00B40196"/>
    <w:rsid w:val="00B42086"/>
    <w:rsid w:val="00B424A7"/>
    <w:rsid w:val="00B43223"/>
    <w:rsid w:val="00B45D36"/>
    <w:rsid w:val="00B51556"/>
    <w:rsid w:val="00B517F6"/>
    <w:rsid w:val="00B52517"/>
    <w:rsid w:val="00B530A7"/>
    <w:rsid w:val="00B56EBB"/>
    <w:rsid w:val="00B64633"/>
    <w:rsid w:val="00B65999"/>
    <w:rsid w:val="00B65F61"/>
    <w:rsid w:val="00B67FDC"/>
    <w:rsid w:val="00B72577"/>
    <w:rsid w:val="00B76F12"/>
    <w:rsid w:val="00B84697"/>
    <w:rsid w:val="00B859B7"/>
    <w:rsid w:val="00B85E55"/>
    <w:rsid w:val="00B869F3"/>
    <w:rsid w:val="00B901F1"/>
    <w:rsid w:val="00B91E55"/>
    <w:rsid w:val="00B92781"/>
    <w:rsid w:val="00B96012"/>
    <w:rsid w:val="00B973F5"/>
    <w:rsid w:val="00BA0C77"/>
    <w:rsid w:val="00BA2711"/>
    <w:rsid w:val="00BA2C09"/>
    <w:rsid w:val="00BB632D"/>
    <w:rsid w:val="00BB67C2"/>
    <w:rsid w:val="00BB69DE"/>
    <w:rsid w:val="00BB72DD"/>
    <w:rsid w:val="00BB767C"/>
    <w:rsid w:val="00BB76F0"/>
    <w:rsid w:val="00BB78E8"/>
    <w:rsid w:val="00BC0EE0"/>
    <w:rsid w:val="00BC11C3"/>
    <w:rsid w:val="00BC18DA"/>
    <w:rsid w:val="00BC4BB4"/>
    <w:rsid w:val="00BC6110"/>
    <w:rsid w:val="00BC7CA9"/>
    <w:rsid w:val="00BD10AA"/>
    <w:rsid w:val="00BD2D76"/>
    <w:rsid w:val="00BE1ACA"/>
    <w:rsid w:val="00BE20D2"/>
    <w:rsid w:val="00BE2148"/>
    <w:rsid w:val="00BE260C"/>
    <w:rsid w:val="00BE43B1"/>
    <w:rsid w:val="00BE5CE2"/>
    <w:rsid w:val="00BE660D"/>
    <w:rsid w:val="00BF0FA3"/>
    <w:rsid w:val="00BF3FD1"/>
    <w:rsid w:val="00BF59C1"/>
    <w:rsid w:val="00C12902"/>
    <w:rsid w:val="00C1291B"/>
    <w:rsid w:val="00C12DF2"/>
    <w:rsid w:val="00C13652"/>
    <w:rsid w:val="00C142F6"/>
    <w:rsid w:val="00C14604"/>
    <w:rsid w:val="00C22032"/>
    <w:rsid w:val="00C22547"/>
    <w:rsid w:val="00C2304D"/>
    <w:rsid w:val="00C23295"/>
    <w:rsid w:val="00C25825"/>
    <w:rsid w:val="00C26F00"/>
    <w:rsid w:val="00C27788"/>
    <w:rsid w:val="00C30366"/>
    <w:rsid w:val="00C306E6"/>
    <w:rsid w:val="00C310E9"/>
    <w:rsid w:val="00C31B14"/>
    <w:rsid w:val="00C34714"/>
    <w:rsid w:val="00C34CD4"/>
    <w:rsid w:val="00C356CD"/>
    <w:rsid w:val="00C400B8"/>
    <w:rsid w:val="00C43A43"/>
    <w:rsid w:val="00C5142C"/>
    <w:rsid w:val="00C54147"/>
    <w:rsid w:val="00C543B2"/>
    <w:rsid w:val="00C563F6"/>
    <w:rsid w:val="00C60C6C"/>
    <w:rsid w:val="00C62B78"/>
    <w:rsid w:val="00C635AE"/>
    <w:rsid w:val="00C65CAB"/>
    <w:rsid w:val="00C65F86"/>
    <w:rsid w:val="00C76B6E"/>
    <w:rsid w:val="00C83469"/>
    <w:rsid w:val="00C84BE9"/>
    <w:rsid w:val="00C87399"/>
    <w:rsid w:val="00C90F1D"/>
    <w:rsid w:val="00CA314B"/>
    <w:rsid w:val="00CB03FC"/>
    <w:rsid w:val="00CB0D6A"/>
    <w:rsid w:val="00CB0E16"/>
    <w:rsid w:val="00CB306D"/>
    <w:rsid w:val="00CB6225"/>
    <w:rsid w:val="00CC30F1"/>
    <w:rsid w:val="00CC43C0"/>
    <w:rsid w:val="00CC499D"/>
    <w:rsid w:val="00CC78D9"/>
    <w:rsid w:val="00CD0F36"/>
    <w:rsid w:val="00CD3F20"/>
    <w:rsid w:val="00CD78B0"/>
    <w:rsid w:val="00CD7BD4"/>
    <w:rsid w:val="00CE107D"/>
    <w:rsid w:val="00CE6A2B"/>
    <w:rsid w:val="00CE7169"/>
    <w:rsid w:val="00CE7AF3"/>
    <w:rsid w:val="00CF1BD2"/>
    <w:rsid w:val="00CF42E2"/>
    <w:rsid w:val="00CF59EA"/>
    <w:rsid w:val="00D01697"/>
    <w:rsid w:val="00D03B1C"/>
    <w:rsid w:val="00D066C5"/>
    <w:rsid w:val="00D10768"/>
    <w:rsid w:val="00D117A6"/>
    <w:rsid w:val="00D14380"/>
    <w:rsid w:val="00D15961"/>
    <w:rsid w:val="00D21424"/>
    <w:rsid w:val="00D23B1E"/>
    <w:rsid w:val="00D258D8"/>
    <w:rsid w:val="00D35AC5"/>
    <w:rsid w:val="00D41552"/>
    <w:rsid w:val="00D43DD5"/>
    <w:rsid w:val="00D4484B"/>
    <w:rsid w:val="00D45A75"/>
    <w:rsid w:val="00D47B3C"/>
    <w:rsid w:val="00D528BE"/>
    <w:rsid w:val="00D531AC"/>
    <w:rsid w:val="00D5409C"/>
    <w:rsid w:val="00D546D8"/>
    <w:rsid w:val="00D5600F"/>
    <w:rsid w:val="00D57089"/>
    <w:rsid w:val="00D57213"/>
    <w:rsid w:val="00D57351"/>
    <w:rsid w:val="00D616A4"/>
    <w:rsid w:val="00D63B7D"/>
    <w:rsid w:val="00D645E0"/>
    <w:rsid w:val="00D65F42"/>
    <w:rsid w:val="00D703CB"/>
    <w:rsid w:val="00D75F13"/>
    <w:rsid w:val="00D7695D"/>
    <w:rsid w:val="00D82668"/>
    <w:rsid w:val="00D936AC"/>
    <w:rsid w:val="00D94424"/>
    <w:rsid w:val="00D95761"/>
    <w:rsid w:val="00D96217"/>
    <w:rsid w:val="00DA1473"/>
    <w:rsid w:val="00DA6626"/>
    <w:rsid w:val="00DA74C0"/>
    <w:rsid w:val="00DB01FE"/>
    <w:rsid w:val="00DC0A76"/>
    <w:rsid w:val="00DC1346"/>
    <w:rsid w:val="00DC2CD9"/>
    <w:rsid w:val="00DC37B8"/>
    <w:rsid w:val="00DC4FB8"/>
    <w:rsid w:val="00DC76C5"/>
    <w:rsid w:val="00DD0658"/>
    <w:rsid w:val="00DE1599"/>
    <w:rsid w:val="00DE1850"/>
    <w:rsid w:val="00DE1BD2"/>
    <w:rsid w:val="00DE2FEF"/>
    <w:rsid w:val="00DE51C5"/>
    <w:rsid w:val="00DE6D39"/>
    <w:rsid w:val="00DF0651"/>
    <w:rsid w:val="00DF1695"/>
    <w:rsid w:val="00DF5EE6"/>
    <w:rsid w:val="00DF68BF"/>
    <w:rsid w:val="00E0083E"/>
    <w:rsid w:val="00E00EA7"/>
    <w:rsid w:val="00E0177B"/>
    <w:rsid w:val="00E02835"/>
    <w:rsid w:val="00E0455A"/>
    <w:rsid w:val="00E06F4A"/>
    <w:rsid w:val="00E10083"/>
    <w:rsid w:val="00E10F8F"/>
    <w:rsid w:val="00E12584"/>
    <w:rsid w:val="00E14EF8"/>
    <w:rsid w:val="00E1687C"/>
    <w:rsid w:val="00E17EE0"/>
    <w:rsid w:val="00E2010E"/>
    <w:rsid w:val="00E21EB6"/>
    <w:rsid w:val="00E263BB"/>
    <w:rsid w:val="00E2782C"/>
    <w:rsid w:val="00E3000C"/>
    <w:rsid w:val="00E308E6"/>
    <w:rsid w:val="00E32A18"/>
    <w:rsid w:val="00E42746"/>
    <w:rsid w:val="00E470FE"/>
    <w:rsid w:val="00E510FE"/>
    <w:rsid w:val="00E5113D"/>
    <w:rsid w:val="00E51150"/>
    <w:rsid w:val="00E51754"/>
    <w:rsid w:val="00E52F02"/>
    <w:rsid w:val="00E55F11"/>
    <w:rsid w:val="00E61E0B"/>
    <w:rsid w:val="00E7291E"/>
    <w:rsid w:val="00E72F7C"/>
    <w:rsid w:val="00E7657D"/>
    <w:rsid w:val="00E76BBB"/>
    <w:rsid w:val="00E77CDD"/>
    <w:rsid w:val="00E836EF"/>
    <w:rsid w:val="00E924A7"/>
    <w:rsid w:val="00E94201"/>
    <w:rsid w:val="00E94915"/>
    <w:rsid w:val="00E94F03"/>
    <w:rsid w:val="00EA4425"/>
    <w:rsid w:val="00EA5499"/>
    <w:rsid w:val="00EB0AB3"/>
    <w:rsid w:val="00EB221C"/>
    <w:rsid w:val="00EC0EE2"/>
    <w:rsid w:val="00EC4040"/>
    <w:rsid w:val="00EC5FB4"/>
    <w:rsid w:val="00ED154F"/>
    <w:rsid w:val="00ED47DF"/>
    <w:rsid w:val="00ED4D64"/>
    <w:rsid w:val="00ED55C4"/>
    <w:rsid w:val="00EE62D8"/>
    <w:rsid w:val="00EF0376"/>
    <w:rsid w:val="00EF1CA8"/>
    <w:rsid w:val="00EF2357"/>
    <w:rsid w:val="00EF6BDB"/>
    <w:rsid w:val="00EF6EAA"/>
    <w:rsid w:val="00F0164A"/>
    <w:rsid w:val="00F02E67"/>
    <w:rsid w:val="00F0409A"/>
    <w:rsid w:val="00F04948"/>
    <w:rsid w:val="00F12163"/>
    <w:rsid w:val="00F13A64"/>
    <w:rsid w:val="00F152C6"/>
    <w:rsid w:val="00F176DC"/>
    <w:rsid w:val="00F20487"/>
    <w:rsid w:val="00F22022"/>
    <w:rsid w:val="00F23B98"/>
    <w:rsid w:val="00F24545"/>
    <w:rsid w:val="00F265C0"/>
    <w:rsid w:val="00F266D2"/>
    <w:rsid w:val="00F322CE"/>
    <w:rsid w:val="00F32829"/>
    <w:rsid w:val="00F3351A"/>
    <w:rsid w:val="00F34AE9"/>
    <w:rsid w:val="00F372B3"/>
    <w:rsid w:val="00F42596"/>
    <w:rsid w:val="00F47387"/>
    <w:rsid w:val="00F50E21"/>
    <w:rsid w:val="00F51207"/>
    <w:rsid w:val="00F51EED"/>
    <w:rsid w:val="00F5458E"/>
    <w:rsid w:val="00F5562E"/>
    <w:rsid w:val="00F57F80"/>
    <w:rsid w:val="00F61895"/>
    <w:rsid w:val="00F651A9"/>
    <w:rsid w:val="00F71E11"/>
    <w:rsid w:val="00F74A36"/>
    <w:rsid w:val="00F758D3"/>
    <w:rsid w:val="00F75C77"/>
    <w:rsid w:val="00F7753E"/>
    <w:rsid w:val="00F80E02"/>
    <w:rsid w:val="00F81A42"/>
    <w:rsid w:val="00F8254D"/>
    <w:rsid w:val="00F853F0"/>
    <w:rsid w:val="00F8560B"/>
    <w:rsid w:val="00F9121D"/>
    <w:rsid w:val="00F91C66"/>
    <w:rsid w:val="00F92969"/>
    <w:rsid w:val="00F955CE"/>
    <w:rsid w:val="00FA1123"/>
    <w:rsid w:val="00FA1AD0"/>
    <w:rsid w:val="00FA3805"/>
    <w:rsid w:val="00FA487D"/>
    <w:rsid w:val="00FB3E1C"/>
    <w:rsid w:val="00FB3EB2"/>
    <w:rsid w:val="00FB4648"/>
    <w:rsid w:val="00FB7915"/>
    <w:rsid w:val="00FD5B64"/>
    <w:rsid w:val="00FD6007"/>
    <w:rsid w:val="00FE049F"/>
    <w:rsid w:val="00FE17B3"/>
    <w:rsid w:val="00FE274F"/>
    <w:rsid w:val="00FE325B"/>
    <w:rsid w:val="012651F6"/>
    <w:rsid w:val="0172365A"/>
    <w:rsid w:val="0177043A"/>
    <w:rsid w:val="01D44C60"/>
    <w:rsid w:val="025E6D3F"/>
    <w:rsid w:val="02BD1FAA"/>
    <w:rsid w:val="03ED4D01"/>
    <w:rsid w:val="04FA236D"/>
    <w:rsid w:val="05083A0C"/>
    <w:rsid w:val="050B009A"/>
    <w:rsid w:val="05C97481"/>
    <w:rsid w:val="06091330"/>
    <w:rsid w:val="081137FE"/>
    <w:rsid w:val="082A108B"/>
    <w:rsid w:val="0855464D"/>
    <w:rsid w:val="094F2E51"/>
    <w:rsid w:val="09F55130"/>
    <w:rsid w:val="0A1E23B9"/>
    <w:rsid w:val="0A382896"/>
    <w:rsid w:val="0C606E72"/>
    <w:rsid w:val="0D3A7110"/>
    <w:rsid w:val="0D4F576C"/>
    <w:rsid w:val="0D7F0452"/>
    <w:rsid w:val="0E431CED"/>
    <w:rsid w:val="0E6B7C8C"/>
    <w:rsid w:val="0E763293"/>
    <w:rsid w:val="0E816AB0"/>
    <w:rsid w:val="0F696E0F"/>
    <w:rsid w:val="0FD01CBE"/>
    <w:rsid w:val="0FD87599"/>
    <w:rsid w:val="0FFE4580"/>
    <w:rsid w:val="101D769C"/>
    <w:rsid w:val="104D571B"/>
    <w:rsid w:val="10E4647B"/>
    <w:rsid w:val="115E1C62"/>
    <w:rsid w:val="11AD799D"/>
    <w:rsid w:val="121132C8"/>
    <w:rsid w:val="12313DCF"/>
    <w:rsid w:val="12993CB4"/>
    <w:rsid w:val="13820942"/>
    <w:rsid w:val="13EF59DA"/>
    <w:rsid w:val="14AF7580"/>
    <w:rsid w:val="14DF456E"/>
    <w:rsid w:val="1507258D"/>
    <w:rsid w:val="151971BA"/>
    <w:rsid w:val="16453ACF"/>
    <w:rsid w:val="169A152F"/>
    <w:rsid w:val="176E62EE"/>
    <w:rsid w:val="1833507E"/>
    <w:rsid w:val="186A6762"/>
    <w:rsid w:val="188809F4"/>
    <w:rsid w:val="1BF652B3"/>
    <w:rsid w:val="1D002036"/>
    <w:rsid w:val="1DC017EA"/>
    <w:rsid w:val="1DF1585A"/>
    <w:rsid w:val="1E35279E"/>
    <w:rsid w:val="1F8C4C99"/>
    <w:rsid w:val="1F9B5C81"/>
    <w:rsid w:val="21361B84"/>
    <w:rsid w:val="2146522D"/>
    <w:rsid w:val="218675BD"/>
    <w:rsid w:val="226D7CE1"/>
    <w:rsid w:val="22BE3E36"/>
    <w:rsid w:val="22E93682"/>
    <w:rsid w:val="22EF4AD7"/>
    <w:rsid w:val="22F30943"/>
    <w:rsid w:val="2418246B"/>
    <w:rsid w:val="24E51124"/>
    <w:rsid w:val="252A649E"/>
    <w:rsid w:val="2596035E"/>
    <w:rsid w:val="264C11B0"/>
    <w:rsid w:val="269A1F58"/>
    <w:rsid w:val="28365A5A"/>
    <w:rsid w:val="284844E2"/>
    <w:rsid w:val="2912455E"/>
    <w:rsid w:val="292A2748"/>
    <w:rsid w:val="29470D93"/>
    <w:rsid w:val="29B43029"/>
    <w:rsid w:val="29BD7D3C"/>
    <w:rsid w:val="29CE03CD"/>
    <w:rsid w:val="2BC628A0"/>
    <w:rsid w:val="2C4115EE"/>
    <w:rsid w:val="2C422FB3"/>
    <w:rsid w:val="2CA565E3"/>
    <w:rsid w:val="2DA4221B"/>
    <w:rsid w:val="2DC1523D"/>
    <w:rsid w:val="2E5C419B"/>
    <w:rsid w:val="2EEF0044"/>
    <w:rsid w:val="2EFF66F9"/>
    <w:rsid w:val="2F0D42FC"/>
    <w:rsid w:val="2F9A484B"/>
    <w:rsid w:val="2FC31550"/>
    <w:rsid w:val="307472B7"/>
    <w:rsid w:val="319E4598"/>
    <w:rsid w:val="31CE0B18"/>
    <w:rsid w:val="324C3B99"/>
    <w:rsid w:val="33D44600"/>
    <w:rsid w:val="341E4A15"/>
    <w:rsid w:val="343372C7"/>
    <w:rsid w:val="343B6681"/>
    <w:rsid w:val="34523B36"/>
    <w:rsid w:val="3550213D"/>
    <w:rsid w:val="35F57451"/>
    <w:rsid w:val="36115250"/>
    <w:rsid w:val="36732303"/>
    <w:rsid w:val="3720190B"/>
    <w:rsid w:val="3775470E"/>
    <w:rsid w:val="37F63C4B"/>
    <w:rsid w:val="397313FD"/>
    <w:rsid w:val="3A262866"/>
    <w:rsid w:val="3BA91667"/>
    <w:rsid w:val="3BEA44AB"/>
    <w:rsid w:val="3D1F4659"/>
    <w:rsid w:val="3D591537"/>
    <w:rsid w:val="3D744AE7"/>
    <w:rsid w:val="3D9C247F"/>
    <w:rsid w:val="3DDC7753"/>
    <w:rsid w:val="3E6C3A00"/>
    <w:rsid w:val="3E991714"/>
    <w:rsid w:val="4113054D"/>
    <w:rsid w:val="411F1E93"/>
    <w:rsid w:val="42062902"/>
    <w:rsid w:val="423E3B35"/>
    <w:rsid w:val="42D91C81"/>
    <w:rsid w:val="43A5552A"/>
    <w:rsid w:val="44416362"/>
    <w:rsid w:val="45743D13"/>
    <w:rsid w:val="46315F44"/>
    <w:rsid w:val="469E490B"/>
    <w:rsid w:val="46A05653"/>
    <w:rsid w:val="46AC7239"/>
    <w:rsid w:val="46D904EB"/>
    <w:rsid w:val="47B80C35"/>
    <w:rsid w:val="481F0323"/>
    <w:rsid w:val="48371C5D"/>
    <w:rsid w:val="484103FC"/>
    <w:rsid w:val="489C3123"/>
    <w:rsid w:val="48B66105"/>
    <w:rsid w:val="492F2CC3"/>
    <w:rsid w:val="4AC50E92"/>
    <w:rsid w:val="4AF13D93"/>
    <w:rsid w:val="4B6A6072"/>
    <w:rsid w:val="4BB74DA3"/>
    <w:rsid w:val="4BCE2A0C"/>
    <w:rsid w:val="4C0321F0"/>
    <w:rsid w:val="4C070BF5"/>
    <w:rsid w:val="4C9F6EF3"/>
    <w:rsid w:val="4CD9399E"/>
    <w:rsid w:val="4D3A172B"/>
    <w:rsid w:val="4EF26B71"/>
    <w:rsid w:val="4F1D754B"/>
    <w:rsid w:val="50B7404C"/>
    <w:rsid w:val="51292026"/>
    <w:rsid w:val="51EE4687"/>
    <w:rsid w:val="5278716B"/>
    <w:rsid w:val="53D530D3"/>
    <w:rsid w:val="53E413C7"/>
    <w:rsid w:val="53FD6062"/>
    <w:rsid w:val="541061F1"/>
    <w:rsid w:val="54A476E2"/>
    <w:rsid w:val="55DD1100"/>
    <w:rsid w:val="55FA7A9F"/>
    <w:rsid w:val="56481BED"/>
    <w:rsid w:val="57397488"/>
    <w:rsid w:val="591A12BF"/>
    <w:rsid w:val="59B92C34"/>
    <w:rsid w:val="59C127A3"/>
    <w:rsid w:val="5A170912"/>
    <w:rsid w:val="5A553E6F"/>
    <w:rsid w:val="5AAE1091"/>
    <w:rsid w:val="5AE60407"/>
    <w:rsid w:val="5AEB3E2F"/>
    <w:rsid w:val="5BB0078F"/>
    <w:rsid w:val="5C065916"/>
    <w:rsid w:val="5C0A2297"/>
    <w:rsid w:val="5C7B371F"/>
    <w:rsid w:val="5CF23AFD"/>
    <w:rsid w:val="5ECF56D7"/>
    <w:rsid w:val="5EFF7612"/>
    <w:rsid w:val="5F3E567C"/>
    <w:rsid w:val="5F725917"/>
    <w:rsid w:val="602F38EB"/>
    <w:rsid w:val="605D1356"/>
    <w:rsid w:val="60B778ED"/>
    <w:rsid w:val="60CB4ADA"/>
    <w:rsid w:val="615E09E1"/>
    <w:rsid w:val="62282AA3"/>
    <w:rsid w:val="631A0026"/>
    <w:rsid w:val="636311D5"/>
    <w:rsid w:val="63C93F2A"/>
    <w:rsid w:val="63F149D3"/>
    <w:rsid w:val="64486685"/>
    <w:rsid w:val="64583D0F"/>
    <w:rsid w:val="64B72677"/>
    <w:rsid w:val="64D834A4"/>
    <w:rsid w:val="65F458D3"/>
    <w:rsid w:val="664A4CEF"/>
    <w:rsid w:val="667438CA"/>
    <w:rsid w:val="66C8678C"/>
    <w:rsid w:val="67B56C9E"/>
    <w:rsid w:val="67F1399A"/>
    <w:rsid w:val="68315D5C"/>
    <w:rsid w:val="68F578CF"/>
    <w:rsid w:val="68FC117A"/>
    <w:rsid w:val="69773EBB"/>
    <w:rsid w:val="69947475"/>
    <w:rsid w:val="6A1D789C"/>
    <w:rsid w:val="6B1C2223"/>
    <w:rsid w:val="6BB86D3B"/>
    <w:rsid w:val="6C6B5D04"/>
    <w:rsid w:val="6C7D2DE2"/>
    <w:rsid w:val="6CFB1C48"/>
    <w:rsid w:val="6D0E5786"/>
    <w:rsid w:val="6D2F6A64"/>
    <w:rsid w:val="6D5566CF"/>
    <w:rsid w:val="6E993CA1"/>
    <w:rsid w:val="6FB92BA5"/>
    <w:rsid w:val="7057556C"/>
    <w:rsid w:val="714C4080"/>
    <w:rsid w:val="72596A01"/>
    <w:rsid w:val="72F1776C"/>
    <w:rsid w:val="736D2D2A"/>
    <w:rsid w:val="73937BFF"/>
    <w:rsid w:val="7418550E"/>
    <w:rsid w:val="748B3FB1"/>
    <w:rsid w:val="752F7314"/>
    <w:rsid w:val="75456B98"/>
    <w:rsid w:val="759B75F6"/>
    <w:rsid w:val="75ED4793"/>
    <w:rsid w:val="76197675"/>
    <w:rsid w:val="773F50A9"/>
    <w:rsid w:val="77520F27"/>
    <w:rsid w:val="77DB21F2"/>
    <w:rsid w:val="78007210"/>
    <w:rsid w:val="78334D5C"/>
    <w:rsid w:val="797C3092"/>
    <w:rsid w:val="798669BC"/>
    <w:rsid w:val="799A2DB9"/>
    <w:rsid w:val="7A0B71F7"/>
    <w:rsid w:val="7A503454"/>
    <w:rsid w:val="7A9C0FEF"/>
    <w:rsid w:val="7B1679F0"/>
    <w:rsid w:val="7B234BB4"/>
    <w:rsid w:val="7BB70E68"/>
    <w:rsid w:val="7C125825"/>
    <w:rsid w:val="7C1822AA"/>
    <w:rsid w:val="7D223B54"/>
    <w:rsid w:val="7DD577D2"/>
    <w:rsid w:val="7E154750"/>
    <w:rsid w:val="7E18472B"/>
    <w:rsid w:val="7E1F5A45"/>
    <w:rsid w:val="7ED8005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outlineLvl w:val="1"/>
    </w:pPr>
    <w:rPr>
      <w:rFonts w:ascii="Arial" w:hAnsi="Arial"/>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link w:val="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Normal Indent"/>
    <w:basedOn w:val="1"/>
    <w:qFormat/>
    <w:uiPriority w:val="0"/>
    <w:pPr>
      <w:spacing w:line="340" w:lineRule="exact"/>
      <w:jc w:val="center"/>
    </w:pPr>
    <w:rPr>
      <w:sz w:val="18"/>
    </w:rPr>
  </w:style>
  <w:style w:type="paragraph" w:styleId="5">
    <w:name w:val="Body Text"/>
    <w:basedOn w:val="1"/>
    <w:link w:val="22"/>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Date"/>
    <w:basedOn w:val="1"/>
    <w:next w:val="1"/>
    <w:link w:val="23"/>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0"/>
    <w:rPr>
      <w:rFonts w:ascii="黑体" w:eastAsia="黑体"/>
      <w:smallCaps/>
      <w:szCs w:val="21"/>
    </w:rPr>
  </w:style>
  <w:style w:type="paragraph" w:styleId="13">
    <w:name w:val="Normal (Web)"/>
    <w:basedOn w:val="1"/>
    <w:qFormat/>
    <w:uiPriority w:val="99"/>
    <w:pPr>
      <w:widowControl/>
      <w:spacing w:before="100" w:beforeAutospacing="1" w:after="100" w:afterAutospacing="1"/>
    </w:pPr>
    <w:rPr>
      <w:rFonts w:ascii="宋体" w:hAnsi="宋体" w:cs="宋体"/>
    </w:rPr>
  </w:style>
  <w:style w:type="paragraph" w:styleId="14">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15">
    <w:name w:val="Body Text First Indent"/>
    <w:basedOn w:val="5"/>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customStyle="1" w:styleId="22">
    <w:name w:val="正文文本 Char"/>
    <w:basedOn w:val="18"/>
    <w:link w:val="5"/>
    <w:qFormat/>
    <w:uiPriority w:val="0"/>
    <w:rPr>
      <w:kern w:val="2"/>
      <w:sz w:val="21"/>
      <w:szCs w:val="24"/>
    </w:rPr>
  </w:style>
  <w:style w:type="character" w:customStyle="1" w:styleId="23">
    <w:name w:val="日期 Char"/>
    <w:basedOn w:val="18"/>
    <w:link w:val="8"/>
    <w:uiPriority w:val="0"/>
    <w:rPr>
      <w:kern w:val="2"/>
      <w:sz w:val="21"/>
      <w:szCs w:val="24"/>
    </w:rPr>
  </w:style>
  <w:style w:type="character" w:customStyle="1" w:styleId="24">
    <w:name w:val="段 Char"/>
    <w:link w:val="2"/>
    <w:qFormat/>
    <w:uiPriority w:val="0"/>
    <w:rPr>
      <w:rFonts w:ascii="宋体"/>
      <w:sz w:val="21"/>
      <w:lang w:val="en-US" w:eastAsia="zh-CN" w:bidi="ar-SA"/>
    </w:rPr>
  </w:style>
  <w:style w:type="paragraph" w:customStyle="1" w:styleId="25">
    <w:name w:val="四级条标题"/>
    <w:basedOn w:val="1"/>
    <w:next w:val="2"/>
    <w:qFormat/>
    <w:uiPriority w:val="0"/>
    <w:pPr>
      <w:widowControl/>
      <w:spacing w:beforeLines="50" w:afterLines="50"/>
      <w:jc w:val="left"/>
      <w:outlineLvl w:val="5"/>
    </w:pPr>
    <w:rPr>
      <w:rFonts w:ascii="黑体" w:eastAsia="黑体"/>
      <w:kern w:val="0"/>
      <w:szCs w:val="21"/>
    </w:rPr>
  </w:style>
  <w:style w:type="paragraph" w:customStyle="1" w:styleId="26">
    <w:name w:val="注："/>
    <w:next w:val="2"/>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27">
    <w:name w:val="p0"/>
    <w:basedOn w:val="1"/>
    <w:uiPriority w:val="0"/>
    <w:pPr>
      <w:widowControl/>
    </w:pPr>
    <w:rPr>
      <w:kern w:val="0"/>
      <w:szCs w:val="21"/>
    </w:rPr>
  </w:style>
  <w:style w:type="paragraph" w:customStyle="1" w:styleId="28">
    <w:name w:val="Char"/>
    <w:basedOn w:val="1"/>
    <w:qFormat/>
    <w:uiPriority w:val="0"/>
    <w:pPr>
      <w:widowControl/>
      <w:spacing w:after="160" w:line="240" w:lineRule="exact"/>
      <w:jc w:val="left"/>
    </w:pPr>
  </w:style>
  <w:style w:type="paragraph" w:customStyle="1" w:styleId="29">
    <w:name w:val="二级条标题"/>
    <w:basedOn w:val="30"/>
    <w:next w:val="2"/>
    <w:qFormat/>
    <w:uiPriority w:val="0"/>
    <w:pPr>
      <w:spacing w:beforeLines="50" w:afterLines="50"/>
      <w:ind w:left="1702"/>
      <w:jc w:val="left"/>
      <w:outlineLvl w:val="3"/>
    </w:pPr>
    <w:rPr>
      <w:szCs w:val="21"/>
    </w:rPr>
  </w:style>
  <w:style w:type="paragraph" w:customStyle="1" w:styleId="30">
    <w:name w:val="一级条标题"/>
    <w:basedOn w:val="1"/>
    <w:next w:val="2"/>
    <w:qFormat/>
    <w:uiPriority w:val="0"/>
    <w:pPr>
      <w:widowControl/>
      <w:outlineLvl w:val="2"/>
    </w:pPr>
    <w:rPr>
      <w:rFonts w:ascii="黑体" w:eastAsia="黑体"/>
      <w:kern w:val="0"/>
      <w:szCs w:val="20"/>
    </w:rPr>
  </w:style>
  <w:style w:type="paragraph" w:customStyle="1" w:styleId="31">
    <w:name w:val="五级条标题"/>
    <w:basedOn w:val="25"/>
    <w:next w:val="2"/>
    <w:qFormat/>
    <w:uiPriority w:val="0"/>
    <w:pPr>
      <w:outlineLvl w:val="6"/>
    </w:pPr>
  </w:style>
  <w:style w:type="paragraph" w:customStyle="1" w:styleId="32">
    <w:name w:val="_Style 1"/>
    <w:basedOn w:val="1"/>
    <w:qFormat/>
    <w:uiPriority w:val="0"/>
    <w:pPr>
      <w:tabs>
        <w:tab w:val="left" w:pos="360"/>
      </w:tabs>
    </w:pPr>
    <w:rPr>
      <w:szCs w:val="20"/>
    </w:rPr>
  </w:style>
  <w:style w:type="paragraph" w:customStyle="1" w:styleId="33">
    <w:name w:val="四级无"/>
    <w:basedOn w:val="25"/>
    <w:qFormat/>
    <w:uiPriority w:val="0"/>
    <w:pPr>
      <w:numPr>
        <w:ilvl w:val="0"/>
        <w:numId w:val="3"/>
      </w:numPr>
      <w:spacing w:beforeLines="0" w:afterLines="0"/>
      <w:ind w:firstLine="0"/>
    </w:pPr>
    <w:rPr>
      <w:rFonts w:ascii="宋体" w:eastAsia="宋体"/>
    </w:rPr>
  </w:style>
  <w:style w:type="paragraph" w:customStyle="1" w:styleId="34">
    <w:name w:val="章标题"/>
    <w:next w:val="2"/>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character" w:customStyle="1" w:styleId="35">
    <w:name w:val="font11"/>
    <w:basedOn w:val="18"/>
    <w:qFormat/>
    <w:uiPriority w:val="0"/>
    <w:rPr>
      <w:rFonts w:hint="eastAsia" w:ascii="宋体" w:hAnsi="宋体" w:eastAsia="宋体" w:cs="宋体"/>
      <w:b/>
      <w:bCs/>
      <w:color w:val="000000"/>
      <w:sz w:val="22"/>
      <w:szCs w:val="22"/>
      <w:u w:val="none"/>
    </w:rPr>
  </w:style>
  <w:style w:type="character" w:customStyle="1" w:styleId="36">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7078</Words>
  <Characters>2949</Characters>
  <Lines>24</Lines>
  <Paragraphs>20</Paragraphs>
  <TotalTime>2</TotalTime>
  <ScaleCrop>false</ScaleCrop>
  <LinksUpToDate>false</LinksUpToDate>
  <CharactersWithSpaces>10007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2020-05-25T03:21:00Z</dcterms:created>
  <dc:creator>nbyn-chenhw</dc:creator>
  <cp:lastModifiedBy>HUAWEI</cp:lastModifiedBy>
  <cp:lastPrinted>2020-10-13T10:13:00Z</cp:lastPrinted>
  <dcterms:modified xsi:type="dcterms:W3CDTF">2023-12-10T03:47:23Z</dcterms:modified>
  <dc:title>《深冲压用铜-钢复合带材》</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12656199737A424ABC24F8BB3597BF5B_13</vt:lpwstr>
  </property>
</Properties>
</file>