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4326" w:hSpace="181" w:wrap="around" w:vAnchor="page" w:hAnchor="page" w:x="1468" w:y="886" w:anchorLock="1"/>
        <w:rPr>
          <w:rFonts w:hint="eastAsia" w:ascii="黑体" w:hAnsi="黑体" w:eastAsia="黑体" w:cs="黑体"/>
          <w:bCs/>
          <w:color w:val="auto"/>
          <w:sz w:val="21"/>
        </w:rPr>
      </w:pPr>
      <w:r>
        <w:rPr>
          <w:rFonts w:hint="eastAsia" w:ascii="黑体" w:hAnsi="黑体" w:eastAsia="黑体" w:cs="黑体"/>
          <w:bCs/>
          <w:color w:val="auto"/>
          <w:sz w:val="21"/>
          <w:lang w:val="en-US" w:eastAsia="zh-CN"/>
        </w:rPr>
        <w:t>I</w:t>
      </w:r>
      <w:r>
        <w:rPr>
          <w:rFonts w:hint="eastAsia" w:ascii="黑体" w:hAnsi="黑体" w:eastAsia="黑体" w:cs="黑体"/>
          <w:bCs/>
          <w:color w:val="auto"/>
          <w:sz w:val="21"/>
        </w:rPr>
        <w:t>CS</w:t>
      </w:r>
      <w:r>
        <w:rPr>
          <w:rFonts w:hint="eastAsia" w:ascii="黑体" w:hAnsi="黑体" w:eastAsia="黑体" w:cs="黑体"/>
          <w:bCs/>
          <w:color w:val="auto"/>
          <w:sz w:val="21"/>
          <w:lang w:val="en-US" w:eastAsia="zh-CN"/>
        </w:rPr>
        <w:t xml:space="preserve"> </w:t>
      </w:r>
      <w:r>
        <w:rPr>
          <w:rFonts w:hint="eastAsia" w:ascii="黑体" w:hAnsi="黑体" w:eastAsia="黑体" w:cs="黑体"/>
          <w:bCs/>
          <w:color w:val="auto"/>
          <w:sz w:val="21"/>
        </w:rPr>
        <w:t>77.150.30</w:t>
      </w:r>
    </w:p>
    <w:p>
      <w:pPr>
        <w:framePr w:w="4326" w:hSpace="181" w:wrap="around" w:vAnchor="page" w:hAnchor="page" w:x="1468" w:y="886" w:anchorLock="1"/>
        <w:rPr>
          <w:rFonts w:hint="default" w:ascii="黑体" w:hAnsi="黑体" w:eastAsia="黑体" w:cs="黑体"/>
          <w:bCs/>
          <w:color w:val="auto"/>
          <w:sz w:val="21"/>
          <w:lang w:val="en-US" w:eastAsia="zh-CN"/>
        </w:rPr>
      </w:pPr>
      <w:r>
        <w:rPr>
          <w:rFonts w:hint="eastAsia" w:ascii="黑体" w:hAnsi="黑体" w:eastAsia="黑体" w:cs="黑体"/>
          <w:bCs/>
          <w:color w:val="auto"/>
          <w:sz w:val="21"/>
          <w:lang w:val="en-US" w:eastAsia="zh-CN"/>
        </w:rPr>
        <w:t>CCS H 62</w:t>
      </w:r>
    </w:p>
    <w:p>
      <w:pPr>
        <w:rPr>
          <w:color w:val="auto"/>
        </w:rPr>
      </w:pPr>
    </w:p>
    <w:p>
      <w:pPr>
        <w:keepNext w:val="0"/>
        <w:keepLines w:val="0"/>
        <w:pageBreakBefore w:val="0"/>
        <w:widowControl w:val="0"/>
        <w:kinsoku/>
        <w:wordWrap/>
        <w:overflowPunct/>
        <w:topLinePunct w:val="0"/>
        <w:autoSpaceDE/>
        <w:autoSpaceDN/>
        <w:bidi w:val="0"/>
        <w:adjustRightInd w:val="0"/>
        <w:snapToGrid/>
        <w:spacing w:line="240" w:lineRule="auto"/>
        <w:jc w:val="right"/>
        <w:textAlignment w:val="baseline"/>
        <w:rPr>
          <w:color w:val="auto"/>
        </w:rPr>
      </w:pPr>
      <w:r>
        <w:rPr>
          <w:color w:val="auto"/>
        </w:rPr>
        <w:object>
          <v:shape id="_x0000_i1028" o:spt="75" type="#_x0000_t75" style="height:60.05pt;width:108.7pt;" o:ole="t" filled="f" o:preferrelative="t" stroked="f" coordsize="21600,21600">
            <v:path/>
            <v:fill on="f" focussize="0,0"/>
            <v:stroke on="f"/>
            <v:imagedata r:id="rId20" croptop="13583f" cropright="11650f" o:title=""/>
            <o:lock v:ext="edit" aspectratio="t"/>
            <w10:wrap type="none"/>
            <w10:anchorlock/>
          </v:shape>
          <o:OLEObject Type="Embed" ProgID="Word.Picture.8" ShapeID="_x0000_i1028" DrawAspect="Content" ObjectID="_1468075725" r:id="rId19">
            <o:LockedField>false</o:LockedField>
          </o:OLEObject>
        </w:object>
      </w:r>
      <w:r>
        <w:rPr>
          <w:color w:val="auto"/>
        </w:rPr>
        <w:pict>
          <v:line id="直线 6" o:spid="_x0000_s1026" o:spt="20" style="position:absolute;left:0pt;flip:y;margin-left:70.9pt;margin-top:235.8pt;height:0.65pt;width:468.95pt;mso-position-horizontal-relative:page;mso-position-vertical-relative:page;z-index:251659264;mso-width-relative:page;mso-height-relative:page;" filled="f" stroked="t" coordsize="21600,21600">
            <v:path arrowok="t"/>
            <v:fill on="f" focussize="0,0"/>
            <v:stroke color="#000000" startarrowwidth="narrow" startarrowlength="short" endarrowwidth="narrow" endarrowlength="short"/>
            <v:imagedata o:title=""/>
            <o:lock v:ext="edit" aspectratio="f"/>
            <w10:anchorlock/>
          </v:line>
        </w:pict>
      </w:r>
    </w:p>
    <w:p>
      <w:pPr>
        <w:rPr>
          <w:color w:val="auto"/>
          <w:sz w:val="21"/>
        </w:rPr>
      </w:pPr>
      <w:r>
        <w:rPr>
          <w:rFonts w:ascii="宋体" w:hAnsi="Symbol"/>
          <w:color w:val="auto"/>
          <w:sz w:val="56"/>
        </w:rPr>
        <w:pict>
          <v:shape id="_x0000_s1132" o:spid="_x0000_s1132" o:spt="75" type="#_x0000_t75" style="position:absolute;left:0pt;margin-left:-1.4pt;margin-top:10.8pt;height:48pt;width:498.75pt;z-index:251662336;mso-width-relative:page;mso-height-relative:page;" o:ole="t" filled="f" o:preferrelative="t" stroked="f" coordsize="21600,21600">
            <v:path/>
            <v:fill on="f" focussize="0,0"/>
            <v:stroke on="f" joinstyle="miter"/>
            <v:imagedata r:id="rId22" o:title=""/>
            <o:lock v:ext="edit" aspectratio="t"/>
          </v:shape>
          <o:OLEObject Type="Embed" ProgID="Word.Picture.8" ShapeID="_x0000_s1132" DrawAspect="Content" ObjectID="_1468075726" r:id="rId21">
            <o:LockedField>false</o:LockedField>
          </o:OLEObject>
        </w:pict>
      </w:r>
    </w:p>
    <w:p>
      <w:pPr>
        <w:rPr>
          <w:color w:val="auto"/>
        </w:rPr>
      </w:pPr>
    </w:p>
    <w:p>
      <w:pPr>
        <w:rPr>
          <w:color w:val="auto"/>
        </w:rPr>
      </w:pPr>
    </w:p>
    <w:p>
      <w:pPr>
        <w:rPr>
          <w:color w:val="auto"/>
        </w:rPr>
      </w:pPr>
    </w:p>
    <w:p>
      <w:pPr>
        <w:rPr>
          <w:color w:val="auto"/>
        </w:rPr>
      </w:pPr>
    </w:p>
    <w:p>
      <w:pPr>
        <w:framePr w:w="5268" w:h="466" w:hRule="exact" w:hSpace="181" w:wrap="around" w:vAnchor="page" w:hAnchor="page" w:x="5415" w:y="4178" w:anchorLock="1"/>
        <w:jc w:val="right"/>
        <w:rPr>
          <w:rFonts w:hint="eastAsia" w:ascii="黑体" w:hAnsi="黑体" w:eastAsia="黑体" w:cs="黑体"/>
          <w:bCs/>
          <w:color w:val="auto"/>
          <w:sz w:val="28"/>
          <w:szCs w:val="28"/>
        </w:rPr>
      </w:pPr>
      <w:bookmarkStart w:id="0" w:name="OLE_LINK1"/>
      <w:r>
        <w:rPr>
          <w:rFonts w:hint="eastAsia" w:ascii="黑体" w:hAnsi="黑体" w:eastAsia="黑体" w:cs="黑体"/>
          <w:bCs/>
          <w:color w:val="auto"/>
          <w:sz w:val="28"/>
          <w:szCs w:val="28"/>
        </w:rPr>
        <w:t>YS/T xxxxx-20</w:t>
      </w:r>
      <w:bookmarkEnd w:id="0"/>
      <w:r>
        <w:rPr>
          <w:rFonts w:hint="eastAsia" w:ascii="黑体" w:hAnsi="黑体" w:eastAsia="黑体" w:cs="黑体"/>
          <w:bCs/>
          <w:color w:val="auto"/>
          <w:sz w:val="28"/>
          <w:szCs w:val="28"/>
        </w:rPr>
        <w:t>xx</w:t>
      </w:r>
    </w:p>
    <w:p>
      <w:pPr>
        <w:rPr>
          <w:color w:val="auto"/>
        </w:rPr>
      </w:pPr>
    </w:p>
    <w:p>
      <w:pPr>
        <w:rPr>
          <w:color w:val="auto"/>
        </w:rPr>
      </w:pPr>
      <w:r>
        <w:rPr>
          <w:rFonts w:hint="eastAsia"/>
          <w:color w:val="auto"/>
        </w:rPr>
        <w:t>　　　　</w:t>
      </w:r>
    </w:p>
    <w:p>
      <w:pPr>
        <w:pStyle w:val="20"/>
        <w:rPr>
          <w:color w:val="auto"/>
        </w:rPr>
      </w:pPr>
    </w:p>
    <w:p>
      <w:pPr>
        <w:rPr>
          <w:color w:val="auto"/>
        </w:rPr>
      </w:pPr>
    </w:p>
    <w:p>
      <w:pPr>
        <w:rPr>
          <w:color w:val="auto"/>
        </w:rPr>
      </w:pPr>
    </w:p>
    <w:p>
      <w:pPr>
        <w:rPr>
          <w:color w:val="auto"/>
        </w:rPr>
      </w:pPr>
    </w:p>
    <w:p>
      <w:pPr>
        <w:framePr w:w="9724" w:hSpace="181" w:wrap="notBeside" w:vAnchor="page" w:hAnchor="page" w:x="1230" w:y="6496" w:anchorLock="1"/>
        <w:spacing w:line="240" w:lineRule="auto"/>
        <w:jc w:val="center"/>
        <w:rPr>
          <w:rFonts w:ascii="宋体"/>
          <w:color w:val="auto"/>
          <w:sz w:val="48"/>
        </w:rPr>
      </w:pPr>
      <w:r>
        <w:rPr>
          <w:rFonts w:hint="eastAsia" w:eastAsia="黑体"/>
          <w:color w:val="auto"/>
          <w:sz w:val="52"/>
        </w:rPr>
        <w:t>覆铜陶瓷基板用无氧铜带</w:t>
      </w:r>
    </w:p>
    <w:p>
      <w:pPr>
        <w:spacing w:line="160" w:lineRule="exact"/>
        <w:rPr>
          <w:rFonts w:ascii="Arial" w:hAnsi="Arial" w:cs="Arial"/>
          <w:b/>
          <w:bCs/>
          <w:color w:val="auto"/>
          <w:sz w:val="28"/>
          <w:szCs w:val="28"/>
        </w:rPr>
      </w:pPr>
    </w:p>
    <w:p>
      <w:pPr>
        <w:spacing w:line="160" w:lineRule="exact"/>
        <w:rPr>
          <w:rFonts w:ascii="Arial" w:hAnsi="Arial" w:cs="Arial"/>
          <w:b/>
          <w:bCs/>
          <w:color w:val="auto"/>
          <w:sz w:val="28"/>
          <w:szCs w:val="28"/>
        </w:rPr>
      </w:pPr>
    </w:p>
    <w:p>
      <w:pPr>
        <w:spacing w:line="360" w:lineRule="auto"/>
        <w:jc w:val="center"/>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Oxygen-free copper strip for clad copper ceramic substrate</w:t>
      </w:r>
    </w:p>
    <w:p>
      <w:pPr>
        <w:spacing w:line="160" w:lineRule="exact"/>
        <w:rPr>
          <w:color w:val="auto"/>
          <w:sz w:val="30"/>
          <w:szCs w:val="30"/>
        </w:rPr>
      </w:pPr>
    </w:p>
    <w:p>
      <w:pPr>
        <w:spacing w:line="160" w:lineRule="exact"/>
        <w:rPr>
          <w:color w:val="auto"/>
        </w:rPr>
      </w:pPr>
    </w:p>
    <w:p>
      <w:pPr>
        <w:pStyle w:val="34"/>
        <w:rPr>
          <w:rFonts w:eastAsia="宋体"/>
          <w:color w:val="auto"/>
        </w:rPr>
      </w:pPr>
      <w:r>
        <w:rPr>
          <w:rFonts w:hint="eastAsia" w:eastAsia="宋体"/>
          <w:color w:val="auto"/>
        </w:rPr>
        <w:t>（预审稿）</w:t>
      </w:r>
    </w:p>
    <w:p>
      <w:pPr>
        <w:rPr>
          <w:color w:val="auto"/>
        </w:rPr>
      </w:pPr>
    </w:p>
    <w:p>
      <w:pPr>
        <w:rPr>
          <w:color w:val="auto"/>
        </w:rPr>
      </w:pPr>
    </w:p>
    <w:p>
      <w:pPr>
        <w:framePr w:w="8883" w:hSpace="181" w:wrap="notBeside" w:vAnchor="text" w:hAnchor="page" w:x="1920" w:y="408"/>
        <w:jc w:val="center"/>
        <w:rPr>
          <w:rFonts w:eastAsia="黑体"/>
          <w:color w:val="auto"/>
          <w:sz w:val="44"/>
        </w:rPr>
      </w:pPr>
    </w:p>
    <w:p>
      <w:pPr>
        <w:rPr>
          <w:color w:val="auto"/>
        </w:rPr>
      </w:pPr>
    </w:p>
    <w:p>
      <w:pPr>
        <w:rPr>
          <w:color w:val="auto"/>
        </w:rPr>
      </w:pPr>
    </w:p>
    <w:p>
      <w:pPr>
        <w:framePr w:w="3243" w:h="312" w:hRule="exact" w:hSpace="181" w:wrap="around" w:vAnchor="page" w:hAnchor="page" w:x="1441" w:y="14080" w:anchorLock="1"/>
        <w:spacing w:line="320" w:lineRule="atLeast"/>
        <w:rPr>
          <w:rFonts w:ascii="黑体" w:eastAsia="黑体"/>
          <w:color w:val="auto"/>
          <w:sz w:val="10"/>
        </w:rPr>
      </w:pPr>
      <w:r>
        <w:rPr>
          <w:rFonts w:ascii="黑体" w:eastAsia="黑体"/>
          <w:color w:val="auto"/>
          <w:sz w:val="28"/>
          <w:szCs w:val="18"/>
        </w:rPr>
        <w:t>20</w:t>
      </w:r>
      <w:r>
        <w:rPr>
          <w:rFonts w:hint="eastAsia" w:ascii="黑体" w:eastAsia="黑体"/>
          <w:color w:val="auto"/>
          <w:sz w:val="28"/>
          <w:szCs w:val="18"/>
        </w:rPr>
        <w:t>xx</w:t>
      </w:r>
      <w:r>
        <w:rPr>
          <w:rFonts w:ascii="黑体" w:eastAsia="黑体"/>
          <w:color w:val="auto"/>
          <w:sz w:val="28"/>
          <w:szCs w:val="18"/>
        </w:rPr>
        <w:t>-</w:t>
      </w:r>
      <w:r>
        <w:rPr>
          <w:rFonts w:hint="eastAsia" w:ascii="黑体" w:eastAsia="黑体"/>
          <w:color w:val="auto"/>
          <w:sz w:val="28"/>
          <w:szCs w:val="18"/>
        </w:rPr>
        <w:t>x</w:t>
      </w:r>
      <w:r>
        <w:rPr>
          <w:rFonts w:ascii="黑体" w:eastAsia="黑体"/>
          <w:color w:val="auto"/>
          <w:sz w:val="28"/>
          <w:szCs w:val="18"/>
        </w:rPr>
        <w:t>-</w:t>
      </w:r>
      <w:r>
        <w:rPr>
          <w:rFonts w:hint="eastAsia" w:ascii="黑体" w:eastAsia="黑体"/>
          <w:color w:val="auto"/>
          <w:sz w:val="28"/>
          <w:szCs w:val="18"/>
        </w:rPr>
        <w:t>xx</w:t>
      </w:r>
      <w:r>
        <w:rPr>
          <w:rFonts w:hint="eastAsia" w:ascii="黑体" w:eastAsia="黑体"/>
          <w:color w:val="auto"/>
          <w:sz w:val="28"/>
        </w:rPr>
        <w:t>发布</w:t>
      </w:r>
    </w:p>
    <w:p>
      <w:pPr>
        <w:rPr>
          <w:color w:val="auto"/>
        </w:rPr>
      </w:pPr>
      <w:r>
        <w:rPr>
          <w:color w:val="auto"/>
        </w:rPr>
        <w:pict>
          <v:line id="直线 7" o:spid="_x0000_s1135" o:spt="20" style="position:absolute;left:0pt;margin-left:70.9pt;margin-top:722.95pt;height:0.05pt;width:481.95pt;mso-position-horizontal-relative:page;mso-position-vertical-relative:page;z-index:251660288;mso-width-relative:page;mso-height-relative:page;" coordsize="21600,21600" o:allowincell="f" o:gfxdata="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qe&#10;BhraAAAADgEAAA8AAAAAAAAAAQAgAAAAIgAAAGRycy9kb3ducmV2LnhtbFBLAQIUABQAAAAIAIdO&#10;4kCkrnkJ6AEAANkDAAAOAAAAAAAAAAEAIAAAACkBAABkcnMvZTJvRG9jLnhtbFBLBQYAAAAABgAG&#10;AFkBAACDBQAAAAA=&#10;">
            <v:path arrowok="t"/>
            <v:fill focussize="0,0"/>
            <v:stroke startarrowwidth="narrow" startarrowlength="short" endarrowwidth="narrow" endarrowlength="short"/>
            <v:imagedata o:title=""/>
            <o:lock v:ext="edit"/>
            <w10:anchorlock/>
          </v:line>
        </w:pict>
      </w:r>
    </w:p>
    <w:p>
      <w:pPr>
        <w:framePr w:w="2971" w:h="318" w:hRule="exact" w:hSpace="181" w:wrap="around" w:vAnchor="page" w:hAnchor="page" w:x="8041" w:y="14080" w:anchorLock="1"/>
        <w:spacing w:line="320" w:lineRule="atLeast"/>
        <w:jc w:val="right"/>
        <w:rPr>
          <w:b/>
          <w:color w:val="auto"/>
          <w:sz w:val="10"/>
        </w:rPr>
      </w:pPr>
      <w:r>
        <w:rPr>
          <w:rFonts w:ascii="黑体" w:eastAsia="黑体"/>
          <w:color w:val="auto"/>
          <w:sz w:val="28"/>
          <w:szCs w:val="18"/>
        </w:rPr>
        <w:t>20</w:t>
      </w:r>
      <w:r>
        <w:rPr>
          <w:rFonts w:hint="eastAsia" w:ascii="黑体" w:eastAsia="黑体"/>
          <w:color w:val="auto"/>
          <w:sz w:val="28"/>
          <w:szCs w:val="18"/>
        </w:rPr>
        <w:t>xx</w:t>
      </w:r>
      <w:r>
        <w:rPr>
          <w:rFonts w:ascii="黑体" w:eastAsia="黑体"/>
          <w:color w:val="auto"/>
          <w:sz w:val="28"/>
          <w:szCs w:val="18"/>
        </w:rPr>
        <w:t>-</w:t>
      </w:r>
      <w:r>
        <w:rPr>
          <w:rFonts w:hint="eastAsia" w:ascii="黑体" w:eastAsia="黑体"/>
          <w:color w:val="auto"/>
          <w:sz w:val="28"/>
          <w:szCs w:val="18"/>
        </w:rPr>
        <w:t>x</w:t>
      </w:r>
      <w:r>
        <w:rPr>
          <w:rFonts w:ascii="黑体" w:eastAsia="黑体"/>
          <w:color w:val="auto"/>
          <w:sz w:val="28"/>
          <w:szCs w:val="18"/>
        </w:rPr>
        <w:t>-</w:t>
      </w:r>
      <w:r>
        <w:rPr>
          <w:rFonts w:hint="eastAsia" w:ascii="黑体" w:eastAsia="黑体"/>
          <w:color w:val="auto"/>
          <w:sz w:val="28"/>
          <w:szCs w:val="18"/>
        </w:rPr>
        <w:t>xx</w:t>
      </w:r>
      <w:r>
        <w:rPr>
          <w:rFonts w:hint="eastAsia" w:ascii="黑体" w:eastAsia="黑体"/>
          <w:color w:val="auto"/>
          <w:sz w:val="28"/>
        </w:rPr>
        <w:t>实施</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bl>
      <w:tblPr>
        <w:tblStyle w:val="26"/>
        <w:tblpPr w:leftFromText="180" w:rightFromText="180" w:vertAnchor="text" w:horzAnchor="page" w:tblpX="3030" w:tblpY="459"/>
        <w:tblOverlap w:val="never"/>
        <w:tblW w:w="0" w:type="auto"/>
        <w:tblInd w:w="0" w:type="dxa"/>
        <w:tblLayout w:type="fixed"/>
        <w:tblCellMar>
          <w:top w:w="0" w:type="dxa"/>
          <w:left w:w="108" w:type="dxa"/>
          <w:bottom w:w="0" w:type="dxa"/>
          <w:right w:w="108" w:type="dxa"/>
        </w:tblCellMar>
      </w:tblPr>
      <w:tblGrid>
        <w:gridCol w:w="5340"/>
        <w:gridCol w:w="1277"/>
      </w:tblGrid>
      <w:tr>
        <w:tblPrEx>
          <w:tblCellMar>
            <w:top w:w="0" w:type="dxa"/>
            <w:left w:w="108" w:type="dxa"/>
            <w:bottom w:w="0" w:type="dxa"/>
            <w:right w:w="108" w:type="dxa"/>
          </w:tblCellMar>
        </w:tblPrEx>
        <w:trPr>
          <w:trHeight w:val="612" w:hRule="atLeast"/>
        </w:trPr>
        <w:tc>
          <w:tcPr>
            <w:tcW w:w="5340" w:type="dxa"/>
            <w:noWrap/>
            <w:vAlign w:val="center"/>
          </w:tcPr>
          <w:p>
            <w:pPr>
              <w:spacing w:beforeLines="50" w:line="240" w:lineRule="auto"/>
              <w:jc w:val="center"/>
              <w:rPr>
                <w:rFonts w:ascii="宋体"/>
                <w:color w:val="auto"/>
                <w:w w:val="120"/>
                <w:sz w:val="36"/>
              </w:rPr>
            </w:pPr>
            <w:r>
              <w:rPr>
                <w:rStyle w:val="29"/>
                <w:rFonts w:hint="eastAsia"/>
                <w:color w:val="auto"/>
                <w:sz w:val="36"/>
                <w:szCs w:val="21"/>
              </w:rPr>
              <w:t>中华人民共和国工业和信息化部</w:t>
            </w:r>
          </w:p>
        </w:tc>
        <w:tc>
          <w:tcPr>
            <w:tcW w:w="1277" w:type="dxa"/>
            <w:noWrap/>
            <w:vAlign w:val="center"/>
          </w:tcPr>
          <w:p>
            <w:pPr>
              <w:spacing w:beforeLines="50" w:line="320" w:lineRule="atLeast"/>
              <w:jc w:val="center"/>
              <w:rPr>
                <w:rFonts w:ascii="黑体"/>
                <w:color w:val="auto"/>
                <w:sz w:val="36"/>
              </w:rPr>
            </w:pPr>
            <w:r>
              <w:rPr>
                <w:rFonts w:hint="eastAsia" w:ascii="黑体" w:hAnsi="黑体" w:eastAsia="黑体" w:cs="黑体"/>
                <w:color w:val="auto"/>
                <w:sz w:val="28"/>
                <w:szCs w:val="28"/>
              </w:rPr>
              <w:t>发布</w:t>
            </w:r>
          </w:p>
        </w:tc>
      </w:tr>
    </w:tbl>
    <w:p>
      <w:pPr>
        <w:rPr>
          <w:color w:val="auto"/>
        </w:rPr>
        <w:sectPr>
          <w:footerReference r:id="rId6" w:type="default"/>
          <w:headerReference r:id="rId5" w:type="even"/>
          <w:footerReference r:id="rId7" w:type="even"/>
          <w:type w:val="continuous"/>
          <w:pgSz w:w="11907" w:h="16840"/>
          <w:pgMar w:top="1361" w:right="1440" w:bottom="1361" w:left="1440" w:header="720" w:footer="720" w:gutter="0"/>
          <w:pgBorders>
            <w:top w:val="none" w:sz="0" w:space="0"/>
            <w:left w:val="none" w:sz="0" w:space="0"/>
            <w:bottom w:val="none" w:sz="0" w:space="0"/>
            <w:right w:val="none" w:sz="0" w:space="0"/>
          </w:pgBorders>
          <w:cols w:space="720" w:num="1"/>
        </w:sectPr>
      </w:pPr>
      <w:bookmarkStart w:id="8" w:name="_GoBack"/>
      <w:bookmarkEnd w:id="8"/>
    </w:p>
    <w:p>
      <w:pPr>
        <w:framePr w:hSpace="181" w:wrap="around" w:vAnchor="page" w:hAnchor="page" w:xAlign="center" w:y="2027" w:anchorLock="1"/>
        <w:jc w:val="center"/>
        <w:rPr>
          <w:rFonts w:ascii="黑体"/>
          <w:b/>
          <w:color w:val="auto"/>
          <w:sz w:val="32"/>
        </w:rPr>
      </w:pPr>
      <w:bookmarkStart w:id="1" w:name="目次1"/>
      <w:bookmarkEnd w:id="1"/>
      <w:r>
        <w:rPr>
          <w:rFonts w:hint="eastAsia"/>
          <w:b/>
          <w:color w:val="auto"/>
          <w:sz w:val="32"/>
        </w:rPr>
        <w:t>前  言</w:t>
      </w:r>
    </w:p>
    <w:p>
      <w:pPr>
        <w:keepNext/>
        <w:framePr w:w="4437" w:h="318" w:hRule="exact" w:hSpace="181" w:wrap="around" w:vAnchor="page" w:hAnchor="page" w:x="6341" w:y="1098"/>
        <w:jc w:val="right"/>
        <w:rPr>
          <w:b/>
          <w:bCs/>
          <w:color w:val="auto"/>
        </w:rPr>
      </w:pPr>
      <w:bookmarkStart w:id="2" w:name="前言1"/>
      <w:bookmarkEnd w:id="2"/>
      <w:r>
        <w:rPr>
          <w:rFonts w:hint="eastAsia" w:eastAsia="黑体"/>
          <w:bCs/>
          <w:color w:val="auto"/>
        </w:rPr>
        <w:t>YS</w:t>
      </w:r>
      <w:r>
        <w:rPr>
          <w:rFonts w:eastAsia="黑体"/>
          <w:bCs/>
          <w:color w:val="auto"/>
        </w:rPr>
        <w:t>/T</w:t>
      </w:r>
      <w:r>
        <w:rPr>
          <w:rFonts w:hint="eastAsia" w:eastAsia="黑体"/>
          <w:bCs/>
          <w:color w:val="auto"/>
        </w:rPr>
        <w:t>xxxxx</w:t>
      </w:r>
      <w:r>
        <w:rPr>
          <w:rFonts w:eastAsia="黑体"/>
          <w:bCs/>
          <w:color w:val="auto"/>
        </w:rPr>
        <w:t>-20</w:t>
      </w:r>
      <w:r>
        <w:rPr>
          <w:rFonts w:hint="eastAsia" w:eastAsia="黑体"/>
          <w:bCs/>
          <w:color w:val="auto"/>
        </w:rPr>
        <w:t>xx</w:t>
      </w:r>
    </w:p>
    <w:p>
      <w:pPr>
        <w:rPr>
          <w:color w:val="auto"/>
        </w:rPr>
      </w:pPr>
    </w:p>
    <w:p>
      <w:pPr>
        <w:rPr>
          <w:color w:val="auto"/>
        </w:rPr>
      </w:pPr>
    </w:p>
    <w:p>
      <w:pPr>
        <w:rPr>
          <w:color w:val="auto"/>
        </w:rPr>
      </w:pPr>
    </w:p>
    <w:p>
      <w:pPr>
        <w:spacing w:line="240" w:lineRule="auto"/>
        <w:ind w:firstLine="420" w:firstLineChars="200"/>
        <w:rPr>
          <w:rFonts w:ascii="宋体" w:hAnsi="宋体"/>
          <w:color w:val="auto"/>
          <w:sz w:val="21"/>
          <w:szCs w:val="21"/>
        </w:rPr>
      </w:pPr>
      <w:r>
        <w:rPr>
          <w:rFonts w:hint="eastAsia" w:ascii="宋体" w:hAnsi="宋体" w:cs="宋体"/>
          <w:color w:val="auto"/>
          <w:sz w:val="21"/>
          <w:szCs w:val="21"/>
        </w:rPr>
        <w:t>本文件按照</w:t>
      </w:r>
      <w:r>
        <w:rPr>
          <w:rFonts w:hint="eastAsia" w:ascii="宋体" w:hAnsi="宋体"/>
          <w:color w:val="auto"/>
          <w:sz w:val="21"/>
          <w:szCs w:val="21"/>
        </w:rPr>
        <w:t>GB/T1.1-2020《文件化工作导则 第1部分：文件化文件的结构和起草规则》的规定起草。</w:t>
      </w:r>
    </w:p>
    <w:p>
      <w:pPr>
        <w:ind w:firstLine="403" w:firstLineChars="192"/>
        <w:rPr>
          <w:rFonts w:ascii="宋体" w:hAnsi="宋体" w:cs="宋体"/>
          <w:color w:val="auto"/>
          <w:sz w:val="21"/>
          <w:szCs w:val="21"/>
        </w:rPr>
      </w:pPr>
      <w:r>
        <w:rPr>
          <w:rFonts w:hint="eastAsia" w:ascii="宋体" w:hAnsi="宋体" w:cs="宋体"/>
          <w:color w:val="auto"/>
          <w:sz w:val="21"/>
          <w:szCs w:val="21"/>
        </w:rPr>
        <w:t>请注意本文件的某些内容可能涉及专利。本文件的发布机构不承担识别专利的责任。</w:t>
      </w:r>
    </w:p>
    <w:p>
      <w:pPr>
        <w:spacing w:line="240" w:lineRule="auto"/>
        <w:ind w:firstLine="407" w:firstLineChars="194"/>
        <w:rPr>
          <w:rFonts w:ascii="宋体" w:hAnsi="宋体"/>
          <w:color w:val="auto"/>
          <w:sz w:val="21"/>
          <w:szCs w:val="21"/>
        </w:rPr>
      </w:pPr>
      <w:r>
        <w:rPr>
          <w:rFonts w:hint="eastAsia" w:ascii="宋体" w:hAnsi="宋体" w:cs="宋体"/>
          <w:color w:val="auto"/>
          <w:sz w:val="21"/>
          <w:szCs w:val="21"/>
        </w:rPr>
        <w:t>本文件由全国有色金属标准化技术委员会（SAC/TC243）提出并归口。</w:t>
      </w:r>
    </w:p>
    <w:p>
      <w:pPr>
        <w:snapToGrid w:val="0"/>
        <w:spacing w:line="240" w:lineRule="auto"/>
        <w:ind w:firstLine="407" w:firstLineChars="194"/>
        <w:rPr>
          <w:rFonts w:hint="eastAsia" w:ascii="宋体" w:hAnsi="宋体" w:eastAsia="宋体" w:cs="宋体"/>
          <w:b w:val="0"/>
          <w:bCs/>
          <w:color w:val="auto"/>
          <w:sz w:val="21"/>
          <w:szCs w:val="21"/>
          <w:lang w:val="en-US" w:eastAsia="zh-CN"/>
        </w:rPr>
      </w:pPr>
      <w:r>
        <w:rPr>
          <w:rFonts w:hint="eastAsia" w:ascii="宋体" w:hAnsi="宋体"/>
          <w:color w:val="auto"/>
          <w:sz w:val="21"/>
          <w:szCs w:val="21"/>
        </w:rPr>
        <w:t>本</w:t>
      </w:r>
      <w:r>
        <w:rPr>
          <w:rFonts w:hint="eastAsia" w:ascii="宋体" w:hAnsi="宋体" w:cs="宋体"/>
          <w:color w:val="auto"/>
          <w:sz w:val="21"/>
          <w:szCs w:val="21"/>
        </w:rPr>
        <w:t>文件</w:t>
      </w:r>
      <w:r>
        <w:rPr>
          <w:rFonts w:hint="eastAsia" w:ascii="宋体" w:hAnsi="宋体"/>
          <w:color w:val="auto"/>
          <w:sz w:val="21"/>
          <w:szCs w:val="21"/>
        </w:rPr>
        <w:t>起草单位：中铝</w:t>
      </w:r>
      <w:r>
        <w:rPr>
          <w:rFonts w:hint="eastAsia"/>
          <w:color w:val="auto"/>
          <w:sz w:val="21"/>
          <w:szCs w:val="21"/>
        </w:rPr>
        <w:t>洛阳铜加工有限公司</w:t>
      </w:r>
      <w:r>
        <w:rPr>
          <w:rFonts w:hint="eastAsia"/>
          <w:color w:val="auto"/>
          <w:sz w:val="21"/>
          <w:szCs w:val="21"/>
          <w:lang w:eastAsia="zh-CN"/>
        </w:rPr>
        <w:t>、</w:t>
      </w:r>
      <w:r>
        <w:rPr>
          <w:rFonts w:hint="eastAsia" w:ascii="宋体" w:hAnsi="宋体" w:eastAsia="宋体" w:cs="宋体"/>
          <w:b w:val="0"/>
          <w:bCs w:val="0"/>
          <w:color w:val="auto"/>
          <w:sz w:val="21"/>
          <w:szCs w:val="21"/>
        </w:rPr>
        <w:t>浙江力博实业股份有限公司</w:t>
      </w:r>
      <w:r>
        <w:rPr>
          <w:rFonts w:hint="eastAsia" w:ascii="宋体" w:hAnsi="宋体" w:cs="宋体"/>
          <w:b w:val="0"/>
          <w:bCs w:val="0"/>
          <w:color w:val="auto"/>
          <w:sz w:val="21"/>
          <w:szCs w:val="21"/>
          <w:lang w:eastAsia="zh-CN"/>
        </w:rPr>
        <w:t>、</w:t>
      </w:r>
      <w:r>
        <w:rPr>
          <w:rFonts w:hint="eastAsia" w:ascii="宋体" w:hAnsi="宋体" w:cs="宋体"/>
          <w:b w:val="0"/>
          <w:bCs/>
          <w:color w:val="auto"/>
          <w:sz w:val="21"/>
          <w:szCs w:val="21"/>
        </w:rPr>
        <w:t>铜陵有色金属集团股份有限公司金威铜业分公</w:t>
      </w:r>
    </w:p>
    <w:p>
      <w:pPr>
        <w:snapToGrid w:val="0"/>
        <w:spacing w:line="240" w:lineRule="auto"/>
        <w:ind w:firstLine="407" w:firstLineChars="194"/>
        <w:rPr>
          <w:rFonts w:ascii="宋体" w:hAnsi="宋体"/>
          <w:color w:val="auto"/>
          <w:lang w:val="de-DE"/>
        </w:rPr>
      </w:pPr>
      <w:r>
        <w:rPr>
          <w:rFonts w:hint="eastAsia" w:ascii="宋体" w:hAnsi="宋体"/>
          <w:color w:val="auto"/>
          <w:sz w:val="21"/>
          <w:szCs w:val="21"/>
        </w:rPr>
        <w:t>本</w:t>
      </w:r>
      <w:r>
        <w:rPr>
          <w:rFonts w:hint="eastAsia" w:ascii="宋体" w:hAnsi="宋体" w:cs="宋体"/>
          <w:color w:val="auto"/>
          <w:sz w:val="21"/>
          <w:szCs w:val="21"/>
        </w:rPr>
        <w:t>文件</w:t>
      </w:r>
      <w:r>
        <w:rPr>
          <w:rFonts w:hint="eastAsia" w:ascii="宋体" w:hAnsi="宋体"/>
          <w:color w:val="auto"/>
          <w:sz w:val="21"/>
          <w:szCs w:val="21"/>
        </w:rPr>
        <w:t>主要起草人：</w:t>
      </w:r>
    </w:p>
    <w:p>
      <w:pPr>
        <w:spacing w:line="240" w:lineRule="auto"/>
        <w:ind w:firstLine="420" w:firstLineChars="200"/>
        <w:rPr>
          <w:color w:val="auto"/>
          <w:sz w:val="21"/>
        </w:rPr>
      </w:pPr>
    </w:p>
    <w:p>
      <w:pPr>
        <w:spacing w:line="120" w:lineRule="exact"/>
        <w:ind w:right="28"/>
        <w:rPr>
          <w:rFonts w:ascii="宋体" w:hAnsi="宋体"/>
          <w:color w:val="auto"/>
          <w:sz w:val="21"/>
          <w:szCs w:val="21"/>
        </w:rPr>
        <w:sectPr>
          <w:headerReference r:id="rId9" w:type="first"/>
          <w:footerReference r:id="rId12" w:type="first"/>
          <w:headerReference r:id="rId8" w:type="default"/>
          <w:footerReference r:id="rId10" w:type="default"/>
          <w:footerReference r:id="rId11" w:type="even"/>
          <w:pgSz w:w="11907" w:h="16840"/>
          <w:pgMar w:top="1418" w:right="1361" w:bottom="1361" w:left="1418" w:header="1588" w:footer="720" w:gutter="0"/>
          <w:pgBorders>
            <w:top w:val="none" w:sz="0" w:space="0"/>
            <w:left w:val="none" w:sz="0" w:space="0"/>
            <w:bottom w:val="none" w:sz="0" w:space="0"/>
            <w:right w:val="none" w:sz="0" w:space="0"/>
          </w:pgBorders>
          <w:pgNumType w:fmt="upperRoman" w:start="1"/>
          <w:cols w:space="720" w:num="1"/>
          <w:titlePg/>
        </w:sectPr>
      </w:pPr>
    </w:p>
    <w:p>
      <w:pPr>
        <w:pStyle w:val="20"/>
        <w:jc w:val="center"/>
        <w:rPr>
          <w:rFonts w:ascii="Times New Roman"/>
          <w:b w:val="0"/>
          <w:bCs/>
          <w:caps w:val="0"/>
          <w:color w:val="auto"/>
          <w:sz w:val="32"/>
          <w:szCs w:val="20"/>
        </w:rPr>
      </w:pPr>
      <w:bookmarkStart w:id="3" w:name="正文"/>
      <w:bookmarkEnd w:id="3"/>
      <w:bookmarkStart w:id="4" w:name="_Toc1700834"/>
      <w:bookmarkStart w:id="5" w:name="_Toc431105881"/>
      <w:bookmarkStart w:id="6" w:name="_Toc430680185"/>
      <w:r>
        <w:rPr>
          <w:rFonts w:hint="eastAsia" w:ascii="Times New Roman"/>
          <w:b w:val="0"/>
          <w:bCs/>
          <w:caps w:val="0"/>
          <w:color w:val="auto"/>
          <w:sz w:val="32"/>
          <w:szCs w:val="20"/>
        </w:rPr>
        <w:t>覆铜陶瓷基板用无氧铜带</w:t>
      </w:r>
    </w:p>
    <w:p>
      <w:pPr>
        <w:pStyle w:val="2"/>
        <w:keepNext/>
        <w:keepLines w:val="0"/>
        <w:pageBreakBefore w:val="0"/>
        <w:widowControl w:val="0"/>
        <w:kinsoku/>
        <w:wordWrap/>
        <w:overflowPunct/>
        <w:topLinePunct w:val="0"/>
        <w:autoSpaceDE/>
        <w:autoSpaceDN/>
        <w:bidi w:val="0"/>
        <w:adjustRightInd w:val="0"/>
        <w:snapToGrid w:val="0"/>
        <w:spacing w:before="240" w:after="240"/>
        <w:textAlignment w:val="auto"/>
        <w:rPr>
          <w:color w:val="auto"/>
        </w:rPr>
      </w:pPr>
      <w:r>
        <w:rPr>
          <w:rFonts w:hint="eastAsia"/>
          <w:color w:val="auto"/>
        </w:rPr>
        <w:t>1  范围</w:t>
      </w:r>
      <w:bookmarkEnd w:id="4"/>
      <w:bookmarkEnd w:id="5"/>
      <w:bookmarkEnd w:id="6"/>
    </w:p>
    <w:p>
      <w:pPr>
        <w:spacing w:line="240" w:lineRule="auto"/>
        <w:ind w:firstLine="420" w:firstLineChars="200"/>
        <w:rPr>
          <w:color w:val="auto"/>
          <w:sz w:val="21"/>
          <w:szCs w:val="21"/>
        </w:rPr>
      </w:pPr>
      <w:r>
        <w:rPr>
          <w:rFonts w:hint="eastAsia"/>
          <w:color w:val="auto"/>
          <w:sz w:val="21"/>
          <w:szCs w:val="21"/>
        </w:rPr>
        <w:t>本文件规定了覆铜陶瓷基板用无氧铜带的分类和标记、技术要求、试验方法、检验规则和标志、包装、运输、贮存及随行文件和订货单内容。</w:t>
      </w:r>
    </w:p>
    <w:p>
      <w:pPr>
        <w:spacing w:line="240" w:lineRule="auto"/>
        <w:ind w:firstLine="420" w:firstLineChars="200"/>
        <w:rPr>
          <w:color w:val="auto"/>
          <w:sz w:val="21"/>
          <w:szCs w:val="21"/>
        </w:rPr>
      </w:pPr>
      <w:r>
        <w:rPr>
          <w:rFonts w:hint="eastAsia"/>
          <w:color w:val="auto"/>
          <w:sz w:val="21"/>
          <w:szCs w:val="21"/>
        </w:rPr>
        <w:t>本文件适用于陶瓷覆合用无氧铜带材（以下简称陶瓷带）。</w:t>
      </w:r>
    </w:p>
    <w:p>
      <w:pPr>
        <w:pStyle w:val="2"/>
        <w:spacing w:before="240" w:after="240"/>
        <w:rPr>
          <w:color w:val="auto"/>
        </w:rPr>
      </w:pPr>
      <w:bookmarkStart w:id="7" w:name="_Toc1700835"/>
      <w:r>
        <w:rPr>
          <w:rFonts w:hint="eastAsia"/>
          <w:color w:val="auto"/>
        </w:rPr>
        <w:t>2  规范性引用文件</w:t>
      </w:r>
      <w:bookmarkEnd w:id="7"/>
    </w:p>
    <w:p>
      <w:pPr>
        <w:spacing w:line="240" w:lineRule="auto"/>
        <w:ind w:firstLine="420" w:firstLineChars="200"/>
        <w:rPr>
          <w:color w:val="auto"/>
          <w:sz w:val="21"/>
          <w:szCs w:val="21"/>
        </w:rPr>
      </w:pPr>
      <w:r>
        <w:rPr>
          <w:rFonts w:hint="eastAsia"/>
          <w:color w:val="auto"/>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
        <w:rPr>
          <w:color w:val="auto"/>
        </w:rPr>
      </w:pPr>
      <w:r>
        <w:rPr>
          <w:color w:val="auto"/>
        </w:rPr>
        <w:t>GB/T</w:t>
      </w:r>
      <w:r>
        <w:rPr>
          <w:rFonts w:hint="eastAsia"/>
          <w:color w:val="auto"/>
        </w:rPr>
        <w:t xml:space="preserve"> </w:t>
      </w:r>
      <w:r>
        <w:rPr>
          <w:color w:val="auto"/>
        </w:rPr>
        <w:t>351  金属材料</w:t>
      </w:r>
      <w:r>
        <w:rPr>
          <w:rFonts w:hint="eastAsia"/>
          <w:color w:val="auto"/>
          <w:lang w:val="en-US" w:eastAsia="zh-CN"/>
        </w:rPr>
        <w:t xml:space="preserve"> </w:t>
      </w:r>
      <w:r>
        <w:rPr>
          <w:color w:val="auto"/>
        </w:rPr>
        <w:t>电阻</w:t>
      </w:r>
      <w:r>
        <w:rPr>
          <w:rFonts w:hint="eastAsia"/>
          <w:color w:val="auto"/>
          <w:lang w:val="en-US" w:eastAsia="zh-CN"/>
        </w:rPr>
        <w:t>率</w:t>
      </w:r>
      <w:r>
        <w:rPr>
          <w:color w:val="auto"/>
        </w:rPr>
        <w:t>测量方法</w:t>
      </w:r>
    </w:p>
    <w:p>
      <w:pPr>
        <w:spacing w:line="240" w:lineRule="auto"/>
        <w:ind w:firstLine="420" w:firstLineChars="200"/>
        <w:rPr>
          <w:rFonts w:ascii="宋体" w:hAnsi="宋体"/>
          <w:color w:val="auto"/>
          <w:sz w:val="21"/>
          <w:szCs w:val="21"/>
        </w:rPr>
      </w:pPr>
      <w:r>
        <w:rPr>
          <w:rFonts w:hint="eastAsia" w:ascii="宋体" w:hAnsi="宋体"/>
          <w:color w:val="auto"/>
          <w:sz w:val="21"/>
          <w:szCs w:val="21"/>
        </w:rPr>
        <w:t>GB/T 4340.1  金属材料 维氏硬度试验 第1部分：试验方法</w:t>
      </w:r>
    </w:p>
    <w:p>
      <w:pPr>
        <w:spacing w:line="240" w:lineRule="auto"/>
        <w:ind w:firstLine="420" w:firstLineChars="200"/>
        <w:rPr>
          <w:rFonts w:ascii="宋体" w:hAnsi="宋体"/>
          <w:color w:val="auto"/>
          <w:sz w:val="21"/>
          <w:szCs w:val="21"/>
        </w:rPr>
      </w:pPr>
      <w:r>
        <w:rPr>
          <w:rFonts w:hint="eastAsia" w:ascii="宋体" w:hAnsi="宋体"/>
          <w:color w:val="auto"/>
          <w:sz w:val="21"/>
          <w:szCs w:val="21"/>
        </w:rPr>
        <w:t>GB/T 5121（所有部分） 铜及铜合金化学分析方法</w:t>
      </w:r>
    </w:p>
    <w:p>
      <w:pPr>
        <w:spacing w:line="240" w:lineRule="auto"/>
        <w:ind w:firstLine="420" w:firstLineChars="200"/>
        <w:rPr>
          <w:rFonts w:ascii="宋体" w:hAnsi="宋体"/>
          <w:color w:val="auto"/>
          <w:sz w:val="21"/>
          <w:szCs w:val="21"/>
        </w:rPr>
      </w:pPr>
      <w:r>
        <w:rPr>
          <w:rFonts w:hint="eastAsia" w:ascii="宋体" w:hAnsi="宋体"/>
          <w:color w:val="auto"/>
          <w:sz w:val="21"/>
          <w:szCs w:val="21"/>
        </w:rPr>
        <w:t>GB/T 5231  加工铜及铜合金牌号和化学成分</w:t>
      </w:r>
    </w:p>
    <w:p>
      <w:pPr>
        <w:spacing w:line="240" w:lineRule="auto"/>
        <w:ind w:firstLine="420" w:firstLineChars="200"/>
        <w:rPr>
          <w:rFonts w:ascii="宋体" w:hAnsi="宋体"/>
          <w:color w:val="auto"/>
          <w:sz w:val="21"/>
          <w:szCs w:val="21"/>
        </w:rPr>
      </w:pPr>
      <w:r>
        <w:rPr>
          <w:rFonts w:hint="eastAsia" w:ascii="宋体" w:hAnsi="宋体"/>
          <w:color w:val="auto"/>
          <w:sz w:val="21"/>
          <w:szCs w:val="21"/>
        </w:rPr>
        <w:t>GB/T 8170  数值修约规则与极限数值的表示和判定</w:t>
      </w:r>
    </w:p>
    <w:p>
      <w:pPr>
        <w:spacing w:line="240" w:lineRule="auto"/>
        <w:ind w:firstLine="420" w:firstLineChars="200"/>
        <w:rPr>
          <w:rFonts w:ascii="宋体" w:hAnsi="宋体"/>
          <w:color w:val="auto"/>
          <w:sz w:val="21"/>
          <w:szCs w:val="21"/>
        </w:rPr>
      </w:pPr>
      <w:r>
        <w:rPr>
          <w:rFonts w:ascii="宋体" w:hAnsi="宋体"/>
          <w:color w:val="auto"/>
          <w:sz w:val="21"/>
          <w:szCs w:val="21"/>
        </w:rPr>
        <w:t>GB/T</w:t>
      </w:r>
      <w:r>
        <w:rPr>
          <w:rFonts w:hint="eastAsia" w:ascii="宋体" w:hAnsi="宋体"/>
          <w:color w:val="auto"/>
          <w:sz w:val="21"/>
          <w:szCs w:val="21"/>
        </w:rPr>
        <w:t xml:space="preserve"> </w:t>
      </w:r>
      <w:r>
        <w:rPr>
          <w:rFonts w:ascii="宋体" w:hAnsi="宋体"/>
          <w:color w:val="auto"/>
          <w:sz w:val="21"/>
          <w:szCs w:val="21"/>
        </w:rPr>
        <w:t>8888  重有色金属加工产品的包装、标志、运输</w:t>
      </w:r>
      <w:r>
        <w:rPr>
          <w:rFonts w:hint="eastAsia" w:ascii="宋体" w:hAnsi="宋体"/>
          <w:color w:val="auto"/>
          <w:sz w:val="21"/>
          <w:szCs w:val="21"/>
        </w:rPr>
        <w:t>、</w:t>
      </w:r>
      <w:r>
        <w:rPr>
          <w:rFonts w:ascii="宋体" w:hAnsi="宋体"/>
          <w:color w:val="auto"/>
          <w:sz w:val="21"/>
          <w:szCs w:val="21"/>
        </w:rPr>
        <w:t>贮存</w:t>
      </w:r>
      <w:r>
        <w:rPr>
          <w:rFonts w:hint="eastAsia" w:ascii="宋体" w:hAnsi="宋体"/>
          <w:color w:val="auto"/>
          <w:sz w:val="21"/>
          <w:szCs w:val="21"/>
        </w:rPr>
        <w:t>和质量证明书</w:t>
      </w:r>
    </w:p>
    <w:p>
      <w:pPr>
        <w:pStyle w:val="39"/>
        <w:tabs>
          <w:tab w:val="center" w:pos="4201"/>
          <w:tab w:val="right" w:leader="dot" w:pos="9298"/>
        </w:tabs>
        <w:ind w:firstLine="420"/>
        <w:rPr>
          <w:color w:val="auto"/>
        </w:rPr>
      </w:pPr>
      <w:r>
        <w:rPr>
          <w:rFonts w:hint="eastAsia"/>
          <w:color w:val="auto"/>
        </w:rPr>
        <w:t>GB/T 23606  铜氢脆检验方法</w:t>
      </w:r>
    </w:p>
    <w:p>
      <w:pPr>
        <w:spacing w:line="240" w:lineRule="auto"/>
        <w:ind w:firstLine="420" w:firstLineChars="200"/>
        <w:rPr>
          <w:rFonts w:ascii="宋体" w:hAnsi="宋体"/>
          <w:color w:val="auto"/>
          <w:sz w:val="21"/>
          <w:szCs w:val="21"/>
        </w:rPr>
      </w:pPr>
      <w:r>
        <w:rPr>
          <w:rFonts w:hint="eastAsia" w:ascii="宋体" w:hAnsi="宋体"/>
          <w:color w:val="auto"/>
          <w:sz w:val="21"/>
          <w:szCs w:val="21"/>
        </w:rPr>
        <w:t>GB/T 26303.3  铜及铜合金加工材外形尺寸检测方法  第3部分：板带材</w:t>
      </w:r>
    </w:p>
    <w:p>
      <w:pPr>
        <w:spacing w:line="240" w:lineRule="auto"/>
        <w:ind w:firstLine="420" w:firstLineChars="200"/>
        <w:rPr>
          <w:rFonts w:ascii="宋体" w:hAnsi="宋体"/>
          <w:color w:val="auto"/>
          <w:sz w:val="21"/>
          <w:szCs w:val="21"/>
        </w:rPr>
      </w:pPr>
      <w:r>
        <w:rPr>
          <w:rFonts w:hint="eastAsia" w:ascii="宋体" w:hAnsi="宋体"/>
          <w:color w:val="auto"/>
          <w:sz w:val="21"/>
          <w:szCs w:val="21"/>
        </w:rPr>
        <w:t>GB/T 32791  铜及铜合金导电率涡流测试方法</w:t>
      </w:r>
    </w:p>
    <w:p>
      <w:pPr>
        <w:spacing w:line="240" w:lineRule="auto"/>
        <w:ind w:firstLine="420" w:firstLineChars="200"/>
        <w:rPr>
          <w:rFonts w:ascii="宋体" w:hAnsi="宋体"/>
          <w:color w:val="auto"/>
          <w:sz w:val="21"/>
          <w:szCs w:val="21"/>
        </w:rPr>
      </w:pPr>
      <w:r>
        <w:rPr>
          <w:rFonts w:hint="eastAsia" w:ascii="宋体" w:hAnsi="宋体"/>
          <w:color w:val="auto"/>
          <w:sz w:val="21"/>
          <w:szCs w:val="21"/>
        </w:rPr>
        <w:t>GB/T 34505-2017  铜及铜合金材料 室温拉伸试验方法</w:t>
      </w:r>
    </w:p>
    <w:p>
      <w:pPr>
        <w:pStyle w:val="3"/>
        <w:rPr>
          <w:color w:val="auto"/>
        </w:rPr>
      </w:pPr>
      <w:r>
        <w:rPr>
          <w:color w:val="auto"/>
        </w:rPr>
        <w:t>YS/T</w:t>
      </w:r>
      <w:r>
        <w:rPr>
          <w:rFonts w:hint="eastAsia"/>
          <w:color w:val="auto"/>
        </w:rPr>
        <w:t xml:space="preserve"> </w:t>
      </w:r>
      <w:r>
        <w:rPr>
          <w:color w:val="auto"/>
        </w:rPr>
        <w:t>335</w:t>
      </w:r>
      <w:r>
        <w:rPr>
          <w:rFonts w:hint="eastAsia"/>
          <w:color w:val="auto"/>
          <w:lang w:val="en-US" w:eastAsia="zh-CN"/>
        </w:rPr>
        <w:t xml:space="preserve">  </w:t>
      </w:r>
      <w:r>
        <w:rPr>
          <w:color w:val="auto"/>
        </w:rPr>
        <w:t>无氧铜含氧量金相检验法</w:t>
      </w:r>
    </w:p>
    <w:p>
      <w:pPr>
        <w:spacing w:line="240" w:lineRule="auto"/>
        <w:ind w:firstLine="420" w:firstLineChars="200"/>
        <w:rPr>
          <w:rFonts w:ascii="宋体" w:hAnsi="宋体"/>
          <w:color w:val="auto"/>
          <w:sz w:val="21"/>
          <w:szCs w:val="21"/>
        </w:rPr>
      </w:pPr>
      <w:r>
        <w:rPr>
          <w:rFonts w:hint="eastAsia" w:ascii="宋体" w:hAnsi="宋体"/>
          <w:color w:val="auto"/>
          <w:sz w:val="21"/>
          <w:szCs w:val="21"/>
        </w:rPr>
        <w:t>YS/T 347  铜及铜合金 平均晶粒度测量方法</w:t>
      </w:r>
    </w:p>
    <w:p>
      <w:pPr>
        <w:spacing w:line="240" w:lineRule="auto"/>
        <w:ind w:firstLine="420" w:firstLineChars="200"/>
        <w:rPr>
          <w:rFonts w:ascii="宋体" w:hAnsi="宋体"/>
          <w:color w:val="auto"/>
          <w:sz w:val="21"/>
          <w:szCs w:val="21"/>
        </w:rPr>
      </w:pPr>
      <w:r>
        <w:rPr>
          <w:rFonts w:hint="eastAsia" w:ascii="宋体" w:hAnsi="宋体"/>
          <w:color w:val="auto"/>
          <w:sz w:val="21"/>
          <w:szCs w:val="21"/>
        </w:rPr>
        <w:t xml:space="preserve">YS/T 482  </w:t>
      </w:r>
      <w:r>
        <w:rPr>
          <w:rFonts w:ascii="宋体" w:hAnsi="宋体"/>
          <w:color w:val="auto"/>
          <w:sz w:val="21"/>
          <w:szCs w:val="21"/>
        </w:rPr>
        <w:t>铜及铜合金分析方法 光电发射光谱法</w:t>
      </w:r>
    </w:p>
    <w:p>
      <w:pPr>
        <w:pStyle w:val="39"/>
        <w:tabs>
          <w:tab w:val="center" w:pos="4201"/>
          <w:tab w:val="right" w:leader="dot" w:pos="9298"/>
        </w:tabs>
        <w:ind w:firstLine="420"/>
        <w:rPr>
          <w:rFonts w:hAnsi="宋体"/>
          <w:color w:val="auto"/>
          <w:szCs w:val="21"/>
        </w:rPr>
      </w:pPr>
      <w:r>
        <w:rPr>
          <w:rFonts w:hint="eastAsia" w:hAnsi="宋体"/>
          <w:color w:val="auto"/>
          <w:szCs w:val="21"/>
        </w:rPr>
        <w:t>YS</w:t>
      </w:r>
      <w:r>
        <w:rPr>
          <w:rFonts w:hAnsi="宋体"/>
          <w:color w:val="auto"/>
          <w:szCs w:val="21"/>
        </w:rPr>
        <w:t>/</w:t>
      </w:r>
      <w:r>
        <w:rPr>
          <w:rFonts w:hint="eastAsia" w:hAnsi="宋体"/>
          <w:color w:val="auto"/>
          <w:szCs w:val="21"/>
        </w:rPr>
        <w:t>T 668  铜及铜合金理化检测取样方法</w:t>
      </w:r>
    </w:p>
    <w:p>
      <w:pPr>
        <w:pStyle w:val="39"/>
        <w:tabs>
          <w:tab w:val="center" w:pos="4201"/>
          <w:tab w:val="right" w:leader="dot" w:pos="9298"/>
        </w:tabs>
        <w:ind w:firstLine="420"/>
        <w:rPr>
          <w:rFonts w:hAnsi="宋体"/>
          <w:color w:val="auto"/>
          <w:szCs w:val="21"/>
        </w:rPr>
      </w:pPr>
      <w:r>
        <w:rPr>
          <w:rFonts w:hint="eastAsia" w:hAnsi="宋体"/>
          <w:color w:val="auto"/>
          <w:szCs w:val="21"/>
        </w:rPr>
        <w:t>T/CNIA 0184  铜及铜合金加工材表面粗糙度触针式测量方法</w:t>
      </w:r>
    </w:p>
    <w:p>
      <w:pPr>
        <w:pStyle w:val="2"/>
        <w:spacing w:before="240" w:after="240"/>
        <w:rPr>
          <w:color w:val="auto"/>
        </w:rPr>
      </w:pPr>
      <w:r>
        <w:rPr>
          <w:rFonts w:hint="eastAsia"/>
          <w:color w:val="auto"/>
        </w:rPr>
        <w:t>3  术语和定义</w:t>
      </w:r>
    </w:p>
    <w:p>
      <w:pPr>
        <w:pStyle w:val="3"/>
        <w:rPr>
          <w:color w:val="auto"/>
        </w:rPr>
      </w:pPr>
      <w:r>
        <w:rPr>
          <w:rFonts w:hint="eastAsia"/>
          <w:color w:val="auto"/>
        </w:rPr>
        <w:t>本文件没有需要界定的术语和定义。</w:t>
      </w:r>
    </w:p>
    <w:p>
      <w:pPr>
        <w:pStyle w:val="2"/>
        <w:spacing w:before="240" w:after="240"/>
        <w:rPr>
          <w:color w:val="auto"/>
        </w:rPr>
      </w:pPr>
      <w:r>
        <w:rPr>
          <w:rFonts w:hint="eastAsia"/>
          <w:color w:val="auto"/>
        </w:rPr>
        <w:t>4  分类和标记</w:t>
      </w:r>
    </w:p>
    <w:p>
      <w:pPr>
        <w:pStyle w:val="2"/>
        <w:spacing w:before="240" w:after="240"/>
        <w:rPr>
          <w:color w:val="auto"/>
        </w:rPr>
      </w:pPr>
      <w:r>
        <w:rPr>
          <w:rFonts w:hint="eastAsia"/>
          <w:color w:val="auto"/>
        </w:rPr>
        <w:t>4.1  产品分类</w:t>
      </w:r>
    </w:p>
    <w:p>
      <w:pPr>
        <w:spacing w:line="240" w:lineRule="auto"/>
        <w:ind w:firstLine="420" w:firstLineChars="200"/>
        <w:rPr>
          <w:rFonts w:ascii="宋体" w:hAnsi="宋体"/>
          <w:color w:val="auto"/>
          <w:sz w:val="21"/>
          <w:szCs w:val="21"/>
        </w:rPr>
      </w:pPr>
      <w:r>
        <w:rPr>
          <w:rFonts w:hint="eastAsia" w:ascii="宋体" w:hAnsi="宋体"/>
          <w:color w:val="auto"/>
          <w:sz w:val="21"/>
          <w:szCs w:val="21"/>
        </w:rPr>
        <w:t>带材的牌号、代号、状态和规格应符合表1 的规定。</w:t>
      </w:r>
    </w:p>
    <w:p>
      <w:pPr>
        <w:spacing w:beforeLines="100" w:afterLines="100" w:line="240" w:lineRule="auto"/>
        <w:jc w:val="center"/>
        <w:rPr>
          <w:rFonts w:ascii="宋体" w:hAnsi="宋体"/>
          <w:color w:val="auto"/>
          <w:sz w:val="21"/>
          <w:szCs w:val="21"/>
        </w:rPr>
      </w:pPr>
      <w:r>
        <w:rPr>
          <w:rFonts w:hint="eastAsia" w:ascii="黑体" w:hAnsi="宋体" w:eastAsia="黑体" w:cs="Courier New"/>
          <w:color w:val="auto"/>
          <w:kern w:val="2"/>
          <w:sz w:val="21"/>
          <w:szCs w:val="21"/>
        </w:rPr>
        <w:t>表1  牌号</w:t>
      </w:r>
      <w:r>
        <w:rPr>
          <w:rFonts w:hint="eastAsia" w:ascii="宋体" w:hAnsi="宋体"/>
          <w:color w:val="auto"/>
          <w:sz w:val="21"/>
          <w:szCs w:val="21"/>
        </w:rPr>
        <w:t>、</w:t>
      </w:r>
      <w:r>
        <w:rPr>
          <w:rFonts w:hint="eastAsia" w:ascii="黑体" w:hAnsi="宋体" w:eastAsia="黑体" w:cs="Courier New"/>
          <w:color w:val="auto"/>
          <w:kern w:val="2"/>
          <w:sz w:val="21"/>
          <w:szCs w:val="21"/>
        </w:rPr>
        <w:t>代号、状态和规格</w:t>
      </w:r>
    </w:p>
    <w:tbl>
      <w:tblPr>
        <w:tblStyle w:val="26"/>
        <w:tblW w:w="90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677"/>
        <w:gridCol w:w="1969"/>
        <w:gridCol w:w="1901"/>
        <w:gridCol w:w="19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629" w:type="dxa"/>
            <w:vMerge w:val="restart"/>
            <w:vAlign w:val="center"/>
          </w:tcPr>
          <w:p>
            <w:pPr>
              <w:adjustRightInd/>
              <w:spacing w:line="240" w:lineRule="auto"/>
              <w:jc w:val="center"/>
              <w:textAlignment w:val="auto"/>
              <w:rPr>
                <w:rFonts w:ascii="宋体" w:hAnsi="宋体"/>
                <w:color w:val="auto"/>
                <w:kern w:val="2"/>
                <w:sz w:val="18"/>
                <w:szCs w:val="18"/>
              </w:rPr>
            </w:pPr>
            <w:r>
              <w:rPr>
                <w:rFonts w:hint="eastAsia" w:ascii="宋体" w:hAnsi="宋体"/>
                <w:color w:val="auto"/>
                <w:kern w:val="2"/>
                <w:sz w:val="18"/>
                <w:szCs w:val="18"/>
              </w:rPr>
              <w:t>牌号</w:t>
            </w:r>
          </w:p>
        </w:tc>
        <w:tc>
          <w:tcPr>
            <w:tcW w:w="1677" w:type="dxa"/>
            <w:vMerge w:val="restart"/>
            <w:vAlign w:val="center"/>
          </w:tcPr>
          <w:p>
            <w:pPr>
              <w:adjustRightInd/>
              <w:spacing w:line="240" w:lineRule="auto"/>
              <w:jc w:val="center"/>
              <w:textAlignment w:val="auto"/>
              <w:rPr>
                <w:rFonts w:ascii="宋体" w:hAnsi="宋体"/>
                <w:color w:val="auto"/>
                <w:kern w:val="2"/>
                <w:sz w:val="18"/>
                <w:szCs w:val="18"/>
              </w:rPr>
            </w:pPr>
            <w:r>
              <w:rPr>
                <w:rFonts w:hint="eastAsia" w:ascii="宋体" w:hAnsi="宋体"/>
                <w:color w:val="auto"/>
                <w:kern w:val="2"/>
                <w:sz w:val="18"/>
                <w:szCs w:val="18"/>
              </w:rPr>
              <w:t>代号</w:t>
            </w:r>
          </w:p>
        </w:tc>
        <w:tc>
          <w:tcPr>
            <w:tcW w:w="1969" w:type="dxa"/>
            <w:vMerge w:val="restart"/>
            <w:vAlign w:val="center"/>
          </w:tcPr>
          <w:p>
            <w:pPr>
              <w:adjustRightInd/>
              <w:spacing w:line="240" w:lineRule="auto"/>
              <w:jc w:val="center"/>
              <w:textAlignment w:val="auto"/>
              <w:rPr>
                <w:rFonts w:ascii="宋体" w:hAnsi="宋体"/>
                <w:color w:val="auto"/>
                <w:kern w:val="2"/>
                <w:sz w:val="18"/>
                <w:szCs w:val="18"/>
              </w:rPr>
            </w:pPr>
            <w:r>
              <w:rPr>
                <w:rFonts w:hint="eastAsia" w:ascii="宋体" w:hAnsi="宋体"/>
                <w:color w:val="auto"/>
                <w:kern w:val="2"/>
                <w:sz w:val="18"/>
                <w:szCs w:val="18"/>
              </w:rPr>
              <w:t>状态</w:t>
            </w:r>
          </w:p>
        </w:tc>
        <w:tc>
          <w:tcPr>
            <w:tcW w:w="3803" w:type="dxa"/>
            <w:gridSpan w:val="2"/>
            <w:vAlign w:val="center"/>
          </w:tcPr>
          <w:p>
            <w:pPr>
              <w:adjustRightInd/>
              <w:spacing w:line="240" w:lineRule="auto"/>
              <w:jc w:val="center"/>
              <w:textAlignment w:val="auto"/>
              <w:rPr>
                <w:rFonts w:ascii="宋体" w:hAnsi="宋体"/>
                <w:color w:val="auto"/>
                <w:kern w:val="2"/>
                <w:sz w:val="18"/>
                <w:szCs w:val="18"/>
              </w:rPr>
            </w:pPr>
            <w:r>
              <w:rPr>
                <w:rFonts w:hint="eastAsia" w:ascii="宋体" w:hAnsi="宋体"/>
                <w:color w:val="auto"/>
                <w:kern w:val="2"/>
                <w:sz w:val="18"/>
                <w:szCs w:val="18"/>
              </w:rPr>
              <w:t>规格</w:t>
            </w:r>
          </w:p>
          <w:p>
            <w:pPr>
              <w:adjustRightInd/>
              <w:spacing w:line="240" w:lineRule="auto"/>
              <w:jc w:val="center"/>
              <w:textAlignment w:val="auto"/>
              <w:rPr>
                <w:rFonts w:ascii="宋体" w:hAnsi="宋体"/>
                <w:color w:val="auto"/>
                <w:kern w:val="2"/>
                <w:sz w:val="18"/>
                <w:szCs w:val="18"/>
              </w:rPr>
            </w:pPr>
            <w:r>
              <w:rPr>
                <w:rFonts w:hint="eastAsia" w:ascii="宋体" w:hAnsi="宋体"/>
                <w:color w:val="auto"/>
                <w:kern w:val="2"/>
                <w:sz w:val="18"/>
                <w:szCs w:val="18"/>
              </w:rPr>
              <w:t>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629" w:type="dxa"/>
            <w:vMerge w:val="continue"/>
            <w:tcBorders>
              <w:bottom w:val="single" w:color="auto" w:sz="12" w:space="0"/>
            </w:tcBorders>
            <w:vAlign w:val="center"/>
          </w:tcPr>
          <w:p>
            <w:pPr>
              <w:adjustRightInd/>
              <w:spacing w:line="240" w:lineRule="auto"/>
              <w:jc w:val="center"/>
              <w:textAlignment w:val="auto"/>
              <w:rPr>
                <w:rFonts w:ascii="宋体" w:hAnsi="宋体"/>
                <w:color w:val="auto"/>
                <w:kern w:val="2"/>
                <w:sz w:val="18"/>
                <w:szCs w:val="18"/>
              </w:rPr>
            </w:pPr>
          </w:p>
        </w:tc>
        <w:tc>
          <w:tcPr>
            <w:tcW w:w="1677" w:type="dxa"/>
            <w:vMerge w:val="continue"/>
            <w:tcBorders>
              <w:bottom w:val="single" w:color="auto" w:sz="12" w:space="0"/>
            </w:tcBorders>
          </w:tcPr>
          <w:p>
            <w:pPr>
              <w:adjustRightInd/>
              <w:spacing w:line="240" w:lineRule="auto"/>
              <w:jc w:val="center"/>
              <w:textAlignment w:val="auto"/>
              <w:rPr>
                <w:rFonts w:ascii="宋体" w:hAnsi="宋体"/>
                <w:color w:val="auto"/>
                <w:kern w:val="2"/>
                <w:sz w:val="18"/>
                <w:szCs w:val="18"/>
              </w:rPr>
            </w:pPr>
          </w:p>
        </w:tc>
        <w:tc>
          <w:tcPr>
            <w:tcW w:w="1969" w:type="dxa"/>
            <w:vMerge w:val="continue"/>
            <w:tcBorders>
              <w:bottom w:val="single" w:color="auto" w:sz="12" w:space="0"/>
            </w:tcBorders>
            <w:vAlign w:val="center"/>
          </w:tcPr>
          <w:p>
            <w:pPr>
              <w:adjustRightInd/>
              <w:spacing w:line="240" w:lineRule="auto"/>
              <w:jc w:val="center"/>
              <w:textAlignment w:val="auto"/>
              <w:rPr>
                <w:rFonts w:ascii="宋体" w:hAnsi="宋体"/>
                <w:color w:val="auto"/>
                <w:kern w:val="2"/>
                <w:sz w:val="18"/>
                <w:szCs w:val="18"/>
              </w:rPr>
            </w:pPr>
          </w:p>
        </w:tc>
        <w:tc>
          <w:tcPr>
            <w:tcW w:w="1901" w:type="dxa"/>
            <w:tcBorders>
              <w:bottom w:val="single" w:color="auto" w:sz="12" w:space="0"/>
            </w:tcBorders>
            <w:vAlign w:val="center"/>
          </w:tcPr>
          <w:p>
            <w:pPr>
              <w:adjustRightInd/>
              <w:spacing w:line="240" w:lineRule="auto"/>
              <w:jc w:val="center"/>
              <w:textAlignment w:val="auto"/>
              <w:rPr>
                <w:rFonts w:ascii="宋体" w:hAnsi="宋体"/>
                <w:color w:val="auto"/>
                <w:kern w:val="2"/>
                <w:sz w:val="18"/>
                <w:szCs w:val="18"/>
              </w:rPr>
            </w:pPr>
            <w:r>
              <w:rPr>
                <w:rFonts w:hint="eastAsia" w:ascii="宋体" w:hAnsi="宋体"/>
                <w:color w:val="auto"/>
                <w:kern w:val="2"/>
                <w:sz w:val="18"/>
                <w:szCs w:val="18"/>
              </w:rPr>
              <w:t>厚度</w:t>
            </w:r>
          </w:p>
        </w:tc>
        <w:tc>
          <w:tcPr>
            <w:tcW w:w="1902" w:type="dxa"/>
            <w:tcBorders>
              <w:bottom w:val="single" w:color="auto" w:sz="12" w:space="0"/>
            </w:tcBorders>
            <w:vAlign w:val="center"/>
          </w:tcPr>
          <w:p>
            <w:pPr>
              <w:adjustRightInd/>
              <w:spacing w:line="240" w:lineRule="auto"/>
              <w:jc w:val="center"/>
              <w:textAlignment w:val="auto"/>
              <w:rPr>
                <w:rFonts w:ascii="宋体" w:hAnsi="宋体"/>
                <w:color w:val="auto"/>
                <w:kern w:val="2"/>
                <w:sz w:val="18"/>
                <w:szCs w:val="18"/>
              </w:rPr>
            </w:pPr>
            <w:r>
              <w:rPr>
                <w:rFonts w:hint="eastAsia" w:ascii="宋体" w:hAnsi="宋体"/>
                <w:color w:val="auto"/>
                <w:kern w:val="2"/>
                <w:sz w:val="18"/>
                <w:szCs w:val="18"/>
              </w:rPr>
              <w:t>宽度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629" w:type="dxa"/>
            <w:tcBorders>
              <w:top w:val="single" w:color="auto" w:sz="12" w:space="0"/>
              <w:tl2br w:val="nil"/>
              <w:tr2bl w:val="nil"/>
            </w:tcBorders>
            <w:vAlign w:val="center"/>
          </w:tcPr>
          <w:p>
            <w:pPr>
              <w:adjustRightInd/>
              <w:spacing w:line="240" w:lineRule="auto"/>
              <w:jc w:val="center"/>
              <w:textAlignment w:val="auto"/>
              <w:rPr>
                <w:rFonts w:ascii="宋体" w:hAnsi="宋体"/>
                <w:color w:val="auto"/>
                <w:kern w:val="2"/>
                <w:sz w:val="18"/>
                <w:szCs w:val="18"/>
              </w:rPr>
            </w:pPr>
            <w:r>
              <w:rPr>
                <w:rFonts w:ascii="宋体" w:hAnsi="宋体"/>
                <w:color w:val="auto"/>
                <w:kern w:val="2"/>
                <w:sz w:val="18"/>
                <w:szCs w:val="18"/>
              </w:rPr>
              <w:t>T</w:t>
            </w:r>
            <w:r>
              <w:rPr>
                <w:rFonts w:hint="eastAsia" w:ascii="宋体" w:hAnsi="宋体"/>
                <w:color w:val="auto"/>
                <w:kern w:val="2"/>
                <w:sz w:val="18"/>
                <w:szCs w:val="18"/>
              </w:rPr>
              <w:t xml:space="preserve">U00 </w:t>
            </w:r>
          </w:p>
        </w:tc>
        <w:tc>
          <w:tcPr>
            <w:tcW w:w="1677" w:type="dxa"/>
            <w:tcBorders>
              <w:top w:val="single" w:color="auto" w:sz="12" w:space="0"/>
              <w:tl2br w:val="nil"/>
              <w:tr2bl w:val="nil"/>
            </w:tcBorders>
            <w:vAlign w:val="center"/>
          </w:tcPr>
          <w:p>
            <w:pPr>
              <w:adjustRightInd/>
              <w:spacing w:line="240" w:lineRule="auto"/>
              <w:jc w:val="center"/>
              <w:textAlignment w:val="auto"/>
              <w:rPr>
                <w:rFonts w:ascii="宋体" w:hAnsi="宋体"/>
                <w:color w:val="auto"/>
                <w:kern w:val="2"/>
                <w:sz w:val="18"/>
                <w:szCs w:val="18"/>
              </w:rPr>
            </w:pPr>
            <w:r>
              <w:rPr>
                <w:rFonts w:hint="eastAsia" w:ascii="宋体" w:hAnsi="宋体"/>
                <w:color w:val="auto"/>
                <w:kern w:val="2"/>
                <w:sz w:val="18"/>
                <w:szCs w:val="18"/>
              </w:rPr>
              <w:t>C10100</w:t>
            </w:r>
          </w:p>
        </w:tc>
        <w:tc>
          <w:tcPr>
            <w:tcW w:w="1969" w:type="dxa"/>
            <w:vMerge w:val="restart"/>
            <w:tcBorders>
              <w:top w:val="single" w:color="auto" w:sz="12" w:space="0"/>
              <w:tl2br w:val="nil"/>
              <w:tr2bl w:val="nil"/>
            </w:tcBorders>
            <w:vAlign w:val="center"/>
          </w:tcPr>
          <w:p>
            <w:pPr>
              <w:adjustRightInd/>
              <w:spacing w:line="240" w:lineRule="auto"/>
              <w:jc w:val="center"/>
              <w:textAlignment w:val="auto"/>
              <w:rPr>
                <w:color w:val="auto"/>
                <w:kern w:val="2"/>
                <w:sz w:val="18"/>
                <w:szCs w:val="18"/>
                <w:highlight w:val="none"/>
              </w:rPr>
            </w:pPr>
            <w:r>
              <w:rPr>
                <w:rFonts w:hint="eastAsia"/>
                <w:color w:val="auto"/>
                <w:kern w:val="2"/>
                <w:sz w:val="18"/>
                <w:szCs w:val="18"/>
                <w:highlight w:val="none"/>
                <w:lang w:val="en-US" w:eastAsia="zh-CN"/>
              </w:rPr>
              <w:t>3/4</w:t>
            </w:r>
            <w:r>
              <w:rPr>
                <w:rFonts w:hint="eastAsia"/>
                <w:color w:val="auto"/>
                <w:kern w:val="2"/>
                <w:sz w:val="18"/>
                <w:szCs w:val="18"/>
                <w:highlight w:val="none"/>
              </w:rPr>
              <w:t>硬（H0</w:t>
            </w:r>
            <w:r>
              <w:rPr>
                <w:rFonts w:hint="eastAsia"/>
                <w:color w:val="auto"/>
                <w:kern w:val="2"/>
                <w:sz w:val="18"/>
                <w:szCs w:val="18"/>
                <w:highlight w:val="none"/>
                <w:lang w:val="en-US" w:eastAsia="zh-CN"/>
              </w:rPr>
              <w:t>3</w:t>
            </w:r>
            <w:r>
              <w:rPr>
                <w:rFonts w:hint="eastAsia"/>
                <w:color w:val="auto"/>
                <w:kern w:val="2"/>
                <w:sz w:val="18"/>
                <w:szCs w:val="18"/>
                <w:highlight w:val="none"/>
              </w:rPr>
              <w:t>）</w:t>
            </w:r>
          </w:p>
          <w:p>
            <w:pPr>
              <w:adjustRightInd/>
              <w:spacing w:line="240" w:lineRule="auto"/>
              <w:jc w:val="center"/>
              <w:textAlignment w:val="auto"/>
              <w:rPr>
                <w:rFonts w:ascii="宋体" w:hAnsi="宋体"/>
                <w:color w:val="auto"/>
                <w:kern w:val="2"/>
                <w:sz w:val="18"/>
                <w:szCs w:val="18"/>
              </w:rPr>
            </w:pPr>
            <w:r>
              <w:rPr>
                <w:rFonts w:hint="eastAsia"/>
                <w:color w:val="auto"/>
                <w:kern w:val="2"/>
                <w:sz w:val="18"/>
                <w:szCs w:val="18"/>
              </w:rPr>
              <w:t>硬（H0</w:t>
            </w:r>
            <w:r>
              <w:rPr>
                <w:color w:val="auto"/>
                <w:kern w:val="2"/>
                <w:sz w:val="18"/>
                <w:szCs w:val="18"/>
              </w:rPr>
              <w:t>4</w:t>
            </w:r>
            <w:r>
              <w:rPr>
                <w:rFonts w:hint="eastAsia"/>
                <w:color w:val="auto"/>
                <w:kern w:val="2"/>
                <w:sz w:val="18"/>
                <w:szCs w:val="18"/>
              </w:rPr>
              <w:t>）</w:t>
            </w:r>
          </w:p>
        </w:tc>
        <w:tc>
          <w:tcPr>
            <w:tcW w:w="1901" w:type="dxa"/>
            <w:vMerge w:val="restart"/>
            <w:tcBorders>
              <w:top w:val="single" w:color="auto" w:sz="12" w:space="0"/>
              <w:tl2br w:val="nil"/>
              <w:tr2bl w:val="nil"/>
            </w:tcBorders>
            <w:vAlign w:val="center"/>
          </w:tcPr>
          <w:p>
            <w:pPr>
              <w:adjustRightInd/>
              <w:spacing w:line="240" w:lineRule="auto"/>
              <w:jc w:val="center"/>
              <w:textAlignment w:val="auto"/>
              <w:rPr>
                <w:rFonts w:ascii="宋体" w:hAnsi="宋体"/>
                <w:color w:val="auto"/>
                <w:kern w:val="2"/>
                <w:sz w:val="18"/>
                <w:szCs w:val="18"/>
                <w:highlight w:val="yellow"/>
              </w:rPr>
            </w:pPr>
            <w:r>
              <w:rPr>
                <w:rFonts w:hint="eastAsia" w:ascii="宋体" w:hAnsi="宋体"/>
                <w:color w:val="auto"/>
                <w:kern w:val="2"/>
                <w:sz w:val="18"/>
                <w:szCs w:val="18"/>
              </w:rPr>
              <w:t>0.10～1.00</w:t>
            </w:r>
          </w:p>
        </w:tc>
        <w:tc>
          <w:tcPr>
            <w:tcW w:w="1902" w:type="dxa"/>
            <w:vMerge w:val="restart"/>
            <w:tcBorders>
              <w:top w:val="single" w:color="auto" w:sz="12" w:space="0"/>
              <w:tl2br w:val="nil"/>
              <w:tr2bl w:val="nil"/>
            </w:tcBorders>
            <w:vAlign w:val="center"/>
          </w:tcPr>
          <w:p>
            <w:pPr>
              <w:adjustRightInd/>
              <w:spacing w:line="240" w:lineRule="auto"/>
              <w:jc w:val="center"/>
              <w:textAlignment w:val="auto"/>
              <w:rPr>
                <w:rFonts w:ascii="宋体" w:hAnsi="宋体"/>
                <w:color w:val="auto"/>
                <w:kern w:val="2"/>
                <w:sz w:val="18"/>
                <w:szCs w:val="18"/>
              </w:rPr>
            </w:pPr>
            <w:r>
              <w:rPr>
                <w:rFonts w:hint="eastAsia" w:ascii="宋体" w:hAnsi="宋体"/>
                <w:color w:val="auto"/>
                <w:kern w:val="2"/>
                <w:sz w:val="18"/>
                <w:szCs w:val="18"/>
              </w:rPr>
              <w:t>≤600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629" w:type="dxa"/>
            <w:tcBorders>
              <w:tl2br w:val="nil"/>
              <w:tr2bl w:val="nil"/>
            </w:tcBorders>
            <w:vAlign w:val="center"/>
          </w:tcPr>
          <w:p>
            <w:pPr>
              <w:adjustRightInd/>
              <w:spacing w:line="240" w:lineRule="auto"/>
              <w:jc w:val="center"/>
              <w:textAlignment w:val="auto"/>
              <w:rPr>
                <w:rFonts w:ascii="宋体" w:hAnsi="宋体"/>
                <w:color w:val="auto"/>
                <w:kern w:val="2"/>
                <w:sz w:val="18"/>
                <w:szCs w:val="18"/>
              </w:rPr>
            </w:pPr>
            <w:r>
              <w:rPr>
                <w:rFonts w:hint="eastAsia" w:ascii="宋体" w:hAnsi="宋体"/>
                <w:color w:val="auto"/>
                <w:kern w:val="2"/>
                <w:sz w:val="18"/>
                <w:szCs w:val="18"/>
              </w:rPr>
              <w:t>TU0</w:t>
            </w:r>
          </w:p>
        </w:tc>
        <w:tc>
          <w:tcPr>
            <w:tcW w:w="1677" w:type="dxa"/>
            <w:tcBorders>
              <w:tl2br w:val="nil"/>
              <w:tr2bl w:val="nil"/>
            </w:tcBorders>
            <w:vAlign w:val="center"/>
          </w:tcPr>
          <w:p>
            <w:pPr>
              <w:adjustRightInd/>
              <w:spacing w:line="240" w:lineRule="auto"/>
              <w:jc w:val="center"/>
              <w:textAlignment w:val="auto"/>
              <w:rPr>
                <w:rFonts w:ascii="宋体" w:hAnsi="宋体"/>
                <w:color w:val="auto"/>
                <w:kern w:val="2"/>
                <w:sz w:val="18"/>
                <w:szCs w:val="18"/>
              </w:rPr>
            </w:pPr>
            <w:r>
              <w:rPr>
                <w:rFonts w:hint="eastAsia" w:ascii="宋体" w:hAnsi="宋体"/>
                <w:color w:val="auto"/>
                <w:kern w:val="2"/>
                <w:sz w:val="18"/>
                <w:szCs w:val="18"/>
              </w:rPr>
              <w:t>T10130</w:t>
            </w:r>
          </w:p>
        </w:tc>
        <w:tc>
          <w:tcPr>
            <w:tcW w:w="1969" w:type="dxa"/>
            <w:vMerge w:val="continue"/>
            <w:tcBorders>
              <w:tl2br w:val="nil"/>
              <w:tr2bl w:val="nil"/>
            </w:tcBorders>
            <w:vAlign w:val="center"/>
          </w:tcPr>
          <w:p>
            <w:pPr>
              <w:adjustRightInd/>
              <w:spacing w:line="240" w:lineRule="auto"/>
              <w:jc w:val="center"/>
              <w:textAlignment w:val="auto"/>
              <w:rPr>
                <w:color w:val="auto"/>
                <w:kern w:val="2"/>
                <w:sz w:val="18"/>
                <w:szCs w:val="18"/>
              </w:rPr>
            </w:pPr>
          </w:p>
        </w:tc>
        <w:tc>
          <w:tcPr>
            <w:tcW w:w="1901" w:type="dxa"/>
            <w:vMerge w:val="continue"/>
            <w:tcBorders>
              <w:tl2br w:val="nil"/>
              <w:tr2bl w:val="nil"/>
            </w:tcBorders>
            <w:vAlign w:val="center"/>
          </w:tcPr>
          <w:p>
            <w:pPr>
              <w:adjustRightInd/>
              <w:spacing w:line="240" w:lineRule="auto"/>
              <w:jc w:val="center"/>
              <w:textAlignment w:val="auto"/>
              <w:rPr>
                <w:rFonts w:ascii="宋体" w:hAnsi="宋体"/>
                <w:color w:val="auto"/>
                <w:kern w:val="2"/>
                <w:sz w:val="18"/>
                <w:szCs w:val="18"/>
                <w:highlight w:val="yellow"/>
              </w:rPr>
            </w:pPr>
          </w:p>
        </w:tc>
        <w:tc>
          <w:tcPr>
            <w:tcW w:w="1902" w:type="dxa"/>
            <w:vMerge w:val="continue"/>
            <w:tcBorders>
              <w:tl2br w:val="nil"/>
              <w:tr2bl w:val="nil"/>
            </w:tcBorders>
            <w:vAlign w:val="center"/>
          </w:tcPr>
          <w:p>
            <w:pPr>
              <w:adjustRightInd/>
              <w:spacing w:line="240" w:lineRule="auto"/>
              <w:jc w:val="center"/>
              <w:textAlignment w:val="auto"/>
              <w:rPr>
                <w:rFonts w:ascii="宋体" w:hAnsi="宋体"/>
                <w:color w:val="auto"/>
                <w:kern w:val="2"/>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629" w:type="dxa"/>
            <w:tcBorders>
              <w:tl2br w:val="nil"/>
              <w:tr2bl w:val="nil"/>
            </w:tcBorders>
            <w:vAlign w:val="center"/>
          </w:tcPr>
          <w:p>
            <w:pPr>
              <w:adjustRightInd/>
              <w:spacing w:line="240" w:lineRule="auto"/>
              <w:jc w:val="center"/>
              <w:textAlignment w:val="auto"/>
              <w:rPr>
                <w:rFonts w:ascii="宋体" w:hAnsi="宋体"/>
                <w:color w:val="auto"/>
                <w:kern w:val="2"/>
                <w:sz w:val="18"/>
                <w:szCs w:val="18"/>
              </w:rPr>
            </w:pPr>
            <w:r>
              <w:rPr>
                <w:rFonts w:hint="eastAsia" w:ascii="宋体" w:hAnsi="宋体"/>
                <w:color w:val="auto"/>
                <w:kern w:val="2"/>
                <w:sz w:val="18"/>
                <w:szCs w:val="18"/>
              </w:rPr>
              <w:t>TU1</w:t>
            </w:r>
          </w:p>
        </w:tc>
        <w:tc>
          <w:tcPr>
            <w:tcW w:w="1677" w:type="dxa"/>
            <w:tcBorders>
              <w:tl2br w:val="nil"/>
              <w:tr2bl w:val="nil"/>
            </w:tcBorders>
            <w:vAlign w:val="center"/>
          </w:tcPr>
          <w:p>
            <w:pPr>
              <w:adjustRightInd/>
              <w:spacing w:line="240" w:lineRule="auto"/>
              <w:jc w:val="center"/>
              <w:textAlignment w:val="auto"/>
              <w:rPr>
                <w:rFonts w:ascii="宋体" w:hAnsi="宋体"/>
                <w:color w:val="auto"/>
                <w:kern w:val="2"/>
                <w:sz w:val="18"/>
                <w:szCs w:val="18"/>
              </w:rPr>
            </w:pPr>
            <w:r>
              <w:rPr>
                <w:rFonts w:hint="eastAsia" w:ascii="宋体" w:hAnsi="宋体"/>
                <w:color w:val="auto"/>
                <w:kern w:val="2"/>
                <w:sz w:val="18"/>
                <w:szCs w:val="18"/>
              </w:rPr>
              <w:t>T10150</w:t>
            </w:r>
          </w:p>
        </w:tc>
        <w:tc>
          <w:tcPr>
            <w:tcW w:w="1969" w:type="dxa"/>
            <w:vMerge w:val="continue"/>
            <w:tcBorders>
              <w:tl2br w:val="nil"/>
              <w:tr2bl w:val="nil"/>
            </w:tcBorders>
            <w:vAlign w:val="center"/>
          </w:tcPr>
          <w:p>
            <w:pPr>
              <w:adjustRightInd/>
              <w:spacing w:line="240" w:lineRule="auto"/>
              <w:jc w:val="center"/>
              <w:textAlignment w:val="auto"/>
              <w:rPr>
                <w:color w:val="auto"/>
                <w:kern w:val="2"/>
                <w:sz w:val="18"/>
                <w:szCs w:val="18"/>
              </w:rPr>
            </w:pPr>
          </w:p>
        </w:tc>
        <w:tc>
          <w:tcPr>
            <w:tcW w:w="1901" w:type="dxa"/>
            <w:vMerge w:val="continue"/>
            <w:tcBorders>
              <w:tl2br w:val="nil"/>
              <w:tr2bl w:val="nil"/>
            </w:tcBorders>
            <w:vAlign w:val="center"/>
          </w:tcPr>
          <w:p>
            <w:pPr>
              <w:adjustRightInd/>
              <w:spacing w:line="240" w:lineRule="auto"/>
              <w:jc w:val="center"/>
              <w:textAlignment w:val="auto"/>
              <w:rPr>
                <w:rFonts w:ascii="宋体" w:hAnsi="宋体"/>
                <w:color w:val="auto"/>
                <w:kern w:val="2"/>
                <w:sz w:val="18"/>
                <w:szCs w:val="18"/>
                <w:highlight w:val="yellow"/>
              </w:rPr>
            </w:pPr>
          </w:p>
        </w:tc>
        <w:tc>
          <w:tcPr>
            <w:tcW w:w="1902" w:type="dxa"/>
            <w:vMerge w:val="continue"/>
            <w:tcBorders>
              <w:tl2br w:val="nil"/>
              <w:tr2bl w:val="nil"/>
            </w:tcBorders>
            <w:vAlign w:val="center"/>
          </w:tcPr>
          <w:p>
            <w:pPr>
              <w:adjustRightInd/>
              <w:spacing w:line="240" w:lineRule="auto"/>
              <w:jc w:val="center"/>
              <w:textAlignment w:val="auto"/>
              <w:rPr>
                <w:rFonts w:ascii="宋体" w:hAnsi="宋体"/>
                <w:color w:val="auto"/>
                <w:kern w:val="2"/>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629" w:type="dxa"/>
            <w:tcBorders>
              <w:tl2br w:val="nil"/>
              <w:tr2bl w:val="nil"/>
            </w:tcBorders>
            <w:vAlign w:val="center"/>
          </w:tcPr>
          <w:p>
            <w:pPr>
              <w:adjustRightInd/>
              <w:spacing w:line="240" w:lineRule="auto"/>
              <w:jc w:val="center"/>
              <w:textAlignment w:val="auto"/>
              <w:rPr>
                <w:rFonts w:ascii="宋体" w:hAnsi="宋体"/>
                <w:color w:val="auto"/>
                <w:kern w:val="2"/>
                <w:sz w:val="18"/>
                <w:szCs w:val="18"/>
              </w:rPr>
            </w:pPr>
            <w:r>
              <w:rPr>
                <w:rFonts w:hint="eastAsia" w:ascii="宋体" w:hAnsi="宋体"/>
                <w:color w:val="auto"/>
                <w:kern w:val="2"/>
                <w:sz w:val="18"/>
                <w:szCs w:val="18"/>
              </w:rPr>
              <w:t>TU3</w:t>
            </w:r>
          </w:p>
        </w:tc>
        <w:tc>
          <w:tcPr>
            <w:tcW w:w="1677" w:type="dxa"/>
            <w:tcBorders>
              <w:tl2br w:val="nil"/>
              <w:tr2bl w:val="nil"/>
            </w:tcBorders>
            <w:vAlign w:val="center"/>
          </w:tcPr>
          <w:p>
            <w:pPr>
              <w:adjustRightInd/>
              <w:spacing w:line="240" w:lineRule="auto"/>
              <w:jc w:val="center"/>
              <w:textAlignment w:val="auto"/>
              <w:rPr>
                <w:rFonts w:ascii="宋体" w:hAnsi="宋体"/>
                <w:color w:val="auto"/>
                <w:kern w:val="2"/>
                <w:sz w:val="18"/>
                <w:szCs w:val="18"/>
              </w:rPr>
            </w:pPr>
            <w:r>
              <w:rPr>
                <w:rFonts w:ascii="宋体" w:hAnsi="宋体"/>
                <w:color w:val="auto"/>
                <w:kern w:val="2"/>
                <w:sz w:val="18"/>
                <w:szCs w:val="18"/>
              </w:rPr>
              <w:t>C</w:t>
            </w:r>
            <w:r>
              <w:rPr>
                <w:rFonts w:hint="eastAsia" w:ascii="宋体" w:hAnsi="宋体"/>
                <w:color w:val="auto"/>
                <w:kern w:val="2"/>
                <w:sz w:val="18"/>
                <w:szCs w:val="18"/>
              </w:rPr>
              <w:t>10200</w:t>
            </w:r>
          </w:p>
        </w:tc>
        <w:tc>
          <w:tcPr>
            <w:tcW w:w="1969" w:type="dxa"/>
            <w:vMerge w:val="continue"/>
            <w:tcBorders>
              <w:tl2br w:val="nil"/>
              <w:tr2bl w:val="nil"/>
            </w:tcBorders>
            <w:vAlign w:val="center"/>
          </w:tcPr>
          <w:p>
            <w:pPr>
              <w:adjustRightInd/>
              <w:spacing w:line="240" w:lineRule="auto"/>
              <w:jc w:val="center"/>
              <w:textAlignment w:val="auto"/>
              <w:rPr>
                <w:color w:val="auto"/>
                <w:kern w:val="2"/>
                <w:sz w:val="18"/>
                <w:szCs w:val="18"/>
              </w:rPr>
            </w:pPr>
          </w:p>
        </w:tc>
        <w:tc>
          <w:tcPr>
            <w:tcW w:w="1901" w:type="dxa"/>
            <w:vMerge w:val="continue"/>
            <w:tcBorders>
              <w:tl2br w:val="nil"/>
              <w:tr2bl w:val="nil"/>
            </w:tcBorders>
            <w:vAlign w:val="center"/>
          </w:tcPr>
          <w:p>
            <w:pPr>
              <w:adjustRightInd/>
              <w:spacing w:line="240" w:lineRule="auto"/>
              <w:jc w:val="center"/>
              <w:textAlignment w:val="auto"/>
              <w:rPr>
                <w:rFonts w:ascii="宋体" w:hAnsi="宋体"/>
                <w:color w:val="auto"/>
                <w:kern w:val="2"/>
                <w:sz w:val="18"/>
                <w:szCs w:val="18"/>
                <w:highlight w:val="yellow"/>
              </w:rPr>
            </w:pPr>
          </w:p>
        </w:tc>
        <w:tc>
          <w:tcPr>
            <w:tcW w:w="1902" w:type="dxa"/>
            <w:vMerge w:val="continue"/>
            <w:tcBorders>
              <w:tl2br w:val="nil"/>
              <w:tr2bl w:val="nil"/>
            </w:tcBorders>
            <w:vAlign w:val="center"/>
          </w:tcPr>
          <w:p>
            <w:pPr>
              <w:adjustRightInd/>
              <w:spacing w:line="240" w:lineRule="auto"/>
              <w:jc w:val="center"/>
              <w:textAlignment w:val="auto"/>
              <w:rPr>
                <w:rFonts w:ascii="宋体" w:hAnsi="宋体"/>
                <w:color w:val="auto"/>
                <w:kern w:val="2"/>
                <w:sz w:val="18"/>
                <w:szCs w:val="18"/>
              </w:rPr>
            </w:pPr>
          </w:p>
        </w:tc>
      </w:tr>
    </w:tbl>
    <w:p>
      <w:pPr>
        <w:pStyle w:val="2"/>
        <w:keepNext/>
        <w:keepLines w:val="0"/>
        <w:pageBreakBefore w:val="0"/>
        <w:widowControl w:val="0"/>
        <w:kinsoku/>
        <w:wordWrap/>
        <w:overflowPunct/>
        <w:topLinePunct w:val="0"/>
        <w:autoSpaceDE/>
        <w:autoSpaceDN/>
        <w:bidi w:val="0"/>
        <w:adjustRightInd w:val="0"/>
        <w:snapToGrid w:val="0"/>
        <w:spacing w:before="327" w:beforeLines="100" w:after="240"/>
        <w:textAlignment w:val="auto"/>
        <w:rPr>
          <w:color w:val="auto"/>
        </w:rPr>
      </w:pPr>
      <w:r>
        <w:rPr>
          <w:rFonts w:hint="eastAsia"/>
          <w:color w:val="auto"/>
        </w:rPr>
        <w:t>4.2  产品标记</w:t>
      </w:r>
    </w:p>
    <w:p>
      <w:pPr>
        <w:spacing w:line="240" w:lineRule="auto"/>
        <w:ind w:firstLine="420" w:firstLineChars="200"/>
        <w:rPr>
          <w:rFonts w:ascii="宋体" w:hAnsi="宋体"/>
          <w:color w:val="auto"/>
          <w:sz w:val="21"/>
          <w:szCs w:val="21"/>
        </w:rPr>
      </w:pPr>
      <w:r>
        <w:rPr>
          <w:rFonts w:hint="eastAsia" w:ascii="宋体" w:hAnsi="宋体"/>
          <w:color w:val="auto"/>
          <w:sz w:val="21"/>
          <w:szCs w:val="21"/>
        </w:rPr>
        <w:t>产品标记按产品名称、文件编号、牌号（或代号）、状态和规格的顺序表示。标记示例如下：</w:t>
      </w:r>
    </w:p>
    <w:p>
      <w:pPr>
        <w:spacing w:line="340" w:lineRule="exact"/>
        <w:ind w:firstLine="352" w:firstLineChars="196"/>
        <w:rPr>
          <w:rFonts w:ascii="黑体" w:hAnsi="宋体" w:eastAsia="黑体"/>
          <w:color w:val="auto"/>
          <w:sz w:val="18"/>
          <w:szCs w:val="18"/>
        </w:rPr>
      </w:pPr>
      <w:r>
        <w:rPr>
          <w:rFonts w:hint="eastAsia" w:ascii="黑体" w:hAnsi="宋体" w:eastAsia="黑体"/>
          <w:bCs/>
          <w:color w:val="auto"/>
          <w:sz w:val="18"/>
          <w:szCs w:val="18"/>
        </w:rPr>
        <w:t>示例1</w:t>
      </w:r>
      <w:r>
        <w:rPr>
          <w:rFonts w:hint="eastAsia" w:ascii="黑体" w:hAnsi="宋体" w:eastAsia="黑体"/>
          <w:color w:val="auto"/>
          <w:sz w:val="18"/>
          <w:szCs w:val="18"/>
        </w:rPr>
        <w:t>：</w:t>
      </w:r>
    </w:p>
    <w:p>
      <w:pPr>
        <w:spacing w:line="340" w:lineRule="exact"/>
        <w:ind w:firstLine="360" w:firstLineChars="200"/>
        <w:rPr>
          <w:rFonts w:ascii="宋体" w:hAnsi="宋体"/>
          <w:color w:val="auto"/>
          <w:sz w:val="18"/>
          <w:szCs w:val="18"/>
        </w:rPr>
      </w:pPr>
      <w:r>
        <w:rPr>
          <w:rFonts w:ascii="宋体" w:hAnsi="宋体"/>
          <w:color w:val="auto"/>
          <w:sz w:val="18"/>
          <w:szCs w:val="18"/>
        </w:rPr>
        <w:pict>
          <v:shape id="_x0000_s1134" o:spid="_x0000_s1134" o:spt="202" type="#_x0000_t202" style="position:absolute;left:0pt;margin-left:0.3pt;margin-top:6.35pt;height:41.65pt;width:450.85pt;z-index:251663360;mso-width-relative:page;mso-height-relative:margin;" fillcolor="#FFFFFF" filled="t" stroked="t" coordsize="21600,21600">
            <v:path/>
            <v:fill on="t" color2="#FFFFFF" focussize="0,0"/>
            <v:stroke color="#000000" joinstyle="miter"/>
            <v:imagedata o:title=""/>
            <o:lock v:ext="edit" aspectratio="f"/>
            <v:textbox>
              <w:txbxContent>
                <w:p>
                  <w:pPr>
                    <w:spacing w:line="240" w:lineRule="auto"/>
                    <w:ind w:firstLine="180" w:firstLineChars="100"/>
                    <w:rPr>
                      <w:rFonts w:ascii="宋体" w:hAnsi="宋体"/>
                      <w:sz w:val="18"/>
                      <w:szCs w:val="18"/>
                    </w:rPr>
                  </w:pPr>
                  <w:r>
                    <w:rPr>
                      <w:rFonts w:hint="eastAsia" w:ascii="宋体" w:hAnsi="宋体"/>
                      <w:sz w:val="18"/>
                      <w:szCs w:val="18"/>
                    </w:rPr>
                    <w:t>用TU0</w:t>
                  </w:r>
                  <w:r>
                    <w:rPr>
                      <w:rFonts w:ascii="宋体" w:hAnsi="宋体"/>
                      <w:sz w:val="18"/>
                      <w:szCs w:val="18"/>
                    </w:rPr>
                    <w:t>O</w:t>
                  </w:r>
                  <w:r>
                    <w:rPr>
                      <w:rFonts w:hint="eastAsia" w:ascii="宋体" w:hAnsi="宋体"/>
                      <w:sz w:val="18"/>
                      <w:szCs w:val="18"/>
                    </w:rPr>
                    <w:t>制造的、硬（H04）、厚度为0.3mm、宽度为200mm的</w:t>
                  </w:r>
                  <w:r>
                    <w:rPr>
                      <w:rFonts w:hint="eastAsia"/>
                      <w:sz w:val="18"/>
                      <w:szCs w:val="18"/>
                    </w:rPr>
                    <w:t>陶瓷覆合用无氧铜带</w:t>
                  </w:r>
                  <w:r>
                    <w:rPr>
                      <w:rFonts w:hint="eastAsia" w:ascii="宋体" w:hAnsi="宋体"/>
                      <w:sz w:val="18"/>
                      <w:szCs w:val="18"/>
                    </w:rPr>
                    <w:t>材标记为：</w:t>
                  </w:r>
                </w:p>
                <w:p>
                  <w:pPr>
                    <w:spacing w:line="240" w:lineRule="auto"/>
                    <w:jc w:val="center"/>
                    <w:rPr>
                      <w:rFonts w:ascii="宋体" w:hAnsi="宋体"/>
                      <w:sz w:val="18"/>
                      <w:szCs w:val="18"/>
                      <w:lang w:val="de-DE"/>
                    </w:rPr>
                  </w:pPr>
                  <w:r>
                    <w:rPr>
                      <w:rFonts w:hint="eastAsia" w:ascii="宋体" w:hAnsi="宋体"/>
                      <w:sz w:val="18"/>
                      <w:szCs w:val="18"/>
                      <w:lang w:val="en-US" w:eastAsia="zh-CN"/>
                    </w:rPr>
                    <w:t xml:space="preserve">   </w:t>
                  </w:r>
                  <w:r>
                    <w:rPr>
                      <w:rFonts w:hint="eastAsia" w:ascii="宋体" w:hAnsi="宋体"/>
                      <w:sz w:val="18"/>
                      <w:szCs w:val="18"/>
                    </w:rPr>
                    <w:t>陶瓷带</w:t>
                  </w:r>
                  <w:r>
                    <w:rPr>
                      <w:rFonts w:hint="eastAsia" w:ascii="宋体" w:hAnsi="宋体"/>
                      <w:bCs/>
                      <w:sz w:val="18"/>
                      <w:szCs w:val="18"/>
                      <w:lang w:val="de-DE"/>
                    </w:rPr>
                    <w:t>YS/T xxx-</w:t>
                  </w:r>
                  <w:r>
                    <w:rPr>
                      <w:rFonts w:hint="eastAsia" w:ascii="宋体" w:hAnsi="宋体"/>
                      <w:sz w:val="18"/>
                      <w:szCs w:val="18"/>
                      <w:lang w:val="de-DE"/>
                    </w:rPr>
                    <w:t>TU0</w:t>
                  </w:r>
                  <w:r>
                    <w:rPr>
                      <w:rFonts w:ascii="宋体" w:hAnsi="宋体"/>
                      <w:sz w:val="18"/>
                      <w:szCs w:val="18"/>
                      <w:lang w:val="de-DE"/>
                    </w:rPr>
                    <w:t>0</w:t>
                  </w:r>
                  <w:r>
                    <w:rPr>
                      <w:rFonts w:hint="eastAsia" w:asciiTheme="minorEastAsia" w:hAnsiTheme="minorEastAsia" w:eastAsiaTheme="minorEastAsia"/>
                      <w:sz w:val="18"/>
                      <w:szCs w:val="18"/>
                      <w:lang w:val="de-DE"/>
                    </w:rPr>
                    <w:t>H04</w:t>
                  </w:r>
                  <w:r>
                    <w:rPr>
                      <w:rFonts w:hint="eastAsia" w:ascii="宋体" w:hAnsi="宋体"/>
                      <w:bCs/>
                      <w:sz w:val="18"/>
                      <w:szCs w:val="18"/>
                      <w:lang w:val="de-DE"/>
                    </w:rPr>
                    <w:t>-</w:t>
                  </w:r>
                  <w:r>
                    <w:rPr>
                      <w:rFonts w:hint="eastAsia" w:ascii="宋体" w:hAnsi="宋体"/>
                      <w:sz w:val="18"/>
                      <w:szCs w:val="18"/>
                      <w:lang w:val="de-DE"/>
                    </w:rPr>
                    <w:t>0,3×200</w:t>
                  </w:r>
                </w:p>
                <w:p>
                  <w:pPr>
                    <w:spacing w:line="240" w:lineRule="auto"/>
                    <w:ind w:firstLine="2700" w:firstLineChars="1500"/>
                    <w:rPr>
                      <w:rFonts w:ascii="宋体" w:hAnsi="宋体"/>
                      <w:sz w:val="18"/>
                      <w:szCs w:val="18"/>
                    </w:rPr>
                  </w:pPr>
                  <w:r>
                    <w:rPr>
                      <w:rFonts w:hint="eastAsia" w:ascii="宋体" w:hAnsi="宋体"/>
                      <w:sz w:val="18"/>
                      <w:szCs w:val="18"/>
                    </w:rPr>
                    <w:t>或  陶瓷带YS/T xxx</w:t>
                  </w:r>
                  <w:r>
                    <w:rPr>
                      <w:rFonts w:hint="eastAsia" w:ascii="宋体" w:hAnsi="宋体"/>
                      <w:bCs/>
                      <w:sz w:val="18"/>
                      <w:szCs w:val="18"/>
                      <w:lang w:val="de-DE"/>
                    </w:rPr>
                    <w:t>-</w:t>
                  </w:r>
                  <w:r>
                    <w:rPr>
                      <w:rFonts w:hint="eastAsia" w:ascii="宋体" w:hAnsi="宋体"/>
                      <w:sz w:val="18"/>
                      <w:szCs w:val="18"/>
                    </w:rPr>
                    <w:t>C</w:t>
                  </w:r>
                  <w:r>
                    <w:rPr>
                      <w:rFonts w:ascii="宋体" w:hAnsi="宋体"/>
                      <w:sz w:val="18"/>
                      <w:szCs w:val="18"/>
                    </w:rPr>
                    <w:t>10</w:t>
                  </w:r>
                  <w:r>
                    <w:rPr>
                      <w:rFonts w:hint="eastAsia" w:ascii="宋体" w:hAnsi="宋体"/>
                      <w:sz w:val="18"/>
                      <w:szCs w:val="18"/>
                    </w:rPr>
                    <w:t>100</w:t>
                  </w:r>
                  <w:r>
                    <w:rPr>
                      <w:rFonts w:hint="eastAsia" w:asciiTheme="minorEastAsia" w:hAnsiTheme="minorEastAsia" w:eastAsiaTheme="minorEastAsia"/>
                      <w:sz w:val="18"/>
                      <w:szCs w:val="18"/>
                      <w:lang w:val="de-DE"/>
                    </w:rPr>
                    <w:t>H04</w:t>
                  </w:r>
                  <w:r>
                    <w:rPr>
                      <w:rFonts w:hint="eastAsia" w:ascii="宋体" w:hAnsi="宋体"/>
                      <w:bCs/>
                      <w:sz w:val="18"/>
                      <w:szCs w:val="18"/>
                      <w:lang w:val="de-DE"/>
                    </w:rPr>
                    <w:t>-</w:t>
                  </w:r>
                  <w:r>
                    <w:rPr>
                      <w:rFonts w:hint="eastAsia" w:ascii="宋体" w:hAnsi="宋体"/>
                      <w:sz w:val="18"/>
                      <w:szCs w:val="18"/>
                      <w:lang w:val="de-DE"/>
                    </w:rPr>
                    <w:t>0</w:t>
                  </w:r>
                  <w:r>
                    <w:rPr>
                      <w:rFonts w:hint="eastAsia" w:ascii="宋体" w:hAnsi="宋体"/>
                      <w:sz w:val="18"/>
                      <w:szCs w:val="18"/>
                      <w:lang w:val="en-US" w:eastAsia="zh-CN"/>
                    </w:rPr>
                    <w:t>,</w:t>
                  </w:r>
                  <w:r>
                    <w:rPr>
                      <w:rFonts w:hint="eastAsia" w:ascii="宋体" w:hAnsi="宋体"/>
                      <w:sz w:val="18"/>
                      <w:szCs w:val="18"/>
                      <w:lang w:val="de-DE"/>
                    </w:rPr>
                    <w:t>3×200</w:t>
                  </w:r>
                </w:p>
              </w:txbxContent>
            </v:textbox>
          </v:shape>
        </w:pict>
      </w:r>
    </w:p>
    <w:p>
      <w:pPr>
        <w:spacing w:line="340" w:lineRule="exact"/>
        <w:ind w:firstLine="360" w:firstLineChars="200"/>
        <w:rPr>
          <w:rFonts w:ascii="宋体" w:hAnsi="宋体"/>
          <w:color w:val="auto"/>
          <w:sz w:val="18"/>
          <w:szCs w:val="18"/>
        </w:rPr>
      </w:pPr>
    </w:p>
    <w:p>
      <w:pPr>
        <w:spacing w:line="340" w:lineRule="exact"/>
        <w:ind w:firstLine="360" w:firstLineChars="200"/>
        <w:rPr>
          <w:rFonts w:ascii="宋体" w:hAnsi="宋体"/>
          <w:color w:val="auto"/>
          <w:sz w:val="18"/>
          <w:szCs w:val="18"/>
        </w:rPr>
      </w:pPr>
    </w:p>
    <w:p>
      <w:pPr>
        <w:pStyle w:val="2"/>
        <w:spacing w:before="240" w:after="240"/>
        <w:rPr>
          <w:b/>
          <w:bCs/>
          <w:color w:val="auto"/>
        </w:rPr>
      </w:pPr>
      <w:r>
        <w:rPr>
          <w:rFonts w:hint="eastAsia"/>
          <w:color w:val="auto"/>
        </w:rPr>
        <w:t>5  技术</w:t>
      </w:r>
      <w:r>
        <w:rPr>
          <w:rFonts w:hint="eastAsia" w:hAnsi="Calibri"/>
          <w:color w:val="auto"/>
          <w:szCs w:val="22"/>
        </w:rPr>
        <w:t>要求</w:t>
      </w:r>
    </w:p>
    <w:p>
      <w:pPr>
        <w:pStyle w:val="2"/>
        <w:spacing w:before="240" w:after="240"/>
        <w:rPr>
          <w:color w:val="auto"/>
        </w:rPr>
      </w:pPr>
      <w:r>
        <w:rPr>
          <w:rFonts w:hint="eastAsia"/>
          <w:color w:val="auto"/>
        </w:rPr>
        <w:t xml:space="preserve">5.1  </w:t>
      </w:r>
      <w:r>
        <w:rPr>
          <w:rFonts w:hint="eastAsia" w:hAnsi="Calibri"/>
          <w:bCs/>
          <w:color w:val="auto"/>
          <w:kern w:val="2"/>
          <w:szCs w:val="22"/>
        </w:rPr>
        <w:t>化学成分</w:t>
      </w:r>
    </w:p>
    <w:p>
      <w:pPr>
        <w:spacing w:line="240" w:lineRule="auto"/>
        <w:ind w:firstLine="420" w:firstLineChars="200"/>
        <w:rPr>
          <w:rFonts w:ascii="宋体" w:hAnsi="宋体"/>
          <w:color w:val="auto"/>
          <w:sz w:val="21"/>
          <w:szCs w:val="21"/>
        </w:rPr>
      </w:pPr>
      <w:r>
        <w:rPr>
          <w:rFonts w:hint="eastAsia" w:ascii="宋体" w:hAnsi="宋体"/>
          <w:color w:val="auto"/>
          <w:sz w:val="21"/>
          <w:szCs w:val="21"/>
        </w:rPr>
        <w:t>化学成分应符合GB/T 5231中相应牌号规定。</w:t>
      </w:r>
    </w:p>
    <w:p>
      <w:pPr>
        <w:pStyle w:val="2"/>
        <w:spacing w:before="240" w:after="240"/>
        <w:rPr>
          <w:color w:val="auto"/>
        </w:rPr>
      </w:pPr>
      <w:r>
        <w:rPr>
          <w:rFonts w:hint="eastAsia"/>
          <w:color w:val="auto"/>
        </w:rPr>
        <w:t>5.2  外形尺寸及其允许偏差</w:t>
      </w:r>
    </w:p>
    <w:p>
      <w:pPr>
        <w:pStyle w:val="2"/>
        <w:spacing w:before="240" w:after="240"/>
        <w:rPr>
          <w:color w:val="auto"/>
        </w:rPr>
      </w:pPr>
      <w:r>
        <w:rPr>
          <w:rFonts w:hint="eastAsia"/>
          <w:color w:val="auto"/>
        </w:rPr>
        <w:t>5.2.1  厚度允许偏差</w:t>
      </w:r>
    </w:p>
    <w:p>
      <w:pPr>
        <w:pStyle w:val="3"/>
        <w:rPr>
          <w:color w:val="auto"/>
        </w:rPr>
      </w:pPr>
      <w:r>
        <w:rPr>
          <w:rFonts w:hint="eastAsia"/>
          <w:color w:val="auto"/>
        </w:rPr>
        <w:t>带材的厚度允许</w:t>
      </w:r>
      <w:r>
        <w:rPr>
          <w:rFonts w:hint="eastAsia" w:asciiTheme="minorEastAsia" w:hAnsiTheme="minorEastAsia" w:eastAsiaTheme="minorEastAsia"/>
          <w:color w:val="auto"/>
        </w:rPr>
        <w:t>偏差</w:t>
      </w:r>
      <w:r>
        <w:rPr>
          <w:rFonts w:hint="eastAsia"/>
          <w:color w:val="auto"/>
        </w:rPr>
        <w:t xml:space="preserve">应符合表2的规定。       </w:t>
      </w:r>
    </w:p>
    <w:p>
      <w:pPr>
        <w:pStyle w:val="12"/>
        <w:spacing w:beforeLines="100" w:afterLines="100"/>
        <w:jc w:val="center"/>
        <w:rPr>
          <w:rFonts w:ascii="黑体" w:eastAsia="黑体"/>
          <w:color w:val="auto"/>
          <w:szCs w:val="21"/>
        </w:rPr>
      </w:pPr>
      <w:r>
        <w:rPr>
          <w:rFonts w:hint="eastAsia" w:ascii="黑体" w:eastAsia="黑体"/>
          <w:color w:val="auto"/>
          <w:szCs w:val="21"/>
        </w:rPr>
        <w:t>表2   厚度允许偏差</w:t>
      </w:r>
    </w:p>
    <w:p>
      <w:pPr>
        <w:pStyle w:val="12"/>
        <w:ind w:firstLine="360"/>
        <w:jc w:val="right"/>
        <w:rPr>
          <w:rFonts w:ascii="宋体" w:hAnsi="宋体"/>
          <w:color w:val="auto"/>
          <w:sz w:val="18"/>
          <w:szCs w:val="18"/>
        </w:rPr>
      </w:pPr>
      <w:r>
        <w:rPr>
          <w:rFonts w:hint="eastAsia" w:ascii="宋体" w:hAnsi="宋体"/>
          <w:color w:val="auto"/>
          <w:sz w:val="18"/>
          <w:szCs w:val="18"/>
        </w:rPr>
        <w:t>单位为毫米</w:t>
      </w:r>
    </w:p>
    <w:tbl>
      <w:tblPr>
        <w:tblStyle w:val="26"/>
        <w:tblW w:w="4889" w:type="pct"/>
        <w:tblInd w:w="11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764"/>
        <w:gridCol w:w="1228"/>
        <w:gridCol w:w="1232"/>
        <w:gridCol w:w="1226"/>
        <w:gridCol w:w="1230"/>
        <w:gridCol w:w="1226"/>
        <w:gridCol w:w="123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65" w:type="pct"/>
            <w:vMerge w:val="restart"/>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厚度</w:t>
            </w:r>
          </w:p>
        </w:tc>
        <w:tc>
          <w:tcPr>
            <w:tcW w:w="4034" w:type="pct"/>
            <w:gridSpan w:val="6"/>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宽度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65" w:type="pct"/>
            <w:vMerge w:val="continue"/>
            <w:vAlign w:val="center"/>
          </w:tcPr>
          <w:p>
            <w:pPr>
              <w:pStyle w:val="39"/>
              <w:ind w:firstLine="0" w:firstLineChars="0"/>
              <w:jc w:val="center"/>
              <w:rPr>
                <w:rFonts w:asciiTheme="minorEastAsia" w:hAnsiTheme="minorEastAsia" w:eastAsiaTheme="minorEastAsia"/>
                <w:color w:val="auto"/>
                <w:sz w:val="18"/>
                <w:szCs w:val="18"/>
              </w:rPr>
            </w:pPr>
          </w:p>
        </w:tc>
        <w:tc>
          <w:tcPr>
            <w:tcW w:w="1346" w:type="pct"/>
            <w:gridSpan w:val="2"/>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200</w:t>
            </w:r>
          </w:p>
        </w:tc>
        <w:tc>
          <w:tcPr>
            <w:tcW w:w="1344" w:type="pct"/>
            <w:gridSpan w:val="2"/>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200</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300</w:t>
            </w:r>
          </w:p>
        </w:tc>
        <w:tc>
          <w:tcPr>
            <w:tcW w:w="1343" w:type="pct"/>
            <w:gridSpan w:val="2"/>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300</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6</w:t>
            </w:r>
            <w:r>
              <w:rPr>
                <w:rFonts w:hint="eastAsia" w:asciiTheme="minorEastAsia" w:hAnsiTheme="minorEastAsia" w:eastAsiaTheme="minorEastAsia"/>
                <w:color w:val="auto"/>
                <w:sz w:val="18"/>
                <w:szCs w:val="18"/>
              </w:rPr>
              <w:t>0</w:t>
            </w:r>
            <w:r>
              <w:rPr>
                <w:rFonts w:asciiTheme="minorEastAsia" w:hAnsiTheme="minorEastAsia" w:eastAsiaTheme="minorEastAsia"/>
                <w:color w:val="auto"/>
                <w:sz w:val="18"/>
                <w:szCs w:val="18"/>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65" w:type="pct"/>
            <w:vMerge w:val="continue"/>
            <w:vAlign w:val="center"/>
          </w:tcPr>
          <w:p>
            <w:pPr>
              <w:pStyle w:val="39"/>
              <w:ind w:firstLine="0" w:firstLineChars="0"/>
              <w:jc w:val="center"/>
              <w:rPr>
                <w:rFonts w:asciiTheme="minorEastAsia" w:hAnsiTheme="minorEastAsia" w:eastAsiaTheme="minorEastAsia"/>
                <w:color w:val="auto"/>
                <w:sz w:val="18"/>
                <w:szCs w:val="18"/>
              </w:rPr>
            </w:pPr>
          </w:p>
        </w:tc>
        <w:tc>
          <w:tcPr>
            <w:tcW w:w="4034" w:type="pct"/>
            <w:gridSpan w:val="6"/>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厚度允许偏差</w:t>
            </w:r>
            <w:r>
              <w:rPr>
                <w:rFonts w:asciiTheme="minorEastAsia" w:hAnsiTheme="minorEastAsia" w:eastAsiaTheme="minorEastAsia"/>
                <w:color w:val="auto"/>
                <w:sz w:val="18"/>
                <w:szCs w:val="18"/>
                <w:vertAlign w:val="superscript"/>
              </w:rPr>
              <w:t>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65" w:type="pct"/>
            <w:vMerge w:val="continue"/>
            <w:tcBorders>
              <w:bottom w:val="single" w:color="000000" w:sz="12" w:space="0"/>
            </w:tcBorders>
            <w:vAlign w:val="center"/>
          </w:tcPr>
          <w:p>
            <w:pPr>
              <w:pStyle w:val="39"/>
              <w:ind w:firstLine="0" w:firstLineChars="0"/>
              <w:jc w:val="center"/>
              <w:rPr>
                <w:rFonts w:asciiTheme="minorEastAsia" w:hAnsiTheme="minorEastAsia" w:eastAsiaTheme="minorEastAsia"/>
                <w:color w:val="auto"/>
                <w:sz w:val="18"/>
                <w:szCs w:val="18"/>
              </w:rPr>
            </w:pPr>
          </w:p>
        </w:tc>
        <w:tc>
          <w:tcPr>
            <w:tcW w:w="672" w:type="pct"/>
            <w:tcBorders>
              <w:bottom w:val="single" w:color="000000" w:sz="12" w:space="0"/>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普通级</w:t>
            </w:r>
          </w:p>
        </w:tc>
        <w:tc>
          <w:tcPr>
            <w:tcW w:w="674" w:type="pct"/>
            <w:tcBorders>
              <w:bottom w:val="single" w:color="000000" w:sz="12" w:space="0"/>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高精级</w:t>
            </w:r>
          </w:p>
        </w:tc>
        <w:tc>
          <w:tcPr>
            <w:tcW w:w="671" w:type="pct"/>
            <w:tcBorders>
              <w:bottom w:val="single" w:color="000000" w:sz="12" w:space="0"/>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普通级</w:t>
            </w:r>
          </w:p>
        </w:tc>
        <w:tc>
          <w:tcPr>
            <w:tcW w:w="673" w:type="pct"/>
            <w:tcBorders>
              <w:bottom w:val="single" w:color="000000" w:sz="12" w:space="0"/>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高精级</w:t>
            </w:r>
          </w:p>
        </w:tc>
        <w:tc>
          <w:tcPr>
            <w:tcW w:w="671" w:type="pct"/>
            <w:tcBorders>
              <w:bottom w:val="single" w:color="000000" w:sz="12" w:space="0"/>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普通级</w:t>
            </w:r>
          </w:p>
        </w:tc>
        <w:tc>
          <w:tcPr>
            <w:tcW w:w="672" w:type="pct"/>
            <w:tcBorders>
              <w:bottom w:val="single" w:color="000000" w:sz="12" w:space="0"/>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高精级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65" w:type="pct"/>
            <w:tcBorders>
              <w:top w:val="single" w:color="000000" w:sz="12" w:space="0"/>
              <w:tl2br w:val="nil"/>
              <w:tr2bl w:val="nil"/>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0.10～0.15</w:t>
            </w:r>
          </w:p>
        </w:tc>
        <w:tc>
          <w:tcPr>
            <w:tcW w:w="672" w:type="pct"/>
            <w:tcBorders>
              <w:top w:val="single" w:color="000000" w:sz="12" w:space="0"/>
              <w:tl2br w:val="nil"/>
              <w:tr2bl w:val="nil"/>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±0.007</w:t>
            </w:r>
          </w:p>
        </w:tc>
        <w:tc>
          <w:tcPr>
            <w:tcW w:w="674" w:type="pct"/>
            <w:tcBorders>
              <w:top w:val="single" w:color="000000" w:sz="12" w:space="0"/>
              <w:tl2br w:val="nil"/>
              <w:tr2bl w:val="nil"/>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±0.005</w:t>
            </w:r>
          </w:p>
        </w:tc>
        <w:tc>
          <w:tcPr>
            <w:tcW w:w="671" w:type="pct"/>
            <w:tcBorders>
              <w:top w:val="single" w:color="000000" w:sz="12" w:space="0"/>
              <w:tl2br w:val="nil"/>
              <w:tr2bl w:val="nil"/>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0.0</w:t>
            </w:r>
            <w:r>
              <w:rPr>
                <w:rFonts w:hint="eastAsia" w:asciiTheme="minorEastAsia" w:hAnsiTheme="minorEastAsia" w:eastAsiaTheme="minorEastAsia"/>
                <w:color w:val="auto"/>
                <w:sz w:val="18"/>
                <w:szCs w:val="18"/>
              </w:rPr>
              <w:t>08</w:t>
            </w:r>
          </w:p>
        </w:tc>
        <w:tc>
          <w:tcPr>
            <w:tcW w:w="673" w:type="pct"/>
            <w:tcBorders>
              <w:top w:val="single" w:color="000000" w:sz="12" w:space="0"/>
              <w:tl2br w:val="nil"/>
              <w:tr2bl w:val="nil"/>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0.0</w:t>
            </w:r>
            <w:r>
              <w:rPr>
                <w:rFonts w:hint="eastAsia" w:asciiTheme="minorEastAsia" w:hAnsiTheme="minorEastAsia" w:eastAsiaTheme="minorEastAsia"/>
                <w:color w:val="auto"/>
                <w:sz w:val="18"/>
                <w:szCs w:val="18"/>
              </w:rPr>
              <w:t>06</w:t>
            </w:r>
          </w:p>
        </w:tc>
        <w:tc>
          <w:tcPr>
            <w:tcW w:w="671" w:type="pct"/>
            <w:tcBorders>
              <w:top w:val="single" w:color="000000" w:sz="12" w:space="0"/>
              <w:tl2br w:val="nil"/>
              <w:tr2bl w:val="nil"/>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0.0</w:t>
            </w:r>
            <w:r>
              <w:rPr>
                <w:rFonts w:hint="eastAsia" w:asciiTheme="minorEastAsia" w:hAnsiTheme="minorEastAsia" w:eastAsiaTheme="minorEastAsia"/>
                <w:color w:val="auto"/>
                <w:sz w:val="18"/>
                <w:szCs w:val="18"/>
              </w:rPr>
              <w:t>08</w:t>
            </w:r>
          </w:p>
        </w:tc>
        <w:tc>
          <w:tcPr>
            <w:tcW w:w="672" w:type="pct"/>
            <w:tcBorders>
              <w:top w:val="single" w:color="000000" w:sz="12" w:space="0"/>
              <w:tl2br w:val="nil"/>
              <w:tr2bl w:val="nil"/>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0.0</w:t>
            </w:r>
            <w:r>
              <w:rPr>
                <w:rFonts w:hint="eastAsia" w:asciiTheme="minorEastAsia" w:hAnsiTheme="minorEastAsia" w:eastAsiaTheme="minorEastAsia"/>
                <w:color w:val="auto"/>
                <w:sz w:val="18"/>
                <w:szCs w:val="18"/>
              </w:rPr>
              <w:t>06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65" w:type="pct"/>
            <w:tcBorders>
              <w:tl2br w:val="nil"/>
              <w:tr2bl w:val="nil"/>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0.</w:t>
            </w:r>
            <w:r>
              <w:rPr>
                <w:rFonts w:hint="eastAsia" w:asciiTheme="minorEastAsia" w:hAnsiTheme="minorEastAsia" w:eastAsiaTheme="minorEastAsia"/>
                <w:color w:val="auto"/>
                <w:sz w:val="18"/>
                <w:szCs w:val="18"/>
              </w:rPr>
              <w:t>15～</w:t>
            </w:r>
            <w:r>
              <w:rPr>
                <w:rFonts w:asciiTheme="minorEastAsia" w:hAnsiTheme="minorEastAsia" w:eastAsiaTheme="minorEastAsia"/>
                <w:color w:val="auto"/>
                <w:sz w:val="18"/>
                <w:szCs w:val="18"/>
              </w:rPr>
              <w:t>0.</w:t>
            </w:r>
            <w:r>
              <w:rPr>
                <w:rFonts w:hint="eastAsia" w:asciiTheme="minorEastAsia" w:hAnsiTheme="minorEastAsia" w:eastAsiaTheme="minorEastAsia"/>
                <w:color w:val="auto"/>
                <w:sz w:val="18"/>
                <w:szCs w:val="18"/>
              </w:rPr>
              <w:t>3</w:t>
            </w:r>
            <w:r>
              <w:rPr>
                <w:rFonts w:asciiTheme="minorEastAsia" w:hAnsiTheme="minorEastAsia" w:eastAsiaTheme="minorEastAsia"/>
                <w:color w:val="auto"/>
                <w:sz w:val="18"/>
                <w:szCs w:val="18"/>
              </w:rPr>
              <w:t>0</w:t>
            </w:r>
          </w:p>
        </w:tc>
        <w:tc>
          <w:tcPr>
            <w:tcW w:w="672" w:type="pct"/>
            <w:tcBorders>
              <w:tl2br w:val="nil"/>
              <w:tr2bl w:val="nil"/>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0.01</w:t>
            </w:r>
            <w:r>
              <w:rPr>
                <w:rFonts w:hint="eastAsia" w:asciiTheme="minorEastAsia" w:hAnsiTheme="minorEastAsia" w:eastAsiaTheme="minorEastAsia"/>
                <w:color w:val="auto"/>
                <w:sz w:val="18"/>
                <w:szCs w:val="18"/>
              </w:rPr>
              <w:t>0</w:t>
            </w:r>
          </w:p>
        </w:tc>
        <w:tc>
          <w:tcPr>
            <w:tcW w:w="674" w:type="pct"/>
            <w:tcBorders>
              <w:tl2br w:val="nil"/>
              <w:tr2bl w:val="nil"/>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0.0</w:t>
            </w:r>
            <w:r>
              <w:rPr>
                <w:rFonts w:hint="eastAsia" w:asciiTheme="minorEastAsia" w:hAnsiTheme="minorEastAsia" w:eastAsiaTheme="minorEastAsia"/>
                <w:color w:val="auto"/>
                <w:sz w:val="18"/>
                <w:szCs w:val="18"/>
              </w:rPr>
              <w:t>08</w:t>
            </w:r>
          </w:p>
        </w:tc>
        <w:tc>
          <w:tcPr>
            <w:tcW w:w="671" w:type="pct"/>
            <w:tcBorders>
              <w:tl2br w:val="nil"/>
              <w:tr2bl w:val="nil"/>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0.015</w:t>
            </w:r>
          </w:p>
        </w:tc>
        <w:tc>
          <w:tcPr>
            <w:tcW w:w="673" w:type="pct"/>
            <w:tcBorders>
              <w:tl2br w:val="nil"/>
              <w:tr2bl w:val="nil"/>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0.01</w:t>
            </w:r>
            <w:r>
              <w:rPr>
                <w:rFonts w:hint="eastAsia" w:asciiTheme="minorEastAsia" w:hAnsiTheme="minorEastAsia" w:eastAsiaTheme="minorEastAsia"/>
                <w:color w:val="auto"/>
                <w:sz w:val="18"/>
                <w:szCs w:val="18"/>
              </w:rPr>
              <w:t>0</w:t>
            </w:r>
          </w:p>
        </w:tc>
        <w:tc>
          <w:tcPr>
            <w:tcW w:w="671" w:type="pct"/>
            <w:tcBorders>
              <w:tl2br w:val="nil"/>
              <w:tr2bl w:val="nil"/>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0.020</w:t>
            </w:r>
          </w:p>
        </w:tc>
        <w:tc>
          <w:tcPr>
            <w:tcW w:w="672" w:type="pct"/>
            <w:tcBorders>
              <w:tl2br w:val="nil"/>
              <w:tr2bl w:val="nil"/>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0.0</w:t>
            </w:r>
            <w:r>
              <w:rPr>
                <w:rFonts w:hint="eastAsia" w:asciiTheme="minorEastAsia" w:hAnsiTheme="minorEastAsia" w:eastAsiaTheme="minorEastAsia"/>
                <w:color w:val="auto"/>
                <w:sz w:val="18"/>
                <w:szCs w:val="18"/>
              </w:rPr>
              <w:t>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65" w:type="pct"/>
            <w:tcBorders>
              <w:tl2br w:val="nil"/>
              <w:tr2bl w:val="nil"/>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0.</w:t>
            </w:r>
            <w:r>
              <w:rPr>
                <w:rFonts w:hint="eastAsia" w:asciiTheme="minorEastAsia" w:hAnsiTheme="minorEastAsia" w:eastAsiaTheme="minorEastAsia"/>
                <w:color w:val="auto"/>
                <w:sz w:val="18"/>
                <w:szCs w:val="18"/>
              </w:rPr>
              <w:t>30～</w:t>
            </w:r>
            <w:r>
              <w:rPr>
                <w:rFonts w:asciiTheme="minorEastAsia" w:hAnsiTheme="minorEastAsia" w:eastAsiaTheme="minorEastAsia"/>
                <w:color w:val="auto"/>
                <w:sz w:val="18"/>
                <w:szCs w:val="18"/>
              </w:rPr>
              <w:t>0.</w:t>
            </w:r>
            <w:r>
              <w:rPr>
                <w:rFonts w:hint="eastAsia" w:asciiTheme="minorEastAsia" w:hAnsiTheme="minorEastAsia" w:eastAsiaTheme="minorEastAsia"/>
                <w:color w:val="auto"/>
                <w:sz w:val="18"/>
                <w:szCs w:val="18"/>
              </w:rPr>
              <w:t>5</w:t>
            </w:r>
            <w:r>
              <w:rPr>
                <w:rFonts w:asciiTheme="minorEastAsia" w:hAnsiTheme="minorEastAsia" w:eastAsiaTheme="minorEastAsia"/>
                <w:color w:val="auto"/>
                <w:sz w:val="18"/>
                <w:szCs w:val="18"/>
              </w:rPr>
              <w:t>0</w:t>
            </w:r>
          </w:p>
        </w:tc>
        <w:tc>
          <w:tcPr>
            <w:tcW w:w="672" w:type="pct"/>
            <w:tcBorders>
              <w:tl2br w:val="nil"/>
              <w:tr2bl w:val="nil"/>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0.015</w:t>
            </w:r>
          </w:p>
        </w:tc>
        <w:tc>
          <w:tcPr>
            <w:tcW w:w="674" w:type="pct"/>
            <w:tcBorders>
              <w:tl2br w:val="nil"/>
              <w:tr2bl w:val="nil"/>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0.01</w:t>
            </w:r>
            <w:r>
              <w:rPr>
                <w:rFonts w:hint="eastAsia" w:asciiTheme="minorEastAsia" w:hAnsiTheme="minorEastAsia" w:eastAsiaTheme="minorEastAsia"/>
                <w:color w:val="auto"/>
                <w:sz w:val="18"/>
                <w:szCs w:val="18"/>
              </w:rPr>
              <w:t>0</w:t>
            </w:r>
          </w:p>
        </w:tc>
        <w:tc>
          <w:tcPr>
            <w:tcW w:w="671" w:type="pct"/>
            <w:tcBorders>
              <w:tl2br w:val="nil"/>
              <w:tr2bl w:val="nil"/>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0.020</w:t>
            </w:r>
          </w:p>
        </w:tc>
        <w:tc>
          <w:tcPr>
            <w:tcW w:w="673" w:type="pct"/>
            <w:tcBorders>
              <w:tl2br w:val="nil"/>
              <w:tr2bl w:val="nil"/>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0.015</w:t>
            </w:r>
          </w:p>
        </w:tc>
        <w:tc>
          <w:tcPr>
            <w:tcW w:w="671" w:type="pct"/>
            <w:tcBorders>
              <w:tl2br w:val="nil"/>
              <w:tr2bl w:val="nil"/>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0.025</w:t>
            </w:r>
          </w:p>
        </w:tc>
        <w:tc>
          <w:tcPr>
            <w:tcW w:w="672" w:type="pct"/>
            <w:tcBorders>
              <w:tl2br w:val="nil"/>
              <w:tr2bl w:val="nil"/>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0.020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65" w:type="pct"/>
            <w:tcBorders>
              <w:tl2br w:val="nil"/>
              <w:tr2bl w:val="nil"/>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0.50</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0.80</w:t>
            </w:r>
          </w:p>
        </w:tc>
        <w:tc>
          <w:tcPr>
            <w:tcW w:w="672" w:type="pct"/>
            <w:tcBorders>
              <w:tl2br w:val="nil"/>
              <w:tr2bl w:val="nil"/>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0.025</w:t>
            </w:r>
          </w:p>
        </w:tc>
        <w:tc>
          <w:tcPr>
            <w:tcW w:w="674" w:type="pct"/>
            <w:tcBorders>
              <w:tl2br w:val="nil"/>
              <w:tr2bl w:val="nil"/>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0.020</w:t>
            </w:r>
          </w:p>
        </w:tc>
        <w:tc>
          <w:tcPr>
            <w:tcW w:w="671" w:type="pct"/>
            <w:tcBorders>
              <w:tl2br w:val="nil"/>
              <w:tr2bl w:val="nil"/>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0.030</w:t>
            </w:r>
          </w:p>
        </w:tc>
        <w:tc>
          <w:tcPr>
            <w:tcW w:w="673" w:type="pct"/>
            <w:tcBorders>
              <w:tl2br w:val="nil"/>
              <w:tr2bl w:val="nil"/>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0.025</w:t>
            </w:r>
          </w:p>
        </w:tc>
        <w:tc>
          <w:tcPr>
            <w:tcW w:w="671" w:type="pct"/>
            <w:tcBorders>
              <w:tl2br w:val="nil"/>
              <w:tr2bl w:val="nil"/>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0.0</w:t>
            </w:r>
            <w:r>
              <w:rPr>
                <w:rFonts w:hint="eastAsia" w:asciiTheme="minorEastAsia" w:hAnsiTheme="minorEastAsia" w:eastAsiaTheme="minorEastAsia"/>
                <w:color w:val="auto"/>
                <w:sz w:val="18"/>
                <w:szCs w:val="18"/>
              </w:rPr>
              <w:t>35</w:t>
            </w:r>
          </w:p>
        </w:tc>
        <w:tc>
          <w:tcPr>
            <w:tcW w:w="672" w:type="pct"/>
            <w:tcBorders>
              <w:tl2br w:val="nil"/>
              <w:tr2bl w:val="nil"/>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0.030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65" w:type="pct"/>
            <w:tcBorders>
              <w:bottom w:val="single" w:color="000000" w:sz="12" w:space="0"/>
              <w:tl2br w:val="nil"/>
              <w:tr2bl w:val="nil"/>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0.80</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0</w:t>
            </w:r>
            <w:r>
              <w:rPr>
                <w:rFonts w:asciiTheme="minorEastAsia" w:hAnsiTheme="minorEastAsia" w:eastAsiaTheme="minorEastAsia"/>
                <w:color w:val="auto"/>
                <w:sz w:val="18"/>
                <w:szCs w:val="18"/>
              </w:rPr>
              <w:t>0</w:t>
            </w:r>
          </w:p>
        </w:tc>
        <w:tc>
          <w:tcPr>
            <w:tcW w:w="672" w:type="pct"/>
            <w:tcBorders>
              <w:bottom w:val="single" w:color="000000" w:sz="12" w:space="0"/>
              <w:tl2br w:val="nil"/>
              <w:tr2bl w:val="nil"/>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0.035</w:t>
            </w:r>
          </w:p>
        </w:tc>
        <w:tc>
          <w:tcPr>
            <w:tcW w:w="674" w:type="pct"/>
            <w:tcBorders>
              <w:bottom w:val="single" w:color="000000" w:sz="12" w:space="0"/>
              <w:tl2br w:val="nil"/>
              <w:tr2bl w:val="nil"/>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0.025</w:t>
            </w:r>
          </w:p>
        </w:tc>
        <w:tc>
          <w:tcPr>
            <w:tcW w:w="671" w:type="pct"/>
            <w:tcBorders>
              <w:bottom w:val="single" w:color="000000" w:sz="12" w:space="0"/>
              <w:tl2br w:val="nil"/>
              <w:tr2bl w:val="nil"/>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0.040</w:t>
            </w:r>
          </w:p>
        </w:tc>
        <w:tc>
          <w:tcPr>
            <w:tcW w:w="673" w:type="pct"/>
            <w:tcBorders>
              <w:bottom w:val="single" w:color="000000" w:sz="12" w:space="0"/>
              <w:tl2br w:val="nil"/>
              <w:tr2bl w:val="nil"/>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0.035</w:t>
            </w:r>
          </w:p>
        </w:tc>
        <w:tc>
          <w:tcPr>
            <w:tcW w:w="671" w:type="pct"/>
            <w:tcBorders>
              <w:bottom w:val="single" w:color="000000" w:sz="12" w:space="0"/>
              <w:tl2br w:val="nil"/>
              <w:tr2bl w:val="nil"/>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0.045</w:t>
            </w:r>
          </w:p>
        </w:tc>
        <w:tc>
          <w:tcPr>
            <w:tcW w:w="672" w:type="pct"/>
            <w:tcBorders>
              <w:bottom w:val="single" w:color="000000" w:sz="12" w:space="0"/>
              <w:tl2br w:val="nil"/>
              <w:tr2bl w:val="nil"/>
            </w:tcBorders>
            <w:vAlign w:val="center"/>
          </w:tcPr>
          <w:p>
            <w:pPr>
              <w:pStyle w:val="39"/>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0.035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000" w:type="pct"/>
            <w:gridSpan w:val="7"/>
            <w:tcBorders>
              <w:top w:val="single" w:color="000000" w:sz="12" w:space="0"/>
            </w:tcBorders>
            <w:vAlign w:val="center"/>
          </w:tcPr>
          <w:p>
            <w:pPr>
              <w:pStyle w:val="39"/>
              <w:ind w:left="0" w:leftChars="0"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vertAlign w:val="superscript"/>
              </w:rPr>
              <w:t>a</w:t>
            </w:r>
            <w:r>
              <w:rPr>
                <w:rFonts w:hint="eastAsia" w:asciiTheme="minorEastAsia" w:hAnsiTheme="minorEastAsia" w:eastAsiaTheme="minorEastAsia"/>
                <w:color w:val="auto"/>
                <w:sz w:val="18"/>
                <w:szCs w:val="18"/>
                <w:vertAlign w:val="superscript"/>
                <w:lang w:val="en-US" w:eastAsia="zh-CN"/>
              </w:rPr>
              <w:t xml:space="preserve"> </w:t>
            </w:r>
            <w:r>
              <w:rPr>
                <w:rFonts w:hint="eastAsia" w:asciiTheme="minorEastAsia" w:hAnsiTheme="minorEastAsia" w:eastAsiaTheme="minorEastAsia"/>
                <w:color w:val="auto"/>
                <w:sz w:val="18"/>
                <w:szCs w:val="18"/>
              </w:rPr>
              <w:t>需方要求厚度允许偏差为（+）或（-）单向偏差时，其值为表中数值的2倍。</w:t>
            </w:r>
          </w:p>
        </w:tc>
      </w:tr>
    </w:tbl>
    <w:p>
      <w:pPr>
        <w:pStyle w:val="2"/>
        <w:spacing w:before="240" w:after="240"/>
        <w:rPr>
          <w:color w:val="auto"/>
        </w:rPr>
      </w:pPr>
      <w:r>
        <w:rPr>
          <w:rFonts w:hint="eastAsia"/>
          <w:color w:val="auto"/>
        </w:rPr>
        <w:t>5.2.2宽度允许偏差</w:t>
      </w:r>
    </w:p>
    <w:p>
      <w:pPr>
        <w:pStyle w:val="3"/>
        <w:rPr>
          <w:rFonts w:ascii="黑体" w:eastAsia="黑体"/>
          <w:color w:val="auto"/>
        </w:rPr>
      </w:pPr>
      <w:r>
        <w:rPr>
          <w:rFonts w:hint="eastAsia"/>
          <w:color w:val="auto"/>
        </w:rPr>
        <w:t>带材宽度允许偏差应</w:t>
      </w:r>
      <w:r>
        <w:rPr>
          <w:rFonts w:hint="eastAsia" w:asciiTheme="minorEastAsia" w:hAnsiTheme="minorEastAsia" w:eastAsiaTheme="minorEastAsia"/>
          <w:color w:val="auto"/>
        </w:rPr>
        <w:t>符合</w:t>
      </w:r>
      <w:r>
        <w:rPr>
          <w:rFonts w:hint="eastAsia"/>
          <w:color w:val="auto"/>
        </w:rPr>
        <w:t>表3规定。</w:t>
      </w:r>
    </w:p>
    <w:p>
      <w:pPr>
        <w:pStyle w:val="12"/>
        <w:spacing w:beforeLines="100" w:afterLines="100"/>
        <w:jc w:val="center"/>
        <w:rPr>
          <w:rFonts w:ascii="黑体" w:hAnsi="宋体" w:eastAsia="黑体"/>
          <w:color w:val="auto"/>
        </w:rPr>
      </w:pPr>
      <w:r>
        <w:rPr>
          <w:rFonts w:hint="eastAsia" w:ascii="黑体" w:hAnsi="宋体" w:eastAsia="黑体"/>
          <w:color w:val="auto"/>
        </w:rPr>
        <w:t>表3  带材宽度允许偏差</w:t>
      </w:r>
    </w:p>
    <w:p>
      <w:pPr>
        <w:pStyle w:val="15"/>
        <w:jc w:val="right"/>
        <w:rPr>
          <w:rFonts w:ascii="黑体" w:eastAsia="黑体"/>
          <w:color w:val="auto"/>
        </w:rPr>
      </w:pPr>
      <w:r>
        <w:rPr>
          <w:rFonts w:hint="eastAsia" w:hAnsi="宋体"/>
          <w:color w:val="auto"/>
          <w:sz w:val="18"/>
          <w:szCs w:val="18"/>
        </w:rPr>
        <w:t>单位为毫米</w:t>
      </w:r>
    </w:p>
    <w:tbl>
      <w:tblPr>
        <w:tblStyle w:val="26"/>
        <w:tblW w:w="482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2461"/>
        <w:gridCol w:w="1607"/>
        <w:gridCol w:w="1613"/>
        <w:gridCol w:w="1607"/>
        <w:gridCol w:w="173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64" w:type="pct"/>
            <w:vMerge w:val="restart"/>
            <w:tcBorders>
              <w:tl2br w:val="nil"/>
              <w:tr2bl w:val="nil"/>
            </w:tcBorders>
            <w:vAlign w:val="center"/>
          </w:tcPr>
          <w:p>
            <w:pPr>
              <w:pStyle w:val="39"/>
              <w:ind w:firstLine="0" w:firstLineChars="0"/>
              <w:jc w:val="center"/>
              <w:rPr>
                <w:color w:val="auto"/>
                <w:sz w:val="18"/>
                <w:szCs w:val="18"/>
              </w:rPr>
            </w:pPr>
            <w:r>
              <w:rPr>
                <w:rFonts w:hint="eastAsia"/>
                <w:color w:val="auto"/>
                <w:sz w:val="18"/>
                <w:szCs w:val="18"/>
              </w:rPr>
              <w:t>厚度</w:t>
            </w:r>
            <w:r>
              <w:rPr>
                <w:rFonts w:hint="eastAsia"/>
                <w:color w:val="auto"/>
                <w:sz w:val="18"/>
                <w:szCs w:val="18"/>
                <w:vertAlign w:val="superscript"/>
              </w:rPr>
              <w:t>b</w:t>
            </w:r>
            <w:r>
              <w:rPr>
                <w:rFonts w:hint="eastAsia"/>
                <w:color w:val="auto"/>
                <w:sz w:val="18"/>
                <w:szCs w:val="18"/>
              </w:rPr>
              <w:t>/</w:t>
            </w:r>
            <w:r>
              <w:rPr>
                <w:color w:val="auto"/>
                <w:sz w:val="18"/>
                <w:szCs w:val="18"/>
              </w:rPr>
              <w:t>mm</w:t>
            </w:r>
          </w:p>
        </w:tc>
        <w:tc>
          <w:tcPr>
            <w:tcW w:w="3635" w:type="pct"/>
            <w:gridSpan w:val="4"/>
            <w:tcBorders>
              <w:tl2br w:val="nil"/>
              <w:tr2bl w:val="nil"/>
            </w:tcBorders>
            <w:vAlign w:val="center"/>
          </w:tcPr>
          <w:p>
            <w:pPr>
              <w:pStyle w:val="39"/>
              <w:ind w:firstLine="0" w:firstLineChars="0"/>
              <w:jc w:val="center"/>
              <w:rPr>
                <w:color w:val="auto"/>
                <w:sz w:val="18"/>
                <w:szCs w:val="18"/>
              </w:rPr>
            </w:pPr>
            <w:r>
              <w:rPr>
                <w:rFonts w:hint="eastAsia"/>
                <w:color w:val="auto"/>
                <w:sz w:val="18"/>
                <w:szCs w:val="18"/>
              </w:rPr>
              <w:t>宽度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64" w:type="pct"/>
            <w:vMerge w:val="continue"/>
            <w:tcBorders>
              <w:tl2br w:val="nil"/>
              <w:tr2bl w:val="nil"/>
            </w:tcBorders>
            <w:vAlign w:val="center"/>
          </w:tcPr>
          <w:p>
            <w:pPr>
              <w:pStyle w:val="39"/>
              <w:ind w:firstLine="0" w:firstLineChars="0"/>
              <w:jc w:val="center"/>
              <w:rPr>
                <w:color w:val="auto"/>
                <w:sz w:val="18"/>
                <w:szCs w:val="18"/>
              </w:rPr>
            </w:pPr>
          </w:p>
        </w:tc>
        <w:tc>
          <w:tcPr>
            <w:tcW w:w="1785" w:type="pct"/>
            <w:gridSpan w:val="2"/>
            <w:tcBorders>
              <w:tl2br w:val="nil"/>
              <w:tr2bl w:val="nil"/>
            </w:tcBorders>
            <w:vAlign w:val="center"/>
          </w:tcPr>
          <w:p>
            <w:pPr>
              <w:pStyle w:val="39"/>
              <w:ind w:firstLine="0" w:firstLineChars="0"/>
              <w:jc w:val="center"/>
              <w:rPr>
                <w:color w:val="auto"/>
                <w:sz w:val="18"/>
                <w:szCs w:val="18"/>
              </w:rPr>
            </w:pPr>
            <w:r>
              <w:rPr>
                <w:rFonts w:hint="eastAsia"/>
                <w:color w:val="auto"/>
                <w:sz w:val="18"/>
                <w:szCs w:val="18"/>
              </w:rPr>
              <w:t>≤</w:t>
            </w:r>
            <w:r>
              <w:rPr>
                <w:color w:val="auto"/>
                <w:sz w:val="18"/>
                <w:szCs w:val="18"/>
              </w:rPr>
              <w:t>300</w:t>
            </w:r>
          </w:p>
        </w:tc>
        <w:tc>
          <w:tcPr>
            <w:tcW w:w="1849" w:type="pct"/>
            <w:gridSpan w:val="2"/>
            <w:tcBorders>
              <w:tl2br w:val="nil"/>
              <w:tr2bl w:val="nil"/>
            </w:tcBorders>
            <w:vAlign w:val="center"/>
          </w:tcPr>
          <w:p>
            <w:pPr>
              <w:pStyle w:val="39"/>
              <w:ind w:firstLine="0" w:firstLineChars="0"/>
              <w:jc w:val="center"/>
              <w:rPr>
                <w:color w:val="auto"/>
                <w:sz w:val="18"/>
                <w:szCs w:val="18"/>
              </w:rPr>
            </w:pPr>
            <w:r>
              <w:rPr>
                <w:rFonts w:hint="eastAsia"/>
                <w:color w:val="auto"/>
                <w:sz w:val="18"/>
                <w:szCs w:val="18"/>
              </w:rPr>
              <w:t>＞</w:t>
            </w:r>
            <w:r>
              <w:rPr>
                <w:color w:val="auto"/>
                <w:sz w:val="18"/>
                <w:szCs w:val="18"/>
              </w:rPr>
              <w:t>300</w:t>
            </w:r>
            <w:r>
              <w:rPr>
                <w:rFonts w:hint="eastAsia" w:hAnsi="宋体"/>
                <w:color w:val="auto"/>
                <w:sz w:val="18"/>
                <w:szCs w:val="18"/>
              </w:rPr>
              <w:t>～</w:t>
            </w:r>
            <w:r>
              <w:rPr>
                <w:color w:val="auto"/>
                <w:sz w:val="18"/>
                <w:szCs w:val="18"/>
              </w:rPr>
              <w:t>6</w:t>
            </w:r>
            <w:r>
              <w:rPr>
                <w:rFonts w:hint="eastAsia"/>
                <w:color w:val="auto"/>
                <w:sz w:val="18"/>
                <w:szCs w:val="18"/>
              </w:rPr>
              <w:t>0</w:t>
            </w:r>
            <w:r>
              <w:rPr>
                <w:color w:val="auto"/>
                <w:sz w:val="18"/>
                <w:szCs w:val="18"/>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64" w:type="pct"/>
            <w:vMerge w:val="continue"/>
            <w:tcBorders>
              <w:tl2br w:val="nil"/>
              <w:tr2bl w:val="nil"/>
            </w:tcBorders>
            <w:vAlign w:val="center"/>
          </w:tcPr>
          <w:p>
            <w:pPr>
              <w:pStyle w:val="39"/>
              <w:ind w:firstLine="0" w:firstLineChars="0"/>
              <w:jc w:val="center"/>
              <w:rPr>
                <w:color w:val="auto"/>
                <w:sz w:val="18"/>
                <w:szCs w:val="18"/>
              </w:rPr>
            </w:pPr>
          </w:p>
        </w:tc>
        <w:tc>
          <w:tcPr>
            <w:tcW w:w="3635" w:type="pct"/>
            <w:gridSpan w:val="4"/>
            <w:tcBorders>
              <w:tl2br w:val="nil"/>
              <w:tr2bl w:val="nil"/>
            </w:tcBorders>
            <w:vAlign w:val="center"/>
          </w:tcPr>
          <w:p>
            <w:pPr>
              <w:pStyle w:val="39"/>
              <w:ind w:firstLine="0" w:firstLineChars="0"/>
              <w:jc w:val="center"/>
              <w:rPr>
                <w:color w:val="auto"/>
                <w:sz w:val="18"/>
                <w:szCs w:val="18"/>
              </w:rPr>
            </w:pPr>
            <w:r>
              <w:rPr>
                <w:rFonts w:hint="eastAsia"/>
                <w:color w:val="auto"/>
                <w:sz w:val="18"/>
                <w:szCs w:val="18"/>
              </w:rPr>
              <w:t>宽度允许偏差</w:t>
            </w:r>
            <w:r>
              <w:rPr>
                <w:color w:val="auto"/>
                <w:sz w:val="18"/>
                <w:szCs w:val="18"/>
                <w:vertAlign w:val="superscript"/>
              </w:rPr>
              <w:t>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64" w:type="pct"/>
            <w:vMerge w:val="continue"/>
            <w:tcBorders>
              <w:tl2br w:val="nil"/>
              <w:tr2bl w:val="nil"/>
            </w:tcBorders>
            <w:vAlign w:val="center"/>
          </w:tcPr>
          <w:p>
            <w:pPr>
              <w:pStyle w:val="39"/>
              <w:ind w:firstLine="0" w:firstLineChars="0"/>
              <w:jc w:val="center"/>
              <w:rPr>
                <w:color w:val="auto"/>
                <w:sz w:val="18"/>
                <w:szCs w:val="18"/>
              </w:rPr>
            </w:pPr>
          </w:p>
        </w:tc>
        <w:tc>
          <w:tcPr>
            <w:tcW w:w="891" w:type="pct"/>
            <w:tcBorders>
              <w:tl2br w:val="nil"/>
              <w:tr2bl w:val="nil"/>
            </w:tcBorders>
            <w:vAlign w:val="center"/>
          </w:tcPr>
          <w:p>
            <w:pPr>
              <w:pStyle w:val="39"/>
              <w:ind w:firstLine="0" w:firstLineChars="0"/>
              <w:jc w:val="center"/>
              <w:rPr>
                <w:color w:val="auto"/>
                <w:sz w:val="18"/>
                <w:szCs w:val="18"/>
              </w:rPr>
            </w:pPr>
            <w:r>
              <w:rPr>
                <w:rFonts w:hint="eastAsia"/>
                <w:color w:val="auto"/>
                <w:sz w:val="18"/>
                <w:szCs w:val="18"/>
              </w:rPr>
              <w:t>普通级</w:t>
            </w:r>
          </w:p>
        </w:tc>
        <w:tc>
          <w:tcPr>
            <w:tcW w:w="894" w:type="pct"/>
            <w:tcBorders>
              <w:tl2br w:val="nil"/>
              <w:tr2bl w:val="nil"/>
            </w:tcBorders>
            <w:vAlign w:val="center"/>
          </w:tcPr>
          <w:p>
            <w:pPr>
              <w:pStyle w:val="39"/>
              <w:ind w:firstLine="0" w:firstLineChars="0"/>
              <w:jc w:val="center"/>
              <w:rPr>
                <w:color w:val="auto"/>
                <w:sz w:val="18"/>
                <w:szCs w:val="18"/>
              </w:rPr>
            </w:pPr>
            <w:r>
              <w:rPr>
                <w:rFonts w:hint="eastAsia"/>
                <w:color w:val="auto"/>
                <w:sz w:val="18"/>
                <w:szCs w:val="18"/>
              </w:rPr>
              <w:t>高精级</w:t>
            </w:r>
          </w:p>
        </w:tc>
        <w:tc>
          <w:tcPr>
            <w:tcW w:w="891" w:type="pct"/>
            <w:tcBorders>
              <w:tl2br w:val="nil"/>
              <w:tr2bl w:val="nil"/>
            </w:tcBorders>
            <w:vAlign w:val="center"/>
          </w:tcPr>
          <w:p>
            <w:pPr>
              <w:pStyle w:val="39"/>
              <w:ind w:firstLine="0" w:firstLineChars="0"/>
              <w:jc w:val="center"/>
              <w:rPr>
                <w:color w:val="auto"/>
                <w:sz w:val="18"/>
                <w:szCs w:val="18"/>
              </w:rPr>
            </w:pPr>
            <w:r>
              <w:rPr>
                <w:rFonts w:hint="eastAsia"/>
                <w:color w:val="auto"/>
                <w:sz w:val="18"/>
                <w:szCs w:val="18"/>
              </w:rPr>
              <w:t>普通级</w:t>
            </w:r>
          </w:p>
        </w:tc>
        <w:tc>
          <w:tcPr>
            <w:tcW w:w="957" w:type="pct"/>
            <w:tcBorders>
              <w:tl2br w:val="nil"/>
              <w:tr2bl w:val="nil"/>
            </w:tcBorders>
            <w:vAlign w:val="center"/>
          </w:tcPr>
          <w:p>
            <w:pPr>
              <w:pStyle w:val="39"/>
              <w:ind w:firstLine="0" w:firstLineChars="0"/>
              <w:jc w:val="center"/>
              <w:rPr>
                <w:color w:val="auto"/>
                <w:sz w:val="18"/>
                <w:szCs w:val="18"/>
              </w:rPr>
            </w:pPr>
            <w:r>
              <w:rPr>
                <w:rFonts w:hint="eastAsia"/>
                <w:color w:val="auto"/>
                <w:sz w:val="18"/>
                <w:szCs w:val="18"/>
              </w:rPr>
              <w:t>高精级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64" w:type="pct"/>
            <w:tcBorders>
              <w:tl2br w:val="nil"/>
              <w:tr2bl w:val="nil"/>
            </w:tcBorders>
            <w:vAlign w:val="center"/>
          </w:tcPr>
          <w:p>
            <w:pPr>
              <w:pStyle w:val="39"/>
              <w:ind w:firstLine="0" w:firstLineChars="0"/>
              <w:jc w:val="center"/>
              <w:rPr>
                <w:color w:val="auto"/>
                <w:sz w:val="18"/>
                <w:szCs w:val="18"/>
              </w:rPr>
            </w:pPr>
            <w:r>
              <w:rPr>
                <w:rFonts w:hint="eastAsia" w:asciiTheme="minorEastAsia" w:hAnsiTheme="minorEastAsia" w:eastAsiaTheme="minorEastAsia"/>
                <w:color w:val="auto"/>
                <w:sz w:val="18"/>
                <w:szCs w:val="18"/>
              </w:rPr>
              <w:t>0.10</w:t>
            </w:r>
            <w:r>
              <w:rPr>
                <w:rFonts w:hint="eastAsia" w:hAnsi="宋体"/>
                <w:color w:val="auto"/>
                <w:kern w:val="2"/>
                <w:sz w:val="18"/>
                <w:szCs w:val="18"/>
              </w:rPr>
              <w:t>～</w:t>
            </w:r>
            <w:r>
              <w:rPr>
                <w:color w:val="auto"/>
                <w:sz w:val="18"/>
                <w:szCs w:val="18"/>
              </w:rPr>
              <w:t>0.5</w:t>
            </w:r>
          </w:p>
        </w:tc>
        <w:tc>
          <w:tcPr>
            <w:tcW w:w="891" w:type="pct"/>
            <w:tcBorders>
              <w:tl2br w:val="nil"/>
              <w:tr2bl w:val="nil"/>
            </w:tcBorders>
            <w:vAlign w:val="center"/>
          </w:tcPr>
          <w:p>
            <w:pPr>
              <w:pStyle w:val="39"/>
              <w:ind w:firstLine="0" w:firstLineChars="0"/>
              <w:jc w:val="center"/>
              <w:rPr>
                <w:color w:val="auto"/>
                <w:sz w:val="18"/>
                <w:szCs w:val="18"/>
              </w:rPr>
            </w:pPr>
            <w:r>
              <w:rPr>
                <w:rFonts w:hint="eastAsia"/>
                <w:color w:val="auto"/>
                <w:sz w:val="18"/>
                <w:szCs w:val="18"/>
              </w:rPr>
              <w:t>±0.15</w:t>
            </w:r>
          </w:p>
        </w:tc>
        <w:tc>
          <w:tcPr>
            <w:tcW w:w="894" w:type="pct"/>
            <w:tcBorders>
              <w:tl2br w:val="nil"/>
              <w:tr2bl w:val="nil"/>
            </w:tcBorders>
            <w:vAlign w:val="center"/>
          </w:tcPr>
          <w:p>
            <w:pPr>
              <w:pStyle w:val="39"/>
              <w:ind w:firstLine="0" w:firstLineChars="0"/>
              <w:jc w:val="center"/>
              <w:rPr>
                <w:color w:val="auto"/>
                <w:sz w:val="18"/>
                <w:szCs w:val="18"/>
              </w:rPr>
            </w:pPr>
            <w:r>
              <w:rPr>
                <w:rFonts w:hint="eastAsia"/>
                <w:color w:val="auto"/>
                <w:sz w:val="18"/>
                <w:szCs w:val="18"/>
              </w:rPr>
              <w:t>±0.10</w:t>
            </w:r>
          </w:p>
        </w:tc>
        <w:tc>
          <w:tcPr>
            <w:tcW w:w="891" w:type="pct"/>
            <w:tcBorders>
              <w:tl2br w:val="nil"/>
              <w:tr2bl w:val="nil"/>
            </w:tcBorders>
            <w:vAlign w:val="center"/>
          </w:tcPr>
          <w:p>
            <w:pPr>
              <w:pStyle w:val="39"/>
              <w:ind w:firstLine="0" w:firstLineChars="0"/>
              <w:jc w:val="center"/>
              <w:rPr>
                <w:color w:val="auto"/>
                <w:sz w:val="18"/>
                <w:szCs w:val="18"/>
              </w:rPr>
            </w:pPr>
            <w:r>
              <w:rPr>
                <w:rFonts w:hint="eastAsia"/>
                <w:color w:val="auto"/>
                <w:sz w:val="18"/>
                <w:szCs w:val="18"/>
              </w:rPr>
              <w:t>±0.20</w:t>
            </w:r>
          </w:p>
        </w:tc>
        <w:tc>
          <w:tcPr>
            <w:tcW w:w="957" w:type="pct"/>
            <w:tcBorders>
              <w:tl2br w:val="nil"/>
              <w:tr2bl w:val="nil"/>
            </w:tcBorders>
            <w:vAlign w:val="center"/>
          </w:tcPr>
          <w:p>
            <w:pPr>
              <w:pStyle w:val="39"/>
              <w:ind w:firstLine="0" w:firstLineChars="0"/>
              <w:jc w:val="center"/>
              <w:rPr>
                <w:color w:val="auto"/>
                <w:sz w:val="18"/>
                <w:szCs w:val="18"/>
              </w:rPr>
            </w:pPr>
            <w:r>
              <w:rPr>
                <w:rFonts w:hint="eastAsia"/>
                <w:color w:val="auto"/>
                <w:sz w:val="18"/>
                <w:szCs w:val="18"/>
              </w:rPr>
              <w:t>±0.15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64" w:type="pct"/>
            <w:tcBorders>
              <w:bottom w:val="single" w:color="000000" w:sz="12" w:space="0"/>
              <w:tl2br w:val="nil"/>
              <w:tr2bl w:val="nil"/>
            </w:tcBorders>
            <w:vAlign w:val="center"/>
          </w:tcPr>
          <w:p>
            <w:pPr>
              <w:pStyle w:val="39"/>
              <w:ind w:firstLine="0" w:firstLineChars="0"/>
              <w:jc w:val="center"/>
              <w:rPr>
                <w:color w:val="auto"/>
                <w:sz w:val="18"/>
                <w:szCs w:val="18"/>
              </w:rPr>
            </w:pPr>
            <w:r>
              <w:rPr>
                <w:rFonts w:hint="eastAsia"/>
                <w:color w:val="auto"/>
                <w:sz w:val="18"/>
                <w:szCs w:val="18"/>
              </w:rPr>
              <w:t>＞</w:t>
            </w:r>
            <w:r>
              <w:rPr>
                <w:color w:val="auto"/>
                <w:sz w:val="18"/>
                <w:szCs w:val="18"/>
              </w:rPr>
              <w:t>0.5</w:t>
            </w:r>
            <w:r>
              <w:rPr>
                <w:rFonts w:hint="eastAsia"/>
                <w:color w:val="auto"/>
                <w:sz w:val="18"/>
                <w:szCs w:val="18"/>
              </w:rPr>
              <w:t>0</w:t>
            </w:r>
            <w:r>
              <w:rPr>
                <w:rFonts w:hint="eastAsia" w:hAnsi="宋体"/>
                <w:color w:val="auto"/>
                <w:sz w:val="18"/>
                <w:szCs w:val="18"/>
              </w:rPr>
              <w:t>～</w:t>
            </w:r>
            <w:r>
              <w:rPr>
                <w:color w:val="auto"/>
                <w:sz w:val="18"/>
                <w:szCs w:val="18"/>
              </w:rPr>
              <w:t>1.0</w:t>
            </w:r>
            <w:r>
              <w:rPr>
                <w:rFonts w:hint="eastAsia"/>
                <w:color w:val="auto"/>
                <w:sz w:val="18"/>
                <w:szCs w:val="18"/>
              </w:rPr>
              <w:t>0</w:t>
            </w:r>
          </w:p>
        </w:tc>
        <w:tc>
          <w:tcPr>
            <w:tcW w:w="891" w:type="pct"/>
            <w:tcBorders>
              <w:bottom w:val="single" w:color="000000" w:sz="12" w:space="0"/>
              <w:tl2br w:val="nil"/>
              <w:tr2bl w:val="nil"/>
            </w:tcBorders>
            <w:vAlign w:val="center"/>
          </w:tcPr>
          <w:p>
            <w:pPr>
              <w:pStyle w:val="39"/>
              <w:ind w:firstLine="0" w:firstLineChars="0"/>
              <w:jc w:val="center"/>
              <w:rPr>
                <w:color w:val="auto"/>
                <w:sz w:val="18"/>
                <w:szCs w:val="18"/>
              </w:rPr>
            </w:pPr>
            <w:r>
              <w:rPr>
                <w:color w:val="auto"/>
                <w:sz w:val="18"/>
                <w:szCs w:val="18"/>
              </w:rPr>
              <w:t>±0.20</w:t>
            </w:r>
          </w:p>
        </w:tc>
        <w:tc>
          <w:tcPr>
            <w:tcW w:w="894" w:type="pct"/>
            <w:tcBorders>
              <w:bottom w:val="single" w:color="000000" w:sz="12" w:space="0"/>
              <w:tl2br w:val="nil"/>
              <w:tr2bl w:val="nil"/>
            </w:tcBorders>
            <w:vAlign w:val="center"/>
          </w:tcPr>
          <w:p>
            <w:pPr>
              <w:pStyle w:val="39"/>
              <w:ind w:firstLine="0" w:firstLineChars="0"/>
              <w:jc w:val="center"/>
              <w:rPr>
                <w:color w:val="auto"/>
                <w:sz w:val="18"/>
                <w:szCs w:val="18"/>
              </w:rPr>
            </w:pPr>
            <w:r>
              <w:rPr>
                <w:color w:val="auto"/>
                <w:sz w:val="18"/>
                <w:szCs w:val="18"/>
              </w:rPr>
              <w:t>±0.15</w:t>
            </w:r>
          </w:p>
        </w:tc>
        <w:tc>
          <w:tcPr>
            <w:tcW w:w="891" w:type="pct"/>
            <w:tcBorders>
              <w:bottom w:val="single" w:color="000000" w:sz="12" w:space="0"/>
              <w:tl2br w:val="nil"/>
              <w:tr2bl w:val="nil"/>
            </w:tcBorders>
            <w:vAlign w:val="center"/>
          </w:tcPr>
          <w:p>
            <w:pPr>
              <w:pStyle w:val="39"/>
              <w:ind w:firstLine="0" w:firstLineChars="0"/>
              <w:jc w:val="center"/>
              <w:rPr>
                <w:color w:val="auto"/>
                <w:sz w:val="18"/>
                <w:szCs w:val="18"/>
              </w:rPr>
            </w:pPr>
            <w:r>
              <w:rPr>
                <w:color w:val="auto"/>
                <w:sz w:val="18"/>
                <w:szCs w:val="18"/>
              </w:rPr>
              <w:t>±0.25</w:t>
            </w:r>
          </w:p>
        </w:tc>
        <w:tc>
          <w:tcPr>
            <w:tcW w:w="957" w:type="pct"/>
            <w:tcBorders>
              <w:bottom w:val="single" w:color="000000" w:sz="12" w:space="0"/>
              <w:tl2br w:val="nil"/>
              <w:tr2bl w:val="nil"/>
            </w:tcBorders>
            <w:vAlign w:val="center"/>
          </w:tcPr>
          <w:p>
            <w:pPr>
              <w:pStyle w:val="39"/>
              <w:ind w:firstLine="0" w:firstLineChars="0"/>
              <w:jc w:val="center"/>
              <w:rPr>
                <w:color w:val="auto"/>
                <w:sz w:val="18"/>
                <w:szCs w:val="18"/>
              </w:rPr>
            </w:pPr>
            <w:r>
              <w:rPr>
                <w:color w:val="auto"/>
                <w:sz w:val="18"/>
                <w:szCs w:val="18"/>
              </w:rPr>
              <w:t>±0.20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000" w:type="pct"/>
            <w:gridSpan w:val="5"/>
            <w:tcBorders>
              <w:top w:val="single" w:color="000000" w:sz="12" w:space="0"/>
              <w:tl2br w:val="nil"/>
              <w:tr2bl w:val="nil"/>
            </w:tcBorders>
            <w:vAlign w:val="center"/>
          </w:tcPr>
          <w:p>
            <w:pPr>
              <w:pStyle w:val="39"/>
              <w:ind w:left="0" w:leftChars="0" w:firstLine="360" w:firstLineChars="200"/>
              <w:rPr>
                <w:color w:val="auto"/>
                <w:sz w:val="18"/>
                <w:szCs w:val="18"/>
              </w:rPr>
            </w:pPr>
            <w:r>
              <w:rPr>
                <w:rFonts w:hint="eastAsia"/>
                <w:color w:val="auto"/>
                <w:sz w:val="18"/>
                <w:szCs w:val="18"/>
                <w:vertAlign w:val="superscript"/>
              </w:rPr>
              <w:t>a</w:t>
            </w:r>
            <w:r>
              <w:rPr>
                <w:rFonts w:hint="eastAsia"/>
                <w:color w:val="auto"/>
                <w:sz w:val="18"/>
                <w:szCs w:val="18"/>
              </w:rPr>
              <w:t xml:space="preserve"> 需方要求厚度允许偏差为（+）或（-）单向偏差时，其值为表中数值的2倍。</w:t>
            </w:r>
          </w:p>
        </w:tc>
      </w:tr>
    </w:tbl>
    <w:p>
      <w:pPr>
        <w:pStyle w:val="2"/>
        <w:spacing w:before="240" w:after="240"/>
        <w:rPr>
          <w:color w:val="auto"/>
          <w:szCs w:val="21"/>
        </w:rPr>
      </w:pPr>
      <w:r>
        <w:rPr>
          <w:rFonts w:hint="eastAsia"/>
          <w:color w:val="auto"/>
        </w:rPr>
        <w:t>5.2.3 侧边弯曲度</w:t>
      </w:r>
    </w:p>
    <w:p>
      <w:pPr>
        <w:pStyle w:val="3"/>
        <w:rPr>
          <w:color w:val="auto"/>
        </w:rPr>
      </w:pPr>
      <w:r>
        <w:rPr>
          <w:rFonts w:hint="eastAsia"/>
          <w:color w:val="auto"/>
        </w:rPr>
        <w:t>带材侧边弯曲度每米应不大于2mm。</w:t>
      </w:r>
    </w:p>
    <w:p>
      <w:pPr>
        <w:pStyle w:val="2"/>
        <w:spacing w:before="240" w:after="240"/>
        <w:rPr>
          <w:color w:val="auto"/>
        </w:rPr>
      </w:pPr>
      <w:r>
        <w:rPr>
          <w:rFonts w:hint="eastAsia"/>
          <w:color w:val="auto"/>
        </w:rPr>
        <w:t>5.3 力学性能</w:t>
      </w:r>
    </w:p>
    <w:p>
      <w:pPr>
        <w:pStyle w:val="3"/>
        <w:rPr>
          <w:b/>
          <w:color w:val="auto"/>
        </w:rPr>
      </w:pPr>
      <w:r>
        <w:rPr>
          <w:rFonts w:hint="eastAsia"/>
          <w:color w:val="auto"/>
        </w:rPr>
        <w:t>带材的室温力学性能应符合表4的规定。</w:t>
      </w:r>
    </w:p>
    <w:p>
      <w:pPr>
        <w:pStyle w:val="12"/>
        <w:spacing w:beforeLines="100" w:afterLines="100"/>
        <w:jc w:val="center"/>
        <w:rPr>
          <w:rFonts w:ascii="黑体" w:hAnsi="宋体" w:eastAsia="黑体" w:cs="Courier New"/>
          <w:color w:val="auto"/>
          <w:kern w:val="2"/>
          <w:szCs w:val="21"/>
        </w:rPr>
      </w:pPr>
      <w:r>
        <w:rPr>
          <w:rFonts w:hint="eastAsia" w:ascii="黑体" w:hAnsi="宋体" w:eastAsia="黑体" w:cs="Courier New"/>
          <w:color w:val="auto"/>
          <w:kern w:val="2"/>
          <w:szCs w:val="21"/>
        </w:rPr>
        <w:t xml:space="preserve">表4  </w:t>
      </w:r>
      <w:r>
        <w:rPr>
          <w:rFonts w:hint="eastAsia" w:ascii="黑体" w:hAnsi="宋体" w:eastAsia="黑体"/>
          <w:color w:val="auto"/>
        </w:rPr>
        <w:t>力学性能</w:t>
      </w:r>
    </w:p>
    <w:tbl>
      <w:tblPr>
        <w:tblStyle w:val="26"/>
        <w:tblW w:w="482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52"/>
        <w:gridCol w:w="1904"/>
        <w:gridCol w:w="2844"/>
        <w:gridCol w:w="27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0" w:type="pct"/>
            <w:tcBorders>
              <w:bottom w:val="single" w:color="auto" w:sz="12" w:space="0"/>
            </w:tcBorders>
            <w:vAlign w:val="center"/>
          </w:tcPr>
          <w:p>
            <w:pPr>
              <w:adjustRightInd/>
              <w:spacing w:line="240" w:lineRule="auto"/>
              <w:jc w:val="center"/>
              <w:textAlignment w:val="auto"/>
              <w:rPr>
                <w:rFonts w:ascii="宋体" w:hAnsi="宋体" w:cs="宋体"/>
                <w:color w:val="auto"/>
                <w:kern w:val="2"/>
                <w:sz w:val="18"/>
                <w:szCs w:val="18"/>
              </w:rPr>
            </w:pPr>
            <w:r>
              <w:rPr>
                <w:rFonts w:hint="eastAsia" w:ascii="宋体" w:hAnsi="宋体" w:cs="宋体"/>
                <w:color w:val="auto"/>
                <w:kern w:val="2"/>
                <w:sz w:val="18"/>
                <w:szCs w:val="18"/>
              </w:rPr>
              <w:t>牌号</w:t>
            </w:r>
          </w:p>
        </w:tc>
        <w:tc>
          <w:tcPr>
            <w:tcW w:w="1055" w:type="pct"/>
            <w:tcBorders>
              <w:bottom w:val="single" w:color="auto" w:sz="12" w:space="0"/>
            </w:tcBorders>
            <w:vAlign w:val="center"/>
          </w:tcPr>
          <w:p>
            <w:pPr>
              <w:adjustRightInd/>
              <w:spacing w:line="240" w:lineRule="auto"/>
              <w:jc w:val="center"/>
              <w:textAlignment w:val="auto"/>
              <w:rPr>
                <w:rFonts w:ascii="宋体" w:hAnsi="宋体" w:cs="宋体"/>
                <w:color w:val="auto"/>
                <w:kern w:val="2"/>
                <w:sz w:val="18"/>
                <w:szCs w:val="18"/>
              </w:rPr>
            </w:pPr>
            <w:r>
              <w:rPr>
                <w:rFonts w:hint="eastAsia" w:ascii="宋体" w:hAnsi="宋体" w:cs="宋体"/>
                <w:color w:val="auto"/>
                <w:kern w:val="2"/>
                <w:sz w:val="18"/>
                <w:szCs w:val="18"/>
              </w:rPr>
              <w:t>状态</w:t>
            </w:r>
          </w:p>
        </w:tc>
        <w:tc>
          <w:tcPr>
            <w:tcW w:w="1576" w:type="pct"/>
            <w:tcBorders>
              <w:bottom w:val="single" w:color="auto" w:sz="12" w:space="0"/>
            </w:tcBorders>
            <w:vAlign w:val="center"/>
          </w:tcPr>
          <w:p>
            <w:pPr>
              <w:adjustRightInd/>
              <w:spacing w:line="240" w:lineRule="auto"/>
              <w:jc w:val="center"/>
              <w:textAlignment w:val="auto"/>
              <w:rPr>
                <w:rFonts w:ascii="宋体" w:hAnsi="宋体" w:cs="宋体"/>
                <w:color w:val="auto"/>
                <w:kern w:val="2"/>
                <w:sz w:val="18"/>
                <w:szCs w:val="18"/>
              </w:rPr>
            </w:pPr>
            <w:r>
              <w:rPr>
                <w:rFonts w:hint="eastAsia" w:ascii="宋体" w:hAnsi="宋体" w:cs="宋体"/>
                <w:color w:val="auto"/>
                <w:kern w:val="2"/>
                <w:sz w:val="18"/>
                <w:szCs w:val="18"/>
              </w:rPr>
              <w:t>抗拉强度（</w:t>
            </w:r>
            <w:r>
              <w:rPr>
                <w:rFonts w:hint="eastAsia" w:ascii="宋体" w:hAnsi="宋体" w:cs="宋体"/>
                <w:i/>
                <w:color w:val="auto"/>
                <w:kern w:val="2"/>
                <w:sz w:val="18"/>
                <w:szCs w:val="18"/>
              </w:rPr>
              <w:t>R</w:t>
            </w:r>
            <w:r>
              <w:rPr>
                <w:rFonts w:hint="eastAsia" w:ascii="宋体" w:hAnsi="宋体" w:cs="宋体"/>
                <w:color w:val="auto"/>
                <w:kern w:val="2"/>
                <w:sz w:val="18"/>
                <w:szCs w:val="18"/>
                <w:vertAlign w:val="subscript"/>
              </w:rPr>
              <w:t>m</w:t>
            </w:r>
            <w:r>
              <w:rPr>
                <w:rFonts w:hint="eastAsia" w:ascii="宋体" w:hAnsi="宋体" w:cs="宋体"/>
                <w:color w:val="auto"/>
                <w:kern w:val="2"/>
                <w:sz w:val="18"/>
                <w:szCs w:val="18"/>
              </w:rPr>
              <w:t>）</w:t>
            </w:r>
          </w:p>
          <w:p>
            <w:pPr>
              <w:adjustRightInd/>
              <w:spacing w:line="240" w:lineRule="auto"/>
              <w:jc w:val="center"/>
              <w:textAlignment w:val="auto"/>
              <w:rPr>
                <w:rFonts w:ascii="宋体" w:hAnsi="宋体" w:cs="宋体"/>
                <w:color w:val="auto"/>
                <w:kern w:val="2"/>
                <w:sz w:val="18"/>
                <w:szCs w:val="18"/>
              </w:rPr>
            </w:pPr>
            <w:r>
              <w:rPr>
                <w:rFonts w:hint="eastAsia" w:ascii="宋体" w:hAnsi="宋体" w:cs="宋体"/>
                <w:color w:val="auto"/>
                <w:kern w:val="2"/>
                <w:sz w:val="18"/>
                <w:szCs w:val="18"/>
              </w:rPr>
              <w:t>MPa</w:t>
            </w:r>
          </w:p>
        </w:tc>
        <w:tc>
          <w:tcPr>
            <w:tcW w:w="1507" w:type="pct"/>
            <w:tcBorders>
              <w:bottom w:val="single" w:color="auto" w:sz="12" w:space="0"/>
            </w:tcBorders>
            <w:vAlign w:val="center"/>
          </w:tcPr>
          <w:p>
            <w:pPr>
              <w:adjustRightInd/>
              <w:spacing w:line="240" w:lineRule="auto"/>
              <w:jc w:val="center"/>
              <w:textAlignment w:val="auto"/>
              <w:rPr>
                <w:rFonts w:ascii="宋体" w:hAnsi="宋体" w:cs="宋体"/>
                <w:color w:val="auto"/>
                <w:kern w:val="2"/>
                <w:sz w:val="18"/>
                <w:szCs w:val="18"/>
              </w:rPr>
            </w:pPr>
            <w:r>
              <w:rPr>
                <w:rFonts w:hint="eastAsia" w:ascii="宋体" w:hAnsi="宋体" w:cs="宋体"/>
                <w:color w:val="auto"/>
                <w:kern w:val="2"/>
                <w:sz w:val="18"/>
                <w:szCs w:val="18"/>
              </w:rPr>
              <w:t>维氏硬度（HV）</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0" w:type="pct"/>
            <w:vMerge w:val="restart"/>
            <w:tcBorders>
              <w:top w:val="single" w:color="auto" w:sz="12" w:space="0"/>
              <w:tl2br w:val="nil"/>
              <w:tr2bl w:val="nil"/>
            </w:tcBorders>
            <w:vAlign w:val="center"/>
          </w:tcPr>
          <w:p>
            <w:pPr>
              <w:adjustRightInd/>
              <w:spacing w:line="240" w:lineRule="auto"/>
              <w:jc w:val="center"/>
              <w:textAlignment w:val="auto"/>
              <w:rPr>
                <w:rFonts w:ascii="宋体" w:hAnsi="宋体" w:cs="宋体"/>
                <w:color w:val="auto"/>
                <w:kern w:val="2"/>
                <w:sz w:val="18"/>
                <w:szCs w:val="18"/>
              </w:rPr>
            </w:pPr>
            <w:r>
              <w:rPr>
                <w:rFonts w:hint="eastAsia" w:ascii="宋体" w:hAnsi="宋体" w:cs="宋体"/>
                <w:color w:val="auto"/>
                <w:kern w:val="2"/>
                <w:sz w:val="18"/>
                <w:szCs w:val="18"/>
              </w:rPr>
              <w:t>TU00、TU0</w:t>
            </w:r>
          </w:p>
          <w:p>
            <w:pPr>
              <w:adjustRightInd/>
              <w:spacing w:line="240" w:lineRule="auto"/>
              <w:jc w:val="center"/>
              <w:textAlignment w:val="auto"/>
              <w:rPr>
                <w:rFonts w:ascii="宋体" w:hAnsi="宋体" w:cs="宋体"/>
                <w:color w:val="auto"/>
                <w:kern w:val="2"/>
                <w:sz w:val="18"/>
                <w:szCs w:val="18"/>
              </w:rPr>
            </w:pPr>
            <w:r>
              <w:rPr>
                <w:rFonts w:hint="eastAsia" w:ascii="宋体" w:hAnsi="宋体" w:cs="宋体"/>
                <w:color w:val="auto"/>
                <w:kern w:val="2"/>
                <w:sz w:val="18"/>
                <w:szCs w:val="18"/>
              </w:rPr>
              <w:t>TU1、TU3</w:t>
            </w:r>
          </w:p>
        </w:tc>
        <w:tc>
          <w:tcPr>
            <w:tcW w:w="1055" w:type="pct"/>
            <w:tcBorders>
              <w:top w:val="single" w:color="auto" w:sz="12" w:space="0"/>
              <w:tl2br w:val="nil"/>
              <w:tr2bl w:val="nil"/>
            </w:tcBorders>
            <w:vAlign w:val="center"/>
          </w:tcPr>
          <w:p>
            <w:pPr>
              <w:adjustRightInd/>
              <w:spacing w:line="240" w:lineRule="auto"/>
              <w:jc w:val="center"/>
              <w:textAlignment w:val="auto"/>
              <w:rPr>
                <w:rFonts w:ascii="宋体" w:hAnsi="宋体" w:cs="宋体"/>
                <w:color w:val="auto"/>
                <w:kern w:val="2"/>
                <w:sz w:val="18"/>
                <w:szCs w:val="18"/>
                <w:highlight w:val="none"/>
              </w:rPr>
            </w:pPr>
            <w:r>
              <w:rPr>
                <w:rFonts w:hint="eastAsia" w:ascii="宋体" w:hAnsi="宋体" w:cs="宋体"/>
                <w:color w:val="auto"/>
                <w:kern w:val="2"/>
                <w:sz w:val="18"/>
                <w:szCs w:val="18"/>
                <w:highlight w:val="none"/>
              </w:rPr>
              <w:t>H03</w:t>
            </w:r>
          </w:p>
        </w:tc>
        <w:tc>
          <w:tcPr>
            <w:tcW w:w="1576" w:type="pct"/>
            <w:tcBorders>
              <w:top w:val="single" w:color="auto" w:sz="12" w:space="0"/>
              <w:tl2br w:val="nil"/>
              <w:tr2bl w:val="nil"/>
            </w:tcBorders>
            <w:vAlign w:val="center"/>
          </w:tcPr>
          <w:p>
            <w:pPr>
              <w:adjustRightInd/>
              <w:spacing w:line="240" w:lineRule="auto"/>
              <w:jc w:val="center"/>
              <w:textAlignment w:val="auto"/>
              <w:rPr>
                <w:rFonts w:ascii="宋体" w:hAnsi="宋体" w:cs="宋体"/>
                <w:color w:val="auto"/>
                <w:kern w:val="2"/>
                <w:sz w:val="18"/>
                <w:szCs w:val="18"/>
                <w:highlight w:val="none"/>
              </w:rPr>
            </w:pPr>
            <w:r>
              <w:rPr>
                <w:rFonts w:hint="eastAsia" w:ascii="宋体" w:hAnsi="宋体" w:cs="宋体"/>
                <w:color w:val="auto"/>
                <w:kern w:val="2"/>
                <w:sz w:val="18"/>
                <w:szCs w:val="18"/>
                <w:highlight w:val="none"/>
              </w:rPr>
              <w:t>270～360</w:t>
            </w:r>
          </w:p>
        </w:tc>
        <w:tc>
          <w:tcPr>
            <w:tcW w:w="1507" w:type="pct"/>
            <w:tcBorders>
              <w:top w:val="single" w:color="auto" w:sz="12" w:space="0"/>
              <w:tl2br w:val="nil"/>
              <w:tr2bl w:val="nil"/>
            </w:tcBorders>
            <w:vAlign w:val="center"/>
          </w:tcPr>
          <w:p>
            <w:pPr>
              <w:adjustRightInd/>
              <w:spacing w:line="240" w:lineRule="auto"/>
              <w:jc w:val="center"/>
              <w:textAlignment w:val="auto"/>
              <w:rPr>
                <w:rFonts w:ascii="宋体" w:hAnsi="宋体" w:cs="宋体"/>
                <w:color w:val="auto"/>
                <w:kern w:val="2"/>
                <w:sz w:val="18"/>
                <w:szCs w:val="18"/>
              </w:rPr>
            </w:pPr>
            <w:r>
              <w:rPr>
                <w:rFonts w:hint="eastAsia" w:ascii="宋体" w:hAnsi="宋体" w:cs="宋体"/>
                <w:color w:val="auto"/>
                <w:kern w:val="2"/>
                <w:sz w:val="18"/>
                <w:szCs w:val="18"/>
              </w:rPr>
              <w:t>90～110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60" w:type="pct"/>
            <w:vMerge w:val="continue"/>
            <w:tcBorders>
              <w:tl2br w:val="nil"/>
              <w:tr2bl w:val="nil"/>
            </w:tcBorders>
            <w:vAlign w:val="center"/>
          </w:tcPr>
          <w:p>
            <w:pPr>
              <w:adjustRightInd/>
              <w:spacing w:line="240" w:lineRule="auto"/>
              <w:jc w:val="center"/>
              <w:textAlignment w:val="auto"/>
              <w:rPr>
                <w:rFonts w:ascii="宋体" w:hAnsi="宋体" w:cs="宋体"/>
                <w:color w:val="auto"/>
                <w:kern w:val="2"/>
                <w:sz w:val="18"/>
                <w:szCs w:val="18"/>
              </w:rPr>
            </w:pPr>
          </w:p>
        </w:tc>
        <w:tc>
          <w:tcPr>
            <w:tcW w:w="1055" w:type="pct"/>
            <w:tcBorders>
              <w:tl2br w:val="nil"/>
              <w:tr2bl w:val="nil"/>
            </w:tcBorders>
            <w:vAlign w:val="center"/>
          </w:tcPr>
          <w:p>
            <w:pPr>
              <w:adjustRightInd/>
              <w:spacing w:line="240" w:lineRule="auto"/>
              <w:jc w:val="center"/>
              <w:textAlignment w:val="auto"/>
              <w:rPr>
                <w:rFonts w:ascii="宋体" w:hAnsi="宋体" w:cs="宋体"/>
                <w:color w:val="auto"/>
                <w:kern w:val="2"/>
                <w:sz w:val="18"/>
                <w:szCs w:val="18"/>
              </w:rPr>
            </w:pPr>
            <w:r>
              <w:rPr>
                <w:rFonts w:hint="eastAsia" w:ascii="宋体" w:hAnsi="宋体" w:cs="宋体"/>
                <w:color w:val="auto"/>
                <w:kern w:val="2"/>
                <w:sz w:val="18"/>
                <w:szCs w:val="18"/>
              </w:rPr>
              <w:t>H04</w:t>
            </w:r>
          </w:p>
        </w:tc>
        <w:tc>
          <w:tcPr>
            <w:tcW w:w="1576" w:type="pct"/>
            <w:tcBorders>
              <w:tl2br w:val="nil"/>
              <w:tr2bl w:val="nil"/>
            </w:tcBorders>
            <w:vAlign w:val="center"/>
          </w:tcPr>
          <w:p>
            <w:pPr>
              <w:adjustRightInd/>
              <w:spacing w:line="240" w:lineRule="auto"/>
              <w:jc w:val="center"/>
              <w:textAlignment w:val="auto"/>
              <w:rPr>
                <w:rFonts w:ascii="宋体" w:hAnsi="宋体" w:cs="宋体"/>
                <w:color w:val="auto"/>
                <w:kern w:val="2"/>
                <w:sz w:val="18"/>
                <w:szCs w:val="18"/>
              </w:rPr>
            </w:pPr>
            <w:r>
              <w:rPr>
                <w:rFonts w:hint="eastAsia" w:ascii="宋体" w:hAnsi="宋体" w:cs="宋体"/>
                <w:color w:val="auto"/>
                <w:kern w:val="2"/>
                <w:sz w:val="18"/>
                <w:szCs w:val="18"/>
              </w:rPr>
              <w:t>≥300</w:t>
            </w:r>
          </w:p>
        </w:tc>
        <w:tc>
          <w:tcPr>
            <w:tcW w:w="1507" w:type="pct"/>
            <w:tcBorders>
              <w:tl2br w:val="nil"/>
              <w:tr2bl w:val="nil"/>
            </w:tcBorders>
            <w:vAlign w:val="center"/>
          </w:tcPr>
          <w:p>
            <w:pPr>
              <w:adjustRightInd/>
              <w:spacing w:line="240" w:lineRule="auto"/>
              <w:jc w:val="center"/>
              <w:textAlignment w:val="auto"/>
              <w:rPr>
                <w:rFonts w:ascii="宋体" w:hAnsi="宋体" w:cs="宋体"/>
                <w:color w:val="auto"/>
                <w:kern w:val="2"/>
                <w:sz w:val="18"/>
                <w:szCs w:val="18"/>
              </w:rPr>
            </w:pPr>
            <w:r>
              <w:rPr>
                <w:rFonts w:hint="eastAsia" w:ascii="宋体" w:hAnsi="宋体" w:cs="宋体"/>
                <w:color w:val="auto"/>
                <w:kern w:val="2"/>
                <w:sz w:val="18"/>
                <w:szCs w:val="18"/>
              </w:rPr>
              <w:t>100～120</w:t>
            </w:r>
          </w:p>
        </w:tc>
      </w:tr>
    </w:tbl>
    <w:p>
      <w:pPr>
        <w:pStyle w:val="2"/>
        <w:spacing w:before="240" w:after="240"/>
        <w:rPr>
          <w:color w:val="auto"/>
        </w:rPr>
      </w:pPr>
      <w:r>
        <w:rPr>
          <w:rFonts w:hint="eastAsia"/>
          <w:color w:val="auto"/>
        </w:rPr>
        <w:t>5.4  电性能</w:t>
      </w:r>
    </w:p>
    <w:p>
      <w:pPr>
        <w:spacing w:line="360" w:lineRule="exact"/>
        <w:ind w:firstLine="420" w:firstLineChars="200"/>
        <w:rPr>
          <w:rFonts w:ascii="宋体" w:hAnsi="宋体" w:cs="宋体"/>
          <w:color w:val="auto"/>
          <w:sz w:val="21"/>
        </w:rPr>
      </w:pPr>
      <w:r>
        <w:rPr>
          <w:rFonts w:hint="eastAsia" w:ascii="宋体" w:hAnsi="宋体" w:cs="宋体"/>
          <w:color w:val="auto"/>
          <w:sz w:val="21"/>
        </w:rPr>
        <w:t>带材的电性能应符合表5的规定。</w:t>
      </w:r>
    </w:p>
    <w:p>
      <w:pPr>
        <w:pStyle w:val="12"/>
        <w:spacing w:beforeLines="100" w:afterLines="100"/>
        <w:jc w:val="center"/>
        <w:rPr>
          <w:rFonts w:ascii="黑体" w:hAnsi="宋体" w:eastAsia="黑体" w:cs="Courier New"/>
          <w:color w:val="auto"/>
          <w:kern w:val="2"/>
          <w:szCs w:val="21"/>
        </w:rPr>
      </w:pPr>
      <w:r>
        <w:rPr>
          <w:rFonts w:hint="eastAsia" w:ascii="黑体" w:hAnsi="宋体" w:eastAsia="黑体" w:cs="Courier New"/>
          <w:color w:val="auto"/>
          <w:kern w:val="2"/>
          <w:szCs w:val="21"/>
        </w:rPr>
        <w:t xml:space="preserve">表5  </w:t>
      </w:r>
      <w:r>
        <w:rPr>
          <w:rFonts w:hint="eastAsia" w:ascii="黑体" w:hAnsi="宋体" w:eastAsia="黑体"/>
          <w:color w:val="auto"/>
        </w:rPr>
        <w:t>导电</w:t>
      </w:r>
      <w:r>
        <w:rPr>
          <w:rFonts w:hint="eastAsia" w:ascii="黑体" w:hAnsi="宋体" w:eastAsia="黑体" w:cs="Courier New"/>
          <w:color w:val="auto"/>
          <w:kern w:val="2"/>
          <w:szCs w:val="21"/>
        </w:rPr>
        <w:t>率</w:t>
      </w:r>
    </w:p>
    <w:tbl>
      <w:tblPr>
        <w:tblStyle w:val="26"/>
        <w:tblW w:w="474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93"/>
        <w:gridCol w:w="3508"/>
        <w:gridCol w:w="33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23" w:type="pct"/>
            <w:tcBorders>
              <w:bottom w:val="single" w:color="auto" w:sz="12" w:space="0"/>
            </w:tcBorders>
            <w:vAlign w:val="center"/>
          </w:tcPr>
          <w:p>
            <w:pPr>
              <w:spacing w:line="240" w:lineRule="auto"/>
              <w:jc w:val="center"/>
              <w:rPr>
                <w:rFonts w:ascii="宋体" w:hAnsi="宋体" w:cs="宋体"/>
                <w:color w:val="auto"/>
                <w:sz w:val="18"/>
                <w:szCs w:val="18"/>
              </w:rPr>
            </w:pPr>
            <w:r>
              <w:rPr>
                <w:rFonts w:hint="eastAsia" w:ascii="宋体" w:hAnsi="宋体" w:cs="宋体"/>
                <w:color w:val="auto"/>
                <w:sz w:val="18"/>
                <w:szCs w:val="18"/>
              </w:rPr>
              <w:t>牌 号</w:t>
            </w:r>
          </w:p>
        </w:tc>
        <w:tc>
          <w:tcPr>
            <w:tcW w:w="1976" w:type="pct"/>
            <w:tcBorders>
              <w:bottom w:val="single" w:color="auto" w:sz="12" w:space="0"/>
            </w:tcBorders>
            <w:vAlign w:val="center"/>
          </w:tcPr>
          <w:p>
            <w:pPr>
              <w:spacing w:line="240" w:lineRule="auto"/>
              <w:jc w:val="center"/>
              <w:rPr>
                <w:rFonts w:ascii="宋体" w:hAnsi="宋体" w:cs="宋体"/>
                <w:color w:val="auto"/>
                <w:sz w:val="18"/>
                <w:szCs w:val="18"/>
              </w:rPr>
            </w:pPr>
            <w:r>
              <w:rPr>
                <w:rFonts w:hint="eastAsia" w:ascii="宋体" w:hAnsi="宋体" w:cs="宋体"/>
                <w:color w:val="auto"/>
                <w:sz w:val="18"/>
                <w:szCs w:val="18"/>
              </w:rPr>
              <w:t>导电率（</w:t>
            </w:r>
            <w:r>
              <w:rPr>
                <w:rFonts w:hint="eastAsia" w:ascii="宋体" w:hAnsi="宋体" w:cs="宋体"/>
                <w:i/>
                <w:color w:val="auto"/>
                <w:sz w:val="18"/>
                <w:szCs w:val="18"/>
              </w:rPr>
              <w:t>C</w:t>
            </w:r>
            <w:r>
              <w:rPr>
                <w:rFonts w:hint="eastAsia" w:ascii="宋体" w:hAnsi="宋体" w:cs="宋体"/>
                <w:color w:val="auto"/>
                <w:sz w:val="18"/>
                <w:szCs w:val="18"/>
                <w:vertAlign w:val="subscript"/>
              </w:rPr>
              <w:t>20</w:t>
            </w:r>
            <w:r>
              <w:rPr>
                <w:rFonts w:hint="eastAsia" w:ascii="宋体" w:hAnsi="宋体" w:cs="宋体"/>
                <w:color w:val="auto"/>
                <w:sz w:val="18"/>
                <w:szCs w:val="18"/>
              </w:rPr>
              <w:t>）</w:t>
            </w:r>
          </w:p>
          <w:p>
            <w:pPr>
              <w:spacing w:line="240" w:lineRule="auto"/>
              <w:jc w:val="center"/>
              <w:rPr>
                <w:rFonts w:ascii="宋体" w:hAnsi="宋体" w:cs="宋体"/>
                <w:color w:val="auto"/>
                <w:sz w:val="18"/>
                <w:szCs w:val="18"/>
              </w:rPr>
            </w:pPr>
            <w:r>
              <w:rPr>
                <w:rFonts w:hint="eastAsia" w:ascii="宋体" w:hAnsi="宋体" w:cs="宋体"/>
                <w:color w:val="auto"/>
                <w:sz w:val="18"/>
                <w:szCs w:val="18"/>
              </w:rPr>
              <w:t>% IACS</w:t>
            </w:r>
          </w:p>
        </w:tc>
        <w:tc>
          <w:tcPr>
            <w:tcW w:w="1901" w:type="pct"/>
            <w:tcBorders>
              <w:bottom w:val="single" w:color="auto" w:sz="12" w:space="0"/>
            </w:tcBorders>
            <w:vAlign w:val="center"/>
          </w:tcPr>
          <w:p>
            <w:pPr>
              <w:spacing w:line="240" w:lineRule="auto"/>
              <w:jc w:val="center"/>
              <w:rPr>
                <w:rFonts w:ascii="宋体" w:hAnsi="宋体" w:cs="宋体"/>
                <w:color w:val="auto"/>
                <w:sz w:val="18"/>
                <w:szCs w:val="18"/>
              </w:rPr>
            </w:pPr>
            <w:r>
              <w:rPr>
                <w:rFonts w:hint="eastAsia" w:ascii="宋体" w:hAnsi="宋体" w:cs="宋体"/>
                <w:color w:val="auto"/>
                <w:sz w:val="18"/>
                <w:szCs w:val="18"/>
              </w:rPr>
              <w:t>电阻系数(ρ</w:t>
            </w:r>
            <w:r>
              <w:rPr>
                <w:rFonts w:hint="eastAsia" w:ascii="宋体" w:hAnsi="宋体" w:cs="宋体"/>
                <w:color w:val="auto"/>
                <w:sz w:val="18"/>
                <w:szCs w:val="18"/>
                <w:vertAlign w:val="subscript"/>
              </w:rPr>
              <w:t>20</w:t>
            </w:r>
            <w:r>
              <w:rPr>
                <w:rFonts w:hint="eastAsia" w:ascii="宋体" w:hAnsi="宋体" w:cs="宋体"/>
                <w:color w:val="auto"/>
                <w:sz w:val="18"/>
                <w:szCs w:val="18"/>
              </w:rPr>
              <w:t>)</w:t>
            </w:r>
          </w:p>
          <w:p>
            <w:pPr>
              <w:spacing w:line="240" w:lineRule="auto"/>
              <w:jc w:val="center"/>
              <w:rPr>
                <w:rFonts w:ascii="宋体" w:hAnsi="宋体" w:cs="宋体"/>
                <w:color w:val="auto"/>
                <w:sz w:val="18"/>
                <w:szCs w:val="18"/>
              </w:rPr>
            </w:pPr>
            <w:r>
              <w:rPr>
                <w:rFonts w:hint="eastAsia" w:ascii="宋体" w:hAnsi="宋体" w:cs="宋体"/>
                <w:color w:val="auto"/>
                <w:sz w:val="18"/>
                <w:szCs w:val="18"/>
              </w:rPr>
              <w:t>Ω·mm</w:t>
            </w:r>
            <w:r>
              <w:rPr>
                <w:rFonts w:hint="eastAsia" w:ascii="宋体" w:hAnsi="宋体" w:cs="宋体"/>
                <w:color w:val="auto"/>
                <w:sz w:val="18"/>
                <w:szCs w:val="18"/>
                <w:vertAlign w:val="superscript"/>
              </w:rPr>
              <w:t>2</w:t>
            </w:r>
            <w:r>
              <w:rPr>
                <w:rFonts w:hint="eastAsia" w:ascii="宋体" w:hAnsi="宋体" w:cs="宋体"/>
                <w:color w:val="auto"/>
                <w:sz w:val="18"/>
                <w:szCs w:val="18"/>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pct"/>
            <w:tcBorders>
              <w:top w:val="single" w:color="auto" w:sz="12" w:space="0"/>
              <w:tl2br w:val="nil"/>
              <w:tr2bl w:val="nil"/>
            </w:tcBorders>
            <w:vAlign w:val="center"/>
          </w:tcPr>
          <w:p>
            <w:pPr>
              <w:spacing w:line="240" w:lineRule="auto"/>
              <w:jc w:val="center"/>
              <w:rPr>
                <w:rFonts w:ascii="宋体" w:hAnsi="宋体" w:cs="宋体"/>
                <w:color w:val="auto"/>
                <w:sz w:val="18"/>
                <w:szCs w:val="18"/>
              </w:rPr>
            </w:pPr>
            <w:r>
              <w:rPr>
                <w:rFonts w:hint="eastAsia" w:ascii="宋体" w:hAnsi="宋体" w:cs="宋体"/>
                <w:color w:val="auto"/>
                <w:sz w:val="18"/>
                <w:szCs w:val="18"/>
              </w:rPr>
              <w:t>TU00</w:t>
            </w:r>
          </w:p>
        </w:tc>
        <w:tc>
          <w:tcPr>
            <w:tcW w:w="1976" w:type="pct"/>
            <w:tcBorders>
              <w:top w:val="single" w:color="auto" w:sz="12" w:space="0"/>
              <w:tl2br w:val="nil"/>
              <w:tr2bl w:val="nil"/>
            </w:tcBorders>
            <w:vAlign w:val="center"/>
          </w:tcPr>
          <w:p>
            <w:pPr>
              <w:spacing w:line="240" w:lineRule="auto"/>
              <w:jc w:val="center"/>
              <w:rPr>
                <w:rFonts w:ascii="宋体" w:hAnsi="宋体" w:cs="宋体"/>
                <w:color w:val="auto"/>
                <w:sz w:val="18"/>
                <w:szCs w:val="18"/>
              </w:rPr>
            </w:pPr>
            <w:r>
              <w:rPr>
                <w:rFonts w:hint="eastAsia" w:ascii="宋体" w:hAnsi="宋体" w:cs="宋体"/>
                <w:color w:val="auto"/>
                <w:kern w:val="2"/>
                <w:sz w:val="18"/>
                <w:szCs w:val="18"/>
              </w:rPr>
              <w:t>≥</w:t>
            </w:r>
            <w:r>
              <w:rPr>
                <w:rFonts w:hint="eastAsia" w:ascii="宋体" w:hAnsi="宋体" w:cs="宋体"/>
                <w:color w:val="auto"/>
                <w:sz w:val="18"/>
                <w:szCs w:val="18"/>
              </w:rPr>
              <w:t>99</w:t>
            </w:r>
          </w:p>
        </w:tc>
        <w:tc>
          <w:tcPr>
            <w:tcW w:w="1901" w:type="pct"/>
            <w:tcBorders>
              <w:top w:val="single" w:color="auto" w:sz="12" w:space="0"/>
              <w:tl2br w:val="nil"/>
              <w:tr2bl w:val="nil"/>
            </w:tcBorders>
            <w:vAlign w:val="center"/>
          </w:tcPr>
          <w:p>
            <w:pPr>
              <w:spacing w:line="240" w:lineRule="auto"/>
              <w:jc w:val="center"/>
              <w:rPr>
                <w:rFonts w:ascii="宋体" w:hAnsi="宋体" w:cs="宋体"/>
                <w:color w:val="auto"/>
                <w:sz w:val="18"/>
                <w:szCs w:val="18"/>
              </w:rPr>
            </w:pPr>
            <w:r>
              <w:rPr>
                <w:rFonts w:hint="eastAsia" w:ascii="宋体" w:hAnsi="宋体" w:cs="宋体"/>
                <w:color w:val="auto"/>
                <w:sz w:val="18"/>
                <w:szCs w:val="18"/>
              </w:rPr>
              <w:t>≤0.017415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3" w:type="pct"/>
            <w:tcBorders>
              <w:tl2br w:val="nil"/>
              <w:tr2bl w:val="nil"/>
            </w:tcBorders>
            <w:vAlign w:val="center"/>
          </w:tcPr>
          <w:p>
            <w:pPr>
              <w:spacing w:line="240" w:lineRule="auto"/>
              <w:jc w:val="center"/>
              <w:rPr>
                <w:rFonts w:ascii="宋体" w:hAnsi="宋体" w:cs="宋体"/>
                <w:color w:val="auto"/>
                <w:sz w:val="18"/>
                <w:szCs w:val="18"/>
              </w:rPr>
            </w:pPr>
            <w:r>
              <w:rPr>
                <w:rFonts w:hint="eastAsia" w:ascii="宋体" w:hAnsi="宋体" w:cs="宋体"/>
                <w:color w:val="auto"/>
                <w:kern w:val="2"/>
                <w:sz w:val="18"/>
                <w:szCs w:val="18"/>
              </w:rPr>
              <w:t>TU0、TU1、TU3</w:t>
            </w:r>
          </w:p>
        </w:tc>
        <w:tc>
          <w:tcPr>
            <w:tcW w:w="1976" w:type="pct"/>
            <w:tcBorders>
              <w:tl2br w:val="nil"/>
              <w:tr2bl w:val="nil"/>
            </w:tcBorders>
            <w:vAlign w:val="center"/>
          </w:tcPr>
          <w:p>
            <w:pPr>
              <w:spacing w:line="240" w:lineRule="auto"/>
              <w:jc w:val="center"/>
              <w:rPr>
                <w:rFonts w:ascii="宋体" w:hAnsi="宋体" w:cs="宋体"/>
                <w:color w:val="auto"/>
                <w:kern w:val="2"/>
                <w:sz w:val="18"/>
                <w:szCs w:val="18"/>
              </w:rPr>
            </w:pPr>
            <w:r>
              <w:rPr>
                <w:rFonts w:hint="eastAsia" w:ascii="宋体" w:hAnsi="宋体" w:cs="宋体"/>
                <w:color w:val="auto"/>
                <w:kern w:val="2"/>
                <w:sz w:val="18"/>
                <w:szCs w:val="18"/>
              </w:rPr>
              <w:t>≥</w:t>
            </w:r>
            <w:r>
              <w:rPr>
                <w:rFonts w:hint="eastAsia" w:ascii="宋体" w:hAnsi="宋体" w:cs="宋体"/>
                <w:color w:val="auto"/>
                <w:sz w:val="18"/>
                <w:szCs w:val="18"/>
              </w:rPr>
              <w:t>98</w:t>
            </w:r>
          </w:p>
        </w:tc>
        <w:tc>
          <w:tcPr>
            <w:tcW w:w="1901" w:type="pct"/>
            <w:tcBorders>
              <w:tl2br w:val="nil"/>
              <w:tr2bl w:val="nil"/>
            </w:tcBorders>
            <w:vAlign w:val="center"/>
          </w:tcPr>
          <w:p>
            <w:pPr>
              <w:spacing w:line="240" w:lineRule="auto"/>
              <w:jc w:val="center"/>
              <w:rPr>
                <w:rFonts w:ascii="宋体" w:hAnsi="宋体" w:cs="宋体"/>
                <w:color w:val="auto"/>
                <w:sz w:val="18"/>
                <w:szCs w:val="18"/>
              </w:rPr>
            </w:pPr>
            <w:r>
              <w:rPr>
                <w:rFonts w:hint="eastAsia" w:ascii="宋体" w:hAnsi="宋体" w:cs="宋体"/>
                <w:color w:val="auto"/>
                <w:sz w:val="18"/>
                <w:szCs w:val="18"/>
              </w:rPr>
              <w:t>≤0.017593</w:t>
            </w:r>
          </w:p>
        </w:tc>
      </w:tr>
    </w:tbl>
    <w:p>
      <w:pPr>
        <w:pStyle w:val="2"/>
        <w:spacing w:before="240" w:after="240"/>
        <w:rPr>
          <w:color w:val="auto"/>
        </w:rPr>
      </w:pPr>
      <w:r>
        <w:rPr>
          <w:rFonts w:hint="eastAsia"/>
          <w:color w:val="auto"/>
        </w:rPr>
        <w:t>5.5  晶粒度</w:t>
      </w:r>
    </w:p>
    <w:p>
      <w:pPr>
        <w:pStyle w:val="3"/>
        <w:rPr>
          <w:color w:val="auto"/>
        </w:rPr>
      </w:pPr>
      <w:r>
        <w:rPr>
          <w:rFonts w:hint="eastAsia"/>
          <w:color w:val="auto"/>
        </w:rPr>
        <w:t>带材热处理后晶粒度应符合表6规定。热处理工艺应符合表6规定。</w:t>
      </w:r>
    </w:p>
    <w:p>
      <w:pPr>
        <w:pStyle w:val="12"/>
        <w:spacing w:beforeLines="100" w:afterLines="100"/>
        <w:jc w:val="center"/>
        <w:rPr>
          <w:rFonts w:ascii="黑体" w:eastAsia="黑体"/>
          <w:color w:val="auto"/>
        </w:rPr>
      </w:pPr>
      <w:r>
        <w:rPr>
          <w:rFonts w:hint="eastAsia" w:ascii="黑体" w:hAnsi="宋体" w:eastAsia="黑体" w:cs="Courier New"/>
          <w:color w:val="auto"/>
          <w:kern w:val="2"/>
          <w:szCs w:val="21"/>
        </w:rPr>
        <w:t>表</w:t>
      </w:r>
      <w:r>
        <w:rPr>
          <w:rFonts w:ascii="黑体" w:hAnsi="宋体" w:eastAsia="黑体" w:cs="Courier New"/>
          <w:color w:val="auto"/>
          <w:kern w:val="2"/>
          <w:szCs w:val="21"/>
        </w:rPr>
        <w:t>6</w:t>
      </w:r>
      <w:r>
        <w:rPr>
          <w:rFonts w:hint="eastAsia" w:ascii="黑体" w:hAnsi="宋体" w:eastAsia="黑体"/>
          <w:color w:val="auto"/>
        </w:rPr>
        <w:t>晶粒度</w:t>
      </w:r>
    </w:p>
    <w:tbl>
      <w:tblPr>
        <w:tblStyle w:val="26"/>
        <w:tblW w:w="477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06"/>
        <w:gridCol w:w="3666"/>
        <w:gridCol w:w="31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81" w:type="pct"/>
            <w:tcBorders>
              <w:top w:val="single" w:color="000000" w:sz="12" w:space="0"/>
              <w:left w:val="single" w:color="000000" w:sz="12" w:space="0"/>
              <w:bottom w:val="single" w:color="000000" w:sz="12" w:space="0"/>
              <w:tl2br w:val="nil"/>
              <w:tr2bl w:val="nil"/>
            </w:tcBorders>
            <w:vAlign w:val="center"/>
          </w:tcPr>
          <w:p>
            <w:pPr>
              <w:spacing w:line="24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牌 号</w:t>
            </w:r>
          </w:p>
        </w:tc>
        <w:tc>
          <w:tcPr>
            <w:tcW w:w="2055" w:type="pct"/>
            <w:tcBorders>
              <w:top w:val="single" w:color="000000" w:sz="12" w:space="0"/>
              <w:bottom w:val="single" w:color="000000" w:sz="12" w:space="0"/>
              <w:tl2br w:val="nil"/>
              <w:tr2bl w:val="nil"/>
            </w:tcBorders>
            <w:vAlign w:val="center"/>
          </w:tcPr>
          <w:p>
            <w:pPr>
              <w:spacing w:line="24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典型热处理工艺</w:t>
            </w:r>
          </w:p>
        </w:tc>
        <w:tc>
          <w:tcPr>
            <w:tcW w:w="1764" w:type="pct"/>
            <w:tcBorders>
              <w:top w:val="single" w:color="000000" w:sz="12" w:space="0"/>
              <w:bottom w:val="single" w:color="000000" w:sz="12" w:space="0"/>
              <w:right w:val="single" w:color="000000" w:sz="12" w:space="0"/>
              <w:tl2br w:val="nil"/>
              <w:tr2bl w:val="nil"/>
            </w:tcBorders>
            <w:vAlign w:val="center"/>
          </w:tcPr>
          <w:p>
            <w:pPr>
              <w:spacing w:line="24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晶粒度</w:t>
            </w:r>
          </w:p>
          <w:p>
            <w:pPr>
              <w:spacing w:line="24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1" w:type="pct"/>
            <w:vMerge w:val="restart"/>
            <w:tcBorders>
              <w:top w:val="single" w:color="000000" w:sz="12" w:space="0"/>
              <w:tl2br w:val="nil"/>
              <w:tr2bl w:val="nil"/>
            </w:tcBorders>
            <w:vAlign w:val="center"/>
          </w:tcPr>
          <w:p>
            <w:pPr>
              <w:spacing w:line="24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TU00、</w:t>
            </w:r>
            <w:r>
              <w:rPr>
                <w:rFonts w:hint="eastAsia" w:ascii="宋体" w:hAnsi="宋体"/>
                <w:color w:val="auto"/>
                <w:kern w:val="2"/>
                <w:sz w:val="18"/>
                <w:szCs w:val="18"/>
                <w:highlight w:val="none"/>
              </w:rPr>
              <w:t>TU0、TU1、TU3</w:t>
            </w:r>
          </w:p>
        </w:tc>
        <w:tc>
          <w:tcPr>
            <w:tcW w:w="2055" w:type="pct"/>
            <w:tcBorders>
              <w:top w:val="single" w:color="000000" w:sz="12" w:space="0"/>
              <w:tl2br w:val="nil"/>
              <w:tr2bl w:val="nil"/>
            </w:tcBorders>
            <w:vAlign w:val="center"/>
          </w:tcPr>
          <w:p>
            <w:pPr>
              <w:spacing w:line="240" w:lineRule="auto"/>
              <w:jc w:val="center"/>
              <w:rPr>
                <w:rFonts w:ascii="宋体" w:hAnsi="宋体" w:cs="宋体"/>
                <w:color w:val="auto"/>
                <w:sz w:val="18"/>
                <w:szCs w:val="18"/>
                <w:highlight w:val="none"/>
              </w:rPr>
            </w:pPr>
            <w:r>
              <w:rPr>
                <w:rFonts w:hint="eastAsia" w:ascii="宋体" w:hAnsi="宋体"/>
                <w:color w:val="auto"/>
                <w:sz w:val="18"/>
                <w:szCs w:val="18"/>
                <w:highlight w:val="none"/>
              </w:rPr>
              <w:t>900℃±10℃保温30m</w:t>
            </w:r>
            <w:r>
              <w:rPr>
                <w:rFonts w:ascii="宋体" w:hAnsi="宋体"/>
                <w:color w:val="auto"/>
                <w:sz w:val="18"/>
                <w:szCs w:val="18"/>
                <w:highlight w:val="none"/>
              </w:rPr>
              <w:t>in</w:t>
            </w:r>
          </w:p>
        </w:tc>
        <w:tc>
          <w:tcPr>
            <w:tcW w:w="1764" w:type="pct"/>
            <w:tcBorders>
              <w:top w:val="single" w:color="000000" w:sz="12" w:space="0"/>
              <w:tl2br w:val="nil"/>
              <w:tr2bl w:val="nil"/>
            </w:tcBorders>
            <w:vAlign w:val="center"/>
          </w:tcPr>
          <w:p>
            <w:pPr>
              <w:spacing w:line="24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≤0</w:t>
            </w:r>
            <w:r>
              <w:rPr>
                <w:rFonts w:ascii="宋体" w:hAnsi="宋体" w:cs="宋体"/>
                <w:color w:val="auto"/>
                <w:sz w:val="18"/>
                <w:szCs w:val="18"/>
                <w:highlight w:val="none"/>
              </w:rPr>
              <w:t>.</w:t>
            </w:r>
            <w:r>
              <w:rPr>
                <w:rFonts w:hint="eastAsia" w:ascii="宋体" w:hAnsi="宋体" w:cs="宋体"/>
                <w:color w:val="auto"/>
                <w:sz w:val="18"/>
                <w:szCs w:val="18"/>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1" w:type="pct"/>
            <w:vMerge w:val="continue"/>
            <w:tcBorders>
              <w:bottom w:val="single" w:color="000000" w:sz="12" w:space="0"/>
              <w:tl2br w:val="nil"/>
              <w:tr2bl w:val="nil"/>
            </w:tcBorders>
            <w:vAlign w:val="center"/>
          </w:tcPr>
          <w:p>
            <w:pPr>
              <w:spacing w:line="240" w:lineRule="auto"/>
              <w:jc w:val="center"/>
              <w:rPr>
                <w:rFonts w:ascii="宋体" w:hAnsi="宋体" w:cs="宋体"/>
                <w:color w:val="auto"/>
                <w:sz w:val="18"/>
                <w:szCs w:val="18"/>
                <w:highlight w:val="none"/>
              </w:rPr>
            </w:pPr>
          </w:p>
        </w:tc>
        <w:tc>
          <w:tcPr>
            <w:tcW w:w="2055" w:type="pct"/>
            <w:tcBorders>
              <w:bottom w:val="single" w:color="000000" w:sz="12" w:space="0"/>
              <w:tl2br w:val="nil"/>
              <w:tr2bl w:val="nil"/>
            </w:tcBorders>
            <w:vAlign w:val="center"/>
          </w:tcPr>
          <w:p>
            <w:pPr>
              <w:spacing w:line="240" w:lineRule="auto"/>
              <w:jc w:val="center"/>
              <w:rPr>
                <w:rFonts w:ascii="宋体" w:hAnsi="宋体"/>
                <w:color w:val="auto"/>
                <w:sz w:val="18"/>
                <w:szCs w:val="18"/>
                <w:highlight w:val="none"/>
              </w:rPr>
            </w:pPr>
            <w:r>
              <w:rPr>
                <w:rFonts w:hint="eastAsia" w:ascii="宋体" w:hAnsi="宋体"/>
                <w:color w:val="auto"/>
                <w:sz w:val="18"/>
                <w:szCs w:val="18"/>
                <w:highlight w:val="none"/>
              </w:rPr>
              <w:t>1070℃±10℃保温20m</w:t>
            </w:r>
            <w:r>
              <w:rPr>
                <w:rFonts w:ascii="宋体" w:hAnsi="宋体"/>
                <w:color w:val="auto"/>
                <w:sz w:val="18"/>
                <w:szCs w:val="18"/>
                <w:highlight w:val="none"/>
              </w:rPr>
              <w:t>in</w:t>
            </w:r>
          </w:p>
        </w:tc>
        <w:tc>
          <w:tcPr>
            <w:tcW w:w="1764" w:type="pct"/>
            <w:tcBorders>
              <w:bottom w:val="single" w:color="000000" w:sz="12" w:space="0"/>
              <w:tl2br w:val="nil"/>
              <w:tr2bl w:val="nil"/>
            </w:tcBorders>
            <w:vAlign w:val="center"/>
          </w:tcPr>
          <w:p>
            <w:pPr>
              <w:spacing w:line="24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tcBorders>
              <w:top w:val="single" w:color="000000" w:sz="12" w:space="0"/>
              <w:left w:val="single" w:color="000000" w:sz="12" w:space="0"/>
              <w:bottom w:val="single" w:color="000000" w:sz="12" w:space="0"/>
              <w:right w:val="single" w:color="000000" w:sz="12" w:space="0"/>
              <w:tl2br w:val="nil"/>
              <w:tr2bl w:val="nil"/>
            </w:tcBorders>
            <w:vAlign w:val="center"/>
          </w:tcPr>
          <w:p>
            <w:pPr>
              <w:spacing w:line="240" w:lineRule="auto"/>
              <w:ind w:firstLine="360" w:firstLineChars="200"/>
              <w:rPr>
                <w:rFonts w:hint="eastAsia" w:ascii="宋体" w:hAnsi="宋体" w:cs="宋体"/>
                <w:color w:val="auto"/>
                <w:sz w:val="18"/>
                <w:szCs w:val="18"/>
              </w:rPr>
            </w:pPr>
            <w:r>
              <w:rPr>
                <w:rFonts w:hint="eastAsia" w:ascii="宋体" w:hAnsi="宋体" w:cs="宋体"/>
                <w:color w:val="auto"/>
                <w:sz w:val="18"/>
                <w:szCs w:val="18"/>
              </w:rPr>
              <w:t>注：需方有特殊热处理工艺要求时，由供需双方协商确定。</w:t>
            </w:r>
          </w:p>
        </w:tc>
      </w:tr>
    </w:tbl>
    <w:p>
      <w:pPr>
        <w:pStyle w:val="2"/>
        <w:keepNext/>
        <w:keepLines w:val="0"/>
        <w:pageBreakBefore w:val="0"/>
        <w:widowControl w:val="0"/>
        <w:kinsoku/>
        <w:wordWrap/>
        <w:overflowPunct/>
        <w:topLinePunct w:val="0"/>
        <w:autoSpaceDE/>
        <w:autoSpaceDN/>
        <w:bidi w:val="0"/>
        <w:adjustRightInd w:val="0"/>
        <w:snapToGrid w:val="0"/>
        <w:spacing w:before="240" w:after="240"/>
        <w:textAlignment w:val="auto"/>
        <w:rPr>
          <w:color w:val="auto"/>
        </w:rPr>
      </w:pPr>
      <w:r>
        <w:rPr>
          <w:rFonts w:hint="eastAsia"/>
          <w:color w:val="auto"/>
        </w:rPr>
        <w:t>5.6 氢脆试验</w:t>
      </w:r>
    </w:p>
    <w:p>
      <w:pPr>
        <w:spacing w:line="240" w:lineRule="auto"/>
        <w:ind w:firstLine="420" w:firstLineChars="200"/>
        <w:rPr>
          <w:rFonts w:ascii="宋体" w:hAnsi="宋体" w:cs="宋体"/>
          <w:color w:val="auto"/>
          <w:sz w:val="21"/>
          <w:szCs w:val="21"/>
        </w:rPr>
      </w:pPr>
      <w:r>
        <w:rPr>
          <w:rFonts w:hint="eastAsia" w:ascii="宋体" w:hAnsi="宋体" w:cs="宋体"/>
          <w:color w:val="auto"/>
          <w:sz w:val="21"/>
          <w:szCs w:val="21"/>
        </w:rPr>
        <w:t>带材可进行氢脆试验。氢脆试验后，材料受检面沿晶界无开裂。</w:t>
      </w:r>
    </w:p>
    <w:p>
      <w:pPr>
        <w:pStyle w:val="2"/>
        <w:spacing w:before="240" w:after="240"/>
        <w:rPr>
          <w:color w:val="auto"/>
        </w:rPr>
      </w:pPr>
      <w:r>
        <w:rPr>
          <w:rFonts w:hint="eastAsia"/>
          <w:color w:val="auto"/>
        </w:rPr>
        <w:t>5.7表面粗糙度</w:t>
      </w:r>
    </w:p>
    <w:p>
      <w:pPr>
        <w:pStyle w:val="3"/>
        <w:rPr>
          <w:color w:val="auto"/>
        </w:rPr>
      </w:pPr>
      <w:r>
        <w:rPr>
          <w:rFonts w:hint="eastAsia"/>
          <w:color w:val="auto"/>
        </w:rPr>
        <w:t>带材的表面粗糙度（</w:t>
      </w:r>
      <w:r>
        <w:rPr>
          <w:rFonts w:hint="eastAsia"/>
          <w:i/>
          <w:color w:val="auto"/>
        </w:rPr>
        <w:t>R</w:t>
      </w:r>
      <w:r>
        <w:rPr>
          <w:rFonts w:hint="eastAsia"/>
          <w:color w:val="auto"/>
        </w:rPr>
        <w:t>a）0.15μm～0.40μm</w:t>
      </w:r>
    </w:p>
    <w:p>
      <w:pPr>
        <w:pStyle w:val="2"/>
        <w:spacing w:before="240" w:after="240"/>
        <w:rPr>
          <w:color w:val="auto"/>
        </w:rPr>
      </w:pPr>
      <w:r>
        <w:rPr>
          <w:rFonts w:hint="eastAsia"/>
          <w:color w:val="auto"/>
        </w:rPr>
        <w:t>5.8表面质量</w:t>
      </w:r>
    </w:p>
    <w:p>
      <w:pPr>
        <w:pStyle w:val="3"/>
        <w:rPr>
          <w:color w:val="auto"/>
        </w:rPr>
      </w:pPr>
      <w:r>
        <w:rPr>
          <w:rFonts w:hint="eastAsia"/>
          <w:color w:val="auto"/>
        </w:rPr>
        <w:t>带材的表面应光滑、清洁，且不允许有任何影响使用的缺陷。</w:t>
      </w:r>
    </w:p>
    <w:p>
      <w:pPr>
        <w:pStyle w:val="2"/>
        <w:spacing w:before="240" w:after="240"/>
        <w:rPr>
          <w:color w:val="auto"/>
        </w:rPr>
      </w:pPr>
      <w:r>
        <w:rPr>
          <w:rFonts w:hint="eastAsia"/>
          <w:color w:val="auto"/>
        </w:rPr>
        <w:t>6  试验方法</w:t>
      </w:r>
    </w:p>
    <w:p>
      <w:pPr>
        <w:pStyle w:val="2"/>
        <w:spacing w:before="240" w:after="240"/>
        <w:rPr>
          <w:color w:val="auto"/>
        </w:rPr>
      </w:pPr>
      <w:r>
        <w:rPr>
          <w:rFonts w:hint="eastAsia"/>
          <w:color w:val="auto"/>
        </w:rPr>
        <w:t>6.1  化学成分</w:t>
      </w:r>
    </w:p>
    <w:p>
      <w:pPr>
        <w:spacing w:line="240" w:lineRule="auto"/>
        <w:ind w:firstLine="420" w:firstLineChars="200"/>
        <w:rPr>
          <w:color w:val="auto"/>
        </w:rPr>
      </w:pPr>
      <w:r>
        <w:rPr>
          <w:rFonts w:hint="eastAsia" w:ascii="宋体" w:hAnsi="宋体" w:cs="宋体"/>
          <w:color w:val="auto"/>
          <w:sz w:val="21"/>
          <w:szCs w:val="21"/>
        </w:rPr>
        <w:t>带材</w:t>
      </w:r>
      <w:r>
        <w:rPr>
          <w:rFonts w:hint="eastAsia"/>
          <w:color w:val="auto"/>
          <w:sz w:val="21"/>
          <w:szCs w:val="21"/>
        </w:rPr>
        <w:t>的化</w:t>
      </w:r>
      <w:r>
        <w:rPr>
          <w:rFonts w:hint="eastAsia" w:ascii="宋体" w:hAnsi="宋体" w:cs="宋体"/>
          <w:color w:val="auto"/>
          <w:sz w:val="21"/>
          <w:szCs w:val="21"/>
        </w:rPr>
        <w:t>学成分分析方法按GB/T 5121（所有部分）或YS/T 482的规定进行，带材的化学成分仲裁分析按GB/T 5121（所有部分）的规定进行。</w:t>
      </w:r>
    </w:p>
    <w:p>
      <w:pPr>
        <w:pStyle w:val="2"/>
        <w:spacing w:before="240" w:after="240"/>
        <w:rPr>
          <w:color w:val="auto"/>
        </w:rPr>
      </w:pPr>
      <w:r>
        <w:rPr>
          <w:rFonts w:hint="eastAsia"/>
          <w:color w:val="auto"/>
        </w:rPr>
        <w:t>6.2  外形尺寸</w:t>
      </w:r>
    </w:p>
    <w:p>
      <w:pPr>
        <w:pStyle w:val="3"/>
        <w:rPr>
          <w:color w:val="auto"/>
        </w:rPr>
      </w:pPr>
      <w:r>
        <w:rPr>
          <w:rFonts w:hint="eastAsia"/>
          <w:color w:val="auto"/>
        </w:rPr>
        <w:t>带材的外形尺寸测量按GB/T 26303.3的规定进行。</w:t>
      </w:r>
    </w:p>
    <w:p>
      <w:pPr>
        <w:pStyle w:val="2"/>
        <w:spacing w:before="240" w:after="240"/>
        <w:rPr>
          <w:color w:val="auto"/>
        </w:rPr>
      </w:pPr>
      <w:r>
        <w:rPr>
          <w:rFonts w:hint="eastAsia"/>
          <w:color w:val="auto"/>
        </w:rPr>
        <w:t>6.3  力学性能</w:t>
      </w:r>
    </w:p>
    <w:p>
      <w:pPr>
        <w:pStyle w:val="3"/>
        <w:rPr>
          <w:color w:val="auto"/>
        </w:rPr>
      </w:pPr>
      <w:r>
        <w:rPr>
          <w:rFonts w:hint="eastAsia"/>
          <w:color w:val="auto"/>
        </w:rPr>
        <w:t>带材的室温拉伸试验按GB/T 34505-2017的规定进行，试样号为P01。维氏硬度试验按GB/T4340</w:t>
      </w:r>
      <w:r>
        <w:rPr>
          <w:color w:val="auto"/>
        </w:rPr>
        <w:t>.1</w:t>
      </w:r>
      <w:r>
        <w:rPr>
          <w:rFonts w:hint="eastAsia"/>
          <w:color w:val="auto"/>
        </w:rPr>
        <w:t>的规定进行。</w:t>
      </w:r>
    </w:p>
    <w:p>
      <w:pPr>
        <w:pStyle w:val="2"/>
        <w:spacing w:before="240" w:after="240"/>
        <w:rPr>
          <w:color w:val="auto"/>
        </w:rPr>
      </w:pPr>
      <w:r>
        <w:rPr>
          <w:rFonts w:hint="eastAsia"/>
          <w:color w:val="auto"/>
        </w:rPr>
        <w:t>6.4电性能</w:t>
      </w:r>
    </w:p>
    <w:p>
      <w:pPr>
        <w:pStyle w:val="3"/>
        <w:rPr>
          <w:color w:val="auto"/>
        </w:rPr>
      </w:pPr>
      <w:r>
        <w:rPr>
          <w:rFonts w:hint="eastAsia"/>
          <w:color w:val="auto"/>
        </w:rPr>
        <w:t>带材的导电率试验按GB/T 351或GB</w:t>
      </w:r>
      <w:r>
        <w:rPr>
          <w:color w:val="auto"/>
        </w:rPr>
        <w:t>/</w:t>
      </w:r>
      <w:r>
        <w:rPr>
          <w:rFonts w:hint="eastAsia"/>
          <w:color w:val="auto"/>
        </w:rPr>
        <w:t>T 32791的规定进行，带材导电率仲裁试验按GB/T 351的规定进行。</w:t>
      </w:r>
    </w:p>
    <w:p>
      <w:pPr>
        <w:pStyle w:val="2"/>
        <w:spacing w:before="240" w:after="240"/>
        <w:rPr>
          <w:color w:val="auto"/>
        </w:rPr>
      </w:pPr>
      <w:r>
        <w:rPr>
          <w:rFonts w:hint="eastAsia"/>
          <w:color w:val="auto"/>
        </w:rPr>
        <w:t>6.5  晶粒度</w:t>
      </w:r>
    </w:p>
    <w:p>
      <w:pPr>
        <w:pStyle w:val="3"/>
        <w:rPr>
          <w:color w:val="auto"/>
        </w:rPr>
      </w:pPr>
      <w:r>
        <w:rPr>
          <w:rFonts w:hint="eastAsia"/>
          <w:color w:val="auto"/>
        </w:rPr>
        <w:t>带材的晶粒度试验按YS/T 347的规定进行。</w:t>
      </w:r>
    </w:p>
    <w:p>
      <w:pPr>
        <w:pStyle w:val="2"/>
        <w:spacing w:before="240" w:after="240"/>
        <w:rPr>
          <w:color w:val="auto"/>
        </w:rPr>
      </w:pPr>
      <w:r>
        <w:rPr>
          <w:rFonts w:hint="eastAsia"/>
          <w:color w:val="auto"/>
        </w:rPr>
        <w:t>6.6  氢脆试验</w:t>
      </w:r>
    </w:p>
    <w:p>
      <w:pPr>
        <w:pStyle w:val="3"/>
        <w:rPr>
          <w:color w:val="auto"/>
        </w:rPr>
      </w:pPr>
      <w:r>
        <w:rPr>
          <w:rFonts w:hint="eastAsia"/>
          <w:color w:val="auto"/>
        </w:rPr>
        <w:t>带材的氢脆检验方法按GB/T 23606中金相检验法的规定进行。</w:t>
      </w:r>
    </w:p>
    <w:p>
      <w:pPr>
        <w:pStyle w:val="2"/>
        <w:spacing w:before="240" w:after="240"/>
        <w:rPr>
          <w:color w:val="auto"/>
        </w:rPr>
      </w:pPr>
      <w:r>
        <w:rPr>
          <w:rFonts w:hint="eastAsia"/>
          <w:color w:val="auto"/>
        </w:rPr>
        <w:t>6.7 表面粗糙度</w:t>
      </w:r>
    </w:p>
    <w:p>
      <w:pPr>
        <w:pStyle w:val="12"/>
        <w:snapToGrid w:val="0"/>
        <w:rPr>
          <w:color w:val="auto"/>
        </w:rPr>
      </w:pPr>
      <w:r>
        <w:rPr>
          <w:rFonts w:hint="eastAsia"/>
          <w:color w:val="auto"/>
        </w:rPr>
        <w:t>带材的表面粗糙度检验</w:t>
      </w:r>
      <w:r>
        <w:rPr>
          <w:rFonts w:hint="eastAsia" w:ascii="宋体" w:hAnsi="宋体"/>
          <w:color w:val="auto"/>
        </w:rPr>
        <w:t>按</w:t>
      </w:r>
      <w:r>
        <w:rPr>
          <w:rFonts w:hint="eastAsia" w:ascii="宋体" w:hAnsi="宋体"/>
          <w:color w:val="auto"/>
          <w:szCs w:val="21"/>
        </w:rPr>
        <w:t>T/CNIA 0184</w:t>
      </w:r>
      <w:r>
        <w:rPr>
          <w:rFonts w:hint="eastAsia" w:ascii="宋体" w:hAnsi="宋体"/>
          <w:color w:val="auto"/>
        </w:rPr>
        <w:t>的规定进行。</w:t>
      </w:r>
    </w:p>
    <w:p>
      <w:pPr>
        <w:pStyle w:val="2"/>
        <w:spacing w:before="240" w:after="240"/>
        <w:rPr>
          <w:color w:val="auto"/>
        </w:rPr>
      </w:pPr>
      <w:r>
        <w:rPr>
          <w:rFonts w:hint="eastAsia"/>
          <w:color w:val="auto"/>
        </w:rPr>
        <w:t>6.8 表面质量</w:t>
      </w:r>
    </w:p>
    <w:p>
      <w:pPr>
        <w:pStyle w:val="3"/>
        <w:rPr>
          <w:color w:val="auto"/>
        </w:rPr>
      </w:pPr>
      <w:r>
        <w:rPr>
          <w:rFonts w:hint="eastAsia"/>
          <w:color w:val="auto"/>
        </w:rPr>
        <w:t>带材的表面质量应用目视进行检验。</w:t>
      </w:r>
    </w:p>
    <w:p>
      <w:pPr>
        <w:pStyle w:val="2"/>
        <w:spacing w:before="240" w:after="240"/>
        <w:rPr>
          <w:color w:val="auto"/>
        </w:rPr>
      </w:pPr>
      <w:r>
        <w:rPr>
          <w:rFonts w:hint="eastAsia"/>
          <w:color w:val="auto"/>
        </w:rPr>
        <w:t>7  检验规则</w:t>
      </w:r>
    </w:p>
    <w:p>
      <w:pPr>
        <w:pStyle w:val="2"/>
        <w:spacing w:before="240" w:after="240"/>
        <w:rPr>
          <w:color w:val="auto"/>
        </w:rPr>
      </w:pPr>
      <w:r>
        <w:rPr>
          <w:rFonts w:hint="eastAsia"/>
          <w:color w:val="auto"/>
        </w:rPr>
        <w:t>7.1  检查和验收</w:t>
      </w:r>
    </w:p>
    <w:p>
      <w:pPr>
        <w:pStyle w:val="23"/>
        <w:ind w:firstLine="0" w:firstLineChars="0"/>
        <w:rPr>
          <w:color w:val="auto"/>
        </w:rPr>
      </w:pPr>
      <w:r>
        <w:rPr>
          <w:rFonts w:hint="eastAsia" w:ascii="黑体" w:eastAsia="黑体"/>
          <w:color w:val="auto"/>
        </w:rPr>
        <w:t>7.1.1</w:t>
      </w:r>
      <w:r>
        <w:rPr>
          <w:rFonts w:hint="eastAsia"/>
          <w:color w:val="auto"/>
        </w:rPr>
        <w:t xml:space="preserve">  </w:t>
      </w:r>
      <w:r>
        <w:rPr>
          <w:color w:val="auto"/>
        </w:rPr>
        <w:t>产品由供方或第三方进行检验，产品质量</w:t>
      </w:r>
      <w:r>
        <w:rPr>
          <w:rFonts w:hint="eastAsia"/>
          <w:color w:val="auto"/>
          <w:lang w:val="en-US" w:eastAsia="zh-CN"/>
        </w:rPr>
        <w:t>应</w:t>
      </w:r>
      <w:r>
        <w:rPr>
          <w:color w:val="auto"/>
        </w:rPr>
        <w:t>符合本文件及订货单的规定。</w:t>
      </w:r>
    </w:p>
    <w:p>
      <w:pPr>
        <w:pStyle w:val="23"/>
        <w:ind w:firstLine="0" w:firstLineChars="0"/>
        <w:rPr>
          <w:color w:val="auto"/>
        </w:rPr>
      </w:pPr>
      <w:r>
        <w:rPr>
          <w:rFonts w:hint="eastAsia" w:ascii="黑体" w:eastAsia="黑体"/>
          <w:color w:val="auto"/>
        </w:rPr>
        <w:t xml:space="preserve">7.1.2 </w:t>
      </w:r>
      <w:r>
        <w:rPr>
          <w:rFonts w:hint="eastAsia"/>
          <w:color w:val="auto"/>
        </w:rPr>
        <w:t xml:space="preserve"> </w:t>
      </w:r>
      <w:r>
        <w:rPr>
          <w:color w:val="auto"/>
        </w:rPr>
        <w:t>需方可对收到的产品按本文件的规定进行检验。如检验结果与本文件</w:t>
      </w:r>
      <w:r>
        <w:rPr>
          <w:rFonts w:hint="eastAsia"/>
          <w:color w:val="auto"/>
        </w:rPr>
        <w:t>或</w:t>
      </w:r>
      <w:r>
        <w:rPr>
          <w:color w:val="auto"/>
        </w:rPr>
        <w:t>订货单的规定不符时，应以书面形式向供方提出，由供需双方协商解决。属于</w:t>
      </w:r>
      <w:r>
        <w:rPr>
          <w:rFonts w:hint="eastAsia"/>
          <w:color w:val="auto"/>
        </w:rPr>
        <w:t>表面</w:t>
      </w:r>
      <w:r>
        <w:rPr>
          <w:color w:val="auto"/>
        </w:rPr>
        <w:t>质量或外形尺寸的异议，应在收到产品之日起</w:t>
      </w:r>
      <w:r>
        <w:rPr>
          <w:rFonts w:hint="eastAsia"/>
          <w:color w:val="auto"/>
        </w:rPr>
        <w:t>一个月</w:t>
      </w:r>
      <w:r>
        <w:rPr>
          <w:color w:val="auto"/>
        </w:rPr>
        <w:t>内提出；属于</w:t>
      </w:r>
      <w:r>
        <w:rPr>
          <w:rFonts w:hint="eastAsia"/>
          <w:color w:val="auto"/>
        </w:rPr>
        <w:t>其他性能</w:t>
      </w:r>
      <w:r>
        <w:rPr>
          <w:color w:val="auto"/>
        </w:rPr>
        <w:t>的异议，应在收到产品之日起</w:t>
      </w:r>
      <w:r>
        <w:rPr>
          <w:rFonts w:hint="eastAsia"/>
          <w:color w:val="auto"/>
        </w:rPr>
        <w:t>三个月</w:t>
      </w:r>
      <w:r>
        <w:rPr>
          <w:color w:val="auto"/>
        </w:rPr>
        <w:t>内提出。如需仲裁，应由供需双方在需方共同取样或协商确定。</w:t>
      </w:r>
    </w:p>
    <w:p>
      <w:pPr>
        <w:pStyle w:val="2"/>
        <w:spacing w:before="240" w:after="240"/>
        <w:rPr>
          <w:color w:val="auto"/>
        </w:rPr>
      </w:pPr>
      <w:r>
        <w:rPr>
          <w:rFonts w:hint="eastAsia"/>
          <w:color w:val="auto"/>
        </w:rPr>
        <w:t>7.2  组批</w:t>
      </w:r>
    </w:p>
    <w:p>
      <w:pPr>
        <w:pStyle w:val="23"/>
        <w:rPr>
          <w:color w:val="auto"/>
        </w:rPr>
      </w:pPr>
      <w:r>
        <w:rPr>
          <w:rFonts w:hint="eastAsia"/>
          <w:color w:val="auto"/>
        </w:rPr>
        <w:t>产品应成批提交验收，每批应由同一牌号、状态和规格组成。每批重量应不大于5000</w:t>
      </w:r>
      <w:r>
        <w:rPr>
          <w:color w:val="auto"/>
        </w:rPr>
        <w:t>kg（</w:t>
      </w:r>
      <w:r>
        <w:rPr>
          <w:rFonts w:hint="eastAsia"/>
          <w:color w:val="auto"/>
        </w:rPr>
        <w:t>如为同一熔次</w:t>
      </w:r>
      <w:r>
        <w:rPr>
          <w:color w:val="auto"/>
        </w:rPr>
        <w:t>，</w:t>
      </w:r>
      <w:r>
        <w:rPr>
          <w:rFonts w:hint="eastAsia"/>
          <w:color w:val="auto"/>
        </w:rPr>
        <w:t>可不限定组批量</w:t>
      </w:r>
      <w:r>
        <w:rPr>
          <w:color w:val="auto"/>
        </w:rPr>
        <w:t>）</w:t>
      </w:r>
      <w:r>
        <w:rPr>
          <w:rFonts w:hint="eastAsia"/>
          <w:color w:val="auto"/>
        </w:rPr>
        <w:t>。</w:t>
      </w:r>
    </w:p>
    <w:p>
      <w:pPr>
        <w:pStyle w:val="2"/>
        <w:spacing w:before="240" w:after="240"/>
        <w:rPr>
          <w:color w:val="auto"/>
        </w:rPr>
      </w:pPr>
      <w:r>
        <w:rPr>
          <w:rFonts w:hint="eastAsia"/>
          <w:color w:val="auto"/>
        </w:rPr>
        <w:t>7.3  检验项目</w:t>
      </w:r>
    </w:p>
    <w:p>
      <w:pPr>
        <w:spacing w:line="240" w:lineRule="auto"/>
        <w:ind w:left="420"/>
        <w:rPr>
          <w:rFonts w:ascii="宋体" w:hAnsi="宋体" w:cs="宋体"/>
          <w:color w:val="auto"/>
          <w:sz w:val="21"/>
          <w:szCs w:val="21"/>
        </w:rPr>
      </w:pPr>
      <w:r>
        <w:rPr>
          <w:rFonts w:hint="eastAsia"/>
          <w:color w:val="auto"/>
          <w:sz w:val="21"/>
          <w:szCs w:val="21"/>
        </w:rPr>
        <w:t>板材</w:t>
      </w:r>
      <w:r>
        <w:rPr>
          <w:rFonts w:hint="eastAsia" w:ascii="宋体" w:hAnsi="宋体" w:cs="宋体"/>
          <w:color w:val="auto"/>
          <w:sz w:val="21"/>
          <w:szCs w:val="21"/>
        </w:rPr>
        <w:t>的检验项目分为出厂检验项目和型式检验项目，见表6。</w:t>
      </w:r>
    </w:p>
    <w:p>
      <w:pPr>
        <w:pStyle w:val="12"/>
        <w:spacing w:beforeLines="100" w:afterLines="100"/>
        <w:jc w:val="center"/>
        <w:rPr>
          <w:rFonts w:ascii="黑体" w:eastAsia="黑体" w:hAnsiTheme="minorEastAsia"/>
          <w:color w:val="auto"/>
          <w:szCs w:val="21"/>
        </w:rPr>
      </w:pPr>
      <w:r>
        <w:rPr>
          <w:rFonts w:hint="eastAsia" w:ascii="黑体" w:eastAsia="黑体" w:hAnsiTheme="minorEastAsia"/>
          <w:color w:val="auto"/>
          <w:szCs w:val="21"/>
        </w:rPr>
        <w:t xml:space="preserve">表6  </w:t>
      </w:r>
      <w:r>
        <w:rPr>
          <w:rFonts w:hint="eastAsia" w:ascii="黑体" w:hAnsi="宋体" w:eastAsia="黑体"/>
          <w:color w:val="auto"/>
        </w:rPr>
        <w:t>检验</w:t>
      </w:r>
      <w:r>
        <w:rPr>
          <w:rFonts w:hint="eastAsia" w:ascii="黑体" w:eastAsia="黑体" w:hAnsiTheme="minorEastAsia"/>
          <w:color w:val="auto"/>
          <w:szCs w:val="21"/>
        </w:rPr>
        <w:t>项目</w:t>
      </w:r>
    </w:p>
    <w:tbl>
      <w:tblPr>
        <w:tblStyle w:val="27"/>
        <w:tblW w:w="0" w:type="auto"/>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2075"/>
        <w:gridCol w:w="3114"/>
        <w:gridCol w:w="3110"/>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PrEx>
        <w:trPr>
          <w:trHeight w:val="340" w:hRule="atLeast"/>
          <w:jc w:val="center"/>
        </w:trPr>
        <w:tc>
          <w:tcPr>
            <w:tcW w:w="3190" w:type="dxa"/>
            <w:gridSpan w:val="2"/>
            <w:tcBorders>
              <w:bottom w:val="single" w:color="000000" w:sz="12" w:space="0"/>
              <w:right w:val="single" w:color="000000" w:sz="4" w:space="0"/>
            </w:tcBorders>
            <w:vAlign w:val="center"/>
          </w:tcPr>
          <w:p>
            <w:pPr>
              <w:spacing w:line="24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检验项目</w:t>
            </w:r>
          </w:p>
        </w:tc>
        <w:tc>
          <w:tcPr>
            <w:tcW w:w="3190" w:type="dxa"/>
            <w:tcBorders>
              <w:left w:val="single" w:color="000000" w:sz="4" w:space="0"/>
              <w:bottom w:val="single" w:color="000000" w:sz="12" w:space="0"/>
              <w:right w:val="single" w:color="000000" w:sz="4" w:space="0"/>
            </w:tcBorders>
            <w:vAlign w:val="center"/>
          </w:tcPr>
          <w:p>
            <w:pPr>
              <w:spacing w:line="24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出厂检验项目</w:t>
            </w:r>
          </w:p>
        </w:tc>
        <w:tc>
          <w:tcPr>
            <w:tcW w:w="3191" w:type="dxa"/>
            <w:tcBorders>
              <w:left w:val="single" w:color="000000" w:sz="4" w:space="0"/>
              <w:bottom w:val="single" w:color="000000" w:sz="12" w:space="0"/>
            </w:tcBorders>
            <w:vAlign w:val="center"/>
          </w:tcPr>
          <w:p>
            <w:pPr>
              <w:spacing w:line="24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型式检验项目</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0" w:type="dxa"/>
            <w:gridSpan w:val="2"/>
            <w:tcBorders>
              <w:top w:val="single" w:color="000000" w:sz="12" w:space="0"/>
              <w:tl2br w:val="nil"/>
              <w:tr2bl w:val="nil"/>
            </w:tcBorders>
            <w:vAlign w:val="center"/>
          </w:tcPr>
          <w:p>
            <w:pPr>
              <w:spacing w:line="24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化学成分</w:t>
            </w:r>
          </w:p>
        </w:tc>
        <w:tc>
          <w:tcPr>
            <w:tcW w:w="3190" w:type="dxa"/>
            <w:tcBorders>
              <w:top w:val="single" w:color="000000" w:sz="12" w:space="0"/>
              <w:tl2br w:val="nil"/>
              <w:tr2bl w:val="nil"/>
            </w:tcBorders>
            <w:vAlign w:val="center"/>
          </w:tcPr>
          <w:p>
            <w:pPr>
              <w:spacing w:line="240" w:lineRule="auto"/>
              <w:jc w:val="center"/>
              <w:rPr>
                <w:color w:val="auto"/>
              </w:rPr>
            </w:pPr>
            <w:r>
              <w:rPr>
                <w:rFonts w:hint="eastAsia" w:asciiTheme="minorEastAsia" w:hAnsiTheme="minorEastAsia" w:eastAsiaTheme="minorEastAsia"/>
                <w:color w:val="auto"/>
                <w:sz w:val="18"/>
                <w:szCs w:val="18"/>
              </w:rPr>
              <w:t>√</w:t>
            </w:r>
          </w:p>
        </w:tc>
        <w:tc>
          <w:tcPr>
            <w:tcW w:w="3191" w:type="dxa"/>
            <w:tcBorders>
              <w:top w:val="single" w:color="000000" w:sz="12" w:space="0"/>
              <w:tl2br w:val="nil"/>
              <w:tr2bl w:val="nil"/>
            </w:tcBorders>
            <w:vAlign w:val="center"/>
          </w:tcPr>
          <w:p>
            <w:pPr>
              <w:spacing w:line="240" w:lineRule="auto"/>
              <w:jc w:val="center"/>
              <w:rPr>
                <w:color w:val="auto"/>
              </w:rPr>
            </w:pPr>
            <w:r>
              <w:rPr>
                <w:rFonts w:hint="eastAsia" w:asciiTheme="minorEastAsia" w:hAnsiTheme="minorEastAsia" w:eastAsiaTheme="minorEastAsia"/>
                <w:color w:val="auto"/>
                <w:sz w:val="18"/>
                <w:szCs w:val="18"/>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0" w:type="dxa"/>
            <w:gridSpan w:val="2"/>
            <w:tcBorders>
              <w:tl2br w:val="nil"/>
              <w:tr2bl w:val="nil"/>
            </w:tcBorders>
            <w:vAlign w:val="center"/>
          </w:tcPr>
          <w:p>
            <w:pPr>
              <w:spacing w:line="24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外形尺寸及其允许偏差</w:t>
            </w:r>
          </w:p>
        </w:tc>
        <w:tc>
          <w:tcPr>
            <w:tcW w:w="3190" w:type="dxa"/>
            <w:tcBorders>
              <w:tl2br w:val="nil"/>
              <w:tr2bl w:val="nil"/>
            </w:tcBorders>
            <w:vAlign w:val="center"/>
          </w:tcPr>
          <w:p>
            <w:pPr>
              <w:spacing w:line="240" w:lineRule="auto"/>
              <w:jc w:val="center"/>
              <w:rPr>
                <w:color w:val="auto"/>
              </w:rPr>
            </w:pPr>
            <w:r>
              <w:rPr>
                <w:rFonts w:hint="eastAsia" w:asciiTheme="minorEastAsia" w:hAnsiTheme="minorEastAsia" w:eastAsiaTheme="minorEastAsia"/>
                <w:color w:val="auto"/>
                <w:sz w:val="18"/>
                <w:szCs w:val="18"/>
              </w:rPr>
              <w:t>√</w:t>
            </w:r>
          </w:p>
        </w:tc>
        <w:tc>
          <w:tcPr>
            <w:tcW w:w="3191" w:type="dxa"/>
            <w:tcBorders>
              <w:tl2br w:val="nil"/>
              <w:tr2bl w:val="nil"/>
            </w:tcBorders>
            <w:vAlign w:val="center"/>
          </w:tcPr>
          <w:p>
            <w:pPr>
              <w:spacing w:line="240" w:lineRule="auto"/>
              <w:jc w:val="center"/>
              <w:rPr>
                <w:color w:val="auto"/>
              </w:rPr>
            </w:pPr>
            <w:r>
              <w:rPr>
                <w:rFonts w:hint="eastAsia" w:asciiTheme="minorEastAsia" w:hAnsiTheme="minorEastAsia" w:eastAsiaTheme="minorEastAsia"/>
                <w:color w:val="auto"/>
                <w:sz w:val="18"/>
                <w:szCs w:val="18"/>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5" w:type="dxa"/>
            <w:vMerge w:val="restart"/>
            <w:tcBorders>
              <w:tl2br w:val="nil"/>
              <w:tr2bl w:val="nil"/>
            </w:tcBorders>
            <w:vAlign w:val="center"/>
          </w:tcPr>
          <w:p>
            <w:pPr>
              <w:spacing w:line="240" w:lineRule="auto"/>
              <w:jc w:val="center"/>
              <w:rPr>
                <w:rFonts w:ascii="宋体" w:hAnsi="宋体" w:cs="宋体"/>
                <w:color w:val="auto"/>
                <w:sz w:val="18"/>
                <w:szCs w:val="18"/>
                <w:vertAlign w:val="superscript"/>
              </w:rPr>
            </w:pPr>
            <w:r>
              <w:rPr>
                <w:rFonts w:hint="eastAsia" w:ascii="宋体" w:hAnsi="宋体" w:cs="宋体"/>
                <w:color w:val="auto"/>
                <w:sz w:val="18"/>
                <w:szCs w:val="18"/>
              </w:rPr>
              <w:t>力学性能</w:t>
            </w:r>
            <w:r>
              <w:rPr>
                <w:rFonts w:hint="eastAsia" w:ascii="宋体" w:hAnsi="宋体" w:cs="宋体"/>
                <w:color w:val="auto"/>
                <w:sz w:val="18"/>
                <w:szCs w:val="18"/>
                <w:vertAlign w:val="superscript"/>
              </w:rPr>
              <w:t>a</w:t>
            </w:r>
          </w:p>
        </w:tc>
        <w:tc>
          <w:tcPr>
            <w:tcW w:w="2125" w:type="dxa"/>
            <w:tcBorders>
              <w:tl2br w:val="nil"/>
              <w:tr2bl w:val="nil"/>
            </w:tcBorders>
            <w:vAlign w:val="center"/>
          </w:tcPr>
          <w:p>
            <w:pPr>
              <w:spacing w:line="240" w:lineRule="auto"/>
              <w:jc w:val="center"/>
              <w:rPr>
                <w:rFonts w:ascii="宋体" w:hAnsi="宋体" w:cs="宋体"/>
                <w:color w:val="auto"/>
                <w:sz w:val="18"/>
                <w:szCs w:val="18"/>
              </w:rPr>
            </w:pPr>
            <w:r>
              <w:rPr>
                <w:rFonts w:hint="eastAsia" w:ascii="宋体" w:hAnsi="宋体" w:cs="宋体"/>
                <w:color w:val="auto"/>
                <w:sz w:val="18"/>
                <w:szCs w:val="18"/>
              </w:rPr>
              <w:t>拉伸试验</w:t>
            </w:r>
          </w:p>
        </w:tc>
        <w:tc>
          <w:tcPr>
            <w:tcW w:w="3190" w:type="dxa"/>
            <w:vMerge w:val="restart"/>
            <w:tcBorders>
              <w:tl2br w:val="nil"/>
              <w:tr2bl w:val="nil"/>
            </w:tcBorders>
            <w:vAlign w:val="center"/>
          </w:tcPr>
          <w:p>
            <w:pPr>
              <w:spacing w:line="240" w:lineRule="auto"/>
              <w:jc w:val="center"/>
              <w:rPr>
                <w:color w:val="auto"/>
              </w:rPr>
            </w:pPr>
            <w:r>
              <w:rPr>
                <w:rFonts w:hint="eastAsia" w:ascii="宋体" w:hAnsi="宋体" w:cs="宋体"/>
                <w:color w:val="auto"/>
                <w:sz w:val="18"/>
                <w:szCs w:val="18"/>
              </w:rPr>
              <w:t>√（二选一）</w:t>
            </w:r>
          </w:p>
        </w:tc>
        <w:tc>
          <w:tcPr>
            <w:tcW w:w="3191" w:type="dxa"/>
            <w:tcBorders>
              <w:tl2br w:val="nil"/>
              <w:tr2bl w:val="nil"/>
            </w:tcBorders>
            <w:vAlign w:val="center"/>
          </w:tcPr>
          <w:p>
            <w:pPr>
              <w:spacing w:line="240" w:lineRule="auto"/>
              <w:jc w:val="center"/>
              <w:rPr>
                <w:color w:val="auto"/>
              </w:rPr>
            </w:pPr>
            <w:r>
              <w:rPr>
                <w:rFonts w:hint="eastAsia" w:asciiTheme="minorEastAsia" w:hAnsiTheme="minorEastAsia" w:eastAsiaTheme="minorEastAsia"/>
                <w:color w:val="auto"/>
                <w:sz w:val="18"/>
                <w:szCs w:val="18"/>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5" w:type="dxa"/>
            <w:vMerge w:val="continue"/>
            <w:tcBorders>
              <w:tl2br w:val="nil"/>
              <w:tr2bl w:val="nil"/>
            </w:tcBorders>
            <w:vAlign w:val="center"/>
          </w:tcPr>
          <w:p>
            <w:pPr>
              <w:spacing w:line="240" w:lineRule="auto"/>
              <w:jc w:val="center"/>
              <w:rPr>
                <w:rFonts w:ascii="宋体" w:hAnsi="宋体" w:cs="宋体"/>
                <w:color w:val="auto"/>
                <w:sz w:val="18"/>
                <w:szCs w:val="18"/>
              </w:rPr>
            </w:pPr>
          </w:p>
        </w:tc>
        <w:tc>
          <w:tcPr>
            <w:tcW w:w="2125" w:type="dxa"/>
            <w:tcBorders>
              <w:tl2br w:val="nil"/>
              <w:tr2bl w:val="nil"/>
            </w:tcBorders>
            <w:vAlign w:val="center"/>
          </w:tcPr>
          <w:p>
            <w:pPr>
              <w:spacing w:line="240" w:lineRule="auto"/>
              <w:jc w:val="center"/>
              <w:rPr>
                <w:rFonts w:ascii="宋体" w:hAnsi="宋体" w:cs="宋体"/>
                <w:color w:val="auto"/>
                <w:sz w:val="18"/>
                <w:szCs w:val="18"/>
              </w:rPr>
            </w:pPr>
            <w:r>
              <w:rPr>
                <w:rFonts w:hint="eastAsia" w:ascii="宋体" w:hAnsi="宋体" w:cs="宋体"/>
                <w:color w:val="auto"/>
                <w:sz w:val="18"/>
                <w:szCs w:val="18"/>
              </w:rPr>
              <w:t>硬度试验</w:t>
            </w:r>
          </w:p>
        </w:tc>
        <w:tc>
          <w:tcPr>
            <w:tcW w:w="3190" w:type="dxa"/>
            <w:vMerge w:val="continue"/>
            <w:tcBorders>
              <w:tl2br w:val="nil"/>
              <w:tr2bl w:val="nil"/>
            </w:tcBorders>
            <w:vAlign w:val="center"/>
          </w:tcPr>
          <w:p>
            <w:pPr>
              <w:spacing w:line="240" w:lineRule="auto"/>
              <w:jc w:val="center"/>
              <w:rPr>
                <w:rFonts w:asciiTheme="minorEastAsia" w:hAnsiTheme="minorEastAsia" w:eastAsiaTheme="minorEastAsia"/>
                <w:color w:val="auto"/>
                <w:sz w:val="18"/>
                <w:szCs w:val="18"/>
              </w:rPr>
            </w:pPr>
          </w:p>
        </w:tc>
        <w:tc>
          <w:tcPr>
            <w:tcW w:w="3191" w:type="dxa"/>
            <w:tcBorders>
              <w:tl2br w:val="nil"/>
              <w:tr2bl w:val="nil"/>
            </w:tcBorders>
            <w:vAlign w:val="center"/>
          </w:tcPr>
          <w:p>
            <w:pPr>
              <w:spacing w:line="24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0" w:type="dxa"/>
            <w:gridSpan w:val="2"/>
            <w:tcBorders>
              <w:tl2br w:val="nil"/>
              <w:tr2bl w:val="nil"/>
            </w:tcBorders>
            <w:vAlign w:val="center"/>
          </w:tcPr>
          <w:p>
            <w:pPr>
              <w:spacing w:line="240" w:lineRule="auto"/>
              <w:jc w:val="center"/>
              <w:rPr>
                <w:rFonts w:ascii="宋体" w:hAnsi="宋体"/>
                <w:color w:val="auto"/>
                <w:sz w:val="18"/>
                <w:szCs w:val="21"/>
              </w:rPr>
            </w:pPr>
            <w:r>
              <w:rPr>
                <w:rFonts w:hint="eastAsia" w:ascii="宋体" w:hAnsi="宋体"/>
                <w:color w:val="auto"/>
                <w:sz w:val="18"/>
                <w:szCs w:val="21"/>
              </w:rPr>
              <w:t>电性能</w:t>
            </w:r>
          </w:p>
        </w:tc>
        <w:tc>
          <w:tcPr>
            <w:tcW w:w="3190" w:type="dxa"/>
            <w:tcBorders>
              <w:tl2br w:val="nil"/>
              <w:tr2bl w:val="nil"/>
            </w:tcBorders>
            <w:vAlign w:val="center"/>
          </w:tcPr>
          <w:p>
            <w:pPr>
              <w:spacing w:line="240" w:lineRule="auto"/>
              <w:jc w:val="center"/>
              <w:rPr>
                <w:color w:val="auto"/>
              </w:rPr>
            </w:pPr>
            <w:r>
              <w:rPr>
                <w:rFonts w:hint="eastAsia" w:asciiTheme="minorEastAsia" w:hAnsiTheme="minorEastAsia" w:eastAsiaTheme="minorEastAsia"/>
                <w:color w:val="auto"/>
                <w:sz w:val="18"/>
                <w:szCs w:val="18"/>
              </w:rPr>
              <w:t>√</w:t>
            </w:r>
          </w:p>
        </w:tc>
        <w:tc>
          <w:tcPr>
            <w:tcW w:w="3191" w:type="dxa"/>
            <w:tcBorders>
              <w:tl2br w:val="nil"/>
              <w:tr2bl w:val="nil"/>
            </w:tcBorders>
            <w:vAlign w:val="center"/>
          </w:tcPr>
          <w:p>
            <w:pPr>
              <w:spacing w:line="240" w:lineRule="auto"/>
              <w:jc w:val="center"/>
              <w:rPr>
                <w:color w:val="auto"/>
              </w:rPr>
            </w:pPr>
            <w:r>
              <w:rPr>
                <w:rFonts w:hint="eastAsia" w:asciiTheme="minorEastAsia" w:hAnsiTheme="minorEastAsia" w:eastAsiaTheme="minorEastAsia"/>
                <w:color w:val="auto"/>
                <w:sz w:val="18"/>
                <w:szCs w:val="18"/>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0" w:type="dxa"/>
            <w:gridSpan w:val="2"/>
            <w:tcBorders>
              <w:tl2br w:val="nil"/>
              <w:tr2bl w:val="nil"/>
            </w:tcBorders>
            <w:vAlign w:val="center"/>
          </w:tcPr>
          <w:p>
            <w:pPr>
              <w:spacing w:line="240" w:lineRule="auto"/>
              <w:jc w:val="center"/>
              <w:rPr>
                <w:rFonts w:ascii="宋体" w:hAnsi="宋体"/>
                <w:color w:val="auto"/>
                <w:sz w:val="18"/>
                <w:szCs w:val="21"/>
              </w:rPr>
            </w:pPr>
            <w:r>
              <w:rPr>
                <w:rFonts w:hint="eastAsia" w:ascii="宋体" w:hAnsi="宋体"/>
                <w:color w:val="auto"/>
                <w:sz w:val="18"/>
                <w:szCs w:val="21"/>
              </w:rPr>
              <w:t>晶粒度</w:t>
            </w:r>
          </w:p>
        </w:tc>
        <w:tc>
          <w:tcPr>
            <w:tcW w:w="3190" w:type="dxa"/>
            <w:tcBorders>
              <w:tl2br w:val="nil"/>
              <w:tr2bl w:val="nil"/>
            </w:tcBorders>
            <w:vAlign w:val="center"/>
          </w:tcPr>
          <w:p>
            <w:pPr>
              <w:spacing w:line="240" w:lineRule="auto"/>
              <w:jc w:val="center"/>
              <w:rPr>
                <w:color w:val="auto"/>
              </w:rPr>
            </w:pPr>
            <w:r>
              <w:rPr>
                <w:rFonts w:hint="eastAsia" w:asciiTheme="minorEastAsia" w:hAnsiTheme="minorEastAsia" w:eastAsiaTheme="minorEastAsia"/>
                <w:color w:val="auto"/>
                <w:sz w:val="18"/>
                <w:szCs w:val="18"/>
                <w:highlight w:val="none"/>
              </w:rPr>
              <w:t>△</w:t>
            </w:r>
          </w:p>
        </w:tc>
        <w:tc>
          <w:tcPr>
            <w:tcW w:w="3191" w:type="dxa"/>
            <w:tcBorders>
              <w:tl2br w:val="nil"/>
              <w:tr2bl w:val="nil"/>
            </w:tcBorders>
            <w:vAlign w:val="center"/>
          </w:tcPr>
          <w:p>
            <w:pPr>
              <w:spacing w:line="240" w:lineRule="auto"/>
              <w:jc w:val="center"/>
              <w:rPr>
                <w:color w:val="auto"/>
              </w:rPr>
            </w:pPr>
            <w:r>
              <w:rPr>
                <w:rFonts w:hint="eastAsia" w:asciiTheme="minorEastAsia" w:hAnsiTheme="minorEastAsia" w:eastAsiaTheme="minorEastAsia"/>
                <w:color w:val="auto"/>
                <w:sz w:val="18"/>
                <w:szCs w:val="18"/>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0" w:type="dxa"/>
            <w:gridSpan w:val="2"/>
            <w:tcBorders>
              <w:tl2br w:val="nil"/>
              <w:tr2bl w:val="nil"/>
            </w:tcBorders>
            <w:vAlign w:val="center"/>
          </w:tcPr>
          <w:p>
            <w:pPr>
              <w:spacing w:line="240" w:lineRule="auto"/>
              <w:jc w:val="center"/>
              <w:rPr>
                <w:rFonts w:ascii="宋体" w:hAnsi="宋体"/>
                <w:strike/>
                <w:color w:val="auto"/>
                <w:sz w:val="18"/>
                <w:szCs w:val="18"/>
                <w:highlight w:val="yellow"/>
              </w:rPr>
            </w:pPr>
            <w:r>
              <w:rPr>
                <w:rFonts w:hint="eastAsia" w:ascii="宋体" w:hAnsi="宋体" w:cs="宋体"/>
                <w:color w:val="auto"/>
                <w:sz w:val="18"/>
                <w:szCs w:val="18"/>
              </w:rPr>
              <w:t>氢脆试验</w:t>
            </w:r>
          </w:p>
        </w:tc>
        <w:tc>
          <w:tcPr>
            <w:tcW w:w="3190" w:type="dxa"/>
            <w:tcBorders>
              <w:tl2br w:val="nil"/>
              <w:tr2bl w:val="nil"/>
            </w:tcBorders>
            <w:vAlign w:val="center"/>
          </w:tcPr>
          <w:p>
            <w:pPr>
              <w:spacing w:line="240" w:lineRule="auto"/>
              <w:jc w:val="center"/>
              <w:rPr>
                <w:strike/>
                <w:color w:val="auto"/>
                <w:sz w:val="18"/>
                <w:szCs w:val="18"/>
              </w:rPr>
            </w:pPr>
            <w:r>
              <w:rPr>
                <w:rFonts w:hint="eastAsia" w:asciiTheme="minorEastAsia" w:hAnsiTheme="minorEastAsia" w:eastAsiaTheme="minorEastAsia"/>
                <w:color w:val="auto"/>
                <w:sz w:val="18"/>
                <w:szCs w:val="18"/>
              </w:rPr>
              <w:t>△</w:t>
            </w:r>
          </w:p>
        </w:tc>
        <w:tc>
          <w:tcPr>
            <w:tcW w:w="3191" w:type="dxa"/>
            <w:tcBorders>
              <w:tl2br w:val="nil"/>
              <w:tr2bl w:val="nil"/>
            </w:tcBorders>
            <w:vAlign w:val="center"/>
          </w:tcPr>
          <w:p>
            <w:pPr>
              <w:spacing w:line="240" w:lineRule="auto"/>
              <w:jc w:val="center"/>
              <w:rPr>
                <w:color w:val="auto"/>
                <w:sz w:val="18"/>
                <w:szCs w:val="18"/>
              </w:rPr>
            </w:pPr>
            <w:r>
              <w:rPr>
                <w:rFonts w:hint="eastAsia" w:asciiTheme="minorEastAsia" w:hAnsiTheme="minorEastAsia" w:eastAsiaTheme="minorEastAsia"/>
                <w:color w:val="auto"/>
                <w:sz w:val="18"/>
                <w:szCs w:val="18"/>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0" w:type="dxa"/>
            <w:gridSpan w:val="2"/>
            <w:tcBorders>
              <w:tl2br w:val="nil"/>
              <w:tr2bl w:val="nil"/>
            </w:tcBorders>
            <w:vAlign w:val="center"/>
          </w:tcPr>
          <w:p>
            <w:pPr>
              <w:spacing w:line="24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表面粗糙度</w:t>
            </w:r>
          </w:p>
        </w:tc>
        <w:tc>
          <w:tcPr>
            <w:tcW w:w="3190" w:type="dxa"/>
            <w:tcBorders>
              <w:tl2br w:val="nil"/>
              <w:tr2bl w:val="nil"/>
            </w:tcBorders>
            <w:vAlign w:val="center"/>
          </w:tcPr>
          <w:p>
            <w:pPr>
              <w:spacing w:line="24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p>
        </w:tc>
        <w:tc>
          <w:tcPr>
            <w:tcW w:w="3191" w:type="dxa"/>
            <w:tcBorders>
              <w:tl2br w:val="nil"/>
              <w:tr2bl w:val="nil"/>
            </w:tcBorders>
            <w:vAlign w:val="center"/>
          </w:tcPr>
          <w:p>
            <w:pPr>
              <w:spacing w:line="24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0" w:type="dxa"/>
            <w:gridSpan w:val="2"/>
            <w:tcBorders>
              <w:tl2br w:val="nil"/>
              <w:tr2bl w:val="nil"/>
            </w:tcBorders>
            <w:vAlign w:val="center"/>
          </w:tcPr>
          <w:p>
            <w:pPr>
              <w:spacing w:line="24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表面质量</w:t>
            </w:r>
          </w:p>
        </w:tc>
        <w:tc>
          <w:tcPr>
            <w:tcW w:w="3190" w:type="dxa"/>
            <w:tcBorders>
              <w:tl2br w:val="nil"/>
              <w:tr2bl w:val="nil"/>
            </w:tcBorders>
            <w:vAlign w:val="center"/>
          </w:tcPr>
          <w:p>
            <w:pPr>
              <w:spacing w:line="240" w:lineRule="auto"/>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p>
        </w:tc>
        <w:tc>
          <w:tcPr>
            <w:tcW w:w="3191" w:type="dxa"/>
            <w:tcBorders>
              <w:tl2br w:val="nil"/>
              <w:tr2bl w:val="nil"/>
            </w:tcBorders>
            <w:vAlign w:val="center"/>
          </w:tcPr>
          <w:p>
            <w:pPr>
              <w:spacing w:line="240" w:lineRule="auto"/>
              <w:jc w:val="center"/>
              <w:rPr>
                <w:color w:val="auto"/>
              </w:rPr>
            </w:pPr>
            <w:r>
              <w:rPr>
                <w:rFonts w:hint="eastAsia" w:asciiTheme="minorEastAsia" w:hAnsiTheme="minorEastAsia" w:eastAsiaTheme="minorEastAsia"/>
                <w:color w:val="auto"/>
                <w:sz w:val="18"/>
                <w:szCs w:val="18"/>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1" w:type="dxa"/>
            <w:gridSpan w:val="4"/>
            <w:tcBorders>
              <w:bottom w:val="single" w:color="auto" w:sz="12" w:space="0"/>
              <w:tl2br w:val="nil"/>
              <w:tr2bl w:val="nil"/>
            </w:tcBorders>
            <w:vAlign w:val="center"/>
          </w:tcPr>
          <w:p>
            <w:pPr>
              <w:spacing w:line="240" w:lineRule="auto"/>
              <w:ind w:firstLine="360" w:firstLineChars="200"/>
              <w:rPr>
                <w:rFonts w:asciiTheme="minorEastAsia" w:hAnsiTheme="minorEastAsia" w:eastAsiaTheme="minorEastAsia"/>
                <w:color w:val="auto"/>
                <w:sz w:val="18"/>
                <w:szCs w:val="18"/>
              </w:rPr>
            </w:pPr>
            <w:r>
              <w:rPr>
                <w:rFonts w:hint="eastAsia" w:ascii="黑体" w:hAnsi="黑体" w:eastAsia="黑体" w:cs="黑体"/>
                <w:color w:val="auto"/>
                <w:sz w:val="18"/>
                <w:szCs w:val="18"/>
              </w:rPr>
              <w:t>注</w:t>
            </w:r>
            <w:r>
              <w:rPr>
                <w:rFonts w:hAnsi="宋体"/>
                <w:color w:val="auto"/>
                <w:sz w:val="18"/>
                <w:szCs w:val="18"/>
              </w:rPr>
              <w:t>：表中</w:t>
            </w:r>
            <w:r>
              <w:rPr>
                <w:color w:val="auto"/>
                <w:sz w:val="18"/>
                <w:szCs w:val="18"/>
              </w:rPr>
              <w:t>“√”</w:t>
            </w:r>
            <w:r>
              <w:rPr>
                <w:rFonts w:hAnsi="宋体"/>
                <w:color w:val="auto"/>
                <w:sz w:val="18"/>
                <w:szCs w:val="18"/>
              </w:rPr>
              <w:t>表示</w:t>
            </w:r>
            <w:r>
              <w:rPr>
                <w:color w:val="auto"/>
                <w:sz w:val="18"/>
                <w:szCs w:val="18"/>
              </w:rPr>
              <w:t>“</w:t>
            </w:r>
            <w:r>
              <w:rPr>
                <w:rFonts w:hint="eastAsia" w:hAnsi="宋体"/>
                <w:color w:val="auto"/>
                <w:sz w:val="18"/>
                <w:szCs w:val="18"/>
              </w:rPr>
              <w:t>必</w:t>
            </w:r>
            <w:r>
              <w:rPr>
                <w:rFonts w:hAnsi="宋体"/>
                <w:color w:val="auto"/>
                <w:sz w:val="18"/>
                <w:szCs w:val="18"/>
              </w:rPr>
              <w:t>验项目</w:t>
            </w:r>
            <w:r>
              <w:rPr>
                <w:color w:val="auto"/>
                <w:sz w:val="18"/>
                <w:szCs w:val="18"/>
              </w:rPr>
              <w:t>”</w:t>
            </w:r>
            <w:r>
              <w:rPr>
                <w:rFonts w:hAnsi="宋体"/>
                <w:color w:val="auto"/>
                <w:sz w:val="18"/>
                <w:szCs w:val="18"/>
              </w:rPr>
              <w:t>；</w:t>
            </w:r>
            <w:r>
              <w:rPr>
                <w:color w:val="auto"/>
                <w:sz w:val="18"/>
                <w:szCs w:val="18"/>
              </w:rPr>
              <w:t>“</w:t>
            </w:r>
            <w:r>
              <w:rPr>
                <w:rFonts w:hint="eastAsia" w:asciiTheme="minorEastAsia" w:hAnsiTheme="minorEastAsia" w:eastAsiaTheme="minorEastAsia"/>
                <w:color w:val="auto"/>
                <w:sz w:val="18"/>
                <w:szCs w:val="18"/>
              </w:rPr>
              <w:t>△</w:t>
            </w:r>
            <w:r>
              <w:rPr>
                <w:color w:val="auto"/>
                <w:sz w:val="18"/>
                <w:szCs w:val="18"/>
              </w:rPr>
              <w:t xml:space="preserve">” </w:t>
            </w:r>
            <w:r>
              <w:rPr>
                <w:rFonts w:hAnsi="宋体"/>
                <w:color w:val="auto"/>
                <w:sz w:val="18"/>
                <w:szCs w:val="18"/>
              </w:rPr>
              <w:t>表示</w:t>
            </w:r>
            <w:r>
              <w:rPr>
                <w:color w:val="auto"/>
                <w:sz w:val="18"/>
                <w:szCs w:val="18"/>
              </w:rPr>
              <w:t>“</w:t>
            </w:r>
            <w:r>
              <w:rPr>
                <w:rFonts w:hint="eastAsia" w:hAnsi="宋体"/>
                <w:color w:val="auto"/>
                <w:sz w:val="18"/>
                <w:szCs w:val="18"/>
              </w:rPr>
              <w:t>非必</w:t>
            </w:r>
            <w:r>
              <w:rPr>
                <w:rFonts w:hAnsi="宋体"/>
                <w:color w:val="auto"/>
                <w:sz w:val="18"/>
                <w:szCs w:val="18"/>
              </w:rPr>
              <w:t>验项目</w:t>
            </w:r>
            <w:r>
              <w:rPr>
                <w:color w:val="auto"/>
                <w:sz w:val="18"/>
                <w:szCs w:val="18"/>
              </w:rPr>
              <w:t>”</w:t>
            </w:r>
            <w:r>
              <w:rPr>
                <w:rFonts w:hAnsi="宋体"/>
                <w:color w:val="auto"/>
                <w:sz w:val="18"/>
                <w:szCs w:val="18"/>
              </w:rPr>
              <w:t>。</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1" w:type="dxa"/>
            <w:gridSpan w:val="4"/>
            <w:tcBorders>
              <w:top w:val="single" w:color="auto" w:sz="12" w:space="0"/>
              <w:left w:val="single" w:color="auto" w:sz="12" w:space="0"/>
              <w:bottom w:val="single" w:color="auto" w:sz="12" w:space="0"/>
              <w:right w:val="single" w:color="auto" w:sz="12" w:space="0"/>
            </w:tcBorders>
            <w:vAlign w:val="center"/>
          </w:tcPr>
          <w:p>
            <w:pPr>
              <w:spacing w:line="240" w:lineRule="auto"/>
              <w:ind w:firstLine="360" w:firstLineChars="200"/>
              <w:rPr>
                <w:rFonts w:ascii="黑体" w:hAnsi="黑体" w:eastAsia="黑体" w:cs="黑体"/>
                <w:color w:val="auto"/>
                <w:sz w:val="18"/>
                <w:szCs w:val="18"/>
              </w:rPr>
            </w:pPr>
            <w:r>
              <w:rPr>
                <w:rFonts w:hint="eastAsia"/>
                <w:color w:val="auto"/>
                <w:sz w:val="18"/>
                <w:szCs w:val="18"/>
                <w:vertAlign w:val="superscript"/>
              </w:rPr>
              <w:t xml:space="preserve">a </w:t>
            </w:r>
            <w:r>
              <w:rPr>
                <w:color w:val="auto"/>
                <w:sz w:val="18"/>
                <w:szCs w:val="18"/>
              </w:rPr>
              <w:t>拉伸试验</w:t>
            </w:r>
            <w:r>
              <w:rPr>
                <w:rFonts w:hint="eastAsia"/>
                <w:color w:val="auto"/>
                <w:sz w:val="18"/>
                <w:szCs w:val="18"/>
              </w:rPr>
              <w:t>、硬度</w:t>
            </w:r>
            <w:r>
              <w:rPr>
                <w:color w:val="auto"/>
                <w:sz w:val="18"/>
                <w:szCs w:val="18"/>
              </w:rPr>
              <w:t>试验</w:t>
            </w:r>
            <w:r>
              <w:rPr>
                <w:rFonts w:hint="eastAsia"/>
                <w:color w:val="auto"/>
                <w:sz w:val="18"/>
                <w:szCs w:val="18"/>
              </w:rPr>
              <w:t>任选其一，未作特别说明时，提供硬度</w:t>
            </w:r>
            <w:r>
              <w:rPr>
                <w:color w:val="auto"/>
                <w:sz w:val="18"/>
                <w:szCs w:val="18"/>
              </w:rPr>
              <w:t>试验。</w:t>
            </w:r>
            <w:r>
              <w:rPr>
                <w:rFonts w:hint="eastAsia"/>
                <w:color w:val="auto"/>
                <w:sz w:val="18"/>
                <w:szCs w:val="18"/>
              </w:rPr>
              <w:t>如需方有要求拉伸试验并在订货单中注明时，还应进行拉伸试验，拉伸试验结果仅供参考。</w:t>
            </w:r>
          </w:p>
        </w:tc>
      </w:tr>
    </w:tbl>
    <w:p>
      <w:pPr>
        <w:keepNext w:val="0"/>
        <w:keepLines w:val="0"/>
        <w:pageBreakBefore w:val="0"/>
        <w:widowControl w:val="0"/>
        <w:kinsoku/>
        <w:wordWrap/>
        <w:overflowPunct/>
        <w:topLinePunct w:val="0"/>
        <w:autoSpaceDE/>
        <w:autoSpaceDN/>
        <w:bidi w:val="0"/>
        <w:adjustRightInd w:val="0"/>
        <w:snapToGrid/>
        <w:spacing w:before="164" w:beforeLines="50" w:line="240" w:lineRule="auto"/>
        <w:ind w:firstLine="420"/>
        <w:textAlignment w:val="baseline"/>
        <w:rPr>
          <w:color w:val="auto"/>
          <w:sz w:val="21"/>
          <w:szCs w:val="21"/>
        </w:rPr>
      </w:pPr>
      <w:r>
        <w:rPr>
          <w:rFonts w:hint="eastAsia"/>
          <w:color w:val="auto"/>
          <w:sz w:val="21"/>
          <w:szCs w:val="21"/>
        </w:rPr>
        <w:t>出现下列任一情况时，应进行型式检验：</w:t>
      </w:r>
    </w:p>
    <w:p>
      <w:pPr>
        <w:pStyle w:val="40"/>
        <w:widowControl/>
        <w:numPr>
          <w:ilvl w:val="1"/>
          <w:numId w:val="3"/>
        </w:numPr>
        <w:adjustRightInd/>
        <w:spacing w:line="240" w:lineRule="auto"/>
        <w:ind w:firstLineChars="0"/>
        <w:textAlignment w:val="auto"/>
        <w:rPr>
          <w:color w:val="auto"/>
          <w:sz w:val="21"/>
          <w:szCs w:val="21"/>
        </w:rPr>
      </w:pPr>
      <w:r>
        <w:rPr>
          <w:rFonts w:hint="eastAsia"/>
          <w:color w:val="auto"/>
          <w:sz w:val="21"/>
          <w:szCs w:val="21"/>
        </w:rPr>
        <w:t>新产品或老产品转厂的试制定型鉴定；</w:t>
      </w:r>
    </w:p>
    <w:p>
      <w:pPr>
        <w:pStyle w:val="40"/>
        <w:widowControl/>
        <w:numPr>
          <w:ilvl w:val="1"/>
          <w:numId w:val="3"/>
        </w:numPr>
        <w:adjustRightInd/>
        <w:spacing w:line="240" w:lineRule="auto"/>
        <w:ind w:firstLineChars="0"/>
        <w:textAlignment w:val="auto"/>
        <w:rPr>
          <w:color w:val="auto"/>
          <w:sz w:val="21"/>
          <w:szCs w:val="21"/>
        </w:rPr>
      </w:pPr>
      <w:r>
        <w:rPr>
          <w:rFonts w:hint="eastAsia"/>
          <w:color w:val="auto"/>
          <w:sz w:val="21"/>
          <w:szCs w:val="21"/>
        </w:rPr>
        <w:t>产品的原料、工艺有较大改变，可能影响产品性能时；</w:t>
      </w:r>
    </w:p>
    <w:p>
      <w:pPr>
        <w:pStyle w:val="40"/>
        <w:widowControl/>
        <w:numPr>
          <w:ilvl w:val="1"/>
          <w:numId w:val="3"/>
        </w:numPr>
        <w:adjustRightInd/>
        <w:spacing w:line="240" w:lineRule="auto"/>
        <w:ind w:firstLineChars="0"/>
        <w:textAlignment w:val="auto"/>
        <w:rPr>
          <w:color w:val="auto"/>
          <w:sz w:val="21"/>
          <w:szCs w:val="21"/>
        </w:rPr>
      </w:pPr>
      <w:r>
        <w:rPr>
          <w:rFonts w:hint="eastAsia"/>
          <w:color w:val="auto"/>
          <w:sz w:val="21"/>
          <w:szCs w:val="21"/>
        </w:rPr>
        <w:t>产品停产后，恢复生产时；</w:t>
      </w:r>
    </w:p>
    <w:p>
      <w:pPr>
        <w:pStyle w:val="40"/>
        <w:widowControl/>
        <w:numPr>
          <w:ilvl w:val="1"/>
          <w:numId w:val="3"/>
        </w:numPr>
        <w:adjustRightInd/>
        <w:spacing w:line="240" w:lineRule="auto"/>
        <w:ind w:firstLineChars="0"/>
        <w:textAlignment w:val="auto"/>
        <w:rPr>
          <w:color w:val="auto"/>
          <w:sz w:val="21"/>
          <w:szCs w:val="21"/>
        </w:rPr>
      </w:pPr>
      <w:r>
        <w:rPr>
          <w:rFonts w:hint="eastAsia"/>
          <w:color w:val="auto"/>
          <w:sz w:val="21"/>
          <w:szCs w:val="21"/>
        </w:rPr>
        <w:t>出厂检验结果与上次型式检验有较大差异时；</w:t>
      </w:r>
    </w:p>
    <w:p>
      <w:pPr>
        <w:pStyle w:val="40"/>
        <w:widowControl/>
        <w:numPr>
          <w:ilvl w:val="1"/>
          <w:numId w:val="3"/>
        </w:numPr>
        <w:adjustRightInd/>
        <w:spacing w:line="240" w:lineRule="auto"/>
        <w:ind w:firstLineChars="0"/>
        <w:textAlignment w:val="auto"/>
        <w:rPr>
          <w:color w:val="auto"/>
          <w:sz w:val="21"/>
          <w:szCs w:val="21"/>
        </w:rPr>
      </w:pPr>
      <w:r>
        <w:rPr>
          <w:rFonts w:hint="eastAsia"/>
          <w:color w:val="auto"/>
          <w:sz w:val="21"/>
          <w:szCs w:val="21"/>
        </w:rPr>
        <w:t>连续二年未进行型式检验时；</w:t>
      </w:r>
    </w:p>
    <w:p>
      <w:pPr>
        <w:pStyle w:val="40"/>
        <w:widowControl/>
        <w:numPr>
          <w:ilvl w:val="1"/>
          <w:numId w:val="3"/>
        </w:numPr>
        <w:adjustRightInd/>
        <w:spacing w:line="240" w:lineRule="auto"/>
        <w:ind w:firstLineChars="0"/>
        <w:textAlignment w:val="auto"/>
        <w:rPr>
          <w:color w:val="auto"/>
          <w:sz w:val="21"/>
          <w:szCs w:val="21"/>
        </w:rPr>
      </w:pPr>
      <w:r>
        <w:rPr>
          <w:rFonts w:hint="eastAsia"/>
          <w:color w:val="auto"/>
          <w:sz w:val="21"/>
          <w:szCs w:val="21"/>
        </w:rPr>
        <w:t>需方要求时（在订货单中注明）；</w:t>
      </w:r>
    </w:p>
    <w:p>
      <w:pPr>
        <w:pStyle w:val="40"/>
        <w:widowControl/>
        <w:numPr>
          <w:ilvl w:val="1"/>
          <w:numId w:val="3"/>
        </w:numPr>
        <w:adjustRightInd/>
        <w:spacing w:line="240" w:lineRule="auto"/>
        <w:ind w:firstLineChars="0"/>
        <w:textAlignment w:val="auto"/>
        <w:rPr>
          <w:rFonts w:ascii="宋体" w:hAnsi="宋体"/>
          <w:color w:val="auto"/>
          <w:szCs w:val="21"/>
        </w:rPr>
      </w:pPr>
      <w:r>
        <w:rPr>
          <w:rFonts w:hint="eastAsia"/>
          <w:color w:val="auto"/>
          <w:sz w:val="21"/>
          <w:szCs w:val="21"/>
        </w:rPr>
        <w:t>国家质量监督机构提出进行型式检验的要求时。</w:t>
      </w:r>
    </w:p>
    <w:p>
      <w:pPr>
        <w:pStyle w:val="2"/>
        <w:spacing w:before="240" w:after="240"/>
        <w:rPr>
          <w:color w:val="auto"/>
        </w:rPr>
      </w:pPr>
      <w:r>
        <w:rPr>
          <w:rFonts w:hint="eastAsia"/>
          <w:color w:val="auto"/>
        </w:rPr>
        <w:t xml:space="preserve">7.4  </w:t>
      </w:r>
      <w:r>
        <w:rPr>
          <w:rFonts w:hint="eastAsia" w:hAnsi="黑体" w:cs="黑体"/>
          <w:color w:val="auto"/>
        </w:rPr>
        <w:t>取样</w:t>
      </w:r>
    </w:p>
    <w:p>
      <w:pPr>
        <w:pStyle w:val="23"/>
        <w:rPr>
          <w:color w:val="auto"/>
        </w:rPr>
      </w:pPr>
      <w:r>
        <w:rPr>
          <w:rFonts w:hint="eastAsia"/>
          <w:color w:val="auto"/>
        </w:rPr>
        <w:t>产品取样应符合表7的规定。取样方法按</w:t>
      </w:r>
      <w:r>
        <w:rPr>
          <w:color w:val="auto"/>
        </w:rPr>
        <w:t xml:space="preserve">YS/T </w:t>
      </w:r>
      <w:r>
        <w:rPr>
          <w:rFonts w:hint="eastAsia"/>
          <w:color w:val="auto"/>
        </w:rPr>
        <w:t>668的规定进行。</w:t>
      </w:r>
    </w:p>
    <w:p>
      <w:pPr>
        <w:pStyle w:val="12"/>
        <w:spacing w:beforeLines="100" w:afterLines="100"/>
        <w:jc w:val="center"/>
        <w:rPr>
          <w:rFonts w:ascii="黑体" w:hAnsi="宋体" w:eastAsia="黑体" w:cs="Courier New"/>
          <w:color w:val="auto"/>
          <w:kern w:val="2"/>
          <w:szCs w:val="21"/>
        </w:rPr>
      </w:pPr>
      <w:r>
        <w:rPr>
          <w:rFonts w:hint="eastAsia" w:ascii="黑体" w:hAnsi="宋体" w:eastAsia="黑体" w:cs="Courier New"/>
          <w:color w:val="auto"/>
          <w:kern w:val="2"/>
          <w:szCs w:val="21"/>
        </w:rPr>
        <w:t xml:space="preserve">表7   </w:t>
      </w:r>
      <w:r>
        <w:rPr>
          <w:rFonts w:hint="eastAsia" w:ascii="黑体" w:eastAsia="黑体" w:hAnsiTheme="minorEastAsia"/>
          <w:color w:val="auto"/>
          <w:szCs w:val="21"/>
        </w:rPr>
        <w:t>取样</w:t>
      </w:r>
    </w:p>
    <w:tbl>
      <w:tblPr>
        <w:tblStyle w:val="2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970"/>
        <w:gridCol w:w="3916"/>
        <w:gridCol w:w="1895"/>
        <w:gridCol w:w="17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6" w:type="pct"/>
            <w:gridSpan w:val="2"/>
            <w:tcBorders>
              <w:bottom w:val="single" w:color="auto" w:sz="12" w:space="0"/>
            </w:tcBorders>
            <w:vAlign w:val="center"/>
          </w:tcPr>
          <w:p>
            <w:pPr>
              <w:pStyle w:val="12"/>
              <w:ind w:firstLine="0" w:firstLineChars="0"/>
              <w:jc w:val="center"/>
              <w:rPr>
                <w:rFonts w:asciiTheme="minorEastAsia" w:hAnsiTheme="minorEastAsia" w:eastAsiaTheme="minorEastAsia"/>
                <w:color w:val="auto"/>
                <w:sz w:val="18"/>
                <w:szCs w:val="21"/>
              </w:rPr>
            </w:pPr>
            <w:r>
              <w:rPr>
                <w:rFonts w:hint="eastAsia" w:asciiTheme="minorEastAsia" w:hAnsiTheme="minorEastAsia" w:eastAsiaTheme="minorEastAsia"/>
                <w:color w:val="auto"/>
                <w:sz w:val="18"/>
                <w:szCs w:val="21"/>
              </w:rPr>
              <w:t>检验项目</w:t>
            </w:r>
          </w:p>
        </w:tc>
        <w:tc>
          <w:tcPr>
            <w:tcW w:w="2095" w:type="pct"/>
            <w:tcBorders>
              <w:bottom w:val="single" w:color="auto" w:sz="12" w:space="0"/>
            </w:tcBorders>
            <w:vAlign w:val="center"/>
          </w:tcPr>
          <w:p>
            <w:pPr>
              <w:pStyle w:val="12"/>
              <w:ind w:firstLine="0" w:firstLineChars="0"/>
              <w:jc w:val="center"/>
              <w:rPr>
                <w:rFonts w:asciiTheme="minorEastAsia" w:hAnsiTheme="minorEastAsia" w:eastAsiaTheme="minorEastAsia"/>
                <w:color w:val="auto"/>
                <w:sz w:val="18"/>
                <w:szCs w:val="21"/>
              </w:rPr>
            </w:pPr>
            <w:r>
              <w:rPr>
                <w:rFonts w:hint="eastAsia" w:asciiTheme="minorEastAsia" w:hAnsiTheme="minorEastAsia" w:eastAsiaTheme="minorEastAsia"/>
                <w:color w:val="auto"/>
                <w:sz w:val="18"/>
                <w:szCs w:val="21"/>
              </w:rPr>
              <w:t>取样规定</w:t>
            </w:r>
          </w:p>
        </w:tc>
        <w:tc>
          <w:tcPr>
            <w:tcW w:w="1014" w:type="pct"/>
            <w:tcBorders>
              <w:bottom w:val="single" w:color="auto" w:sz="12" w:space="0"/>
            </w:tcBorders>
            <w:vAlign w:val="center"/>
          </w:tcPr>
          <w:p>
            <w:pPr>
              <w:pStyle w:val="12"/>
              <w:ind w:firstLine="0" w:firstLineChars="0"/>
              <w:jc w:val="center"/>
              <w:rPr>
                <w:rFonts w:asciiTheme="minorEastAsia" w:hAnsiTheme="minorEastAsia" w:eastAsiaTheme="minorEastAsia"/>
                <w:color w:val="auto"/>
                <w:sz w:val="18"/>
                <w:szCs w:val="21"/>
              </w:rPr>
            </w:pPr>
            <w:r>
              <w:rPr>
                <w:rFonts w:hint="eastAsia" w:asciiTheme="minorEastAsia" w:hAnsiTheme="minorEastAsia" w:eastAsiaTheme="minorEastAsia"/>
                <w:color w:val="auto"/>
                <w:sz w:val="18"/>
                <w:szCs w:val="21"/>
              </w:rPr>
              <w:t>要求的章条号</w:t>
            </w:r>
          </w:p>
        </w:tc>
        <w:tc>
          <w:tcPr>
            <w:tcW w:w="945" w:type="pct"/>
            <w:tcBorders>
              <w:bottom w:val="single" w:color="auto" w:sz="12" w:space="0"/>
            </w:tcBorders>
            <w:vAlign w:val="center"/>
          </w:tcPr>
          <w:p>
            <w:pPr>
              <w:pStyle w:val="12"/>
              <w:ind w:firstLine="0" w:firstLineChars="0"/>
              <w:jc w:val="center"/>
              <w:rPr>
                <w:rFonts w:asciiTheme="minorEastAsia" w:hAnsiTheme="minorEastAsia" w:eastAsiaTheme="minorEastAsia"/>
                <w:color w:val="auto"/>
                <w:sz w:val="18"/>
                <w:szCs w:val="21"/>
              </w:rPr>
            </w:pPr>
            <w:r>
              <w:rPr>
                <w:rFonts w:hint="eastAsia" w:asciiTheme="minorEastAsia" w:hAnsiTheme="minorEastAsia" w:eastAsiaTheme="minorEastAsia"/>
                <w:color w:val="auto"/>
                <w:sz w:val="18"/>
                <w:szCs w:val="21"/>
              </w:rPr>
              <w:t>试验方法的章条号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6" w:type="pct"/>
            <w:gridSpan w:val="2"/>
            <w:tcBorders>
              <w:top w:val="single" w:color="auto" w:sz="12" w:space="0"/>
              <w:tl2br w:val="nil"/>
              <w:tr2bl w:val="nil"/>
            </w:tcBorders>
            <w:vAlign w:val="center"/>
          </w:tcPr>
          <w:p>
            <w:pPr>
              <w:pStyle w:val="12"/>
              <w:ind w:firstLine="0" w:firstLineChars="0"/>
              <w:jc w:val="center"/>
              <w:rPr>
                <w:rFonts w:asciiTheme="minorEastAsia" w:hAnsiTheme="minorEastAsia" w:eastAsiaTheme="minorEastAsia"/>
                <w:color w:val="auto"/>
                <w:sz w:val="18"/>
                <w:szCs w:val="21"/>
              </w:rPr>
            </w:pPr>
            <w:r>
              <w:rPr>
                <w:rFonts w:hint="eastAsia" w:asciiTheme="minorEastAsia" w:hAnsiTheme="minorEastAsia" w:eastAsiaTheme="minorEastAsia"/>
                <w:color w:val="auto"/>
                <w:sz w:val="18"/>
                <w:szCs w:val="21"/>
              </w:rPr>
              <w:t>化学成分</w:t>
            </w:r>
          </w:p>
        </w:tc>
        <w:tc>
          <w:tcPr>
            <w:tcW w:w="2095" w:type="pct"/>
            <w:tcBorders>
              <w:top w:val="single" w:color="auto" w:sz="12" w:space="0"/>
              <w:tl2br w:val="nil"/>
              <w:tr2bl w:val="nil"/>
            </w:tcBorders>
            <w:vAlign w:val="center"/>
          </w:tcPr>
          <w:p>
            <w:pPr>
              <w:pStyle w:val="12"/>
              <w:ind w:firstLine="0" w:firstLineChars="0"/>
              <w:rPr>
                <w:rFonts w:asciiTheme="minorEastAsia" w:hAnsiTheme="minorEastAsia" w:eastAsiaTheme="minorEastAsia"/>
                <w:color w:val="auto"/>
                <w:sz w:val="18"/>
                <w:szCs w:val="21"/>
              </w:rPr>
            </w:pPr>
            <w:r>
              <w:rPr>
                <w:rFonts w:hint="eastAsia" w:asciiTheme="minorEastAsia" w:hAnsiTheme="minorEastAsia" w:eastAsiaTheme="minorEastAsia"/>
                <w:color w:val="auto"/>
                <w:sz w:val="18"/>
                <w:szCs w:val="21"/>
              </w:rPr>
              <w:t>供方每熔次取1个试样，需方每批取1个试样</w:t>
            </w:r>
          </w:p>
        </w:tc>
        <w:tc>
          <w:tcPr>
            <w:tcW w:w="1014" w:type="pct"/>
            <w:tcBorders>
              <w:top w:val="single" w:color="auto" w:sz="12" w:space="0"/>
              <w:tl2br w:val="nil"/>
              <w:tr2bl w:val="nil"/>
            </w:tcBorders>
            <w:vAlign w:val="center"/>
          </w:tcPr>
          <w:p>
            <w:pPr>
              <w:pStyle w:val="12"/>
              <w:ind w:firstLine="0" w:firstLineChars="0"/>
              <w:jc w:val="center"/>
              <w:rPr>
                <w:rFonts w:asciiTheme="minorEastAsia" w:hAnsiTheme="minorEastAsia" w:eastAsiaTheme="minorEastAsia"/>
                <w:color w:val="auto"/>
                <w:sz w:val="18"/>
                <w:szCs w:val="21"/>
              </w:rPr>
            </w:pPr>
            <w:r>
              <w:rPr>
                <w:rFonts w:hint="eastAsia" w:asciiTheme="minorEastAsia" w:hAnsiTheme="minorEastAsia" w:eastAsiaTheme="minorEastAsia"/>
                <w:color w:val="auto"/>
                <w:sz w:val="18"/>
                <w:szCs w:val="21"/>
              </w:rPr>
              <w:t>5.1</w:t>
            </w:r>
          </w:p>
        </w:tc>
        <w:tc>
          <w:tcPr>
            <w:tcW w:w="945" w:type="pct"/>
            <w:tcBorders>
              <w:top w:val="single" w:color="auto" w:sz="12" w:space="0"/>
              <w:tl2br w:val="nil"/>
              <w:tr2bl w:val="nil"/>
            </w:tcBorders>
            <w:vAlign w:val="center"/>
          </w:tcPr>
          <w:p>
            <w:pPr>
              <w:pStyle w:val="12"/>
              <w:ind w:firstLine="0" w:firstLineChars="0"/>
              <w:jc w:val="center"/>
              <w:rPr>
                <w:rFonts w:asciiTheme="minorEastAsia" w:hAnsiTheme="minorEastAsia" w:eastAsiaTheme="minorEastAsia"/>
                <w:color w:val="auto"/>
                <w:sz w:val="18"/>
                <w:szCs w:val="21"/>
              </w:rPr>
            </w:pPr>
            <w:r>
              <w:rPr>
                <w:rFonts w:hint="eastAsia" w:asciiTheme="minorEastAsia" w:hAnsiTheme="minorEastAsia" w:eastAsiaTheme="minorEastAsia"/>
                <w:color w:val="auto"/>
                <w:sz w:val="18"/>
                <w:szCs w:val="21"/>
              </w:rPr>
              <w:t>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6" w:type="pct"/>
            <w:gridSpan w:val="2"/>
            <w:tcBorders>
              <w:tl2br w:val="nil"/>
              <w:tr2bl w:val="nil"/>
            </w:tcBorders>
            <w:vAlign w:val="center"/>
          </w:tcPr>
          <w:p>
            <w:pPr>
              <w:pStyle w:val="12"/>
              <w:ind w:firstLine="0" w:firstLineChars="0"/>
              <w:jc w:val="center"/>
              <w:rPr>
                <w:rFonts w:asciiTheme="minorEastAsia" w:hAnsiTheme="minorEastAsia" w:eastAsiaTheme="minorEastAsia"/>
                <w:color w:val="auto"/>
                <w:sz w:val="18"/>
                <w:szCs w:val="21"/>
              </w:rPr>
            </w:pPr>
            <w:r>
              <w:rPr>
                <w:rFonts w:hint="eastAsia" w:asciiTheme="minorEastAsia" w:hAnsiTheme="minorEastAsia" w:eastAsiaTheme="minorEastAsia"/>
                <w:color w:val="auto"/>
                <w:sz w:val="18"/>
                <w:szCs w:val="21"/>
              </w:rPr>
              <w:t>外形尺寸</w:t>
            </w:r>
          </w:p>
        </w:tc>
        <w:tc>
          <w:tcPr>
            <w:tcW w:w="2095" w:type="pct"/>
            <w:tcBorders>
              <w:tl2br w:val="nil"/>
              <w:tr2bl w:val="nil"/>
            </w:tcBorders>
            <w:vAlign w:val="center"/>
          </w:tcPr>
          <w:p>
            <w:pPr>
              <w:pStyle w:val="12"/>
              <w:ind w:firstLine="0" w:firstLineChars="0"/>
              <w:rPr>
                <w:rFonts w:asciiTheme="minorEastAsia" w:hAnsiTheme="minorEastAsia" w:eastAsiaTheme="minorEastAsia"/>
                <w:color w:val="auto"/>
                <w:sz w:val="18"/>
                <w:szCs w:val="21"/>
              </w:rPr>
            </w:pPr>
            <w:r>
              <w:rPr>
                <w:rFonts w:hint="eastAsia" w:asciiTheme="minorEastAsia" w:hAnsiTheme="minorEastAsia" w:eastAsiaTheme="minorEastAsia"/>
                <w:color w:val="auto"/>
                <w:sz w:val="18"/>
              </w:rPr>
              <w:t>逐卷检查</w:t>
            </w:r>
          </w:p>
        </w:tc>
        <w:tc>
          <w:tcPr>
            <w:tcW w:w="1014" w:type="pct"/>
            <w:tcBorders>
              <w:tl2br w:val="nil"/>
              <w:tr2bl w:val="nil"/>
            </w:tcBorders>
            <w:vAlign w:val="center"/>
          </w:tcPr>
          <w:p>
            <w:pPr>
              <w:pStyle w:val="12"/>
              <w:ind w:firstLine="0" w:firstLineChars="0"/>
              <w:jc w:val="center"/>
              <w:rPr>
                <w:rFonts w:asciiTheme="minorEastAsia" w:hAnsiTheme="minorEastAsia" w:eastAsiaTheme="minorEastAsia"/>
                <w:color w:val="auto"/>
                <w:sz w:val="18"/>
                <w:szCs w:val="21"/>
              </w:rPr>
            </w:pPr>
            <w:r>
              <w:rPr>
                <w:rFonts w:hint="eastAsia" w:asciiTheme="minorEastAsia" w:hAnsiTheme="minorEastAsia" w:eastAsiaTheme="minorEastAsia"/>
                <w:color w:val="auto"/>
                <w:sz w:val="18"/>
                <w:szCs w:val="21"/>
              </w:rPr>
              <w:t>5.2</w:t>
            </w:r>
          </w:p>
        </w:tc>
        <w:tc>
          <w:tcPr>
            <w:tcW w:w="945" w:type="pct"/>
            <w:tcBorders>
              <w:tl2br w:val="nil"/>
              <w:tr2bl w:val="nil"/>
            </w:tcBorders>
            <w:vAlign w:val="center"/>
          </w:tcPr>
          <w:p>
            <w:pPr>
              <w:pStyle w:val="12"/>
              <w:ind w:firstLine="0" w:firstLineChars="0"/>
              <w:jc w:val="center"/>
              <w:rPr>
                <w:rFonts w:asciiTheme="minorEastAsia" w:hAnsiTheme="minorEastAsia" w:eastAsiaTheme="minorEastAsia"/>
                <w:color w:val="auto"/>
                <w:sz w:val="18"/>
                <w:szCs w:val="21"/>
              </w:rPr>
            </w:pPr>
            <w:r>
              <w:rPr>
                <w:rFonts w:hint="eastAsia" w:asciiTheme="minorEastAsia" w:hAnsiTheme="minorEastAsia" w:eastAsiaTheme="minorEastAsia"/>
                <w:color w:val="auto"/>
                <w:sz w:val="18"/>
                <w:szCs w:val="21"/>
              </w:rPr>
              <w:t>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7" w:type="pct"/>
            <w:vMerge w:val="restart"/>
            <w:tcBorders>
              <w:tl2br w:val="nil"/>
              <w:tr2bl w:val="nil"/>
            </w:tcBorders>
            <w:vAlign w:val="center"/>
          </w:tcPr>
          <w:p>
            <w:pPr>
              <w:pStyle w:val="12"/>
              <w:ind w:firstLine="0" w:firstLineChars="0"/>
              <w:jc w:val="center"/>
              <w:rPr>
                <w:rFonts w:asciiTheme="minorEastAsia" w:hAnsiTheme="minorEastAsia" w:eastAsiaTheme="minorEastAsia"/>
                <w:color w:val="auto"/>
                <w:sz w:val="18"/>
                <w:szCs w:val="21"/>
              </w:rPr>
            </w:pPr>
            <w:r>
              <w:rPr>
                <w:rFonts w:hint="eastAsia" w:asciiTheme="minorEastAsia" w:hAnsiTheme="minorEastAsia" w:eastAsiaTheme="minorEastAsia"/>
                <w:color w:val="auto"/>
                <w:sz w:val="18"/>
                <w:szCs w:val="21"/>
              </w:rPr>
              <w:t>力学</w:t>
            </w:r>
          </w:p>
          <w:p>
            <w:pPr>
              <w:pStyle w:val="12"/>
              <w:ind w:firstLine="0" w:firstLineChars="0"/>
              <w:jc w:val="center"/>
              <w:rPr>
                <w:rFonts w:asciiTheme="minorEastAsia" w:hAnsiTheme="minorEastAsia" w:eastAsiaTheme="minorEastAsia"/>
                <w:color w:val="auto"/>
                <w:sz w:val="18"/>
                <w:szCs w:val="21"/>
              </w:rPr>
            </w:pPr>
            <w:r>
              <w:rPr>
                <w:rFonts w:hint="eastAsia" w:asciiTheme="minorEastAsia" w:hAnsiTheme="minorEastAsia" w:eastAsiaTheme="minorEastAsia"/>
                <w:color w:val="auto"/>
                <w:sz w:val="18"/>
                <w:szCs w:val="21"/>
              </w:rPr>
              <w:t>性能</w:t>
            </w:r>
          </w:p>
        </w:tc>
        <w:tc>
          <w:tcPr>
            <w:tcW w:w="519" w:type="pct"/>
            <w:tcBorders>
              <w:tl2br w:val="nil"/>
              <w:tr2bl w:val="nil"/>
            </w:tcBorders>
            <w:vAlign w:val="center"/>
          </w:tcPr>
          <w:p>
            <w:pPr>
              <w:pStyle w:val="12"/>
              <w:ind w:firstLine="0" w:firstLineChars="0"/>
              <w:jc w:val="center"/>
              <w:rPr>
                <w:rFonts w:asciiTheme="minorEastAsia" w:hAnsiTheme="minorEastAsia" w:eastAsiaTheme="minorEastAsia"/>
                <w:color w:val="auto"/>
                <w:sz w:val="18"/>
                <w:szCs w:val="21"/>
              </w:rPr>
            </w:pPr>
            <w:r>
              <w:rPr>
                <w:rFonts w:hint="eastAsia" w:asciiTheme="minorEastAsia" w:hAnsiTheme="minorEastAsia" w:eastAsiaTheme="minorEastAsia"/>
                <w:color w:val="auto"/>
                <w:sz w:val="18"/>
                <w:szCs w:val="21"/>
              </w:rPr>
              <w:t>拉伸试验</w:t>
            </w:r>
          </w:p>
        </w:tc>
        <w:tc>
          <w:tcPr>
            <w:tcW w:w="2095" w:type="pct"/>
            <w:tcBorders>
              <w:tl2br w:val="nil"/>
              <w:tr2bl w:val="nil"/>
            </w:tcBorders>
            <w:vAlign w:val="center"/>
          </w:tcPr>
          <w:p>
            <w:pPr>
              <w:pStyle w:val="12"/>
              <w:ind w:firstLine="0" w:firstLineChars="0"/>
              <w:rPr>
                <w:rFonts w:asciiTheme="minorEastAsia" w:hAnsiTheme="minorEastAsia" w:eastAsiaTheme="minorEastAsia"/>
                <w:color w:val="auto"/>
                <w:sz w:val="18"/>
                <w:szCs w:val="21"/>
              </w:rPr>
            </w:pPr>
            <w:r>
              <w:rPr>
                <w:rFonts w:hint="eastAsia" w:asciiTheme="minorEastAsia" w:hAnsiTheme="minorEastAsia" w:eastAsiaTheme="minorEastAsia"/>
                <w:color w:val="auto"/>
                <w:sz w:val="18"/>
                <w:szCs w:val="21"/>
              </w:rPr>
              <w:t>每批任取2卷，每卷沿轧制方向取1个试样。</w:t>
            </w:r>
          </w:p>
        </w:tc>
        <w:tc>
          <w:tcPr>
            <w:tcW w:w="1014" w:type="pct"/>
            <w:tcBorders>
              <w:tl2br w:val="nil"/>
              <w:tr2bl w:val="nil"/>
            </w:tcBorders>
            <w:vAlign w:val="center"/>
          </w:tcPr>
          <w:p>
            <w:pPr>
              <w:pStyle w:val="12"/>
              <w:ind w:firstLine="0" w:firstLineChars="0"/>
              <w:jc w:val="center"/>
              <w:rPr>
                <w:rFonts w:asciiTheme="minorEastAsia" w:hAnsiTheme="minorEastAsia" w:eastAsiaTheme="minorEastAsia"/>
                <w:color w:val="auto"/>
                <w:sz w:val="18"/>
                <w:szCs w:val="21"/>
              </w:rPr>
            </w:pPr>
            <w:r>
              <w:rPr>
                <w:rFonts w:hint="eastAsia" w:asciiTheme="minorEastAsia" w:hAnsiTheme="minorEastAsia" w:eastAsiaTheme="minorEastAsia"/>
                <w:color w:val="auto"/>
                <w:sz w:val="18"/>
                <w:szCs w:val="21"/>
              </w:rPr>
              <w:t>5.3</w:t>
            </w:r>
          </w:p>
        </w:tc>
        <w:tc>
          <w:tcPr>
            <w:tcW w:w="945" w:type="pct"/>
            <w:tcBorders>
              <w:tl2br w:val="nil"/>
              <w:tr2bl w:val="nil"/>
            </w:tcBorders>
            <w:vAlign w:val="center"/>
          </w:tcPr>
          <w:p>
            <w:pPr>
              <w:pStyle w:val="12"/>
              <w:ind w:firstLine="0" w:firstLineChars="0"/>
              <w:jc w:val="center"/>
              <w:rPr>
                <w:rFonts w:asciiTheme="minorEastAsia" w:hAnsiTheme="minorEastAsia" w:eastAsiaTheme="minorEastAsia"/>
                <w:color w:val="auto"/>
                <w:sz w:val="18"/>
                <w:szCs w:val="21"/>
              </w:rPr>
            </w:pPr>
            <w:r>
              <w:rPr>
                <w:rFonts w:hint="eastAsia" w:asciiTheme="minorEastAsia" w:hAnsiTheme="minorEastAsia" w:eastAsiaTheme="minorEastAsia"/>
                <w:color w:val="auto"/>
                <w:sz w:val="18"/>
                <w:szCs w:val="21"/>
              </w:rPr>
              <w:t>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7" w:type="pct"/>
            <w:vMerge w:val="continue"/>
            <w:tcBorders>
              <w:tl2br w:val="nil"/>
              <w:tr2bl w:val="nil"/>
            </w:tcBorders>
            <w:vAlign w:val="center"/>
          </w:tcPr>
          <w:p>
            <w:pPr>
              <w:pStyle w:val="12"/>
              <w:ind w:firstLine="0" w:firstLineChars="0"/>
              <w:jc w:val="center"/>
              <w:rPr>
                <w:rFonts w:asciiTheme="minorEastAsia" w:hAnsiTheme="minorEastAsia" w:eastAsiaTheme="minorEastAsia"/>
                <w:color w:val="auto"/>
                <w:sz w:val="18"/>
                <w:szCs w:val="21"/>
              </w:rPr>
            </w:pPr>
          </w:p>
        </w:tc>
        <w:tc>
          <w:tcPr>
            <w:tcW w:w="519" w:type="pct"/>
            <w:tcBorders>
              <w:tl2br w:val="nil"/>
              <w:tr2bl w:val="nil"/>
            </w:tcBorders>
            <w:vAlign w:val="center"/>
          </w:tcPr>
          <w:p>
            <w:pPr>
              <w:pStyle w:val="12"/>
              <w:ind w:firstLine="0" w:firstLineChars="0"/>
              <w:jc w:val="center"/>
              <w:rPr>
                <w:rFonts w:asciiTheme="minorEastAsia" w:hAnsiTheme="minorEastAsia" w:eastAsiaTheme="minorEastAsia"/>
                <w:color w:val="auto"/>
                <w:sz w:val="18"/>
                <w:szCs w:val="21"/>
              </w:rPr>
            </w:pPr>
            <w:r>
              <w:rPr>
                <w:rFonts w:hint="eastAsia" w:asciiTheme="minorEastAsia" w:hAnsiTheme="minorEastAsia" w:eastAsiaTheme="minorEastAsia"/>
                <w:color w:val="auto"/>
                <w:sz w:val="18"/>
                <w:szCs w:val="21"/>
              </w:rPr>
              <w:t>硬度试验</w:t>
            </w:r>
          </w:p>
        </w:tc>
        <w:tc>
          <w:tcPr>
            <w:tcW w:w="2095" w:type="pct"/>
            <w:tcBorders>
              <w:tl2br w:val="nil"/>
              <w:tr2bl w:val="nil"/>
            </w:tcBorders>
            <w:vAlign w:val="center"/>
          </w:tcPr>
          <w:p>
            <w:pPr>
              <w:pStyle w:val="12"/>
              <w:ind w:firstLine="0" w:firstLineChars="0"/>
              <w:rPr>
                <w:rFonts w:asciiTheme="minorEastAsia" w:hAnsiTheme="minorEastAsia" w:eastAsiaTheme="minorEastAsia"/>
                <w:color w:val="auto"/>
                <w:sz w:val="18"/>
                <w:szCs w:val="21"/>
              </w:rPr>
            </w:pPr>
            <w:r>
              <w:rPr>
                <w:rFonts w:hint="eastAsia" w:asciiTheme="minorEastAsia" w:hAnsiTheme="minorEastAsia" w:eastAsiaTheme="minorEastAsia"/>
                <w:color w:val="auto"/>
                <w:sz w:val="18"/>
                <w:szCs w:val="21"/>
              </w:rPr>
              <w:t>每批任取2卷， 每卷取1个试样</w:t>
            </w:r>
          </w:p>
        </w:tc>
        <w:tc>
          <w:tcPr>
            <w:tcW w:w="1014" w:type="pct"/>
            <w:tcBorders>
              <w:tl2br w:val="nil"/>
              <w:tr2bl w:val="nil"/>
            </w:tcBorders>
            <w:vAlign w:val="center"/>
          </w:tcPr>
          <w:p>
            <w:pPr>
              <w:pStyle w:val="12"/>
              <w:ind w:firstLine="0" w:firstLineChars="0"/>
              <w:jc w:val="center"/>
              <w:rPr>
                <w:rFonts w:asciiTheme="minorEastAsia" w:hAnsiTheme="minorEastAsia" w:eastAsiaTheme="minorEastAsia"/>
                <w:color w:val="auto"/>
                <w:sz w:val="18"/>
                <w:szCs w:val="21"/>
              </w:rPr>
            </w:pPr>
            <w:r>
              <w:rPr>
                <w:rFonts w:hint="eastAsia" w:asciiTheme="minorEastAsia" w:hAnsiTheme="minorEastAsia" w:eastAsiaTheme="minorEastAsia"/>
                <w:color w:val="auto"/>
                <w:sz w:val="18"/>
                <w:szCs w:val="21"/>
              </w:rPr>
              <w:t>5.3</w:t>
            </w:r>
          </w:p>
        </w:tc>
        <w:tc>
          <w:tcPr>
            <w:tcW w:w="945" w:type="pct"/>
            <w:tcBorders>
              <w:tl2br w:val="nil"/>
              <w:tr2bl w:val="nil"/>
            </w:tcBorders>
            <w:vAlign w:val="center"/>
          </w:tcPr>
          <w:p>
            <w:pPr>
              <w:pStyle w:val="12"/>
              <w:ind w:firstLine="0" w:firstLineChars="0"/>
              <w:jc w:val="center"/>
              <w:rPr>
                <w:rFonts w:asciiTheme="minorEastAsia" w:hAnsiTheme="minorEastAsia" w:eastAsiaTheme="minorEastAsia"/>
                <w:color w:val="auto"/>
                <w:sz w:val="18"/>
                <w:szCs w:val="21"/>
              </w:rPr>
            </w:pPr>
            <w:r>
              <w:rPr>
                <w:rFonts w:hint="eastAsia" w:asciiTheme="minorEastAsia" w:hAnsiTheme="minorEastAsia" w:eastAsiaTheme="minorEastAsia"/>
                <w:color w:val="auto"/>
                <w:sz w:val="18"/>
                <w:szCs w:val="21"/>
              </w:rPr>
              <w:t>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6" w:type="pct"/>
            <w:gridSpan w:val="2"/>
            <w:tcBorders>
              <w:tl2br w:val="nil"/>
              <w:tr2bl w:val="nil"/>
            </w:tcBorders>
            <w:vAlign w:val="center"/>
          </w:tcPr>
          <w:p>
            <w:pPr>
              <w:pStyle w:val="12"/>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电性能</w:t>
            </w:r>
          </w:p>
        </w:tc>
        <w:tc>
          <w:tcPr>
            <w:tcW w:w="2095" w:type="pct"/>
            <w:tcBorders>
              <w:tl2br w:val="nil"/>
              <w:tr2bl w:val="nil"/>
            </w:tcBorders>
            <w:vAlign w:val="center"/>
          </w:tcPr>
          <w:p>
            <w:pPr>
              <w:pStyle w:val="12"/>
              <w:ind w:firstLine="0" w:firstLineChars="0"/>
              <w:rPr>
                <w:rFonts w:asciiTheme="minorEastAsia" w:hAnsiTheme="minorEastAsia" w:eastAsiaTheme="minorEastAsia"/>
                <w:color w:val="auto"/>
                <w:sz w:val="18"/>
              </w:rPr>
            </w:pPr>
            <w:r>
              <w:rPr>
                <w:rFonts w:hint="eastAsia" w:asciiTheme="minorEastAsia" w:hAnsiTheme="minorEastAsia" w:eastAsiaTheme="minorEastAsia"/>
                <w:color w:val="auto"/>
                <w:sz w:val="18"/>
                <w:szCs w:val="21"/>
              </w:rPr>
              <w:t>每批</w:t>
            </w:r>
            <w:r>
              <w:rPr>
                <w:rFonts w:hint="eastAsia" w:asciiTheme="minorEastAsia" w:hAnsiTheme="minorEastAsia" w:eastAsiaTheme="minorEastAsia"/>
                <w:color w:val="auto"/>
                <w:sz w:val="18"/>
              </w:rPr>
              <w:t>任取2卷，每</w:t>
            </w:r>
            <w:r>
              <w:rPr>
                <w:rFonts w:hint="eastAsia" w:asciiTheme="minorEastAsia" w:hAnsiTheme="minorEastAsia" w:eastAsiaTheme="minorEastAsia"/>
                <w:color w:val="auto"/>
                <w:sz w:val="18"/>
                <w:szCs w:val="21"/>
              </w:rPr>
              <w:t>卷取1个试样</w:t>
            </w:r>
          </w:p>
        </w:tc>
        <w:tc>
          <w:tcPr>
            <w:tcW w:w="1014" w:type="pct"/>
            <w:tcBorders>
              <w:tl2br w:val="nil"/>
              <w:tr2bl w:val="nil"/>
            </w:tcBorders>
            <w:vAlign w:val="center"/>
          </w:tcPr>
          <w:p>
            <w:pPr>
              <w:pStyle w:val="12"/>
              <w:ind w:firstLine="0" w:firstLineChars="0"/>
              <w:jc w:val="center"/>
              <w:rPr>
                <w:rFonts w:asciiTheme="minorEastAsia" w:hAnsiTheme="minorEastAsia" w:eastAsiaTheme="minorEastAsia"/>
                <w:color w:val="auto"/>
                <w:sz w:val="18"/>
              </w:rPr>
            </w:pPr>
            <w:r>
              <w:rPr>
                <w:rFonts w:hint="eastAsia" w:asciiTheme="minorEastAsia" w:hAnsiTheme="minorEastAsia" w:eastAsiaTheme="minorEastAsia"/>
                <w:color w:val="auto"/>
                <w:sz w:val="18"/>
              </w:rPr>
              <w:t>5.4</w:t>
            </w:r>
          </w:p>
        </w:tc>
        <w:tc>
          <w:tcPr>
            <w:tcW w:w="945" w:type="pct"/>
            <w:tcBorders>
              <w:tl2br w:val="nil"/>
              <w:tr2bl w:val="nil"/>
            </w:tcBorders>
            <w:vAlign w:val="center"/>
          </w:tcPr>
          <w:p>
            <w:pPr>
              <w:pStyle w:val="12"/>
              <w:ind w:firstLine="0" w:firstLineChars="0"/>
              <w:jc w:val="center"/>
              <w:rPr>
                <w:rFonts w:asciiTheme="minorEastAsia" w:hAnsiTheme="minorEastAsia" w:eastAsiaTheme="minorEastAsia"/>
                <w:color w:val="auto"/>
                <w:sz w:val="18"/>
                <w:szCs w:val="21"/>
              </w:rPr>
            </w:pPr>
            <w:r>
              <w:rPr>
                <w:rFonts w:hint="eastAsia" w:asciiTheme="minorEastAsia" w:hAnsiTheme="minorEastAsia" w:eastAsiaTheme="minorEastAsia"/>
                <w:color w:val="auto"/>
                <w:sz w:val="18"/>
                <w:szCs w:val="21"/>
              </w:rPr>
              <w:t>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6" w:type="pct"/>
            <w:gridSpan w:val="2"/>
            <w:tcBorders>
              <w:tl2br w:val="nil"/>
              <w:tr2bl w:val="nil"/>
            </w:tcBorders>
            <w:vAlign w:val="center"/>
          </w:tcPr>
          <w:p>
            <w:pPr>
              <w:pStyle w:val="12"/>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晶粒度</w:t>
            </w:r>
          </w:p>
        </w:tc>
        <w:tc>
          <w:tcPr>
            <w:tcW w:w="2095" w:type="pct"/>
            <w:tcBorders>
              <w:tl2br w:val="nil"/>
              <w:tr2bl w:val="nil"/>
            </w:tcBorders>
            <w:vAlign w:val="center"/>
          </w:tcPr>
          <w:p>
            <w:pPr>
              <w:pStyle w:val="12"/>
              <w:ind w:firstLine="0" w:firstLineChars="0"/>
              <w:rPr>
                <w:rFonts w:asciiTheme="minorEastAsia" w:hAnsiTheme="minorEastAsia" w:eastAsiaTheme="minorEastAsia"/>
                <w:color w:val="auto"/>
                <w:sz w:val="18"/>
                <w:szCs w:val="21"/>
              </w:rPr>
            </w:pPr>
            <w:r>
              <w:rPr>
                <w:rFonts w:hint="eastAsia" w:asciiTheme="minorEastAsia" w:hAnsiTheme="minorEastAsia" w:eastAsiaTheme="minorEastAsia"/>
                <w:color w:val="auto"/>
                <w:sz w:val="18"/>
                <w:szCs w:val="21"/>
              </w:rPr>
              <w:t>每批</w:t>
            </w:r>
            <w:r>
              <w:rPr>
                <w:rFonts w:hint="eastAsia" w:asciiTheme="minorEastAsia" w:hAnsiTheme="minorEastAsia" w:eastAsiaTheme="minorEastAsia"/>
                <w:color w:val="auto"/>
                <w:sz w:val="18"/>
              </w:rPr>
              <w:t>任取2卷，每</w:t>
            </w:r>
            <w:r>
              <w:rPr>
                <w:rFonts w:hint="eastAsia" w:asciiTheme="minorEastAsia" w:hAnsiTheme="minorEastAsia" w:eastAsiaTheme="minorEastAsia"/>
                <w:color w:val="auto"/>
                <w:sz w:val="18"/>
                <w:szCs w:val="21"/>
              </w:rPr>
              <w:t>卷取1个试样</w:t>
            </w:r>
          </w:p>
        </w:tc>
        <w:tc>
          <w:tcPr>
            <w:tcW w:w="1014" w:type="pct"/>
            <w:tcBorders>
              <w:tl2br w:val="nil"/>
              <w:tr2bl w:val="nil"/>
            </w:tcBorders>
            <w:vAlign w:val="center"/>
          </w:tcPr>
          <w:p>
            <w:pPr>
              <w:pStyle w:val="12"/>
              <w:ind w:firstLine="0" w:firstLineChars="0"/>
              <w:jc w:val="center"/>
              <w:rPr>
                <w:rFonts w:asciiTheme="minorEastAsia" w:hAnsiTheme="minorEastAsia" w:eastAsiaTheme="minorEastAsia"/>
                <w:color w:val="auto"/>
                <w:sz w:val="18"/>
                <w:szCs w:val="21"/>
              </w:rPr>
            </w:pPr>
            <w:r>
              <w:rPr>
                <w:rFonts w:hint="eastAsia" w:asciiTheme="minorEastAsia" w:hAnsiTheme="minorEastAsia" w:eastAsiaTheme="minorEastAsia"/>
                <w:color w:val="auto"/>
                <w:sz w:val="18"/>
                <w:szCs w:val="21"/>
              </w:rPr>
              <w:t>5.5</w:t>
            </w:r>
          </w:p>
        </w:tc>
        <w:tc>
          <w:tcPr>
            <w:tcW w:w="945" w:type="pct"/>
            <w:tcBorders>
              <w:tl2br w:val="nil"/>
              <w:tr2bl w:val="nil"/>
            </w:tcBorders>
            <w:vAlign w:val="center"/>
          </w:tcPr>
          <w:p>
            <w:pPr>
              <w:pStyle w:val="12"/>
              <w:ind w:firstLine="0" w:firstLineChars="0"/>
              <w:jc w:val="center"/>
              <w:rPr>
                <w:rFonts w:asciiTheme="minorEastAsia" w:hAnsiTheme="minorEastAsia" w:eastAsiaTheme="minorEastAsia"/>
                <w:color w:val="auto"/>
                <w:sz w:val="18"/>
              </w:rPr>
            </w:pPr>
            <w:r>
              <w:rPr>
                <w:rFonts w:hint="eastAsia" w:asciiTheme="minorEastAsia" w:hAnsiTheme="minorEastAsia" w:eastAsiaTheme="minorEastAsia"/>
                <w:color w:val="auto"/>
                <w:sz w:val="18"/>
              </w:rPr>
              <w:t>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6" w:type="pct"/>
            <w:gridSpan w:val="2"/>
            <w:tcBorders>
              <w:tl2br w:val="nil"/>
              <w:tr2bl w:val="nil"/>
            </w:tcBorders>
            <w:vAlign w:val="center"/>
          </w:tcPr>
          <w:p>
            <w:pPr>
              <w:pStyle w:val="12"/>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氢脆试验</w:t>
            </w:r>
          </w:p>
        </w:tc>
        <w:tc>
          <w:tcPr>
            <w:tcW w:w="2095" w:type="pct"/>
            <w:tcBorders>
              <w:tl2br w:val="nil"/>
              <w:tr2bl w:val="nil"/>
            </w:tcBorders>
            <w:vAlign w:val="center"/>
          </w:tcPr>
          <w:p>
            <w:pPr>
              <w:spacing w:line="24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21"/>
              </w:rPr>
              <w:t>每批</w:t>
            </w:r>
            <w:r>
              <w:rPr>
                <w:rFonts w:hint="eastAsia" w:asciiTheme="minorEastAsia" w:hAnsiTheme="minorEastAsia" w:eastAsiaTheme="minorEastAsia"/>
                <w:color w:val="auto"/>
                <w:sz w:val="18"/>
              </w:rPr>
              <w:t>任取2卷，</w:t>
            </w:r>
            <w:r>
              <w:rPr>
                <w:rFonts w:hint="eastAsia" w:asciiTheme="minorEastAsia" w:hAnsiTheme="minorEastAsia" w:eastAsiaTheme="minorEastAsia"/>
                <w:color w:val="auto"/>
                <w:sz w:val="18"/>
                <w:szCs w:val="21"/>
              </w:rPr>
              <w:t>每卷取1个试样</w:t>
            </w:r>
          </w:p>
        </w:tc>
        <w:tc>
          <w:tcPr>
            <w:tcW w:w="1014" w:type="pct"/>
            <w:tcBorders>
              <w:tl2br w:val="nil"/>
              <w:tr2bl w:val="nil"/>
            </w:tcBorders>
            <w:vAlign w:val="center"/>
          </w:tcPr>
          <w:p>
            <w:pPr>
              <w:pStyle w:val="12"/>
              <w:ind w:firstLine="0" w:firstLineChars="0"/>
              <w:jc w:val="center"/>
              <w:rPr>
                <w:rFonts w:asciiTheme="minorEastAsia" w:hAnsiTheme="minorEastAsia" w:eastAsiaTheme="minorEastAsia"/>
                <w:color w:val="auto"/>
                <w:sz w:val="18"/>
                <w:szCs w:val="21"/>
              </w:rPr>
            </w:pPr>
            <w:r>
              <w:rPr>
                <w:rFonts w:hint="eastAsia" w:asciiTheme="minorEastAsia" w:hAnsiTheme="minorEastAsia" w:eastAsiaTheme="minorEastAsia"/>
                <w:color w:val="auto"/>
                <w:sz w:val="18"/>
                <w:szCs w:val="21"/>
              </w:rPr>
              <w:t>5.6</w:t>
            </w:r>
          </w:p>
        </w:tc>
        <w:tc>
          <w:tcPr>
            <w:tcW w:w="945" w:type="pct"/>
            <w:tcBorders>
              <w:tl2br w:val="nil"/>
              <w:tr2bl w:val="nil"/>
            </w:tcBorders>
            <w:vAlign w:val="center"/>
          </w:tcPr>
          <w:p>
            <w:pPr>
              <w:pStyle w:val="12"/>
              <w:ind w:firstLine="0" w:firstLineChars="0"/>
              <w:jc w:val="center"/>
              <w:rPr>
                <w:rFonts w:asciiTheme="minorEastAsia" w:hAnsiTheme="minorEastAsia" w:eastAsiaTheme="minorEastAsia"/>
                <w:color w:val="auto"/>
                <w:sz w:val="18"/>
                <w:szCs w:val="21"/>
              </w:rPr>
            </w:pPr>
            <w:r>
              <w:rPr>
                <w:rFonts w:hint="eastAsia" w:asciiTheme="minorEastAsia" w:hAnsiTheme="minorEastAsia" w:eastAsiaTheme="minorEastAsia"/>
                <w:color w:val="auto"/>
                <w:sz w:val="18"/>
                <w:szCs w:val="21"/>
              </w:rPr>
              <w:t>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6" w:type="pct"/>
            <w:gridSpan w:val="2"/>
            <w:tcBorders>
              <w:tl2br w:val="nil"/>
              <w:tr2bl w:val="nil"/>
            </w:tcBorders>
            <w:vAlign w:val="center"/>
          </w:tcPr>
          <w:p>
            <w:pPr>
              <w:pStyle w:val="12"/>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表面粗糙度</w:t>
            </w:r>
          </w:p>
        </w:tc>
        <w:tc>
          <w:tcPr>
            <w:tcW w:w="2095" w:type="pct"/>
            <w:tcBorders>
              <w:tl2br w:val="nil"/>
              <w:tr2bl w:val="nil"/>
            </w:tcBorders>
            <w:vAlign w:val="center"/>
          </w:tcPr>
          <w:p>
            <w:pPr>
              <w:spacing w:line="240" w:lineRule="auto"/>
              <w:rPr>
                <w:rFonts w:asciiTheme="minorEastAsia" w:hAnsiTheme="minorEastAsia" w:eastAsiaTheme="minorEastAsia"/>
                <w:color w:val="auto"/>
                <w:sz w:val="18"/>
                <w:szCs w:val="21"/>
              </w:rPr>
            </w:pPr>
            <w:r>
              <w:rPr>
                <w:rFonts w:hint="eastAsia"/>
                <w:color w:val="auto"/>
                <w:sz w:val="18"/>
              </w:rPr>
              <w:t>每批</w:t>
            </w:r>
            <w:r>
              <w:rPr>
                <w:rFonts w:hint="eastAsia"/>
                <w:color w:val="auto"/>
                <w:sz w:val="18"/>
                <w:szCs w:val="21"/>
              </w:rPr>
              <w:t>任取1卷，</w:t>
            </w:r>
            <w:r>
              <w:rPr>
                <w:rFonts w:hint="eastAsia" w:ascii="宋体" w:hAnsi="宋体"/>
                <w:color w:val="auto"/>
                <w:sz w:val="18"/>
                <w:szCs w:val="18"/>
              </w:rPr>
              <w:t>每卷取1个试样</w:t>
            </w:r>
          </w:p>
        </w:tc>
        <w:tc>
          <w:tcPr>
            <w:tcW w:w="1014" w:type="pct"/>
            <w:tcBorders>
              <w:tl2br w:val="nil"/>
              <w:tr2bl w:val="nil"/>
            </w:tcBorders>
            <w:vAlign w:val="center"/>
          </w:tcPr>
          <w:p>
            <w:pPr>
              <w:pStyle w:val="12"/>
              <w:ind w:firstLine="0" w:firstLineChars="0"/>
              <w:jc w:val="center"/>
              <w:rPr>
                <w:rFonts w:asciiTheme="minorEastAsia" w:hAnsiTheme="minorEastAsia" w:eastAsiaTheme="minorEastAsia"/>
                <w:color w:val="auto"/>
                <w:sz w:val="18"/>
                <w:szCs w:val="21"/>
              </w:rPr>
            </w:pPr>
          </w:p>
        </w:tc>
        <w:tc>
          <w:tcPr>
            <w:tcW w:w="945" w:type="pct"/>
            <w:tcBorders>
              <w:tl2br w:val="nil"/>
              <w:tr2bl w:val="nil"/>
            </w:tcBorders>
            <w:vAlign w:val="center"/>
          </w:tcPr>
          <w:p>
            <w:pPr>
              <w:pStyle w:val="12"/>
              <w:ind w:firstLine="0" w:firstLineChars="0"/>
              <w:jc w:val="center"/>
              <w:rPr>
                <w:rFonts w:asciiTheme="minorEastAsia" w:hAnsiTheme="minorEastAsia" w:eastAsiaTheme="minorEastAsia"/>
                <w:color w:val="auto"/>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6" w:type="pct"/>
            <w:gridSpan w:val="2"/>
            <w:tcBorders>
              <w:tl2br w:val="nil"/>
              <w:tr2bl w:val="nil"/>
            </w:tcBorders>
            <w:vAlign w:val="center"/>
          </w:tcPr>
          <w:p>
            <w:pPr>
              <w:pStyle w:val="12"/>
              <w:ind w:firstLine="0" w:firstLineChars="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表面质量</w:t>
            </w:r>
          </w:p>
        </w:tc>
        <w:tc>
          <w:tcPr>
            <w:tcW w:w="2095" w:type="pct"/>
            <w:tcBorders>
              <w:tl2br w:val="nil"/>
              <w:tr2bl w:val="nil"/>
            </w:tcBorders>
            <w:vAlign w:val="center"/>
          </w:tcPr>
          <w:p>
            <w:pPr>
              <w:pStyle w:val="12"/>
              <w:ind w:firstLine="0" w:firstLineChars="0"/>
              <w:rPr>
                <w:rFonts w:asciiTheme="minorEastAsia" w:hAnsiTheme="minorEastAsia" w:eastAsiaTheme="minorEastAsia"/>
                <w:color w:val="auto"/>
                <w:sz w:val="18"/>
                <w:szCs w:val="21"/>
              </w:rPr>
            </w:pPr>
            <w:r>
              <w:rPr>
                <w:rFonts w:hint="eastAsia" w:asciiTheme="minorEastAsia" w:hAnsiTheme="minorEastAsia" w:eastAsiaTheme="minorEastAsia"/>
                <w:color w:val="auto"/>
                <w:sz w:val="18"/>
                <w:szCs w:val="21"/>
              </w:rPr>
              <w:t>逐卷检查</w:t>
            </w:r>
          </w:p>
        </w:tc>
        <w:tc>
          <w:tcPr>
            <w:tcW w:w="1014" w:type="pct"/>
            <w:tcBorders>
              <w:tl2br w:val="nil"/>
              <w:tr2bl w:val="nil"/>
            </w:tcBorders>
            <w:vAlign w:val="center"/>
          </w:tcPr>
          <w:p>
            <w:pPr>
              <w:pStyle w:val="12"/>
              <w:ind w:firstLine="0" w:firstLineChars="0"/>
              <w:jc w:val="center"/>
              <w:rPr>
                <w:rFonts w:asciiTheme="minorEastAsia" w:hAnsiTheme="minorEastAsia" w:eastAsiaTheme="minorEastAsia"/>
                <w:color w:val="auto"/>
                <w:sz w:val="18"/>
                <w:szCs w:val="21"/>
              </w:rPr>
            </w:pPr>
            <w:r>
              <w:rPr>
                <w:rFonts w:hint="eastAsia" w:asciiTheme="minorEastAsia" w:hAnsiTheme="minorEastAsia" w:eastAsiaTheme="minorEastAsia"/>
                <w:color w:val="auto"/>
                <w:sz w:val="18"/>
                <w:szCs w:val="21"/>
              </w:rPr>
              <w:t>5.7</w:t>
            </w:r>
          </w:p>
        </w:tc>
        <w:tc>
          <w:tcPr>
            <w:tcW w:w="945" w:type="pct"/>
            <w:tcBorders>
              <w:tl2br w:val="nil"/>
              <w:tr2bl w:val="nil"/>
            </w:tcBorders>
            <w:vAlign w:val="center"/>
          </w:tcPr>
          <w:p>
            <w:pPr>
              <w:pStyle w:val="12"/>
              <w:ind w:firstLine="0" w:firstLineChars="0"/>
              <w:jc w:val="center"/>
              <w:rPr>
                <w:rFonts w:asciiTheme="minorEastAsia" w:hAnsiTheme="minorEastAsia" w:eastAsiaTheme="minorEastAsia"/>
                <w:color w:val="auto"/>
                <w:sz w:val="18"/>
                <w:szCs w:val="21"/>
              </w:rPr>
            </w:pPr>
            <w:r>
              <w:rPr>
                <w:rFonts w:hint="eastAsia" w:asciiTheme="minorEastAsia" w:hAnsiTheme="minorEastAsia" w:eastAsiaTheme="minorEastAsia"/>
                <w:color w:val="auto"/>
                <w:sz w:val="18"/>
                <w:szCs w:val="21"/>
              </w:rPr>
              <w:t>6.7</w:t>
            </w:r>
          </w:p>
        </w:tc>
      </w:tr>
    </w:tbl>
    <w:p>
      <w:pPr>
        <w:pStyle w:val="2"/>
        <w:spacing w:before="240" w:after="240"/>
        <w:rPr>
          <w:color w:val="auto"/>
        </w:rPr>
      </w:pPr>
      <w:r>
        <w:rPr>
          <w:rFonts w:hint="eastAsia"/>
          <w:color w:val="auto"/>
        </w:rPr>
        <w:t>7.5  检验结果的判定</w:t>
      </w:r>
    </w:p>
    <w:p>
      <w:pPr>
        <w:pStyle w:val="3"/>
        <w:ind w:firstLine="0" w:firstLineChars="0"/>
        <w:rPr>
          <w:color w:val="auto"/>
        </w:rPr>
      </w:pPr>
      <w:r>
        <w:rPr>
          <w:rFonts w:hint="eastAsia" w:ascii="黑体" w:eastAsia="黑体"/>
          <w:color w:val="auto"/>
        </w:rPr>
        <w:t xml:space="preserve">7.5.1 </w:t>
      </w:r>
      <w:r>
        <w:rPr>
          <w:rFonts w:hint="eastAsia"/>
          <w:color w:val="auto"/>
        </w:rPr>
        <w:t>检验结果的数值按GB/T 8170规定进行修约，并采用修约值比较法判定。</w:t>
      </w:r>
    </w:p>
    <w:p>
      <w:pPr>
        <w:pStyle w:val="3"/>
        <w:ind w:firstLine="0" w:firstLineChars="0"/>
        <w:rPr>
          <w:color w:val="auto"/>
        </w:rPr>
      </w:pPr>
      <w:r>
        <w:rPr>
          <w:rFonts w:hint="eastAsia" w:ascii="黑体" w:eastAsia="黑体"/>
          <w:color w:val="auto"/>
        </w:rPr>
        <w:t>7.5.2</w:t>
      </w:r>
      <w:r>
        <w:rPr>
          <w:rFonts w:hint="eastAsia"/>
          <w:color w:val="auto"/>
        </w:rPr>
        <w:t>化学成分不合格时，判该批产品不合格。</w:t>
      </w:r>
    </w:p>
    <w:p>
      <w:pPr>
        <w:pStyle w:val="3"/>
        <w:ind w:firstLine="0" w:firstLineChars="0"/>
        <w:rPr>
          <w:color w:val="auto"/>
        </w:rPr>
      </w:pPr>
      <w:r>
        <w:rPr>
          <w:rFonts w:hint="eastAsia" w:ascii="黑体" w:eastAsia="黑体"/>
          <w:color w:val="auto"/>
        </w:rPr>
        <w:t>7.5.3</w:t>
      </w:r>
      <w:r>
        <w:rPr>
          <w:rFonts w:hint="eastAsia"/>
          <w:color w:val="auto"/>
        </w:rPr>
        <w:t>外形尺寸和表面质量不合格时，判该卷不合格。</w:t>
      </w:r>
    </w:p>
    <w:p>
      <w:pPr>
        <w:pStyle w:val="3"/>
        <w:ind w:firstLine="0" w:firstLineChars="0"/>
        <w:rPr>
          <w:color w:val="auto"/>
        </w:rPr>
      </w:pPr>
      <w:r>
        <w:rPr>
          <w:rFonts w:hint="eastAsia" w:ascii="黑体" w:eastAsia="黑体"/>
          <w:color w:val="auto"/>
        </w:rPr>
        <w:t>7.5.4</w:t>
      </w:r>
      <w:r>
        <w:rPr>
          <w:rFonts w:hint="eastAsia"/>
          <w:color w:val="auto"/>
        </w:rPr>
        <w:t xml:space="preserve"> 当力学性能、电性能、晶粒度、氢脆试验、的试验结果中有试样不合格时，应从该批产品（包括原检验不合格的产品）中另取双倍数量的试样进行重复试验，重复试验结果全部合格，则判整批产品合格。若重复试验结果仍有试样不合格，则判该批产品不合格，或由供方逐卷检验，逐卷判定。</w:t>
      </w:r>
    </w:p>
    <w:p>
      <w:pPr>
        <w:pStyle w:val="2"/>
        <w:spacing w:before="240" w:after="240"/>
        <w:rPr>
          <w:b/>
          <w:color w:val="auto"/>
        </w:rPr>
      </w:pPr>
      <w:r>
        <w:rPr>
          <w:rFonts w:hint="eastAsia"/>
          <w:color w:val="auto"/>
        </w:rPr>
        <w:t>8  标志、包装、运输、贮存和</w:t>
      </w:r>
      <w:r>
        <w:rPr>
          <w:rFonts w:hint="eastAsia" w:hAnsi="Calibri"/>
          <w:color w:val="auto"/>
        </w:rPr>
        <w:t>随行文件</w:t>
      </w:r>
    </w:p>
    <w:p>
      <w:pPr>
        <w:pStyle w:val="2"/>
        <w:spacing w:before="240" w:after="240"/>
        <w:rPr>
          <w:color w:val="auto"/>
        </w:rPr>
      </w:pPr>
      <w:r>
        <w:rPr>
          <w:color w:val="auto"/>
        </w:rPr>
        <w:t xml:space="preserve">8.1 </w:t>
      </w:r>
      <w:r>
        <w:rPr>
          <w:rFonts w:hint="eastAsia"/>
          <w:color w:val="auto"/>
        </w:rPr>
        <w:t>标志、包装、运输、贮存</w:t>
      </w:r>
    </w:p>
    <w:p>
      <w:pPr>
        <w:ind w:firstLine="420" w:firstLineChars="200"/>
        <w:rPr>
          <w:rFonts w:ascii="宋体" w:hAnsi="宋体"/>
          <w:color w:val="auto"/>
          <w:sz w:val="21"/>
          <w:szCs w:val="21"/>
        </w:rPr>
      </w:pPr>
      <w:r>
        <w:rPr>
          <w:rFonts w:hint="eastAsia" w:ascii="宋体" w:hAnsi="宋体"/>
          <w:color w:val="auto"/>
          <w:sz w:val="21"/>
          <w:szCs w:val="21"/>
        </w:rPr>
        <w:t>带材的标志、包装、运输、贮存应符合GB/T 8888的规定。</w:t>
      </w:r>
    </w:p>
    <w:p>
      <w:pPr>
        <w:pStyle w:val="2"/>
        <w:spacing w:before="240" w:after="240"/>
        <w:rPr>
          <w:color w:val="auto"/>
        </w:rPr>
      </w:pPr>
      <w:r>
        <w:rPr>
          <w:rFonts w:hint="eastAsia"/>
          <w:color w:val="auto"/>
        </w:rPr>
        <w:t>8.2 随行文件</w:t>
      </w:r>
    </w:p>
    <w:p>
      <w:pPr>
        <w:ind w:firstLine="420" w:firstLineChars="200"/>
        <w:rPr>
          <w:color w:val="auto"/>
          <w:sz w:val="21"/>
          <w:szCs w:val="21"/>
        </w:rPr>
      </w:pPr>
      <w:r>
        <w:rPr>
          <w:color w:val="auto"/>
          <w:sz w:val="21"/>
          <w:szCs w:val="21"/>
        </w:rPr>
        <w:t>每批产品应附有随行文件，其中除应包括供方信息、产品信息、本文件编号、出厂日期或包装日期外，还宜包括：</w:t>
      </w:r>
    </w:p>
    <w:p>
      <w:pPr>
        <w:numPr>
          <w:ilvl w:val="0"/>
          <w:numId w:val="4"/>
        </w:numPr>
        <w:tabs>
          <w:tab w:val="left" w:pos="780"/>
        </w:tabs>
        <w:adjustRightInd/>
        <w:spacing w:line="240" w:lineRule="auto"/>
        <w:ind w:firstLine="420" w:firstLineChars="200"/>
        <w:textAlignment w:val="auto"/>
        <w:rPr>
          <w:color w:val="auto"/>
          <w:sz w:val="21"/>
          <w:szCs w:val="21"/>
        </w:rPr>
      </w:pPr>
      <w:r>
        <w:rPr>
          <w:color w:val="auto"/>
          <w:sz w:val="21"/>
          <w:szCs w:val="21"/>
          <w:shd w:val="clear" w:color="auto" w:fill="FFFFFF"/>
        </w:rPr>
        <w:t>产品质量保证书，内容如下</w:t>
      </w:r>
      <w:r>
        <w:rPr>
          <w:color w:val="auto"/>
          <w:sz w:val="21"/>
          <w:szCs w:val="21"/>
        </w:rPr>
        <w:t>：</w:t>
      </w:r>
    </w:p>
    <w:p>
      <w:pPr>
        <w:tabs>
          <w:tab w:val="left" w:pos="780"/>
          <w:tab w:val="left" w:pos="7407"/>
        </w:tabs>
        <w:ind w:firstLine="420" w:firstLineChars="200"/>
        <w:rPr>
          <w:color w:val="auto"/>
          <w:sz w:val="21"/>
          <w:szCs w:val="21"/>
        </w:rPr>
      </w:pPr>
      <w:r>
        <w:rPr>
          <w:rFonts w:hint="eastAsia" w:ascii="宋体" w:hAnsi="宋体" w:cs="宋体"/>
          <w:color w:val="auto"/>
          <w:sz w:val="21"/>
          <w:szCs w:val="21"/>
        </w:rPr>
        <w:t>·</w:t>
      </w:r>
      <w:r>
        <w:rPr>
          <w:color w:val="auto"/>
          <w:sz w:val="21"/>
          <w:szCs w:val="21"/>
        </w:rPr>
        <w:t xml:space="preserve"> 产品的主要性能及技术参数；</w:t>
      </w:r>
      <w:r>
        <w:rPr>
          <w:rFonts w:hint="eastAsia"/>
          <w:color w:val="auto"/>
          <w:sz w:val="21"/>
          <w:szCs w:val="21"/>
        </w:rPr>
        <w:tab/>
      </w:r>
    </w:p>
    <w:p>
      <w:pPr>
        <w:tabs>
          <w:tab w:val="left" w:pos="780"/>
        </w:tabs>
        <w:ind w:firstLine="420" w:firstLineChars="200"/>
        <w:rPr>
          <w:color w:val="auto"/>
          <w:sz w:val="21"/>
          <w:szCs w:val="21"/>
        </w:rPr>
      </w:pPr>
      <w:r>
        <w:rPr>
          <w:rFonts w:hint="eastAsia" w:ascii="宋体" w:hAnsi="宋体" w:cs="宋体"/>
          <w:color w:val="auto"/>
          <w:sz w:val="21"/>
          <w:szCs w:val="21"/>
        </w:rPr>
        <w:t>·</w:t>
      </w:r>
      <w:r>
        <w:rPr>
          <w:color w:val="auto"/>
          <w:sz w:val="21"/>
          <w:szCs w:val="21"/>
        </w:rPr>
        <w:t xml:space="preserve">  产品特点（包括制造工艺及原材料的特点）；</w:t>
      </w:r>
    </w:p>
    <w:p>
      <w:pPr>
        <w:tabs>
          <w:tab w:val="left" w:pos="780"/>
        </w:tabs>
        <w:ind w:firstLine="420" w:firstLineChars="200"/>
        <w:rPr>
          <w:color w:val="auto"/>
          <w:sz w:val="21"/>
          <w:szCs w:val="21"/>
        </w:rPr>
      </w:pPr>
      <w:r>
        <w:rPr>
          <w:rFonts w:hint="eastAsia" w:ascii="宋体" w:hAnsi="宋体" w:cs="宋体"/>
          <w:color w:val="auto"/>
          <w:sz w:val="21"/>
          <w:szCs w:val="21"/>
        </w:rPr>
        <w:t>·</w:t>
      </w:r>
      <w:r>
        <w:rPr>
          <w:color w:val="auto"/>
          <w:sz w:val="21"/>
          <w:szCs w:val="21"/>
        </w:rPr>
        <w:t xml:space="preserve">  对产品质量所负的责任；</w:t>
      </w:r>
    </w:p>
    <w:p>
      <w:pPr>
        <w:tabs>
          <w:tab w:val="left" w:pos="780"/>
        </w:tabs>
        <w:ind w:firstLine="420" w:firstLineChars="200"/>
        <w:rPr>
          <w:color w:val="auto"/>
          <w:sz w:val="21"/>
          <w:szCs w:val="21"/>
        </w:rPr>
      </w:pPr>
      <w:r>
        <w:rPr>
          <w:rFonts w:hint="eastAsia" w:ascii="宋体" w:hAnsi="宋体" w:cs="宋体"/>
          <w:color w:val="auto"/>
          <w:sz w:val="21"/>
          <w:szCs w:val="21"/>
        </w:rPr>
        <w:t>·</w:t>
      </w:r>
      <w:r>
        <w:rPr>
          <w:color w:val="auto"/>
          <w:sz w:val="21"/>
          <w:szCs w:val="21"/>
        </w:rPr>
        <w:t xml:space="preserve">  产品获得的质量认证及</w:t>
      </w:r>
      <w:r>
        <w:rPr>
          <w:color w:val="auto"/>
          <w:sz w:val="21"/>
          <w:szCs w:val="21"/>
          <w:shd w:val="clear" w:color="auto" w:fill="FFFFFF"/>
        </w:rPr>
        <w:t>带</w:t>
      </w:r>
      <w:r>
        <w:rPr>
          <w:color w:val="auto"/>
          <w:sz w:val="21"/>
          <w:szCs w:val="21"/>
        </w:rPr>
        <w:t>供方技术监督部门检印的各项分析检验结果。</w:t>
      </w:r>
    </w:p>
    <w:p>
      <w:pPr>
        <w:numPr>
          <w:ilvl w:val="0"/>
          <w:numId w:val="4"/>
        </w:numPr>
        <w:tabs>
          <w:tab w:val="left" w:pos="780"/>
        </w:tabs>
        <w:adjustRightInd/>
        <w:spacing w:line="240" w:lineRule="auto"/>
        <w:ind w:firstLine="420" w:firstLineChars="200"/>
        <w:textAlignment w:val="auto"/>
        <w:rPr>
          <w:color w:val="auto"/>
          <w:sz w:val="21"/>
          <w:szCs w:val="21"/>
        </w:rPr>
      </w:pPr>
      <w:r>
        <w:rPr>
          <w:color w:val="auto"/>
          <w:sz w:val="21"/>
          <w:szCs w:val="21"/>
          <w:shd w:val="clear" w:color="auto" w:fill="FFFFFF"/>
        </w:rPr>
        <w:t>产品合格证，内容如下：</w:t>
      </w:r>
    </w:p>
    <w:p>
      <w:pPr>
        <w:tabs>
          <w:tab w:val="left" w:pos="780"/>
        </w:tabs>
        <w:ind w:firstLine="420" w:firstLineChars="200"/>
        <w:rPr>
          <w:color w:val="auto"/>
          <w:sz w:val="21"/>
          <w:szCs w:val="21"/>
        </w:rPr>
      </w:pPr>
      <w:r>
        <w:rPr>
          <w:rFonts w:hint="eastAsia" w:ascii="宋体" w:hAnsi="宋体" w:cs="宋体"/>
          <w:color w:val="auto"/>
          <w:sz w:val="21"/>
          <w:szCs w:val="21"/>
        </w:rPr>
        <w:t>·</w:t>
      </w:r>
      <w:r>
        <w:rPr>
          <w:color w:val="auto"/>
          <w:sz w:val="21"/>
          <w:szCs w:val="21"/>
        </w:rPr>
        <w:t xml:space="preserve">  检验项目及其结果或检验结论；</w:t>
      </w:r>
    </w:p>
    <w:p>
      <w:pPr>
        <w:tabs>
          <w:tab w:val="left" w:pos="780"/>
        </w:tabs>
        <w:ind w:firstLine="420" w:firstLineChars="200"/>
        <w:rPr>
          <w:color w:val="auto"/>
          <w:sz w:val="21"/>
          <w:szCs w:val="21"/>
        </w:rPr>
      </w:pPr>
      <w:r>
        <w:rPr>
          <w:rFonts w:hint="eastAsia" w:ascii="宋体" w:hAnsi="宋体" w:cs="宋体"/>
          <w:color w:val="auto"/>
          <w:sz w:val="21"/>
          <w:szCs w:val="21"/>
        </w:rPr>
        <w:t>·</w:t>
      </w:r>
      <w:r>
        <w:rPr>
          <w:color w:val="auto"/>
          <w:sz w:val="21"/>
          <w:szCs w:val="21"/>
        </w:rPr>
        <w:t xml:space="preserve">  批量或批号；</w:t>
      </w:r>
    </w:p>
    <w:p>
      <w:pPr>
        <w:tabs>
          <w:tab w:val="left" w:pos="780"/>
        </w:tabs>
        <w:ind w:firstLine="420" w:firstLineChars="200"/>
        <w:rPr>
          <w:color w:val="auto"/>
          <w:sz w:val="21"/>
          <w:szCs w:val="21"/>
        </w:rPr>
      </w:pPr>
      <w:r>
        <w:rPr>
          <w:rFonts w:hint="eastAsia" w:ascii="宋体" w:hAnsi="宋体" w:cs="宋体"/>
          <w:color w:val="auto"/>
          <w:sz w:val="21"/>
          <w:szCs w:val="21"/>
        </w:rPr>
        <w:t>·</w:t>
      </w:r>
      <w:r>
        <w:rPr>
          <w:color w:val="auto"/>
          <w:sz w:val="21"/>
          <w:szCs w:val="21"/>
        </w:rPr>
        <w:t xml:space="preserve">  检验日期；</w:t>
      </w:r>
    </w:p>
    <w:p>
      <w:pPr>
        <w:tabs>
          <w:tab w:val="left" w:pos="780"/>
        </w:tabs>
        <w:ind w:firstLine="420" w:firstLineChars="200"/>
        <w:rPr>
          <w:color w:val="auto"/>
          <w:sz w:val="21"/>
          <w:szCs w:val="21"/>
        </w:rPr>
      </w:pPr>
      <w:r>
        <w:rPr>
          <w:rFonts w:hint="eastAsia" w:ascii="宋体" w:hAnsi="宋体" w:cs="宋体"/>
          <w:color w:val="auto"/>
          <w:sz w:val="21"/>
          <w:szCs w:val="21"/>
        </w:rPr>
        <w:t>·</w:t>
      </w:r>
      <w:r>
        <w:rPr>
          <w:color w:val="auto"/>
          <w:sz w:val="21"/>
          <w:szCs w:val="21"/>
        </w:rPr>
        <w:t xml:space="preserve">  检验员签名或盖章。</w:t>
      </w:r>
    </w:p>
    <w:p>
      <w:pPr>
        <w:numPr>
          <w:ilvl w:val="0"/>
          <w:numId w:val="4"/>
        </w:numPr>
        <w:tabs>
          <w:tab w:val="left" w:pos="780"/>
        </w:tabs>
        <w:adjustRightInd/>
        <w:spacing w:line="240" w:lineRule="auto"/>
        <w:ind w:firstLine="420" w:firstLineChars="200"/>
        <w:textAlignment w:val="auto"/>
        <w:rPr>
          <w:color w:val="auto"/>
          <w:sz w:val="21"/>
          <w:szCs w:val="21"/>
        </w:rPr>
      </w:pPr>
      <w:r>
        <w:rPr>
          <w:color w:val="auto"/>
          <w:sz w:val="21"/>
          <w:szCs w:val="21"/>
          <w:shd w:val="clear" w:color="auto" w:fill="FFFFFF"/>
        </w:rPr>
        <w:t>产品</w:t>
      </w:r>
      <w:r>
        <w:rPr>
          <w:color w:val="auto"/>
          <w:sz w:val="21"/>
          <w:szCs w:val="21"/>
        </w:rPr>
        <w:t>质量控制过程中的检验报告及成品检验报告</w:t>
      </w:r>
      <w:r>
        <w:rPr>
          <w:color w:val="auto"/>
          <w:sz w:val="21"/>
          <w:szCs w:val="21"/>
          <w:shd w:val="clear" w:color="auto" w:fill="FFFFFF"/>
        </w:rPr>
        <w:t>；</w:t>
      </w:r>
    </w:p>
    <w:p>
      <w:pPr>
        <w:numPr>
          <w:ilvl w:val="0"/>
          <w:numId w:val="4"/>
        </w:numPr>
        <w:tabs>
          <w:tab w:val="left" w:pos="780"/>
        </w:tabs>
        <w:adjustRightInd/>
        <w:spacing w:line="240" w:lineRule="auto"/>
        <w:ind w:firstLine="420" w:firstLineChars="200"/>
        <w:textAlignment w:val="auto"/>
        <w:rPr>
          <w:color w:val="auto"/>
          <w:sz w:val="21"/>
          <w:szCs w:val="21"/>
        </w:rPr>
      </w:pPr>
      <w:r>
        <w:rPr>
          <w:color w:val="auto"/>
          <w:sz w:val="21"/>
          <w:szCs w:val="21"/>
          <w:shd w:val="clear" w:color="auto" w:fill="FFFFFF"/>
        </w:rPr>
        <w:t>产品使用说明：正确搬运、使用、贮存方法等；</w:t>
      </w:r>
    </w:p>
    <w:p>
      <w:pPr>
        <w:numPr>
          <w:ilvl w:val="0"/>
          <w:numId w:val="4"/>
        </w:numPr>
        <w:tabs>
          <w:tab w:val="left" w:pos="780"/>
        </w:tabs>
        <w:adjustRightInd/>
        <w:spacing w:line="240" w:lineRule="auto"/>
        <w:ind w:firstLine="420" w:firstLineChars="200"/>
        <w:textAlignment w:val="auto"/>
        <w:rPr>
          <w:color w:val="auto"/>
          <w:sz w:val="21"/>
          <w:szCs w:val="21"/>
        </w:rPr>
      </w:pPr>
      <w:r>
        <w:rPr>
          <w:color w:val="auto"/>
          <w:sz w:val="21"/>
          <w:szCs w:val="21"/>
        </w:rPr>
        <w:t>其他。</w:t>
      </w:r>
    </w:p>
    <w:p>
      <w:pPr>
        <w:pStyle w:val="2"/>
        <w:spacing w:before="240" w:after="240"/>
        <w:rPr>
          <w:color w:val="auto"/>
        </w:rPr>
      </w:pPr>
      <w:r>
        <w:rPr>
          <w:rFonts w:hint="eastAsia"/>
          <w:color w:val="auto"/>
        </w:rPr>
        <w:t xml:space="preserve">9  </w:t>
      </w:r>
      <w:r>
        <w:rPr>
          <w:rFonts w:hint="eastAsia"/>
          <w:color w:val="auto"/>
          <w:szCs w:val="21"/>
        </w:rPr>
        <w:t>订货单</w:t>
      </w:r>
      <w:r>
        <w:rPr>
          <w:rFonts w:hint="eastAsia"/>
          <w:color w:val="auto"/>
        </w:rPr>
        <w:t>内容</w:t>
      </w:r>
    </w:p>
    <w:p>
      <w:pPr>
        <w:snapToGrid w:val="0"/>
        <w:ind w:firstLine="450"/>
        <w:rPr>
          <w:rFonts w:ascii="宋体" w:hAnsi="宋体"/>
          <w:color w:val="auto"/>
          <w:sz w:val="21"/>
          <w:szCs w:val="21"/>
        </w:rPr>
      </w:pPr>
      <w:r>
        <w:rPr>
          <w:rFonts w:hint="eastAsia" w:ascii="宋体" w:hAnsi="宋体"/>
          <w:color w:val="auto"/>
          <w:sz w:val="21"/>
          <w:szCs w:val="21"/>
        </w:rPr>
        <w:t>订购本文件所列产品的订货单</w:t>
      </w:r>
      <w:r>
        <w:rPr>
          <w:rFonts w:hint="eastAsia" w:ascii="宋体" w:hAnsi="宋体"/>
          <w:color w:val="auto"/>
          <w:sz w:val="21"/>
          <w:szCs w:val="21"/>
          <w:lang w:val="en-US" w:eastAsia="zh-CN"/>
        </w:rPr>
        <w:t>内</w:t>
      </w:r>
      <w:r>
        <w:rPr>
          <w:rFonts w:hint="eastAsia" w:ascii="宋体" w:hAnsi="宋体"/>
          <w:color w:val="auto"/>
          <w:sz w:val="21"/>
          <w:szCs w:val="21"/>
        </w:rPr>
        <w:t>应包括下列内容：</w:t>
      </w:r>
    </w:p>
    <w:p>
      <w:pPr>
        <w:numPr>
          <w:ilvl w:val="0"/>
          <w:numId w:val="5"/>
        </w:numPr>
        <w:spacing w:line="240" w:lineRule="auto"/>
        <w:rPr>
          <w:rFonts w:ascii="宋体" w:hAnsi="宋体"/>
          <w:color w:val="auto"/>
          <w:sz w:val="21"/>
        </w:rPr>
      </w:pPr>
      <w:r>
        <w:rPr>
          <w:rFonts w:hint="eastAsia" w:ascii="宋体" w:hAnsi="宋体"/>
          <w:color w:val="auto"/>
          <w:sz w:val="21"/>
        </w:rPr>
        <w:t>产品名称；</w:t>
      </w:r>
    </w:p>
    <w:p>
      <w:pPr>
        <w:numPr>
          <w:ilvl w:val="0"/>
          <w:numId w:val="5"/>
        </w:numPr>
        <w:spacing w:line="240" w:lineRule="auto"/>
        <w:rPr>
          <w:rFonts w:ascii="宋体" w:hAnsi="宋体"/>
          <w:color w:val="auto"/>
          <w:sz w:val="21"/>
        </w:rPr>
      </w:pPr>
      <w:r>
        <w:rPr>
          <w:rFonts w:hint="eastAsia" w:ascii="宋体" w:hAnsi="宋体"/>
          <w:color w:val="auto"/>
          <w:sz w:val="21"/>
        </w:rPr>
        <w:t>合金牌号；</w:t>
      </w:r>
    </w:p>
    <w:p>
      <w:pPr>
        <w:numPr>
          <w:ilvl w:val="0"/>
          <w:numId w:val="5"/>
        </w:numPr>
        <w:spacing w:line="240" w:lineRule="auto"/>
        <w:rPr>
          <w:rFonts w:ascii="宋体" w:hAnsi="宋体"/>
          <w:color w:val="auto"/>
          <w:sz w:val="21"/>
        </w:rPr>
      </w:pPr>
      <w:r>
        <w:rPr>
          <w:rFonts w:hint="eastAsia" w:ascii="宋体" w:hAnsi="宋体"/>
          <w:color w:val="auto"/>
          <w:sz w:val="21"/>
        </w:rPr>
        <w:t>供应状态；</w:t>
      </w:r>
    </w:p>
    <w:p>
      <w:pPr>
        <w:numPr>
          <w:ilvl w:val="0"/>
          <w:numId w:val="5"/>
        </w:numPr>
        <w:spacing w:line="240" w:lineRule="auto"/>
        <w:rPr>
          <w:rFonts w:ascii="宋体" w:hAnsi="宋体"/>
          <w:color w:val="auto"/>
          <w:sz w:val="21"/>
        </w:rPr>
      </w:pPr>
      <w:r>
        <w:rPr>
          <w:rFonts w:hint="eastAsia" w:ascii="宋体" w:hAnsi="宋体"/>
          <w:color w:val="auto"/>
          <w:sz w:val="21"/>
        </w:rPr>
        <w:t>尺寸规格；</w:t>
      </w:r>
    </w:p>
    <w:p>
      <w:pPr>
        <w:numPr>
          <w:ilvl w:val="0"/>
          <w:numId w:val="5"/>
        </w:numPr>
        <w:spacing w:line="240" w:lineRule="auto"/>
        <w:rPr>
          <w:rFonts w:ascii="宋体" w:hAnsi="宋体"/>
          <w:color w:val="auto"/>
          <w:sz w:val="21"/>
        </w:rPr>
      </w:pPr>
      <w:r>
        <w:rPr>
          <w:rFonts w:hint="eastAsia" w:ascii="宋体" w:hAnsi="宋体"/>
          <w:color w:val="auto"/>
          <w:sz w:val="21"/>
        </w:rPr>
        <w:t>重量；</w:t>
      </w:r>
    </w:p>
    <w:p>
      <w:pPr>
        <w:numPr>
          <w:ilvl w:val="0"/>
          <w:numId w:val="5"/>
        </w:numPr>
        <w:spacing w:line="240" w:lineRule="auto"/>
        <w:rPr>
          <w:rFonts w:ascii="宋体" w:hAnsi="宋体"/>
          <w:color w:val="auto"/>
          <w:sz w:val="21"/>
        </w:rPr>
      </w:pPr>
      <w:r>
        <w:rPr>
          <w:rFonts w:hint="eastAsia" w:ascii="宋体" w:hAnsi="宋体"/>
          <w:color w:val="auto"/>
          <w:sz w:val="21"/>
        </w:rPr>
        <w:t>外形尺寸允许偏差（高精级或特殊要求时注明，未注明时按普通级）；</w:t>
      </w:r>
    </w:p>
    <w:p>
      <w:pPr>
        <w:numPr>
          <w:ilvl w:val="0"/>
          <w:numId w:val="5"/>
        </w:numPr>
        <w:spacing w:line="240" w:lineRule="auto"/>
        <w:rPr>
          <w:rFonts w:ascii="宋体" w:hAnsi="宋体"/>
          <w:color w:val="auto"/>
          <w:sz w:val="21"/>
        </w:rPr>
      </w:pPr>
      <w:r>
        <w:rPr>
          <w:rFonts w:hint="eastAsia"/>
          <w:color w:val="auto"/>
          <w:sz w:val="21"/>
        </w:rPr>
        <w:t>力学性能（拉伸试验和硬度试验</w:t>
      </w:r>
      <w:r>
        <w:rPr>
          <w:rFonts w:hint="eastAsia"/>
          <w:color w:val="auto"/>
          <w:sz w:val="21"/>
          <w:szCs w:val="21"/>
        </w:rPr>
        <w:t>二选一，未注明时，提供硬度试验</w:t>
      </w:r>
      <w:r>
        <w:rPr>
          <w:rFonts w:hint="eastAsia"/>
          <w:color w:val="auto"/>
          <w:sz w:val="21"/>
        </w:rPr>
        <w:t>）；</w:t>
      </w:r>
    </w:p>
    <w:p>
      <w:pPr>
        <w:numPr>
          <w:ilvl w:val="0"/>
          <w:numId w:val="5"/>
        </w:numPr>
        <w:spacing w:line="240" w:lineRule="auto"/>
        <w:rPr>
          <w:rFonts w:ascii="宋体" w:hAnsi="宋体"/>
          <w:color w:val="auto"/>
          <w:sz w:val="21"/>
        </w:rPr>
      </w:pPr>
      <w:r>
        <w:rPr>
          <w:rFonts w:hint="eastAsia" w:ascii="宋体" w:hAnsi="宋体"/>
          <w:color w:val="auto"/>
          <w:sz w:val="21"/>
          <w:lang w:val="en-US" w:eastAsia="zh-CN"/>
        </w:rPr>
        <w:t>晶粒度、</w:t>
      </w:r>
      <w:r>
        <w:rPr>
          <w:rFonts w:hint="eastAsia" w:ascii="宋体" w:hAnsi="宋体"/>
          <w:color w:val="auto"/>
          <w:sz w:val="21"/>
        </w:rPr>
        <w:t>氢脆试验、表面粗糙度</w:t>
      </w:r>
      <w:r>
        <w:rPr>
          <w:rFonts w:hint="eastAsia"/>
          <w:color w:val="auto"/>
          <w:sz w:val="21"/>
        </w:rPr>
        <w:t>（需方要求时）</w:t>
      </w:r>
      <w:r>
        <w:rPr>
          <w:rFonts w:hint="eastAsia" w:ascii="宋体" w:hAnsi="宋体"/>
          <w:color w:val="auto"/>
          <w:sz w:val="21"/>
        </w:rPr>
        <w:t>；</w:t>
      </w:r>
    </w:p>
    <w:p>
      <w:pPr>
        <w:pStyle w:val="40"/>
        <w:numPr>
          <w:ilvl w:val="0"/>
          <w:numId w:val="5"/>
        </w:numPr>
        <w:spacing w:line="240" w:lineRule="auto"/>
        <w:ind w:firstLineChars="0"/>
        <w:rPr>
          <w:color w:val="auto"/>
          <w:sz w:val="21"/>
        </w:rPr>
      </w:pPr>
      <w:r>
        <w:rPr>
          <w:rFonts w:hint="eastAsia" w:ascii="宋体" w:hAnsi="宋体"/>
          <w:color w:val="auto"/>
          <w:sz w:val="21"/>
        </w:rPr>
        <w:t>本文件编号；</w:t>
      </w:r>
    </w:p>
    <w:p>
      <w:pPr>
        <w:pStyle w:val="40"/>
        <w:numPr>
          <w:ilvl w:val="0"/>
          <w:numId w:val="5"/>
        </w:numPr>
        <w:spacing w:line="240" w:lineRule="auto"/>
        <w:ind w:firstLineChars="0"/>
        <w:rPr>
          <w:color w:val="auto"/>
          <w:sz w:val="21"/>
        </w:rPr>
      </w:pPr>
      <w:r>
        <w:rPr>
          <w:rFonts w:hint="eastAsia" w:ascii="宋体" w:hAnsi="宋体"/>
          <w:color w:val="auto"/>
          <w:sz w:val="21"/>
        </w:rPr>
        <w:t>其他</w:t>
      </w:r>
      <w:r>
        <w:rPr>
          <w:rFonts w:hint="eastAsia" w:ascii="宋体" w:hAnsi="宋体"/>
          <w:color w:val="auto"/>
          <w:sz w:val="18"/>
        </w:rPr>
        <w:t xml:space="preserve">。 </w:t>
      </w:r>
    </w:p>
    <w:p>
      <w:pPr>
        <w:spacing w:line="340" w:lineRule="exact"/>
        <w:rPr>
          <w:color w:val="auto"/>
          <w:sz w:val="21"/>
        </w:rPr>
      </w:pPr>
      <w:r>
        <w:rPr>
          <w:color w:val="auto"/>
          <w:sz w:val="20"/>
        </w:rPr>
        <w:pict>
          <v:line id="直线 104" o:spid="_x0000_s1133" o:spt="20" style="position:absolute;left:0pt;margin-left:150pt;margin-top:12pt;height:0pt;width:144pt;z-index:251661312;mso-width-relative:page;mso-height-relative:page;" coordsize="21600,21600" o:gfxdata="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H/gfY&#10;1wAAAAkBAAAPAAAAAAAAAAEAIAAAACIAAABkcnMvZG93bnJldi54bWxQSwECFAAUAAAACACHTuJA&#10;wEUbDukBAADeAwAADgAAAAAAAAABACAAAAAmAQAAZHJzL2Uyb0RvYy54bWxQSwUGAAAAAAYABgBZ&#10;AQAAgQUAAAAA&#10;">
            <v:path arrowok="t"/>
            <v:fill focussize="0,0"/>
            <v:stroke weight="1.25pt"/>
            <v:imagedata o:title=""/>
            <o:lock v:ext="edit"/>
          </v:line>
        </w:pict>
      </w:r>
    </w:p>
    <w:sectPr>
      <w:headerReference r:id="rId14" w:type="first"/>
      <w:footerReference r:id="rId17" w:type="first"/>
      <w:headerReference r:id="rId13" w:type="default"/>
      <w:footerReference r:id="rId15" w:type="default"/>
      <w:footerReference r:id="rId16" w:type="even"/>
      <w:pgSz w:w="11907" w:h="16840"/>
      <w:pgMar w:top="1361" w:right="1361" w:bottom="1361" w:left="1417" w:header="720" w:footer="720" w:gutter="0"/>
      <w:pgBorders>
        <w:top w:val="none" w:sz="0" w:space="0"/>
        <w:left w:val="none" w:sz="0" w:space="0"/>
        <w:bottom w:val="none" w:sz="0" w:space="0"/>
        <w:right w:val="none" w:sz="0" w:space="0"/>
      </w:pgBorders>
      <w:pgNumType w:fmt="decimal" w:start="1"/>
      <w:cols w:space="720"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r>
      <w:rPr>
        <w:sz w:val="18"/>
      </w:rPr>
      <w:pict>
        <v:shape id="_x0000_s2050" o:spid="_x0000_s2050"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8"/>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r>
      <w:rPr>
        <w:sz w:val="18"/>
      </w:rPr>
      <w:pict>
        <v:shape id="_x0000_s2051" o:spid="_x0000_s2051"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8"/>
                  <w:rPr>
                    <w:rStyle w:val="30"/>
                  </w:rPr>
                </w:pPr>
                <w:r>
                  <w:rPr>
                    <w:rStyle w:val="30"/>
                  </w:rPr>
                  <w:fldChar w:fldCharType="begin"/>
                </w:r>
                <w:r>
                  <w:rPr>
                    <w:rStyle w:val="30"/>
                  </w:rPr>
                  <w:instrText xml:space="preserve">PAGE  </w:instrText>
                </w:r>
                <w:r>
                  <w:rPr>
                    <w:rStyle w:val="30"/>
                  </w:rPr>
                  <w:fldChar w:fldCharType="separate"/>
                </w:r>
                <w:r>
                  <w:rPr>
                    <w:rStyle w:val="30"/>
                  </w:rPr>
                  <w:t>4</w:t>
                </w:r>
                <w:r>
                  <w:rPr>
                    <w:rStyle w:val="30"/>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right"/>
    </w:pPr>
    <w:r>
      <w:rPr>
        <w:sz w:val="18"/>
      </w:rPr>
      <w:pict>
        <v:shape id="_x0000_s2052" o:spid="_x0000_s2052"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8"/>
                  <w:rPr>
                    <w:rStyle w:val="30"/>
                  </w:rPr>
                </w:pPr>
                <w:r>
                  <w:rPr>
                    <w:rStyle w:val="30"/>
                  </w:rPr>
                  <w:fldChar w:fldCharType="begin"/>
                </w:r>
                <w:r>
                  <w:rPr>
                    <w:rStyle w:val="30"/>
                  </w:rPr>
                  <w:instrText xml:space="preserve">PAGE  </w:instrText>
                </w:r>
                <w:r>
                  <w:rPr>
                    <w:rStyle w:val="30"/>
                  </w:rPr>
                  <w:fldChar w:fldCharType="separate"/>
                </w:r>
                <w:r>
                  <w:rPr>
                    <w:rStyle w:val="30"/>
                  </w:rPr>
                  <w:t>5</w:t>
                </w:r>
                <w:r>
                  <w:rPr>
                    <w:rStyle w:val="30"/>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r>
      <w:rPr>
        <w:sz w:val="18"/>
      </w:rPr>
      <w:pict>
        <v:shape id="_x0000_s2057" o:spid="_x0000_s2057" o:spt="202" type="#_x0000_t202" style="position:absolute;left:0pt;margin-top:0pt;height:144pt;width:144pt;mso-position-horizontal:outside;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18"/>
                  <w:rPr>
                    <w:rStyle w:val="30"/>
                  </w:rPr>
                </w:pPr>
                <w:r>
                  <w:rPr>
                    <w:rStyle w:val="30"/>
                  </w:rPr>
                  <w:fldChar w:fldCharType="begin"/>
                </w:r>
                <w:r>
                  <w:rPr>
                    <w:rStyle w:val="30"/>
                  </w:rPr>
                  <w:instrText xml:space="preserve">PAGE  </w:instrText>
                </w:r>
                <w:r>
                  <w:rPr>
                    <w:rStyle w:val="30"/>
                  </w:rPr>
                  <w:fldChar w:fldCharType="separate"/>
                </w:r>
                <w:r>
                  <w:rPr>
                    <w:rStyle w:val="30"/>
                  </w:rPr>
                  <w:t>4</w:t>
                </w:r>
                <w:r>
                  <w:rPr>
                    <w:rStyle w:val="30"/>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w:pict>
        <v:shape id="_x0000_s2053" o:spid="_x0000_s2053"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right"/>
    </w:pPr>
    <w:r>
      <w:rPr>
        <w:sz w:val="18"/>
      </w:rPr>
      <w:pict>
        <v:shape id="_x0000_s2055" o:spid="_x0000_s2055" o:spt="202" type="#_x0000_t202" style="position:absolute;left:0pt;margin-top:0pt;height:144pt;width:144pt;mso-position-horizontal:outside;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8"/>
                  <w:rPr>
                    <w:rStyle w:val="30"/>
                  </w:rPr>
                </w:pPr>
                <w:r>
                  <w:rPr>
                    <w:rStyle w:val="30"/>
                  </w:rPr>
                  <w:fldChar w:fldCharType="begin"/>
                </w:r>
                <w:r>
                  <w:rPr>
                    <w:rStyle w:val="30"/>
                  </w:rPr>
                  <w:instrText xml:space="preserve">PAGE  </w:instrText>
                </w:r>
                <w:r>
                  <w:rPr>
                    <w:rStyle w:val="30"/>
                  </w:rPr>
                  <w:fldChar w:fldCharType="separate"/>
                </w:r>
                <w:r>
                  <w:rPr>
                    <w:rStyle w:val="30"/>
                  </w:rPr>
                  <w:t>5</w:t>
                </w:r>
                <w:r>
                  <w:rPr>
                    <w:rStyle w:val="30"/>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r>
      <w:rPr>
        <w:sz w:val="18"/>
      </w:rPr>
      <w:pict>
        <v:shape id="_x0000_s2056" o:spid="_x0000_s2056" o:spt="202" type="#_x0000_t202" style="position:absolute;left:0pt;margin-top:0pt;height:144pt;width:144pt;mso-position-horizontal:outside;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18"/>
                  <w:rPr>
                    <w:rStyle w:val="30"/>
                  </w:rPr>
                </w:pPr>
                <w:r>
                  <w:rPr>
                    <w:rStyle w:val="30"/>
                  </w:rPr>
                  <w:fldChar w:fldCharType="begin"/>
                </w:r>
                <w:r>
                  <w:rPr>
                    <w:rStyle w:val="30"/>
                  </w:rPr>
                  <w:instrText xml:space="preserve">PAGE  </w:instrText>
                </w:r>
                <w:r>
                  <w:rPr>
                    <w:rStyle w:val="30"/>
                  </w:rPr>
                  <w:fldChar w:fldCharType="separate"/>
                </w:r>
                <w:r>
                  <w:rPr>
                    <w:rStyle w:val="30"/>
                  </w:rPr>
                  <w:t>4</w:t>
                </w:r>
                <w:r>
                  <w:rPr>
                    <w:rStyle w:val="30"/>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w:pict>
        <v:shape id="_x0000_s2054" o:spid="_x0000_s2054"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rPr>
        <w:sz w:val="20"/>
      </w:rPr>
      <w:pict>
        <v:shape id="_x0000_s2049" o:spid="_x0000_s2049" o:spt="202" type="#_x0000_t202" style="position:absolute;left:0pt;margin-left:0pt;margin-top:-12.75pt;height:24.45pt;width:96pt;mso-wrap-distance-bottom:0pt;mso-wrap-distance-left:9pt;mso-wrap-distance-right:9pt;mso-wrap-distance-top:0pt;z-index:251660288;mso-width-relative:page;mso-height-relative:page;" stroked="f" coordsize="21600,21600" o:gfxdata="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RMMY9YAAAAHAQAADwAAAAAAAAABACAAAAAiAAAAZHJzL2Rvd25yZXYueG1sUEsB&#10;AhQAFAAAAAgAh07iQBmQTYO+AQAAdwMAAA4AAAAAAAAAAQAgAAAAJQEAAGRycy9lMm9Eb2MueG1s&#10;UEsFBgAAAAAGAAYAWQEAAFUFAAAAAA==&#10;">
          <v:path/>
          <v:fill focussize="0,0"/>
          <v:stroke on="f" joinstyle="miter"/>
          <v:imagedata o:title=""/>
          <o:lock v:ext="edit"/>
          <v:textbox>
            <w:txbxContent>
              <w:p>
                <w:pPr>
                  <w:rPr>
                    <w:sz w:val="18"/>
                  </w:rPr>
                </w:pPr>
                <w:r>
                  <w:rPr>
                    <w:rFonts w:hint="eastAsia"/>
                    <w:sz w:val="18"/>
                  </w:rPr>
                  <w:t>GB/T 8888－2002</w:t>
                </w:r>
              </w:p>
            </w:txbxContent>
          </v:textbox>
          <w10:wrap type="squar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28CDA"/>
    <w:multiLevelType w:val="singleLevel"/>
    <w:tmpl w:val="A8128CDA"/>
    <w:lvl w:ilvl="0" w:tentative="0">
      <w:start w:val="1"/>
      <w:numFmt w:val="lowerLetter"/>
      <w:suff w:val="space"/>
      <w:lvlText w:val="%1）"/>
      <w:lvlJc w:val="left"/>
    </w:lvl>
  </w:abstractNum>
  <w:abstractNum w:abstractNumId="1">
    <w:nsid w:val="3EBF5EDB"/>
    <w:multiLevelType w:val="multilevel"/>
    <w:tmpl w:val="3EBF5EDB"/>
    <w:lvl w:ilvl="0" w:tentative="0">
      <w:start w:val="1"/>
      <w:numFmt w:val="decimal"/>
      <w:suff w:val="space"/>
      <w:lvlText w:val="%1 "/>
      <w:lvlJc w:val="left"/>
      <w:pPr>
        <w:ind w:left="0" w:firstLine="0"/>
      </w:pPr>
      <w:rPr>
        <w:rFonts w:hint="default" w:ascii="Verdana" w:hAnsi="Verdana" w:eastAsia="黑体"/>
        <w:sz w:val="21"/>
      </w:rPr>
    </w:lvl>
    <w:lvl w:ilvl="1" w:tentative="0">
      <w:start w:val="1"/>
      <w:numFmt w:val="decimal"/>
      <w:suff w:val="space"/>
      <w:lvlText w:val="%1.%2 "/>
      <w:lvlJc w:val="left"/>
      <w:pPr>
        <w:ind w:left="0" w:firstLine="0"/>
      </w:pPr>
      <w:rPr>
        <w:rFonts w:hint="default" w:ascii="Verdana" w:hAnsi="Verdana" w:eastAsia="宋体"/>
        <w:sz w:val="21"/>
      </w:rPr>
    </w:lvl>
    <w:lvl w:ilvl="2" w:tentative="0">
      <w:start w:val="1"/>
      <w:numFmt w:val="decimal"/>
      <w:pStyle w:val="7"/>
      <w:suff w:val="space"/>
      <w:lvlText w:val="%1.%2.%3 "/>
      <w:lvlJc w:val="left"/>
      <w:pPr>
        <w:ind w:left="0" w:firstLine="0"/>
      </w:pPr>
      <w:rPr>
        <w:rFonts w:hint="default" w:ascii="Verdana" w:hAnsi="Verdana" w:eastAsia="宋体"/>
        <w:sz w:val="21"/>
      </w:rPr>
    </w:lvl>
    <w:lvl w:ilvl="3" w:tentative="0">
      <w:start w:val="1"/>
      <w:numFmt w:val="decimal"/>
      <w:pStyle w:val="8"/>
      <w:suff w:val="space"/>
      <w:lvlText w:val="%1.%2.%3.%4 "/>
      <w:lvlJc w:val="left"/>
      <w:pPr>
        <w:ind w:left="0" w:firstLine="0"/>
      </w:pPr>
      <w:rPr>
        <w:rFonts w:hint="default" w:ascii="Verdana" w:hAnsi="Verdana" w:eastAsia="宋体"/>
        <w:sz w:val="21"/>
      </w:rPr>
    </w:lvl>
    <w:lvl w:ilvl="4" w:tentative="0">
      <w:start w:val="1"/>
      <w:numFmt w:val="decimal"/>
      <w:pStyle w:val="9"/>
      <w:suff w:val="space"/>
      <w:lvlText w:val="%1.%2.%3.%4.%5 "/>
      <w:lvlJc w:val="left"/>
      <w:pPr>
        <w:ind w:left="0" w:firstLine="0"/>
      </w:pPr>
      <w:rPr>
        <w:rFonts w:hint="default" w:ascii="Verdana" w:hAnsi="Verdana"/>
        <w:sz w:val="24"/>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2">
    <w:nsid w:val="44826CF9"/>
    <w:multiLevelType w:val="multilevel"/>
    <w:tmpl w:val="44826CF9"/>
    <w:lvl w:ilvl="0" w:tentative="0">
      <w:start w:val="1"/>
      <w:numFmt w:val="lowerLetter"/>
      <w:lvlText w:val="%1）"/>
      <w:lvlJc w:val="left"/>
      <w:pPr>
        <w:tabs>
          <w:tab w:val="left" w:pos="810"/>
        </w:tabs>
        <w:ind w:left="810" w:hanging="360"/>
      </w:pPr>
      <w:rPr>
        <w:rFonts w:hint="eastAsia"/>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3">
    <w:nsid w:val="55DD4713"/>
    <w:multiLevelType w:val="multilevel"/>
    <w:tmpl w:val="55DD4713"/>
    <w:lvl w:ilvl="0" w:tentative="0">
      <w:start w:val="1"/>
      <w:numFmt w:val="lowerLetter"/>
      <w:pStyle w:val="35"/>
      <w:lvlText w:val="%1."/>
      <w:lvlJc w:val="left"/>
      <w:pPr>
        <w:tabs>
          <w:tab w:val="left" w:pos="890"/>
        </w:tabs>
        <w:ind w:left="89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9E95216"/>
    <w:multiLevelType w:val="multilevel"/>
    <w:tmpl w:val="69E95216"/>
    <w:lvl w:ilvl="0" w:tentative="0">
      <w:start w:val="3"/>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attachedTemplate r:id="rId1"/>
  <w:documentProtection w:enforcement="0"/>
  <w:defaultTabStop w:val="240"/>
  <w:evenAndOddHeaders w:val="1"/>
  <w:drawingGridHorizontalSpacing w:val="120"/>
  <w:drawingGridVerticalSpacing w:val="163"/>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liNmM5YzJkZDc1MzliMmM2MWJiZmYxOTI5NTU0YWMifQ=="/>
    <w:docVar w:name="DrawingValume" w:val="隐藏"/>
    <w:docVar w:name="GotoValume" w:val="隐藏"/>
    <w:docVar w:name="SXValume" w:val="隐藏"/>
  </w:docVars>
  <w:rsids>
    <w:rsidRoot w:val="00456AEE"/>
    <w:rsid w:val="00001611"/>
    <w:rsid w:val="00010DB8"/>
    <w:rsid w:val="00010FA2"/>
    <w:rsid w:val="00016BEA"/>
    <w:rsid w:val="00021DDD"/>
    <w:rsid w:val="0002248E"/>
    <w:rsid w:val="00022FFC"/>
    <w:rsid w:val="00023E7B"/>
    <w:rsid w:val="00023EFA"/>
    <w:rsid w:val="00034190"/>
    <w:rsid w:val="000419C1"/>
    <w:rsid w:val="00041C5D"/>
    <w:rsid w:val="00045D3D"/>
    <w:rsid w:val="00045EFF"/>
    <w:rsid w:val="000467AD"/>
    <w:rsid w:val="00047444"/>
    <w:rsid w:val="0005277B"/>
    <w:rsid w:val="0005471F"/>
    <w:rsid w:val="0005697E"/>
    <w:rsid w:val="00060156"/>
    <w:rsid w:val="000615B2"/>
    <w:rsid w:val="00073859"/>
    <w:rsid w:val="00074B2B"/>
    <w:rsid w:val="0007789E"/>
    <w:rsid w:val="00080569"/>
    <w:rsid w:val="00083E58"/>
    <w:rsid w:val="00087335"/>
    <w:rsid w:val="00087E7C"/>
    <w:rsid w:val="000929CA"/>
    <w:rsid w:val="00094399"/>
    <w:rsid w:val="000A5434"/>
    <w:rsid w:val="000B1A90"/>
    <w:rsid w:val="000B3213"/>
    <w:rsid w:val="000B546B"/>
    <w:rsid w:val="000C19A8"/>
    <w:rsid w:val="000C1E6B"/>
    <w:rsid w:val="000C21F1"/>
    <w:rsid w:val="000C36F7"/>
    <w:rsid w:val="000D3A41"/>
    <w:rsid w:val="000D7F78"/>
    <w:rsid w:val="000E1CA8"/>
    <w:rsid w:val="000E75C1"/>
    <w:rsid w:val="000F3EFC"/>
    <w:rsid w:val="001005FE"/>
    <w:rsid w:val="00102F6E"/>
    <w:rsid w:val="0010548E"/>
    <w:rsid w:val="00110F5A"/>
    <w:rsid w:val="001174CA"/>
    <w:rsid w:val="001348D9"/>
    <w:rsid w:val="001419CC"/>
    <w:rsid w:val="00143BBB"/>
    <w:rsid w:val="00150AB1"/>
    <w:rsid w:val="00163809"/>
    <w:rsid w:val="00164653"/>
    <w:rsid w:val="001678C6"/>
    <w:rsid w:val="00173DCA"/>
    <w:rsid w:val="00175EB4"/>
    <w:rsid w:val="00182AEB"/>
    <w:rsid w:val="00186BED"/>
    <w:rsid w:val="00190F6E"/>
    <w:rsid w:val="00191A9D"/>
    <w:rsid w:val="00192870"/>
    <w:rsid w:val="00193E21"/>
    <w:rsid w:val="00195451"/>
    <w:rsid w:val="001978D2"/>
    <w:rsid w:val="001A0D5F"/>
    <w:rsid w:val="001A14C1"/>
    <w:rsid w:val="001A2872"/>
    <w:rsid w:val="001A3D31"/>
    <w:rsid w:val="001A445C"/>
    <w:rsid w:val="001A4617"/>
    <w:rsid w:val="001A5691"/>
    <w:rsid w:val="001B7AB0"/>
    <w:rsid w:val="001C2780"/>
    <w:rsid w:val="001C5886"/>
    <w:rsid w:val="001C628E"/>
    <w:rsid w:val="001C6AC5"/>
    <w:rsid w:val="001D021B"/>
    <w:rsid w:val="001E1816"/>
    <w:rsid w:val="001E20C3"/>
    <w:rsid w:val="001E3456"/>
    <w:rsid w:val="001E3FE5"/>
    <w:rsid w:val="001E5E83"/>
    <w:rsid w:val="001E6730"/>
    <w:rsid w:val="001E6CDB"/>
    <w:rsid w:val="001E6EBA"/>
    <w:rsid w:val="001F3F59"/>
    <w:rsid w:val="001F5160"/>
    <w:rsid w:val="001F74AA"/>
    <w:rsid w:val="00203118"/>
    <w:rsid w:val="0020788F"/>
    <w:rsid w:val="00214A70"/>
    <w:rsid w:val="00214DE8"/>
    <w:rsid w:val="0021551C"/>
    <w:rsid w:val="00221CE1"/>
    <w:rsid w:val="00225B15"/>
    <w:rsid w:val="0022651A"/>
    <w:rsid w:val="00227C9C"/>
    <w:rsid w:val="00236970"/>
    <w:rsid w:val="00236EF4"/>
    <w:rsid w:val="00241300"/>
    <w:rsid w:val="00245484"/>
    <w:rsid w:val="00246C02"/>
    <w:rsid w:val="00247D34"/>
    <w:rsid w:val="002505E4"/>
    <w:rsid w:val="00256F22"/>
    <w:rsid w:val="002663EF"/>
    <w:rsid w:val="00270186"/>
    <w:rsid w:val="00270868"/>
    <w:rsid w:val="00272749"/>
    <w:rsid w:val="0028362A"/>
    <w:rsid w:val="00284219"/>
    <w:rsid w:val="00285072"/>
    <w:rsid w:val="00286092"/>
    <w:rsid w:val="002873BE"/>
    <w:rsid w:val="002B055F"/>
    <w:rsid w:val="002B0950"/>
    <w:rsid w:val="002B26A7"/>
    <w:rsid w:val="002B3596"/>
    <w:rsid w:val="002B4B37"/>
    <w:rsid w:val="002B4BA3"/>
    <w:rsid w:val="002B50F1"/>
    <w:rsid w:val="002C044B"/>
    <w:rsid w:val="002C400C"/>
    <w:rsid w:val="002C48CA"/>
    <w:rsid w:val="002D3B6B"/>
    <w:rsid w:val="002D6A65"/>
    <w:rsid w:val="002E04F4"/>
    <w:rsid w:val="002E132B"/>
    <w:rsid w:val="002E638A"/>
    <w:rsid w:val="002F4E15"/>
    <w:rsid w:val="00300405"/>
    <w:rsid w:val="003021F6"/>
    <w:rsid w:val="00305C05"/>
    <w:rsid w:val="003067F9"/>
    <w:rsid w:val="00314D74"/>
    <w:rsid w:val="00316B0C"/>
    <w:rsid w:val="00317E3C"/>
    <w:rsid w:val="0032074A"/>
    <w:rsid w:val="003238DC"/>
    <w:rsid w:val="00323970"/>
    <w:rsid w:val="00326945"/>
    <w:rsid w:val="00331454"/>
    <w:rsid w:val="00337F05"/>
    <w:rsid w:val="0034059B"/>
    <w:rsid w:val="003411B2"/>
    <w:rsid w:val="003435CD"/>
    <w:rsid w:val="003458CC"/>
    <w:rsid w:val="003471E1"/>
    <w:rsid w:val="00347F50"/>
    <w:rsid w:val="0035307D"/>
    <w:rsid w:val="00356FE2"/>
    <w:rsid w:val="0036063D"/>
    <w:rsid w:val="00361B6C"/>
    <w:rsid w:val="00370D42"/>
    <w:rsid w:val="00380B6C"/>
    <w:rsid w:val="00381DB5"/>
    <w:rsid w:val="00391A40"/>
    <w:rsid w:val="0039456E"/>
    <w:rsid w:val="00395DB0"/>
    <w:rsid w:val="00395F6F"/>
    <w:rsid w:val="003A5D01"/>
    <w:rsid w:val="003A634C"/>
    <w:rsid w:val="003A7942"/>
    <w:rsid w:val="003A7DDA"/>
    <w:rsid w:val="003B3C3F"/>
    <w:rsid w:val="003B4C5D"/>
    <w:rsid w:val="003B608D"/>
    <w:rsid w:val="003B6185"/>
    <w:rsid w:val="003B6C1B"/>
    <w:rsid w:val="003B7E59"/>
    <w:rsid w:val="003C7FE0"/>
    <w:rsid w:val="003D566D"/>
    <w:rsid w:val="003E02F2"/>
    <w:rsid w:val="003F23E1"/>
    <w:rsid w:val="003F29B9"/>
    <w:rsid w:val="003F324D"/>
    <w:rsid w:val="003F6697"/>
    <w:rsid w:val="004014CF"/>
    <w:rsid w:val="00401EE0"/>
    <w:rsid w:val="004035EC"/>
    <w:rsid w:val="00405A5E"/>
    <w:rsid w:val="00407058"/>
    <w:rsid w:val="004133EB"/>
    <w:rsid w:val="0041644E"/>
    <w:rsid w:val="00417CD8"/>
    <w:rsid w:val="00420854"/>
    <w:rsid w:val="004255B2"/>
    <w:rsid w:val="00425B60"/>
    <w:rsid w:val="00425E5E"/>
    <w:rsid w:val="00427259"/>
    <w:rsid w:val="004300D1"/>
    <w:rsid w:val="00430186"/>
    <w:rsid w:val="00430E6C"/>
    <w:rsid w:val="00432B17"/>
    <w:rsid w:val="00433F5F"/>
    <w:rsid w:val="00434A66"/>
    <w:rsid w:val="00435609"/>
    <w:rsid w:val="004401FC"/>
    <w:rsid w:val="00443E7E"/>
    <w:rsid w:val="00450B82"/>
    <w:rsid w:val="00450D59"/>
    <w:rsid w:val="00456AEE"/>
    <w:rsid w:val="00461FC7"/>
    <w:rsid w:val="00462739"/>
    <w:rsid w:val="00463E9F"/>
    <w:rsid w:val="00464452"/>
    <w:rsid w:val="00472CF7"/>
    <w:rsid w:val="00481613"/>
    <w:rsid w:val="0048714C"/>
    <w:rsid w:val="00492184"/>
    <w:rsid w:val="00492528"/>
    <w:rsid w:val="0049433B"/>
    <w:rsid w:val="004957A4"/>
    <w:rsid w:val="004A021A"/>
    <w:rsid w:val="004A212B"/>
    <w:rsid w:val="004A51EA"/>
    <w:rsid w:val="004A55D6"/>
    <w:rsid w:val="004A705A"/>
    <w:rsid w:val="004A7F3F"/>
    <w:rsid w:val="004B2952"/>
    <w:rsid w:val="004B34F4"/>
    <w:rsid w:val="004C1150"/>
    <w:rsid w:val="004C6B3A"/>
    <w:rsid w:val="004D23D9"/>
    <w:rsid w:val="004D57E4"/>
    <w:rsid w:val="004E1D7D"/>
    <w:rsid w:val="004F0DDE"/>
    <w:rsid w:val="004F165A"/>
    <w:rsid w:val="00504327"/>
    <w:rsid w:val="005060C4"/>
    <w:rsid w:val="00507578"/>
    <w:rsid w:val="005109CB"/>
    <w:rsid w:val="0051237A"/>
    <w:rsid w:val="0051455B"/>
    <w:rsid w:val="00515707"/>
    <w:rsid w:val="00522A56"/>
    <w:rsid w:val="00522FEE"/>
    <w:rsid w:val="00524AD5"/>
    <w:rsid w:val="0052753A"/>
    <w:rsid w:val="0053564D"/>
    <w:rsid w:val="0054505E"/>
    <w:rsid w:val="00545448"/>
    <w:rsid w:val="00547D42"/>
    <w:rsid w:val="005532F0"/>
    <w:rsid w:val="00554666"/>
    <w:rsid w:val="005575BF"/>
    <w:rsid w:val="00560230"/>
    <w:rsid w:val="00563005"/>
    <w:rsid w:val="00565598"/>
    <w:rsid w:val="00567D57"/>
    <w:rsid w:val="005719C5"/>
    <w:rsid w:val="00576B0E"/>
    <w:rsid w:val="00577C60"/>
    <w:rsid w:val="005812D8"/>
    <w:rsid w:val="0058670C"/>
    <w:rsid w:val="00587452"/>
    <w:rsid w:val="0059116C"/>
    <w:rsid w:val="0059124D"/>
    <w:rsid w:val="0059290F"/>
    <w:rsid w:val="00592A44"/>
    <w:rsid w:val="00594BCB"/>
    <w:rsid w:val="005A2391"/>
    <w:rsid w:val="005A2607"/>
    <w:rsid w:val="005A32D7"/>
    <w:rsid w:val="005A4CFB"/>
    <w:rsid w:val="005A4D2D"/>
    <w:rsid w:val="005A58FD"/>
    <w:rsid w:val="005B4547"/>
    <w:rsid w:val="005C47D4"/>
    <w:rsid w:val="005C4B11"/>
    <w:rsid w:val="005C59A8"/>
    <w:rsid w:val="005C5A42"/>
    <w:rsid w:val="005C6142"/>
    <w:rsid w:val="005D3A08"/>
    <w:rsid w:val="005D3B45"/>
    <w:rsid w:val="005D3C09"/>
    <w:rsid w:val="005E3A03"/>
    <w:rsid w:val="005E4350"/>
    <w:rsid w:val="005E4848"/>
    <w:rsid w:val="005E6D2B"/>
    <w:rsid w:val="00604DC9"/>
    <w:rsid w:val="00616D9B"/>
    <w:rsid w:val="00621484"/>
    <w:rsid w:val="00624146"/>
    <w:rsid w:val="006273E3"/>
    <w:rsid w:val="00630AE5"/>
    <w:rsid w:val="006314C3"/>
    <w:rsid w:val="006330BE"/>
    <w:rsid w:val="006455B0"/>
    <w:rsid w:val="006502F0"/>
    <w:rsid w:val="00651A84"/>
    <w:rsid w:val="00653DAA"/>
    <w:rsid w:val="006636B9"/>
    <w:rsid w:val="006705F0"/>
    <w:rsid w:val="00677234"/>
    <w:rsid w:val="006831E2"/>
    <w:rsid w:val="00684E94"/>
    <w:rsid w:val="00687D3E"/>
    <w:rsid w:val="00690876"/>
    <w:rsid w:val="006923FF"/>
    <w:rsid w:val="00694702"/>
    <w:rsid w:val="0069523E"/>
    <w:rsid w:val="00697449"/>
    <w:rsid w:val="006A0B1C"/>
    <w:rsid w:val="006A28E2"/>
    <w:rsid w:val="006A37BF"/>
    <w:rsid w:val="006B0CA5"/>
    <w:rsid w:val="006B31CE"/>
    <w:rsid w:val="006B4FF2"/>
    <w:rsid w:val="006B53CA"/>
    <w:rsid w:val="006B6170"/>
    <w:rsid w:val="006B7605"/>
    <w:rsid w:val="006C1C88"/>
    <w:rsid w:val="006C5548"/>
    <w:rsid w:val="006C6D55"/>
    <w:rsid w:val="006D0ECF"/>
    <w:rsid w:val="006D2A26"/>
    <w:rsid w:val="006D33F9"/>
    <w:rsid w:val="006D6278"/>
    <w:rsid w:val="006D6F8D"/>
    <w:rsid w:val="006E61E0"/>
    <w:rsid w:val="006E6AAE"/>
    <w:rsid w:val="006F56DB"/>
    <w:rsid w:val="006F66F3"/>
    <w:rsid w:val="00700EBA"/>
    <w:rsid w:val="007014B6"/>
    <w:rsid w:val="00702B7C"/>
    <w:rsid w:val="00703E49"/>
    <w:rsid w:val="007041AA"/>
    <w:rsid w:val="007041B0"/>
    <w:rsid w:val="00704A0D"/>
    <w:rsid w:val="007060E0"/>
    <w:rsid w:val="00711051"/>
    <w:rsid w:val="0071239A"/>
    <w:rsid w:val="007133B9"/>
    <w:rsid w:val="007173E5"/>
    <w:rsid w:val="0072175E"/>
    <w:rsid w:val="007230D1"/>
    <w:rsid w:val="00726A2C"/>
    <w:rsid w:val="00727C5F"/>
    <w:rsid w:val="007326D6"/>
    <w:rsid w:val="00734D05"/>
    <w:rsid w:val="00735FB0"/>
    <w:rsid w:val="00736E98"/>
    <w:rsid w:val="00740889"/>
    <w:rsid w:val="00741405"/>
    <w:rsid w:val="00746FF5"/>
    <w:rsid w:val="00747270"/>
    <w:rsid w:val="00750420"/>
    <w:rsid w:val="00751138"/>
    <w:rsid w:val="007532D3"/>
    <w:rsid w:val="00757575"/>
    <w:rsid w:val="0076708D"/>
    <w:rsid w:val="00767E8C"/>
    <w:rsid w:val="00770869"/>
    <w:rsid w:val="007756F5"/>
    <w:rsid w:val="00776848"/>
    <w:rsid w:val="007828E7"/>
    <w:rsid w:val="00783DA5"/>
    <w:rsid w:val="007929BF"/>
    <w:rsid w:val="007A3EA2"/>
    <w:rsid w:val="007A6ADD"/>
    <w:rsid w:val="007B25B0"/>
    <w:rsid w:val="007B30A6"/>
    <w:rsid w:val="007B5657"/>
    <w:rsid w:val="007B5C17"/>
    <w:rsid w:val="007B6268"/>
    <w:rsid w:val="007C36B3"/>
    <w:rsid w:val="007C5986"/>
    <w:rsid w:val="007D5E28"/>
    <w:rsid w:val="007D679B"/>
    <w:rsid w:val="007D796A"/>
    <w:rsid w:val="007E4F10"/>
    <w:rsid w:val="007E7E23"/>
    <w:rsid w:val="007F102B"/>
    <w:rsid w:val="007F4344"/>
    <w:rsid w:val="007F6948"/>
    <w:rsid w:val="008018CE"/>
    <w:rsid w:val="0080473E"/>
    <w:rsid w:val="00805753"/>
    <w:rsid w:val="00812859"/>
    <w:rsid w:val="008162D0"/>
    <w:rsid w:val="00827486"/>
    <w:rsid w:val="008335F6"/>
    <w:rsid w:val="0083608C"/>
    <w:rsid w:val="00836CA3"/>
    <w:rsid w:val="008422C3"/>
    <w:rsid w:val="00843014"/>
    <w:rsid w:val="00850C8E"/>
    <w:rsid w:val="00861986"/>
    <w:rsid w:val="00866674"/>
    <w:rsid w:val="0088009B"/>
    <w:rsid w:val="0088072B"/>
    <w:rsid w:val="00883EB9"/>
    <w:rsid w:val="008A02AA"/>
    <w:rsid w:val="008B27BD"/>
    <w:rsid w:val="008C1F9B"/>
    <w:rsid w:val="008C46A4"/>
    <w:rsid w:val="008C6E15"/>
    <w:rsid w:val="008D4719"/>
    <w:rsid w:val="008D4F4F"/>
    <w:rsid w:val="008D7103"/>
    <w:rsid w:val="008D746B"/>
    <w:rsid w:val="008E1E10"/>
    <w:rsid w:val="008E211D"/>
    <w:rsid w:val="008F6011"/>
    <w:rsid w:val="00910831"/>
    <w:rsid w:val="00912BE3"/>
    <w:rsid w:val="009133A1"/>
    <w:rsid w:val="00913EF4"/>
    <w:rsid w:val="00914BA1"/>
    <w:rsid w:val="00925BEF"/>
    <w:rsid w:val="0093135A"/>
    <w:rsid w:val="00933894"/>
    <w:rsid w:val="00934CDE"/>
    <w:rsid w:val="00935CD2"/>
    <w:rsid w:val="009401F6"/>
    <w:rsid w:val="00944227"/>
    <w:rsid w:val="009443F0"/>
    <w:rsid w:val="00944CF0"/>
    <w:rsid w:val="00946061"/>
    <w:rsid w:val="00947461"/>
    <w:rsid w:val="009536E8"/>
    <w:rsid w:val="00956117"/>
    <w:rsid w:val="00961011"/>
    <w:rsid w:val="0096676B"/>
    <w:rsid w:val="0097490A"/>
    <w:rsid w:val="009829E6"/>
    <w:rsid w:val="0098347D"/>
    <w:rsid w:val="0098411C"/>
    <w:rsid w:val="00984FBF"/>
    <w:rsid w:val="009924A2"/>
    <w:rsid w:val="009932B4"/>
    <w:rsid w:val="00993668"/>
    <w:rsid w:val="009967AA"/>
    <w:rsid w:val="009A49AA"/>
    <w:rsid w:val="009B0DDE"/>
    <w:rsid w:val="009C13BC"/>
    <w:rsid w:val="009C148D"/>
    <w:rsid w:val="009C30C2"/>
    <w:rsid w:val="009C39EF"/>
    <w:rsid w:val="009C4C68"/>
    <w:rsid w:val="009C791D"/>
    <w:rsid w:val="009D2D50"/>
    <w:rsid w:val="009E40F3"/>
    <w:rsid w:val="009E56E1"/>
    <w:rsid w:val="009E5A45"/>
    <w:rsid w:val="009E5E16"/>
    <w:rsid w:val="009E65E3"/>
    <w:rsid w:val="009F125D"/>
    <w:rsid w:val="009F12C8"/>
    <w:rsid w:val="009F22F1"/>
    <w:rsid w:val="009F56F6"/>
    <w:rsid w:val="00A010FB"/>
    <w:rsid w:val="00A015BF"/>
    <w:rsid w:val="00A045F7"/>
    <w:rsid w:val="00A0688E"/>
    <w:rsid w:val="00A06A1F"/>
    <w:rsid w:val="00A1392F"/>
    <w:rsid w:val="00A306DC"/>
    <w:rsid w:val="00A31EA7"/>
    <w:rsid w:val="00A339BB"/>
    <w:rsid w:val="00A34192"/>
    <w:rsid w:val="00A34D10"/>
    <w:rsid w:val="00A36D98"/>
    <w:rsid w:val="00A37956"/>
    <w:rsid w:val="00A4399C"/>
    <w:rsid w:val="00A44682"/>
    <w:rsid w:val="00A45601"/>
    <w:rsid w:val="00A473F3"/>
    <w:rsid w:val="00A47410"/>
    <w:rsid w:val="00A509DD"/>
    <w:rsid w:val="00A50DE7"/>
    <w:rsid w:val="00A549B1"/>
    <w:rsid w:val="00A55567"/>
    <w:rsid w:val="00A56442"/>
    <w:rsid w:val="00A57601"/>
    <w:rsid w:val="00A61F61"/>
    <w:rsid w:val="00A66F23"/>
    <w:rsid w:val="00A67F7B"/>
    <w:rsid w:val="00A726FB"/>
    <w:rsid w:val="00A7621F"/>
    <w:rsid w:val="00A76F03"/>
    <w:rsid w:val="00A805CE"/>
    <w:rsid w:val="00A806DB"/>
    <w:rsid w:val="00A83852"/>
    <w:rsid w:val="00A91F79"/>
    <w:rsid w:val="00A96F2A"/>
    <w:rsid w:val="00AA068F"/>
    <w:rsid w:val="00AA3D57"/>
    <w:rsid w:val="00AA566C"/>
    <w:rsid w:val="00AC30DE"/>
    <w:rsid w:val="00AE09EC"/>
    <w:rsid w:val="00AE22AF"/>
    <w:rsid w:val="00AE3A21"/>
    <w:rsid w:val="00AE5CF7"/>
    <w:rsid w:val="00AE66A6"/>
    <w:rsid w:val="00AF1445"/>
    <w:rsid w:val="00AF39FE"/>
    <w:rsid w:val="00AF4232"/>
    <w:rsid w:val="00AF5347"/>
    <w:rsid w:val="00B04171"/>
    <w:rsid w:val="00B0444A"/>
    <w:rsid w:val="00B06A41"/>
    <w:rsid w:val="00B10FD0"/>
    <w:rsid w:val="00B118C1"/>
    <w:rsid w:val="00B262F0"/>
    <w:rsid w:val="00B26F12"/>
    <w:rsid w:val="00B33EB3"/>
    <w:rsid w:val="00B3537E"/>
    <w:rsid w:val="00B4131F"/>
    <w:rsid w:val="00B43550"/>
    <w:rsid w:val="00B45C6A"/>
    <w:rsid w:val="00B55C9F"/>
    <w:rsid w:val="00B562A8"/>
    <w:rsid w:val="00B627F2"/>
    <w:rsid w:val="00B67F75"/>
    <w:rsid w:val="00B844F9"/>
    <w:rsid w:val="00B84E09"/>
    <w:rsid w:val="00B85A09"/>
    <w:rsid w:val="00B9103C"/>
    <w:rsid w:val="00B96C1F"/>
    <w:rsid w:val="00BA375C"/>
    <w:rsid w:val="00BA56B7"/>
    <w:rsid w:val="00BB3BFD"/>
    <w:rsid w:val="00BB4EFE"/>
    <w:rsid w:val="00BC2931"/>
    <w:rsid w:val="00BC70D8"/>
    <w:rsid w:val="00BC7241"/>
    <w:rsid w:val="00BD08CA"/>
    <w:rsid w:val="00BE1523"/>
    <w:rsid w:val="00BE30DB"/>
    <w:rsid w:val="00BE5AB2"/>
    <w:rsid w:val="00BF2229"/>
    <w:rsid w:val="00BF6FAD"/>
    <w:rsid w:val="00C06303"/>
    <w:rsid w:val="00C0633C"/>
    <w:rsid w:val="00C10598"/>
    <w:rsid w:val="00C106CD"/>
    <w:rsid w:val="00C14D6B"/>
    <w:rsid w:val="00C26C28"/>
    <w:rsid w:val="00C27F8B"/>
    <w:rsid w:val="00C333E2"/>
    <w:rsid w:val="00C34E8E"/>
    <w:rsid w:val="00C40C82"/>
    <w:rsid w:val="00C419BA"/>
    <w:rsid w:val="00C448FB"/>
    <w:rsid w:val="00C44A45"/>
    <w:rsid w:val="00C45994"/>
    <w:rsid w:val="00C6388F"/>
    <w:rsid w:val="00C65EC2"/>
    <w:rsid w:val="00C66F76"/>
    <w:rsid w:val="00C752D4"/>
    <w:rsid w:val="00C76B76"/>
    <w:rsid w:val="00C8095A"/>
    <w:rsid w:val="00C8157A"/>
    <w:rsid w:val="00C9704B"/>
    <w:rsid w:val="00CA1DB7"/>
    <w:rsid w:val="00CA209B"/>
    <w:rsid w:val="00CA2323"/>
    <w:rsid w:val="00CA25D5"/>
    <w:rsid w:val="00CA2859"/>
    <w:rsid w:val="00CA3BBF"/>
    <w:rsid w:val="00CA3CCC"/>
    <w:rsid w:val="00CA7474"/>
    <w:rsid w:val="00CA7D4C"/>
    <w:rsid w:val="00CB0A9C"/>
    <w:rsid w:val="00CB15BF"/>
    <w:rsid w:val="00CB480F"/>
    <w:rsid w:val="00CB6E93"/>
    <w:rsid w:val="00CC171F"/>
    <w:rsid w:val="00CC1AF4"/>
    <w:rsid w:val="00CC3F25"/>
    <w:rsid w:val="00CC6640"/>
    <w:rsid w:val="00CD02BE"/>
    <w:rsid w:val="00CD1EDB"/>
    <w:rsid w:val="00CD6E5F"/>
    <w:rsid w:val="00CE283B"/>
    <w:rsid w:val="00CE3551"/>
    <w:rsid w:val="00CE402B"/>
    <w:rsid w:val="00CE43D9"/>
    <w:rsid w:val="00CE5B8A"/>
    <w:rsid w:val="00CE65E6"/>
    <w:rsid w:val="00CF1046"/>
    <w:rsid w:val="00CF1133"/>
    <w:rsid w:val="00CF280E"/>
    <w:rsid w:val="00D007F1"/>
    <w:rsid w:val="00D025A9"/>
    <w:rsid w:val="00D02718"/>
    <w:rsid w:val="00D10FE9"/>
    <w:rsid w:val="00D12091"/>
    <w:rsid w:val="00D17A4C"/>
    <w:rsid w:val="00D2066B"/>
    <w:rsid w:val="00D21302"/>
    <w:rsid w:val="00D2632E"/>
    <w:rsid w:val="00D270D6"/>
    <w:rsid w:val="00D301DD"/>
    <w:rsid w:val="00D35765"/>
    <w:rsid w:val="00D35FFB"/>
    <w:rsid w:val="00D371D8"/>
    <w:rsid w:val="00D436E8"/>
    <w:rsid w:val="00D46E49"/>
    <w:rsid w:val="00D50080"/>
    <w:rsid w:val="00D5256C"/>
    <w:rsid w:val="00D55171"/>
    <w:rsid w:val="00D56637"/>
    <w:rsid w:val="00D61DC0"/>
    <w:rsid w:val="00D632C8"/>
    <w:rsid w:val="00D63ADD"/>
    <w:rsid w:val="00D723BA"/>
    <w:rsid w:val="00D75105"/>
    <w:rsid w:val="00D76950"/>
    <w:rsid w:val="00D775E9"/>
    <w:rsid w:val="00D804FA"/>
    <w:rsid w:val="00D81D78"/>
    <w:rsid w:val="00D843F2"/>
    <w:rsid w:val="00D84DD5"/>
    <w:rsid w:val="00D85D54"/>
    <w:rsid w:val="00D87789"/>
    <w:rsid w:val="00D909C4"/>
    <w:rsid w:val="00D91882"/>
    <w:rsid w:val="00D923AE"/>
    <w:rsid w:val="00D9268F"/>
    <w:rsid w:val="00D936B8"/>
    <w:rsid w:val="00D94471"/>
    <w:rsid w:val="00D9591C"/>
    <w:rsid w:val="00DA07B8"/>
    <w:rsid w:val="00DA1926"/>
    <w:rsid w:val="00DA3287"/>
    <w:rsid w:val="00DA3691"/>
    <w:rsid w:val="00DA4F96"/>
    <w:rsid w:val="00DA6F85"/>
    <w:rsid w:val="00DB1C96"/>
    <w:rsid w:val="00DB4584"/>
    <w:rsid w:val="00DC0000"/>
    <w:rsid w:val="00DC0566"/>
    <w:rsid w:val="00DC2E37"/>
    <w:rsid w:val="00DC3D52"/>
    <w:rsid w:val="00DC3DAD"/>
    <w:rsid w:val="00DC5AAB"/>
    <w:rsid w:val="00DC5F20"/>
    <w:rsid w:val="00DE297E"/>
    <w:rsid w:val="00DE3C6F"/>
    <w:rsid w:val="00DE4BA0"/>
    <w:rsid w:val="00DE4D71"/>
    <w:rsid w:val="00DE505D"/>
    <w:rsid w:val="00DE7DAB"/>
    <w:rsid w:val="00DF5F06"/>
    <w:rsid w:val="00E0463F"/>
    <w:rsid w:val="00E10D88"/>
    <w:rsid w:val="00E135FE"/>
    <w:rsid w:val="00E13655"/>
    <w:rsid w:val="00E14079"/>
    <w:rsid w:val="00E155FD"/>
    <w:rsid w:val="00E1611C"/>
    <w:rsid w:val="00E20CD5"/>
    <w:rsid w:val="00E211B3"/>
    <w:rsid w:val="00E24883"/>
    <w:rsid w:val="00E26DA2"/>
    <w:rsid w:val="00E27DC7"/>
    <w:rsid w:val="00E30A56"/>
    <w:rsid w:val="00E322D3"/>
    <w:rsid w:val="00E3499B"/>
    <w:rsid w:val="00E36006"/>
    <w:rsid w:val="00E36757"/>
    <w:rsid w:val="00E42E4C"/>
    <w:rsid w:val="00E453C9"/>
    <w:rsid w:val="00E4542C"/>
    <w:rsid w:val="00E457F0"/>
    <w:rsid w:val="00E4683D"/>
    <w:rsid w:val="00E469C0"/>
    <w:rsid w:val="00E66AE2"/>
    <w:rsid w:val="00E719D6"/>
    <w:rsid w:val="00E76B4F"/>
    <w:rsid w:val="00E81660"/>
    <w:rsid w:val="00E81CA5"/>
    <w:rsid w:val="00E84C95"/>
    <w:rsid w:val="00E8602F"/>
    <w:rsid w:val="00E86E04"/>
    <w:rsid w:val="00E873FA"/>
    <w:rsid w:val="00E9380F"/>
    <w:rsid w:val="00E96832"/>
    <w:rsid w:val="00E973B4"/>
    <w:rsid w:val="00EA04E0"/>
    <w:rsid w:val="00EA3807"/>
    <w:rsid w:val="00EA3B00"/>
    <w:rsid w:val="00EA653B"/>
    <w:rsid w:val="00EB1202"/>
    <w:rsid w:val="00EB3D5A"/>
    <w:rsid w:val="00EB4B2F"/>
    <w:rsid w:val="00EB7DFB"/>
    <w:rsid w:val="00EB7F61"/>
    <w:rsid w:val="00EC31D4"/>
    <w:rsid w:val="00EC70CE"/>
    <w:rsid w:val="00EC7AF6"/>
    <w:rsid w:val="00ED0F87"/>
    <w:rsid w:val="00ED13CF"/>
    <w:rsid w:val="00ED2EF9"/>
    <w:rsid w:val="00ED625C"/>
    <w:rsid w:val="00EE3BE1"/>
    <w:rsid w:val="00EE3D22"/>
    <w:rsid w:val="00EE6D24"/>
    <w:rsid w:val="00EE76F2"/>
    <w:rsid w:val="00EF3054"/>
    <w:rsid w:val="00F0256A"/>
    <w:rsid w:val="00F03610"/>
    <w:rsid w:val="00F05FDE"/>
    <w:rsid w:val="00F064F3"/>
    <w:rsid w:val="00F100F1"/>
    <w:rsid w:val="00F1424C"/>
    <w:rsid w:val="00F17FBB"/>
    <w:rsid w:val="00F27006"/>
    <w:rsid w:val="00F33283"/>
    <w:rsid w:val="00F33AD4"/>
    <w:rsid w:val="00F41481"/>
    <w:rsid w:val="00F458F0"/>
    <w:rsid w:val="00F506C2"/>
    <w:rsid w:val="00F54A1F"/>
    <w:rsid w:val="00F56FCE"/>
    <w:rsid w:val="00F6205C"/>
    <w:rsid w:val="00F66C83"/>
    <w:rsid w:val="00F702B1"/>
    <w:rsid w:val="00F71C43"/>
    <w:rsid w:val="00F727F2"/>
    <w:rsid w:val="00F76313"/>
    <w:rsid w:val="00F76BC9"/>
    <w:rsid w:val="00F86B3C"/>
    <w:rsid w:val="00F913B4"/>
    <w:rsid w:val="00F917CA"/>
    <w:rsid w:val="00F92637"/>
    <w:rsid w:val="00F92981"/>
    <w:rsid w:val="00FA7663"/>
    <w:rsid w:val="00FB148E"/>
    <w:rsid w:val="00FC5EE9"/>
    <w:rsid w:val="00FC7734"/>
    <w:rsid w:val="00FE3161"/>
    <w:rsid w:val="00FE790C"/>
    <w:rsid w:val="00FF1401"/>
    <w:rsid w:val="00FF2B8E"/>
    <w:rsid w:val="00FF4C53"/>
    <w:rsid w:val="01D2123F"/>
    <w:rsid w:val="02271043"/>
    <w:rsid w:val="02F92454"/>
    <w:rsid w:val="038B1487"/>
    <w:rsid w:val="03AB68B4"/>
    <w:rsid w:val="05292583"/>
    <w:rsid w:val="05574B4A"/>
    <w:rsid w:val="06B62CBE"/>
    <w:rsid w:val="118A2F87"/>
    <w:rsid w:val="12D72DBE"/>
    <w:rsid w:val="139509B9"/>
    <w:rsid w:val="1445377F"/>
    <w:rsid w:val="17F36A2D"/>
    <w:rsid w:val="1C711AB0"/>
    <w:rsid w:val="1EDB58F9"/>
    <w:rsid w:val="203F2B4A"/>
    <w:rsid w:val="25A86874"/>
    <w:rsid w:val="26633E71"/>
    <w:rsid w:val="287B12EA"/>
    <w:rsid w:val="29C06030"/>
    <w:rsid w:val="2AE9688C"/>
    <w:rsid w:val="2C1F4733"/>
    <w:rsid w:val="2DAE4BDE"/>
    <w:rsid w:val="2F3B34EE"/>
    <w:rsid w:val="34745500"/>
    <w:rsid w:val="377D504A"/>
    <w:rsid w:val="38DA6BE5"/>
    <w:rsid w:val="3ADA1626"/>
    <w:rsid w:val="3B3B2CBA"/>
    <w:rsid w:val="3C16334A"/>
    <w:rsid w:val="3CF80800"/>
    <w:rsid w:val="3FBC53FF"/>
    <w:rsid w:val="3FC61FCB"/>
    <w:rsid w:val="3FD747FC"/>
    <w:rsid w:val="4CE90CC5"/>
    <w:rsid w:val="4E7A41C4"/>
    <w:rsid w:val="4EC405E6"/>
    <w:rsid w:val="5540588E"/>
    <w:rsid w:val="575F6354"/>
    <w:rsid w:val="59F43D09"/>
    <w:rsid w:val="5A9C567B"/>
    <w:rsid w:val="5F921FBD"/>
    <w:rsid w:val="60065A38"/>
    <w:rsid w:val="60795A64"/>
    <w:rsid w:val="61131EE0"/>
    <w:rsid w:val="61557E10"/>
    <w:rsid w:val="62481C53"/>
    <w:rsid w:val="632D3096"/>
    <w:rsid w:val="65822A97"/>
    <w:rsid w:val="66AA7936"/>
    <w:rsid w:val="681F3714"/>
    <w:rsid w:val="684D7486"/>
    <w:rsid w:val="6A1B1D0F"/>
    <w:rsid w:val="6B4574F0"/>
    <w:rsid w:val="6BD36970"/>
    <w:rsid w:val="6BD87493"/>
    <w:rsid w:val="6CB165AA"/>
    <w:rsid w:val="6F461F6C"/>
    <w:rsid w:val="727A1735"/>
    <w:rsid w:val="73690D8C"/>
    <w:rsid w:val="74C55601"/>
    <w:rsid w:val="76415CFF"/>
    <w:rsid w:val="782B7685"/>
    <w:rsid w:val="7D922AFE"/>
    <w:rsid w:val="7F6250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3"/>
    <w:qFormat/>
    <w:uiPriority w:val="0"/>
    <w:pPr>
      <w:keepNext/>
      <w:snapToGrid w:val="0"/>
      <w:spacing w:beforeLines="100" w:afterLines="100" w:line="240" w:lineRule="auto"/>
      <w:jc w:val="both"/>
      <w:textAlignment w:val="auto"/>
      <w:outlineLvl w:val="0"/>
    </w:pPr>
    <w:rPr>
      <w:rFonts w:ascii="黑体" w:hAnsi="Verdana" w:eastAsia="黑体"/>
      <w:sz w:val="21"/>
    </w:rPr>
  </w:style>
  <w:style w:type="paragraph" w:styleId="5">
    <w:name w:val="heading 2"/>
    <w:basedOn w:val="2"/>
    <w:next w:val="6"/>
    <w:qFormat/>
    <w:uiPriority w:val="0"/>
    <w:pPr>
      <w:spacing w:line="360" w:lineRule="auto"/>
      <w:outlineLvl w:val="1"/>
    </w:pPr>
    <w:rPr>
      <w:rFonts w:ascii="宋体" w:hAnsi="Times New Roman" w:eastAsia="宋体"/>
    </w:rPr>
  </w:style>
  <w:style w:type="paragraph" w:styleId="7">
    <w:name w:val="heading 3"/>
    <w:basedOn w:val="2"/>
    <w:next w:val="1"/>
    <w:qFormat/>
    <w:uiPriority w:val="0"/>
    <w:pPr>
      <w:numPr>
        <w:ilvl w:val="2"/>
        <w:numId w:val="1"/>
      </w:numPr>
      <w:outlineLvl w:val="2"/>
    </w:pPr>
    <w:rPr>
      <w:rFonts w:ascii="宋体" w:hAnsi="Tahoma" w:eastAsia="宋体"/>
    </w:rPr>
  </w:style>
  <w:style w:type="paragraph" w:styleId="8">
    <w:name w:val="heading 4"/>
    <w:basedOn w:val="2"/>
    <w:next w:val="6"/>
    <w:qFormat/>
    <w:uiPriority w:val="0"/>
    <w:pPr>
      <w:numPr>
        <w:ilvl w:val="3"/>
        <w:numId w:val="1"/>
      </w:numPr>
      <w:outlineLvl w:val="3"/>
    </w:pPr>
    <w:rPr>
      <w:rFonts w:ascii="宋体" w:hAnsi="Tahoma" w:eastAsia="宋体"/>
    </w:rPr>
  </w:style>
  <w:style w:type="paragraph" w:styleId="9">
    <w:name w:val="heading 5"/>
    <w:basedOn w:val="7"/>
    <w:next w:val="6"/>
    <w:qFormat/>
    <w:uiPriority w:val="0"/>
    <w:pPr>
      <w:numPr>
        <w:ilvl w:val="4"/>
      </w:numPr>
      <w:outlineLvl w:val="4"/>
    </w:p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3">
    <w:name w:val="Body Text First Indent"/>
    <w:basedOn w:val="4"/>
    <w:qFormat/>
    <w:uiPriority w:val="0"/>
    <w:pPr>
      <w:tabs>
        <w:tab w:val="left" w:pos="2400"/>
      </w:tabs>
      <w:snapToGrid w:val="0"/>
      <w:spacing w:after="0" w:line="240" w:lineRule="auto"/>
      <w:ind w:firstLine="420" w:firstLineChars="200"/>
      <w:jc w:val="both"/>
    </w:pPr>
    <w:rPr>
      <w:rFonts w:ascii="宋体" w:hAnsi="宋体" w:cs="宋体"/>
      <w:sz w:val="21"/>
      <w:szCs w:val="21"/>
    </w:rPr>
  </w:style>
  <w:style w:type="paragraph" w:styleId="4">
    <w:name w:val="Body Text"/>
    <w:basedOn w:val="1"/>
    <w:qFormat/>
    <w:uiPriority w:val="0"/>
    <w:pPr>
      <w:spacing w:after="120"/>
    </w:pPr>
  </w:style>
  <w:style w:type="paragraph" w:styleId="6">
    <w:name w:val="Normal Indent"/>
    <w:basedOn w:val="1"/>
    <w:qFormat/>
    <w:uiPriority w:val="0"/>
    <w:pPr>
      <w:spacing w:afterLines="50" w:line="340" w:lineRule="exact"/>
      <w:jc w:val="center"/>
    </w:pPr>
    <w:rPr>
      <w:rFonts w:ascii="宋体" w:hAnsi="宋体"/>
      <w:sz w:val="21"/>
      <w:szCs w:val="21"/>
    </w:rPr>
  </w:style>
  <w:style w:type="paragraph" w:styleId="10">
    <w:name w:val="toc 7"/>
    <w:basedOn w:val="1"/>
    <w:next w:val="1"/>
    <w:semiHidden/>
    <w:qFormat/>
    <w:uiPriority w:val="0"/>
    <w:pPr>
      <w:ind w:left="1440"/>
    </w:pPr>
    <w:rPr>
      <w:szCs w:val="21"/>
    </w:rPr>
  </w:style>
  <w:style w:type="paragraph" w:styleId="11">
    <w:name w:val="caption"/>
    <w:basedOn w:val="1"/>
    <w:next w:val="1"/>
    <w:qFormat/>
    <w:uiPriority w:val="0"/>
    <w:pPr>
      <w:spacing w:before="152" w:after="160"/>
      <w:jc w:val="center"/>
    </w:pPr>
    <w:rPr>
      <w:rFonts w:ascii="Arial" w:hAnsi="Arial" w:eastAsia="黑体"/>
      <w:sz w:val="21"/>
    </w:rPr>
  </w:style>
  <w:style w:type="paragraph" w:styleId="12">
    <w:name w:val="Body Text Indent"/>
    <w:basedOn w:val="1"/>
    <w:link w:val="42"/>
    <w:qFormat/>
    <w:uiPriority w:val="99"/>
    <w:pPr>
      <w:spacing w:line="240" w:lineRule="auto"/>
      <w:ind w:firstLine="420" w:firstLineChars="200"/>
    </w:pPr>
    <w:rPr>
      <w:sz w:val="21"/>
    </w:rPr>
  </w:style>
  <w:style w:type="paragraph" w:styleId="13">
    <w:name w:val="toc 5"/>
    <w:basedOn w:val="1"/>
    <w:next w:val="1"/>
    <w:semiHidden/>
    <w:qFormat/>
    <w:uiPriority w:val="0"/>
    <w:pPr>
      <w:ind w:left="960"/>
    </w:pPr>
    <w:rPr>
      <w:szCs w:val="21"/>
    </w:rPr>
  </w:style>
  <w:style w:type="paragraph" w:styleId="14">
    <w:name w:val="toc 3"/>
    <w:basedOn w:val="1"/>
    <w:next w:val="1"/>
    <w:semiHidden/>
    <w:qFormat/>
    <w:uiPriority w:val="0"/>
    <w:pPr>
      <w:ind w:left="480"/>
    </w:pPr>
    <w:rPr>
      <w:i/>
      <w:iCs/>
      <w:szCs w:val="24"/>
    </w:rPr>
  </w:style>
  <w:style w:type="paragraph" w:styleId="15">
    <w:name w:val="Plain Text"/>
    <w:basedOn w:val="1"/>
    <w:qFormat/>
    <w:uiPriority w:val="0"/>
    <w:pPr>
      <w:adjustRightInd/>
      <w:spacing w:line="240" w:lineRule="auto"/>
      <w:jc w:val="both"/>
      <w:textAlignment w:val="auto"/>
    </w:pPr>
    <w:rPr>
      <w:rFonts w:ascii="宋体" w:hAnsi="Courier New" w:cs="Courier New"/>
      <w:kern w:val="2"/>
      <w:sz w:val="21"/>
      <w:szCs w:val="21"/>
    </w:rPr>
  </w:style>
  <w:style w:type="paragraph" w:styleId="16">
    <w:name w:val="toc 8"/>
    <w:basedOn w:val="1"/>
    <w:next w:val="1"/>
    <w:semiHidden/>
    <w:qFormat/>
    <w:uiPriority w:val="0"/>
    <w:pPr>
      <w:ind w:left="1680"/>
    </w:pPr>
    <w:rPr>
      <w:szCs w:val="21"/>
    </w:rPr>
  </w:style>
  <w:style w:type="paragraph" w:styleId="17">
    <w:name w:val="Date"/>
    <w:basedOn w:val="1"/>
    <w:next w:val="1"/>
    <w:qFormat/>
    <w:uiPriority w:val="0"/>
    <w:pPr>
      <w:ind w:left="100" w:leftChars="2500"/>
    </w:pPr>
    <w:rPr>
      <w:sz w:val="21"/>
    </w:rPr>
  </w:style>
  <w:style w:type="paragraph" w:styleId="18">
    <w:name w:val="footer"/>
    <w:basedOn w:val="1"/>
    <w:qFormat/>
    <w:uiPriority w:val="0"/>
    <w:pPr>
      <w:tabs>
        <w:tab w:val="center" w:pos="4153"/>
        <w:tab w:val="right" w:pos="8306"/>
      </w:tabs>
      <w:spacing w:line="240" w:lineRule="atLeast"/>
    </w:pPr>
    <w:rPr>
      <w:sz w:val="18"/>
    </w:rPr>
  </w:style>
  <w:style w:type="paragraph" w:styleId="19">
    <w:name w:val="header"/>
    <w:basedOn w:val="1"/>
    <w:qFormat/>
    <w:uiPriority w:val="0"/>
    <w:pPr>
      <w:tabs>
        <w:tab w:val="center" w:pos="4153"/>
        <w:tab w:val="right" w:pos="8306"/>
      </w:tabs>
      <w:spacing w:line="240" w:lineRule="atLeast"/>
      <w:jc w:val="center"/>
    </w:pPr>
    <w:rPr>
      <w:sz w:val="18"/>
    </w:rPr>
  </w:style>
  <w:style w:type="paragraph" w:styleId="20">
    <w:name w:val="toc 1"/>
    <w:basedOn w:val="1"/>
    <w:next w:val="1"/>
    <w:semiHidden/>
    <w:qFormat/>
    <w:uiPriority w:val="0"/>
    <w:pPr>
      <w:spacing w:before="120" w:after="120" w:line="240" w:lineRule="auto"/>
      <w:jc w:val="both"/>
    </w:pPr>
    <w:rPr>
      <w:rFonts w:ascii="黑体" w:eastAsia="黑体"/>
      <w:caps/>
      <w:sz w:val="21"/>
      <w:szCs w:val="24"/>
    </w:rPr>
  </w:style>
  <w:style w:type="paragraph" w:styleId="21">
    <w:name w:val="toc 4"/>
    <w:basedOn w:val="1"/>
    <w:next w:val="1"/>
    <w:semiHidden/>
    <w:qFormat/>
    <w:uiPriority w:val="0"/>
    <w:pPr>
      <w:ind w:left="720"/>
    </w:pPr>
    <w:rPr>
      <w:szCs w:val="21"/>
    </w:rPr>
  </w:style>
  <w:style w:type="paragraph" w:styleId="22">
    <w:name w:val="toc 6"/>
    <w:basedOn w:val="1"/>
    <w:next w:val="1"/>
    <w:semiHidden/>
    <w:qFormat/>
    <w:uiPriority w:val="0"/>
    <w:pPr>
      <w:ind w:left="1200"/>
    </w:pPr>
    <w:rPr>
      <w:szCs w:val="21"/>
    </w:rPr>
  </w:style>
  <w:style w:type="paragraph" w:styleId="23">
    <w:name w:val="toc 2"/>
    <w:basedOn w:val="1"/>
    <w:next w:val="1"/>
    <w:semiHidden/>
    <w:qFormat/>
    <w:uiPriority w:val="0"/>
    <w:pPr>
      <w:spacing w:line="240" w:lineRule="auto"/>
      <w:ind w:firstLine="420" w:firstLineChars="200"/>
    </w:pPr>
    <w:rPr>
      <w:rFonts w:cs="宋体" w:asciiTheme="minorEastAsia" w:hAnsiTheme="minorEastAsia" w:eastAsiaTheme="minorEastAsia"/>
      <w:sz w:val="21"/>
    </w:rPr>
  </w:style>
  <w:style w:type="paragraph" w:styleId="24">
    <w:name w:val="toc 9"/>
    <w:basedOn w:val="1"/>
    <w:next w:val="1"/>
    <w:semiHidden/>
    <w:qFormat/>
    <w:uiPriority w:val="0"/>
    <w:pPr>
      <w:ind w:left="1920"/>
    </w:pPr>
    <w:rPr>
      <w:szCs w:val="21"/>
    </w:rPr>
  </w:style>
  <w:style w:type="paragraph" w:styleId="25">
    <w:name w:val="Normal (Web)"/>
    <w:basedOn w:val="1"/>
    <w:qFormat/>
    <w:uiPriority w:val="0"/>
    <w:pPr>
      <w:widowControl/>
      <w:adjustRightInd/>
      <w:spacing w:before="100" w:beforeAutospacing="1" w:after="100" w:afterAutospacing="1" w:line="240" w:lineRule="auto"/>
      <w:textAlignment w:val="auto"/>
    </w:pPr>
    <w:rPr>
      <w:rFonts w:ascii="宋体" w:hAnsi="宋体"/>
      <w:color w:val="000000"/>
      <w:szCs w:val="24"/>
    </w:rPr>
  </w:style>
  <w:style w:type="table" w:styleId="27">
    <w:name w:val="Table Grid"/>
    <w:basedOn w:val="26"/>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page number"/>
    <w:basedOn w:val="28"/>
    <w:qFormat/>
    <w:uiPriority w:val="0"/>
  </w:style>
  <w:style w:type="character" w:styleId="31">
    <w:name w:val="Hyperlink"/>
    <w:qFormat/>
    <w:uiPriority w:val="0"/>
    <w:rPr>
      <w:color w:val="0000FF"/>
      <w:u w:val="single"/>
    </w:rPr>
  </w:style>
  <w:style w:type="character" w:customStyle="1" w:styleId="32">
    <w:name w:val="注释"/>
    <w:qFormat/>
    <w:uiPriority w:val="0"/>
    <w:rPr>
      <w:rFonts w:ascii="Times New Roman" w:eastAsia="宋体"/>
      <w:sz w:val="18"/>
    </w:rPr>
  </w:style>
  <w:style w:type="character" w:customStyle="1" w:styleId="33">
    <w:name w:val="图中文字"/>
    <w:qFormat/>
    <w:uiPriority w:val="0"/>
    <w:rPr>
      <w:rFonts w:ascii="Times New Roman" w:eastAsia="宋体"/>
      <w:sz w:val="15"/>
    </w:rPr>
  </w:style>
  <w:style w:type="paragraph" w:customStyle="1" w:styleId="34">
    <w:name w:val="篇"/>
    <w:basedOn w:val="1"/>
    <w:next w:val="1"/>
    <w:qFormat/>
    <w:uiPriority w:val="0"/>
    <w:pPr>
      <w:jc w:val="center"/>
    </w:pPr>
    <w:rPr>
      <w:rFonts w:eastAsia="黑体"/>
    </w:rPr>
  </w:style>
  <w:style w:type="paragraph" w:customStyle="1" w:styleId="35">
    <w:name w:val="编号文字"/>
    <w:basedOn w:val="4"/>
    <w:qFormat/>
    <w:uiPriority w:val="0"/>
    <w:pPr>
      <w:numPr>
        <w:ilvl w:val="0"/>
        <w:numId w:val="2"/>
      </w:numPr>
      <w:spacing w:after="0" w:line="240" w:lineRule="auto"/>
    </w:pPr>
    <w:rPr>
      <w:sz w:val="21"/>
    </w:rPr>
  </w:style>
  <w:style w:type="character" w:customStyle="1" w:styleId="36">
    <w:name w:val="访问过的超链接1"/>
    <w:qFormat/>
    <w:uiPriority w:val="0"/>
    <w:rPr>
      <w:color w:val="800080"/>
      <w:u w:val="single"/>
    </w:rPr>
  </w:style>
  <w:style w:type="paragraph" w:customStyle="1" w:styleId="37">
    <w:name w:val="发布部门"/>
    <w:next w:val="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38">
    <w:name w:val="Char"/>
    <w:basedOn w:val="1"/>
    <w:qFormat/>
    <w:uiPriority w:val="0"/>
    <w:pPr>
      <w:widowControl/>
      <w:spacing w:after="160" w:line="240" w:lineRule="exact"/>
    </w:pPr>
    <w:rPr>
      <w:rFonts w:ascii="Verdana" w:hAnsi="Verdana"/>
      <w:sz w:val="20"/>
      <w:lang w:eastAsia="en-US"/>
    </w:rPr>
  </w:style>
  <w:style w:type="paragraph" w:customStyle="1" w:styleId="39">
    <w:name w:val="段"/>
    <w:link w:val="4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40">
    <w:name w:val="List Paragraph"/>
    <w:basedOn w:val="1"/>
    <w:qFormat/>
    <w:uiPriority w:val="99"/>
    <w:pPr>
      <w:ind w:firstLine="420" w:firstLineChars="200"/>
    </w:pPr>
  </w:style>
  <w:style w:type="character" w:customStyle="1" w:styleId="41">
    <w:name w:val="段 Char"/>
    <w:link w:val="39"/>
    <w:qFormat/>
    <w:uiPriority w:val="0"/>
    <w:rPr>
      <w:rFonts w:ascii="宋体"/>
      <w:sz w:val="21"/>
    </w:rPr>
  </w:style>
  <w:style w:type="character" w:customStyle="1" w:styleId="42">
    <w:name w:val="正文文本缩进 Char"/>
    <w:basedOn w:val="28"/>
    <w:link w:val="12"/>
    <w:qFormat/>
    <w:locked/>
    <w:uiPriority w:val="99"/>
    <w:rPr>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wmf"/><Relationship Id="rId21" Type="http://schemas.openxmlformats.org/officeDocument/2006/relationships/oleObject" Target="embeddings/oleObject2.bin"/><Relationship Id="rId20" Type="http://schemas.openxmlformats.org/officeDocument/2006/relationships/image" Target="media/image1.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b\gb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2051" textRotate="1"/>
    <customShpInfo spid="_x0000_s2049"/>
    <customShpInfo spid="_x0000_s2052" textRotate="1"/>
    <customShpInfo spid="_x0000_s2057" textRotate="1"/>
    <customShpInfo spid="_x0000_s2053" textRotate="1"/>
    <customShpInfo spid="_x0000_s2055" textRotate="1"/>
    <customShpInfo spid="_x0000_s2056" textRotate="1"/>
    <customShpInfo spid="_x0000_s2054" textRotate="1"/>
    <customShpInfo spid="_x0000_s1026"/>
    <customShpInfo spid="_x0000_s1132"/>
    <customShpInfo spid="_x0000_s1135"/>
    <customShpInfo spid="_x0000_s1134"/>
    <customShpInfo spid="_x0000_s11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8540B1-FA5F-4E9D-84A3-7CC59C721F37}">
  <ds:schemaRefs/>
</ds:datastoreItem>
</file>

<file path=docProps/app.xml><?xml version="1.0" encoding="utf-8"?>
<Properties xmlns="http://schemas.openxmlformats.org/officeDocument/2006/extended-properties" xmlns:vt="http://schemas.openxmlformats.org/officeDocument/2006/docPropsVTypes">
  <Template>gba4</Template>
  <Company> </Company>
  <Pages>9</Pages>
  <Words>3297</Words>
  <Characters>1475</Characters>
  <Lines>12</Lines>
  <Paragraphs>9</Paragraphs>
  <TotalTime>1</TotalTime>
  <ScaleCrop>false</ScaleCrop>
  <LinksUpToDate>false</LinksUpToDate>
  <CharactersWithSpaces>4763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2023-03-20T02:28:00Z</dcterms:created>
  <dc:creator>wsvsts</dc:creator>
  <cp:lastModifiedBy>HUAWEI</cp:lastModifiedBy>
  <cp:lastPrinted>2018-03-11T01:30:00Z</cp:lastPrinted>
  <dcterms:modified xsi:type="dcterms:W3CDTF">2023-12-10T03:54:23Z</dcterms:modified>
  <dc:title>UDC XXX</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7021E05D33DF450E82BC443CED09A5D0_13</vt:lpwstr>
  </property>
</Properties>
</file>