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s>
        <w:jc w:val="center"/>
        <w:rPr>
          <w:rFonts w:eastAsia="黑体"/>
          <w:b/>
          <w:sz w:val="36"/>
        </w:rPr>
      </w:pPr>
    </w:p>
    <w:p>
      <w:pPr>
        <w:tabs>
          <w:tab w:val="left" w:pos="7200"/>
        </w:tabs>
        <w:jc w:val="center"/>
        <w:rPr>
          <w:rFonts w:eastAsia="黑体"/>
          <w:b/>
          <w:sz w:val="36"/>
        </w:rPr>
      </w:pPr>
    </w:p>
    <w:p>
      <w:pPr>
        <w:tabs>
          <w:tab w:val="left" w:pos="7200"/>
        </w:tabs>
        <w:jc w:val="center"/>
        <w:rPr>
          <w:rFonts w:eastAsia="黑体"/>
          <w:b/>
          <w:sz w:val="36"/>
        </w:rPr>
      </w:pPr>
    </w:p>
    <w:p>
      <w:pPr>
        <w:tabs>
          <w:tab w:val="left" w:pos="7200"/>
        </w:tabs>
        <w:jc w:val="center"/>
        <w:rPr>
          <w:rFonts w:eastAsia="黑体"/>
          <w:b/>
          <w:sz w:val="36"/>
        </w:rPr>
      </w:pPr>
      <w:r>
        <w:rPr>
          <w:rFonts w:hint="eastAsia" w:eastAsia="黑体"/>
          <w:b/>
          <w:sz w:val="36"/>
        </w:rPr>
        <w:t>四氧化三钴</w:t>
      </w:r>
      <w:r>
        <w:rPr>
          <w:rFonts w:eastAsia="黑体"/>
          <w:b/>
          <w:sz w:val="36"/>
        </w:rPr>
        <w:t>化学分析方法</w:t>
      </w:r>
    </w:p>
    <w:p>
      <w:pPr>
        <w:tabs>
          <w:tab w:val="left" w:pos="7200"/>
        </w:tabs>
        <w:jc w:val="center"/>
        <w:rPr>
          <w:rFonts w:eastAsia="黑体"/>
          <w:b/>
          <w:sz w:val="36"/>
        </w:rPr>
      </w:pPr>
      <w:r>
        <w:rPr>
          <w:rFonts w:hint="eastAsia" w:eastAsia="黑体"/>
          <w:b/>
          <w:sz w:val="36"/>
        </w:rPr>
        <w:t>第6部分</w:t>
      </w:r>
      <w:r>
        <w:rPr>
          <w:rFonts w:hint="eastAsia" w:eastAsia="黑体"/>
          <w:b/>
          <w:sz w:val="36"/>
          <w:lang w:eastAsia="zh-CN"/>
        </w:rPr>
        <w:t>：</w:t>
      </w:r>
      <w:r>
        <w:rPr>
          <w:rFonts w:hint="eastAsia" w:eastAsia="黑体"/>
          <w:b/>
          <w:sz w:val="36"/>
        </w:rPr>
        <w:t>铜锌异物含量的测定</w:t>
      </w:r>
    </w:p>
    <w:p>
      <w:pPr>
        <w:tabs>
          <w:tab w:val="left" w:pos="7200"/>
        </w:tabs>
        <w:jc w:val="center"/>
        <w:rPr>
          <w:rFonts w:eastAsia="黑体"/>
          <w:b/>
          <w:sz w:val="36"/>
        </w:rPr>
      </w:pPr>
      <w:r>
        <w:rPr>
          <w:rFonts w:hint="eastAsia" w:eastAsia="黑体"/>
          <w:b/>
          <w:sz w:val="36"/>
        </w:rPr>
        <w:t>氨浸出-电感耦合等离子体发射光谱法</w:t>
      </w:r>
    </w:p>
    <w:p>
      <w:pPr>
        <w:jc w:val="center"/>
        <w:rPr>
          <w:rFonts w:eastAsia="黑体"/>
          <w:b/>
          <w:sz w:val="36"/>
        </w:rPr>
      </w:pPr>
    </w:p>
    <w:p>
      <w:pPr>
        <w:jc w:val="center"/>
        <w:rPr>
          <w:rFonts w:eastAsia="黑体"/>
          <w:b/>
          <w:sz w:val="36"/>
        </w:rPr>
      </w:pPr>
      <w:r>
        <w:rPr>
          <w:rFonts w:eastAsia="黑体"/>
          <w:b/>
          <w:sz w:val="36"/>
        </w:rPr>
        <w:t>编制说明</w:t>
      </w:r>
    </w:p>
    <w:p>
      <w:pPr>
        <w:jc w:val="center"/>
        <w:rPr>
          <w:rFonts w:eastAsia="黑体"/>
          <w:b/>
          <w:sz w:val="36"/>
        </w:rPr>
      </w:pPr>
    </w:p>
    <w:p>
      <w:pPr>
        <w:jc w:val="center"/>
        <w:rPr>
          <w:rFonts w:eastAsia="黑体"/>
          <w:b/>
          <w:sz w:val="36"/>
        </w:rPr>
      </w:pPr>
      <w:r>
        <w:rPr>
          <w:rFonts w:eastAsia="黑体"/>
          <w:b/>
          <w:sz w:val="36"/>
        </w:rPr>
        <w:t>（</w:t>
      </w:r>
      <w:r>
        <w:rPr>
          <w:rFonts w:hint="eastAsia" w:eastAsia="黑体"/>
          <w:b/>
          <w:sz w:val="36"/>
        </w:rPr>
        <w:t>预审</w:t>
      </w:r>
      <w:r>
        <w:rPr>
          <w:rFonts w:eastAsia="黑体"/>
          <w:b/>
          <w:sz w:val="36"/>
        </w:rPr>
        <w:t>稿）</w:t>
      </w:r>
    </w:p>
    <w:p/>
    <w:p/>
    <w:p/>
    <w:p/>
    <w:p/>
    <w:p/>
    <w:p/>
    <w:p/>
    <w:p>
      <w:r>
        <w:rPr>
          <w:rFonts w:hint="eastAsia"/>
        </w:rPr>
        <w:br w:type="textWrapping"/>
      </w:r>
    </w:p>
    <w:p/>
    <w:p/>
    <w:p>
      <w:pPr>
        <w:rPr>
          <w:b/>
          <w:sz w:val="28"/>
          <w:szCs w:val="28"/>
        </w:rPr>
      </w:pPr>
      <w:r>
        <w:rPr>
          <w:rFonts w:hint="eastAsia"/>
        </w:rPr>
        <w:t xml:space="preserve">                           </w:t>
      </w:r>
      <w:r>
        <w:rPr>
          <w:rFonts w:hint="eastAsia"/>
          <w:b/>
          <w:sz w:val="28"/>
          <w:szCs w:val="28"/>
        </w:rPr>
        <w:t>金川集团股份有限公司</w:t>
      </w:r>
    </w:p>
    <w:p>
      <w:pPr>
        <w:rPr>
          <w:b/>
          <w:sz w:val="28"/>
          <w:szCs w:val="28"/>
        </w:rPr>
      </w:pPr>
      <w:r>
        <w:rPr>
          <w:rFonts w:hint="eastAsia"/>
          <w:b/>
          <w:sz w:val="28"/>
          <w:szCs w:val="28"/>
        </w:rPr>
        <w:t xml:space="preserve">                  甘肃精普检测科技有限公司</w:t>
      </w:r>
    </w:p>
    <w:p>
      <w:pPr>
        <w:rPr>
          <w:b/>
          <w:sz w:val="28"/>
          <w:szCs w:val="28"/>
        </w:rPr>
      </w:pPr>
    </w:p>
    <w:p>
      <w:pPr>
        <w:rPr>
          <w:b/>
          <w:sz w:val="28"/>
          <w:szCs w:val="28"/>
        </w:rPr>
      </w:pPr>
      <w:r>
        <w:rPr>
          <w:rFonts w:hint="eastAsia"/>
          <w:b/>
          <w:sz w:val="28"/>
          <w:szCs w:val="28"/>
        </w:rPr>
        <w:t xml:space="preserve">                        </w:t>
      </w:r>
      <w:r>
        <w:rPr>
          <w:b/>
          <w:sz w:val="28"/>
          <w:szCs w:val="28"/>
        </w:rPr>
        <w:t>202</w:t>
      </w:r>
      <w:r>
        <w:rPr>
          <w:rFonts w:hint="eastAsia"/>
          <w:b/>
          <w:sz w:val="28"/>
          <w:szCs w:val="28"/>
        </w:rPr>
        <w:t>3</w:t>
      </w:r>
      <w:r>
        <w:rPr>
          <w:b/>
          <w:sz w:val="28"/>
          <w:szCs w:val="28"/>
        </w:rPr>
        <w:t>-</w:t>
      </w:r>
      <w:r>
        <w:rPr>
          <w:rFonts w:hint="eastAsia"/>
          <w:b/>
          <w:sz w:val="28"/>
          <w:szCs w:val="28"/>
          <w:lang w:val="en-US" w:eastAsia="zh-CN"/>
        </w:rPr>
        <w:t>10</w:t>
      </w:r>
      <w:r>
        <w:rPr>
          <w:b/>
          <w:sz w:val="28"/>
          <w:szCs w:val="28"/>
        </w:rPr>
        <w:t>-</w:t>
      </w:r>
      <w:r>
        <w:rPr>
          <w:rFonts w:hint="eastAsia"/>
          <w:b/>
          <w:sz w:val="28"/>
          <w:szCs w:val="28"/>
        </w:rPr>
        <w:t>20</w:t>
      </w:r>
    </w:p>
    <w:p>
      <w:pPr>
        <w:rPr>
          <w:b/>
          <w:sz w:val="28"/>
          <w:szCs w:val="28"/>
        </w:rPr>
      </w:pPr>
    </w:p>
    <w:p>
      <w:pPr>
        <w:rPr>
          <w:b/>
          <w:sz w:val="28"/>
          <w:szCs w:val="28"/>
        </w:rPr>
      </w:pPr>
    </w:p>
    <w:p>
      <w:pPr>
        <w:pStyle w:val="17"/>
        <w:numPr>
          <w:ilvl w:val="0"/>
          <w:numId w:val="1"/>
        </w:numPr>
        <w:spacing w:line="360" w:lineRule="auto"/>
        <w:ind w:firstLineChars="0"/>
        <w:rPr>
          <w:rFonts w:ascii="仿宋_GB2312" w:eastAsia="仿宋_GB2312"/>
          <w:b/>
          <w:sz w:val="24"/>
        </w:rPr>
      </w:pPr>
      <w:r>
        <w:rPr>
          <w:rFonts w:hint="eastAsia" w:ascii="仿宋_GB2312" w:eastAsia="仿宋_GB2312"/>
          <w:b/>
          <w:sz w:val="24"/>
        </w:rPr>
        <w:t>工作简况</w:t>
      </w:r>
    </w:p>
    <w:p>
      <w:pPr>
        <w:pStyle w:val="17"/>
        <w:numPr>
          <w:ilvl w:val="1"/>
          <w:numId w:val="1"/>
        </w:numPr>
        <w:spacing w:line="360" w:lineRule="auto"/>
        <w:ind w:left="1413" w:hanging="993" w:firstLineChars="0"/>
        <w:rPr>
          <w:rFonts w:ascii="仿宋_GB2312" w:eastAsia="仿宋_GB2312"/>
          <w:b/>
          <w:sz w:val="24"/>
        </w:rPr>
      </w:pPr>
      <w:r>
        <w:rPr>
          <w:rFonts w:hint="eastAsia" w:ascii="仿宋_GB2312" w:eastAsia="仿宋_GB2312"/>
          <w:b/>
          <w:sz w:val="24"/>
        </w:rPr>
        <w:t>任务来源</w:t>
      </w:r>
    </w:p>
    <w:p>
      <w:pPr>
        <w:spacing w:line="360" w:lineRule="auto"/>
        <w:rPr>
          <w:rFonts w:ascii="仿宋_GB2312" w:eastAsia="仿宋_GB2312"/>
          <w:b/>
          <w:szCs w:val="21"/>
        </w:rPr>
      </w:pPr>
      <w:r>
        <w:rPr>
          <w:rFonts w:hint="eastAsia" w:ascii="仿宋_GB2312" w:eastAsia="仿宋_GB2312"/>
          <w:b/>
          <w:szCs w:val="21"/>
        </w:rPr>
        <w:t xml:space="preserve">    1、计划批准文件名称、文号及项目编号、项目名称、计划完成年限、项目名称更改说明、编制单位</w:t>
      </w:r>
    </w:p>
    <w:p>
      <w:pPr>
        <w:tabs>
          <w:tab w:val="left" w:pos="7200"/>
        </w:tabs>
        <w:spacing w:line="360" w:lineRule="auto"/>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根据工业和信息化部 2022 年第二批行业标准制修订和外文版项目计划</w:t>
      </w:r>
      <w:r>
        <w:rPr>
          <w:rFonts w:hint="eastAsia" w:asciiTheme="minorEastAsia" w:hAnsiTheme="minorEastAsia" w:eastAsiaTheme="minorEastAsia"/>
          <w:szCs w:val="21"/>
          <w:lang w:eastAsia="zh-CN"/>
        </w:rPr>
        <w:t>（工信厅科函〔2022〕158号）</w:t>
      </w:r>
      <w:r>
        <w:rPr>
          <w:rFonts w:hint="eastAsia" w:asciiTheme="minorEastAsia" w:hAnsiTheme="minorEastAsia" w:eastAsiaTheme="minorEastAsia"/>
          <w:szCs w:val="21"/>
          <w:lang w:val="en-US" w:eastAsia="zh-CN"/>
        </w:rPr>
        <w:t>的</w:t>
      </w:r>
      <w:r>
        <w:rPr>
          <w:rFonts w:hint="eastAsia" w:asciiTheme="minorEastAsia" w:hAnsiTheme="minorEastAsia" w:eastAsiaTheme="minorEastAsia"/>
          <w:szCs w:val="21"/>
        </w:rPr>
        <w:t>要求，</w:t>
      </w:r>
      <w:r>
        <w:rPr>
          <w:rFonts w:hint="eastAsia" w:asciiTheme="minorEastAsia" w:hAnsiTheme="minorEastAsia" w:eastAsiaTheme="minorEastAsia"/>
          <w:szCs w:val="21"/>
          <w:lang w:val="en-US" w:eastAsia="zh-CN"/>
        </w:rPr>
        <w:t>行业标准计划2022-1023T-YS</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四氧化三钴化学分析方法 第6部分：铜锌异物含量的测定 氨浸出-电感耦合等离子体原子发射光谱法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由金川集团股份有限公司、甘肃精普检测科技有限公司</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精普公司</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负责</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技术归口单位为全国有色金属标准化技术委员会，完成期限2024年</w:t>
      </w:r>
      <w:r>
        <w:rPr>
          <w:rFonts w:hint="eastAsia" w:asciiTheme="minorEastAsia" w:hAnsiTheme="minorEastAsia" w:eastAsiaTheme="minorEastAsia"/>
          <w:szCs w:val="21"/>
          <w:lang w:val="en-US" w:eastAsia="zh-CN"/>
        </w:rPr>
        <w:t>6月</w:t>
      </w:r>
      <w:r>
        <w:rPr>
          <w:rFonts w:hint="eastAsia" w:asciiTheme="minorEastAsia" w:hAnsiTheme="minorEastAsia" w:eastAsiaTheme="minorEastAsia"/>
          <w:szCs w:val="21"/>
          <w:lang w:eastAsia="zh-CN"/>
        </w:rPr>
        <w:t>。</w:t>
      </w:r>
    </w:p>
    <w:p>
      <w:pPr>
        <w:tabs>
          <w:tab w:val="left" w:pos="7200"/>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全国有色金属标准化技术委员会于 2022 年 8 月 25 日在湖北省宜昌市召开了《铋精矿化学分析方法 第 1部分：铋含量的测定 Na</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EDTA 滴定法》等 11 项行业标准任务落实会议，</w:t>
      </w:r>
      <w:r>
        <w:rPr>
          <w:rFonts w:hint="eastAsia" w:asciiTheme="minorEastAsia" w:hAnsiTheme="minorEastAsia" w:eastAsiaTheme="minorEastAsia"/>
          <w:szCs w:val="21"/>
          <w:lang w:val="en-US" w:eastAsia="zh-CN"/>
        </w:rPr>
        <w:t>会议确定</w:t>
      </w:r>
      <w:r>
        <w:rPr>
          <w:rFonts w:hint="eastAsia" w:asciiTheme="minorEastAsia" w:hAnsiTheme="minorEastAsia" w:eastAsiaTheme="minorEastAsia"/>
          <w:szCs w:val="21"/>
        </w:rPr>
        <w:t>《四氧化三钴化学分析方法 第6部分：铜锌异物含量的测定 氨浸出-电感耦合等离子体原子发射光谱法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由</w:t>
      </w:r>
      <w:r>
        <w:rPr>
          <w:rFonts w:hint="eastAsia"/>
          <w:szCs w:val="21"/>
        </w:rPr>
        <w:t>浙</w:t>
      </w:r>
      <w:r>
        <w:rPr>
          <w:rFonts w:hint="eastAsia" w:asciiTheme="minorEastAsia" w:hAnsiTheme="minorEastAsia" w:eastAsiaTheme="minorEastAsia"/>
          <w:szCs w:val="21"/>
        </w:rPr>
        <w:t>江华友钴业股份有限公司、</w:t>
      </w:r>
      <w:r>
        <w:rPr>
          <w:rFonts w:asciiTheme="minorEastAsia" w:hAnsiTheme="minorEastAsia" w:eastAsiaTheme="minorEastAsia"/>
          <w:szCs w:val="21"/>
        </w:rPr>
        <w:t>广东邦普循环科技有限公司</w:t>
      </w:r>
      <w:r>
        <w:rPr>
          <w:rFonts w:hint="eastAsia" w:asciiTheme="minorEastAsia" w:hAnsiTheme="minorEastAsia" w:eastAsiaTheme="minorEastAsia"/>
          <w:szCs w:val="21"/>
        </w:rPr>
        <w:t>、江苏当升材料科技股份有限公司、深圳岭南有色金属股份有限公司韶关冶炼厂、荆门市格林美新材料有限公司、中伟新材料股份有限公司，衢州华友钴新材料有限公司等单位参与编制</w:t>
      </w:r>
      <w:r>
        <w:rPr>
          <w:rFonts w:hint="eastAsia" w:asciiTheme="minorEastAsia" w:hAnsiTheme="minorEastAsia" w:eastAsiaTheme="minorEastAsia"/>
          <w:szCs w:val="21"/>
          <w:lang w:val="en-US" w:eastAsia="zh-CN"/>
        </w:rPr>
        <w:t>验证</w:t>
      </w:r>
      <w:r>
        <w:rPr>
          <w:rFonts w:hint="eastAsia" w:asciiTheme="minorEastAsia" w:hAnsiTheme="minorEastAsia" w:eastAsiaTheme="minorEastAsia"/>
          <w:szCs w:val="21"/>
        </w:rPr>
        <w:t>。</w:t>
      </w:r>
    </w:p>
    <w:p>
      <w:pPr>
        <w:ind w:firstLine="420"/>
        <w:rPr>
          <w:rFonts w:ascii="仿宋_GB2312" w:eastAsia="仿宋_GB2312"/>
          <w:b/>
          <w:szCs w:val="21"/>
        </w:rPr>
      </w:pPr>
      <w:r>
        <w:rPr>
          <w:rFonts w:hint="eastAsia" w:ascii="仿宋_GB2312" w:eastAsia="仿宋_GB2312"/>
          <w:b/>
          <w:szCs w:val="21"/>
        </w:rPr>
        <w:t>2、项目编制单位变化情况</w:t>
      </w:r>
    </w:p>
    <w:p>
      <w:pPr>
        <w:spacing w:line="360" w:lineRule="auto"/>
        <w:ind w:firstLine="420"/>
        <w:rPr>
          <w:szCs w:val="21"/>
        </w:rPr>
      </w:pPr>
      <w:r>
        <w:rPr>
          <w:rFonts w:hint="eastAsia" w:asciiTheme="minorEastAsia" w:hAnsiTheme="minorEastAsia" w:eastAsiaTheme="minorEastAsia"/>
          <w:szCs w:val="21"/>
        </w:rPr>
        <w:t>标准主编单位原为：金川集团股份有限公司、兰州金川科技园有限公司、甘肃精普检测科技有限公司，兰州金川科技园有限公司为金川集团股份有限公司的子公司，甘肃精普检测科技有限</w:t>
      </w:r>
      <w:r>
        <w:rPr>
          <w:rFonts w:hint="eastAsia"/>
          <w:szCs w:val="21"/>
        </w:rPr>
        <w:t>公司为兰州金川科技园有限公司子公司，层级较多，建议去掉兰州金川科技园有限公司。</w:t>
      </w:r>
    </w:p>
    <w:p>
      <w:pPr>
        <w:pStyle w:val="17"/>
        <w:numPr>
          <w:ilvl w:val="1"/>
          <w:numId w:val="1"/>
        </w:numPr>
        <w:spacing w:line="360" w:lineRule="auto"/>
        <w:ind w:left="1271" w:hanging="851" w:firstLineChars="0"/>
        <w:rPr>
          <w:rFonts w:ascii="仿宋_GB2312" w:eastAsia="仿宋_GB2312"/>
          <w:b/>
          <w:sz w:val="24"/>
        </w:rPr>
      </w:pPr>
      <w:r>
        <w:rPr>
          <w:rFonts w:hint="eastAsia" w:ascii="仿宋_GB2312" w:eastAsia="仿宋_GB2312"/>
          <w:b/>
          <w:sz w:val="24"/>
        </w:rPr>
        <w:t>主要参加单位和工作成员及其所做工作</w:t>
      </w:r>
    </w:p>
    <w:p>
      <w:pPr>
        <w:pStyle w:val="17"/>
        <w:numPr>
          <w:ilvl w:val="2"/>
          <w:numId w:val="1"/>
        </w:numPr>
        <w:ind w:left="851" w:hanging="425" w:firstLineChars="0"/>
        <w:rPr>
          <w:rFonts w:ascii="仿宋_GB2312" w:eastAsia="仿宋_GB2312"/>
          <w:b/>
          <w:szCs w:val="21"/>
        </w:rPr>
      </w:pPr>
      <w:r>
        <w:rPr>
          <w:rFonts w:hint="eastAsia" w:ascii="仿宋_GB2312" w:eastAsia="仿宋_GB2312"/>
          <w:b/>
          <w:szCs w:val="21"/>
        </w:rPr>
        <w:t>主要参加单位情况</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标准主编单位金川集团股份有限公司为标准的编制提供资金及设备等方面的支持；主编单位甘肃精普检测科技有限公司积极收集单质铜锌含量测定的相关文献，进行了测定方法的试验，确定测定参数，进行验证样品的准备，进行试验报告、标准文本（预审稿）的编写，与参与编制单位就标准相关条款进行沟通、讨论，最终完成标准的编制任务。</w:t>
      </w:r>
    </w:p>
    <w:p>
      <w:pPr>
        <w:spacing w:line="360" w:lineRule="auto"/>
        <w:ind w:firstLine="424" w:firstLineChars="202"/>
        <w:rPr>
          <w:szCs w:val="21"/>
        </w:rPr>
      </w:pPr>
      <w:r>
        <w:rPr>
          <w:rFonts w:hint="eastAsia"/>
          <w:szCs w:val="21"/>
        </w:rPr>
        <w:t>浙</w:t>
      </w:r>
      <w:r>
        <w:rPr>
          <w:rFonts w:hint="eastAsia" w:asciiTheme="minorEastAsia" w:hAnsiTheme="minorEastAsia" w:eastAsiaTheme="minorEastAsia"/>
          <w:szCs w:val="21"/>
        </w:rPr>
        <w:t>江华友钴业股份有限公司、</w:t>
      </w:r>
      <w:r>
        <w:rPr>
          <w:rFonts w:asciiTheme="minorEastAsia" w:hAnsiTheme="minorEastAsia" w:eastAsiaTheme="minorEastAsia"/>
          <w:szCs w:val="21"/>
        </w:rPr>
        <w:t>广东邦普循环科技有限公司</w:t>
      </w:r>
      <w:r>
        <w:rPr>
          <w:rFonts w:hint="eastAsia" w:asciiTheme="minorEastAsia" w:hAnsiTheme="minorEastAsia" w:eastAsiaTheme="minorEastAsia"/>
          <w:szCs w:val="21"/>
        </w:rPr>
        <w:t>、江苏当升材料科技股份有限公司</w:t>
      </w:r>
      <w:r>
        <w:rPr>
          <w:rFonts w:hint="eastAsia"/>
          <w:szCs w:val="21"/>
        </w:rPr>
        <w:t>等单位参与测定参数的一验证工作，为标准编制提出合理的建议和意见。</w:t>
      </w:r>
    </w:p>
    <w:p>
      <w:pPr>
        <w:spacing w:line="360" w:lineRule="auto"/>
        <w:jc w:val="left"/>
        <w:rPr>
          <w:rFonts w:asciiTheme="minorEastAsia" w:hAnsiTheme="minorEastAsia" w:eastAsiaTheme="minorEastAsia"/>
          <w:szCs w:val="21"/>
        </w:rPr>
      </w:pPr>
      <w:r>
        <w:rPr>
          <w:rFonts w:hint="eastAsia"/>
          <w:color w:val="000000"/>
          <w:szCs w:val="21"/>
        </w:rPr>
        <w:t xml:space="preserve">    </w:t>
      </w:r>
      <w:r>
        <w:rPr>
          <w:rFonts w:hint="eastAsia" w:asciiTheme="minorEastAsia" w:hAnsiTheme="minorEastAsia" w:eastAsiaTheme="minorEastAsia"/>
          <w:szCs w:val="21"/>
        </w:rPr>
        <w:t>深圳岭南有色金属股份有限公司韶关冶炼厂、荆门市格林美新材料有限公司、中伟新材料股份有限公司，衢州华友钴新材料有限公司等单位参与方法精密度的验证，为方法文本的表述和参数修改提供意见和建议。</w:t>
      </w:r>
    </w:p>
    <w:p>
      <w:pPr>
        <w:pStyle w:val="17"/>
        <w:numPr>
          <w:ilvl w:val="2"/>
          <w:numId w:val="1"/>
        </w:numPr>
        <w:spacing w:line="360" w:lineRule="auto"/>
        <w:ind w:left="709" w:hanging="283" w:firstLineChars="0"/>
        <w:rPr>
          <w:rFonts w:ascii="仿宋_GB2312" w:eastAsia="仿宋_GB2312"/>
          <w:b/>
          <w:szCs w:val="21"/>
        </w:rPr>
      </w:pPr>
      <w:r>
        <w:rPr>
          <w:rFonts w:hint="eastAsia" w:ascii="仿宋_GB2312" w:eastAsia="仿宋_GB2312"/>
          <w:b/>
          <w:szCs w:val="21"/>
        </w:rPr>
        <w:t>主要工作成员所负责的工作情况</w:t>
      </w:r>
    </w:p>
    <w:p>
      <w:pPr>
        <w:spacing w:line="360" w:lineRule="auto"/>
        <w:ind w:left="426"/>
        <w:rPr>
          <w:rFonts w:asciiTheme="minorEastAsia" w:hAnsiTheme="minorEastAsia" w:eastAsiaTheme="minorEastAsia"/>
          <w:szCs w:val="21"/>
        </w:rPr>
      </w:pPr>
      <w:r>
        <w:rPr>
          <w:rFonts w:hint="eastAsia" w:asciiTheme="minorEastAsia" w:hAnsiTheme="minorEastAsia" w:eastAsiaTheme="minorEastAsia"/>
          <w:szCs w:val="21"/>
        </w:rPr>
        <w:t>本标准主要起草人及工作职责见表1。</w:t>
      </w:r>
    </w:p>
    <w:p>
      <w:pPr>
        <w:spacing w:line="360" w:lineRule="auto"/>
        <w:ind w:left="426"/>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 xml:space="preserve"> 表1  主要起草人及工作职责</w:t>
      </w:r>
    </w:p>
    <w:tbl>
      <w:tblPr>
        <w:tblStyle w:val="12"/>
        <w:tblW w:w="0" w:type="auto"/>
        <w:tblInd w:w="4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35"/>
        <w:gridCol w:w="55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5" w:type="dxa"/>
          </w:tcPr>
          <w:p>
            <w:pPr>
              <w:jc w:val="center"/>
              <w:rPr>
                <w:rFonts w:ascii="仿宋_GB2312" w:eastAsia="仿宋_GB2312"/>
                <w:bCs/>
                <w:szCs w:val="21"/>
              </w:rPr>
            </w:pPr>
            <w:r>
              <w:rPr>
                <w:rFonts w:hint="eastAsia" w:ascii="仿宋_GB2312" w:eastAsia="仿宋_GB2312"/>
                <w:bCs/>
                <w:szCs w:val="21"/>
              </w:rPr>
              <w:t>起草人</w:t>
            </w:r>
          </w:p>
        </w:tc>
        <w:tc>
          <w:tcPr>
            <w:tcW w:w="5561" w:type="dxa"/>
          </w:tcPr>
          <w:p>
            <w:pPr>
              <w:jc w:val="center"/>
              <w:rPr>
                <w:rFonts w:ascii="仿宋_GB2312" w:eastAsia="仿宋_GB2312"/>
                <w:bCs/>
                <w:szCs w:val="21"/>
              </w:rPr>
            </w:pPr>
            <w:r>
              <w:rPr>
                <w:rFonts w:hint="eastAsia" w:ascii="仿宋_GB2312" w:eastAsia="仿宋_GB2312"/>
                <w:bCs/>
                <w:szCs w:val="21"/>
              </w:rPr>
              <w:t>工作职责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5" w:type="dxa"/>
          </w:tcPr>
          <w:p>
            <w:pPr>
              <w:jc w:val="center"/>
              <w:rPr>
                <w:rFonts w:ascii="仿宋_GB2312" w:eastAsia="仿宋_GB2312"/>
                <w:bCs/>
                <w:szCs w:val="21"/>
              </w:rPr>
            </w:pPr>
          </w:p>
        </w:tc>
        <w:tc>
          <w:tcPr>
            <w:tcW w:w="5561" w:type="dxa"/>
          </w:tcPr>
          <w:p>
            <w:pPr>
              <w:jc w:val="center"/>
              <w:rPr>
                <w:rFonts w:ascii="仿宋_GB2312" w:eastAsia="仿宋_GB2312"/>
                <w:bCs/>
                <w:szCs w:val="21"/>
              </w:rPr>
            </w:pPr>
            <w:r>
              <w:rPr>
                <w:rFonts w:hint="eastAsia" w:ascii="仿宋_GB2312" w:eastAsia="仿宋_GB2312"/>
                <w:bCs/>
                <w:szCs w:val="21"/>
              </w:rPr>
              <w:t>负责标标准起草，试验实施，数据处理，报告编写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5" w:type="dxa"/>
          </w:tcPr>
          <w:p>
            <w:pPr>
              <w:jc w:val="center"/>
              <w:rPr>
                <w:rFonts w:ascii="仿宋_GB2312" w:eastAsia="仿宋_GB2312"/>
                <w:bCs/>
                <w:szCs w:val="21"/>
              </w:rPr>
            </w:pPr>
          </w:p>
        </w:tc>
        <w:tc>
          <w:tcPr>
            <w:tcW w:w="5561" w:type="dxa"/>
          </w:tcPr>
          <w:p>
            <w:pPr>
              <w:jc w:val="center"/>
              <w:rPr>
                <w:rFonts w:ascii="仿宋_GB2312" w:eastAsia="仿宋_GB2312"/>
                <w:bCs/>
                <w:szCs w:val="21"/>
              </w:rPr>
            </w:pPr>
            <w:r>
              <w:rPr>
                <w:rFonts w:hint="eastAsia" w:ascii="仿宋_GB2312" w:eastAsia="仿宋_GB2312"/>
                <w:bCs/>
                <w:szCs w:val="21"/>
              </w:rPr>
              <w:t>样品制备，技术指导，数据汇总，报告编写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535" w:type="dxa"/>
          </w:tcPr>
          <w:p>
            <w:pPr>
              <w:jc w:val="center"/>
              <w:rPr>
                <w:rFonts w:ascii="仿宋_GB2312" w:eastAsia="仿宋_GB2312"/>
                <w:bCs/>
                <w:szCs w:val="21"/>
              </w:rPr>
            </w:pPr>
          </w:p>
        </w:tc>
        <w:tc>
          <w:tcPr>
            <w:tcW w:w="5561" w:type="dxa"/>
          </w:tcPr>
          <w:p>
            <w:pPr>
              <w:jc w:val="center"/>
              <w:rPr>
                <w:rFonts w:ascii="仿宋_GB2312" w:eastAsia="仿宋_GB2312"/>
                <w:bCs/>
                <w:szCs w:val="21"/>
              </w:rPr>
            </w:pPr>
            <w:r>
              <w:rPr>
                <w:rFonts w:hint="eastAsia" w:ascii="仿宋_GB2312" w:eastAsia="仿宋_GB2312"/>
                <w:bCs/>
                <w:szCs w:val="21"/>
              </w:rPr>
              <w:t>试验实施，数据提供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5" w:type="dxa"/>
          </w:tcPr>
          <w:p>
            <w:pPr>
              <w:jc w:val="center"/>
              <w:rPr>
                <w:rFonts w:ascii="仿宋_GB2312" w:eastAsia="仿宋_GB2312"/>
                <w:bCs/>
                <w:szCs w:val="21"/>
              </w:rPr>
            </w:pPr>
          </w:p>
        </w:tc>
        <w:tc>
          <w:tcPr>
            <w:tcW w:w="5561" w:type="dxa"/>
          </w:tcPr>
          <w:p>
            <w:pPr>
              <w:jc w:val="center"/>
              <w:rPr>
                <w:rFonts w:ascii="仿宋_GB2312" w:eastAsia="仿宋_GB2312"/>
                <w:bCs/>
                <w:szCs w:val="21"/>
              </w:rPr>
            </w:pPr>
            <w:r>
              <w:rPr>
                <w:rFonts w:hint="eastAsia" w:ascii="仿宋_GB2312" w:eastAsia="仿宋_GB2312"/>
                <w:bCs/>
                <w:szCs w:val="21"/>
              </w:rPr>
              <w:t>试验实施，数据提供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 w:hRule="atLeast"/>
        </w:trPr>
        <w:tc>
          <w:tcPr>
            <w:tcW w:w="2535" w:type="dxa"/>
          </w:tcPr>
          <w:p>
            <w:pPr>
              <w:jc w:val="center"/>
              <w:rPr>
                <w:rFonts w:ascii="仿宋_GB2312" w:eastAsia="仿宋_GB2312"/>
                <w:bCs/>
                <w:szCs w:val="21"/>
              </w:rPr>
            </w:pPr>
          </w:p>
        </w:tc>
        <w:tc>
          <w:tcPr>
            <w:tcW w:w="5561" w:type="dxa"/>
          </w:tcPr>
          <w:p>
            <w:pPr>
              <w:jc w:val="center"/>
              <w:rPr>
                <w:rFonts w:ascii="仿宋_GB2312" w:eastAsia="仿宋_GB2312"/>
                <w:bCs/>
                <w:szCs w:val="21"/>
              </w:rPr>
            </w:pPr>
            <w:r>
              <w:rPr>
                <w:rFonts w:hint="eastAsia" w:ascii="仿宋_GB2312" w:eastAsia="仿宋_GB2312"/>
                <w:bCs/>
                <w:szCs w:val="21"/>
              </w:rPr>
              <w:t>试验实施，数据提供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5" w:type="dxa"/>
          </w:tcPr>
          <w:p>
            <w:pPr>
              <w:jc w:val="center"/>
              <w:rPr>
                <w:rFonts w:ascii="仿宋_GB2312" w:eastAsia="仿宋_GB2312"/>
                <w:bCs/>
                <w:szCs w:val="21"/>
              </w:rPr>
            </w:pPr>
          </w:p>
        </w:tc>
        <w:tc>
          <w:tcPr>
            <w:tcW w:w="5561" w:type="dxa"/>
          </w:tcPr>
          <w:p>
            <w:pPr>
              <w:jc w:val="center"/>
              <w:rPr>
                <w:rFonts w:ascii="仿宋_GB2312" w:eastAsia="仿宋_GB2312"/>
                <w:bCs/>
                <w:szCs w:val="21"/>
              </w:rPr>
            </w:pPr>
            <w:r>
              <w:rPr>
                <w:rFonts w:hint="eastAsia" w:ascii="仿宋_GB2312" w:eastAsia="仿宋_GB2312"/>
                <w:bCs/>
                <w:szCs w:val="21"/>
              </w:rPr>
              <w:t>试验实施，数据提供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5" w:type="dxa"/>
          </w:tcPr>
          <w:p>
            <w:pPr>
              <w:jc w:val="center"/>
              <w:rPr>
                <w:rFonts w:ascii="仿宋_GB2312" w:eastAsia="仿宋_GB2312"/>
                <w:bCs/>
                <w:szCs w:val="21"/>
              </w:rPr>
            </w:pPr>
          </w:p>
        </w:tc>
        <w:tc>
          <w:tcPr>
            <w:tcW w:w="5561" w:type="dxa"/>
          </w:tcPr>
          <w:p>
            <w:pPr>
              <w:jc w:val="center"/>
              <w:rPr>
                <w:rFonts w:ascii="仿宋_GB2312" w:eastAsia="仿宋_GB2312"/>
                <w:bCs/>
                <w:szCs w:val="21"/>
              </w:rPr>
            </w:pPr>
            <w:r>
              <w:rPr>
                <w:rFonts w:hint="eastAsia" w:ascii="仿宋_GB2312" w:eastAsia="仿宋_GB2312"/>
                <w:bCs/>
                <w:szCs w:val="21"/>
              </w:rPr>
              <w:t>试验实施，数据提供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535" w:type="dxa"/>
          </w:tcPr>
          <w:p>
            <w:pPr>
              <w:jc w:val="center"/>
              <w:rPr>
                <w:rFonts w:ascii="仿宋_GB2312" w:eastAsia="仿宋_GB2312"/>
                <w:bCs/>
                <w:szCs w:val="21"/>
              </w:rPr>
            </w:pPr>
          </w:p>
        </w:tc>
        <w:tc>
          <w:tcPr>
            <w:tcW w:w="5561" w:type="dxa"/>
          </w:tcPr>
          <w:p>
            <w:pPr>
              <w:jc w:val="center"/>
              <w:rPr>
                <w:rFonts w:ascii="仿宋_GB2312" w:eastAsia="仿宋_GB2312"/>
                <w:bCs/>
                <w:szCs w:val="21"/>
              </w:rPr>
            </w:pPr>
            <w:r>
              <w:rPr>
                <w:rFonts w:hint="eastAsia" w:ascii="仿宋_GB2312" w:eastAsia="仿宋_GB2312"/>
                <w:bCs/>
                <w:szCs w:val="21"/>
              </w:rPr>
              <w:t>试验实施，数据提供</w:t>
            </w:r>
          </w:p>
        </w:tc>
      </w:tr>
    </w:tbl>
    <w:p>
      <w:pPr>
        <w:jc w:val="center"/>
        <w:rPr>
          <w:rFonts w:ascii="仿宋_GB2312" w:eastAsia="仿宋_GB2312"/>
          <w:bCs/>
          <w:color w:val="FF0000"/>
          <w:szCs w:val="21"/>
        </w:rPr>
      </w:pPr>
    </w:p>
    <w:p>
      <w:pPr>
        <w:pStyle w:val="17"/>
        <w:numPr>
          <w:ilvl w:val="1"/>
          <w:numId w:val="1"/>
        </w:numPr>
        <w:ind w:left="1271" w:hanging="851" w:firstLineChars="0"/>
        <w:rPr>
          <w:rFonts w:ascii="仿宋_GB2312" w:eastAsia="仿宋_GB2312"/>
          <w:b/>
          <w:sz w:val="24"/>
        </w:rPr>
      </w:pPr>
      <w:r>
        <w:rPr>
          <w:rFonts w:hint="eastAsia" w:ascii="仿宋_GB2312" w:eastAsia="仿宋_GB2312"/>
          <w:b/>
          <w:sz w:val="24"/>
        </w:rPr>
        <w:t>主要工作过程</w:t>
      </w:r>
    </w:p>
    <w:p>
      <w:pPr>
        <w:pStyle w:val="17"/>
        <w:numPr>
          <w:ilvl w:val="2"/>
          <w:numId w:val="1"/>
        </w:numPr>
        <w:tabs>
          <w:tab w:val="left" w:pos="851"/>
        </w:tabs>
        <w:spacing w:line="360" w:lineRule="auto"/>
        <w:ind w:left="1276" w:hanging="850" w:firstLineChars="0"/>
        <w:rPr>
          <w:rFonts w:ascii="仿宋_GB2312" w:eastAsia="仿宋_GB2312"/>
          <w:b/>
          <w:szCs w:val="21"/>
        </w:rPr>
      </w:pPr>
      <w:r>
        <w:rPr>
          <w:rFonts w:hint="eastAsia" w:ascii="仿宋_GB2312" w:eastAsia="仿宋_GB2312"/>
          <w:b/>
          <w:szCs w:val="21"/>
        </w:rPr>
        <w:t>预研阶段</w:t>
      </w:r>
    </w:p>
    <w:p>
      <w:pPr>
        <w:tabs>
          <w:tab w:val="left" w:pos="851"/>
        </w:tabs>
        <w:spacing w:line="360" w:lineRule="auto"/>
        <w:ind w:firstLine="420" w:firstLineChars="200"/>
        <w:rPr>
          <w:rFonts w:ascii="宋体" w:hAnsi="宋体"/>
          <w:szCs w:val="21"/>
        </w:rPr>
      </w:pPr>
      <w:r>
        <w:rPr>
          <w:rFonts w:hint="eastAsia" w:ascii="宋体" w:hAnsi="宋体"/>
          <w:szCs w:val="21"/>
        </w:rPr>
        <w:t>2020年6月，针对四氧化三钴各元素化学分析方法进行梳理，其中单质铜、锌元素的分析没有相应的标准，实际工作中使用的测定方法没有通过系统的验证试验，方法的可靠性有待验证，为此，金川集团股份有限公司委托甘肃精普检测科技有限公司进行分析方法的可行性研究，确定主要检测方法思路。</w:t>
      </w:r>
    </w:p>
    <w:p>
      <w:pPr>
        <w:pStyle w:val="17"/>
        <w:numPr>
          <w:ilvl w:val="2"/>
          <w:numId w:val="1"/>
        </w:numPr>
        <w:tabs>
          <w:tab w:val="left" w:pos="851"/>
        </w:tabs>
        <w:spacing w:line="360" w:lineRule="auto"/>
        <w:ind w:left="1276" w:hanging="850" w:firstLineChars="0"/>
        <w:rPr>
          <w:rFonts w:ascii="仿宋_GB2312" w:eastAsia="仿宋_GB2312"/>
          <w:b/>
          <w:szCs w:val="21"/>
        </w:rPr>
      </w:pPr>
      <w:r>
        <w:rPr>
          <w:rFonts w:hint="eastAsia" w:ascii="仿宋_GB2312" w:eastAsia="仿宋_GB2312"/>
          <w:b/>
          <w:szCs w:val="21"/>
        </w:rPr>
        <w:t>立项阶段</w:t>
      </w:r>
    </w:p>
    <w:p>
      <w:pPr>
        <w:tabs>
          <w:tab w:val="left" w:pos="426"/>
        </w:tabs>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 2021年金川集团股份有限公司向国家有色标准化技术委员会提交了《四氧化三钴化学分析方法 第6部分：铜锌异物含量的测定 氨浸出-电感耦合等离子体原子发射光谱法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有色行业标准项目建议书、标准文本草案及立项书等材料，国家有色标准化技术委员会于2022年8月在宜昌召开的标准化工作会议上进行立项认证，参会委员同意该项目列为行业标准项目。</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lang w:val="en-US" w:eastAsia="zh-CN"/>
        </w:rPr>
        <w:t>根据</w:t>
      </w:r>
      <w:r>
        <w:rPr>
          <w:rFonts w:hint="eastAsia" w:asciiTheme="minorEastAsia" w:hAnsiTheme="minorEastAsia" w:eastAsiaTheme="minorEastAsia"/>
          <w:szCs w:val="21"/>
        </w:rPr>
        <w:t>工业和信息化部 2022 年第二批行业标准制修订和外文版项目计划</w:t>
      </w:r>
      <w:r>
        <w:rPr>
          <w:rFonts w:hint="eastAsia" w:asciiTheme="minorEastAsia" w:hAnsiTheme="minorEastAsia" w:eastAsiaTheme="minorEastAsia"/>
          <w:szCs w:val="21"/>
          <w:lang w:eastAsia="zh-CN"/>
        </w:rPr>
        <w:t>（工信厅科函〔2022〕158号）</w:t>
      </w:r>
      <w:r>
        <w:rPr>
          <w:rFonts w:hint="eastAsia" w:asciiTheme="minorEastAsia" w:hAnsiTheme="minorEastAsia" w:eastAsiaTheme="minorEastAsia"/>
          <w:szCs w:val="21"/>
          <w:lang w:val="en-US" w:eastAsia="zh-CN"/>
        </w:rPr>
        <w:t>的</w:t>
      </w:r>
      <w:r>
        <w:rPr>
          <w:rFonts w:hint="eastAsia" w:asciiTheme="minorEastAsia" w:hAnsiTheme="minorEastAsia" w:eastAsiaTheme="minorEastAsia"/>
          <w:szCs w:val="21"/>
        </w:rPr>
        <w:t>要求，</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四氧化三钴化学分析方法 第6部分：铜锌异物含量的测定 氨浸出-电感耦合等离子体原子发射光谱法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下达计划，计划号为2022-1023T-YS，</w:t>
      </w:r>
      <w:r>
        <w:rPr>
          <w:rFonts w:hint="eastAsia"/>
          <w:szCs w:val="21"/>
        </w:rPr>
        <w:t>完成期限2024年</w:t>
      </w:r>
      <w:r>
        <w:rPr>
          <w:rFonts w:hint="eastAsia"/>
          <w:szCs w:val="21"/>
          <w:lang w:val="en-US" w:eastAsia="zh-CN"/>
        </w:rPr>
        <w:t>6月</w:t>
      </w:r>
      <w:r>
        <w:rPr>
          <w:rFonts w:hint="eastAsia"/>
          <w:szCs w:val="21"/>
        </w:rPr>
        <w:t>，技术归口单位为全国有色金属标准化技术委员会。</w:t>
      </w:r>
    </w:p>
    <w:p>
      <w:pPr>
        <w:pStyle w:val="17"/>
        <w:numPr>
          <w:ilvl w:val="2"/>
          <w:numId w:val="1"/>
        </w:numPr>
        <w:tabs>
          <w:tab w:val="left" w:pos="851"/>
        </w:tabs>
        <w:spacing w:line="360" w:lineRule="auto"/>
        <w:ind w:left="1276" w:hanging="850" w:firstLineChars="0"/>
        <w:rPr>
          <w:rFonts w:ascii="仿宋_GB2312" w:eastAsia="仿宋_GB2312"/>
          <w:b/>
          <w:szCs w:val="21"/>
        </w:rPr>
      </w:pPr>
      <w:r>
        <w:rPr>
          <w:rFonts w:hint="eastAsia" w:ascii="仿宋_GB2312" w:eastAsia="仿宋_GB2312"/>
          <w:b/>
          <w:szCs w:val="21"/>
        </w:rPr>
        <w:t>起草阶段</w:t>
      </w:r>
    </w:p>
    <w:p>
      <w:pPr>
        <w:tabs>
          <w:tab w:val="left" w:pos="851"/>
        </w:tabs>
        <w:spacing w:line="360" w:lineRule="auto"/>
        <w:ind w:firstLine="420" w:firstLineChars="200"/>
        <w:rPr>
          <w:color w:val="000000"/>
          <w:szCs w:val="21"/>
        </w:rPr>
      </w:pPr>
      <w:r>
        <w:rPr>
          <w:rFonts w:hint="eastAsia" w:asciiTheme="minorEastAsia" w:hAnsiTheme="minorEastAsia" w:eastAsiaTheme="minorEastAsia"/>
          <w:szCs w:val="21"/>
        </w:rPr>
        <w:t>全国有色金属标准化技术委员会于 2022 年 8 月 25 日在湖北省宜昌市召开了《铋精矿化学分析方法 第 1部分：铋含量的测定 Na 2 EDTA 滴定法》等 11 项行业标准任务落实会议。</w:t>
      </w:r>
      <w:r>
        <w:rPr>
          <w:kern w:val="0"/>
        </w:rPr>
        <w:t>会议对有色金属行业标准</w:t>
      </w:r>
      <w:r>
        <w:rPr>
          <w:rFonts w:hint="eastAsia" w:asciiTheme="minorEastAsia" w:hAnsiTheme="minorEastAsia" w:eastAsiaTheme="minorEastAsia"/>
          <w:szCs w:val="21"/>
        </w:rPr>
        <w:t>《四氧化三钴化学分析方法 第6部分：铜锌异物含量的测定 氨浸出-电感耦合等离子体原子发射光谱法</w:t>
      </w:r>
      <w:r>
        <w:rPr>
          <w:rFonts w:hint="eastAsia" w:asciiTheme="minorEastAsia" w:hAnsiTheme="minorEastAsia" w:eastAsiaTheme="minorEastAsia"/>
          <w:szCs w:val="21"/>
          <w:lang w:eastAsia="zh-CN"/>
        </w:rPr>
        <w:t>》</w:t>
      </w:r>
      <w:r>
        <w:rPr>
          <w:color w:val="000000" w:themeColor="text1"/>
          <w:kern w:val="0"/>
        </w:rPr>
        <w:t>进行了任务</w:t>
      </w:r>
      <w:r>
        <w:rPr>
          <w:kern w:val="0"/>
        </w:rPr>
        <w:t>落实</w:t>
      </w:r>
      <w:r>
        <w:rPr>
          <w:rFonts w:hint="eastAsia"/>
          <w:kern w:val="0"/>
        </w:rPr>
        <w:t>。</w:t>
      </w:r>
      <w:r>
        <w:rPr>
          <w:kern w:val="0"/>
        </w:rPr>
        <w:t>20</w:t>
      </w:r>
      <w:r>
        <w:rPr>
          <w:rFonts w:hint="eastAsia"/>
          <w:kern w:val="0"/>
        </w:rPr>
        <w:t>22</w:t>
      </w:r>
      <w:r>
        <w:rPr>
          <w:kern w:val="0"/>
        </w:rPr>
        <w:t>年</w:t>
      </w:r>
      <w:r>
        <w:rPr>
          <w:rFonts w:hint="eastAsia"/>
          <w:kern w:val="0"/>
        </w:rPr>
        <w:t>9</w:t>
      </w:r>
      <w:r>
        <w:rPr>
          <w:kern w:val="0"/>
        </w:rPr>
        <w:t>月，</w:t>
      </w:r>
      <w:r>
        <w:rPr>
          <w:rFonts w:hint="eastAsia"/>
          <w:kern w:val="0"/>
        </w:rPr>
        <w:t>金</w:t>
      </w:r>
      <w:r>
        <w:rPr>
          <w:rFonts w:hint="eastAsia"/>
          <w:color w:val="000000"/>
          <w:kern w:val="0"/>
        </w:rPr>
        <w:t>川集团股份有限公司接到任务后，通过兰州金川科技园有限公司下发给甘肃精普检测</w:t>
      </w:r>
      <w:r>
        <w:rPr>
          <w:color w:val="000000"/>
          <w:kern w:val="0"/>
        </w:rPr>
        <w:t>科技有限公司，</w:t>
      </w:r>
      <w:r>
        <w:rPr>
          <w:rFonts w:hint="eastAsia"/>
          <w:color w:val="000000"/>
          <w:kern w:val="0"/>
        </w:rPr>
        <w:t>精普公司</w:t>
      </w:r>
      <w:r>
        <w:rPr>
          <w:color w:val="000000"/>
          <w:szCs w:val="21"/>
        </w:rPr>
        <w:t>组建</w:t>
      </w:r>
      <w:r>
        <w:rPr>
          <w:rFonts w:hint="eastAsia"/>
          <w:color w:val="000000"/>
          <w:szCs w:val="21"/>
        </w:rPr>
        <w:t>试验项目组，负责方法试验和标准编制</w:t>
      </w:r>
      <w:r>
        <w:rPr>
          <w:color w:val="000000"/>
          <w:szCs w:val="21"/>
        </w:rPr>
        <w:t>，</w:t>
      </w:r>
      <w:r>
        <w:rPr>
          <w:rFonts w:hint="eastAsia"/>
          <w:color w:val="000000"/>
          <w:szCs w:val="21"/>
        </w:rPr>
        <w:t>项目组成员</w:t>
      </w:r>
      <w:r>
        <w:rPr>
          <w:color w:val="000000"/>
          <w:szCs w:val="21"/>
        </w:rPr>
        <w:t>主要由</w:t>
      </w:r>
      <w:r>
        <w:rPr>
          <w:rFonts w:hint="eastAsia"/>
          <w:color w:val="000000"/>
          <w:szCs w:val="21"/>
        </w:rPr>
        <w:t>技术人员</w:t>
      </w:r>
      <w:r>
        <w:rPr>
          <w:color w:val="000000"/>
          <w:szCs w:val="21"/>
        </w:rPr>
        <w:t>组成</w:t>
      </w:r>
      <w:r>
        <w:rPr>
          <w:color w:val="000000"/>
          <w:kern w:val="0"/>
        </w:rPr>
        <w:t>。</w:t>
      </w:r>
    </w:p>
    <w:p>
      <w:pPr>
        <w:tabs>
          <w:tab w:val="left" w:pos="851"/>
        </w:tabs>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2023年6月6日，精普公司标准编制小组完成标准文本（预审稿）的编写和试验报告（预审稿）的编写，发至各参与起草单位，完成验证样品的准备工作。同时，将验证样品寄各单位进行验证试验。</w:t>
      </w:r>
    </w:p>
    <w:p>
      <w:pPr>
        <w:tabs>
          <w:tab w:val="left" w:pos="851"/>
        </w:tabs>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2023年6月-12月，</w:t>
      </w:r>
      <w:r>
        <w:rPr>
          <w:rFonts w:hint="eastAsia" w:asciiTheme="minorEastAsia" w:hAnsiTheme="minorEastAsia" w:eastAsiaTheme="minorEastAsia"/>
          <w:szCs w:val="21"/>
        </w:rPr>
        <w:t>各单位进行验证试验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各验证单位返回的具体意见建议如下：</w:t>
      </w:r>
    </w:p>
    <w:p>
      <w:pPr>
        <w:tabs>
          <w:tab w:val="left" w:pos="851"/>
        </w:tabs>
        <w:spacing w:line="360" w:lineRule="auto"/>
        <w:ind w:firstLine="420" w:firstLineChars="200"/>
        <w:rPr>
          <w:rFonts w:hint="default" w:asciiTheme="minorEastAsia" w:hAnsiTheme="minorEastAsia" w:eastAsiaTheme="minorEastAsia"/>
          <w:szCs w:val="21"/>
          <w:lang w:val="en-US" w:eastAsia="zh-CN"/>
        </w:rPr>
      </w:pPr>
    </w:p>
    <w:p>
      <w:pPr>
        <w:tabs>
          <w:tab w:val="left" w:pos="851"/>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2023年12</w:t>
      </w:r>
      <w:r>
        <w:rPr>
          <w:rFonts w:hint="eastAsia" w:ascii="宋体" w:hAnsi="宋体"/>
          <w:szCs w:val="21"/>
        </w:rPr>
        <w:t xml:space="preserve"> 月 在 成都 </w:t>
      </w:r>
      <w:r>
        <w:rPr>
          <w:rFonts w:hint="eastAsia" w:asciiTheme="minorEastAsia" w:hAnsiTheme="minorEastAsia" w:eastAsiaTheme="minorEastAsia"/>
          <w:szCs w:val="21"/>
        </w:rPr>
        <w:t>召开了有色行业标准《四氧化三钴化学分析方法 第6部分：铜锌异物含量的测定 氨浸出-电感耦合等离子体原子发射光谱法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预审会，标准编制单位         参加了预审会。根据与会专家和代表的认真讨论、研究，形成预审定会会议纪要，并在会议上通过专家审议通过；根据预审定会议纪要，修订了本标准的讨论稿，编制本标准的预审稿。</w:t>
      </w:r>
    </w:p>
    <w:p>
      <w:pPr>
        <w:pStyle w:val="17"/>
        <w:numPr>
          <w:ilvl w:val="2"/>
          <w:numId w:val="1"/>
        </w:numPr>
        <w:tabs>
          <w:tab w:val="left" w:pos="851"/>
        </w:tabs>
        <w:spacing w:line="360" w:lineRule="auto"/>
        <w:ind w:left="1276" w:hanging="850" w:firstLineChars="0"/>
        <w:rPr>
          <w:rFonts w:ascii="仿宋_GB2312" w:eastAsia="仿宋_GB2312"/>
          <w:b/>
          <w:szCs w:val="21"/>
        </w:rPr>
      </w:pPr>
      <w:r>
        <w:rPr>
          <w:rFonts w:hint="eastAsia" w:ascii="仿宋_GB2312" w:eastAsia="仿宋_GB2312"/>
          <w:b/>
          <w:szCs w:val="21"/>
        </w:rPr>
        <w:t>征求意见阶段</w:t>
      </w:r>
    </w:p>
    <w:p>
      <w:pPr>
        <w:tabs>
          <w:tab w:val="left" w:pos="851"/>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在标准验证期间，各验证单位对标准文本和试验报告提出很多宝贵的意见，编制小组对各单位意见进行了回复处理，处理情况见意见汇总表。</w:t>
      </w:r>
    </w:p>
    <w:p>
      <w:pPr>
        <w:tabs>
          <w:tab w:val="left" w:pos="851"/>
        </w:tabs>
        <w:spacing w:line="360" w:lineRule="auto"/>
        <w:ind w:firstLine="420" w:firstLineChars="200"/>
        <w:rPr>
          <w:rFonts w:ascii="仿宋_GB2312" w:eastAsia="仿宋_GB2312"/>
          <w:b/>
          <w:szCs w:val="21"/>
        </w:rPr>
      </w:pPr>
      <w:r>
        <w:rPr>
          <w:rFonts w:hint="eastAsia" w:asciiTheme="minorEastAsia" w:hAnsiTheme="minorEastAsia" w:eastAsiaTheme="minorEastAsia"/>
          <w:szCs w:val="21"/>
        </w:rPr>
        <w:t xml:space="preserve">在项目预审会上，与会专家和代表也对标准文本（预审稿）和试验报告提出意见和建议，编制小组对意见进行分类处理，处理情况见意见汇总表。 </w:t>
      </w:r>
    </w:p>
    <w:p>
      <w:pPr>
        <w:pStyle w:val="17"/>
        <w:numPr>
          <w:ilvl w:val="2"/>
          <w:numId w:val="1"/>
        </w:numPr>
        <w:tabs>
          <w:tab w:val="left" w:pos="851"/>
        </w:tabs>
        <w:spacing w:line="360" w:lineRule="auto"/>
        <w:ind w:left="1276" w:hanging="850" w:firstLineChars="0"/>
        <w:rPr>
          <w:rFonts w:ascii="仿宋_GB2312" w:eastAsia="仿宋_GB2312"/>
          <w:b/>
          <w:szCs w:val="21"/>
        </w:rPr>
      </w:pPr>
      <w:r>
        <w:rPr>
          <w:rFonts w:hint="eastAsia" w:ascii="仿宋_GB2312" w:eastAsia="仿宋_GB2312"/>
          <w:b/>
          <w:szCs w:val="21"/>
        </w:rPr>
        <w:t>审查阶段</w:t>
      </w:r>
    </w:p>
    <w:p>
      <w:pPr>
        <w:tabs>
          <w:tab w:val="left" w:pos="7200"/>
        </w:tabs>
        <w:spacing w:line="360" w:lineRule="auto"/>
        <w:jc w:val="left"/>
        <w:rPr>
          <w:rFonts w:ascii="宋体" w:hAnsi="宋体"/>
        </w:rPr>
      </w:pPr>
      <w:r>
        <w:rPr>
          <w:rFonts w:hint="eastAsia" w:asciiTheme="minorEastAsia" w:hAnsiTheme="minorEastAsia" w:eastAsiaTheme="minorEastAsia"/>
          <w:szCs w:val="21"/>
        </w:rPr>
        <w:t xml:space="preserve">   </w:t>
      </w:r>
      <w:r>
        <w:rPr>
          <w:rFonts w:hint="eastAsia" w:ascii="宋体" w:hAnsi="宋体"/>
        </w:rPr>
        <w:t xml:space="preserve"> 202 年 月</w:t>
      </w:r>
      <w:r>
        <w:rPr>
          <w:rFonts w:hint="eastAsia" w:ascii="宋体" w:hAnsi="宋体"/>
          <w:szCs w:val="21"/>
        </w:rPr>
        <w:t xml:space="preserve">在 </w:t>
      </w:r>
      <w:r>
        <w:rPr>
          <w:rFonts w:hint="eastAsia" w:asciiTheme="minorEastAsia" w:hAnsiTheme="minorEastAsia" w:eastAsiaTheme="minorEastAsia"/>
          <w:szCs w:val="21"/>
        </w:rPr>
        <w:t>召开了有色行业标准YS/TXXXX.X-20XX《</w:t>
      </w:r>
      <w:r>
        <w:rPr>
          <w:rFonts w:hint="eastAsia"/>
          <w:szCs w:val="21"/>
        </w:rPr>
        <w:t>四氧化三钴</w:t>
      </w:r>
      <w:r>
        <w:rPr>
          <w:szCs w:val="21"/>
        </w:rPr>
        <w:t>化学分析方法</w:t>
      </w:r>
      <w:r>
        <w:rPr>
          <w:color w:val="000000" w:themeColor="text1"/>
          <w:szCs w:val="21"/>
        </w:rPr>
        <w:t xml:space="preserve"> 单质铜锌</w:t>
      </w:r>
      <w:r>
        <w:rPr>
          <w:rFonts w:hint="eastAsia"/>
          <w:color w:val="000000" w:themeColor="text1"/>
          <w:szCs w:val="21"/>
        </w:rPr>
        <w:t>含量</w:t>
      </w:r>
      <w:r>
        <w:rPr>
          <w:color w:val="000000" w:themeColor="text1"/>
          <w:szCs w:val="21"/>
        </w:rPr>
        <w:t>的测定 电感耦合等离子体发射光谱</w:t>
      </w:r>
      <w:r>
        <w:rPr>
          <w:rFonts w:hint="eastAsia"/>
          <w:color w:val="000000" w:themeColor="text1"/>
          <w:szCs w:val="21"/>
        </w:rPr>
        <w:t>法</w:t>
      </w:r>
      <w:r>
        <w:rPr>
          <w:rFonts w:hint="eastAsia" w:asciiTheme="minorEastAsia" w:hAnsiTheme="minorEastAsia" w:eastAsiaTheme="minorEastAsia"/>
          <w:szCs w:val="21"/>
        </w:rPr>
        <w:t>》审定会，标准编制单位参加了审定会。根据与会专家和代表的认真讨论、研究，形成预审定会会议纪要，并在会议上通过专家审议通过；根据预审定会议纪要，修订了本标准的</w:t>
      </w:r>
      <w:r>
        <w:rPr>
          <w:rFonts w:hint="eastAsia" w:asciiTheme="minorEastAsia" w:hAnsiTheme="minorEastAsia" w:eastAsiaTheme="minorEastAsia"/>
          <w:szCs w:val="21"/>
          <w:lang w:val="en-US" w:eastAsia="zh-CN"/>
        </w:rPr>
        <w:t>征求意见</w:t>
      </w:r>
      <w:r>
        <w:rPr>
          <w:rFonts w:hint="eastAsia" w:asciiTheme="minorEastAsia" w:hAnsiTheme="minorEastAsia" w:eastAsiaTheme="minorEastAsia"/>
          <w:szCs w:val="21"/>
        </w:rPr>
        <w:t>稿，编制本标准的审定稿</w:t>
      </w:r>
      <w:r>
        <w:rPr>
          <w:rFonts w:hint="eastAsia" w:ascii="宋体" w:hAnsi="宋体"/>
        </w:rPr>
        <w:t>。</w:t>
      </w:r>
    </w:p>
    <w:p>
      <w:pPr>
        <w:pStyle w:val="17"/>
        <w:numPr>
          <w:ilvl w:val="2"/>
          <w:numId w:val="1"/>
        </w:numPr>
        <w:tabs>
          <w:tab w:val="left" w:pos="851"/>
        </w:tabs>
        <w:spacing w:line="360" w:lineRule="auto"/>
        <w:ind w:left="1276" w:hanging="850" w:firstLineChars="0"/>
        <w:rPr>
          <w:rFonts w:ascii="仿宋_GB2312" w:eastAsia="仿宋_GB2312"/>
          <w:b/>
          <w:sz w:val="28"/>
          <w:szCs w:val="28"/>
        </w:rPr>
      </w:pPr>
      <w:r>
        <w:rPr>
          <w:rFonts w:hint="eastAsia" w:ascii="仿宋_GB2312" w:eastAsia="仿宋_GB2312"/>
          <w:b/>
          <w:szCs w:val="21"/>
        </w:rPr>
        <w:t>报批阶段</w:t>
      </w:r>
    </w:p>
    <w:p>
      <w:pPr>
        <w:tabs>
          <w:tab w:val="left" w:pos="851"/>
        </w:tabs>
        <w:spacing w:line="360" w:lineRule="auto"/>
        <w:rPr>
          <w:rFonts w:ascii="宋体" w:hAnsi="宋体"/>
          <w:szCs w:val="21"/>
        </w:rPr>
      </w:pPr>
      <w:r>
        <w:rPr>
          <w:rFonts w:hint="eastAsia" w:ascii="宋体" w:hAnsi="宋体"/>
          <w:szCs w:val="21"/>
        </w:rPr>
        <w:t xml:space="preserve">    202  年 月标准起草工作组根据审查会议提出的修改建议和意见对标准进行进一步的修改整理，形成本标准的报批稿，报全国有色标准化技术委员会秘书处。</w:t>
      </w:r>
    </w:p>
    <w:p>
      <w:pPr>
        <w:pStyle w:val="17"/>
        <w:numPr>
          <w:ilvl w:val="0"/>
          <w:numId w:val="1"/>
        </w:numPr>
        <w:ind w:firstLineChars="0"/>
        <w:rPr>
          <w:rFonts w:ascii="仿宋_GB2312" w:eastAsia="仿宋_GB2312"/>
          <w:b/>
          <w:sz w:val="24"/>
        </w:rPr>
      </w:pPr>
      <w:r>
        <w:rPr>
          <w:rFonts w:hint="eastAsia" w:ascii="仿宋_GB2312" w:eastAsia="仿宋_GB2312"/>
          <w:b/>
          <w:sz w:val="24"/>
        </w:rPr>
        <w:t>标准编制原则</w:t>
      </w:r>
    </w:p>
    <w:p>
      <w:pPr>
        <w:spacing w:line="360" w:lineRule="auto"/>
        <w:ind w:firstLine="420"/>
        <w:rPr>
          <w:rFonts w:ascii="宋体" w:hAnsi="宋体"/>
        </w:rPr>
      </w:pPr>
      <w:r>
        <w:rPr>
          <w:rFonts w:hint="eastAsia" w:ascii="仿宋_GB2312" w:eastAsia="仿宋_GB2312"/>
          <w:b/>
          <w:sz w:val="28"/>
          <w:szCs w:val="28"/>
        </w:rPr>
        <w:t xml:space="preserve"> </w:t>
      </w:r>
      <w:r>
        <w:rPr>
          <w:rFonts w:hint="eastAsia" w:ascii="宋体" w:hAnsi="宋体"/>
        </w:rPr>
        <w:t>按照GB/T 1.1—20</w:t>
      </w:r>
      <w:r>
        <w:rPr>
          <w:rFonts w:hint="eastAsia" w:ascii="宋体" w:hAnsi="宋体"/>
          <w:lang w:val="en-US" w:eastAsia="zh-CN"/>
        </w:rPr>
        <w:t>20</w:t>
      </w:r>
      <w:r>
        <w:rPr>
          <w:rFonts w:hint="eastAsia" w:ascii="宋体" w:hAnsi="宋体"/>
        </w:rPr>
        <w:t>《</w:t>
      </w:r>
      <w:r>
        <w:rPr>
          <w:rFonts w:hint="default" w:ascii="Times New Roman" w:hAnsi="Times New Roman" w:cs="Times New Roman"/>
        </w:rPr>
        <w:t>标准化工作导则  第</w:t>
      </w:r>
      <w:r>
        <w:rPr>
          <w:rFonts w:ascii="Times New Roman" w:hAnsi="Times New Roman" w:cs="Times New Roman"/>
        </w:rPr>
        <w:t>1</w:t>
      </w:r>
      <w:r>
        <w:rPr>
          <w:rFonts w:hint="default" w:ascii="Times New Roman" w:hAnsi="Times New Roman" w:cs="Times New Roman"/>
        </w:rPr>
        <w:t>部分：标准化文件的结构和起草规则</w:t>
      </w:r>
      <w:r>
        <w:rPr>
          <w:rFonts w:hint="eastAsia" w:ascii="宋体" w:hAnsi="宋体"/>
        </w:rPr>
        <w:t xml:space="preserve">》、GB/T </w:t>
      </w:r>
      <w:r>
        <w:rPr>
          <w:rFonts w:ascii="宋体" w:hAnsi="宋体"/>
        </w:rPr>
        <w:t>20001.4-2015</w:t>
      </w:r>
      <w:r>
        <w:rPr>
          <w:rFonts w:hint="eastAsia" w:ascii="宋体" w:hAnsi="宋体"/>
        </w:rPr>
        <w:t>《标准编写规则 第4部分：试验方法标准》的要求对本</w:t>
      </w:r>
      <w:r>
        <w:rPr>
          <w:rFonts w:hint="eastAsia" w:ascii="宋体" w:hAnsi="宋体"/>
          <w:lang w:val="en-US" w:eastAsia="zh-CN"/>
        </w:rPr>
        <w:t>标准</w:t>
      </w:r>
      <w:r>
        <w:rPr>
          <w:rFonts w:hint="eastAsia" w:ascii="宋体" w:hAnsi="宋体"/>
        </w:rPr>
        <w:t>进行了编写。</w:t>
      </w:r>
    </w:p>
    <w:p>
      <w:pPr>
        <w:spacing w:line="360" w:lineRule="auto"/>
        <w:rPr>
          <w:rFonts w:ascii="宋体" w:hAnsi="宋体"/>
        </w:rPr>
      </w:pPr>
      <w:r>
        <w:rPr>
          <w:rFonts w:hint="eastAsia" w:ascii="仿宋_GB2312" w:eastAsia="仿宋_GB2312"/>
          <w:b/>
          <w:sz w:val="28"/>
          <w:szCs w:val="28"/>
        </w:rPr>
        <w:t xml:space="preserve">    </w:t>
      </w:r>
      <w:r>
        <w:rPr>
          <w:rFonts w:hint="eastAsia" w:ascii="宋体" w:hAnsi="宋体"/>
        </w:rPr>
        <w:t>标准符合有色标准</w:t>
      </w:r>
      <w:r>
        <w:rPr>
          <w:rFonts w:hint="eastAsia"/>
          <w:szCs w:val="21"/>
        </w:rPr>
        <w:t>YS/T633</w:t>
      </w:r>
      <w:r>
        <w:rPr>
          <w:rFonts w:hint="eastAsia"/>
          <w:szCs w:val="21"/>
          <w:lang w:eastAsia="zh-CN"/>
        </w:rPr>
        <w:t>—</w:t>
      </w:r>
      <w:r>
        <w:rPr>
          <w:rFonts w:hint="eastAsia"/>
          <w:szCs w:val="21"/>
        </w:rPr>
        <w:t>20</w:t>
      </w:r>
      <w:r>
        <w:rPr>
          <w:rFonts w:hint="eastAsia"/>
          <w:szCs w:val="21"/>
          <w:lang w:val="en-US" w:eastAsia="zh-CN"/>
        </w:rPr>
        <w:t>2X</w:t>
      </w:r>
      <w:r>
        <w:rPr>
          <w:rFonts w:hint="eastAsia"/>
          <w:szCs w:val="21"/>
        </w:rPr>
        <w:t>《四氧化三钴》指标规定的要求，并在指标规定要求下进行了测定范围的扩展，使标准即据符合性又有先进性。</w:t>
      </w:r>
    </w:p>
    <w:p>
      <w:pPr>
        <w:pStyle w:val="17"/>
        <w:numPr>
          <w:ilvl w:val="0"/>
          <w:numId w:val="1"/>
        </w:numPr>
        <w:spacing w:line="360" w:lineRule="auto"/>
        <w:ind w:firstLineChars="0"/>
        <w:rPr>
          <w:rFonts w:ascii="仿宋_GB2312" w:eastAsia="仿宋_GB2312"/>
          <w:b/>
          <w:sz w:val="24"/>
        </w:rPr>
      </w:pPr>
      <w:r>
        <w:rPr>
          <w:rFonts w:hint="eastAsia" w:ascii="仿宋_GB2312" w:eastAsia="仿宋_GB2312"/>
          <w:b/>
          <w:sz w:val="24"/>
        </w:rPr>
        <w:t>标准主要内容的确定依据及主要试验和验证情况分析</w:t>
      </w:r>
    </w:p>
    <w:p>
      <w:pPr>
        <w:pStyle w:val="17"/>
        <w:numPr>
          <w:ilvl w:val="0"/>
          <w:numId w:val="2"/>
        </w:numPr>
        <w:spacing w:line="360" w:lineRule="auto"/>
        <w:ind w:firstLine="482"/>
        <w:rPr>
          <w:rFonts w:ascii="仿宋_GB2312" w:eastAsia="仿宋_GB2312"/>
          <w:b/>
          <w:sz w:val="24"/>
        </w:rPr>
      </w:pPr>
      <w:r>
        <w:rPr>
          <w:rFonts w:hint="eastAsia" w:ascii="仿宋_GB2312" w:eastAsia="仿宋_GB2312"/>
          <w:b/>
          <w:sz w:val="24"/>
        </w:rPr>
        <w:t>测定范围的确定</w:t>
      </w:r>
    </w:p>
    <w:p>
      <w:pPr>
        <w:spacing w:line="360" w:lineRule="auto"/>
        <w:ind w:firstLine="420" w:firstLineChars="200"/>
        <w:rPr>
          <w:rFonts w:ascii="宋体" w:hAnsi="宋体"/>
        </w:rPr>
      </w:pPr>
      <w:r>
        <w:rPr>
          <w:rFonts w:hint="eastAsia" w:ascii="宋体" w:hAnsi="宋体"/>
        </w:rPr>
        <w:t>按照YS/TYS/T633-2015《四氧化三钴》各牌号的指标规定的要求，参考国内主要四氧化三钴厂家生产状况，并对指标的测定范围进行一定的扩展，确定其中单质铜、锌含量测定的范围。</w:t>
      </w:r>
    </w:p>
    <w:p>
      <w:pPr>
        <w:pStyle w:val="17"/>
        <w:numPr>
          <w:ilvl w:val="0"/>
          <w:numId w:val="2"/>
        </w:numPr>
        <w:spacing w:line="360" w:lineRule="auto"/>
        <w:ind w:left="482" w:firstLine="0" w:firstLineChars="0"/>
        <w:rPr>
          <w:rFonts w:ascii="仿宋_GB2312" w:eastAsia="仿宋_GB2312"/>
          <w:b/>
          <w:sz w:val="24"/>
        </w:rPr>
      </w:pPr>
      <w:r>
        <w:rPr>
          <w:rFonts w:hint="eastAsia" w:ascii="仿宋_GB2312" w:eastAsia="仿宋_GB2312"/>
          <w:b/>
          <w:sz w:val="24"/>
        </w:rPr>
        <w:t>测定方法的确定</w:t>
      </w:r>
    </w:p>
    <w:p>
      <w:pPr>
        <w:spacing w:line="360" w:lineRule="auto"/>
        <w:ind w:firstLine="420" w:firstLineChars="200"/>
        <w:rPr>
          <w:rFonts w:ascii="宋体" w:hAnsi="宋体"/>
        </w:rPr>
      </w:pPr>
      <w:r>
        <w:rPr>
          <w:rFonts w:hint="eastAsia" w:ascii="宋体" w:hAnsi="宋体"/>
        </w:rPr>
        <w:t>查阅大量目前国内外文献，没有查到四氧化三钴中单质铜、锌的检测方法。单质铜、锌的检测目前采用客户提供的检测方法：采用络合剂富集分离、ICP-OES光谱法测定其中铜锌含量。该方法的可靠性没有通过验证，原厂家也没有对该方法做过系统完整试验，且从目前使用情况看，该方法存在试剂消耗量大、操作环境污染严重、空白高且不稳定，检测效率低等不足，需要通过系统的研究，建立准确可靠的单质铜锌测定方法。</w:t>
      </w:r>
    </w:p>
    <w:p>
      <w:pPr>
        <w:spacing w:line="360" w:lineRule="auto"/>
        <w:ind w:firstLine="420" w:firstLineChars="200"/>
        <w:rPr>
          <w:rFonts w:ascii="宋体" w:hAnsi="宋体"/>
        </w:rPr>
      </w:pPr>
      <w:r>
        <w:rPr>
          <w:rFonts w:hint="eastAsia" w:ascii="宋体" w:hAnsi="宋体"/>
        </w:rPr>
        <w:t>采用氨水作为络合剂进行浆化，振荡富集，固液分离后通常采用电感耦合等离子体发射光谱法、原子吸收光谱法等，原子吸收光谱法适合较高含量单质铜锌含量的测定，电感耦合等离子体发射光谱法由于灵敏度高、操作简单等优点而得到广泛应用在金属材料微量单质铜锌的测定。电池材料中单质铜锌的测定报道较少。</w:t>
      </w:r>
    </w:p>
    <w:p>
      <w:pPr>
        <w:spacing w:line="360" w:lineRule="auto"/>
        <w:ind w:firstLine="420" w:firstLineChars="200"/>
        <w:rPr>
          <w:rFonts w:ascii="宋体" w:hAnsi="宋体"/>
        </w:rPr>
      </w:pPr>
      <w:r>
        <w:rPr>
          <w:rFonts w:hint="eastAsia" w:ascii="宋体" w:hAnsi="宋体"/>
        </w:rPr>
        <w:t>电感耦合等离子体发射光谱法方法可用于四氧化三钴中单质铜锌的测定，电感耦合等离子体发射光谱法较为简单，仪器成本稍低，设备普及性好，操作较为方便，该方法可作为四氧化三钴行业标准的测定方法。</w:t>
      </w:r>
    </w:p>
    <w:p>
      <w:pPr>
        <w:pStyle w:val="17"/>
        <w:numPr>
          <w:ilvl w:val="0"/>
          <w:numId w:val="2"/>
        </w:numPr>
        <w:spacing w:line="360" w:lineRule="auto"/>
        <w:ind w:firstLine="482"/>
        <w:rPr>
          <w:rFonts w:ascii="仿宋_GB2312" w:eastAsia="仿宋_GB2312"/>
          <w:b/>
          <w:sz w:val="24"/>
        </w:rPr>
      </w:pPr>
      <w:r>
        <w:rPr>
          <w:rFonts w:hint="eastAsia" w:ascii="仿宋_GB2312" w:eastAsia="仿宋_GB2312"/>
          <w:b/>
          <w:sz w:val="24"/>
        </w:rPr>
        <w:t>主要试验内容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包括三个部分,即称络合富集试验、固液分离试验、精密度试验。</w:t>
      </w:r>
    </w:p>
    <w:p>
      <w:pPr>
        <w:spacing w:line="360" w:lineRule="auto"/>
        <w:rPr>
          <w:rFonts w:ascii="仿宋_GB2312" w:eastAsia="仿宋_GB2312"/>
          <w:b/>
          <w:sz w:val="24"/>
        </w:rPr>
      </w:pPr>
      <w:r>
        <w:rPr>
          <w:rFonts w:hint="eastAsia" w:ascii="仿宋_GB2312" w:eastAsia="仿宋_GB2312"/>
          <w:b/>
          <w:sz w:val="24"/>
        </w:rPr>
        <w:t>A、电感耦合等离子体发射光谱法试验情况</w:t>
      </w:r>
    </w:p>
    <w:p>
      <w:pPr>
        <w:spacing w:line="360" w:lineRule="auto"/>
        <w:ind w:firstLine="420" w:firstLineChars="200"/>
        <w:rPr>
          <w:szCs w:val="21"/>
        </w:rPr>
      </w:pPr>
      <w:r>
        <w:rPr>
          <w:rFonts w:hint="eastAsia" w:ascii="宋体" w:hAnsi="宋体"/>
        </w:rPr>
        <w:t>电感耦合等离子体发射光谱法</w:t>
      </w:r>
      <w:r>
        <w:rPr>
          <w:rFonts w:hint="eastAsia"/>
          <w:szCs w:val="21"/>
        </w:rPr>
        <w:t>参照仪器推荐条件和相关文献内容，结合试验数据进行了测定仪器条件的选择。进行了检出限试验、</w:t>
      </w:r>
      <w:r>
        <w:rPr>
          <w:rFonts w:hint="eastAsia" w:asciiTheme="minorEastAsia" w:hAnsiTheme="minorEastAsia" w:eastAsiaTheme="minorEastAsia"/>
          <w:szCs w:val="21"/>
        </w:rPr>
        <w:t>络合富集方式选择试验、固液分离方式试验、固液比选择试验、称样量试验、精密度试验</w:t>
      </w:r>
      <w:r>
        <w:rPr>
          <w:rFonts w:hint="eastAsia"/>
          <w:szCs w:val="21"/>
        </w:rPr>
        <w:t>等。采用实际样品进行了加标回收试验、精密度试验等。（具体内容见试验报告）</w:t>
      </w:r>
    </w:p>
    <w:p>
      <w:pPr>
        <w:pStyle w:val="17"/>
        <w:spacing w:line="360" w:lineRule="auto"/>
        <w:ind w:firstLine="0" w:firstLineChars="0"/>
        <w:rPr>
          <w:rFonts w:ascii="仿宋_GB2312" w:eastAsia="仿宋_GB2312"/>
          <w:b/>
          <w:sz w:val="24"/>
        </w:rPr>
      </w:pPr>
      <w:r>
        <w:rPr>
          <w:rFonts w:hint="eastAsia" w:ascii="仿宋_GB2312" w:eastAsia="仿宋_GB2312"/>
          <w:b/>
          <w:sz w:val="24"/>
        </w:rPr>
        <w:t>B验证情况分析</w:t>
      </w:r>
    </w:p>
    <w:p>
      <w:pPr>
        <w:autoSpaceDE w:val="0"/>
        <w:autoSpaceDN w:val="0"/>
        <w:adjustRightInd w:val="0"/>
        <w:spacing w:line="360" w:lineRule="auto"/>
        <w:jc w:val="left"/>
        <w:rPr>
          <w:rFonts w:ascii="宋体" w:hAnsi="宋体"/>
          <w:b/>
          <w:bCs/>
          <w:szCs w:val="21"/>
        </w:rPr>
      </w:pPr>
      <w:r>
        <w:rPr>
          <w:rFonts w:hint="eastAsia" w:ascii="宋体" w:hAnsi="宋体"/>
          <w:b/>
          <w:bCs/>
          <w:szCs w:val="21"/>
        </w:rPr>
        <w:t>B1一验单位分析情况：</w:t>
      </w:r>
    </w:p>
    <w:p>
      <w:pPr>
        <w:spacing w:line="360" w:lineRule="auto"/>
        <w:ind w:firstLine="424" w:firstLineChars="202"/>
        <w:rPr>
          <w:rFonts w:asciiTheme="minorEastAsia" w:hAnsiTheme="minorEastAsia" w:eastAsiaTheme="minorEastAsia"/>
          <w:szCs w:val="21"/>
        </w:rPr>
      </w:pPr>
      <w:r>
        <w:rPr>
          <w:rFonts w:hint="eastAsia" w:ascii="宋体" w:hAnsi="宋体"/>
          <w:szCs w:val="21"/>
        </w:rPr>
        <w:t>本标准文本邀请国内多家</w:t>
      </w:r>
      <w:r>
        <w:rPr>
          <w:rFonts w:hint="eastAsia" w:ascii="宋体" w:hAnsi="宋体"/>
          <w:szCs w:val="21"/>
          <w:lang w:val="en-US" w:eastAsia="zh-CN"/>
        </w:rPr>
        <w:t>实</w:t>
      </w:r>
      <w:r>
        <w:rPr>
          <w:rFonts w:hint="eastAsia" w:ascii="宋体" w:hAnsi="宋体"/>
          <w:szCs w:val="21"/>
        </w:rPr>
        <w:t>验室进行验证，</w:t>
      </w:r>
      <w:r>
        <w:rPr>
          <w:rFonts w:hint="eastAsia"/>
          <w:szCs w:val="21"/>
        </w:rPr>
        <w:t>浙</w:t>
      </w:r>
      <w:r>
        <w:rPr>
          <w:rFonts w:hint="eastAsia" w:asciiTheme="minorEastAsia" w:hAnsiTheme="minorEastAsia" w:eastAsiaTheme="minorEastAsia"/>
          <w:szCs w:val="21"/>
        </w:rPr>
        <w:t>江华友钴业股份有限公司、</w:t>
      </w:r>
      <w:r>
        <w:rPr>
          <w:rFonts w:asciiTheme="minorEastAsia" w:hAnsiTheme="minorEastAsia" w:eastAsiaTheme="minorEastAsia"/>
          <w:szCs w:val="21"/>
        </w:rPr>
        <w:t>广东邦普循环科技有限公司</w:t>
      </w:r>
      <w:r>
        <w:rPr>
          <w:rFonts w:hint="eastAsia" w:asciiTheme="minorEastAsia" w:hAnsiTheme="minorEastAsia" w:eastAsiaTheme="minorEastAsia"/>
          <w:szCs w:val="21"/>
        </w:rPr>
        <w:t>、江苏当升材料科技股份有限公司</w:t>
      </w:r>
      <w:r>
        <w:rPr>
          <w:rFonts w:hint="eastAsia" w:ascii="宋体" w:hAnsi="宋体"/>
          <w:szCs w:val="21"/>
        </w:rPr>
        <w:t>参与一验，</w:t>
      </w:r>
      <w:r>
        <w:rPr>
          <w:rFonts w:hint="eastAsia" w:asciiTheme="minorEastAsia" w:hAnsiTheme="minorEastAsia" w:eastAsiaTheme="minorEastAsia"/>
          <w:szCs w:val="21"/>
        </w:rPr>
        <w:t>深圳岭南有色金属股份有限公司韶关冶炼厂</w:t>
      </w:r>
      <w:r>
        <w:rPr>
          <w:rFonts w:hint="eastAsia" w:ascii="宋体" w:hAnsi="宋体"/>
          <w:szCs w:val="21"/>
        </w:rPr>
        <w:t>等8家单位参与二验。</w:t>
      </w:r>
    </w:p>
    <w:p>
      <w:pPr>
        <w:autoSpaceDE w:val="0"/>
        <w:autoSpaceDN w:val="0"/>
        <w:adjustRightInd w:val="0"/>
        <w:spacing w:line="360" w:lineRule="auto"/>
        <w:jc w:val="left"/>
        <w:rPr>
          <w:b/>
          <w:sz w:val="22"/>
          <w:szCs w:val="22"/>
        </w:rPr>
      </w:pPr>
      <w:r>
        <w:rPr>
          <w:rFonts w:hint="eastAsia"/>
          <w:b/>
          <w:sz w:val="22"/>
          <w:szCs w:val="22"/>
        </w:rPr>
        <w:t>B1.1一验情况</w:t>
      </w:r>
    </w:p>
    <w:p>
      <w:pPr>
        <w:spacing w:line="360" w:lineRule="auto"/>
        <w:ind w:firstLine="420"/>
        <w:rPr>
          <w:rFonts w:ascii="宋体" w:hAnsi="宋体"/>
          <w:szCs w:val="21"/>
        </w:rPr>
      </w:pPr>
      <w:r>
        <w:rPr>
          <w:rFonts w:hint="eastAsia"/>
          <w:szCs w:val="21"/>
        </w:rPr>
        <w:t>浙</w:t>
      </w:r>
      <w:r>
        <w:rPr>
          <w:rFonts w:hint="eastAsia" w:asciiTheme="minorEastAsia" w:hAnsiTheme="minorEastAsia" w:eastAsiaTheme="minorEastAsia"/>
          <w:szCs w:val="21"/>
        </w:rPr>
        <w:t>江华友钴业股份有限公司</w:t>
      </w:r>
      <w:r>
        <w:rPr>
          <w:rFonts w:hint="eastAsia" w:ascii="宋体" w:hAnsi="宋体"/>
          <w:szCs w:val="21"/>
        </w:rPr>
        <w:t>对编制单位试验报告的各实验条件参数进行验证，进行了仪器工作参数试验、谱线选择试验、检出限试验、络合剂选择试验、固液比试验、加标回收试验、精密度试验，</w:t>
      </w:r>
      <w:r>
        <w:rPr>
          <w:rFonts w:hint="eastAsia" w:asciiTheme="minorEastAsia" w:hAnsiTheme="minorEastAsia" w:eastAsiaTheme="minorEastAsia"/>
          <w:szCs w:val="21"/>
        </w:rPr>
        <w:t>试验</w:t>
      </w:r>
      <w:r>
        <w:rPr>
          <w:rFonts w:hint="eastAsia" w:ascii="宋体" w:hAnsi="宋体"/>
          <w:szCs w:val="21"/>
        </w:rPr>
        <w:t>情况均与编制单位试验报告结论一致。精密度试验</w:t>
      </w:r>
      <w:r>
        <w:rPr>
          <w:rFonts w:ascii="宋体" w:hAnsi="宋体"/>
          <w:szCs w:val="21"/>
        </w:rPr>
        <w:t>相对标准偏差小于</w:t>
      </w:r>
      <w:r>
        <w:rPr>
          <w:rFonts w:hint="eastAsia" w:ascii="宋体" w:hAnsi="宋体"/>
          <w:szCs w:val="21"/>
        </w:rPr>
        <w:t xml:space="preserve">19.8 </w:t>
      </w:r>
      <w:r>
        <w:rPr>
          <w:rFonts w:ascii="宋体" w:hAnsi="宋体"/>
          <w:szCs w:val="21"/>
        </w:rPr>
        <w:t>%</w:t>
      </w:r>
      <w:r>
        <w:rPr>
          <w:rFonts w:hint="eastAsia" w:ascii="宋体" w:hAnsi="宋体"/>
          <w:szCs w:val="21"/>
        </w:rPr>
        <w:t>。精密度试验结果良好。</w:t>
      </w:r>
    </w:p>
    <w:p>
      <w:pPr>
        <w:autoSpaceDE w:val="0"/>
        <w:autoSpaceDN w:val="0"/>
        <w:adjustRightInd w:val="0"/>
        <w:spacing w:line="360" w:lineRule="auto"/>
        <w:ind w:firstLine="420" w:firstLineChars="200"/>
        <w:jc w:val="left"/>
        <w:rPr>
          <w:rFonts w:ascii="宋体" w:hAnsi="宋体"/>
          <w:szCs w:val="21"/>
        </w:rPr>
      </w:pPr>
      <w:r>
        <w:rPr>
          <w:rFonts w:asciiTheme="minorEastAsia" w:hAnsiTheme="minorEastAsia" w:eastAsiaTheme="minorEastAsia"/>
          <w:szCs w:val="21"/>
        </w:rPr>
        <w:t>广东邦普循环科技有限公司</w:t>
      </w:r>
      <w:r>
        <w:rPr>
          <w:rFonts w:hint="eastAsia" w:ascii="宋体" w:hAnsi="宋体"/>
          <w:szCs w:val="21"/>
        </w:rPr>
        <w:t>对编制单位试验报告的各实验条件参数进行验证，谱线选择试验、检出限试验、络合剂选择试验、固液比试验、加标回收试验、精密度试验，</w:t>
      </w:r>
      <w:r>
        <w:rPr>
          <w:rFonts w:hint="eastAsia" w:asciiTheme="minorEastAsia" w:hAnsiTheme="minorEastAsia" w:eastAsiaTheme="minorEastAsia"/>
          <w:szCs w:val="21"/>
        </w:rPr>
        <w:t>试验</w:t>
      </w:r>
      <w:r>
        <w:rPr>
          <w:rFonts w:hint="eastAsia" w:ascii="宋体" w:hAnsi="宋体"/>
          <w:szCs w:val="21"/>
        </w:rPr>
        <w:t>情况均与编制单位试验报告结论一致。精密度试验</w:t>
      </w:r>
      <w:r>
        <w:rPr>
          <w:rFonts w:ascii="宋体" w:hAnsi="宋体"/>
          <w:szCs w:val="21"/>
        </w:rPr>
        <w:t>相对标准偏差小于</w:t>
      </w:r>
      <w:r>
        <w:rPr>
          <w:rFonts w:hint="eastAsia" w:ascii="宋体" w:hAnsi="宋体"/>
          <w:szCs w:val="21"/>
        </w:rPr>
        <w:t xml:space="preserve">34.6 </w:t>
      </w:r>
      <w:r>
        <w:rPr>
          <w:rFonts w:ascii="宋体" w:hAnsi="宋体"/>
          <w:szCs w:val="21"/>
        </w:rPr>
        <w:t>%</w:t>
      </w:r>
      <w:r>
        <w:rPr>
          <w:rFonts w:hint="eastAsia" w:ascii="宋体" w:hAnsi="宋体"/>
          <w:szCs w:val="21"/>
        </w:rPr>
        <w:t>。精密度试结果良好。</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 xml:space="preserve">北京当升材料科技股份有限公司对编制单位试验报告的各实验条件参数进行验证，谱线选择试验、检出限试验、络合剂选择试验、固液比试验、加标回收试验、精密度试验，试验情况均与编制单位试验报告结论一致。本方法测定四氧化三钴，相对标准偏差小于 </w:t>
      </w:r>
      <w:r>
        <w:rPr>
          <w:rFonts w:hint="eastAsia" w:ascii="宋体" w:hAnsi="宋体"/>
          <w:szCs w:val="21"/>
          <w:highlight w:val="yellow"/>
        </w:rPr>
        <w:t>5 %</w:t>
      </w:r>
      <w:r>
        <w:rPr>
          <w:rFonts w:hint="eastAsia" w:ascii="宋体" w:hAnsi="宋体"/>
          <w:szCs w:val="21"/>
        </w:rPr>
        <w:t>。精密度试验结果良好。</w:t>
      </w:r>
    </w:p>
    <w:p>
      <w:pPr>
        <w:spacing w:line="360" w:lineRule="auto"/>
        <w:ind w:firstLine="420"/>
        <w:rPr>
          <w:rFonts w:ascii="宋体" w:hAnsi="宋体"/>
          <w:szCs w:val="21"/>
        </w:rPr>
      </w:pPr>
      <w:r>
        <w:rPr>
          <w:rFonts w:hint="eastAsia" w:ascii="宋体" w:hAnsi="宋体"/>
          <w:szCs w:val="21"/>
        </w:rPr>
        <w:t>参与二验的各单位验证了本方法测定的精密度，部分单位对试验报告和文本草案提出了修改意见（见意见汇总表）。</w:t>
      </w:r>
    </w:p>
    <w:p>
      <w:pPr>
        <w:spacing w:line="360" w:lineRule="auto"/>
        <w:ind w:firstLine="420"/>
        <w:rPr>
          <w:rFonts w:ascii="宋体" w:hAnsi="宋体"/>
          <w:szCs w:val="21"/>
        </w:rPr>
      </w:pPr>
      <w:r>
        <w:rPr>
          <w:rFonts w:hint="eastAsia" w:ascii="宋体" w:hAnsi="宋体"/>
          <w:szCs w:val="21"/>
        </w:rPr>
        <w:t>通过验证，各单位试验结论与编制单位报告内容和文本草案内容基本一致，方法可行，精密度良好。</w:t>
      </w:r>
    </w:p>
    <w:p>
      <w:pPr>
        <w:spacing w:line="360" w:lineRule="auto"/>
        <w:ind w:firstLine="420"/>
        <w:rPr>
          <w:rFonts w:ascii="宋体" w:hAnsi="宋体"/>
          <w:szCs w:val="21"/>
        </w:rPr>
      </w:pPr>
      <w:r>
        <w:rPr>
          <w:rFonts w:hint="eastAsia" w:ascii="宋体" w:hAnsi="宋体"/>
          <w:szCs w:val="21"/>
        </w:rPr>
        <w:t>具体数据见数据汇总列表。</w:t>
      </w:r>
    </w:p>
    <w:p>
      <w:pPr>
        <w:autoSpaceDE w:val="0"/>
        <w:autoSpaceDN w:val="0"/>
        <w:adjustRightInd w:val="0"/>
        <w:spacing w:line="360" w:lineRule="auto"/>
        <w:ind w:firstLine="3534" w:firstLineChars="1600"/>
        <w:jc w:val="left"/>
        <w:rPr>
          <w:b/>
          <w:sz w:val="22"/>
          <w:szCs w:val="22"/>
        </w:rPr>
      </w:pPr>
      <w:r>
        <w:rPr>
          <w:rFonts w:hint="eastAsia"/>
          <w:b/>
          <w:sz w:val="22"/>
          <w:szCs w:val="22"/>
        </w:rPr>
        <w:t>数据汇总表</w:t>
      </w:r>
    </w:p>
    <w:tbl>
      <w:tblPr>
        <w:tblStyle w:val="11"/>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87"/>
        <w:gridCol w:w="894"/>
        <w:gridCol w:w="798"/>
        <w:gridCol w:w="782"/>
        <w:gridCol w:w="849"/>
        <w:gridCol w:w="816"/>
        <w:gridCol w:w="706"/>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625" w:type="pct"/>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实验室</w:t>
            </w:r>
          </w:p>
        </w:tc>
        <w:tc>
          <w:tcPr>
            <w:tcW w:w="521" w:type="pct"/>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2853" w:type="pct"/>
            <w:gridSpan w:val="6"/>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水平j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549"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625" w:type="pct"/>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金川集团股份有限公司</w:t>
            </w: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均值</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37</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34</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134</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144</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87</w:t>
            </w:r>
          </w:p>
        </w:tc>
        <w:tc>
          <w:tcPr>
            <w:tcW w:w="549"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549"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n</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549"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浙江华友钴业股份有限公司（一验）</w:t>
            </w: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均值</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49</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53</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122</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134</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27</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n</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江苏当升材料科技股份有限公司(一验）</w:t>
            </w:r>
          </w:p>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均值</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43</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35</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143</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130</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n</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广东邦普循环科技有限公司（一验）</w:t>
            </w: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均值</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48</w:t>
            </w:r>
          </w:p>
        </w:tc>
        <w:tc>
          <w:tcPr>
            <w:tcW w:w="456" w:type="pct"/>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45</w:t>
            </w:r>
          </w:p>
        </w:tc>
        <w:tc>
          <w:tcPr>
            <w:tcW w:w="495" w:type="pct"/>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146</w:t>
            </w:r>
          </w:p>
        </w:tc>
        <w:tc>
          <w:tcPr>
            <w:tcW w:w="476" w:type="pct"/>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145</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n</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625" w:type="pct"/>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衢江华友</w:t>
            </w: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均值</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46</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35</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142</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141</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n</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格林美</w:t>
            </w: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均值</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42</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115</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142</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n</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岭南</w:t>
            </w: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均值</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33</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57</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142</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171</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n</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625" w:type="pct"/>
            <w:vMerge w:val="restart"/>
            <w:shd w:val="clear" w:color="auto" w:fill="auto"/>
            <w:noWrap/>
            <w:tcMar>
              <w:top w:w="15" w:type="dxa"/>
              <w:left w:w="15" w:type="dxa"/>
              <w:right w:w="15" w:type="dxa"/>
            </w:tcMar>
            <w:vAlign w:val="center"/>
          </w:tcPr>
          <w:p>
            <w:pPr>
              <w:widowControl/>
              <w:ind w:firstLine="1100" w:firstLineChars="5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中伟</w:t>
            </w:r>
          </w:p>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均值</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33</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39</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78</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31</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25" w:type="pct"/>
            <w:vMerge w:val="continue"/>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n</w:t>
            </w:r>
          </w:p>
        </w:tc>
        <w:tc>
          <w:tcPr>
            <w:tcW w:w="46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5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95"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76"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412" w:type="pc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49" w:type="pct"/>
            <w:shd w:val="clear" w:color="auto" w:fill="auto"/>
            <w:noWrap/>
            <w:tcMar>
              <w:top w:w="15" w:type="dxa"/>
              <w:left w:w="15" w:type="dxa"/>
              <w:right w:w="15" w:type="dxa"/>
            </w:tcMar>
          </w:tcPr>
          <w:p>
            <w:pPr>
              <w:widowControl/>
              <w:jc w:val="center"/>
              <w:textAlignment w:val="center"/>
              <w:rPr>
                <w:rFonts w:ascii="宋体" w:hAnsi="宋体" w:cs="宋体"/>
                <w:color w:val="000000"/>
                <w:sz w:val="22"/>
                <w:szCs w:val="22"/>
              </w:rPr>
            </w:pPr>
          </w:p>
        </w:tc>
      </w:tr>
    </w:tbl>
    <w:p>
      <w:pPr>
        <w:pStyle w:val="17"/>
        <w:spacing w:line="360" w:lineRule="auto"/>
        <w:ind w:firstLine="0" w:firstLineChars="0"/>
        <w:rPr>
          <w:rFonts w:ascii="仿宋_GB2312" w:eastAsia="仿宋_GB2312"/>
          <w:b/>
          <w:sz w:val="24"/>
        </w:rPr>
      </w:pPr>
      <w:r>
        <w:rPr>
          <w:rFonts w:hint="eastAsia" w:ascii="仿宋_GB2312" w:eastAsia="仿宋_GB2312"/>
          <w:b/>
          <w:sz w:val="24"/>
        </w:rPr>
        <w:t>C:验证单位数据处理情况说明</w:t>
      </w:r>
    </w:p>
    <w:p>
      <w:pPr>
        <w:autoSpaceDE w:val="0"/>
        <w:autoSpaceDN w:val="0"/>
        <w:adjustRightInd w:val="0"/>
        <w:spacing w:line="360" w:lineRule="auto"/>
        <w:jc w:val="left"/>
        <w:rPr>
          <w:rFonts w:ascii="仿宋_GB2312" w:eastAsia="仿宋_GB2312"/>
          <w:b/>
          <w:sz w:val="24"/>
        </w:rPr>
      </w:pPr>
      <w:r>
        <w:rPr>
          <w:rFonts w:hint="eastAsia" w:ascii="仿宋_GB2312" w:eastAsia="仿宋_GB2312"/>
          <w:b/>
          <w:sz w:val="24"/>
        </w:rPr>
        <w:t>C1:可科伦检验</w:t>
      </w:r>
    </w:p>
    <w:p>
      <w:pPr>
        <w:autoSpaceDE w:val="0"/>
        <w:autoSpaceDN w:val="0"/>
        <w:adjustRightInd w:val="0"/>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根据GB/T6379.2-2004中7.3.3，对试验结果进行实验室内部离群值判定。</w:t>
      </w:r>
    </w:p>
    <w:tbl>
      <w:tblPr>
        <w:tblStyle w:val="11"/>
        <w:tblpPr w:leftFromText="180" w:rightFromText="180" w:vertAnchor="text" w:horzAnchor="page" w:tblpXSpec="center" w:tblpY="151"/>
        <w:tblOverlap w:val="never"/>
        <w:tblW w:w="8639" w:type="dxa"/>
        <w:jc w:val="center"/>
        <w:tblLayout w:type="fixed"/>
        <w:tblCellMar>
          <w:top w:w="0" w:type="dxa"/>
          <w:left w:w="108" w:type="dxa"/>
          <w:bottom w:w="0" w:type="dxa"/>
          <w:right w:w="108" w:type="dxa"/>
        </w:tblCellMar>
      </w:tblPr>
      <w:tblGrid>
        <w:gridCol w:w="1653"/>
        <w:gridCol w:w="1381"/>
        <w:gridCol w:w="1157"/>
        <w:gridCol w:w="1157"/>
        <w:gridCol w:w="1157"/>
        <w:gridCol w:w="1157"/>
        <w:gridCol w:w="977"/>
      </w:tblGrid>
      <w:tr>
        <w:tblPrEx>
          <w:tblCellMar>
            <w:top w:w="0" w:type="dxa"/>
            <w:left w:w="108" w:type="dxa"/>
            <w:bottom w:w="0" w:type="dxa"/>
            <w:right w:w="108" w:type="dxa"/>
          </w:tblCellMar>
        </w:tblPrEx>
        <w:trPr>
          <w:trHeight w:val="269" w:hRule="atLeast"/>
          <w:jc w:val="center"/>
        </w:trPr>
        <w:tc>
          <w:tcPr>
            <w:tcW w:w="863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r>
              <w:rPr>
                <w:rFonts w:ascii="宋体" w:hAnsi="宋体"/>
                <w:color w:val="000000"/>
                <w:sz w:val="22"/>
              </w:rPr>
              <w:t>水平  j</w:t>
            </w:r>
          </w:p>
        </w:tc>
      </w:tr>
      <w:tr>
        <w:tblPrEx>
          <w:tblCellMar>
            <w:top w:w="0" w:type="dxa"/>
            <w:left w:w="108" w:type="dxa"/>
            <w:bottom w:w="0" w:type="dxa"/>
            <w:right w:w="108" w:type="dxa"/>
          </w:tblCellMar>
        </w:tblPrEx>
        <w:trPr>
          <w:trHeight w:val="253"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r>
              <w:rPr>
                <w:rFonts w:hint="eastAsia" w:ascii="宋体" w:hAnsi="宋体"/>
                <w:color w:val="000000"/>
                <w:sz w:val="22"/>
              </w:rPr>
              <w:t>1#（新）</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r>
              <w:rPr>
                <w:rFonts w:hint="eastAsia" w:ascii="宋体" w:hAnsi="宋体"/>
                <w:color w:val="000000"/>
                <w:sz w:val="22"/>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r>
              <w:rPr>
                <w:rFonts w:hint="eastAsia" w:ascii="宋体" w:hAnsi="宋体"/>
                <w:color w:val="000000"/>
                <w:sz w:val="22"/>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r>
              <w:rPr>
                <w:rFonts w:hint="eastAsia" w:ascii="宋体" w:hAnsi="宋体"/>
                <w:color w:val="000000"/>
                <w:sz w:val="22"/>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r>
              <w:rPr>
                <w:rFonts w:ascii="宋体" w:hAnsi="宋体"/>
                <w:color w:val="000000"/>
                <w:sz w:val="22"/>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r>
              <w:rPr>
                <w:rFonts w:ascii="宋体" w:hAnsi="宋体"/>
                <w:color w:val="000000"/>
                <w:sz w:val="22"/>
              </w:rPr>
              <w:t>5</w:t>
            </w:r>
          </w:p>
        </w:tc>
      </w:tr>
      <w:tr>
        <w:tblPrEx>
          <w:tblCellMar>
            <w:top w:w="0" w:type="dxa"/>
            <w:left w:w="108" w:type="dxa"/>
            <w:bottom w:w="0" w:type="dxa"/>
            <w:right w:w="108" w:type="dxa"/>
          </w:tblCellMar>
        </w:tblPrEx>
        <w:trPr>
          <w:trHeight w:val="315"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r>
              <w:rPr>
                <w:rFonts w:hint="eastAsia" w:ascii="宋体" w:hAnsi="宋体"/>
                <w:color w:val="000000"/>
                <w:sz w:val="22"/>
              </w:rPr>
              <w:t>max（s）</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382"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r>
              <w:rPr>
                <w:rFonts w:hint="eastAsia" w:ascii="宋体" w:hAnsi="宋体"/>
                <w:color w:val="000000"/>
                <w:sz w:val="22"/>
              </w:rPr>
              <w:t>max（s）的平方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315"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r>
              <w:rPr>
                <w:rFonts w:hint="eastAsia" w:ascii="宋体" w:hAnsi="宋体"/>
                <w:color w:val="000000"/>
                <w:sz w:val="22"/>
              </w:rPr>
              <w:t>S</w:t>
            </w:r>
            <w:r>
              <w:rPr>
                <w:rFonts w:hint="eastAsia" w:ascii="宋体" w:hAnsi="宋体"/>
                <w:color w:val="000000"/>
                <w:sz w:val="22"/>
                <w:vertAlign w:val="superscript"/>
              </w:rPr>
              <w:t>2</w:t>
            </w:r>
            <w:r>
              <w:rPr>
                <w:rFonts w:hint="eastAsia" w:ascii="宋体" w:hAnsi="宋体"/>
                <w:color w:val="000000"/>
                <w:sz w:val="22"/>
              </w:rPr>
              <w:t>的和</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315"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r>
              <w:rPr>
                <w:rFonts w:ascii="宋体" w:hAnsi="宋体"/>
                <w:color w:val="000000"/>
                <w:sz w:val="22"/>
              </w:rPr>
              <w:t>C</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325"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color w:val="000000"/>
                <w:sz w:val="22"/>
                <w:szCs w:val="22"/>
              </w:rPr>
            </w:pPr>
            <w:r>
              <w:rPr>
                <w:color w:val="000000"/>
                <w:kern w:val="0"/>
                <w:sz w:val="22"/>
                <w:szCs w:val="22"/>
                <w:lang w:bidi="ar"/>
              </w:rPr>
              <w:t>n=11,p=12</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2"/>
                <w:szCs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2"/>
                <w:szCs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2"/>
                <w:szCs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2"/>
                <w:szCs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2"/>
                <w:szCs w:val="22"/>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2"/>
                <w:szCs w:val="22"/>
              </w:rPr>
            </w:pPr>
          </w:p>
        </w:tc>
      </w:tr>
    </w:tbl>
    <w:p>
      <w:pPr>
        <w:pStyle w:val="17"/>
        <w:spacing w:line="360" w:lineRule="auto"/>
        <w:ind w:firstLine="220" w:firstLineChars="100"/>
        <w:rPr>
          <w:rFonts w:ascii="仿宋_GB2312" w:eastAsia="仿宋_GB2312"/>
          <w:b/>
          <w:sz w:val="24"/>
        </w:rPr>
      </w:pPr>
      <w:r>
        <w:rPr>
          <w:color w:val="000000"/>
          <w:kern w:val="0"/>
          <w:sz w:val="22"/>
          <w:szCs w:val="22"/>
          <w:lang w:bidi="ar"/>
        </w:rPr>
        <w:t>n=11,p=12</w:t>
      </w:r>
      <w:r>
        <w:rPr>
          <w:rFonts w:hint="eastAsia"/>
          <w:color w:val="000000"/>
          <w:kern w:val="0"/>
          <w:sz w:val="22"/>
          <w:szCs w:val="22"/>
          <w:lang w:bidi="ar"/>
        </w:rPr>
        <w:t>时1%的C检验临界值为0.310,5%的C检验临界值为0.262，</w:t>
      </w:r>
      <w:r>
        <w:rPr>
          <w:rFonts w:hint="eastAsia" w:asciiTheme="minorEastAsia" w:hAnsiTheme="minorEastAsia" w:eastAsiaTheme="minorEastAsia"/>
          <w:szCs w:val="21"/>
        </w:rPr>
        <w:t>结果显示无离群及岐离值。</w:t>
      </w:r>
    </w:p>
    <w:p>
      <w:pPr>
        <w:pStyle w:val="17"/>
        <w:spacing w:line="360" w:lineRule="auto"/>
        <w:ind w:firstLine="0" w:firstLineChars="0"/>
        <w:rPr>
          <w:rFonts w:ascii="仿宋_GB2312" w:eastAsia="仿宋_GB2312"/>
          <w:b/>
          <w:sz w:val="24"/>
        </w:rPr>
      </w:pPr>
      <w:r>
        <w:rPr>
          <w:rFonts w:hint="eastAsia" w:ascii="仿宋_GB2312" w:eastAsia="仿宋_GB2312"/>
          <w:b/>
          <w:sz w:val="24"/>
        </w:rPr>
        <w:t xml:space="preserve"> C2：格拉布斯检验实验室内部离群值判定</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根据GB/T6379.2-2004中7.3.2，在进行格拉布斯检验实验室内部离群值判定过程中，检验出北矿检测技术有限公司2#点最高值0.0346%为离群值，剔除该数据。对改组数据再次进行格拉布斯检验实验室内部离群值判定，结果无离群及岐离值。</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color w:val="FF0000"/>
          <w:szCs w:val="21"/>
        </w:rPr>
        <w:t>浙江华友钴业股份有限公司4#点最大值0.1250%为离群值，予以剔除。对该组数据再次进行格拉布斯检验实验室内部离群值判定，结果无离群及岐离值。</w:t>
      </w:r>
    </w:p>
    <w:p>
      <w:pPr>
        <w:pStyle w:val="17"/>
        <w:spacing w:line="360" w:lineRule="auto"/>
        <w:ind w:firstLine="0" w:firstLineChars="0"/>
        <w:rPr>
          <w:rFonts w:ascii="仿宋_GB2312" w:eastAsia="仿宋_GB2312"/>
          <w:b/>
          <w:sz w:val="24"/>
        </w:rPr>
      </w:pPr>
      <w:r>
        <w:rPr>
          <w:rFonts w:hint="eastAsia" w:ascii="仿宋_GB2312" w:eastAsia="仿宋_GB2312"/>
          <w:b/>
          <w:sz w:val="24"/>
        </w:rPr>
        <w:t>C3：格拉布斯检验实验室间单侧离群值判定</w:t>
      </w:r>
    </w:p>
    <w:p>
      <w:pPr>
        <w:pStyle w:val="17"/>
        <w:spacing w:line="360" w:lineRule="auto"/>
        <w:rPr>
          <w:rFonts w:ascii="仿宋_GB2312" w:eastAsia="仿宋_GB2312"/>
          <w:b/>
          <w:sz w:val="24"/>
        </w:rPr>
      </w:pPr>
      <w:r>
        <w:rPr>
          <w:rFonts w:hint="eastAsia" w:asciiTheme="minorEastAsia" w:hAnsiTheme="minorEastAsia" w:eastAsiaTheme="minorEastAsia"/>
          <w:szCs w:val="21"/>
        </w:rPr>
        <w:t>根据GB/T6379.2-2004中7.3.4,对试验结果进行实验室间单侧离群数据检验，判定结果如下表：</w:t>
      </w:r>
    </w:p>
    <w:tbl>
      <w:tblPr>
        <w:tblStyle w:val="11"/>
        <w:tblW w:w="8619" w:type="dxa"/>
        <w:tblInd w:w="93" w:type="dxa"/>
        <w:tblLayout w:type="fixed"/>
        <w:tblCellMar>
          <w:top w:w="0" w:type="dxa"/>
          <w:left w:w="108" w:type="dxa"/>
          <w:bottom w:w="0" w:type="dxa"/>
          <w:right w:w="108" w:type="dxa"/>
        </w:tblCellMar>
      </w:tblPr>
      <w:tblGrid>
        <w:gridCol w:w="990"/>
        <w:gridCol w:w="1362"/>
        <w:gridCol w:w="1400"/>
        <w:gridCol w:w="1400"/>
        <w:gridCol w:w="1117"/>
        <w:gridCol w:w="1166"/>
        <w:gridCol w:w="1184"/>
      </w:tblGrid>
      <w:tr>
        <w:tblPrEx>
          <w:tblCellMar>
            <w:top w:w="0" w:type="dxa"/>
            <w:left w:w="108" w:type="dxa"/>
            <w:bottom w:w="0" w:type="dxa"/>
            <w:right w:w="108" w:type="dxa"/>
          </w:tblCellMar>
        </w:tblPrEx>
        <w:trPr>
          <w:trHeight w:val="326" w:hRule="atLeast"/>
        </w:trPr>
        <w:tc>
          <w:tcPr>
            <w:tcW w:w="861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640" w:firstLineChars="1200"/>
              <w:textAlignment w:val="center"/>
              <w:rPr>
                <w:rFonts w:ascii="宋体" w:hAnsi="宋体" w:cs="宋体"/>
                <w:color w:val="000000"/>
                <w:sz w:val="22"/>
                <w:szCs w:val="22"/>
              </w:rPr>
            </w:pPr>
            <w:r>
              <w:rPr>
                <w:rFonts w:hint="eastAsia" w:ascii="宋体" w:hAnsi="宋体" w:cs="宋体"/>
                <w:color w:val="000000"/>
                <w:kern w:val="0"/>
                <w:sz w:val="22"/>
                <w:szCs w:val="22"/>
                <w:lang w:bidi="ar"/>
              </w:rPr>
              <w:t>格拉布斯检验（单侧）p=12</w:t>
            </w:r>
          </w:p>
        </w:tc>
      </w:tr>
      <w:tr>
        <w:tblPrEx>
          <w:tblCellMar>
            <w:top w:w="0" w:type="dxa"/>
            <w:left w:w="108" w:type="dxa"/>
            <w:bottom w:w="0" w:type="dxa"/>
            <w:right w:w="108" w:type="dxa"/>
          </w:tblCellMar>
        </w:tblPrEx>
        <w:trPr>
          <w:trHeight w:val="323" w:hRule="atLeast"/>
        </w:trPr>
        <w:tc>
          <w:tcPr>
            <w:tcW w:w="8619" w:type="dxa"/>
            <w:gridSpan w:val="7"/>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水平  j</w:t>
            </w:r>
          </w:p>
        </w:tc>
      </w:tr>
      <w:tr>
        <w:tblPrEx>
          <w:tblCellMar>
            <w:top w:w="0" w:type="dxa"/>
            <w:left w:w="108" w:type="dxa"/>
            <w:bottom w:w="0" w:type="dxa"/>
            <w:right w:w="108" w:type="dxa"/>
          </w:tblCellMar>
        </w:tblPrEx>
        <w:trPr>
          <w:trHeight w:val="32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color w:val="000000"/>
                <w:sz w:val="22"/>
                <w:szCs w:val="22"/>
              </w:rPr>
            </w:pPr>
            <w:r>
              <w:rPr>
                <w:rStyle w:val="30"/>
                <w:lang w:bidi="ar"/>
              </w:rPr>
              <w:t>1#</w:t>
            </w:r>
            <w:r>
              <w:rPr>
                <w:rFonts w:hint="eastAsia" w:ascii="宋体" w:hAnsi="宋体" w:cs="宋体"/>
                <w:color w:val="000000"/>
                <w:kern w:val="0"/>
                <w:sz w:val="22"/>
                <w:szCs w:val="22"/>
                <w:lang w:bidi="ar"/>
              </w:rPr>
              <w:t>（新）</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color w:val="000000"/>
                <w:sz w:val="22"/>
                <w:szCs w:val="22"/>
              </w:rPr>
            </w:pPr>
            <w:r>
              <w:rPr>
                <w:color w:val="000000"/>
                <w:kern w:val="0"/>
                <w:sz w:val="22"/>
                <w:szCs w:val="22"/>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rPr>
            </w:pPr>
            <w:r>
              <w:rPr>
                <w:color w:val="000000"/>
                <w:kern w:val="0"/>
                <w:sz w:val="24"/>
                <w:lang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rPr>
            </w:pPr>
            <w:r>
              <w:rPr>
                <w:color w:val="000000"/>
                <w:kern w:val="0"/>
                <w:sz w:val="24"/>
                <w:lang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rPr>
            </w:pPr>
            <w:r>
              <w:rPr>
                <w:color w:val="000000"/>
                <w:kern w:val="0"/>
                <w:sz w:val="24"/>
                <w:lang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rPr>
            </w:pPr>
            <w:r>
              <w:rPr>
                <w:color w:val="000000"/>
                <w:kern w:val="0"/>
                <w:sz w:val="24"/>
                <w:lang w:bidi="ar"/>
              </w:rPr>
              <w:t>5</w:t>
            </w:r>
          </w:p>
        </w:tc>
      </w:tr>
      <w:tr>
        <w:tblPrEx>
          <w:tblCellMar>
            <w:top w:w="0" w:type="dxa"/>
            <w:left w:w="108" w:type="dxa"/>
            <w:bottom w:w="0" w:type="dxa"/>
            <w:right w:w="108" w:type="dxa"/>
          </w:tblCellMar>
        </w:tblPrEx>
        <w:trPr>
          <w:trHeight w:val="32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最大值</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kern w:val="0"/>
                <w:sz w:val="22"/>
                <w:szCs w:val="22"/>
                <w:lang w:bidi="ar"/>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2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最小值</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2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Gmax</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3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Gmin</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bl>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进行单侧离群数据检验时，判定紫金矿业公司3#点为该水平最大值，其Gmax值=2.778，α=0.05时，检验临界值2.412，α=0.01时，检验临界值2.636，水平3最大值为离群值，予以剔除。对该组数据再次进行格拉布斯检验单侧最小值离群值判定，结果如下表</w:t>
      </w:r>
    </w:p>
    <w:tbl>
      <w:tblPr>
        <w:tblStyle w:val="11"/>
        <w:tblW w:w="8619" w:type="dxa"/>
        <w:tblInd w:w="93" w:type="dxa"/>
        <w:tblLayout w:type="fixed"/>
        <w:tblCellMar>
          <w:top w:w="0" w:type="dxa"/>
          <w:left w:w="108" w:type="dxa"/>
          <w:bottom w:w="0" w:type="dxa"/>
          <w:right w:w="108" w:type="dxa"/>
        </w:tblCellMar>
      </w:tblPr>
      <w:tblGrid>
        <w:gridCol w:w="1202"/>
        <w:gridCol w:w="1117"/>
        <w:gridCol w:w="1283"/>
        <w:gridCol w:w="1383"/>
        <w:gridCol w:w="1350"/>
        <w:gridCol w:w="1000"/>
        <w:gridCol w:w="1284"/>
      </w:tblGrid>
      <w:tr>
        <w:tblPrEx>
          <w:tblCellMar>
            <w:top w:w="0" w:type="dxa"/>
            <w:left w:w="108" w:type="dxa"/>
            <w:bottom w:w="0" w:type="dxa"/>
            <w:right w:w="108" w:type="dxa"/>
          </w:tblCellMar>
        </w:tblPrEx>
        <w:trPr>
          <w:trHeight w:val="315" w:hRule="atLeast"/>
        </w:trPr>
        <w:tc>
          <w:tcPr>
            <w:tcW w:w="861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2"/>
                <w:szCs w:val="22"/>
                <w:lang w:bidi="ar"/>
              </w:rPr>
              <w:t>格拉布斯检验（单侧）p=12</w:t>
            </w:r>
          </w:p>
        </w:tc>
      </w:tr>
      <w:tr>
        <w:tblPrEx>
          <w:tblCellMar>
            <w:top w:w="0" w:type="dxa"/>
            <w:left w:w="108" w:type="dxa"/>
            <w:bottom w:w="0" w:type="dxa"/>
            <w:right w:w="108" w:type="dxa"/>
          </w:tblCellMar>
        </w:tblPrEx>
        <w:trPr>
          <w:trHeight w:val="315" w:hRule="atLeast"/>
        </w:trPr>
        <w:tc>
          <w:tcPr>
            <w:tcW w:w="120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p>
        </w:tc>
        <w:tc>
          <w:tcPr>
            <w:tcW w:w="741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水平  j</w:t>
            </w:r>
          </w:p>
        </w:tc>
      </w:tr>
      <w:tr>
        <w:tblPrEx>
          <w:tblCellMar>
            <w:top w:w="0" w:type="dxa"/>
            <w:left w:w="108" w:type="dxa"/>
            <w:bottom w:w="0" w:type="dxa"/>
            <w:right w:w="108" w:type="dxa"/>
          </w:tblCellMar>
        </w:tblPrEx>
        <w:trPr>
          <w:trHeight w:val="315" w:hRule="atLeast"/>
        </w:trPr>
        <w:tc>
          <w:tcPr>
            <w:tcW w:w="12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1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color w:val="000000"/>
                <w:sz w:val="22"/>
                <w:szCs w:val="22"/>
              </w:rPr>
            </w:pPr>
            <w:r>
              <w:rPr>
                <w:rStyle w:val="30"/>
                <w:lang w:bidi="ar"/>
              </w:rPr>
              <w:t>1#</w:t>
            </w:r>
            <w:r>
              <w:rPr>
                <w:rFonts w:hint="eastAsia" w:ascii="宋体" w:hAnsi="宋体" w:cs="宋体"/>
                <w:color w:val="000000"/>
                <w:kern w:val="0"/>
                <w:sz w:val="22"/>
                <w:szCs w:val="22"/>
                <w:lang w:bidi="ar"/>
              </w:rPr>
              <w:t>（新）</w:t>
            </w:r>
          </w:p>
        </w:tc>
        <w:tc>
          <w:tcPr>
            <w:tcW w:w="1283" w:type="dxa"/>
            <w:tcBorders>
              <w:top w:val="single" w:color="auto" w:sz="4" w:space="0"/>
              <w:left w:val="nil"/>
              <w:bottom w:val="nil"/>
              <w:right w:val="single" w:color="000000" w:sz="4" w:space="0"/>
            </w:tcBorders>
            <w:shd w:val="clear" w:color="auto" w:fill="auto"/>
            <w:noWrap/>
            <w:vAlign w:val="center"/>
          </w:tcPr>
          <w:p>
            <w:pPr>
              <w:widowControl/>
              <w:jc w:val="center"/>
              <w:textAlignment w:val="bottom"/>
              <w:rPr>
                <w:color w:val="000000"/>
                <w:sz w:val="22"/>
                <w:szCs w:val="22"/>
              </w:rPr>
            </w:pPr>
            <w:r>
              <w:rPr>
                <w:color w:val="000000"/>
                <w:kern w:val="0"/>
                <w:sz w:val="22"/>
                <w:szCs w:val="22"/>
                <w:lang w:bidi="ar"/>
              </w:rPr>
              <w:t>1</w:t>
            </w:r>
          </w:p>
        </w:tc>
        <w:tc>
          <w:tcPr>
            <w:tcW w:w="1383" w:type="dxa"/>
            <w:tcBorders>
              <w:top w:val="single" w:color="auto" w:sz="4" w:space="0"/>
              <w:left w:val="nil"/>
              <w:bottom w:val="nil"/>
              <w:right w:val="single" w:color="000000" w:sz="4" w:space="0"/>
            </w:tcBorders>
            <w:shd w:val="clear" w:color="auto" w:fill="auto"/>
            <w:noWrap/>
            <w:vAlign w:val="center"/>
          </w:tcPr>
          <w:p>
            <w:pPr>
              <w:widowControl/>
              <w:jc w:val="center"/>
              <w:textAlignment w:val="center"/>
              <w:rPr>
                <w:color w:val="000000"/>
                <w:sz w:val="24"/>
              </w:rPr>
            </w:pPr>
            <w:r>
              <w:rPr>
                <w:color w:val="000000"/>
                <w:kern w:val="0"/>
                <w:sz w:val="24"/>
                <w:lang w:bidi="ar"/>
              </w:rPr>
              <w:t>2</w:t>
            </w:r>
          </w:p>
        </w:tc>
        <w:tc>
          <w:tcPr>
            <w:tcW w:w="1350" w:type="dxa"/>
            <w:tcBorders>
              <w:top w:val="single" w:color="auto"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00" w:type="dxa"/>
            <w:tcBorders>
              <w:top w:val="single" w:color="auto"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color w:val="000000"/>
                <w:kern w:val="0"/>
                <w:sz w:val="24"/>
                <w:lang w:bidi="ar"/>
              </w:rPr>
              <w:t>4</w:t>
            </w:r>
          </w:p>
        </w:tc>
        <w:tc>
          <w:tcPr>
            <w:tcW w:w="1284" w:type="dxa"/>
            <w:tcBorders>
              <w:top w:val="single" w:color="auto"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color w:val="000000"/>
                <w:kern w:val="0"/>
                <w:sz w:val="24"/>
                <w:lang w:bidi="ar"/>
              </w:rPr>
              <w:t>5</w:t>
            </w:r>
          </w:p>
        </w:tc>
      </w:tr>
      <w:tr>
        <w:tblPrEx>
          <w:tblCellMar>
            <w:top w:w="0" w:type="dxa"/>
            <w:left w:w="108" w:type="dxa"/>
            <w:bottom w:w="0" w:type="dxa"/>
            <w:right w:w="108" w:type="dxa"/>
          </w:tblCellMar>
        </w:tblPrEx>
        <w:trPr>
          <w:trHeight w:val="31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最大值</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3"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83"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1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最小值</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1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Gmax</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15"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Gmin</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bl>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结果显示无离群及岐离值。</w:t>
      </w:r>
    </w:p>
    <w:p>
      <w:pPr>
        <w:pStyle w:val="17"/>
        <w:spacing w:line="360" w:lineRule="auto"/>
        <w:ind w:firstLine="0" w:firstLineChars="0"/>
        <w:rPr>
          <w:rFonts w:ascii="仿宋_GB2312" w:eastAsia="仿宋_GB2312"/>
          <w:b/>
          <w:sz w:val="24"/>
        </w:rPr>
      </w:pPr>
      <w:r>
        <w:rPr>
          <w:rFonts w:hint="eastAsia" w:ascii="仿宋_GB2312" w:eastAsia="仿宋_GB2312"/>
          <w:b/>
          <w:sz w:val="24"/>
        </w:rPr>
        <w:t>C4：格拉布斯检验实验室间双侧离群值判定</w:t>
      </w:r>
    </w:p>
    <w:p>
      <w:pPr>
        <w:autoSpaceDE w:val="0"/>
        <w:autoSpaceDN w:val="0"/>
        <w:adjustRightInd w:val="0"/>
        <w:spacing w:line="360" w:lineRule="auto"/>
        <w:ind w:firstLine="420" w:firstLineChars="200"/>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根据GB/T6379.2-2004中7.3.4,对试验结果进行双侧离群数据检验，检验结果显示：G</w:t>
      </w:r>
      <w:r>
        <w:rPr>
          <w:rFonts w:hint="eastAsia" w:asciiTheme="minorEastAsia" w:hAnsiTheme="minorEastAsia" w:eastAsiaTheme="minorEastAsia"/>
          <w:color w:val="FF0000"/>
          <w:szCs w:val="21"/>
          <w:vertAlign w:val="subscript"/>
        </w:rPr>
        <w:t>p-1</w:t>
      </w:r>
      <w:r>
        <w:rPr>
          <w:rFonts w:hint="eastAsia" w:asciiTheme="minorEastAsia" w:hAnsiTheme="minorEastAsia" w:eastAsiaTheme="minorEastAsia"/>
          <w:color w:val="FF0000"/>
          <w:szCs w:val="21"/>
        </w:rPr>
        <w:t>,、G</w:t>
      </w:r>
      <w:r>
        <w:rPr>
          <w:rFonts w:hint="eastAsia" w:asciiTheme="minorEastAsia" w:hAnsiTheme="minorEastAsia" w:eastAsiaTheme="minorEastAsia"/>
          <w:color w:val="FF0000"/>
          <w:szCs w:val="21"/>
          <w:vertAlign w:val="subscript"/>
        </w:rPr>
        <w:t>1，2</w:t>
      </w:r>
      <w:r>
        <w:rPr>
          <w:rFonts w:hint="eastAsia" w:asciiTheme="minorEastAsia" w:hAnsiTheme="minorEastAsia" w:eastAsiaTheme="minorEastAsia"/>
          <w:color w:val="FF0000"/>
          <w:szCs w:val="21"/>
        </w:rPr>
        <w:t>大于1%的临界值0.1738,G</w:t>
      </w:r>
      <w:r>
        <w:rPr>
          <w:rFonts w:hint="eastAsia" w:asciiTheme="minorEastAsia" w:hAnsiTheme="minorEastAsia" w:eastAsiaTheme="minorEastAsia"/>
          <w:color w:val="FF0000"/>
          <w:szCs w:val="21"/>
          <w:vertAlign w:val="subscript"/>
        </w:rPr>
        <w:t>1，2</w:t>
      </w:r>
      <w:r>
        <w:rPr>
          <w:rFonts w:hint="eastAsia" w:asciiTheme="minorEastAsia" w:hAnsiTheme="minorEastAsia" w:eastAsiaTheme="minorEastAsia"/>
          <w:color w:val="FF0000"/>
          <w:szCs w:val="21"/>
        </w:rPr>
        <w:t>小于5%临界值0.2537。检验结果判定浙江华友钴业股份有限公司1#（新）点平均值0.0217%为离群值、紫金矿业公司1#（新）0.0178%为离群值，予以剔除。再次对余下数据进行格拉布斯检验双侧离群值判定，结果无离群及岐离值。</w:t>
      </w:r>
    </w:p>
    <w:p>
      <w:pPr>
        <w:autoSpaceDE w:val="0"/>
        <w:autoSpaceDN w:val="0"/>
        <w:adjustRightInd w:val="0"/>
        <w:spacing w:line="360" w:lineRule="auto"/>
        <w:ind w:firstLine="420" w:firstLineChars="200"/>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结果见下表：</w:t>
      </w:r>
    </w:p>
    <w:p>
      <w:pPr>
        <w:autoSpaceDE w:val="0"/>
        <w:autoSpaceDN w:val="0"/>
        <w:adjustRightInd w:val="0"/>
        <w:spacing w:line="360" w:lineRule="auto"/>
        <w:ind w:firstLine="3360" w:firstLineChars="16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双侧离群判定数据表</w:t>
      </w:r>
    </w:p>
    <w:tbl>
      <w:tblPr>
        <w:tblStyle w:val="11"/>
        <w:tblW w:w="9333" w:type="dxa"/>
        <w:tblInd w:w="-55" w:type="dxa"/>
        <w:tblLayout w:type="fixed"/>
        <w:tblCellMar>
          <w:top w:w="0" w:type="dxa"/>
          <w:left w:w="108" w:type="dxa"/>
          <w:bottom w:w="0" w:type="dxa"/>
          <w:right w:w="108" w:type="dxa"/>
        </w:tblCellMar>
      </w:tblPr>
      <w:tblGrid>
        <w:gridCol w:w="850"/>
        <w:gridCol w:w="633"/>
        <w:gridCol w:w="1484"/>
        <w:gridCol w:w="1250"/>
        <w:gridCol w:w="1266"/>
        <w:gridCol w:w="1284"/>
        <w:gridCol w:w="1266"/>
        <w:gridCol w:w="1300"/>
      </w:tblGrid>
      <w:tr>
        <w:tblPrEx>
          <w:tblCellMar>
            <w:top w:w="0" w:type="dxa"/>
            <w:left w:w="108" w:type="dxa"/>
            <w:bottom w:w="0" w:type="dxa"/>
            <w:right w:w="108" w:type="dxa"/>
          </w:tblCellMar>
        </w:tblPrEx>
        <w:trPr>
          <w:trHeight w:val="39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1#新（p=12）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1（p=12）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2（p=12）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3（p=11）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4（p=12）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5（p=12）</w:t>
            </w:r>
          </w:p>
        </w:tc>
      </w:tr>
      <w:tr>
        <w:tblPrEx>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w:t>
            </w:r>
            <w:r>
              <w:rPr>
                <w:rStyle w:val="31"/>
                <w:rFonts w:hint="default"/>
                <w:lang w:bidi="ar"/>
              </w:rPr>
              <w:t>0</w:t>
            </w:r>
            <w:r>
              <w:rPr>
                <w:rStyle w:val="32"/>
                <w:rFonts w:hint="default"/>
                <w:lang w:bidi="ar"/>
              </w:rPr>
              <w:t>2</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17"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两个最大值检验</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w:t>
            </w:r>
            <w:r>
              <w:rPr>
                <w:rStyle w:val="31"/>
                <w:rFonts w:hint="default"/>
                <w:lang w:bidi="ar"/>
              </w:rPr>
              <w:t>p-1,p</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17"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w:t>
            </w:r>
            <w:r>
              <w:rPr>
                <w:rStyle w:val="32"/>
                <w:rFonts w:hint="default"/>
                <w:lang w:bidi="ar"/>
              </w:rPr>
              <w:t>2</w:t>
            </w:r>
            <w:r>
              <w:rPr>
                <w:rStyle w:val="31"/>
                <w:rFonts w:hint="default"/>
                <w:lang w:bidi="ar"/>
              </w:rPr>
              <w:t>p-1,p</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17"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18"/>
                <w:szCs w:val="18"/>
              </w:rPr>
            </w:pPr>
          </w:p>
        </w:tc>
        <w:tc>
          <w:tcPr>
            <w:tcW w:w="6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w:t>
            </w:r>
            <w:r>
              <w:rPr>
                <w:rStyle w:val="31"/>
                <w:rFonts w:hint="default"/>
                <w:lang w:bidi="ar"/>
              </w:rPr>
              <w:t>p-1,p</w:t>
            </w:r>
          </w:p>
        </w:tc>
        <w:tc>
          <w:tcPr>
            <w:tcW w:w="14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000000" w:sz="4" w:space="0"/>
              <w:left w:val="single" w:color="000000" w:sz="4" w:space="0"/>
              <w:bottom w:val="single" w:color="auto" w:sz="4" w:space="0"/>
              <w:right w:val="nil"/>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28" w:hRule="atLeast"/>
        </w:trPr>
        <w:tc>
          <w:tcPr>
            <w:tcW w:w="850" w:type="dxa"/>
            <w:vMerge w:val="restart"/>
            <w:tcBorders>
              <w:top w:val="single" w:color="000000" w:sz="4" w:space="0"/>
              <w:left w:val="single" w:color="000000" w:sz="4" w:space="0"/>
              <w:bottom w:val="single" w:color="000000" w:sz="4" w:space="0"/>
              <w:right w:val="single" w:color="auto" w:sz="4" w:space="0"/>
            </w:tcBorders>
            <w:shd w:val="clear" w:color="auto" w:fill="auto"/>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两个最小值检验</w:t>
            </w: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w:t>
            </w:r>
            <w:r>
              <w:rPr>
                <w:rStyle w:val="31"/>
                <w:rFonts w:hint="default"/>
                <w:lang w:bidi="ar"/>
              </w:rPr>
              <w:t>1,2</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0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18"/>
                <w:szCs w:val="18"/>
              </w:rPr>
            </w:pPr>
          </w:p>
        </w:tc>
        <w:tc>
          <w:tcPr>
            <w:tcW w:w="6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w:t>
            </w:r>
            <w:r>
              <w:rPr>
                <w:rStyle w:val="32"/>
                <w:rFonts w:hint="default"/>
                <w:lang w:bidi="ar"/>
              </w:rPr>
              <w:t>2</w:t>
            </w:r>
            <w:r>
              <w:rPr>
                <w:rStyle w:val="31"/>
                <w:rFonts w:hint="default"/>
                <w:lang w:bidi="ar"/>
              </w:rPr>
              <w:t>1,2</w:t>
            </w:r>
          </w:p>
        </w:tc>
        <w:tc>
          <w:tcPr>
            <w:tcW w:w="14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3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w:t>
            </w:r>
            <w:r>
              <w:rPr>
                <w:rStyle w:val="31"/>
                <w:rFonts w:hint="default"/>
                <w:lang w:bidi="ar"/>
              </w:rPr>
              <w:t>1，2</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32" w:hRule="atLeast"/>
        </w:trPr>
        <w:tc>
          <w:tcPr>
            <w:tcW w:w="933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3"/>
                <w:szCs w:val="13"/>
              </w:rPr>
            </w:pPr>
            <w:r>
              <w:rPr>
                <w:rFonts w:hint="eastAsia" w:ascii="宋体" w:hAnsi="宋体" w:cs="宋体"/>
                <w:color w:val="000000"/>
                <w:kern w:val="0"/>
                <w:sz w:val="18"/>
                <w:szCs w:val="18"/>
                <w:lang w:bidi="ar"/>
              </w:rPr>
              <w:t>p=12时，1%临界值为0.1738，5%临界值为0.2537</w:t>
            </w:r>
          </w:p>
        </w:tc>
      </w:tr>
      <w:tr>
        <w:tblPrEx>
          <w:tblCellMar>
            <w:top w:w="0" w:type="dxa"/>
            <w:left w:w="108" w:type="dxa"/>
            <w:bottom w:w="0" w:type="dxa"/>
            <w:right w:w="108" w:type="dxa"/>
          </w:tblCellMar>
        </w:tblPrEx>
        <w:trPr>
          <w:trHeight w:val="332" w:hRule="atLeast"/>
        </w:trPr>
        <w:tc>
          <w:tcPr>
            <w:tcW w:w="933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3"/>
                <w:szCs w:val="13"/>
              </w:rPr>
            </w:pPr>
            <w:r>
              <w:rPr>
                <w:rFonts w:hint="eastAsia" w:ascii="宋体" w:hAnsi="宋体" w:cs="宋体"/>
                <w:color w:val="000000"/>
                <w:kern w:val="0"/>
                <w:sz w:val="13"/>
                <w:szCs w:val="13"/>
                <w:lang w:bidi="ar"/>
              </w:rPr>
              <w:t>p</w:t>
            </w:r>
            <w:r>
              <w:rPr>
                <w:rFonts w:hint="eastAsia" w:ascii="宋体" w:hAnsi="宋体" w:cs="宋体"/>
                <w:color w:val="000000"/>
                <w:kern w:val="0"/>
                <w:sz w:val="18"/>
                <w:szCs w:val="18"/>
                <w:lang w:bidi="ar"/>
              </w:rPr>
              <w:t>=11时，1%临界值为0.1448，5%临界值为0.2213；p=10时，1%临界值为0.115，5%临界值为0.1864</w:t>
            </w:r>
          </w:p>
        </w:tc>
      </w:tr>
      <w:tr>
        <w:tblPrEx>
          <w:tblCellMar>
            <w:top w:w="0" w:type="dxa"/>
            <w:left w:w="108" w:type="dxa"/>
            <w:bottom w:w="0" w:type="dxa"/>
            <w:right w:w="108" w:type="dxa"/>
          </w:tblCellMar>
        </w:tblPrEx>
        <w:trPr>
          <w:trHeight w:val="327" w:hRule="atLeast"/>
        </w:trPr>
        <w:tc>
          <w:tcPr>
            <w:tcW w:w="9333" w:type="dxa"/>
            <w:gridSpan w:val="8"/>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0"/>
                <w:szCs w:val="20"/>
              </w:rPr>
            </w:pPr>
            <w:r>
              <w:rPr>
                <w:rFonts w:hint="eastAsia" w:ascii="宋体" w:hAnsi="宋体" w:cs="宋体"/>
                <w:color w:val="000000"/>
                <w:kern w:val="0"/>
                <w:sz w:val="18"/>
                <w:szCs w:val="18"/>
                <w:lang w:bidi="ar"/>
              </w:rPr>
              <w:t>Gp-1,p、G1，2大于1%的临界值，无离群值,G1，2小于5%临界值，均为岐离值</w:t>
            </w:r>
          </w:p>
        </w:tc>
      </w:tr>
    </w:tbl>
    <w:p>
      <w:pPr>
        <w:pStyle w:val="17"/>
        <w:spacing w:line="360" w:lineRule="auto"/>
        <w:ind w:firstLine="0" w:firstLineChars="0"/>
        <w:rPr>
          <w:rFonts w:ascii="仿宋_GB2312" w:eastAsia="仿宋_GB2312"/>
          <w:b/>
          <w:sz w:val="24"/>
        </w:rPr>
      </w:pPr>
      <w:r>
        <w:rPr>
          <w:rFonts w:hint="eastAsia" w:ascii="仿宋_GB2312" w:eastAsia="仿宋_GB2312"/>
          <w:b/>
          <w:sz w:val="24"/>
        </w:rPr>
        <w:t>四、精密度数据统计</w:t>
      </w:r>
    </w:p>
    <w:p>
      <w:pPr>
        <w:pStyle w:val="17"/>
        <w:spacing w:line="360" w:lineRule="auto"/>
        <w:ind w:left="420" w:firstLine="0" w:firstLineChars="0"/>
        <w:rPr>
          <w:rFonts w:ascii="仿宋_GB2312" w:eastAsia="仿宋_GB2312"/>
          <w:b/>
          <w:sz w:val="24"/>
        </w:rPr>
      </w:pPr>
      <w:r>
        <w:rPr>
          <w:rFonts w:hint="eastAsia" w:ascii="仿宋_GB2312" w:eastAsia="仿宋_GB2312"/>
          <w:b/>
          <w:sz w:val="24"/>
        </w:rPr>
        <w:t>（一）重复性限（r）和再现性限（R）数据统计</w:t>
      </w:r>
    </w:p>
    <w:tbl>
      <w:tblPr>
        <w:tblStyle w:val="11"/>
        <w:tblpPr w:leftFromText="180" w:rightFromText="180" w:vertAnchor="text" w:horzAnchor="page" w:tblpX="1751" w:tblpY="310"/>
        <w:tblOverlap w:val="never"/>
        <w:tblW w:w="9116" w:type="dxa"/>
        <w:tblInd w:w="0" w:type="dxa"/>
        <w:tblLayout w:type="fixed"/>
        <w:tblCellMar>
          <w:top w:w="0" w:type="dxa"/>
          <w:left w:w="108" w:type="dxa"/>
          <w:bottom w:w="0" w:type="dxa"/>
          <w:right w:w="108" w:type="dxa"/>
        </w:tblCellMar>
      </w:tblPr>
      <w:tblGrid>
        <w:gridCol w:w="635"/>
        <w:gridCol w:w="1202"/>
        <w:gridCol w:w="1340"/>
        <w:gridCol w:w="1311"/>
        <w:gridCol w:w="1425"/>
        <w:gridCol w:w="1326"/>
        <w:gridCol w:w="1877"/>
      </w:tblGrid>
      <w:tr>
        <w:tblPrEx>
          <w:tblCellMar>
            <w:top w:w="0" w:type="dxa"/>
            <w:left w:w="108" w:type="dxa"/>
            <w:bottom w:w="0" w:type="dxa"/>
            <w:right w:w="108" w:type="dxa"/>
          </w:tblCellMar>
        </w:tblPrEx>
        <w:trPr>
          <w:trHeight w:val="1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24"/>
                <w:lang w:bidi="ar"/>
              </w:rPr>
            </w:pPr>
          </w:p>
        </w:tc>
        <w:tc>
          <w:tcPr>
            <w:tcW w:w="8481"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原始检测值*1000，S*1000</w:t>
            </w:r>
          </w:p>
        </w:tc>
      </w:tr>
      <w:tr>
        <w:tblPrEx>
          <w:tblCellMar>
            <w:top w:w="0" w:type="dxa"/>
            <w:left w:w="108" w:type="dxa"/>
            <w:bottom w:w="0" w:type="dxa"/>
            <w:right w:w="108" w:type="dxa"/>
          </w:tblCellMar>
        </w:tblPrEx>
        <w:trPr>
          <w:trHeight w:val="1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24"/>
                <w:lang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4#</w:t>
            </w: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5#</w:t>
            </w: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6#</w:t>
            </w:r>
          </w:p>
        </w:tc>
      </w:tr>
      <w:tr>
        <w:tblPrEx>
          <w:tblCellMar>
            <w:top w:w="0" w:type="dxa"/>
            <w:left w:w="108" w:type="dxa"/>
            <w:bottom w:w="0" w:type="dxa"/>
            <w:right w:w="108" w:type="dxa"/>
          </w:tblCellMar>
        </w:tblPrEx>
        <w:trPr>
          <w:trHeight w:val="1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T1</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295"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T2</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T3</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T4</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T5</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86"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ascii="宋体" w:hAnsi="宋体"/>
                <w:color w:val="000000"/>
                <w:sz w:val="22"/>
              </w:rPr>
              <w:t>Sr2</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86"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ascii="宋体" w:hAnsi="宋体"/>
                <w:color w:val="000000"/>
                <w:sz w:val="22"/>
              </w:rPr>
              <w:t>SL2</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86"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ascii="宋体" w:hAnsi="宋体"/>
                <w:color w:val="000000"/>
                <w:sz w:val="22"/>
              </w:rPr>
              <w:t>SR2</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86"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ascii="宋体" w:hAnsi="宋体"/>
                <w:color w:val="000000"/>
                <w:sz w:val="22"/>
              </w:rPr>
              <w:t>SR</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Srj</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m</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r</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r>
              <w:rPr>
                <w:rFonts w:hint="eastAsia" w:ascii="宋体" w:hAnsi="宋体"/>
                <w:color w:val="000000"/>
                <w:sz w:val="22"/>
              </w:rPr>
              <w:t>R</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 w:val="22"/>
              </w:rPr>
            </w:pPr>
          </w:p>
        </w:tc>
      </w:tr>
    </w:tbl>
    <w:p>
      <w:pPr>
        <w:pStyle w:val="17"/>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其中：</w:t>
      </w:r>
    </w:p>
    <w:p>
      <w:pPr>
        <w:pStyle w:val="17"/>
        <w:spacing w:line="360" w:lineRule="auto"/>
        <w:ind w:firstLine="0" w:firstLineChars="0"/>
      </w:pPr>
      <w:r>
        <w:rPr>
          <w:rFonts w:hint="eastAsia"/>
        </w:rPr>
        <w:t xml:space="preserve">      </w:t>
      </w:r>
      <w:r>
        <w:object>
          <v:shape id="_x0000_i1025" o:spt="75" type="#_x0000_t75" style="height:30.55pt;width:232.7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pStyle w:val="17"/>
        <w:spacing w:line="360" w:lineRule="auto"/>
        <w:ind w:firstLine="0" w:firstLineChars="0"/>
      </w:pPr>
      <w:r>
        <w:rPr>
          <w:rFonts w:hint="eastAsia"/>
        </w:rPr>
        <w:t xml:space="preserve">      </w:t>
      </w:r>
      <w:r>
        <w:drawing>
          <wp:inline distT="0" distB="0" distL="114300" distR="114300">
            <wp:extent cx="631825" cy="278130"/>
            <wp:effectExtent l="0" t="0" r="15875" b="635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stretch>
                      <a:fillRect/>
                    </a:stretch>
                  </pic:blipFill>
                  <pic:spPr>
                    <a:xfrm>
                      <a:off x="0" y="0"/>
                      <a:ext cx="631825" cy="278130"/>
                    </a:xfrm>
                    <a:prstGeom prst="rect">
                      <a:avLst/>
                    </a:prstGeom>
                    <a:noFill/>
                    <a:ln>
                      <a:noFill/>
                    </a:ln>
                  </pic:spPr>
                </pic:pic>
              </a:graphicData>
            </a:graphic>
          </wp:inline>
        </w:drawing>
      </w:r>
    </w:p>
    <w:p>
      <w:pPr>
        <w:pStyle w:val="17"/>
        <w:spacing w:line="360" w:lineRule="auto"/>
        <w:ind w:firstLine="0" w:firstLineChars="0"/>
      </w:pPr>
      <w:r>
        <w:rPr>
          <w:rFonts w:hint="eastAsia"/>
        </w:rPr>
        <w:t xml:space="preserve">     </w:t>
      </w:r>
      <w:r>
        <w:object>
          <v:shape id="_x0000_i1026" o:spt="75" type="#_x0000_t75" style="height:20.15pt;width:79.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pPr>
        <w:pStyle w:val="17"/>
        <w:spacing w:line="360" w:lineRule="auto"/>
        <w:rPr>
          <w:rFonts w:asciiTheme="minorEastAsia" w:hAnsiTheme="minorEastAsia" w:eastAsiaTheme="minorEastAsia"/>
          <w:color w:val="FF0000"/>
          <w:szCs w:val="21"/>
        </w:rPr>
      </w:pPr>
      <w:r>
        <w:rPr>
          <w:rFonts w:hint="eastAsia"/>
        </w:rPr>
        <w:t>（二）水平1#新由于实验室间离散度过大，</w:t>
      </w:r>
      <w:r>
        <w:rPr>
          <w:color w:val="000000"/>
          <w:kern w:val="0"/>
          <w:sz w:val="24"/>
          <w:lang w:bidi="ar"/>
        </w:rPr>
        <w:t>S</w:t>
      </w:r>
      <w:r>
        <w:rPr>
          <w:color w:val="000000"/>
          <w:kern w:val="0"/>
          <w:sz w:val="24"/>
          <w:vertAlign w:val="subscript"/>
          <w:lang w:bidi="ar"/>
        </w:rPr>
        <w:t>L</w:t>
      </w:r>
      <w:r>
        <w:rPr>
          <w:color w:val="000000"/>
          <w:kern w:val="0"/>
          <w:sz w:val="24"/>
          <w:vertAlign w:val="superscript"/>
          <w:lang w:bidi="ar"/>
        </w:rPr>
        <w:t>2</w:t>
      </w:r>
      <w:r>
        <w:rPr>
          <w:rFonts w:hint="eastAsia"/>
          <w:color w:val="000000"/>
          <w:kern w:val="0"/>
          <w:sz w:val="24"/>
          <w:lang w:bidi="ar"/>
        </w:rPr>
        <w:t>为负值，所以按</w:t>
      </w:r>
      <w:r>
        <w:rPr>
          <w:rFonts w:hint="eastAsia"/>
          <w:kern w:val="0"/>
          <w:sz w:val="24"/>
          <w:lang w:bidi="ar"/>
        </w:rPr>
        <w:t>照</w:t>
      </w:r>
      <w:r>
        <w:rPr>
          <w:rFonts w:hint="eastAsia" w:asciiTheme="minorEastAsia" w:hAnsiTheme="minorEastAsia" w:eastAsiaTheme="minorEastAsia"/>
          <w:szCs w:val="21"/>
        </w:rPr>
        <w:t>GB/T6379.2-2004中7.4.5.4规定，将该值设置为零，其重复性限（R）不采用，通过外延法计算得出；</w:t>
      </w:r>
      <w:r>
        <w:rPr>
          <w:rFonts w:hint="eastAsia" w:asciiTheme="minorEastAsia" w:hAnsiTheme="minorEastAsia" w:eastAsiaTheme="minorEastAsia"/>
          <w:color w:val="FF0000"/>
          <w:szCs w:val="21"/>
        </w:rPr>
        <w:t>水平1的测定离散度过大，而且和水平2、水平3水平接近，所以删除1号点。</w:t>
      </w:r>
    </w:p>
    <w:p>
      <w:pPr>
        <w:pStyle w:val="17"/>
        <w:spacing w:line="360" w:lineRule="auto"/>
        <w:ind w:firstLine="0" w:firstLineChars="0"/>
        <w:rPr>
          <w:rFonts w:ascii="仿宋_GB2312" w:eastAsia="仿宋_GB2312"/>
          <w:b/>
          <w:sz w:val="24"/>
        </w:rPr>
      </w:pPr>
      <w:r>
        <w:rPr>
          <w:rFonts w:hint="eastAsia" w:ascii="仿宋_GB2312" w:eastAsia="仿宋_GB2312"/>
          <w:b/>
          <w:sz w:val="24"/>
        </w:rPr>
        <w:t>五、预期达到的社会效益等情况</w:t>
      </w:r>
    </w:p>
    <w:p>
      <w:pPr>
        <w:spacing w:line="360" w:lineRule="auto"/>
        <w:rPr>
          <w:rFonts w:ascii="仿宋_GB2312" w:eastAsia="仿宋_GB2312"/>
          <w:b/>
          <w:sz w:val="24"/>
        </w:rPr>
      </w:pPr>
      <w:r>
        <w:rPr>
          <w:rFonts w:hint="eastAsia" w:ascii="仿宋_GB2312" w:eastAsia="仿宋_GB2312"/>
          <w:b/>
          <w:sz w:val="24"/>
        </w:rPr>
        <w:t>（一）项目的必要性简述</w:t>
      </w:r>
    </w:p>
    <w:p>
      <w:pPr>
        <w:pStyle w:val="17"/>
        <w:spacing w:line="360" w:lineRule="auto"/>
        <w:rPr>
          <w:rFonts w:ascii="宋体" w:hAnsi="宋体"/>
          <w:szCs w:val="21"/>
        </w:rPr>
      </w:pPr>
      <w:r>
        <w:rPr>
          <w:rFonts w:hint="eastAsia" w:ascii="宋体" w:hAnsi="宋体"/>
          <w:szCs w:val="21"/>
        </w:rPr>
        <w:t>近年来，由于锂离子电池电量大，耐用，循环次数多，无记忆效应，绿色环保等优点使得锂离子电池产业在国内外快速迅猛发展起来。但是，在锂离子电池迅猛发展的同时，其研发及产业化中也暴露了一些关键技术问题。其中锂离子电池电极材料是锂离子电池技术的核心和关键，它是决定电池安全性、电化学性能和使用寿命的关键因素之一。</w:t>
      </w:r>
    </w:p>
    <w:p>
      <w:pPr>
        <w:spacing w:line="360" w:lineRule="auto"/>
        <w:ind w:firstLine="630" w:firstLineChars="300"/>
        <w:rPr>
          <w:rFonts w:ascii="宋体" w:hAnsi="宋体"/>
          <w:szCs w:val="21"/>
        </w:rPr>
      </w:pPr>
      <w:r>
        <w:rPr>
          <w:rFonts w:hint="eastAsia" w:ascii="宋体" w:hAnsi="宋体"/>
          <w:szCs w:val="21"/>
        </w:rPr>
        <w:t>四氧化三钴是重要的锂离子电池材料，广泛用于锂离子电池正极材料钴酸锂的生产，目前已经制定了行业标准YS/T633-2015《四氧化三钴》，行业标准对其中的物理化学指标做了明确的规定，其中单质铜锌是控制指标之一。目前相关标准中并没有规定单质铜锌含量的检测方法，因此，四氧化三钴中单质铜锌的检测没有检测方法，单质铜锌的测定不同厂家采用各自的经验检测方法，导致测定数据结果的不一致的情况时有发生，生产、使用厂家对标工作繁琐，对四氧化三钴的正常经营活动带来较大的影响，急需建立四氧化三钴单质铜锌含量检测的方法。</w:t>
      </w:r>
    </w:p>
    <w:p>
      <w:pPr>
        <w:spacing w:line="360" w:lineRule="auto"/>
        <w:rPr>
          <w:rFonts w:ascii="仿宋_GB2312" w:eastAsia="仿宋_GB2312"/>
          <w:b/>
          <w:sz w:val="24"/>
        </w:rPr>
      </w:pPr>
      <w:r>
        <w:rPr>
          <w:rFonts w:hint="eastAsia" w:ascii="仿宋_GB2312" w:eastAsia="仿宋_GB2312"/>
          <w:b/>
          <w:sz w:val="24"/>
        </w:rPr>
        <w:t>（二）项目的可行性简述</w:t>
      </w:r>
    </w:p>
    <w:p>
      <w:pPr>
        <w:pStyle w:val="17"/>
        <w:spacing w:line="360" w:lineRule="auto"/>
        <w:rPr>
          <w:rFonts w:ascii="宋体" w:hAnsi="宋体"/>
          <w:szCs w:val="21"/>
        </w:rPr>
      </w:pPr>
      <w:r>
        <w:rPr>
          <w:rFonts w:hint="eastAsia" w:ascii="宋体" w:hAnsi="宋体"/>
          <w:szCs w:val="21"/>
        </w:rPr>
        <w:t>采用电感耦合等离子体发射光谱法方法比较成熟，也被国内众多锂电材料生产企业采用，适合作为行业标准来规范测定。同时，电感耦合等离子体发射光谱法测定钴氧化物中单质铜、锌的方法，经国内企业不断试验、应用，也日渐成熟，已具备作为行业标准进行规范。</w:t>
      </w:r>
    </w:p>
    <w:p>
      <w:pPr>
        <w:pStyle w:val="17"/>
        <w:spacing w:line="360" w:lineRule="auto"/>
        <w:rPr>
          <w:rFonts w:ascii="宋体" w:hAnsi="宋体"/>
          <w:color w:val="000000" w:themeColor="text1"/>
          <w:szCs w:val="21"/>
        </w:rPr>
      </w:pPr>
      <w:r>
        <w:rPr>
          <w:rFonts w:hint="eastAsia" w:ascii="宋体" w:hAnsi="宋体"/>
          <w:szCs w:val="21"/>
        </w:rPr>
        <w:t>建立四氧化三钴中单质铜锌的行业标准，拟采用电感耦合等离子体发射光谱法进行单质铜锌的测定。甘肃精普检测科技有限公司做为金川集团钴产业指定检测机构和具有独立法人资质的第三方检测机构，设备配套先进，拥有场发射扫描电子显微镜、电感耦合等离子体发射光谱仪、辉光放电质谱仪。</w:t>
      </w:r>
      <w:r>
        <w:rPr>
          <w:rFonts w:hint="eastAsia" w:ascii="宋体" w:hAnsi="宋体"/>
          <w:color w:val="000000" w:themeColor="text1"/>
          <w:szCs w:val="21"/>
        </w:rPr>
        <w:t>在四氧化三钴杂质元素检测方面进行了大量的实验工作，积累了丰富的经验，具有很强的技术能力，负责起草有色行业标准YS/T633-2015《四氧化三钴》等行业、国家标准，有起草国家标准、行业标准的能力。</w:t>
      </w:r>
    </w:p>
    <w:p>
      <w:pPr>
        <w:spacing w:line="360" w:lineRule="auto"/>
        <w:rPr>
          <w:rFonts w:ascii="仿宋_GB2312" w:eastAsia="仿宋_GB2312"/>
          <w:b/>
          <w:sz w:val="24"/>
        </w:rPr>
      </w:pPr>
      <w:r>
        <w:rPr>
          <w:rFonts w:hint="eastAsia" w:ascii="仿宋_GB2312" w:eastAsia="仿宋_GB2312"/>
          <w:b/>
          <w:sz w:val="24"/>
        </w:rPr>
        <w:t>（三）标准的先进性、创新性、标准实施后预期产生的经济效益和社会效益</w:t>
      </w:r>
    </w:p>
    <w:p>
      <w:pPr>
        <w:spacing w:line="360" w:lineRule="auto"/>
        <w:ind w:firstLine="420" w:firstLineChars="200"/>
        <w:rPr>
          <w:rFonts w:ascii="宋体" w:hAnsi="宋体"/>
          <w:szCs w:val="21"/>
        </w:rPr>
      </w:pPr>
      <w:r>
        <w:rPr>
          <w:rFonts w:hint="eastAsia" w:ascii="宋体" w:hAnsi="宋体"/>
          <w:szCs w:val="21"/>
        </w:rPr>
        <w:t>本标准为《四氧化三钴化学分析方法》系列标准的一部分。分析方法的选择结合国内使用单位的实际情况来选择优化测定参数，确保测定结果的可靠性和具有良好的精密度。标准适用范围宽，检测下限低，测定范围满足行业内各使用单位产品质量不断提升的需要，标准具有良好的先进性。</w:t>
      </w:r>
    </w:p>
    <w:p>
      <w:pPr>
        <w:spacing w:line="360" w:lineRule="auto"/>
        <w:ind w:firstLine="481"/>
        <w:rPr>
          <w:rFonts w:ascii="宋体" w:hAnsi="宋体"/>
          <w:szCs w:val="21"/>
        </w:rPr>
      </w:pPr>
      <w:r>
        <w:rPr>
          <w:rFonts w:hint="eastAsia" w:ascii="宋体" w:hAnsi="宋体"/>
          <w:szCs w:val="21"/>
        </w:rPr>
        <w:t>标准实施后，可减少因检测标准不一致导致的测定结果误差，提高一次测定结果的准确性，提高检测效率，减少因检测标准带来的质量异议，推动四氧化三钴产品品质的提升。</w:t>
      </w:r>
    </w:p>
    <w:p>
      <w:pPr>
        <w:pStyle w:val="17"/>
        <w:spacing w:line="360" w:lineRule="auto"/>
        <w:ind w:firstLine="0" w:firstLineChars="0"/>
        <w:rPr>
          <w:rFonts w:ascii="仿宋_GB2312" w:eastAsia="仿宋_GB2312"/>
          <w:b/>
          <w:sz w:val="24"/>
        </w:rPr>
      </w:pPr>
      <w:r>
        <w:rPr>
          <w:rFonts w:hint="eastAsia" w:ascii="仿宋_GB2312" w:eastAsia="仿宋_GB2312"/>
          <w:b/>
          <w:sz w:val="24"/>
        </w:rPr>
        <w:t>六、采用国际标准和国外先进标准的情况</w:t>
      </w:r>
    </w:p>
    <w:p>
      <w:pPr>
        <w:ind w:firstLine="420" w:firstLineChars="200"/>
        <w:rPr>
          <w:rFonts w:ascii="宋体" w:hAnsi="宋体"/>
          <w:szCs w:val="21"/>
        </w:rPr>
      </w:pPr>
      <w:r>
        <w:rPr>
          <w:rFonts w:hint="eastAsia" w:ascii="宋体" w:hAnsi="宋体"/>
          <w:szCs w:val="21"/>
        </w:rPr>
        <w:t>本标准为首次起草，没有采用国际标准和国外先进标准。</w:t>
      </w:r>
    </w:p>
    <w:p>
      <w:pPr>
        <w:spacing w:line="360" w:lineRule="auto"/>
        <w:rPr>
          <w:rFonts w:ascii="仿宋_GB2312" w:eastAsia="仿宋_GB2312"/>
          <w:b/>
          <w:sz w:val="24"/>
        </w:rPr>
      </w:pPr>
      <w:r>
        <w:rPr>
          <w:rFonts w:hint="eastAsia" w:ascii="仿宋_GB2312" w:eastAsia="仿宋_GB2312"/>
          <w:b/>
          <w:sz w:val="24"/>
        </w:rPr>
        <w:t>七、标准中涉及专利问题</w:t>
      </w:r>
    </w:p>
    <w:p>
      <w:pPr>
        <w:pStyle w:val="17"/>
        <w:spacing w:line="360" w:lineRule="auto"/>
        <w:ind w:left="210" w:firstLine="0" w:firstLineChars="0"/>
        <w:rPr>
          <w:rFonts w:hint="eastAsia" w:ascii="宋体" w:hAnsi="宋体" w:eastAsia="宋体"/>
          <w:b w:val="0"/>
          <w:sz w:val="21"/>
          <w:szCs w:val="21"/>
        </w:rPr>
      </w:pPr>
      <w:r>
        <w:rPr>
          <w:rFonts w:hint="eastAsia" w:ascii="仿宋_GB2312" w:eastAsia="仿宋_GB2312"/>
          <w:b/>
          <w:sz w:val="24"/>
        </w:rPr>
        <w:t xml:space="preserve">   </w:t>
      </w:r>
      <w:r>
        <w:rPr>
          <w:rFonts w:hint="eastAsia" w:ascii="宋体" w:hAnsi="宋体" w:eastAsia="宋体"/>
          <w:b w:val="0"/>
          <w:sz w:val="21"/>
          <w:szCs w:val="21"/>
        </w:rPr>
        <w:t>无。</w:t>
      </w:r>
    </w:p>
    <w:p>
      <w:pPr>
        <w:spacing w:line="360" w:lineRule="auto"/>
        <w:rPr>
          <w:rFonts w:ascii="仿宋_GB2312" w:eastAsia="仿宋_GB2312"/>
          <w:b/>
          <w:sz w:val="24"/>
        </w:rPr>
      </w:pPr>
      <w:r>
        <w:rPr>
          <w:rFonts w:hint="eastAsia" w:ascii="仿宋_GB2312" w:eastAsia="仿宋_GB2312"/>
          <w:b/>
          <w:sz w:val="24"/>
        </w:rPr>
        <w:t>八、与现行相关法律、法规和强制性国家标准及相关标准协调配套情况</w:t>
      </w:r>
    </w:p>
    <w:p>
      <w:pPr>
        <w:pStyle w:val="18"/>
        <w:spacing w:line="440" w:lineRule="exact"/>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本标准</w:t>
      </w:r>
      <w:r>
        <w:rPr>
          <w:rFonts w:hint="eastAsia" w:asciiTheme="minorEastAsia" w:hAnsiTheme="minorEastAsia" w:eastAsiaTheme="minorEastAsia"/>
        </w:rPr>
        <w:t>所规定的的内容，完全</w:t>
      </w:r>
      <w:r>
        <w:rPr>
          <w:rFonts w:asciiTheme="minorEastAsia" w:hAnsiTheme="minorEastAsia" w:eastAsiaTheme="minorEastAsia"/>
        </w:rPr>
        <w:t>符合相关现行法律、法规和强制性国家标准</w:t>
      </w:r>
      <w:r>
        <w:rPr>
          <w:rFonts w:hint="eastAsia" w:asciiTheme="minorEastAsia" w:hAnsiTheme="minorEastAsia" w:eastAsiaTheme="minorEastAsia"/>
        </w:rPr>
        <w:t>的要求。</w:t>
      </w:r>
    </w:p>
    <w:p>
      <w:pPr>
        <w:pStyle w:val="17"/>
        <w:spacing w:line="360" w:lineRule="auto"/>
        <w:ind w:firstLine="0" w:firstLineChars="0"/>
        <w:rPr>
          <w:rFonts w:ascii="宋体" w:hAnsi="宋体"/>
          <w:szCs w:val="21"/>
        </w:rPr>
      </w:pPr>
      <w:r>
        <w:rPr>
          <w:rFonts w:hint="eastAsia" w:ascii="宋体" w:hAnsi="宋体"/>
          <w:szCs w:val="21"/>
        </w:rPr>
        <w:t xml:space="preserve">    本标准与YS/T1057.1-2015《四氧化三钴化学分析方法 磁性异物的测定 磁选分离-电感耦合等离子体发射光谱法》、YS/T1057.2-2020《四氧化三钴化学分析方法 氯离子含量的测定 离子选择性电极法》、YS/T1057.X-20XX《四氧化三钴化学分析方法  硅含量的测定  电感耦合等离子体发射光谱法》、YS</w:t>
      </w:r>
      <w:bookmarkStart w:id="0" w:name="_GoBack"/>
      <w:bookmarkEnd w:id="0"/>
      <w:r>
        <w:rPr>
          <w:rFonts w:hint="eastAsia" w:ascii="宋体" w:hAnsi="宋体"/>
          <w:szCs w:val="21"/>
        </w:rPr>
        <w:t>/T1057.X-20XX《四氧化三钴化学分析方法 碳含量的测定 高频燃烧-红外吸收光谱法》为四氧化三钴系列分析标准。</w:t>
      </w:r>
    </w:p>
    <w:p>
      <w:pPr>
        <w:spacing w:line="360" w:lineRule="auto"/>
        <w:rPr>
          <w:rFonts w:ascii="仿宋_GB2312" w:eastAsia="仿宋_GB2312"/>
          <w:b/>
          <w:sz w:val="24"/>
        </w:rPr>
      </w:pPr>
      <w:r>
        <w:rPr>
          <w:rFonts w:hint="eastAsia" w:ascii="仿宋_GB2312" w:eastAsia="仿宋_GB2312"/>
          <w:b/>
          <w:sz w:val="24"/>
        </w:rPr>
        <w:t>九、重大分歧意见的处理经过和依据</w:t>
      </w:r>
    </w:p>
    <w:p>
      <w:pPr>
        <w:pStyle w:val="17"/>
        <w:spacing w:line="360" w:lineRule="auto"/>
        <w:ind w:left="567" w:firstLine="0" w:firstLineChars="0"/>
        <w:rPr>
          <w:rFonts w:ascii="宋体" w:hAnsi="宋体"/>
          <w:szCs w:val="21"/>
        </w:rPr>
      </w:pPr>
      <w:r>
        <w:rPr>
          <w:rFonts w:hint="eastAsia" w:ascii="宋体" w:hAnsi="宋体"/>
          <w:szCs w:val="21"/>
        </w:rPr>
        <w:t>无。</w:t>
      </w:r>
    </w:p>
    <w:p>
      <w:pPr>
        <w:spacing w:line="360" w:lineRule="auto"/>
        <w:rPr>
          <w:rFonts w:ascii="仿宋_GB2312" w:eastAsia="仿宋_GB2312"/>
          <w:b/>
          <w:sz w:val="24"/>
        </w:rPr>
      </w:pPr>
      <w:r>
        <w:rPr>
          <w:rFonts w:hint="eastAsia" w:ascii="仿宋_GB2312" w:eastAsia="仿宋_GB2312"/>
          <w:b/>
          <w:sz w:val="24"/>
        </w:rPr>
        <w:t>十、标准性质的建议说明</w:t>
      </w:r>
    </w:p>
    <w:p>
      <w:pPr>
        <w:spacing w:line="360" w:lineRule="auto"/>
        <w:ind w:firstLine="420" w:firstLineChars="200"/>
        <w:rPr>
          <w:rFonts w:ascii="宋体" w:hAnsi="宋体"/>
          <w:szCs w:val="21"/>
        </w:rPr>
      </w:pPr>
      <w:r>
        <w:rPr>
          <w:rFonts w:hint="eastAsia" w:ascii="宋体" w:hAnsi="宋体"/>
          <w:szCs w:val="21"/>
        </w:rPr>
        <w:t>本标准建议做为推荐性有色行业标准，供相关单位参考采用。</w:t>
      </w:r>
    </w:p>
    <w:p>
      <w:pPr>
        <w:spacing w:line="360" w:lineRule="auto"/>
        <w:rPr>
          <w:rFonts w:ascii="仿宋_GB2312" w:eastAsia="仿宋_GB2312"/>
          <w:b/>
          <w:sz w:val="24"/>
        </w:rPr>
      </w:pPr>
      <w:r>
        <w:rPr>
          <w:rFonts w:hint="eastAsia" w:ascii="仿宋_GB2312" w:eastAsia="仿宋_GB2312"/>
          <w:b/>
          <w:sz w:val="24"/>
        </w:rPr>
        <w:t>十一、贯彻标准的要求和措施建议</w:t>
      </w:r>
    </w:p>
    <w:p>
      <w:pPr>
        <w:pStyle w:val="17"/>
        <w:numPr>
          <w:ilvl w:val="-1"/>
          <w:numId w:val="0"/>
        </w:numPr>
        <w:spacing w:line="360" w:lineRule="auto"/>
        <w:ind w:left="424" w:leftChars="202" w:firstLine="0" w:firstLineChars="0"/>
        <w:rPr>
          <w:rFonts w:hint="default" w:ascii="宋体" w:hAnsi="宋体"/>
          <w:szCs w:val="21"/>
          <w:lang w:val="en-US"/>
        </w:rPr>
      </w:pPr>
      <w:r>
        <w:rPr>
          <w:rFonts w:hint="eastAsia" w:ascii="宋体" w:hAnsi="宋体"/>
          <w:szCs w:val="21"/>
          <w:lang w:val="en-US" w:eastAsia="zh-CN"/>
        </w:rPr>
        <w:t>建议发布6个月后实施。</w:t>
      </w:r>
    </w:p>
    <w:p>
      <w:pPr>
        <w:spacing w:line="360" w:lineRule="auto"/>
        <w:rPr>
          <w:rFonts w:ascii="仿宋_GB2312" w:eastAsia="仿宋_GB2312"/>
          <w:b/>
          <w:sz w:val="24"/>
        </w:rPr>
      </w:pPr>
      <w:r>
        <w:rPr>
          <w:rFonts w:hint="eastAsia" w:ascii="仿宋_GB2312" w:eastAsia="仿宋_GB2312"/>
          <w:b/>
          <w:sz w:val="24"/>
        </w:rPr>
        <w:t>十二、废止现行相关标准的建议</w:t>
      </w:r>
    </w:p>
    <w:p>
      <w:pPr>
        <w:pStyle w:val="17"/>
        <w:spacing w:line="360" w:lineRule="auto"/>
        <w:ind w:left="720" w:firstLine="0" w:firstLineChars="0"/>
        <w:rPr>
          <w:rFonts w:ascii="宋体" w:hAnsi="宋体"/>
          <w:szCs w:val="21"/>
        </w:rPr>
      </w:pPr>
      <w:r>
        <w:rPr>
          <w:rFonts w:hint="eastAsia" w:ascii="宋体" w:hAnsi="宋体"/>
          <w:szCs w:val="21"/>
        </w:rPr>
        <w:t>无。</w:t>
      </w:r>
    </w:p>
    <w:p>
      <w:pPr>
        <w:spacing w:line="360" w:lineRule="auto"/>
        <w:rPr>
          <w:rFonts w:ascii="仿宋_GB2312" w:eastAsia="仿宋_GB2312"/>
          <w:b/>
          <w:sz w:val="24"/>
        </w:rPr>
      </w:pPr>
      <w:r>
        <w:rPr>
          <w:rFonts w:hint="eastAsia" w:ascii="仿宋_GB2312" w:eastAsia="仿宋_GB2312"/>
          <w:b/>
          <w:sz w:val="24"/>
        </w:rPr>
        <w:t>十三、其他应予说明的事项</w:t>
      </w:r>
    </w:p>
    <w:p>
      <w:pPr>
        <w:pStyle w:val="17"/>
        <w:spacing w:line="360" w:lineRule="auto"/>
        <w:ind w:firstLine="827" w:firstLineChars="394"/>
        <w:rPr>
          <w:rFonts w:ascii="宋体" w:hAnsi="宋体"/>
          <w:szCs w:val="21"/>
        </w:rPr>
      </w:pPr>
      <w:r>
        <w:rPr>
          <w:rFonts w:hint="eastAsia" w:ascii="宋体" w:hAnsi="宋体"/>
          <w:szCs w:val="21"/>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9FA29"/>
    <w:multiLevelType w:val="singleLevel"/>
    <w:tmpl w:val="09C9FA29"/>
    <w:lvl w:ilvl="0" w:tentative="0">
      <w:start w:val="1"/>
      <w:numFmt w:val="decimal"/>
      <w:suff w:val="nothing"/>
      <w:lvlText w:val="%1、"/>
      <w:lvlJc w:val="left"/>
    </w:lvl>
  </w:abstractNum>
  <w:abstractNum w:abstractNumId="1">
    <w:nsid w:val="2CF867D1"/>
    <w:multiLevelType w:val="multilevel"/>
    <w:tmpl w:val="2CF867D1"/>
    <w:lvl w:ilvl="0" w:tentative="0">
      <w:start w:val="1"/>
      <w:numFmt w:val="japaneseCounting"/>
      <w:lvlText w:val="%1、"/>
      <w:lvlJc w:val="left"/>
      <w:pPr>
        <w:ind w:left="930" w:hanging="720"/>
      </w:pPr>
      <w:rPr>
        <w:rFonts w:hint="default"/>
      </w:rPr>
    </w:lvl>
    <w:lvl w:ilvl="1" w:tentative="0">
      <w:start w:val="1"/>
      <w:numFmt w:val="japaneseCounting"/>
      <w:lvlText w:val="（%2）"/>
      <w:lvlJc w:val="left"/>
      <w:pPr>
        <w:ind w:left="1594" w:hanging="885"/>
      </w:pPr>
      <w:rPr>
        <w:rFonts w:hint="default"/>
      </w:rPr>
    </w:lvl>
    <w:lvl w:ilvl="2" w:tentative="0">
      <w:start w:val="1"/>
      <w:numFmt w:val="decimal"/>
      <w:lvlText w:val="%3、"/>
      <w:lvlJc w:val="left"/>
      <w:pPr>
        <w:ind w:left="1004" w:hanging="720"/>
      </w:pPr>
      <w:rPr>
        <w:rFonts w:hint="default"/>
        <w:sz w:val="21"/>
        <w:szCs w:val="21"/>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YzdjZGZmYTg4ODk3ZjhiZWVkODZlNDE4MWJmZTgifQ=="/>
  </w:docVars>
  <w:rsids>
    <w:rsidRoot w:val="00172A27"/>
    <w:rsid w:val="0002569C"/>
    <w:rsid w:val="000513B4"/>
    <w:rsid w:val="000538D9"/>
    <w:rsid w:val="0006389A"/>
    <w:rsid w:val="00091F4A"/>
    <w:rsid w:val="000B706B"/>
    <w:rsid w:val="000C150C"/>
    <w:rsid w:val="00112A63"/>
    <w:rsid w:val="00172A27"/>
    <w:rsid w:val="00177A84"/>
    <w:rsid w:val="001A35E9"/>
    <w:rsid w:val="001E1A72"/>
    <w:rsid w:val="002002D6"/>
    <w:rsid w:val="00227FED"/>
    <w:rsid w:val="00232891"/>
    <w:rsid w:val="00243FE6"/>
    <w:rsid w:val="00260D7A"/>
    <w:rsid w:val="002A0274"/>
    <w:rsid w:val="002A72F3"/>
    <w:rsid w:val="002C4F25"/>
    <w:rsid w:val="00397C8F"/>
    <w:rsid w:val="003D791F"/>
    <w:rsid w:val="00422278"/>
    <w:rsid w:val="004272EC"/>
    <w:rsid w:val="00440134"/>
    <w:rsid w:val="00465718"/>
    <w:rsid w:val="0047028A"/>
    <w:rsid w:val="00470925"/>
    <w:rsid w:val="004A399C"/>
    <w:rsid w:val="004D02C7"/>
    <w:rsid w:val="004F0FEA"/>
    <w:rsid w:val="00506781"/>
    <w:rsid w:val="00522DFC"/>
    <w:rsid w:val="0053042B"/>
    <w:rsid w:val="00543A67"/>
    <w:rsid w:val="00552B8E"/>
    <w:rsid w:val="00555F76"/>
    <w:rsid w:val="00585B69"/>
    <w:rsid w:val="00605D43"/>
    <w:rsid w:val="0066133D"/>
    <w:rsid w:val="006E3FEF"/>
    <w:rsid w:val="00725685"/>
    <w:rsid w:val="00763400"/>
    <w:rsid w:val="00784A32"/>
    <w:rsid w:val="007D0B1C"/>
    <w:rsid w:val="007D254B"/>
    <w:rsid w:val="007D2E78"/>
    <w:rsid w:val="007D4DBE"/>
    <w:rsid w:val="0080693A"/>
    <w:rsid w:val="0082525A"/>
    <w:rsid w:val="00847AEA"/>
    <w:rsid w:val="00886F8D"/>
    <w:rsid w:val="00896455"/>
    <w:rsid w:val="008C10CF"/>
    <w:rsid w:val="008D2E36"/>
    <w:rsid w:val="0094512C"/>
    <w:rsid w:val="009701AA"/>
    <w:rsid w:val="00973134"/>
    <w:rsid w:val="00985BCE"/>
    <w:rsid w:val="00995DBE"/>
    <w:rsid w:val="009F09A9"/>
    <w:rsid w:val="00A45957"/>
    <w:rsid w:val="00A708C7"/>
    <w:rsid w:val="00A714D9"/>
    <w:rsid w:val="00A95BE6"/>
    <w:rsid w:val="00AA33B0"/>
    <w:rsid w:val="00B14EDB"/>
    <w:rsid w:val="00BC6D3E"/>
    <w:rsid w:val="00C07D80"/>
    <w:rsid w:val="00C464B6"/>
    <w:rsid w:val="00CC2831"/>
    <w:rsid w:val="00CD7AD1"/>
    <w:rsid w:val="00D0002B"/>
    <w:rsid w:val="00D44B7F"/>
    <w:rsid w:val="00D673B5"/>
    <w:rsid w:val="00DC1CD7"/>
    <w:rsid w:val="00DE2842"/>
    <w:rsid w:val="00E14F24"/>
    <w:rsid w:val="00E21423"/>
    <w:rsid w:val="00E41765"/>
    <w:rsid w:val="00E57ED1"/>
    <w:rsid w:val="00EB2977"/>
    <w:rsid w:val="00EC1F5A"/>
    <w:rsid w:val="00EE68ED"/>
    <w:rsid w:val="00F0063E"/>
    <w:rsid w:val="00F13430"/>
    <w:rsid w:val="00F53384"/>
    <w:rsid w:val="00F56BC5"/>
    <w:rsid w:val="00FA6B4C"/>
    <w:rsid w:val="00FC6CD6"/>
    <w:rsid w:val="00FE6DB8"/>
    <w:rsid w:val="00FF01D9"/>
    <w:rsid w:val="00FF7CC3"/>
    <w:rsid w:val="011D6C4A"/>
    <w:rsid w:val="023A21E5"/>
    <w:rsid w:val="052B5422"/>
    <w:rsid w:val="0B07087D"/>
    <w:rsid w:val="0D0C6AC3"/>
    <w:rsid w:val="16C745B1"/>
    <w:rsid w:val="17A7599F"/>
    <w:rsid w:val="18282DBE"/>
    <w:rsid w:val="19A064EA"/>
    <w:rsid w:val="1BBD0283"/>
    <w:rsid w:val="1BD50E19"/>
    <w:rsid w:val="1CFE0008"/>
    <w:rsid w:val="1D25756B"/>
    <w:rsid w:val="21DA0B55"/>
    <w:rsid w:val="22072915"/>
    <w:rsid w:val="22807705"/>
    <w:rsid w:val="246E0E93"/>
    <w:rsid w:val="24F46597"/>
    <w:rsid w:val="257414D3"/>
    <w:rsid w:val="2765689A"/>
    <w:rsid w:val="27C5627E"/>
    <w:rsid w:val="27F03905"/>
    <w:rsid w:val="28120DE5"/>
    <w:rsid w:val="293956C0"/>
    <w:rsid w:val="2AC70465"/>
    <w:rsid w:val="304534B0"/>
    <w:rsid w:val="30C67B90"/>
    <w:rsid w:val="33653D34"/>
    <w:rsid w:val="33B4420C"/>
    <w:rsid w:val="38796D83"/>
    <w:rsid w:val="38F41D24"/>
    <w:rsid w:val="394C386E"/>
    <w:rsid w:val="39636D24"/>
    <w:rsid w:val="3D2B42B4"/>
    <w:rsid w:val="3D9107FD"/>
    <w:rsid w:val="3DA47FFF"/>
    <w:rsid w:val="3EF3078D"/>
    <w:rsid w:val="412E2EA7"/>
    <w:rsid w:val="419869C6"/>
    <w:rsid w:val="41E373E9"/>
    <w:rsid w:val="4897781E"/>
    <w:rsid w:val="49E62E24"/>
    <w:rsid w:val="4A513954"/>
    <w:rsid w:val="4AF35410"/>
    <w:rsid w:val="4B0F37F6"/>
    <w:rsid w:val="4FCF2AC0"/>
    <w:rsid w:val="53E80BAE"/>
    <w:rsid w:val="54E30B6B"/>
    <w:rsid w:val="54EE097F"/>
    <w:rsid w:val="562F2808"/>
    <w:rsid w:val="58183C90"/>
    <w:rsid w:val="58AB6BD7"/>
    <w:rsid w:val="591122B7"/>
    <w:rsid w:val="59455367"/>
    <w:rsid w:val="5B891F36"/>
    <w:rsid w:val="5B9D29B7"/>
    <w:rsid w:val="5D1A6381"/>
    <w:rsid w:val="5F4A732C"/>
    <w:rsid w:val="5F6D1173"/>
    <w:rsid w:val="60A353CC"/>
    <w:rsid w:val="62DF11E9"/>
    <w:rsid w:val="63CA1851"/>
    <w:rsid w:val="64E90DDF"/>
    <w:rsid w:val="657D3929"/>
    <w:rsid w:val="669405FD"/>
    <w:rsid w:val="69AF4F16"/>
    <w:rsid w:val="69F20D8F"/>
    <w:rsid w:val="6EA3391C"/>
    <w:rsid w:val="6F48763D"/>
    <w:rsid w:val="6F871EC4"/>
    <w:rsid w:val="71835456"/>
    <w:rsid w:val="75620864"/>
    <w:rsid w:val="763A7362"/>
    <w:rsid w:val="76464179"/>
    <w:rsid w:val="775A72B3"/>
    <w:rsid w:val="781149AB"/>
    <w:rsid w:val="78FB2349"/>
    <w:rsid w:val="7B723297"/>
    <w:rsid w:val="7C6F3482"/>
    <w:rsid w:val="7C98304F"/>
    <w:rsid w:val="7CCD510C"/>
    <w:rsid w:val="7E27223E"/>
    <w:rsid w:val="7E32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2"/>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ody Text"/>
    <w:basedOn w:val="1"/>
    <w:link w:val="20"/>
    <w:qFormat/>
    <w:uiPriority w:val="0"/>
    <w:pPr>
      <w:spacing w:after="50" w:line="360" w:lineRule="auto"/>
    </w:pPr>
    <w:rPr>
      <w:rFonts w:eastAsia="仿宋_GB2312" w:asciiTheme="minorHAnsi" w:hAnsiTheme="minorHAnsi" w:cstheme="minorBidi"/>
      <w:sz w:val="24"/>
      <w:szCs w:val="28"/>
    </w:rPr>
  </w:style>
  <w:style w:type="paragraph" w:styleId="5">
    <w:name w:val="Body Text Indent"/>
    <w:basedOn w:val="1"/>
    <w:link w:val="21"/>
    <w:semiHidden/>
    <w:unhideWhenUsed/>
    <w:qFormat/>
    <w:uiPriority w:val="99"/>
    <w:pPr>
      <w:spacing w:after="120"/>
      <w:ind w:left="420" w:leftChars="200"/>
    </w:pPr>
  </w:style>
  <w:style w:type="paragraph" w:styleId="6">
    <w:name w:val="List 2"/>
    <w:basedOn w:val="1"/>
    <w:qFormat/>
    <w:uiPriority w:val="0"/>
    <w:pPr>
      <w:ind w:left="100" w:leftChars="200" w:hanging="200" w:hangingChars="200"/>
      <w:contextualSpacing/>
    </w:pPr>
  </w:style>
  <w:style w:type="paragraph" w:styleId="7">
    <w:name w:val="Date"/>
    <w:basedOn w:val="1"/>
    <w:next w:val="1"/>
    <w:link w:val="16"/>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character" w:customStyle="1" w:styleId="16">
    <w:name w:val="日期 Char"/>
    <w:basedOn w:val="13"/>
    <w:link w:val="7"/>
    <w:semiHidden/>
    <w:qFormat/>
    <w:uiPriority w:val="99"/>
    <w:rPr>
      <w:rFonts w:ascii="Times New Roman" w:hAnsi="Times New Roman" w:eastAsia="宋体" w:cs="Times New Roman"/>
      <w:szCs w:val="24"/>
    </w:rPr>
  </w:style>
  <w:style w:type="paragraph" w:styleId="17">
    <w:name w:val="List Paragraph"/>
    <w:basedOn w:val="1"/>
    <w:qFormat/>
    <w:uiPriority w:val="34"/>
    <w:pPr>
      <w:ind w:firstLine="420" w:firstLineChars="200"/>
    </w:pPr>
  </w:style>
  <w:style w:type="paragraph" w:styleId="18">
    <w:name w:val="No Spacing"/>
    <w:qFormat/>
    <w:uiPriority w:val="1"/>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character" w:customStyle="1" w:styleId="19">
    <w:name w:val="正文文本 Char"/>
    <w:basedOn w:val="13"/>
    <w:semiHidden/>
    <w:qFormat/>
    <w:uiPriority w:val="99"/>
    <w:rPr>
      <w:rFonts w:ascii="Times New Roman" w:hAnsi="Times New Roman"/>
      <w:kern w:val="2"/>
      <w:sz w:val="21"/>
      <w:szCs w:val="24"/>
    </w:rPr>
  </w:style>
  <w:style w:type="character" w:customStyle="1" w:styleId="20">
    <w:name w:val="正文文本 Char1"/>
    <w:basedOn w:val="13"/>
    <w:link w:val="4"/>
    <w:qFormat/>
    <w:uiPriority w:val="0"/>
    <w:rPr>
      <w:rFonts w:eastAsia="仿宋_GB2312" w:asciiTheme="minorHAnsi" w:hAnsiTheme="minorHAnsi" w:cstheme="minorBidi"/>
      <w:kern w:val="2"/>
      <w:sz w:val="24"/>
      <w:szCs w:val="28"/>
    </w:rPr>
  </w:style>
  <w:style w:type="character" w:customStyle="1" w:styleId="21">
    <w:name w:val="正文文本缩进 Char"/>
    <w:basedOn w:val="13"/>
    <w:link w:val="5"/>
    <w:semiHidden/>
    <w:qFormat/>
    <w:uiPriority w:val="99"/>
    <w:rPr>
      <w:rFonts w:ascii="Times New Roman" w:hAnsi="Times New Roman"/>
      <w:kern w:val="2"/>
      <w:sz w:val="21"/>
      <w:szCs w:val="24"/>
    </w:rPr>
  </w:style>
  <w:style w:type="character" w:customStyle="1" w:styleId="22">
    <w:name w:val="标题 3 Char"/>
    <w:basedOn w:val="13"/>
    <w:link w:val="2"/>
    <w:qFormat/>
    <w:uiPriority w:val="0"/>
    <w:rPr>
      <w:rFonts w:ascii="Times New Roman" w:hAnsi="Times New Roman"/>
      <w:b/>
      <w:bCs/>
      <w:kern w:val="2"/>
      <w:sz w:val="32"/>
      <w:szCs w:val="32"/>
    </w:rPr>
  </w:style>
  <w:style w:type="character" w:customStyle="1" w:styleId="23">
    <w:name w:val="批注框文本 Char"/>
    <w:basedOn w:val="13"/>
    <w:link w:val="8"/>
    <w:semiHidden/>
    <w:qFormat/>
    <w:uiPriority w:val="99"/>
    <w:rPr>
      <w:rFonts w:ascii="Times New Roman" w:hAnsi="Times New Roman"/>
      <w:kern w:val="2"/>
      <w:sz w:val="18"/>
      <w:szCs w:val="18"/>
    </w:rPr>
  </w:style>
  <w:style w:type="paragraph" w:customStyle="1" w:styleId="24">
    <w:name w:val="reader-word-layer reader-word-s15-7"/>
    <w:basedOn w:val="1"/>
    <w:qFormat/>
    <w:uiPriority w:val="0"/>
    <w:pPr>
      <w:widowControl/>
      <w:spacing w:before="100" w:beforeAutospacing="1" w:after="100" w:afterAutospacing="1"/>
      <w:jc w:val="left"/>
    </w:pPr>
    <w:rPr>
      <w:rFonts w:ascii="宋体" w:hAnsi="宋体" w:cs="宋体"/>
      <w:kern w:val="0"/>
      <w:sz w:val="24"/>
      <w:szCs w:val="22"/>
    </w:rPr>
  </w:style>
  <w:style w:type="character" w:customStyle="1" w:styleId="25">
    <w:name w:val="font11"/>
    <w:basedOn w:val="13"/>
    <w:qFormat/>
    <w:uiPriority w:val="0"/>
    <w:rPr>
      <w:rFonts w:hint="eastAsia" w:ascii="宋体" w:hAnsi="宋体" w:eastAsia="宋体" w:cs="宋体"/>
      <w:color w:val="000000"/>
      <w:sz w:val="20"/>
      <w:szCs w:val="20"/>
      <w:u w:val="none"/>
    </w:rPr>
  </w:style>
  <w:style w:type="character" w:customStyle="1" w:styleId="26">
    <w:name w:val="font01"/>
    <w:basedOn w:val="13"/>
    <w:qFormat/>
    <w:uiPriority w:val="0"/>
    <w:rPr>
      <w:rFonts w:hint="eastAsia" w:ascii="宋体" w:hAnsi="宋体" w:eastAsia="宋体" w:cs="宋体"/>
      <w:color w:val="000000"/>
      <w:sz w:val="20"/>
      <w:szCs w:val="20"/>
      <w:u w:val="none"/>
      <w:vertAlign w:val="subscript"/>
    </w:rPr>
  </w:style>
  <w:style w:type="character" w:customStyle="1" w:styleId="27">
    <w:name w:val="font51"/>
    <w:basedOn w:val="13"/>
    <w:qFormat/>
    <w:uiPriority w:val="0"/>
    <w:rPr>
      <w:rFonts w:hint="default" w:ascii="Times New Roman" w:hAnsi="Times New Roman" w:cs="Times New Roman"/>
      <w:color w:val="000000"/>
      <w:sz w:val="22"/>
      <w:szCs w:val="22"/>
      <w:u w:val="none"/>
    </w:rPr>
  </w:style>
  <w:style w:type="character" w:customStyle="1" w:styleId="28">
    <w:name w:val="font31"/>
    <w:basedOn w:val="13"/>
    <w:qFormat/>
    <w:uiPriority w:val="0"/>
    <w:rPr>
      <w:rFonts w:hint="default" w:ascii="Times New Roman" w:hAnsi="Times New Roman" w:cs="Times New Roman"/>
      <w:color w:val="000000"/>
      <w:sz w:val="24"/>
      <w:szCs w:val="24"/>
      <w:u w:val="none"/>
    </w:rPr>
  </w:style>
  <w:style w:type="character" w:customStyle="1" w:styleId="29">
    <w:name w:val="font41"/>
    <w:basedOn w:val="13"/>
    <w:qFormat/>
    <w:uiPriority w:val="0"/>
    <w:rPr>
      <w:rFonts w:hint="default" w:ascii="Times New Roman" w:hAnsi="Times New Roman" w:cs="Times New Roman"/>
      <w:color w:val="000000"/>
      <w:sz w:val="24"/>
      <w:szCs w:val="24"/>
      <w:u w:val="none"/>
      <w:vertAlign w:val="superscript"/>
    </w:rPr>
  </w:style>
  <w:style w:type="character" w:customStyle="1" w:styleId="30">
    <w:name w:val="font21"/>
    <w:basedOn w:val="13"/>
    <w:qFormat/>
    <w:uiPriority w:val="0"/>
    <w:rPr>
      <w:rFonts w:hint="default" w:ascii="Times New Roman" w:hAnsi="Times New Roman" w:cs="Times New Roman"/>
      <w:color w:val="000000"/>
      <w:sz w:val="22"/>
      <w:szCs w:val="22"/>
      <w:u w:val="none"/>
    </w:rPr>
  </w:style>
  <w:style w:type="character" w:customStyle="1" w:styleId="31">
    <w:name w:val="font81"/>
    <w:basedOn w:val="13"/>
    <w:qFormat/>
    <w:uiPriority w:val="0"/>
    <w:rPr>
      <w:rFonts w:hint="eastAsia" w:ascii="宋体" w:hAnsi="宋体" w:eastAsia="宋体" w:cs="宋体"/>
      <w:color w:val="000000"/>
      <w:sz w:val="20"/>
      <w:szCs w:val="20"/>
      <w:u w:val="none"/>
      <w:vertAlign w:val="subscript"/>
    </w:rPr>
  </w:style>
  <w:style w:type="character" w:customStyle="1" w:styleId="32">
    <w:name w:val="font91"/>
    <w:basedOn w:val="13"/>
    <w:qFormat/>
    <w:uiPriority w:val="0"/>
    <w:rPr>
      <w:rFonts w:hint="eastAsia" w:ascii="宋体" w:hAnsi="宋体" w:eastAsia="宋体" w:cs="宋体"/>
      <w:color w:val="000000"/>
      <w:sz w:val="20"/>
      <w:szCs w:val="20"/>
      <w:u w:val="none"/>
      <w:vertAlign w:val="superscript"/>
    </w:rPr>
  </w:style>
  <w:style w:type="character" w:customStyle="1" w:styleId="33">
    <w:name w:val="font71"/>
    <w:basedOn w:val="13"/>
    <w:qFormat/>
    <w:uiPriority w:val="0"/>
    <w:rPr>
      <w:rFonts w:hint="eastAsia" w:ascii="宋体" w:hAnsi="宋体" w:eastAsia="宋体" w:cs="宋体"/>
      <w:b/>
      <w:bCs/>
      <w:color w:val="000000"/>
      <w:sz w:val="20"/>
      <w:szCs w:val="20"/>
      <w:u w:val="none"/>
    </w:rPr>
  </w:style>
  <w:style w:type="character" w:customStyle="1" w:styleId="34">
    <w:name w:val="font101"/>
    <w:basedOn w:val="13"/>
    <w:qFormat/>
    <w:uiPriority w:val="0"/>
    <w:rPr>
      <w:rFonts w:hint="eastAsia" w:ascii="宋体" w:hAnsi="宋体" w:eastAsia="宋体" w:cs="宋体"/>
      <w:b/>
      <w:bCs/>
      <w:color w:val="000000"/>
      <w:sz w:val="20"/>
      <w:szCs w:val="20"/>
      <w:u w:val="none"/>
      <w:vertAlign w:val="subscript"/>
    </w:rPr>
  </w:style>
  <w:style w:type="paragraph" w:customStyle="1" w:styleId="3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1215</Words>
  <Characters>6932</Characters>
  <Lines>57</Lines>
  <Paragraphs>16</Paragraphs>
  <TotalTime>2</TotalTime>
  <ScaleCrop>false</ScaleCrop>
  <LinksUpToDate>false</LinksUpToDate>
  <CharactersWithSpaces>8131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2020-11-24T07:42:00Z</dcterms:created>
  <dc:creator>User</dc:creator>
  <cp:lastModifiedBy>ss</cp:lastModifiedBy>
  <dcterms:modified xsi:type="dcterms:W3CDTF">2023-12-14T05:44:41Z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0C12751E3F254B97B75219933FFD2B1B</vt:lpwstr>
  </property>
</Properties>
</file>