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atLeast"/>
        <w:rPr>
          <w:rFonts w:ascii="黑体" w:hAnsi="黑体" w:eastAsia="黑体"/>
          <w:sz w:val="48"/>
          <w:szCs w:val="48"/>
        </w:rPr>
      </w:pPr>
      <w:r>
        <w:rPr>
          <w:rFonts w:hint="eastAsia" w:ascii="黑体" w:eastAsia="黑体"/>
          <w:w w:val="90"/>
          <w:sz w:val="28"/>
          <w:szCs w:val="28"/>
        </w:rPr>
        <w:t>有色行业标准（</w:t>
      </w:r>
      <w:r>
        <w:rPr>
          <w:rFonts w:ascii="黑体" w:eastAsia="黑体"/>
          <w:w w:val="90"/>
          <w:sz w:val="28"/>
          <w:szCs w:val="28"/>
        </w:rPr>
        <w:t>202</w:t>
      </w:r>
      <w:r>
        <w:rPr>
          <w:rFonts w:hint="eastAsia" w:ascii="黑体" w:eastAsia="黑体"/>
          <w:w w:val="90"/>
          <w:sz w:val="28"/>
          <w:szCs w:val="28"/>
          <w:lang w:val="en-US" w:eastAsia="zh-CN"/>
        </w:rPr>
        <w:t>3</w:t>
      </w:r>
      <w:r>
        <w:rPr>
          <w:rFonts w:ascii="黑体" w:eastAsia="黑体"/>
          <w:w w:val="90"/>
          <w:sz w:val="28"/>
          <w:szCs w:val="28"/>
        </w:rPr>
        <w:t>-</w:t>
      </w:r>
      <w:r>
        <w:rPr>
          <w:rFonts w:hint="eastAsia" w:ascii="黑体" w:eastAsia="黑体"/>
          <w:w w:val="90"/>
          <w:sz w:val="28"/>
          <w:szCs w:val="28"/>
          <w:lang w:val="en-US" w:eastAsia="zh-CN"/>
        </w:rPr>
        <w:t>0427</w:t>
      </w:r>
      <w:r>
        <w:rPr>
          <w:rFonts w:ascii="黑体" w:eastAsia="黑体"/>
          <w:w w:val="90"/>
          <w:sz w:val="28"/>
          <w:szCs w:val="28"/>
        </w:rPr>
        <w:t>T-YS</w:t>
      </w:r>
      <w:r>
        <w:rPr>
          <w:rFonts w:hint="eastAsia" w:ascii="黑体" w:eastAsia="黑体"/>
          <w:w w:val="90"/>
          <w:sz w:val="28"/>
          <w:szCs w:val="28"/>
        </w:rPr>
        <w:t>）</w:t>
      </w:r>
    </w:p>
    <w:p>
      <w:pPr>
        <w:pStyle w:val="16"/>
        <w:spacing w:line="560" w:lineRule="atLeast"/>
        <w:jc w:val="center"/>
        <w:rPr>
          <w:rFonts w:ascii="黑体" w:hAnsi="黑体" w:eastAsia="黑体"/>
          <w:sz w:val="48"/>
          <w:szCs w:val="48"/>
        </w:rPr>
      </w:pPr>
    </w:p>
    <w:p>
      <w:pPr>
        <w:pStyle w:val="16"/>
        <w:spacing w:line="560" w:lineRule="atLeast"/>
        <w:jc w:val="center"/>
        <w:rPr>
          <w:rFonts w:hint="eastAsia" w:ascii="黑体" w:hAnsi="黑体" w:eastAsia="黑体"/>
          <w:sz w:val="52"/>
          <w:szCs w:val="52"/>
          <w:lang w:eastAsia="zh-CN"/>
        </w:rPr>
      </w:pPr>
      <w:r>
        <w:rPr>
          <w:rFonts w:hint="eastAsia" w:ascii="黑体" w:hAnsi="黑体" w:eastAsia="黑体"/>
          <w:sz w:val="52"/>
          <w:szCs w:val="52"/>
          <w:lang w:val="en-US" w:eastAsia="zh-CN"/>
        </w:rPr>
        <w:t>核级碳化硼</w:t>
      </w:r>
      <w:r>
        <w:rPr>
          <w:rFonts w:hint="eastAsia" w:ascii="黑体" w:hAnsi="黑体" w:eastAsia="黑体"/>
          <w:sz w:val="52"/>
          <w:szCs w:val="52"/>
        </w:rPr>
        <w:t>化学分析方法</w:t>
      </w:r>
    </w:p>
    <w:p>
      <w:pPr>
        <w:pStyle w:val="16"/>
        <w:spacing w:line="560" w:lineRule="atLeast"/>
        <w:jc w:val="center"/>
        <w:rPr>
          <w:rFonts w:ascii="黑体" w:hAnsi="黑体" w:eastAsia="黑体"/>
          <w:sz w:val="52"/>
          <w:szCs w:val="52"/>
        </w:rPr>
      </w:pPr>
      <w:r>
        <w:rPr>
          <w:rFonts w:hint="eastAsia" w:ascii="黑体" w:hAnsi="黑体" w:eastAsia="黑体"/>
          <w:sz w:val="52"/>
          <w:szCs w:val="52"/>
        </w:rPr>
        <w:t>第</w:t>
      </w:r>
      <w:r>
        <w:rPr>
          <w:rFonts w:hint="eastAsia" w:ascii="黑体" w:hAnsi="黑体" w:eastAsia="黑体"/>
          <w:sz w:val="52"/>
          <w:szCs w:val="52"/>
          <w:lang w:val="en-US" w:eastAsia="zh-CN"/>
        </w:rPr>
        <w:t>4</w:t>
      </w:r>
      <w:r>
        <w:rPr>
          <w:rFonts w:hint="eastAsia" w:ascii="黑体" w:hAnsi="黑体" w:eastAsia="黑体"/>
          <w:sz w:val="52"/>
          <w:szCs w:val="52"/>
        </w:rPr>
        <w:t>部分：</w:t>
      </w:r>
      <w:r>
        <w:rPr>
          <w:rFonts w:hint="eastAsia" w:ascii="黑体" w:hAnsi="黑体" w:eastAsia="黑体"/>
          <w:sz w:val="52"/>
          <w:szCs w:val="52"/>
          <w:lang w:val="en-US" w:eastAsia="zh-CN"/>
        </w:rPr>
        <w:t>铁</w:t>
      </w:r>
      <w:r>
        <w:rPr>
          <w:rFonts w:hint="eastAsia" w:ascii="黑体" w:hAnsi="黑体" w:eastAsia="黑体"/>
          <w:sz w:val="52"/>
          <w:szCs w:val="52"/>
        </w:rPr>
        <w:t>含量的测定</w:t>
      </w:r>
    </w:p>
    <w:p>
      <w:pPr>
        <w:pStyle w:val="16"/>
        <w:spacing w:line="560" w:lineRule="atLeast"/>
        <w:jc w:val="center"/>
        <w:rPr>
          <w:rFonts w:ascii="黑体" w:hAnsi="黑体" w:eastAsia="黑体"/>
          <w:sz w:val="52"/>
          <w:szCs w:val="52"/>
        </w:rPr>
      </w:pPr>
      <w:r>
        <w:rPr>
          <w:rFonts w:hint="eastAsia" w:ascii="黑体" w:hAnsi="黑体" w:eastAsia="黑体"/>
          <w:sz w:val="52"/>
          <w:szCs w:val="52"/>
          <w:lang w:val="en-US" w:eastAsia="zh-CN"/>
        </w:rPr>
        <w:t>分光光度法和EDTA容量</w:t>
      </w:r>
      <w:r>
        <w:rPr>
          <w:rFonts w:hint="eastAsia" w:ascii="黑体" w:hAnsi="黑体" w:eastAsia="黑体"/>
          <w:sz w:val="52"/>
          <w:szCs w:val="52"/>
        </w:rPr>
        <w:t>法</w:t>
      </w:r>
    </w:p>
    <w:p>
      <w:pPr>
        <w:pStyle w:val="16"/>
        <w:spacing w:line="560" w:lineRule="atLeast"/>
        <w:jc w:val="center"/>
        <w:rPr>
          <w:rFonts w:ascii="黑体" w:hAnsi="黑体" w:eastAsia="黑体"/>
          <w:sz w:val="52"/>
          <w:szCs w:val="52"/>
        </w:rPr>
      </w:pPr>
    </w:p>
    <w:p>
      <w:pPr>
        <w:pStyle w:val="16"/>
        <w:spacing w:line="560" w:lineRule="atLeast"/>
        <w:jc w:val="center"/>
        <w:rPr>
          <w:rFonts w:ascii="黑体" w:hAnsi="黑体" w:eastAsia="黑体"/>
          <w:sz w:val="30"/>
          <w:szCs w:val="30"/>
        </w:rPr>
      </w:pPr>
      <w:r>
        <w:rPr>
          <w:rFonts w:hint="eastAsia" w:ascii="黑体" w:hAnsi="黑体" w:eastAsia="黑体"/>
          <w:sz w:val="30"/>
          <w:szCs w:val="30"/>
        </w:rPr>
        <w:t>编制说明</w:t>
      </w:r>
    </w:p>
    <w:p>
      <w:pPr>
        <w:pStyle w:val="16"/>
        <w:spacing w:line="560" w:lineRule="atLeast"/>
        <w:jc w:val="center"/>
        <w:rPr>
          <w:rFonts w:ascii="黑体" w:hAnsi="黑体" w:eastAsia="黑体"/>
          <w:sz w:val="28"/>
          <w:szCs w:val="28"/>
        </w:rPr>
      </w:pPr>
    </w:p>
    <w:p>
      <w:pPr>
        <w:pStyle w:val="16"/>
        <w:spacing w:line="560" w:lineRule="atLeast"/>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讨论稿</w:t>
      </w:r>
      <w:r>
        <w:rPr>
          <w:rFonts w:hint="eastAsia" w:ascii="黑体" w:hAnsi="黑体" w:eastAsia="黑体"/>
          <w:sz w:val="28"/>
          <w:szCs w:val="28"/>
        </w:rPr>
        <w:t>）</w:t>
      </w:r>
    </w:p>
    <w:p>
      <w:pPr>
        <w:pStyle w:val="16"/>
        <w:spacing w:line="560" w:lineRule="atLeast"/>
        <w:jc w:val="center"/>
        <w:rPr>
          <w:rFonts w:ascii="黑体" w:hAnsi="黑体" w:eastAsia="黑体"/>
          <w:b/>
          <w:bCs/>
          <w:sz w:val="36"/>
          <w:szCs w:val="36"/>
        </w:rPr>
      </w:pPr>
    </w:p>
    <w:p>
      <w:pPr>
        <w:pStyle w:val="16"/>
        <w:spacing w:line="560" w:lineRule="atLeast"/>
        <w:rPr>
          <w:rFonts w:ascii="黑体" w:hAnsi="黑体" w:eastAsia="黑体"/>
          <w:b/>
          <w:bCs/>
          <w:sz w:val="30"/>
          <w:szCs w:val="30"/>
        </w:rPr>
      </w:pPr>
      <w:r>
        <w:rPr>
          <w:rFonts w:hint="eastAsia" w:ascii="黑体" w:hAnsi="黑体" w:eastAsia="黑体"/>
          <w:b/>
          <w:bCs/>
          <w:sz w:val="30"/>
          <w:szCs w:val="30"/>
        </w:rPr>
        <w:tab/>
      </w: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jc w:val="center"/>
        <w:rPr>
          <w:rFonts w:ascii="黑体" w:hAnsi="黑体" w:eastAsia="黑体"/>
          <w:sz w:val="30"/>
          <w:szCs w:val="30"/>
        </w:rPr>
      </w:pPr>
      <w:r>
        <w:rPr>
          <w:rFonts w:hint="eastAsia" w:ascii="黑体" w:hAnsi="黑体" w:eastAsia="黑体"/>
          <w:sz w:val="30"/>
          <w:szCs w:val="30"/>
        </w:rPr>
        <w:t>有色行业标准《</w:t>
      </w:r>
      <w:r>
        <w:rPr>
          <w:rFonts w:hint="eastAsia" w:ascii="黑体" w:hAnsi="黑体" w:eastAsia="黑体"/>
          <w:sz w:val="30"/>
          <w:szCs w:val="30"/>
          <w:lang w:val="en-US" w:eastAsia="zh-CN"/>
        </w:rPr>
        <w:t>核级碳化硼</w:t>
      </w:r>
      <w:r>
        <w:rPr>
          <w:rFonts w:hint="eastAsia" w:ascii="黑体" w:hAnsi="黑体" w:eastAsia="黑体"/>
          <w:sz w:val="30"/>
          <w:szCs w:val="30"/>
        </w:rPr>
        <w:t>化学分析方法第</w:t>
      </w:r>
      <w:r>
        <w:rPr>
          <w:rFonts w:hint="eastAsia" w:ascii="黑体" w:hAnsi="黑体" w:eastAsia="黑体"/>
          <w:sz w:val="30"/>
          <w:szCs w:val="30"/>
          <w:lang w:val="en-US" w:eastAsia="zh-CN"/>
        </w:rPr>
        <w:t>4</w:t>
      </w:r>
      <w:r>
        <w:rPr>
          <w:rFonts w:hint="eastAsia" w:ascii="黑体" w:hAnsi="黑体" w:eastAsia="黑体"/>
          <w:sz w:val="30"/>
          <w:szCs w:val="30"/>
        </w:rPr>
        <w:t>部分：</w:t>
      </w:r>
      <w:r>
        <w:rPr>
          <w:rFonts w:hint="eastAsia" w:ascii="黑体" w:hAnsi="黑体" w:eastAsia="黑体"/>
          <w:sz w:val="30"/>
          <w:szCs w:val="30"/>
          <w:lang w:val="en-US" w:eastAsia="zh-CN"/>
        </w:rPr>
        <w:t>铁</w:t>
      </w:r>
      <w:r>
        <w:rPr>
          <w:rFonts w:hint="eastAsia" w:ascii="黑体" w:hAnsi="黑体" w:eastAsia="黑体"/>
          <w:sz w:val="30"/>
          <w:szCs w:val="30"/>
        </w:rPr>
        <w:t>含量的测定</w:t>
      </w:r>
      <w:r>
        <w:rPr>
          <w:rFonts w:hint="eastAsia" w:ascii="黑体" w:hAnsi="黑体" w:eastAsia="黑体"/>
          <w:sz w:val="30"/>
          <w:szCs w:val="30"/>
          <w:lang w:val="en-US" w:eastAsia="zh-CN"/>
        </w:rPr>
        <w:t>分光光度法和EDTA容量法</w:t>
      </w:r>
      <w:r>
        <w:rPr>
          <w:rFonts w:hint="eastAsia" w:ascii="黑体" w:eastAsia="黑体"/>
          <w:w w:val="90"/>
          <w:sz w:val="30"/>
          <w:szCs w:val="30"/>
        </w:rPr>
        <w:t>》</w:t>
      </w:r>
      <w:r>
        <w:rPr>
          <w:rFonts w:hint="eastAsia" w:ascii="黑体" w:hAnsi="黑体" w:eastAsia="黑体"/>
          <w:sz w:val="30"/>
          <w:szCs w:val="30"/>
        </w:rPr>
        <w:t>起草小组202</w:t>
      </w:r>
      <w:r>
        <w:rPr>
          <w:rFonts w:ascii="黑体" w:hAnsi="黑体" w:eastAsia="黑体"/>
          <w:sz w:val="30"/>
          <w:szCs w:val="30"/>
        </w:rPr>
        <w:t>3</w:t>
      </w:r>
      <w:r>
        <w:rPr>
          <w:rFonts w:hint="eastAsia" w:ascii="黑体" w:hAnsi="黑体" w:eastAsia="黑体"/>
          <w:sz w:val="30"/>
          <w:szCs w:val="30"/>
        </w:rPr>
        <w:t>年</w:t>
      </w:r>
      <w:r>
        <w:rPr>
          <w:rFonts w:hint="eastAsia" w:ascii="黑体" w:hAnsi="黑体" w:eastAsia="黑体"/>
          <w:sz w:val="30"/>
          <w:szCs w:val="30"/>
          <w:lang w:val="en-US" w:eastAsia="zh-CN"/>
        </w:rPr>
        <w:t>12</w:t>
      </w:r>
      <w:r>
        <w:rPr>
          <w:rFonts w:hint="eastAsia" w:ascii="黑体" w:hAnsi="黑体" w:eastAsia="黑体"/>
          <w:sz w:val="30"/>
          <w:szCs w:val="30"/>
        </w:rPr>
        <w:t>月</w:t>
      </w:r>
    </w:p>
    <w:p>
      <w:pPr>
        <w:pStyle w:val="16"/>
        <w:spacing w:line="560" w:lineRule="atLeast"/>
        <w:jc w:val="center"/>
        <w:rPr>
          <w:rFonts w:ascii="黑体" w:hAnsi="黑体" w:eastAsia="黑体"/>
          <w:sz w:val="30"/>
          <w:szCs w:val="30"/>
        </w:rPr>
      </w:pPr>
    </w:p>
    <w:p>
      <w:pPr>
        <w:spacing w:line="360" w:lineRule="auto"/>
        <w:jc w:val="center"/>
        <w:rPr>
          <w:rFonts w:eastAsia="黑体"/>
          <w:sz w:val="24"/>
        </w:rPr>
      </w:pPr>
    </w:p>
    <w:p>
      <w:pPr>
        <w:widowControl/>
        <w:jc w:val="left"/>
        <w:rPr>
          <w:rFonts w:eastAsia="黑体"/>
          <w:sz w:val="24"/>
        </w:rPr>
      </w:pPr>
    </w:p>
    <w:p>
      <w:pPr>
        <w:spacing w:line="360" w:lineRule="auto"/>
        <w:jc w:val="center"/>
        <w:rPr>
          <w:rFonts w:ascii="黑体" w:hAnsi="黑体" w:eastAsia="黑体"/>
          <w:sz w:val="36"/>
          <w:szCs w:val="36"/>
        </w:rPr>
        <w:sectPr>
          <w:pgSz w:w="11906" w:h="16838"/>
          <w:pgMar w:top="1440" w:right="1800" w:bottom="1440" w:left="1800" w:header="851" w:footer="992" w:gutter="0"/>
          <w:cols w:space="720" w:num="1"/>
          <w:docGrid w:type="lines" w:linePitch="312" w:charSpace="0"/>
        </w:sectPr>
      </w:pPr>
    </w:p>
    <w:p>
      <w:pPr>
        <w:spacing w:line="360" w:lineRule="auto"/>
        <w:jc w:val="center"/>
        <w:rPr>
          <w:rFonts w:ascii="黑体" w:eastAsia="黑体"/>
          <w:w w:val="90"/>
          <w:sz w:val="36"/>
          <w:szCs w:val="36"/>
        </w:rPr>
      </w:pPr>
      <w:r>
        <w:rPr>
          <w:rFonts w:hint="eastAsia" w:ascii="黑体" w:eastAsia="黑体"/>
          <w:w w:val="90"/>
          <w:sz w:val="36"/>
          <w:szCs w:val="36"/>
        </w:rPr>
        <w:t>有色行业标准《</w:t>
      </w:r>
      <w:r>
        <w:rPr>
          <w:rFonts w:hint="eastAsia" w:ascii="黑体" w:eastAsia="黑体"/>
          <w:w w:val="90"/>
          <w:sz w:val="36"/>
          <w:szCs w:val="36"/>
          <w:lang w:val="en-US" w:eastAsia="zh-CN"/>
        </w:rPr>
        <w:t>核级碳化硼</w:t>
      </w:r>
      <w:r>
        <w:rPr>
          <w:rFonts w:hint="eastAsia" w:ascii="黑体" w:eastAsia="黑体"/>
          <w:w w:val="90"/>
          <w:sz w:val="36"/>
          <w:szCs w:val="36"/>
        </w:rPr>
        <w:t>化学分析方法第</w:t>
      </w:r>
      <w:r>
        <w:rPr>
          <w:rFonts w:hint="eastAsia" w:ascii="黑体" w:eastAsia="黑体"/>
          <w:w w:val="90"/>
          <w:sz w:val="36"/>
          <w:szCs w:val="36"/>
          <w:lang w:val="en-US" w:eastAsia="zh-CN"/>
        </w:rPr>
        <w:t>4</w:t>
      </w:r>
      <w:r>
        <w:rPr>
          <w:rFonts w:hint="eastAsia" w:ascii="黑体" w:eastAsia="黑体"/>
          <w:w w:val="90"/>
          <w:sz w:val="36"/>
          <w:szCs w:val="36"/>
        </w:rPr>
        <w:t>部分：</w:t>
      </w:r>
      <w:r>
        <w:rPr>
          <w:rFonts w:hint="eastAsia" w:ascii="黑体" w:eastAsia="黑体"/>
          <w:w w:val="90"/>
          <w:sz w:val="36"/>
          <w:szCs w:val="36"/>
          <w:lang w:val="en-US" w:eastAsia="zh-CN"/>
        </w:rPr>
        <w:t>铁</w:t>
      </w:r>
      <w:r>
        <w:rPr>
          <w:rFonts w:hint="eastAsia" w:ascii="黑体" w:eastAsia="黑体"/>
          <w:w w:val="90"/>
          <w:sz w:val="36"/>
          <w:szCs w:val="36"/>
        </w:rPr>
        <w:t>含量的测定</w:t>
      </w:r>
      <w:r>
        <w:rPr>
          <w:rFonts w:hint="eastAsia" w:ascii="黑体" w:eastAsia="黑体"/>
          <w:w w:val="90"/>
          <w:sz w:val="36"/>
          <w:szCs w:val="36"/>
          <w:lang w:val="en-US" w:eastAsia="zh-CN"/>
        </w:rPr>
        <w:t>分光光度法和EDTA容量法</w:t>
      </w:r>
      <w:r>
        <w:rPr>
          <w:rFonts w:hint="eastAsia" w:ascii="黑体" w:eastAsia="黑体"/>
          <w:w w:val="90"/>
          <w:sz w:val="36"/>
          <w:szCs w:val="36"/>
        </w:rPr>
        <w:t>》</w:t>
      </w:r>
    </w:p>
    <w:p>
      <w:pPr>
        <w:spacing w:line="360" w:lineRule="auto"/>
        <w:jc w:val="center"/>
        <w:rPr>
          <w:rFonts w:eastAsia="黑体"/>
          <w:sz w:val="36"/>
          <w:szCs w:val="36"/>
        </w:rPr>
      </w:pPr>
      <w:r>
        <w:rPr>
          <w:rFonts w:eastAsia="黑体"/>
          <w:sz w:val="36"/>
          <w:szCs w:val="36"/>
        </w:rPr>
        <w:t>编制说明</w:t>
      </w:r>
    </w:p>
    <w:p>
      <w:pPr>
        <w:spacing w:line="360" w:lineRule="auto"/>
        <w:rPr>
          <w:rFonts w:ascii="宋体" w:hAnsi="宋体"/>
          <w:b/>
        </w:rPr>
      </w:pPr>
      <w:r>
        <w:rPr>
          <w:rFonts w:ascii="宋体" w:hAnsi="宋体"/>
          <w:b/>
        </w:rPr>
        <w:t>一、工作简况</w:t>
      </w:r>
    </w:p>
    <w:p>
      <w:pPr>
        <w:spacing w:line="360" w:lineRule="auto"/>
        <w:rPr>
          <w:rFonts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ascii="宋体" w:hAnsi="宋体"/>
          <w:b/>
        </w:rPr>
        <w:t>任务来源</w:t>
      </w:r>
    </w:p>
    <w:p>
      <w:pPr>
        <w:spacing w:line="240" w:lineRule="auto"/>
        <w:ind w:firstLine="420" w:firstLineChars="200"/>
      </w:pPr>
      <w:r>
        <w:rPr>
          <w:rFonts w:hint="eastAsia"/>
          <w:lang w:eastAsia="zh-CN"/>
        </w:rPr>
        <w:t>根据</w:t>
      </w:r>
      <w:r>
        <w:t>工信部</w:t>
      </w:r>
      <w:r>
        <w:rPr>
          <w:rFonts w:hint="eastAsia"/>
        </w:rPr>
        <w:t>《工业和信息化部办工厅关于印发20</w:t>
      </w:r>
      <w:r>
        <w:t>2</w:t>
      </w:r>
      <w:r>
        <w:rPr>
          <w:rFonts w:hint="eastAsia"/>
          <w:lang w:val="en-US" w:eastAsia="zh-CN"/>
        </w:rPr>
        <w:t>3</w:t>
      </w:r>
      <w:r>
        <w:rPr>
          <w:rFonts w:hint="eastAsia"/>
        </w:rPr>
        <w:t>年</w:t>
      </w:r>
      <w:r>
        <w:t>第一批行业标准制修订和外文版项目计划的通知</w:t>
      </w:r>
      <w:r>
        <w:rPr>
          <w:rFonts w:hint="eastAsia"/>
        </w:rPr>
        <w:t>》（</w:t>
      </w:r>
      <w:r>
        <w:t>工信厅科函〔202</w:t>
      </w:r>
      <w:r>
        <w:rPr>
          <w:rFonts w:hint="eastAsia"/>
          <w:lang w:val="en-US" w:eastAsia="zh-CN"/>
        </w:rPr>
        <w:t>3</w:t>
      </w:r>
      <w:r>
        <w:t>〕</w:t>
      </w:r>
      <w:r>
        <w:rPr>
          <w:rFonts w:hint="eastAsia"/>
          <w:lang w:val="en-US" w:eastAsia="zh-CN"/>
        </w:rPr>
        <w:t>18</w:t>
      </w:r>
      <w:r>
        <w:t>号</w:t>
      </w:r>
      <w:r>
        <w:rPr>
          <w:rFonts w:hint="eastAsia"/>
        </w:rPr>
        <w:t>）</w:t>
      </w:r>
      <w:r>
        <w:rPr>
          <w:rFonts w:hint="eastAsia"/>
          <w:lang w:eastAsia="zh-CN"/>
        </w:rPr>
        <w:t>，</w:t>
      </w:r>
      <w:r>
        <w:t>标准《</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4</w:t>
      </w:r>
      <w:r>
        <w:rPr>
          <w:rFonts w:hint="eastAsia" w:ascii="宋体" w:hAnsi="宋体"/>
          <w:szCs w:val="21"/>
        </w:rPr>
        <w:t>部分：</w:t>
      </w:r>
      <w:r>
        <w:rPr>
          <w:rFonts w:hint="eastAsia" w:ascii="宋体" w:hAnsi="宋体"/>
          <w:szCs w:val="21"/>
          <w:lang w:val="en-US" w:eastAsia="zh-CN"/>
        </w:rPr>
        <w:t>铁</w:t>
      </w:r>
      <w:r>
        <w:rPr>
          <w:rFonts w:hint="eastAsia" w:ascii="宋体" w:hAnsi="宋体"/>
          <w:szCs w:val="21"/>
        </w:rPr>
        <w:t>含量的测定</w:t>
      </w:r>
      <w:r>
        <w:rPr>
          <w:rFonts w:hint="eastAsia" w:ascii="宋体" w:hAnsi="宋体"/>
          <w:szCs w:val="21"/>
          <w:lang w:val="en-US" w:eastAsia="zh-CN"/>
        </w:rPr>
        <w:t>分光光度法和EDTA容量法</w:t>
      </w:r>
      <w:r>
        <w:rPr>
          <w:szCs w:val="21"/>
        </w:rPr>
        <w:t>》</w:t>
      </w:r>
      <w:r>
        <w:t>由</w:t>
      </w:r>
      <w:r>
        <w:rPr>
          <w:rFonts w:hint="eastAsia"/>
          <w:szCs w:val="21"/>
        </w:rPr>
        <w:t>中南大学</w:t>
      </w:r>
      <w:r>
        <w:t>负责主起草，</w:t>
      </w:r>
      <w:r>
        <w:rPr>
          <w:rFonts w:hint="eastAsia"/>
          <w:lang w:val="en-US" w:eastAsia="zh-CN"/>
        </w:rPr>
        <w:t>敦化市正兴磨料有限责任公司、大连博恩坦科技有限公司、北京工业大学、深圳市中金岭南有色金属股份有限公司、广东腐蚀科学与技术创新研究院、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szCs w:val="21"/>
        </w:rPr>
        <w:t>等</w:t>
      </w:r>
      <w:r>
        <w:t>为验证单位。</w:t>
      </w:r>
    </w:p>
    <w:p>
      <w:pPr>
        <w:spacing w:line="240" w:lineRule="auto"/>
        <w:ind w:firstLine="420" w:firstLineChars="200"/>
        <w:rPr>
          <w:szCs w:val="21"/>
        </w:rPr>
      </w:pPr>
      <w:r>
        <w:rPr>
          <w:szCs w:val="21"/>
        </w:rPr>
        <w:t>项目计划号：202</w:t>
      </w:r>
      <w:r>
        <w:rPr>
          <w:rFonts w:hint="eastAsia"/>
          <w:szCs w:val="21"/>
          <w:lang w:val="en-US" w:eastAsia="zh-CN"/>
        </w:rPr>
        <w:t>3</w:t>
      </w:r>
      <w:r>
        <w:rPr>
          <w:szCs w:val="21"/>
        </w:rPr>
        <w:t>-</w:t>
      </w:r>
      <w:r>
        <w:rPr>
          <w:rFonts w:hint="eastAsia"/>
          <w:szCs w:val="21"/>
          <w:lang w:val="en-US" w:eastAsia="zh-CN"/>
        </w:rPr>
        <w:t>0424</w:t>
      </w:r>
      <w:r>
        <w:rPr>
          <w:rFonts w:hint="eastAsia"/>
          <w:szCs w:val="21"/>
        </w:rPr>
        <w:t>T-YS</w:t>
      </w:r>
      <w:r>
        <w:rPr>
          <w:szCs w:val="21"/>
        </w:rPr>
        <w:t>，计划完成年限：20</w:t>
      </w:r>
      <w:r>
        <w:rPr>
          <w:rFonts w:hint="eastAsia"/>
          <w:szCs w:val="21"/>
        </w:rPr>
        <w:t>2</w:t>
      </w:r>
      <w:r>
        <w:rPr>
          <w:rFonts w:hint="eastAsia"/>
          <w:szCs w:val="21"/>
          <w:lang w:val="en-US" w:eastAsia="zh-CN"/>
        </w:rPr>
        <w:t>4</w:t>
      </w:r>
      <w:r>
        <w:rPr>
          <w:szCs w:val="21"/>
        </w:rPr>
        <w:t>年。</w:t>
      </w:r>
    </w:p>
    <w:p>
      <w:pPr>
        <w:spacing w:line="360" w:lineRule="auto"/>
        <w:rPr>
          <w:b/>
        </w:rPr>
      </w:pPr>
      <w:r>
        <w:rPr>
          <w:rFonts w:hint="eastAsia"/>
          <w:b/>
          <w:lang w:val="en-US" w:eastAsia="zh-CN"/>
        </w:rPr>
        <w:t>（二）</w:t>
      </w:r>
      <w:r>
        <w:rPr>
          <w:b/>
        </w:rPr>
        <w:t>项目概况</w:t>
      </w:r>
    </w:p>
    <w:p>
      <w:pPr>
        <w:pStyle w:val="17"/>
        <w:spacing w:line="240" w:lineRule="auto"/>
        <w:rPr>
          <w:rFonts w:hint="eastAsia" w:ascii="宋体" w:hAnsi="宋体"/>
          <w:szCs w:val="21"/>
        </w:rPr>
      </w:pPr>
      <w:r>
        <w:rPr>
          <w:rFonts w:hint="eastAsia" w:ascii="宋体" w:hAnsi="宋体"/>
          <w:szCs w:val="21"/>
        </w:rPr>
        <w:t>YS</w:t>
      </w:r>
      <w:r>
        <w:rPr>
          <w:rFonts w:hint="eastAsia" w:ascii="宋体" w:hAnsi="宋体"/>
          <w:szCs w:val="21"/>
          <w:lang w:val="en-US" w:eastAsia="zh-CN"/>
        </w:rPr>
        <w:t>/</w:t>
      </w:r>
      <w:r>
        <w:rPr>
          <w:rFonts w:hint="eastAsia" w:ascii="宋体" w:hAnsi="宋体"/>
          <w:szCs w:val="21"/>
        </w:rPr>
        <w:t>T</w:t>
      </w:r>
      <w:r>
        <w:rPr>
          <w:rFonts w:hint="eastAsia" w:ascii="宋体" w:hAnsi="宋体"/>
          <w:szCs w:val="21"/>
          <w:lang w:eastAsia="zh-CN"/>
        </w:rPr>
        <w:t>423.4</w:t>
      </w:r>
      <w:r>
        <w:rPr>
          <w:rFonts w:hint="eastAsia" w:ascii="宋体" w:hAnsi="宋体"/>
          <w:szCs w:val="21"/>
        </w:rPr>
        <w:t>-2000已发布实施20年，现在修订完善具有现实意义。</w:t>
      </w:r>
    </w:p>
    <w:p>
      <w:pPr>
        <w:pStyle w:val="17"/>
        <w:spacing w:line="240" w:lineRule="auto"/>
        <w:rPr>
          <w:b/>
          <w:szCs w:val="21"/>
        </w:rPr>
      </w:pPr>
      <w:r>
        <w:rPr>
          <w:rFonts w:hint="eastAsia" w:ascii="宋体" w:hAnsi="宋体"/>
          <w:szCs w:val="21"/>
          <w:lang w:val="en-US" w:eastAsia="zh-CN"/>
        </w:rPr>
        <w:t>为</w:t>
      </w:r>
      <w:r>
        <w:rPr>
          <w:szCs w:val="21"/>
        </w:rPr>
        <w:t>更好地确保标准的先进性，可操作性</w:t>
      </w:r>
      <w:r>
        <w:rPr>
          <w:rFonts w:hint="eastAsia"/>
          <w:szCs w:val="21"/>
        </w:rPr>
        <w:t>，</w:t>
      </w:r>
      <w:r>
        <w:rPr>
          <w:szCs w:val="21"/>
        </w:rPr>
        <w:t>促进我国检测技术的进步。</w:t>
      </w:r>
      <w:r>
        <w:rPr>
          <w:rFonts w:hint="eastAsia" w:ascii="宋体" w:hAnsi="宋体"/>
          <w:szCs w:val="21"/>
        </w:rPr>
        <w:t>对</w:t>
      </w:r>
      <w:r>
        <w:rPr>
          <w:szCs w:val="21"/>
        </w:rPr>
        <w:t>标准</w:t>
      </w:r>
      <w:r>
        <w:rPr>
          <w:rFonts w:asciiTheme="minorEastAsia" w:hAnsiTheme="minorEastAsia" w:eastAsiaTheme="minorEastAsia"/>
          <w:szCs w:val="21"/>
        </w:rPr>
        <w:t>YS/T</w:t>
      </w:r>
      <w:r>
        <w:rPr>
          <w:rFonts w:hint="eastAsia" w:asciiTheme="minorEastAsia" w:hAnsiTheme="minorEastAsia" w:eastAsiaTheme="minorEastAsia"/>
          <w:szCs w:val="21"/>
        </w:rPr>
        <w:t>42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-2000</w:t>
      </w:r>
      <w:r>
        <w:rPr>
          <w:rFonts w:asciiTheme="minorEastAsia" w:hAnsiTheme="minorEastAsia" w:eastAsiaTheme="minorEastAsia"/>
          <w:szCs w:val="21"/>
        </w:rPr>
        <w:t>《</w:t>
      </w:r>
      <w:r>
        <w:rPr>
          <w:rFonts w:hint="eastAsia" w:ascii="宋体" w:hAnsi="宋体" w:eastAsiaTheme="minorEastAsia"/>
          <w:szCs w:val="21"/>
          <w:lang w:eastAsia="zh-CN"/>
        </w:rPr>
        <w:t>核级碳化硼</w:t>
      </w:r>
      <w:r>
        <w:rPr>
          <w:rFonts w:hint="eastAsia" w:ascii="宋体" w:hAnsi="宋体"/>
          <w:szCs w:val="21"/>
        </w:rPr>
        <w:t>化学分析方法</w:t>
      </w:r>
      <w:r>
        <w:rPr>
          <w:rFonts w:hint="eastAsia" w:ascii="宋体" w:hAnsi="宋体"/>
          <w:szCs w:val="21"/>
          <w:lang w:eastAsia="zh-CN"/>
        </w:rPr>
        <w:t>铁</w:t>
      </w:r>
      <w:r>
        <w:rPr>
          <w:rFonts w:hint="eastAsia" w:ascii="宋体" w:hAnsi="宋体"/>
          <w:szCs w:val="21"/>
        </w:rPr>
        <w:t>量的测定</w:t>
      </w:r>
      <w:r>
        <w:rPr>
          <w:rFonts w:asciiTheme="minorEastAsia" w:hAnsiTheme="minorEastAsia" w:eastAsiaTheme="minorEastAsia"/>
          <w:szCs w:val="21"/>
        </w:rPr>
        <w:t>》</w:t>
      </w:r>
      <w:r>
        <w:rPr>
          <w:szCs w:val="21"/>
        </w:rPr>
        <w:t>进行修定</w:t>
      </w:r>
      <w:r>
        <w:rPr>
          <w:rFonts w:hint="eastAsia"/>
          <w:szCs w:val="21"/>
        </w:rPr>
        <w:t>。</w:t>
      </w:r>
      <w:r>
        <w:rPr>
          <w:rFonts w:hint="eastAsia" w:ascii="宋体" w:hAnsi="宋体"/>
          <w:color w:val="000000"/>
          <w:lang w:val="en-US" w:eastAsia="zh-CN"/>
        </w:rPr>
        <w:t>对原标准试验操作的技术细节、精密度数据进行修改或补充，进一步规范了</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中铁含量的分析方法，同时又体现了行业内</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化学成分分析的技术水平，具有先进性、可操作性和广泛的适用性。对完善</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产业链，提升</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生产能力具有积极的指导意义</w:t>
      </w:r>
    </w:p>
    <w:p>
      <w:pPr>
        <w:spacing w:line="360" w:lineRule="auto"/>
        <w:rPr>
          <w:rFonts w:hint="eastAsia" w:eastAsia="宋体"/>
          <w:lang w:eastAsia="zh-CN"/>
        </w:rPr>
      </w:pPr>
      <w:r>
        <w:rPr>
          <w:rFonts w:hint="eastAsia"/>
          <w:b/>
          <w:lang w:eastAsia="zh-CN"/>
        </w:rPr>
        <w:t>（</w:t>
      </w:r>
      <w:r>
        <w:rPr>
          <w:rFonts w:hint="eastAsia"/>
          <w:b/>
          <w:lang w:val="en-US" w:eastAsia="zh-CN"/>
        </w:rPr>
        <w:t>三</w:t>
      </w:r>
      <w:r>
        <w:rPr>
          <w:rFonts w:hint="eastAsia"/>
          <w:b/>
          <w:lang w:eastAsia="zh-CN"/>
        </w:rPr>
        <w:t>）</w:t>
      </w:r>
      <w:r>
        <w:rPr>
          <w:b/>
        </w:rPr>
        <w:t>承担单位情况</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1  </w:t>
      </w:r>
      <w:r>
        <w:rPr>
          <w:rFonts w:hint="eastAsia" w:ascii="Times New Roman" w:hAnsi="Times New Roman" w:cs="Times New Roman"/>
          <w:b/>
          <w:lang w:val="en-US" w:eastAsia="zh-CN"/>
        </w:rPr>
        <w:t>中南大学</w:t>
      </w:r>
    </w:p>
    <w:p>
      <w:pPr>
        <w:spacing w:line="240" w:lineRule="auto"/>
        <w:ind w:firstLine="420" w:firstLineChars="200"/>
      </w:pPr>
      <w:r>
        <w:t>本单位为国家双一流大学中南大学的二级学院粉末冶金研究院，是我国新材料领域集教学、科研和产业为一体的综合性基地。依托研究院建设有“粉末冶金国家重点实验室”、“轻质高强结构材料国家级重点实验室”及“粉末冶金国家工程研究中心”等3个国家级基地；研究院辖有2个教学系、8个研究所、5个实验（检测）中心。有教职工300余人，其中中国工程院院士3人，中国科学院院士1人，国家“千人计划”入选者4人，国家“长江学者”特聘教授5人、讲座教授4人，国家杰出青年基金获得者4人，博士生导师54人，教授（研究员）51人。本单位拥有“材料科学与工程”一级学科国家重点学科，“材料科学与工程”一级学科博士点和硕士点，建有材料科学与工程博士后科研流动站。目前，研究院已培养了5000多名各类高级专门人才活跃在高等教育、科学研究、企业管理以及政府部门等社会领域。本单位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先后完成了各类国家863计划、973计划、国家自然科学基金、国家科技重大专项、国防军工等国家级科研项目500余项，获国家级和省部级科技奖励60余项，其中国家技术发明（科技进步）一等奖3项（次），拥有发明专利200多项。</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2  </w:t>
      </w:r>
      <w:r>
        <w:rPr>
          <w:rFonts w:hint="eastAsia" w:ascii="Times New Roman" w:hAnsi="Times New Roman" w:cs="Times New Roman"/>
          <w:b/>
          <w:lang w:val="en-US" w:eastAsia="zh-CN"/>
        </w:rPr>
        <w:t>中国有色桂林矿产地质研究院有限公司</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有限公司现为中国有色矿业集团有限公司全资子公司。总资产为7.2亿元，净资产4.84亿元；现有在册正式职工394人，其中：工程师147人，高级工程师65人，教授级高级工程师36人。具有博士学位人员20人，硕士87人。国家级“中青年有突出贡献专家”1人，享受国务院政府特殊津贴优秀专家6人，获广西优秀专家称号6人，获“中国有色金属系统跨世纪学术和技术带头人”称号4人，广西“十百千”拔尖人才第二层次人才6人，广西八桂学者1人，广西区政府专家2人，特聘专家2人。柔性引进高级人才18人(其中院士8人、教授10人)。</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下设矿产地质研究所、资源环境研究所、资源综合利用所、有色金属矿产地质测试中心和“国家特种矿物材料工程技术研究中心”等研究开发机构,拥有地质勘查、矿权经营与矿业开发、超硬材料研发及制品、资源环境工程公司、矿产品贸易等10余家全资子公司。承担国家、省部级科研项目、技术开发与技术服务等任务。建院以来共提交科研成果2900多项，获国家级科技成果奖20余项，其中：特等奖1项，一等奖1项，二等奖6项。省部级以上科技成果奖320多项，其中二等奖以上90余项。</w:t>
      </w:r>
    </w:p>
    <w:p>
      <w:pPr>
        <w:spacing w:line="240" w:lineRule="auto"/>
        <w:ind w:firstLine="420" w:firstLineChars="200"/>
        <w:rPr>
          <w:rFonts w:hint="eastAsia" w:ascii="Times New Roman" w:hAnsi="Times New Roman" w:cs="Times New Roman"/>
        </w:rPr>
      </w:pPr>
      <w:r>
        <w:rPr>
          <w:rFonts w:hint="eastAsia" w:ascii="Times New Roman" w:hAnsi="Times New Roman" w:cs="Times New Roman"/>
        </w:rPr>
        <w:t>中国有色桂林矿产地质研究院有限公司是国际标准化组织电子探针分析技术委员会(ISO/TC202/SC2)主席单位,并承担SC2秘书处工作；是全国有色金属标准化技术委员会和（SAC/TC243）全国稀土标准化技术委员会（SAC/TC229）成员单位。标准研究团队配备15人的专业化技术人员，具有丰富的有色金属、地质、稀土等分析方法研究工作基础和标准化研究工作经验，近5年来主持完成3项国际标准制修定工作，主持或参与主持完成45项国家标准，49项行业标准的制修定工作，在研国家及行业标准16项，为本项目的完成提供坚实的标准制定工作基础。</w:t>
      </w:r>
    </w:p>
    <w:p>
      <w:pPr>
        <w:spacing w:line="360" w:lineRule="auto"/>
        <w:rPr>
          <w:rFonts w:hint="default" w:ascii="Times New Roman" w:hAnsi="Times New Roman" w:cs="Times New Roman"/>
          <w:b/>
          <w:lang w:val="en-US" w:eastAsia="zh-CN"/>
        </w:rPr>
      </w:pPr>
      <w:r>
        <w:rPr>
          <w:rFonts w:hint="eastAsia" w:ascii="Times New Roman" w:hAnsi="Times New Roman" w:cs="Times New Roman"/>
          <w:b/>
          <w:lang w:val="en-US" w:eastAsia="zh-CN"/>
        </w:rPr>
        <w:t>3</w:t>
      </w:r>
      <w:r>
        <w:rPr>
          <w:rFonts w:hint="eastAsia" w:cs="Times New Roman"/>
          <w:b/>
          <w:lang w:val="en-US" w:eastAsia="zh-CN"/>
        </w:rPr>
        <w:t xml:space="preserve">  </w:t>
      </w:r>
      <w:r>
        <w:rPr>
          <w:rFonts w:hint="eastAsia" w:ascii="Times New Roman" w:hAnsi="Times New Roman" w:cs="Times New Roman"/>
          <w:b/>
          <w:lang w:val="en-US" w:eastAsia="zh-CN"/>
        </w:rPr>
        <w:t>广西壮族自治区分析测试研究中心</w:t>
      </w:r>
    </w:p>
    <w:p>
      <w:pPr>
        <w:spacing w:line="240" w:lineRule="auto"/>
        <w:ind w:firstLine="420" w:firstLineChars="200"/>
        <w:rPr>
          <w:rFonts w:ascii="Arial" w:hAnsi="Arial" w:eastAsia="宋体" w:cs="Arial"/>
          <w:i w:val="0"/>
          <w:iCs w:val="0"/>
          <w:caps w:val="0"/>
          <w:color w:val="222222"/>
          <w:spacing w:val="0"/>
          <w:sz w:val="21"/>
          <w:szCs w:val="21"/>
          <w:shd w:val="clear" w:fill="FFFFFF"/>
        </w:rPr>
      </w:pPr>
      <w:r>
        <w:rPr>
          <w:rFonts w:ascii="Arial" w:hAnsi="Arial" w:eastAsia="宋体" w:cs="Arial"/>
          <w:i w:val="0"/>
          <w:iCs w:val="0"/>
          <w:caps w:val="0"/>
          <w:color w:val="222222"/>
          <w:spacing w:val="0"/>
          <w:sz w:val="21"/>
          <w:szCs w:val="21"/>
          <w:shd w:val="clear" w:fill="FFFFFF"/>
        </w:rPr>
        <w:t>广西壮族自治区分析测试研究中心（以下简称“中心）为公益二类事业单位，成立于1978年，是广西科技厅直属的以分析测试技术研究、理化分析为主的省级综合分析测试研究机构，是广西质量技术监督局授权建立的“广西壮族自治区保健食品及生物产品质量监督检验站”，属于为社会公众服务、对外独立开展检验/检测业务的第三方检测机构。根据中国合格评定国家认可委员会与美国、欧盟、日本等国家和地区的认可机构达成的互认协议，广西分析测试研究中心出具的数据和结果可获得多个国家和地区（包括美国、日本、欧洲等一些发达国家和地区）实验室认可组织的国际互认。中心奉行科学公正、廉洁高效的工作理念，竭诚为社会公众提供检验、检测服务；为科研机构、企事业单位提供技术支持、成果鉴定。</w:t>
      </w:r>
    </w:p>
    <w:p>
      <w:pPr>
        <w:spacing w:line="240" w:lineRule="auto"/>
        <w:rPr>
          <w:rFonts w:hint="default" w:ascii="Arial" w:hAnsi="Arial" w:eastAsia="宋体" w:cs="Arial"/>
          <w:i w:val="0"/>
          <w:iCs w:val="0"/>
          <w:caps w:val="0"/>
          <w:color w:val="222222"/>
          <w:spacing w:val="0"/>
          <w:sz w:val="21"/>
          <w:szCs w:val="21"/>
          <w:shd w:val="clear" w:fill="FFFFFF"/>
        </w:rPr>
      </w:pPr>
      <w:r>
        <w:rPr>
          <w:rFonts w:hint="eastAsia" w:ascii="Times New Roman" w:hAnsi="Times New Roman" w:cs="Times New Roman"/>
          <w:b/>
          <w:lang w:val="en-US" w:eastAsia="zh-CN"/>
        </w:rPr>
        <w:t>4</w:t>
      </w:r>
      <w:r>
        <w:rPr>
          <w:rFonts w:hint="eastAsia" w:cs="Times New Roman"/>
          <w:b/>
          <w:lang w:val="en-US" w:eastAsia="zh-CN"/>
        </w:rPr>
        <w:t xml:space="preserve">  </w:t>
      </w:r>
      <w:r>
        <w:rPr>
          <w:rFonts w:hint="eastAsia" w:ascii="Times New Roman" w:hAnsi="Times New Roman" w:cs="Times New Roman"/>
          <w:b/>
          <w:lang w:val="en-US" w:eastAsia="zh-CN"/>
        </w:rPr>
        <w:t>长沙矿冶院</w:t>
      </w:r>
      <w:r>
        <w:rPr>
          <w:rFonts w:hint="eastAsia" w:cs="Times New Roman"/>
          <w:b/>
          <w:lang w:val="en-US" w:eastAsia="zh-CN"/>
        </w:rPr>
        <w:t>检测技术</w:t>
      </w:r>
      <w:r>
        <w:rPr>
          <w:rFonts w:hint="eastAsia" w:ascii="Times New Roman" w:hAnsi="Times New Roman" w:cs="Times New Roman"/>
          <w:b/>
          <w:lang w:val="en-US" w:eastAsia="zh-CN"/>
        </w:rPr>
        <w:t>有限责任公司</w:t>
      </w:r>
      <w:r>
        <w:rPr>
          <w:rFonts w:hint="default" w:ascii="Arial" w:hAnsi="Arial" w:eastAsia="宋体" w:cs="Arial"/>
          <w:i w:val="0"/>
          <w:iCs w:val="0"/>
          <w:caps w:val="0"/>
          <w:color w:val="222222"/>
          <w:spacing w:val="0"/>
          <w:sz w:val="21"/>
          <w:szCs w:val="21"/>
          <w:shd w:val="clear" w:fill="FFFFFF"/>
        </w:rPr>
        <w:br w:type="textWrapping"/>
      </w:r>
      <w:r>
        <w:rPr>
          <w:rFonts w:hint="default" w:ascii="Arial" w:hAnsi="Arial" w:eastAsia="宋体" w:cs="Arial"/>
          <w:i w:val="0"/>
          <w:iCs w:val="0"/>
          <w:caps w:val="0"/>
          <w:color w:val="222222"/>
          <w:spacing w:val="0"/>
          <w:sz w:val="21"/>
          <w:szCs w:val="21"/>
          <w:shd w:val="clear" w:fill="FFFFFF"/>
        </w:rPr>
        <w:t>       长沙矿冶院检测技术有限责任公司（简称“长矿检测”）始建于1956年，为原冶金部辅料矿质量监督检测中心，2021年7月转制为国有控股企业，为世界500强企业中国五矿所属长沙矿冶研究院有限责任公司子公司，注册资本2580万元。长矿检测专注于为客户提供检测、能力验证、咨询培训、仲裁检测等综合性技术服务，拥有检验检测机构资质认定（CMA）、实验室认可（CNAS）、能力验证提供者认可（PTP）等多项专业资质及百余台套先进精密分析仪器设备，尤其是化学物相分析、材料微观表征等检测能力国内领先。长矿检测制修订100余项国际、国家、行业、团体标准，拥有发明专利3项，为工信部工业产品（黑色矿冶产品）质量控制和技术评价实验室、湖南省工信厅产业技术基础公共服务平台（试验检测类）等20多个国家级、省部级科技创新平台的重要组成部分，是中国矿冶检测机构联盟副理事长单位、国家技术标准创新基地（长株潭）理事单位、湖南省环境检测行业协会副会长单位、湖南省精密仪器测试学会秘书长单位、长沙市先进电池材料及电池产业技术创新战略联盟理事单位等。</w:t>
      </w:r>
    </w:p>
    <w:p>
      <w:pPr>
        <w:spacing w:line="240" w:lineRule="auto"/>
        <w:rPr>
          <w:rFonts w:hint="eastAsia" w:ascii="Times New Roman" w:hAnsi="Times New Roman" w:cs="Times New Roman"/>
          <w:b/>
          <w:lang w:val="en-US" w:eastAsia="zh-CN"/>
        </w:rPr>
      </w:pPr>
      <w:r>
        <w:rPr>
          <w:rFonts w:hint="eastAsia" w:ascii="Times New Roman" w:hAnsi="Times New Roman" w:cs="Times New Roman"/>
          <w:b/>
          <w:lang w:val="en-US" w:eastAsia="zh-CN"/>
        </w:rPr>
        <w:t>5</w:t>
      </w:r>
      <w:r>
        <w:rPr>
          <w:rFonts w:hint="eastAsia" w:cs="Times New Roman"/>
          <w:b/>
          <w:lang w:val="en-US" w:eastAsia="zh-CN"/>
        </w:rPr>
        <w:t xml:space="preserve">  </w:t>
      </w:r>
      <w:r>
        <w:rPr>
          <w:rFonts w:hint="eastAsia" w:ascii="Times New Roman" w:hAnsi="Times New Roman" w:cs="Times New Roman"/>
          <w:b/>
          <w:lang w:val="en-US" w:eastAsia="zh-CN"/>
        </w:rPr>
        <w:t>国标（北京）检验认证有限公司</w:t>
      </w:r>
    </w:p>
    <w:p>
      <w:pPr>
        <w:spacing w:line="240" w:lineRule="auto"/>
        <w:ind w:firstLine="420" w:firstLineChars="200"/>
        <w:rPr>
          <w:rFonts w:hint="eastAsia"/>
          <w:lang w:eastAsia="zh-CN"/>
        </w:rPr>
      </w:pPr>
      <w:r>
        <w:rPr>
          <w:rFonts w:hint="eastAsia"/>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r>
        <w:rPr>
          <w:rFonts w:hint="eastAsia"/>
          <w:lang w:eastAsia="zh-CN"/>
        </w:rPr>
        <w:t>。</w:t>
      </w:r>
    </w:p>
    <w:p>
      <w:pPr>
        <w:spacing w:line="360" w:lineRule="auto"/>
        <w:rPr>
          <w:rFonts w:hint="eastAsia" w:ascii="宋体" w:hAnsi="宋体" w:eastAsia="宋体"/>
          <w:lang w:eastAsia="zh-CN"/>
        </w:rPr>
      </w:pPr>
      <w:r>
        <w:rPr>
          <w:rFonts w:hint="eastAsia" w:ascii="宋体" w:hAnsi="宋体"/>
          <w:b/>
          <w:lang w:eastAsia="zh-CN"/>
        </w:rPr>
        <w:t>（</w:t>
      </w:r>
      <w:r>
        <w:rPr>
          <w:rFonts w:hint="eastAsia" w:ascii="宋体" w:hAnsi="宋体"/>
          <w:b/>
          <w:lang w:val="en-US" w:eastAsia="zh-CN"/>
        </w:rPr>
        <w:t>四</w:t>
      </w:r>
      <w:r>
        <w:rPr>
          <w:rFonts w:hint="eastAsia" w:ascii="宋体" w:hAnsi="宋体"/>
          <w:b/>
          <w:lang w:eastAsia="zh-CN"/>
        </w:rPr>
        <w:t>）</w:t>
      </w:r>
      <w:r>
        <w:rPr>
          <w:rFonts w:ascii="宋体" w:hAnsi="宋体"/>
          <w:b/>
        </w:rPr>
        <w:t>参编单位及主要起草人工作情况</w:t>
      </w:r>
    </w:p>
    <w:p>
      <w:pPr>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rPr>
        <w:t>整个标准起草过程中各参编单位给予了大力的支持帮助。由</w:t>
      </w:r>
      <w:r>
        <w:rPr>
          <w:rFonts w:hint="eastAsia" w:ascii="Times New Roman" w:hAnsi="Times New Roman" w:cs="Times New Roman"/>
          <w:lang w:eastAsia="zh-CN"/>
        </w:rPr>
        <w:t>株洲三立</w:t>
      </w:r>
      <w:r>
        <w:rPr>
          <w:rFonts w:hint="eastAsia" w:ascii="Times New Roman" w:hAnsi="Times New Roman" w:cs="Times New Roman"/>
        </w:rPr>
        <w:t>有限公司</w:t>
      </w:r>
      <w:r>
        <w:rPr>
          <w:rFonts w:hint="eastAsia" w:ascii="Times New Roman" w:hAnsi="Times New Roman" w:cs="Times New Roman"/>
          <w:lang w:eastAsia="zh-CN"/>
        </w:rPr>
        <w:t>、</w:t>
      </w:r>
      <w:r>
        <w:rPr>
          <w:rFonts w:hint="eastAsia" w:ascii="Times New Roman" w:hAnsi="Times New Roman" w:cs="Times New Roman"/>
          <w:lang w:val="en-US" w:eastAsia="zh-CN"/>
        </w:rPr>
        <w:t>四川明宏华瑞新材料有限公司</w:t>
      </w:r>
      <w:r>
        <w:rPr>
          <w:rFonts w:hint="eastAsia" w:ascii="Times New Roman" w:hAnsi="Times New Roman" w:cs="Times New Roman"/>
        </w:rPr>
        <w:t>提供</w:t>
      </w:r>
      <w:r>
        <w:rPr>
          <w:rFonts w:hint="eastAsia" w:cs="Times New Roman"/>
          <w:lang w:eastAsia="zh-CN"/>
        </w:rPr>
        <w:t>核级碳化硼</w:t>
      </w:r>
      <w:r>
        <w:rPr>
          <w:rFonts w:hint="eastAsia" w:ascii="Times New Roman" w:hAnsi="Times New Roman" w:cs="Times New Roman"/>
        </w:rPr>
        <w:t>样品，由中</w:t>
      </w:r>
      <w:r>
        <w:rPr>
          <w:rFonts w:hint="eastAsia"/>
          <w:lang w:val="en-US" w:eastAsia="zh-CN"/>
        </w:rPr>
        <w:t>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ascii="Times New Roman" w:hAnsi="Times New Roman" w:cs="Times New Roman"/>
          <w:lang w:eastAsia="zh-CN"/>
        </w:rPr>
        <w:t>等几家单位提供数据的调研验证工作。</w:t>
      </w:r>
    </w:p>
    <w:p>
      <w:pPr>
        <w:spacing w:line="24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其中，中南大学主要负责试验方案制定，试验样品收集和分发，分析方法研究，试验结果处理，标准文本、试验报告和编制说明撰写等工作；XX为一验单位，主要负责对试验方案中的条件试验进行验证，提供精密度等测试数据，并对标准文本提出修改意见和建议；XX为二验单位，主要负责提供精密度试验数据，并对标准文本提出修改意见和建议。</w:t>
      </w:r>
    </w:p>
    <w:p>
      <w:pPr>
        <w:spacing w:line="360" w:lineRule="auto"/>
        <w:ind w:firstLine="420" w:firstLineChars="200"/>
        <w:rPr>
          <w:rFonts w:hint="eastAsia" w:ascii="宋体" w:hAnsi="宋体" w:eastAsia="宋体"/>
          <w:lang w:eastAsia="zh-CN"/>
        </w:rPr>
      </w:pPr>
      <w:r>
        <w:rPr>
          <w:rFonts w:ascii="宋体" w:hAnsi="宋体"/>
        </w:rPr>
        <w:t>标准主要起草人以及分工见下表</w:t>
      </w:r>
      <w:r>
        <w:rPr>
          <w:rFonts w:hint="eastAsia" w:ascii="宋体" w:hAnsi="宋体"/>
        </w:rPr>
        <w:t>1</w:t>
      </w:r>
      <w:r>
        <w:rPr>
          <w:rFonts w:hint="eastAsia" w:ascii="宋体" w:hAnsi="宋体"/>
          <w:lang w:eastAsia="zh-CN"/>
        </w:rPr>
        <w:t>：</w:t>
      </w:r>
    </w:p>
    <w:p>
      <w:pPr>
        <w:spacing w:line="360" w:lineRule="auto"/>
        <w:jc w:val="center"/>
        <w:rPr>
          <w:rFonts w:hint="default" w:ascii="宋体" w:hAnsi="宋体" w:eastAsia="宋体" w:cs="黑体"/>
          <w:b/>
          <w:bCs/>
          <w:sz w:val="18"/>
          <w:szCs w:val="18"/>
          <w:lang w:val="en-US" w:eastAsia="zh-CN"/>
        </w:rPr>
      </w:pPr>
      <w:r>
        <w:rPr>
          <w:rFonts w:hint="eastAsia" w:ascii="黑体" w:hAnsi="黑体" w:eastAsia="黑体" w:cs="黑体"/>
          <w:b w:val="0"/>
          <w:bCs/>
          <w:iCs/>
          <w:kern w:val="0"/>
          <w:sz w:val="20"/>
          <w:szCs w:val="20"/>
          <w:lang w:val="en-US" w:eastAsia="zh-CN" w:bidi="ar-SA"/>
        </w:rPr>
        <w:t>表1各起草人及其工作职责</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3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93"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姓名</w:t>
            </w:r>
          </w:p>
        </w:tc>
        <w:tc>
          <w:tcPr>
            <w:tcW w:w="3830"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工作单位</w:t>
            </w:r>
          </w:p>
        </w:tc>
        <w:tc>
          <w:tcPr>
            <w:tcW w:w="3975" w:type="dxa"/>
            <w:vAlign w:val="center"/>
          </w:tcPr>
          <w:p>
            <w:pPr>
              <w:spacing w:line="360" w:lineRule="auto"/>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撒志远、郑灵芝</w:t>
            </w:r>
          </w:p>
        </w:tc>
        <w:tc>
          <w:tcPr>
            <w:tcW w:w="3830" w:type="dxa"/>
            <w:vAlign w:val="center"/>
          </w:tcPr>
          <w:p>
            <w:pPr>
              <w:jc w:val="center"/>
              <w:rPr>
                <w:rFonts w:ascii="宋体" w:hAnsi="宋体"/>
                <w:sz w:val="18"/>
                <w:szCs w:val="18"/>
              </w:rPr>
            </w:pPr>
            <w:r>
              <w:rPr>
                <w:rFonts w:ascii="宋体" w:hAnsi="宋体"/>
                <w:sz w:val="18"/>
                <w:szCs w:val="18"/>
              </w:rPr>
              <w:t>中南大学</w:t>
            </w:r>
          </w:p>
        </w:tc>
        <w:tc>
          <w:tcPr>
            <w:tcW w:w="3975" w:type="dxa"/>
            <w:vAlign w:val="center"/>
          </w:tcPr>
          <w:p>
            <w:pPr>
              <w:jc w:val="center"/>
              <w:rPr>
                <w:rFonts w:hint="default" w:ascii="宋体" w:hAnsi="宋体" w:eastAsia="宋体"/>
                <w:sz w:val="18"/>
                <w:szCs w:val="18"/>
                <w:lang w:val="en-US" w:eastAsia="zh-CN"/>
              </w:rPr>
            </w:pPr>
            <w:r>
              <w:rPr>
                <w:rFonts w:ascii="宋体" w:hAnsi="宋体"/>
                <w:sz w:val="18"/>
                <w:szCs w:val="18"/>
              </w:rPr>
              <w:t>负责标准编制</w:t>
            </w:r>
            <w:r>
              <w:rPr>
                <w:rFonts w:hint="eastAsia" w:ascii="宋体" w:hAnsi="宋体"/>
                <w:sz w:val="18"/>
                <w:szCs w:val="18"/>
              </w:rPr>
              <w:t>、</w:t>
            </w:r>
            <w:r>
              <w:rPr>
                <w:rFonts w:ascii="宋体" w:hAnsi="宋体"/>
                <w:sz w:val="18"/>
                <w:szCs w:val="18"/>
              </w:rPr>
              <w:t>标准起草</w:t>
            </w:r>
            <w:r>
              <w:rPr>
                <w:rFonts w:hint="eastAsia" w:ascii="宋体" w:hAnsi="宋体"/>
                <w:sz w:val="18"/>
                <w:szCs w:val="18"/>
                <w:lang w:eastAsia="zh-CN"/>
              </w:rPr>
              <w:t>、</w:t>
            </w:r>
            <w:r>
              <w:rPr>
                <w:rFonts w:hint="eastAsia" w:ascii="宋体" w:hAnsi="宋体"/>
                <w:sz w:val="18"/>
                <w:szCs w:val="18"/>
                <w:lang w:val="en-US" w:eastAsia="zh-CN"/>
              </w:rPr>
              <w:t>试验方案制定与研究、试验结果处理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r>
              <w:rPr>
                <w:rFonts w:ascii="宋体" w:hAnsi="宋体"/>
                <w:sz w:val="18"/>
                <w:szCs w:val="18"/>
              </w:rPr>
              <w:t>吴艳华</w:t>
            </w:r>
            <w:r>
              <w:rPr>
                <w:rFonts w:hint="eastAsia" w:ascii="宋体" w:hAnsi="宋体"/>
                <w:sz w:val="18"/>
                <w:szCs w:val="18"/>
                <w:lang w:eastAsia="zh-CN"/>
              </w:rPr>
              <w:t>、</w:t>
            </w:r>
            <w:r>
              <w:rPr>
                <w:rFonts w:hint="eastAsia" w:ascii="宋体" w:hAnsi="宋体"/>
                <w:sz w:val="18"/>
                <w:szCs w:val="18"/>
                <w:lang w:val="en-US" w:eastAsia="zh-CN"/>
              </w:rPr>
              <w:t>崔妍</w:t>
            </w:r>
          </w:p>
        </w:tc>
        <w:tc>
          <w:tcPr>
            <w:tcW w:w="3830" w:type="dxa"/>
            <w:vAlign w:val="center"/>
          </w:tcPr>
          <w:p>
            <w:pPr>
              <w:jc w:val="center"/>
              <w:rPr>
                <w:rFonts w:ascii="宋体" w:hAnsi="宋体"/>
                <w:sz w:val="18"/>
                <w:szCs w:val="18"/>
              </w:rPr>
            </w:pPr>
            <w:r>
              <w:rPr>
                <w:rFonts w:ascii="宋体" w:hAnsi="宋体"/>
                <w:sz w:val="18"/>
                <w:szCs w:val="18"/>
              </w:rPr>
              <w:t>有色金属技术经济研究院</w:t>
            </w:r>
          </w:p>
        </w:tc>
        <w:tc>
          <w:tcPr>
            <w:tcW w:w="3975" w:type="dxa"/>
            <w:vAlign w:val="center"/>
          </w:tcPr>
          <w:p>
            <w:pPr>
              <w:jc w:val="center"/>
              <w:rPr>
                <w:rFonts w:ascii="宋体" w:hAnsi="宋体"/>
                <w:sz w:val="18"/>
                <w:szCs w:val="18"/>
              </w:rPr>
            </w:pPr>
            <w:r>
              <w:rPr>
                <w:rFonts w:ascii="宋体" w:hAnsi="宋体"/>
                <w:sz w:val="18"/>
                <w:szCs w:val="18"/>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sz w:val="18"/>
                <w:szCs w:val="18"/>
                <w:lang w:eastAsia="zh-CN"/>
              </w:rPr>
            </w:pPr>
            <w:r>
              <w:rPr>
                <w:rFonts w:hint="eastAsia" w:ascii="宋体" w:hAnsi="宋体"/>
                <w:sz w:val="18"/>
                <w:szCs w:val="18"/>
                <w:lang w:eastAsia="zh-CN"/>
              </w:rPr>
              <w:t>中国有色桂林矿产地质研究院有限公司</w:t>
            </w:r>
          </w:p>
        </w:tc>
        <w:tc>
          <w:tcPr>
            <w:tcW w:w="3975" w:type="dxa"/>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广西壮族自治区分析测试研究中心</w:t>
            </w:r>
          </w:p>
        </w:tc>
        <w:tc>
          <w:tcPr>
            <w:tcW w:w="3975" w:type="dxa"/>
            <w:vMerge w:val="restart"/>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长沙矿冶院</w:t>
            </w:r>
            <w:r>
              <w:rPr>
                <w:rFonts w:hint="eastAsia" w:ascii="宋体" w:hAnsi="宋体" w:cs="Times New Roman"/>
                <w:sz w:val="18"/>
                <w:szCs w:val="18"/>
                <w:lang w:val="en-US" w:eastAsia="zh-CN"/>
              </w:rPr>
              <w:t>检测技术</w:t>
            </w:r>
            <w:r>
              <w:rPr>
                <w:rFonts w:hint="eastAsia" w:ascii="宋体" w:hAnsi="宋体" w:cs="Times New Roman"/>
                <w:sz w:val="18"/>
                <w:szCs w:val="18"/>
                <w:lang w:eastAsia="zh-CN"/>
              </w:rPr>
              <w:t>有限责任公司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国标（北京）检验认证有限公司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lang w:val="en-US" w:eastAsia="zh-CN"/>
              </w:rPr>
              <w:t>深圳市中金岭南有色金属股份有限公司</w:t>
            </w:r>
          </w:p>
        </w:tc>
        <w:tc>
          <w:tcPr>
            <w:tcW w:w="3975" w:type="dxa"/>
            <w:vMerge w:val="continue"/>
            <w:vAlign w:val="center"/>
          </w:tcPr>
          <w:p>
            <w:pPr>
              <w:jc w:val="center"/>
              <w:rPr>
                <w:rFonts w:ascii="宋体" w:hAnsi="宋体"/>
                <w:sz w:val="18"/>
                <w:szCs w:val="18"/>
              </w:rPr>
            </w:pPr>
          </w:p>
        </w:tc>
      </w:tr>
    </w:tbl>
    <w:p>
      <w:pPr>
        <w:spacing w:line="360" w:lineRule="auto"/>
        <w:rPr>
          <w:rFonts w:ascii="宋体" w:hAnsi="宋体"/>
          <w:sz w:val="24"/>
        </w:rPr>
      </w:pPr>
    </w:p>
    <w:p>
      <w:pPr>
        <w:spacing w:line="360" w:lineRule="auto"/>
        <w:rPr>
          <w:rFonts w:hint="eastAsia" w:ascii="宋体" w:hAnsi="宋体"/>
          <w:b/>
          <w:lang w:eastAsia="zh-CN"/>
        </w:rPr>
      </w:pPr>
      <w:r>
        <w:rPr>
          <w:rFonts w:hint="eastAsia" w:ascii="宋体" w:hAnsi="宋体"/>
          <w:b/>
          <w:lang w:eastAsia="zh-CN"/>
        </w:rPr>
        <w:t>（</w:t>
      </w:r>
      <w:r>
        <w:rPr>
          <w:rFonts w:hint="eastAsia" w:ascii="宋体" w:hAnsi="宋体"/>
          <w:b/>
          <w:lang w:val="en-US" w:eastAsia="zh-CN"/>
        </w:rPr>
        <w:t>五</w:t>
      </w:r>
      <w:r>
        <w:rPr>
          <w:rFonts w:hint="eastAsia" w:ascii="宋体" w:hAnsi="宋体"/>
          <w:b/>
          <w:lang w:eastAsia="zh-CN"/>
        </w:rPr>
        <w:t>）</w:t>
      </w:r>
      <w:r>
        <w:rPr>
          <w:rFonts w:ascii="宋体" w:hAnsi="宋体"/>
          <w:b/>
        </w:rPr>
        <w:t>主要工作过程</w:t>
      </w:r>
    </w:p>
    <w:p>
      <w:pPr>
        <w:spacing w:line="360" w:lineRule="auto"/>
        <w:rPr>
          <w:rFonts w:ascii="宋体" w:hAnsi="宋体"/>
          <w:b/>
        </w:rPr>
      </w:pPr>
      <w:r>
        <w:rPr>
          <w:rFonts w:hint="eastAsia" w:ascii="宋体" w:hAnsi="宋体"/>
          <w:b/>
          <w:lang w:val="en-US" w:eastAsia="zh-CN"/>
        </w:rPr>
        <w:t xml:space="preserve">1  </w:t>
      </w:r>
      <w:r>
        <w:rPr>
          <w:rFonts w:hint="eastAsia" w:ascii="宋体" w:hAnsi="宋体"/>
          <w:b/>
        </w:rPr>
        <w:t>起草阶段</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中南大学粉末冶金研究院接到《</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1</w:t>
      </w:r>
      <w:r>
        <w:rPr>
          <w:rFonts w:hint="eastAsia" w:ascii="宋体" w:hAnsi="宋体"/>
          <w:szCs w:val="21"/>
        </w:rPr>
        <w:t>部分：</w:t>
      </w:r>
      <w:r>
        <w:rPr>
          <w:rFonts w:hint="eastAsia" w:ascii="宋体" w:hAnsi="宋体"/>
          <w:szCs w:val="21"/>
          <w:lang w:val="en-US" w:eastAsia="zh-CN"/>
        </w:rPr>
        <w:t>铁</w:t>
      </w:r>
      <w:r>
        <w:rPr>
          <w:rFonts w:hint="eastAsia" w:ascii="宋体" w:hAnsi="宋体"/>
          <w:szCs w:val="21"/>
        </w:rPr>
        <w:t>含量的测定</w:t>
      </w:r>
      <w:r>
        <w:rPr>
          <w:rFonts w:hint="eastAsia" w:ascii="宋体" w:hAnsi="宋体"/>
          <w:szCs w:val="21"/>
          <w:lang w:val="en-US" w:eastAsia="zh-CN"/>
        </w:rPr>
        <w:t>分光光度法和EDTA容量法</w:t>
      </w:r>
      <w:r>
        <w:rPr>
          <w:rFonts w:hint="eastAsia" w:ascii="Times New Roman" w:hAnsi="Times New Roman" w:eastAsia="宋体" w:cs="Times New Roman"/>
        </w:rPr>
        <w:t>》标准的制定任务后，立即组织相关技术人员成立了标准编制小组，进行相关资料的查询与收集工作，明确了成员的任务，制订了工作计划和进度安排。对该产品的相关企业进行收集、分析、研究了国内相关技术资料，对产品标准的可行性进行了对比。此基础上，于2023年</w:t>
      </w:r>
      <w:r>
        <w:rPr>
          <w:rFonts w:hint="eastAsia" w:cs="Times New Roman"/>
          <w:lang w:val="en-US" w:eastAsia="zh-CN"/>
        </w:rPr>
        <w:t>12</w:t>
      </w:r>
      <w:r>
        <w:rPr>
          <w:rFonts w:hint="eastAsia" w:ascii="Times New Roman" w:hAnsi="Times New Roman" w:eastAsia="宋体" w:cs="Times New Roman"/>
        </w:rPr>
        <w:t>月形成了标准的讨论稿和编制说明。</w:t>
      </w:r>
    </w:p>
    <w:p>
      <w:pPr>
        <w:spacing w:line="360" w:lineRule="auto"/>
        <w:rPr>
          <w:rFonts w:ascii="宋体" w:hAnsi="宋体"/>
          <w:b/>
          <w:szCs w:val="21"/>
        </w:rPr>
      </w:pPr>
      <w:r>
        <w:rPr>
          <w:rFonts w:hint="eastAsia" w:ascii="宋体" w:hAnsi="宋体"/>
          <w:b/>
          <w:szCs w:val="21"/>
          <w:lang w:val="en-US" w:eastAsia="zh-CN"/>
        </w:rPr>
        <w:t xml:space="preserve">2  </w:t>
      </w:r>
      <w:r>
        <w:rPr>
          <w:rFonts w:hint="eastAsia" w:ascii="宋体" w:hAnsi="宋体"/>
          <w:b/>
          <w:szCs w:val="21"/>
        </w:rPr>
        <w:t>征求意见阶段</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lang w:val="en-US" w:eastAsia="zh-CN"/>
        </w:rPr>
        <w:t xml:space="preserve">3  </w:t>
      </w:r>
      <w:r>
        <w:rPr>
          <w:rFonts w:hint="eastAsia" w:ascii="宋体" w:hAnsi="宋体"/>
          <w:b/>
          <w:szCs w:val="21"/>
          <w:highlight w:val="none"/>
        </w:rPr>
        <w:t>审查阶段</w:t>
      </w:r>
    </w:p>
    <w:p>
      <w:pPr>
        <w:spacing w:line="360" w:lineRule="auto"/>
        <w:rPr>
          <w:rFonts w:ascii="宋体" w:hAnsi="宋体"/>
          <w:b/>
          <w:szCs w:val="21"/>
          <w:highlight w:val="none"/>
        </w:rPr>
      </w:pPr>
      <w:r>
        <w:rPr>
          <w:rFonts w:hint="eastAsia" w:ascii="宋体" w:hAnsi="宋体"/>
          <w:b/>
          <w:szCs w:val="21"/>
          <w:highlight w:val="none"/>
          <w:lang w:val="en-US" w:eastAsia="zh-CN"/>
        </w:rPr>
        <w:t xml:space="preserve">4  </w:t>
      </w:r>
      <w:r>
        <w:rPr>
          <w:rFonts w:hint="eastAsia" w:ascii="宋体" w:hAnsi="宋体"/>
          <w:b/>
          <w:szCs w:val="21"/>
          <w:highlight w:val="none"/>
        </w:rPr>
        <w:t>报批阶段</w:t>
      </w:r>
    </w:p>
    <w:p>
      <w:pPr>
        <w:spacing w:line="360" w:lineRule="auto"/>
        <w:rPr>
          <w:rFonts w:hint="eastAsia" w:ascii="宋体" w:hAnsi="宋体" w:eastAsia="宋体"/>
          <w:szCs w:val="21"/>
          <w:lang w:eastAsia="zh-CN"/>
        </w:rPr>
      </w:pPr>
      <w:r>
        <w:rPr>
          <w:rFonts w:ascii="宋体" w:hAnsi="宋体"/>
          <w:b/>
          <w:szCs w:val="21"/>
        </w:rPr>
        <w:t>二、标准的制定原则、主要内容与依据</w:t>
      </w:r>
    </w:p>
    <w:p>
      <w:pPr>
        <w:spacing w:line="360" w:lineRule="auto"/>
        <w:rPr>
          <w:rFonts w:hint="eastAsia" w:ascii="宋体" w:hAnsi="宋体" w:eastAsia="宋体"/>
          <w:b/>
          <w:szCs w:val="21"/>
          <w:lang w:eastAsia="zh-CN"/>
        </w:rPr>
      </w:pPr>
      <w:r>
        <w:rPr>
          <w:rFonts w:hint="eastAsia" w:ascii="宋体" w:hAnsi="宋体"/>
          <w:b/>
          <w:szCs w:val="21"/>
          <w:lang w:val="en-US" w:eastAsia="zh-CN"/>
        </w:rPr>
        <w:t>（一）符合性</w:t>
      </w:r>
    </w:p>
    <w:p>
      <w:pPr>
        <w:spacing w:line="380" w:lineRule="exact"/>
        <w:ind w:left="0" w:leftChars="0" w:firstLine="420" w:firstLineChars="200"/>
        <w:rPr>
          <w:rFonts w:hint="eastAsia"/>
        </w:rPr>
      </w:pPr>
      <w:r>
        <w:rPr>
          <w:rFonts w:hint="eastAsia"/>
        </w:rPr>
        <w:t>本标准严格按照GB/T 1.1-2020《标准化工作导则 第1部分：标准化文件的结构和起草规则》、GB/T 20001.4-2015《标准编写规则 第4部分：试验方法标准》、GB/T 6379.2-2004《测量方法与结果的准确度(正确度与精密度) 第2部分：确定标准测量方法重复性与再现性的基本方法》的要求进行编写。</w:t>
      </w:r>
    </w:p>
    <w:p>
      <w:pPr>
        <w:spacing w:line="380" w:lineRule="exact"/>
        <w:rPr>
          <w:rFonts w:hint="default"/>
          <w:lang w:val="en-US"/>
        </w:rPr>
      </w:pPr>
      <w:r>
        <w:rPr>
          <w:rFonts w:hint="eastAsia" w:ascii="宋体" w:hAnsi="宋体"/>
          <w:b/>
          <w:szCs w:val="21"/>
          <w:lang w:val="en-US" w:eastAsia="zh-CN"/>
        </w:rPr>
        <w:t>（二）适用性和先进性</w:t>
      </w:r>
    </w:p>
    <w:p>
      <w:pPr>
        <w:spacing w:line="380" w:lineRule="exact"/>
        <w:ind w:left="0" w:leftChars="0" w:firstLine="420" w:firstLineChars="200"/>
      </w:pPr>
      <w:r>
        <w:rPr>
          <w:rFonts w:hint="eastAsia"/>
        </w:rPr>
        <w:t xml:space="preserve">本标准是对YS/T </w:t>
      </w:r>
      <w:r>
        <w:rPr>
          <w:rFonts w:hint="eastAsia"/>
          <w:lang w:val="en-US" w:eastAsia="zh-CN"/>
        </w:rPr>
        <w:t>423.4-2000</w:t>
      </w:r>
      <w:r>
        <w:rPr>
          <w:rFonts w:hint="eastAsia"/>
        </w:rPr>
        <w:t>《</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4</w:t>
      </w:r>
      <w:r>
        <w:rPr>
          <w:rFonts w:hint="eastAsia" w:ascii="宋体" w:hAnsi="宋体"/>
          <w:szCs w:val="21"/>
        </w:rPr>
        <w:t>部分：</w:t>
      </w:r>
      <w:r>
        <w:rPr>
          <w:rFonts w:hint="eastAsia" w:ascii="宋体" w:hAnsi="宋体"/>
          <w:szCs w:val="21"/>
          <w:lang w:val="en-US" w:eastAsia="zh-CN"/>
        </w:rPr>
        <w:t>铁</w:t>
      </w:r>
      <w:r>
        <w:rPr>
          <w:rFonts w:hint="eastAsia" w:ascii="宋体" w:hAnsi="宋体"/>
          <w:szCs w:val="21"/>
        </w:rPr>
        <w:t>含量的测定</w:t>
      </w:r>
      <w:r>
        <w:rPr>
          <w:rFonts w:hint="eastAsia"/>
        </w:rPr>
        <w:t>》的修订起草。在充分调研</w:t>
      </w:r>
      <w:r>
        <w:rPr>
          <w:rFonts w:hint="eastAsia"/>
          <w:lang w:val="en-US" w:eastAsia="zh-CN"/>
        </w:rPr>
        <w:t>核级碳化硼</w:t>
      </w:r>
      <w:r>
        <w:rPr>
          <w:rFonts w:hint="eastAsia"/>
        </w:rPr>
        <w:t>相关产品分析检测实际需求的基础上，对原标准的试验操作的技术细节、精密度数据进行修改或补充，进一步规范了</w:t>
      </w:r>
      <w:r>
        <w:rPr>
          <w:rFonts w:hint="eastAsia"/>
          <w:lang w:val="en-US" w:eastAsia="zh-CN"/>
        </w:rPr>
        <w:t>核级碳化硼</w:t>
      </w:r>
      <w:r>
        <w:rPr>
          <w:rFonts w:hint="eastAsia"/>
        </w:rPr>
        <w:t>中</w:t>
      </w:r>
      <w:r>
        <w:rPr>
          <w:rFonts w:hint="eastAsia"/>
          <w:lang w:val="en-US" w:eastAsia="zh-CN"/>
        </w:rPr>
        <w:t>铁</w:t>
      </w:r>
      <w:r>
        <w:rPr>
          <w:rFonts w:hint="eastAsia"/>
        </w:rPr>
        <w:t>含量</w:t>
      </w:r>
      <w:r>
        <w:rPr>
          <w:rFonts w:hint="eastAsia"/>
          <w:lang w:val="en-US" w:eastAsia="zh-CN"/>
        </w:rPr>
        <w:t>测定</w:t>
      </w:r>
      <w:r>
        <w:rPr>
          <w:rFonts w:hint="eastAsia"/>
        </w:rPr>
        <w:t>的分析方法，同时又体现了行业内对</w:t>
      </w:r>
      <w:r>
        <w:rPr>
          <w:rFonts w:hint="eastAsia"/>
          <w:lang w:val="en-US" w:eastAsia="zh-CN"/>
        </w:rPr>
        <w:t>核级碳化硼</w:t>
      </w:r>
      <w:r>
        <w:rPr>
          <w:rFonts w:hint="eastAsia"/>
        </w:rPr>
        <w:t>化学成分分析的技术水平，具有先进性、可操作性和广泛的适用性</w:t>
      </w:r>
      <w:r>
        <w:rPr>
          <w:rFonts w:hint="eastAsia"/>
          <w:lang w:eastAsia="zh-CN"/>
        </w:rPr>
        <w:t>。</w:t>
      </w:r>
      <w:r>
        <w:rPr>
          <w:rFonts w:hint="eastAsia"/>
        </w:rPr>
        <w:t>反映当前国内各相关企业的检测技术水平，宜于应用，经济上合理。</w:t>
      </w:r>
    </w:p>
    <w:p>
      <w:pPr>
        <w:spacing w:line="360" w:lineRule="auto"/>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标准修定内容的确定依据及主要实验和验证情况</w:t>
      </w:r>
    </w:p>
    <w:p>
      <w:pPr>
        <w:spacing w:line="380" w:lineRule="exact"/>
        <w:ind w:left="0" w:leftChars="0" w:firstLine="420" w:firstLineChars="200"/>
        <w:rPr>
          <w:rFonts w:hint="eastAsia"/>
          <w:lang w:eastAsia="zh-CN"/>
        </w:rPr>
      </w:pPr>
      <w:r>
        <w:rPr>
          <w:rFonts w:hint="eastAsia"/>
          <w:lang w:val="en-US" w:eastAsia="zh-CN"/>
        </w:rPr>
        <w:t>与</w:t>
      </w:r>
      <w:r>
        <w:rPr>
          <w:rFonts w:hint="eastAsia"/>
          <w:lang w:eastAsia="zh-CN"/>
        </w:rPr>
        <w:t>YS/T</w:t>
      </w:r>
      <w:r>
        <w:rPr>
          <w:rFonts w:hint="eastAsia"/>
          <w:lang w:val="en-US" w:eastAsia="zh-CN"/>
        </w:rPr>
        <w:t xml:space="preserve"> </w:t>
      </w:r>
      <w:r>
        <w:rPr>
          <w:rFonts w:hint="eastAsia"/>
          <w:lang w:eastAsia="zh-CN"/>
        </w:rPr>
        <w:t>423.4-2000《</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1</w:t>
      </w:r>
      <w:r>
        <w:rPr>
          <w:rFonts w:hint="eastAsia" w:ascii="宋体" w:hAnsi="宋体"/>
          <w:szCs w:val="21"/>
        </w:rPr>
        <w:t>部分：</w:t>
      </w:r>
      <w:r>
        <w:rPr>
          <w:rFonts w:hint="eastAsia" w:ascii="宋体" w:hAnsi="宋体"/>
          <w:szCs w:val="21"/>
          <w:lang w:val="en-US" w:eastAsia="zh-CN"/>
        </w:rPr>
        <w:t>铁</w:t>
      </w:r>
      <w:r>
        <w:rPr>
          <w:rFonts w:hint="eastAsia" w:ascii="宋体" w:hAnsi="宋体"/>
          <w:szCs w:val="21"/>
        </w:rPr>
        <w:t>含量的测定</w:t>
      </w:r>
      <w:r>
        <w:rPr>
          <w:rFonts w:hint="eastAsia" w:ascii="宋体" w:hAnsi="宋体"/>
          <w:szCs w:val="21"/>
          <w:lang w:val="en-US" w:eastAsia="zh-CN"/>
        </w:rPr>
        <w:t>分光光度法和EDTA容量法</w:t>
      </w:r>
      <w:r>
        <w:rPr>
          <w:rFonts w:hint="eastAsia"/>
          <w:lang w:eastAsia="zh-CN"/>
        </w:rPr>
        <w:t>》</w:t>
      </w:r>
      <w:r>
        <w:rPr>
          <w:rFonts w:hint="eastAsia"/>
          <w:lang w:val="en-US" w:eastAsia="zh-CN"/>
        </w:rPr>
        <w:t>相比，本次</w:t>
      </w:r>
      <w:r>
        <w:rPr>
          <w:rFonts w:hint="eastAsia"/>
          <w:lang w:eastAsia="zh-CN"/>
        </w:rPr>
        <w:t>主要</w:t>
      </w:r>
      <w:r>
        <w:rPr>
          <w:rFonts w:hint="eastAsia"/>
          <w:lang w:val="en-US" w:eastAsia="zh-CN"/>
        </w:rPr>
        <w:t>修订内容</w:t>
      </w:r>
      <w:r>
        <w:rPr>
          <w:rFonts w:hint="eastAsia"/>
          <w:lang w:eastAsia="zh-CN"/>
        </w:rPr>
        <w:t>如下：</w:t>
      </w:r>
    </w:p>
    <w:p>
      <w:pPr>
        <w:spacing w:line="380" w:lineRule="exact"/>
        <w:rPr>
          <w:rFonts w:hint="eastAsia"/>
          <w:lang w:val="en-US" w:eastAsia="zh-CN"/>
        </w:rPr>
      </w:pPr>
      <w:r>
        <w:rPr>
          <w:rFonts w:hint="eastAsia"/>
          <w:b w:val="0"/>
          <w:bCs w:val="0"/>
          <w:lang w:val="en-US" w:eastAsia="zh-CN"/>
        </w:rPr>
        <w:t>（一）使用纯铁标准物质代替三氧化二铁进行标准溶液配制</w:t>
      </w:r>
      <w:r>
        <w:rPr>
          <w:rFonts w:hint="eastAsia"/>
          <w:lang w:val="en-US" w:eastAsia="zh-CN"/>
        </w:rPr>
        <w:t>。</w:t>
      </w:r>
    </w:p>
    <w:p>
      <w:pPr>
        <w:spacing w:line="380" w:lineRule="exact"/>
        <w:rPr>
          <w:rFonts w:hint="eastAsia"/>
          <w:lang w:val="en-US" w:eastAsia="zh-CN"/>
        </w:rPr>
      </w:pPr>
      <w:r>
        <w:rPr>
          <w:rFonts w:hint="eastAsia"/>
          <w:b w:val="0"/>
          <w:bCs w:val="0"/>
          <w:lang w:val="en-US" w:eastAsia="zh-CN"/>
        </w:rPr>
        <w:t>（二）试验条件的探究</w:t>
      </w:r>
      <w:r>
        <w:rPr>
          <w:rFonts w:hint="eastAsia"/>
          <w:lang w:val="en-US" w:eastAsia="zh-CN"/>
        </w:rPr>
        <w:t>：降低了铁标准溶液的加入量，使测试更加准确。</w:t>
      </w:r>
    </w:p>
    <w:p>
      <w:pPr>
        <w:spacing w:line="380" w:lineRule="exact"/>
        <w:rPr>
          <w:rFonts w:hint="default" w:ascii="宋体" w:hAnsi="宋体" w:eastAsia="宋体" w:cs="Times New Roman"/>
          <w:szCs w:val="21"/>
          <w:highlight w:val="yellow"/>
          <w:lang w:val="en-US" w:eastAsia="zh-CN"/>
        </w:rPr>
      </w:pPr>
      <w:r>
        <w:rPr>
          <w:rFonts w:hint="eastAsia"/>
          <w:b w:val="0"/>
          <w:bCs w:val="0"/>
          <w:lang w:val="en-US" w:eastAsia="zh-CN"/>
        </w:rPr>
        <w:t>（三）增加了</w:t>
      </w:r>
      <w:r>
        <w:rPr>
          <w:rFonts w:hint="eastAsia" w:ascii="宋体" w:hAnsi="宋体"/>
          <w:szCs w:val="21"/>
        </w:rPr>
        <w:t>“方法</w:t>
      </w:r>
      <w:r>
        <w:rPr>
          <w:rFonts w:hint="eastAsia" w:ascii="宋体" w:hAnsi="宋体"/>
          <w:szCs w:val="21"/>
          <w:lang w:val="en-US" w:eastAsia="zh-CN"/>
        </w:rPr>
        <w:t>二  EDTA容量法</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根据调研情况，EDTA容量法还有部分单位在使用，故而增加此方法，为本标准提供一种可行的分析方法</w:t>
      </w:r>
      <w:r>
        <w:rPr>
          <w:rFonts w:hint="eastAsia"/>
          <w:lang w:val="en-US" w:eastAsia="zh-CN"/>
        </w:rPr>
        <w:t>。</w:t>
      </w:r>
    </w:p>
    <w:p>
      <w:pPr>
        <w:spacing w:line="360" w:lineRule="auto"/>
        <w:ind w:left="0" w:leftChars="0" w:firstLine="420" w:firstLineChars="200"/>
        <w:rPr>
          <w:rFonts w:hint="default" w:ascii="宋体" w:hAnsi="宋体"/>
          <w:b w:val="0"/>
          <w:bCs/>
          <w:szCs w:val="21"/>
          <w:lang w:val="en-US" w:eastAsia="zh-CN"/>
        </w:rPr>
      </w:pPr>
      <w:r>
        <w:rPr>
          <w:rFonts w:hint="eastAsia" w:ascii="宋体" w:hAnsi="宋体"/>
          <w:b w:val="0"/>
          <w:bCs/>
          <w:szCs w:val="21"/>
          <w:lang w:val="en-US" w:eastAsia="zh-CN"/>
        </w:rPr>
        <w:t>主要试验和验证情况如下：</w:t>
      </w:r>
    </w:p>
    <w:p>
      <w:pPr>
        <w:spacing w:line="360" w:lineRule="auto"/>
        <w:rPr>
          <w:rFonts w:hint="default" w:ascii="宋体" w:hAnsi="宋体"/>
          <w:b/>
          <w:szCs w:val="21"/>
          <w:lang w:val="en-US" w:eastAsia="zh-CN"/>
        </w:rPr>
      </w:pPr>
      <w:r>
        <w:rPr>
          <w:rFonts w:hint="eastAsia" w:ascii="宋体" w:hAnsi="宋体"/>
          <w:b/>
          <w:szCs w:val="21"/>
          <w:lang w:val="en-US" w:eastAsia="zh-CN"/>
        </w:rPr>
        <w:t>1氨水加入量选择</w:t>
      </w:r>
    </w:p>
    <w:p>
      <w:pPr>
        <w:spacing w:line="360" w:lineRule="auto"/>
        <w:ind w:left="0" w:leftChars="0" w:firstLine="420" w:firstLineChars="200"/>
        <w:rPr>
          <w:rFonts w:hint="default" w:ascii="宋体" w:hAnsi="宋体"/>
          <w:b w:val="0"/>
          <w:bCs/>
          <w:szCs w:val="21"/>
          <w:lang w:val="en-US" w:eastAsia="zh-CN"/>
        </w:rPr>
      </w:pPr>
      <w:r>
        <w:rPr>
          <w:rFonts w:hint="eastAsia" w:ascii="宋体" w:hAnsi="宋体"/>
          <w:b w:val="0"/>
          <w:bCs/>
          <w:szCs w:val="21"/>
          <w:lang w:val="en-US" w:eastAsia="zh-CN"/>
        </w:rPr>
        <w:t>移取20mL试液于50mL容量瓶中，加入5mL磺基水杨酸，加入氨水至溶液出现稳定的黄色后，再过量不同体积的氨水，测量吸光度，结果见表2。</w:t>
      </w:r>
    </w:p>
    <w:p>
      <w:pPr>
        <w:pStyle w:val="15"/>
        <w:spacing w:line="360" w:lineRule="auto"/>
        <w:ind w:firstLine="422"/>
        <w:jc w:val="center"/>
        <w:rPr>
          <w:rFonts w:hint="eastAsia" w:ascii="黑体" w:hAnsi="黑体" w:eastAsia="黑体" w:cs="黑体"/>
          <w:b w:val="0"/>
          <w:bCs/>
          <w:iCs/>
          <w:sz w:val="21"/>
          <w:szCs w:val="21"/>
          <w:lang w:val="en-US" w:eastAsia="zh-CN"/>
        </w:rPr>
      </w:pPr>
      <w:r>
        <w:rPr>
          <w:rFonts w:hint="eastAsia" w:ascii="黑体" w:hAnsi="黑体" w:eastAsia="黑体" w:cs="黑体"/>
          <w:b w:val="0"/>
          <w:bCs/>
          <w:iCs/>
          <w:sz w:val="20"/>
          <w:szCs w:val="20"/>
          <w:lang w:val="en-US" w:eastAsia="zh-CN"/>
        </w:rPr>
        <w:t>表2  氨水加入量试验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1"/>
        <w:gridCol w:w="1211"/>
        <w:gridCol w:w="1211"/>
        <w:gridCol w:w="1211"/>
        <w:gridCol w:w="1211"/>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氨水体积</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0.5mL</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1mL</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1.5mL</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2mL</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2.5mL</w:t>
            </w:r>
          </w:p>
        </w:tc>
        <w:tc>
          <w:tcPr>
            <w:tcW w:w="1212"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吸光度</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0.0247</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0.0246</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0.0247</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0.0246</w:t>
            </w:r>
          </w:p>
        </w:tc>
        <w:tc>
          <w:tcPr>
            <w:tcW w:w="1211"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0.0246</w:t>
            </w:r>
          </w:p>
        </w:tc>
        <w:tc>
          <w:tcPr>
            <w:tcW w:w="1212"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0.0247</w:t>
            </w:r>
          </w:p>
        </w:tc>
      </w:tr>
    </w:tbl>
    <w:p>
      <w:pPr>
        <w:widowControl/>
        <w:spacing w:line="240" w:lineRule="auto"/>
        <w:ind w:firstLine="420" w:firstLineChars="200"/>
        <w:rPr>
          <w:rFonts w:hint="eastAsia" w:ascii="宋体" w:hAnsi="宋体"/>
          <w:b w:val="0"/>
          <w:bCs/>
          <w:szCs w:val="21"/>
          <w:lang w:val="en-US" w:eastAsia="zh-CN"/>
        </w:rPr>
      </w:pPr>
    </w:p>
    <w:p>
      <w:pPr>
        <w:widowControl/>
        <w:spacing w:line="240" w:lineRule="auto"/>
        <w:ind w:firstLine="420" w:firstLineChars="200"/>
        <w:rPr>
          <w:rFonts w:hint="default" w:hAnsi="宋体"/>
          <w:b w:val="0"/>
          <w:bCs/>
          <w:iCs/>
          <w:sz w:val="21"/>
          <w:szCs w:val="21"/>
          <w:lang w:val="en-US" w:eastAsia="zh-CN"/>
        </w:rPr>
      </w:pPr>
      <w:r>
        <w:rPr>
          <w:rFonts w:hint="eastAsia" w:ascii="宋体" w:hAnsi="宋体"/>
          <w:b w:val="0"/>
          <w:bCs/>
          <w:szCs w:val="21"/>
          <w:lang w:val="en-US" w:eastAsia="zh-CN"/>
        </w:rPr>
        <w:t>由表2可以看出，用氨水调节至黄色后，过量0.5mL以上氨水对吸光度无影响，综合考虑维持原标准过量1mL不变</w:t>
      </w:r>
      <w:r>
        <w:rPr>
          <w:rFonts w:hint="eastAsia" w:hAnsi="宋体"/>
          <w:b w:val="0"/>
          <w:bCs/>
          <w:iCs/>
          <w:sz w:val="21"/>
          <w:szCs w:val="21"/>
          <w:lang w:val="en-US" w:eastAsia="zh-CN"/>
        </w:rPr>
        <w:t>。</w:t>
      </w:r>
    </w:p>
    <w:p>
      <w:pPr>
        <w:widowControl/>
        <w:spacing w:line="240" w:lineRule="auto"/>
        <w:rPr>
          <w:rFonts w:hint="default" w:ascii="宋体" w:hAnsi="宋体"/>
          <w:b/>
          <w:szCs w:val="21"/>
          <w:lang w:val="en-US" w:eastAsia="zh-CN"/>
        </w:rPr>
      </w:pPr>
      <w:r>
        <w:rPr>
          <w:rFonts w:hint="eastAsia" w:ascii="宋体" w:hAnsi="宋体"/>
          <w:b/>
          <w:szCs w:val="21"/>
          <w:lang w:val="en-US" w:eastAsia="zh-CN"/>
        </w:rPr>
        <w:t>2磺基水杨酸浓度选择</w:t>
      </w:r>
    </w:p>
    <w:p>
      <w:pPr>
        <w:widowControl/>
        <w:spacing w:line="240" w:lineRule="auto"/>
        <w:ind w:firstLine="421"/>
        <w:rPr>
          <w:rFonts w:hint="eastAsia" w:ascii="宋体" w:hAnsi="宋体"/>
          <w:b w:val="0"/>
          <w:bCs/>
          <w:szCs w:val="21"/>
          <w:lang w:val="en-US" w:eastAsia="zh-CN"/>
        </w:rPr>
      </w:pPr>
    </w:p>
    <w:p>
      <w:pPr>
        <w:spacing w:line="360" w:lineRule="auto"/>
        <w:ind w:left="0" w:leftChars="0" w:firstLine="420" w:firstLineChars="200"/>
        <w:rPr>
          <w:rFonts w:hint="default" w:ascii="宋体" w:hAnsi="宋体"/>
          <w:b w:val="0"/>
          <w:bCs/>
          <w:szCs w:val="21"/>
          <w:lang w:val="en-US" w:eastAsia="zh-CN"/>
        </w:rPr>
      </w:pPr>
      <w:r>
        <w:rPr>
          <w:rFonts w:hint="eastAsia" w:ascii="宋体" w:hAnsi="宋体"/>
          <w:b w:val="0"/>
          <w:bCs/>
          <w:szCs w:val="21"/>
          <w:lang w:val="en-US" w:eastAsia="zh-CN"/>
        </w:rPr>
        <w:t>移取20mL试液于50mL容量瓶中，加入5mL不同浓度的磺基水杨酸，加入氨水至溶液出现稳定的黄色后，再过量1mL，测量吸光度，结果见表3。</w:t>
      </w:r>
    </w:p>
    <w:p>
      <w:pPr>
        <w:pStyle w:val="15"/>
        <w:spacing w:line="360" w:lineRule="auto"/>
        <w:ind w:firstLine="422"/>
        <w:jc w:val="center"/>
        <w:rPr>
          <w:rFonts w:hint="eastAsia" w:ascii="黑体" w:hAnsi="黑体" w:eastAsia="黑体" w:cs="黑体"/>
          <w:b w:val="0"/>
          <w:bCs/>
          <w:iCs/>
          <w:sz w:val="21"/>
          <w:szCs w:val="21"/>
          <w:lang w:val="en-US" w:eastAsia="zh-CN"/>
        </w:rPr>
      </w:pPr>
      <w:r>
        <w:rPr>
          <w:rFonts w:hint="eastAsia" w:ascii="黑体" w:hAnsi="黑体" w:eastAsia="黑体" w:cs="黑体"/>
          <w:b w:val="0"/>
          <w:bCs/>
          <w:iCs/>
          <w:sz w:val="20"/>
          <w:szCs w:val="20"/>
          <w:lang w:val="en-US" w:eastAsia="zh-CN"/>
        </w:rPr>
        <w:t>表3  磺基水杨酸浓度选择试验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1393"/>
        <w:gridCol w:w="1393"/>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786"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磺基水杨酸浓度/g/L</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100</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150</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200</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786"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吸光度</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0.0251</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0.0250</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0.0251</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0.0251</w:t>
            </w:r>
          </w:p>
        </w:tc>
      </w:tr>
    </w:tbl>
    <w:p>
      <w:pPr>
        <w:widowControl/>
        <w:spacing w:line="240" w:lineRule="auto"/>
        <w:ind w:firstLine="421"/>
        <w:rPr>
          <w:rFonts w:hint="eastAsia" w:ascii="宋体" w:hAnsi="宋体"/>
          <w:b w:val="0"/>
          <w:bCs/>
          <w:szCs w:val="21"/>
          <w:lang w:val="en-US" w:eastAsia="zh-CN"/>
        </w:rPr>
      </w:pPr>
    </w:p>
    <w:p>
      <w:pPr>
        <w:widowControl/>
        <w:spacing w:line="240" w:lineRule="auto"/>
        <w:rPr>
          <w:rFonts w:hint="eastAsia" w:ascii="宋体" w:hAnsi="宋体"/>
          <w:b w:val="0"/>
          <w:bCs/>
          <w:szCs w:val="21"/>
          <w:lang w:val="en-US" w:eastAsia="zh-CN"/>
        </w:rPr>
      </w:pPr>
      <w:r>
        <w:rPr>
          <w:rFonts w:hint="eastAsia" w:ascii="宋体" w:hAnsi="宋体"/>
          <w:b w:val="0"/>
          <w:bCs/>
          <w:szCs w:val="21"/>
          <w:lang w:val="en-US" w:eastAsia="zh-CN"/>
        </w:rPr>
        <w:t>由表3可知，磺基水杨酸的浓度在100g/L</w:t>
      </w:r>
      <w:r>
        <w:rPr>
          <w:rFonts w:hint="eastAsia" w:ascii="宋体" w:hAnsi="宋体" w:eastAsia="宋体" w:cs="宋体"/>
          <w:b w:val="0"/>
          <w:bCs/>
          <w:szCs w:val="21"/>
          <w:lang w:val="en-US" w:eastAsia="zh-CN"/>
        </w:rPr>
        <w:t>～</w:t>
      </w:r>
      <w:r>
        <w:rPr>
          <w:rFonts w:hint="eastAsia" w:ascii="宋体" w:hAnsi="宋体"/>
          <w:b w:val="0"/>
          <w:bCs/>
          <w:szCs w:val="21"/>
          <w:lang w:val="en-US" w:eastAsia="zh-CN"/>
        </w:rPr>
        <w:t>300g/L之间，吸光度值基本无变化，显色完全，综合考虑，将原标准中磺基水杨酸的浓度下调为100g/L。</w:t>
      </w:r>
    </w:p>
    <w:p>
      <w:pPr>
        <w:widowControl/>
        <w:spacing w:line="240" w:lineRule="auto"/>
        <w:rPr>
          <w:rFonts w:hint="default" w:ascii="宋体" w:hAnsi="宋体"/>
          <w:b/>
          <w:szCs w:val="21"/>
          <w:lang w:val="en-US" w:eastAsia="zh-CN"/>
        </w:rPr>
      </w:pPr>
      <w:r>
        <w:rPr>
          <w:rFonts w:hint="eastAsia" w:ascii="宋体" w:hAnsi="宋体"/>
          <w:b/>
          <w:szCs w:val="21"/>
          <w:lang w:val="en-US" w:eastAsia="zh-CN"/>
        </w:rPr>
        <w:t>3磺基水杨酸用量选择</w:t>
      </w:r>
    </w:p>
    <w:p>
      <w:pPr>
        <w:widowControl/>
        <w:spacing w:line="240" w:lineRule="auto"/>
        <w:ind w:firstLine="421"/>
        <w:rPr>
          <w:rFonts w:hint="eastAsia" w:ascii="宋体" w:hAnsi="宋体"/>
          <w:b w:val="0"/>
          <w:bCs/>
          <w:szCs w:val="21"/>
          <w:lang w:val="en-US" w:eastAsia="zh-CN"/>
        </w:rPr>
      </w:pPr>
    </w:p>
    <w:p>
      <w:pPr>
        <w:spacing w:line="360" w:lineRule="auto"/>
        <w:ind w:left="0" w:leftChars="0" w:firstLine="420" w:firstLineChars="200"/>
        <w:rPr>
          <w:rFonts w:hint="default" w:ascii="宋体" w:hAnsi="宋体"/>
          <w:b w:val="0"/>
          <w:bCs/>
          <w:szCs w:val="21"/>
          <w:lang w:val="en-US" w:eastAsia="zh-CN"/>
        </w:rPr>
      </w:pPr>
      <w:r>
        <w:rPr>
          <w:rFonts w:hint="eastAsia" w:ascii="宋体" w:hAnsi="宋体"/>
          <w:b w:val="0"/>
          <w:bCs/>
          <w:szCs w:val="21"/>
          <w:lang w:val="en-US" w:eastAsia="zh-CN"/>
        </w:rPr>
        <w:t>移取20mL试液于50mL容量瓶中，加入不同体积的100g/L磺基水杨酸，加入氨水至溶液出现稳定的黄色后，再过量1mL，测量吸光度，结果见表4。</w:t>
      </w:r>
    </w:p>
    <w:p>
      <w:pPr>
        <w:pStyle w:val="15"/>
        <w:spacing w:line="360" w:lineRule="auto"/>
        <w:ind w:firstLine="422"/>
        <w:jc w:val="center"/>
        <w:rPr>
          <w:rFonts w:hint="eastAsia" w:ascii="黑体" w:hAnsi="黑体" w:eastAsia="黑体" w:cs="黑体"/>
          <w:b w:val="0"/>
          <w:bCs/>
          <w:iCs/>
          <w:sz w:val="21"/>
          <w:szCs w:val="21"/>
          <w:lang w:val="en-US" w:eastAsia="zh-CN"/>
        </w:rPr>
      </w:pPr>
      <w:r>
        <w:rPr>
          <w:rFonts w:hint="eastAsia" w:ascii="黑体" w:hAnsi="黑体" w:eastAsia="黑体" w:cs="黑体"/>
          <w:b w:val="0"/>
          <w:bCs/>
          <w:iCs/>
          <w:sz w:val="20"/>
          <w:szCs w:val="20"/>
          <w:lang w:val="en-US" w:eastAsia="zh-CN"/>
        </w:rPr>
        <w:t>表4  磺基水杨酸用量选择试验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1393"/>
        <w:gridCol w:w="1393"/>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786"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磺基水杨酸用量/mL</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3</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5</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8</w:t>
            </w:r>
          </w:p>
        </w:tc>
        <w:tc>
          <w:tcPr>
            <w:tcW w:w="1393"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786" w:type="dxa"/>
          </w:tcPr>
          <w:p>
            <w:pPr>
              <w:widowControl/>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吸光度</w:t>
            </w:r>
          </w:p>
        </w:tc>
        <w:tc>
          <w:tcPr>
            <w:tcW w:w="1393" w:type="dxa"/>
          </w:tcPr>
          <w:p>
            <w:pPr>
              <w:widowControl/>
              <w:spacing w:line="360" w:lineRule="auto"/>
              <w:jc w:val="center"/>
              <w:rPr>
                <w:rFonts w:hint="default" w:ascii="宋体" w:hAnsi="宋体"/>
                <w:szCs w:val="21"/>
                <w:vertAlign w:val="baseline"/>
                <w:lang w:val="en-US" w:eastAsia="zh-CN"/>
              </w:rPr>
            </w:pPr>
          </w:p>
        </w:tc>
        <w:tc>
          <w:tcPr>
            <w:tcW w:w="1393" w:type="dxa"/>
          </w:tcPr>
          <w:p>
            <w:pPr>
              <w:widowControl/>
              <w:spacing w:line="360" w:lineRule="auto"/>
              <w:jc w:val="center"/>
              <w:rPr>
                <w:rFonts w:hint="default" w:ascii="宋体" w:hAnsi="宋体"/>
                <w:szCs w:val="21"/>
                <w:vertAlign w:val="baseline"/>
                <w:lang w:val="en-US" w:eastAsia="zh-CN"/>
              </w:rPr>
            </w:pPr>
          </w:p>
        </w:tc>
        <w:tc>
          <w:tcPr>
            <w:tcW w:w="1393" w:type="dxa"/>
          </w:tcPr>
          <w:p>
            <w:pPr>
              <w:widowControl/>
              <w:spacing w:line="360" w:lineRule="auto"/>
              <w:jc w:val="center"/>
              <w:rPr>
                <w:rFonts w:hint="default" w:ascii="宋体" w:hAnsi="宋体"/>
                <w:szCs w:val="21"/>
                <w:vertAlign w:val="baseline"/>
                <w:lang w:val="en-US" w:eastAsia="zh-CN"/>
              </w:rPr>
            </w:pPr>
          </w:p>
        </w:tc>
        <w:tc>
          <w:tcPr>
            <w:tcW w:w="1393" w:type="dxa"/>
          </w:tcPr>
          <w:p>
            <w:pPr>
              <w:widowControl/>
              <w:spacing w:line="360" w:lineRule="auto"/>
              <w:jc w:val="center"/>
              <w:rPr>
                <w:rFonts w:hint="default" w:ascii="宋体" w:hAnsi="宋体"/>
                <w:szCs w:val="21"/>
                <w:vertAlign w:val="baseline"/>
                <w:lang w:val="en-US" w:eastAsia="zh-CN"/>
              </w:rPr>
            </w:pPr>
          </w:p>
        </w:tc>
      </w:tr>
    </w:tbl>
    <w:p>
      <w:pPr>
        <w:widowControl/>
        <w:spacing w:line="240" w:lineRule="auto"/>
        <w:rPr>
          <w:rFonts w:hint="eastAsia" w:ascii="宋体" w:hAnsi="宋体"/>
          <w:b w:val="0"/>
          <w:bCs/>
          <w:szCs w:val="21"/>
          <w:lang w:val="en-US" w:eastAsia="zh-CN"/>
        </w:rPr>
      </w:pPr>
    </w:p>
    <w:p>
      <w:pPr>
        <w:widowControl/>
        <w:spacing w:line="240" w:lineRule="auto"/>
        <w:ind w:firstLine="421"/>
        <w:rPr>
          <w:rFonts w:hint="default" w:ascii="宋体" w:hAnsi="宋体"/>
          <w:b w:val="0"/>
          <w:bCs/>
          <w:szCs w:val="21"/>
          <w:lang w:val="en-US" w:eastAsia="zh-CN"/>
        </w:rPr>
      </w:pPr>
    </w:p>
    <w:p>
      <w:pPr>
        <w:widowControl/>
        <w:spacing w:line="240" w:lineRule="auto"/>
        <w:rPr>
          <w:rFonts w:hint="default" w:ascii="宋体" w:hAnsi="宋体"/>
          <w:b/>
          <w:szCs w:val="21"/>
          <w:lang w:val="en-US" w:eastAsia="zh-CN"/>
        </w:rPr>
      </w:pPr>
      <w:r>
        <w:rPr>
          <w:rFonts w:hint="eastAsia" w:ascii="宋体" w:hAnsi="宋体"/>
          <w:b/>
          <w:szCs w:val="21"/>
          <w:lang w:val="en-US" w:eastAsia="zh-CN"/>
        </w:rPr>
        <w:t>2精密度试验</w:t>
      </w:r>
    </w:p>
    <w:p>
      <w:pPr>
        <w:widowControl/>
        <w:spacing w:line="240" w:lineRule="auto"/>
        <w:rPr>
          <w:rFonts w:hint="eastAsia" w:ascii="宋体" w:hAnsi="宋体"/>
          <w:b/>
          <w:szCs w:val="21"/>
          <w:lang w:val="en-US" w:eastAsia="zh-CN"/>
        </w:rPr>
      </w:pPr>
      <w:r>
        <w:rPr>
          <w:rFonts w:hint="eastAsia" w:ascii="宋体" w:hAnsi="宋体"/>
          <w:b/>
          <w:szCs w:val="21"/>
          <w:lang w:val="en-US" w:eastAsia="zh-CN"/>
        </w:rPr>
        <w:t>2.1 起草单位的精密度试验</w:t>
      </w: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称取1#试样0.2g，按照分析方法对试样独立进行7次试验，测定结果见表5。</w:t>
      </w:r>
    </w:p>
    <w:p>
      <w:pPr>
        <w:pStyle w:val="15"/>
        <w:spacing w:line="360" w:lineRule="auto"/>
        <w:ind w:firstLine="422"/>
        <w:jc w:val="center"/>
        <w:rPr>
          <w:rFonts w:hint="eastAsia"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表5  精密度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7"/>
        <w:gridCol w:w="1597"/>
        <w:gridCol w:w="159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30"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91" w:type="dxa"/>
            <w:gridSpan w:val="4"/>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铁质量分数/%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30"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0.079</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0.078</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97"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0.076</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97"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0.077</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0.077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0.00117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1.52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bl>
    <w:p>
      <w:pPr>
        <w:spacing w:line="240" w:lineRule="auto"/>
        <w:ind w:firstLine="480" w:firstLineChars="200"/>
        <w:rPr>
          <w:rFonts w:hint="eastAsia" w:ascii="宋体" w:hAnsi="宋体"/>
          <w:sz w:val="24"/>
        </w:rPr>
      </w:pP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由表3可知，1#试验样品精密度试验结果的RSD为1.52</w:t>
      </w:r>
      <w:bookmarkStart w:id="0" w:name="_GoBack"/>
      <w:bookmarkEnd w:id="0"/>
      <w:r>
        <w:rPr>
          <w:rFonts w:hint="eastAsia" w:ascii="宋体" w:hAnsi="宋体"/>
          <w:b w:val="0"/>
          <w:bCs/>
          <w:szCs w:val="21"/>
          <w:lang w:val="en-US" w:eastAsia="zh-CN"/>
        </w:rPr>
        <w:t>%，说明该方法精密度良好，能够满足分析要求。</w:t>
      </w:r>
    </w:p>
    <w:p>
      <w:pPr>
        <w:spacing w:line="360" w:lineRule="auto"/>
        <w:rPr>
          <w:rFonts w:ascii="宋体" w:hAnsi="宋体"/>
          <w:b/>
          <w:bCs/>
          <w:kern w:val="0"/>
          <w:sz w:val="24"/>
        </w:rPr>
      </w:pPr>
      <w:r>
        <w:rPr>
          <w:rFonts w:ascii="宋体" w:hAnsi="宋体"/>
          <w:b/>
          <w:bCs/>
          <w:kern w:val="0"/>
          <w:sz w:val="24"/>
        </w:rPr>
        <w:t>四、与现行法律法规、强制性国家标准及相关标准协调配套情况</w:t>
      </w:r>
    </w:p>
    <w:p>
      <w:pPr>
        <w:spacing w:line="240" w:lineRule="auto"/>
        <w:ind w:firstLine="420"/>
        <w:rPr>
          <w:rFonts w:ascii="宋体" w:hAnsi="宋体"/>
          <w:kern w:val="0"/>
          <w:sz w:val="24"/>
        </w:rPr>
      </w:pPr>
      <w:r>
        <w:rPr>
          <w:rFonts w:ascii="宋体" w:hAnsi="宋体"/>
          <w:kern w:val="0"/>
          <w:sz w:val="24"/>
        </w:rPr>
        <w:t>现行的法律法规、本标准与现行法律法规、强制性国家标准无冲突。</w:t>
      </w:r>
    </w:p>
    <w:p>
      <w:pPr>
        <w:spacing w:line="240" w:lineRule="auto"/>
        <w:ind w:firstLine="420"/>
        <w:rPr>
          <w:rFonts w:ascii="宋体" w:hAnsi="宋体"/>
          <w:kern w:val="0"/>
          <w:sz w:val="24"/>
        </w:rPr>
      </w:pPr>
      <w:r>
        <w:rPr>
          <w:rFonts w:ascii="宋体" w:hAnsi="宋体"/>
          <w:kern w:val="0"/>
          <w:sz w:val="24"/>
        </w:rPr>
        <w:t>本标准是YS/T</w:t>
      </w:r>
      <w:r>
        <w:rPr>
          <w:rFonts w:hint="eastAsia" w:ascii="宋体" w:hAnsi="宋体"/>
          <w:kern w:val="0"/>
          <w:sz w:val="24"/>
        </w:rPr>
        <w:t>42</w:t>
      </w:r>
      <w:r>
        <w:rPr>
          <w:rFonts w:hint="eastAsia" w:ascii="宋体" w:hAnsi="宋体"/>
          <w:kern w:val="0"/>
          <w:sz w:val="24"/>
          <w:lang w:val="en-US" w:eastAsia="zh-CN"/>
        </w:rPr>
        <w:t>3</w:t>
      </w:r>
      <w:r>
        <w:rPr>
          <w:rFonts w:ascii="宋体" w:hAnsi="宋体"/>
          <w:kern w:val="0"/>
          <w:sz w:val="24"/>
        </w:rPr>
        <w:t>《</w:t>
      </w:r>
      <w:r>
        <w:rPr>
          <w:rFonts w:hint="eastAsia" w:ascii="宋体" w:hAnsi="宋体"/>
          <w:kern w:val="0"/>
          <w:sz w:val="24"/>
          <w:lang w:val="en-US" w:eastAsia="zh-CN"/>
        </w:rPr>
        <w:t>核级碳化硼化学分析方法</w:t>
      </w:r>
      <w:r>
        <w:rPr>
          <w:rFonts w:ascii="宋体" w:hAnsi="宋体"/>
          <w:kern w:val="0"/>
          <w:sz w:val="24"/>
        </w:rPr>
        <w:t>》系列标准的组成部分。</w:t>
      </w:r>
    </w:p>
    <w:p>
      <w:pPr>
        <w:spacing w:line="240" w:lineRule="auto"/>
        <w:rPr>
          <w:rFonts w:ascii="宋体" w:hAnsi="宋体"/>
          <w:b/>
          <w:bCs/>
          <w:kern w:val="0"/>
          <w:sz w:val="24"/>
        </w:rPr>
      </w:pPr>
      <w:r>
        <w:rPr>
          <w:rFonts w:ascii="宋体" w:hAnsi="宋体"/>
          <w:b/>
          <w:bCs/>
          <w:kern w:val="0"/>
          <w:sz w:val="24"/>
        </w:rPr>
        <w:t>五、标准中涉及专利情况</w:t>
      </w:r>
    </w:p>
    <w:p>
      <w:pPr>
        <w:spacing w:line="240" w:lineRule="auto"/>
        <w:ind w:firstLine="480" w:firstLineChars="200"/>
        <w:rPr>
          <w:rFonts w:ascii="宋体" w:hAnsi="宋体"/>
          <w:sz w:val="24"/>
        </w:rPr>
      </w:pPr>
      <w:r>
        <w:rPr>
          <w:rFonts w:ascii="宋体" w:hAnsi="宋体"/>
          <w:sz w:val="24"/>
        </w:rPr>
        <w:t>本标准起草过程中，如果涉及到专利和知识产权时请使用单位与专利和知识产权方协商，本标准的发布机构不承担识别这些专利的责任。</w:t>
      </w:r>
    </w:p>
    <w:p>
      <w:pPr>
        <w:spacing w:line="240" w:lineRule="auto"/>
        <w:rPr>
          <w:rFonts w:ascii="宋体" w:hAnsi="宋体"/>
          <w:b/>
          <w:bCs/>
          <w:kern w:val="0"/>
          <w:sz w:val="24"/>
        </w:rPr>
      </w:pPr>
      <w:r>
        <w:rPr>
          <w:rFonts w:ascii="宋体" w:hAnsi="宋体"/>
          <w:b/>
          <w:bCs/>
          <w:kern w:val="0"/>
          <w:sz w:val="24"/>
        </w:rPr>
        <w:t>六、重大分歧意见的处理经过和依据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七、作为推荐性标准的建议</w:t>
      </w:r>
    </w:p>
    <w:p>
      <w:pPr>
        <w:spacing w:line="240" w:lineRule="auto"/>
        <w:rPr>
          <w:rFonts w:ascii="宋体" w:hAnsi="宋体"/>
          <w:b/>
          <w:bCs/>
          <w:kern w:val="0"/>
          <w:sz w:val="24"/>
        </w:rPr>
      </w:pPr>
      <w:r>
        <w:rPr>
          <w:rFonts w:ascii="宋体" w:hAnsi="宋体"/>
          <w:b/>
          <w:bCs/>
          <w:kern w:val="0"/>
          <w:sz w:val="24"/>
        </w:rPr>
        <w:t>八、贯彻标准的要求和措施建议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九、废止现行有关标准的建议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十、其他事项</w:t>
      </w:r>
    </w:p>
    <w:p>
      <w:pPr>
        <w:spacing w:line="240" w:lineRule="auto"/>
        <w:rPr>
          <w:rFonts w:ascii="宋体" w:hAnsi="宋体"/>
          <w:kern w:val="0"/>
          <w:sz w:val="24"/>
        </w:rPr>
      </w:pPr>
      <w:r>
        <w:rPr>
          <w:rFonts w:ascii="宋体" w:hAnsi="宋体"/>
          <w:kern w:val="0"/>
          <w:sz w:val="24"/>
        </w:rPr>
        <w:t>无。</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5NDcwZGEwMzg5NTljYzBmNjA1NTdmZGIxYzkwN2YifQ=="/>
  </w:docVars>
  <w:rsids>
    <w:rsidRoot w:val="00092C34"/>
    <w:rsid w:val="000068B5"/>
    <w:rsid w:val="00010571"/>
    <w:rsid w:val="000235A0"/>
    <w:rsid w:val="00055AF1"/>
    <w:rsid w:val="00065EF0"/>
    <w:rsid w:val="0007243B"/>
    <w:rsid w:val="0007793B"/>
    <w:rsid w:val="00080032"/>
    <w:rsid w:val="0008532E"/>
    <w:rsid w:val="00092C34"/>
    <w:rsid w:val="000978E2"/>
    <w:rsid w:val="000A179A"/>
    <w:rsid w:val="000A328B"/>
    <w:rsid w:val="000A7224"/>
    <w:rsid w:val="000C1AF6"/>
    <w:rsid w:val="000D3D67"/>
    <w:rsid w:val="000E0A0B"/>
    <w:rsid w:val="000F28BF"/>
    <w:rsid w:val="00102DFE"/>
    <w:rsid w:val="00111A49"/>
    <w:rsid w:val="00127117"/>
    <w:rsid w:val="00127AA2"/>
    <w:rsid w:val="00146FA5"/>
    <w:rsid w:val="00155F51"/>
    <w:rsid w:val="00156608"/>
    <w:rsid w:val="0015671E"/>
    <w:rsid w:val="0017220D"/>
    <w:rsid w:val="00176AFD"/>
    <w:rsid w:val="00181B08"/>
    <w:rsid w:val="00183070"/>
    <w:rsid w:val="001830EE"/>
    <w:rsid w:val="00186513"/>
    <w:rsid w:val="00191E19"/>
    <w:rsid w:val="001937EB"/>
    <w:rsid w:val="00194AD6"/>
    <w:rsid w:val="001A4A92"/>
    <w:rsid w:val="001C42AE"/>
    <w:rsid w:val="001D6F97"/>
    <w:rsid w:val="001D79EB"/>
    <w:rsid w:val="001E2478"/>
    <w:rsid w:val="001E5206"/>
    <w:rsid w:val="001E5F9C"/>
    <w:rsid w:val="001F7DC9"/>
    <w:rsid w:val="00206CF7"/>
    <w:rsid w:val="0021529D"/>
    <w:rsid w:val="00234E58"/>
    <w:rsid w:val="00236C9E"/>
    <w:rsid w:val="00237633"/>
    <w:rsid w:val="00241DB3"/>
    <w:rsid w:val="00253AC6"/>
    <w:rsid w:val="002575A4"/>
    <w:rsid w:val="00257D20"/>
    <w:rsid w:val="00262AAC"/>
    <w:rsid w:val="002653AA"/>
    <w:rsid w:val="0026615D"/>
    <w:rsid w:val="00271A67"/>
    <w:rsid w:val="0029652A"/>
    <w:rsid w:val="002A3D18"/>
    <w:rsid w:val="002B4B0C"/>
    <w:rsid w:val="002B6239"/>
    <w:rsid w:val="002D7BB9"/>
    <w:rsid w:val="002E333C"/>
    <w:rsid w:val="002E42A4"/>
    <w:rsid w:val="00303E98"/>
    <w:rsid w:val="0030501D"/>
    <w:rsid w:val="00306296"/>
    <w:rsid w:val="003064A1"/>
    <w:rsid w:val="003234A2"/>
    <w:rsid w:val="00355373"/>
    <w:rsid w:val="00362C21"/>
    <w:rsid w:val="00375135"/>
    <w:rsid w:val="00380423"/>
    <w:rsid w:val="003A5BFE"/>
    <w:rsid w:val="004138EB"/>
    <w:rsid w:val="0041502C"/>
    <w:rsid w:val="004154FF"/>
    <w:rsid w:val="004246A4"/>
    <w:rsid w:val="004312CA"/>
    <w:rsid w:val="00440310"/>
    <w:rsid w:val="00442A81"/>
    <w:rsid w:val="004430FA"/>
    <w:rsid w:val="0044528A"/>
    <w:rsid w:val="00447F49"/>
    <w:rsid w:val="00453463"/>
    <w:rsid w:val="00454313"/>
    <w:rsid w:val="004846B8"/>
    <w:rsid w:val="004949D6"/>
    <w:rsid w:val="00495461"/>
    <w:rsid w:val="00495E69"/>
    <w:rsid w:val="004D4511"/>
    <w:rsid w:val="004D6F69"/>
    <w:rsid w:val="004F2956"/>
    <w:rsid w:val="005107AB"/>
    <w:rsid w:val="005142BD"/>
    <w:rsid w:val="00547689"/>
    <w:rsid w:val="00561577"/>
    <w:rsid w:val="00570088"/>
    <w:rsid w:val="005733AF"/>
    <w:rsid w:val="00583363"/>
    <w:rsid w:val="00595AF7"/>
    <w:rsid w:val="00596668"/>
    <w:rsid w:val="005A31B8"/>
    <w:rsid w:val="005A481D"/>
    <w:rsid w:val="005B05E2"/>
    <w:rsid w:val="005B78CE"/>
    <w:rsid w:val="005C6BD8"/>
    <w:rsid w:val="005D4AA0"/>
    <w:rsid w:val="005E4655"/>
    <w:rsid w:val="005F1CD3"/>
    <w:rsid w:val="00613A1D"/>
    <w:rsid w:val="00617F48"/>
    <w:rsid w:val="00626FAE"/>
    <w:rsid w:val="00632D51"/>
    <w:rsid w:val="0063380A"/>
    <w:rsid w:val="006507CD"/>
    <w:rsid w:val="00650967"/>
    <w:rsid w:val="00656F68"/>
    <w:rsid w:val="006675F9"/>
    <w:rsid w:val="00671A5E"/>
    <w:rsid w:val="006A1C1C"/>
    <w:rsid w:val="006A213E"/>
    <w:rsid w:val="006A521E"/>
    <w:rsid w:val="006A6E8F"/>
    <w:rsid w:val="006B2504"/>
    <w:rsid w:val="006C60D8"/>
    <w:rsid w:val="006D419C"/>
    <w:rsid w:val="006D7AD2"/>
    <w:rsid w:val="006E0976"/>
    <w:rsid w:val="006E30C9"/>
    <w:rsid w:val="006E787A"/>
    <w:rsid w:val="006F0558"/>
    <w:rsid w:val="006F4FF7"/>
    <w:rsid w:val="006F69FC"/>
    <w:rsid w:val="006F6EBD"/>
    <w:rsid w:val="00701741"/>
    <w:rsid w:val="00731CB8"/>
    <w:rsid w:val="00736DDA"/>
    <w:rsid w:val="00740823"/>
    <w:rsid w:val="00745E57"/>
    <w:rsid w:val="00747880"/>
    <w:rsid w:val="00762D2D"/>
    <w:rsid w:val="00763109"/>
    <w:rsid w:val="00764FC1"/>
    <w:rsid w:val="00770687"/>
    <w:rsid w:val="00772E9E"/>
    <w:rsid w:val="00780D9B"/>
    <w:rsid w:val="00796BE8"/>
    <w:rsid w:val="007B0700"/>
    <w:rsid w:val="007F59F0"/>
    <w:rsid w:val="007F7561"/>
    <w:rsid w:val="00802DE9"/>
    <w:rsid w:val="00826DF5"/>
    <w:rsid w:val="008370A8"/>
    <w:rsid w:val="00842F88"/>
    <w:rsid w:val="00852D22"/>
    <w:rsid w:val="00863E0B"/>
    <w:rsid w:val="008655E7"/>
    <w:rsid w:val="008720E3"/>
    <w:rsid w:val="00891B92"/>
    <w:rsid w:val="008963C7"/>
    <w:rsid w:val="008A01E6"/>
    <w:rsid w:val="008C143A"/>
    <w:rsid w:val="008C2DE7"/>
    <w:rsid w:val="008C7DFD"/>
    <w:rsid w:val="008E01AB"/>
    <w:rsid w:val="008F5F12"/>
    <w:rsid w:val="008F7724"/>
    <w:rsid w:val="009022F0"/>
    <w:rsid w:val="0090633F"/>
    <w:rsid w:val="00914E3B"/>
    <w:rsid w:val="00917185"/>
    <w:rsid w:val="0092365A"/>
    <w:rsid w:val="00950BFE"/>
    <w:rsid w:val="00961EDB"/>
    <w:rsid w:val="009765EF"/>
    <w:rsid w:val="009A4012"/>
    <w:rsid w:val="009A4712"/>
    <w:rsid w:val="009D08FA"/>
    <w:rsid w:val="009D2AA8"/>
    <w:rsid w:val="009D5354"/>
    <w:rsid w:val="009E1120"/>
    <w:rsid w:val="009E4675"/>
    <w:rsid w:val="009E6A7F"/>
    <w:rsid w:val="009F0DC7"/>
    <w:rsid w:val="00A14734"/>
    <w:rsid w:val="00A23FF7"/>
    <w:rsid w:val="00A33F0E"/>
    <w:rsid w:val="00A425F8"/>
    <w:rsid w:val="00A6749E"/>
    <w:rsid w:val="00A754D0"/>
    <w:rsid w:val="00A767F1"/>
    <w:rsid w:val="00A85195"/>
    <w:rsid w:val="00A92744"/>
    <w:rsid w:val="00A93458"/>
    <w:rsid w:val="00A9384F"/>
    <w:rsid w:val="00A976FB"/>
    <w:rsid w:val="00AB1BA9"/>
    <w:rsid w:val="00AB1DA3"/>
    <w:rsid w:val="00AE5550"/>
    <w:rsid w:val="00AF36B0"/>
    <w:rsid w:val="00AF389F"/>
    <w:rsid w:val="00B0219F"/>
    <w:rsid w:val="00B16B3B"/>
    <w:rsid w:val="00B22BEC"/>
    <w:rsid w:val="00B62BF5"/>
    <w:rsid w:val="00B82E45"/>
    <w:rsid w:val="00B90461"/>
    <w:rsid w:val="00BB1F68"/>
    <w:rsid w:val="00BB6A03"/>
    <w:rsid w:val="00BD2F0B"/>
    <w:rsid w:val="00BD31B4"/>
    <w:rsid w:val="00BE1BD8"/>
    <w:rsid w:val="00BF5BA9"/>
    <w:rsid w:val="00C00678"/>
    <w:rsid w:val="00C01C46"/>
    <w:rsid w:val="00C06CCC"/>
    <w:rsid w:val="00C13CC7"/>
    <w:rsid w:val="00C160CF"/>
    <w:rsid w:val="00C230A7"/>
    <w:rsid w:val="00C26DFE"/>
    <w:rsid w:val="00C35833"/>
    <w:rsid w:val="00C42C0B"/>
    <w:rsid w:val="00C47985"/>
    <w:rsid w:val="00C51352"/>
    <w:rsid w:val="00C51428"/>
    <w:rsid w:val="00C64DD2"/>
    <w:rsid w:val="00C64EF1"/>
    <w:rsid w:val="00C72FAF"/>
    <w:rsid w:val="00C7750E"/>
    <w:rsid w:val="00C94ADA"/>
    <w:rsid w:val="00CA5D3B"/>
    <w:rsid w:val="00CC30C0"/>
    <w:rsid w:val="00CD4290"/>
    <w:rsid w:val="00CD7201"/>
    <w:rsid w:val="00CE2B6C"/>
    <w:rsid w:val="00CE5251"/>
    <w:rsid w:val="00D119C8"/>
    <w:rsid w:val="00D20E28"/>
    <w:rsid w:val="00D2179F"/>
    <w:rsid w:val="00D2399D"/>
    <w:rsid w:val="00D31DF2"/>
    <w:rsid w:val="00D52DB6"/>
    <w:rsid w:val="00D66BBE"/>
    <w:rsid w:val="00D872B9"/>
    <w:rsid w:val="00D95148"/>
    <w:rsid w:val="00DA1346"/>
    <w:rsid w:val="00DC0B4F"/>
    <w:rsid w:val="00DD3698"/>
    <w:rsid w:val="00E02753"/>
    <w:rsid w:val="00E027E6"/>
    <w:rsid w:val="00E06883"/>
    <w:rsid w:val="00E204DF"/>
    <w:rsid w:val="00E27EEF"/>
    <w:rsid w:val="00E30B6E"/>
    <w:rsid w:val="00E419F5"/>
    <w:rsid w:val="00E5638D"/>
    <w:rsid w:val="00E5646F"/>
    <w:rsid w:val="00E6149B"/>
    <w:rsid w:val="00E773C8"/>
    <w:rsid w:val="00E81EFE"/>
    <w:rsid w:val="00EA4ECF"/>
    <w:rsid w:val="00EB4563"/>
    <w:rsid w:val="00EC0496"/>
    <w:rsid w:val="00EC09A4"/>
    <w:rsid w:val="00EC11D4"/>
    <w:rsid w:val="00EC11F8"/>
    <w:rsid w:val="00ED4EF2"/>
    <w:rsid w:val="00EE0522"/>
    <w:rsid w:val="00EE38E1"/>
    <w:rsid w:val="00EE481F"/>
    <w:rsid w:val="00EF0112"/>
    <w:rsid w:val="00F00ECD"/>
    <w:rsid w:val="00F115E9"/>
    <w:rsid w:val="00F15C01"/>
    <w:rsid w:val="00F34CF0"/>
    <w:rsid w:val="00F379AB"/>
    <w:rsid w:val="00F42318"/>
    <w:rsid w:val="00F53B9A"/>
    <w:rsid w:val="00F558AD"/>
    <w:rsid w:val="00F61D79"/>
    <w:rsid w:val="00F739F3"/>
    <w:rsid w:val="00F845D4"/>
    <w:rsid w:val="00F868E4"/>
    <w:rsid w:val="00F87C6F"/>
    <w:rsid w:val="00FA4671"/>
    <w:rsid w:val="00FB2DD6"/>
    <w:rsid w:val="00FC0799"/>
    <w:rsid w:val="00FC191E"/>
    <w:rsid w:val="00FD6871"/>
    <w:rsid w:val="00FD6B89"/>
    <w:rsid w:val="04E60714"/>
    <w:rsid w:val="07AE198A"/>
    <w:rsid w:val="0BC711F5"/>
    <w:rsid w:val="13E55C7E"/>
    <w:rsid w:val="1B213B61"/>
    <w:rsid w:val="1D9C64B7"/>
    <w:rsid w:val="203D1DC1"/>
    <w:rsid w:val="264C33F5"/>
    <w:rsid w:val="2AA852D0"/>
    <w:rsid w:val="2D926B4B"/>
    <w:rsid w:val="2DB8019C"/>
    <w:rsid w:val="2E5B2964"/>
    <w:rsid w:val="34871537"/>
    <w:rsid w:val="45FF2515"/>
    <w:rsid w:val="4711175C"/>
    <w:rsid w:val="491B118D"/>
    <w:rsid w:val="4A16441A"/>
    <w:rsid w:val="4BE26BDD"/>
    <w:rsid w:val="4F4176BE"/>
    <w:rsid w:val="529E6DAF"/>
    <w:rsid w:val="533F40F1"/>
    <w:rsid w:val="55E5756D"/>
    <w:rsid w:val="59AA190F"/>
    <w:rsid w:val="5B184BDD"/>
    <w:rsid w:val="5CFF3BED"/>
    <w:rsid w:val="5D5F44D4"/>
    <w:rsid w:val="5D9130C8"/>
    <w:rsid w:val="5F5766E8"/>
    <w:rsid w:val="636E1CFF"/>
    <w:rsid w:val="69E54176"/>
    <w:rsid w:val="6B29162B"/>
    <w:rsid w:val="6BBD2087"/>
    <w:rsid w:val="6BE008C3"/>
    <w:rsid w:val="6C1521B6"/>
    <w:rsid w:val="6E3872DD"/>
    <w:rsid w:val="6E7F2488"/>
    <w:rsid w:val="6F6A672C"/>
    <w:rsid w:val="730D7B4F"/>
    <w:rsid w:val="74A31D69"/>
    <w:rsid w:val="76322E63"/>
    <w:rsid w:val="763B7C1F"/>
    <w:rsid w:val="76F41D52"/>
    <w:rsid w:val="784F30F3"/>
    <w:rsid w:val="79FA16C1"/>
    <w:rsid w:val="7A552C46"/>
    <w:rsid w:val="7AA60FA6"/>
    <w:rsid w:val="7F55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标题 Char"/>
    <w:basedOn w:val="9"/>
    <w:link w:val="6"/>
    <w:qFormat/>
    <w:uiPriority w:val="0"/>
    <w:rPr>
      <w:rFonts w:ascii="Cambria" w:hAnsi="Cambria" w:cs="Times New Roman"/>
      <w:b/>
      <w:bCs/>
      <w:kern w:val="2"/>
      <w:sz w:val="32"/>
      <w:szCs w:val="32"/>
    </w:rPr>
  </w:style>
  <w:style w:type="character" w:customStyle="1" w:styleId="12">
    <w:name w:val="页眉 Char"/>
    <w:basedOn w:val="9"/>
    <w:link w:val="4"/>
    <w:qFormat/>
    <w:uiPriority w:val="99"/>
    <w:rPr>
      <w:kern w:val="2"/>
      <w:sz w:val="18"/>
      <w:szCs w:val="18"/>
    </w:rPr>
  </w:style>
  <w:style w:type="character" w:customStyle="1" w:styleId="13">
    <w:name w:val="页脚 Char"/>
    <w:basedOn w:val="9"/>
    <w:link w:val="3"/>
    <w:qFormat/>
    <w:uiPriority w:val="99"/>
    <w:rPr>
      <w:kern w:val="2"/>
      <w:sz w:val="18"/>
      <w:szCs w:val="18"/>
    </w:rPr>
  </w:style>
  <w:style w:type="character" w:customStyle="1" w:styleId="14">
    <w:name w:val="段 Char"/>
    <w:link w:val="15"/>
    <w:qFormat/>
    <w:uiPriority w:val="0"/>
    <w:rPr>
      <w:rFonts w:ascii="宋体"/>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character" w:customStyle="1" w:styleId="19">
    <w:name w:val="fontstyle01"/>
    <w:basedOn w:val="9"/>
    <w:qFormat/>
    <w:uiPriority w:val="0"/>
    <w:rPr>
      <w:rFonts w:hint="eastAsia" w:ascii="宋体" w:hAnsi="宋体" w:eastAsia="宋体"/>
      <w:color w:val="000000"/>
      <w:sz w:val="22"/>
      <w:szCs w:val="22"/>
    </w:rPr>
  </w:style>
  <w:style w:type="character" w:customStyle="1" w:styleId="20">
    <w:name w:val="日期 Char"/>
    <w:basedOn w:val="9"/>
    <w:link w:val="2"/>
    <w:semiHidden/>
    <w:qFormat/>
    <w:uiPriority w:val="99"/>
    <w:rPr>
      <w:kern w:val="2"/>
      <w:sz w:val="21"/>
      <w:szCs w:val="24"/>
    </w:rPr>
  </w:style>
  <w:style w:type="character" w:styleId="21">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12097</Words>
  <Characters>15845</Characters>
  <Lines>32</Lines>
  <Paragraphs>9</Paragraphs>
  <TotalTime>11</TotalTime>
  <ScaleCrop>false</ScaleCrop>
  <LinksUpToDate>false</LinksUpToDate>
  <CharactersWithSpaces>16277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2023-02-22T06:21:00Z</dcterms:created>
  <dc:creator>郑灵芝</dc:creator>
  <cp:lastModifiedBy>SA</cp:lastModifiedBy>
  <cp:lastPrinted>2023-03-10T08:09:00Z</cp:lastPrinted>
  <dcterms:modified xsi:type="dcterms:W3CDTF">2023-12-12T12:23:03Z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9A21B63AEA3E4510B16EB87B5473C80C_13</vt:lpwstr>
  </property>
</Properties>
</file>