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560" w:lineRule="atLeast"/>
        <w:rPr>
          <w:rFonts w:ascii="黑体" w:hAnsi="黑体" w:eastAsia="黑体"/>
          <w:sz w:val="48"/>
          <w:szCs w:val="48"/>
        </w:rPr>
      </w:pPr>
      <w:r>
        <w:rPr>
          <w:rFonts w:hint="eastAsia" w:ascii="黑体" w:eastAsia="黑体"/>
          <w:w w:val="90"/>
          <w:sz w:val="28"/>
          <w:szCs w:val="28"/>
        </w:rPr>
        <w:t>有色行业标准（</w:t>
      </w:r>
      <w:r>
        <w:rPr>
          <w:rFonts w:ascii="黑体" w:eastAsia="黑体"/>
          <w:w w:val="90"/>
          <w:sz w:val="28"/>
          <w:szCs w:val="28"/>
        </w:rPr>
        <w:t>202</w:t>
      </w:r>
      <w:r>
        <w:rPr>
          <w:rFonts w:hint="eastAsia" w:ascii="黑体" w:eastAsia="黑体"/>
          <w:w w:val="90"/>
          <w:sz w:val="28"/>
          <w:szCs w:val="28"/>
          <w:lang w:val="en-US" w:eastAsia="zh-CN"/>
        </w:rPr>
        <w:t>3</w:t>
      </w:r>
      <w:r>
        <w:rPr>
          <w:rFonts w:ascii="黑体" w:eastAsia="黑体"/>
          <w:w w:val="90"/>
          <w:sz w:val="28"/>
          <w:szCs w:val="28"/>
        </w:rPr>
        <w:t>-</w:t>
      </w:r>
      <w:r>
        <w:rPr>
          <w:rFonts w:hint="eastAsia" w:ascii="黑体" w:eastAsia="黑体"/>
          <w:w w:val="90"/>
          <w:sz w:val="28"/>
          <w:szCs w:val="28"/>
          <w:lang w:val="en-US" w:eastAsia="zh-CN"/>
        </w:rPr>
        <w:t>0424</w:t>
      </w:r>
      <w:r>
        <w:rPr>
          <w:rFonts w:ascii="黑体" w:eastAsia="黑体"/>
          <w:w w:val="90"/>
          <w:sz w:val="28"/>
          <w:szCs w:val="28"/>
        </w:rPr>
        <w:t>T-YS</w:t>
      </w:r>
      <w:r>
        <w:rPr>
          <w:rFonts w:hint="eastAsia" w:ascii="黑体" w:eastAsia="黑体"/>
          <w:w w:val="90"/>
          <w:sz w:val="28"/>
          <w:szCs w:val="28"/>
        </w:rPr>
        <w:t>）</w:t>
      </w:r>
    </w:p>
    <w:p>
      <w:pPr>
        <w:pStyle w:val="16"/>
        <w:spacing w:line="560" w:lineRule="atLeast"/>
        <w:jc w:val="center"/>
        <w:rPr>
          <w:rFonts w:ascii="黑体" w:hAnsi="黑体" w:eastAsia="黑体"/>
          <w:sz w:val="48"/>
          <w:szCs w:val="48"/>
        </w:rPr>
      </w:pPr>
    </w:p>
    <w:p>
      <w:pPr>
        <w:pStyle w:val="16"/>
        <w:spacing w:line="560" w:lineRule="atLeast"/>
        <w:jc w:val="center"/>
        <w:rPr>
          <w:rFonts w:hint="eastAsia" w:ascii="黑体" w:hAnsi="黑体" w:eastAsia="黑体"/>
          <w:sz w:val="52"/>
          <w:szCs w:val="52"/>
          <w:lang w:eastAsia="zh-CN"/>
        </w:rPr>
      </w:pPr>
      <w:r>
        <w:rPr>
          <w:rFonts w:hint="eastAsia" w:ascii="黑体" w:hAnsi="黑体" w:eastAsia="黑体"/>
          <w:sz w:val="52"/>
          <w:szCs w:val="52"/>
          <w:lang w:val="en-US" w:eastAsia="zh-CN"/>
        </w:rPr>
        <w:t>核级碳化硼</w:t>
      </w:r>
      <w:r>
        <w:rPr>
          <w:rFonts w:hint="eastAsia" w:ascii="黑体" w:hAnsi="黑体" w:eastAsia="黑体"/>
          <w:sz w:val="52"/>
          <w:szCs w:val="52"/>
        </w:rPr>
        <w:t>化学分析方法</w:t>
      </w:r>
    </w:p>
    <w:p>
      <w:pPr>
        <w:pStyle w:val="16"/>
        <w:spacing w:line="560" w:lineRule="atLeast"/>
        <w:jc w:val="center"/>
        <w:rPr>
          <w:rFonts w:ascii="黑体" w:hAnsi="黑体" w:eastAsia="黑体"/>
          <w:sz w:val="52"/>
          <w:szCs w:val="52"/>
        </w:rPr>
      </w:pPr>
      <w:r>
        <w:rPr>
          <w:rFonts w:hint="eastAsia" w:ascii="黑体" w:hAnsi="黑体" w:eastAsia="黑体"/>
          <w:sz w:val="52"/>
          <w:szCs w:val="52"/>
        </w:rPr>
        <w:t>第</w:t>
      </w:r>
      <w:r>
        <w:rPr>
          <w:rFonts w:hint="eastAsia" w:ascii="黑体" w:hAnsi="黑体" w:eastAsia="黑体"/>
          <w:sz w:val="52"/>
          <w:szCs w:val="52"/>
          <w:lang w:val="en-US" w:eastAsia="zh-CN"/>
        </w:rPr>
        <w:t>1</w:t>
      </w:r>
      <w:r>
        <w:rPr>
          <w:rFonts w:hint="eastAsia" w:ascii="黑体" w:hAnsi="黑体" w:eastAsia="黑体"/>
          <w:sz w:val="52"/>
          <w:szCs w:val="52"/>
        </w:rPr>
        <w:t>部分：</w:t>
      </w:r>
      <w:r>
        <w:rPr>
          <w:rFonts w:hint="eastAsia" w:ascii="黑体" w:hAnsi="黑体" w:eastAsia="黑体"/>
          <w:sz w:val="52"/>
          <w:szCs w:val="52"/>
          <w:lang w:val="en-US" w:eastAsia="zh-CN"/>
        </w:rPr>
        <w:t>总硼</w:t>
      </w:r>
      <w:r>
        <w:rPr>
          <w:rFonts w:hint="eastAsia" w:ascii="黑体" w:hAnsi="黑体" w:eastAsia="黑体"/>
          <w:sz w:val="52"/>
          <w:szCs w:val="52"/>
        </w:rPr>
        <w:t>含量的测定</w:t>
      </w:r>
    </w:p>
    <w:p>
      <w:pPr>
        <w:pStyle w:val="16"/>
        <w:spacing w:line="560" w:lineRule="atLeast"/>
        <w:jc w:val="center"/>
        <w:rPr>
          <w:rFonts w:ascii="黑体" w:hAnsi="黑体" w:eastAsia="黑体"/>
          <w:sz w:val="52"/>
          <w:szCs w:val="52"/>
        </w:rPr>
      </w:pPr>
      <w:r>
        <w:rPr>
          <w:rFonts w:hint="eastAsia" w:ascii="黑体" w:hAnsi="黑体" w:eastAsia="黑体"/>
          <w:sz w:val="52"/>
          <w:szCs w:val="52"/>
          <w:lang w:val="en-US" w:eastAsia="zh-CN"/>
        </w:rPr>
        <w:t>酸碱</w:t>
      </w:r>
      <w:r>
        <w:rPr>
          <w:rFonts w:hint="eastAsia" w:ascii="黑体" w:hAnsi="黑体" w:eastAsia="黑体"/>
          <w:sz w:val="52"/>
          <w:szCs w:val="52"/>
          <w:lang w:eastAsia="zh-CN"/>
        </w:rPr>
        <w:t>滴定</w:t>
      </w:r>
      <w:r>
        <w:rPr>
          <w:rFonts w:hint="eastAsia" w:ascii="黑体" w:hAnsi="黑体" w:eastAsia="黑体"/>
          <w:sz w:val="52"/>
          <w:szCs w:val="52"/>
        </w:rPr>
        <w:t>法</w:t>
      </w:r>
    </w:p>
    <w:p>
      <w:pPr>
        <w:pStyle w:val="16"/>
        <w:spacing w:line="560" w:lineRule="atLeast"/>
        <w:jc w:val="center"/>
        <w:rPr>
          <w:rFonts w:ascii="黑体" w:hAnsi="黑体" w:eastAsia="黑体"/>
          <w:sz w:val="52"/>
          <w:szCs w:val="52"/>
        </w:rPr>
      </w:pPr>
    </w:p>
    <w:p>
      <w:pPr>
        <w:pStyle w:val="16"/>
        <w:spacing w:line="560" w:lineRule="atLeast"/>
        <w:jc w:val="center"/>
        <w:rPr>
          <w:rFonts w:ascii="黑体" w:hAnsi="黑体" w:eastAsia="黑体"/>
          <w:sz w:val="30"/>
          <w:szCs w:val="30"/>
        </w:rPr>
      </w:pPr>
      <w:r>
        <w:rPr>
          <w:rFonts w:hint="eastAsia" w:ascii="黑体" w:hAnsi="黑体" w:eastAsia="黑体"/>
          <w:sz w:val="30"/>
          <w:szCs w:val="30"/>
        </w:rPr>
        <w:t>编制说明</w:t>
      </w:r>
    </w:p>
    <w:p>
      <w:pPr>
        <w:pStyle w:val="16"/>
        <w:spacing w:line="560" w:lineRule="atLeast"/>
        <w:jc w:val="center"/>
        <w:rPr>
          <w:rFonts w:ascii="黑体" w:hAnsi="黑体" w:eastAsia="黑体"/>
          <w:sz w:val="28"/>
          <w:szCs w:val="28"/>
        </w:rPr>
      </w:pPr>
    </w:p>
    <w:p>
      <w:pPr>
        <w:pStyle w:val="16"/>
        <w:spacing w:line="560" w:lineRule="atLeast"/>
        <w:jc w:val="center"/>
        <w:rPr>
          <w:rFonts w:ascii="黑体" w:hAnsi="黑体" w:eastAsia="黑体"/>
          <w:sz w:val="28"/>
          <w:szCs w:val="28"/>
        </w:rPr>
      </w:pPr>
      <w:r>
        <w:rPr>
          <w:rFonts w:hint="eastAsia" w:ascii="黑体" w:hAnsi="黑体" w:eastAsia="黑体"/>
          <w:sz w:val="28"/>
          <w:szCs w:val="28"/>
        </w:rPr>
        <w:t>（</w:t>
      </w:r>
      <w:r>
        <w:rPr>
          <w:rFonts w:hint="eastAsia" w:ascii="黑体" w:hAnsi="黑体" w:eastAsia="黑体"/>
          <w:sz w:val="28"/>
          <w:szCs w:val="28"/>
          <w:lang w:val="en-US" w:eastAsia="zh-CN"/>
        </w:rPr>
        <w:t>讨论稿</w:t>
      </w:r>
      <w:r>
        <w:rPr>
          <w:rFonts w:hint="eastAsia" w:ascii="黑体" w:hAnsi="黑体" w:eastAsia="黑体"/>
          <w:sz w:val="28"/>
          <w:szCs w:val="28"/>
        </w:rPr>
        <w:t>）</w:t>
      </w:r>
    </w:p>
    <w:p>
      <w:pPr>
        <w:pStyle w:val="16"/>
        <w:spacing w:line="560" w:lineRule="atLeast"/>
        <w:jc w:val="center"/>
        <w:rPr>
          <w:rFonts w:ascii="黑体" w:hAnsi="黑体" w:eastAsia="黑体"/>
          <w:b/>
          <w:bCs/>
          <w:sz w:val="36"/>
          <w:szCs w:val="36"/>
        </w:rPr>
      </w:pPr>
    </w:p>
    <w:p>
      <w:pPr>
        <w:pStyle w:val="16"/>
        <w:spacing w:line="560" w:lineRule="atLeast"/>
        <w:rPr>
          <w:rFonts w:ascii="黑体" w:hAnsi="黑体" w:eastAsia="黑体"/>
          <w:b/>
          <w:bCs/>
          <w:sz w:val="30"/>
          <w:szCs w:val="30"/>
        </w:rPr>
      </w:pPr>
      <w:r>
        <w:rPr>
          <w:rFonts w:hint="eastAsia" w:ascii="黑体" w:hAnsi="黑体" w:eastAsia="黑体"/>
          <w:b/>
          <w:bCs/>
          <w:sz w:val="30"/>
          <w:szCs w:val="30"/>
        </w:rPr>
        <w:tab/>
      </w:r>
    </w:p>
    <w:p>
      <w:pPr>
        <w:pStyle w:val="16"/>
        <w:spacing w:line="560" w:lineRule="atLeast"/>
        <w:rPr>
          <w:rFonts w:ascii="黑体" w:hAnsi="黑体" w:eastAsia="黑体"/>
          <w:b/>
          <w:bCs/>
          <w:sz w:val="30"/>
          <w:szCs w:val="30"/>
        </w:rPr>
      </w:pPr>
    </w:p>
    <w:p>
      <w:pPr>
        <w:pStyle w:val="16"/>
        <w:spacing w:line="560" w:lineRule="atLeast"/>
        <w:rPr>
          <w:rFonts w:ascii="黑体" w:hAnsi="黑体" w:eastAsia="黑体"/>
          <w:b/>
          <w:bCs/>
          <w:sz w:val="30"/>
          <w:szCs w:val="30"/>
        </w:rPr>
      </w:pPr>
    </w:p>
    <w:p>
      <w:pPr>
        <w:pStyle w:val="16"/>
        <w:spacing w:line="560" w:lineRule="atLeast"/>
        <w:rPr>
          <w:rFonts w:ascii="黑体" w:hAnsi="黑体" w:eastAsia="黑体"/>
          <w:b/>
          <w:bCs/>
          <w:sz w:val="30"/>
          <w:szCs w:val="30"/>
        </w:rPr>
      </w:pPr>
    </w:p>
    <w:p>
      <w:pPr>
        <w:pStyle w:val="16"/>
        <w:spacing w:line="560" w:lineRule="atLeast"/>
        <w:rPr>
          <w:rFonts w:ascii="黑体" w:hAnsi="黑体" w:eastAsia="黑体"/>
          <w:b/>
          <w:bCs/>
          <w:sz w:val="30"/>
          <w:szCs w:val="30"/>
        </w:rPr>
      </w:pPr>
    </w:p>
    <w:p>
      <w:pPr>
        <w:pStyle w:val="16"/>
        <w:spacing w:line="560" w:lineRule="atLeast"/>
        <w:rPr>
          <w:rFonts w:ascii="黑体" w:hAnsi="黑体" w:eastAsia="黑体"/>
          <w:b/>
          <w:bCs/>
          <w:sz w:val="30"/>
          <w:szCs w:val="30"/>
        </w:rPr>
      </w:pPr>
    </w:p>
    <w:p>
      <w:pPr>
        <w:pStyle w:val="16"/>
        <w:spacing w:line="560" w:lineRule="atLeast"/>
        <w:jc w:val="center"/>
        <w:rPr>
          <w:rFonts w:ascii="黑体" w:hAnsi="黑体" w:eastAsia="黑体"/>
          <w:sz w:val="30"/>
          <w:szCs w:val="30"/>
        </w:rPr>
      </w:pPr>
      <w:r>
        <w:rPr>
          <w:rFonts w:hint="eastAsia" w:ascii="黑体" w:hAnsi="黑体" w:eastAsia="黑体"/>
          <w:sz w:val="30"/>
          <w:szCs w:val="30"/>
        </w:rPr>
        <w:t>有色行业标准《</w:t>
      </w:r>
      <w:r>
        <w:rPr>
          <w:rFonts w:hint="eastAsia" w:ascii="黑体" w:hAnsi="黑体" w:eastAsia="黑体"/>
          <w:sz w:val="30"/>
          <w:szCs w:val="30"/>
          <w:lang w:val="en-US" w:eastAsia="zh-CN"/>
        </w:rPr>
        <w:t>核级碳化硼</w:t>
      </w:r>
      <w:r>
        <w:rPr>
          <w:rFonts w:hint="eastAsia" w:ascii="黑体" w:hAnsi="黑体" w:eastAsia="黑体"/>
          <w:sz w:val="30"/>
          <w:szCs w:val="30"/>
        </w:rPr>
        <w:t>化学分析方法第</w:t>
      </w:r>
      <w:r>
        <w:rPr>
          <w:rFonts w:hint="eastAsia" w:ascii="黑体" w:hAnsi="黑体" w:eastAsia="黑体"/>
          <w:sz w:val="30"/>
          <w:szCs w:val="30"/>
          <w:lang w:val="en-US" w:eastAsia="zh-CN"/>
        </w:rPr>
        <w:t>1</w:t>
      </w:r>
      <w:r>
        <w:rPr>
          <w:rFonts w:hint="eastAsia" w:ascii="黑体" w:hAnsi="黑体" w:eastAsia="黑体"/>
          <w:sz w:val="30"/>
          <w:szCs w:val="30"/>
        </w:rPr>
        <w:t>部分：</w:t>
      </w:r>
      <w:r>
        <w:rPr>
          <w:rFonts w:hint="eastAsia" w:ascii="黑体" w:hAnsi="黑体" w:eastAsia="黑体"/>
          <w:sz w:val="30"/>
          <w:szCs w:val="30"/>
          <w:lang w:val="en-US" w:eastAsia="zh-CN"/>
        </w:rPr>
        <w:t>总硼</w:t>
      </w:r>
      <w:r>
        <w:rPr>
          <w:rFonts w:hint="eastAsia" w:ascii="黑体" w:hAnsi="黑体" w:eastAsia="黑体"/>
          <w:sz w:val="30"/>
          <w:szCs w:val="30"/>
        </w:rPr>
        <w:t>含量的测定</w:t>
      </w:r>
      <w:r>
        <w:rPr>
          <w:rFonts w:hint="eastAsia" w:ascii="黑体" w:hAnsi="黑体" w:eastAsia="黑体"/>
          <w:sz w:val="30"/>
          <w:szCs w:val="30"/>
          <w:lang w:val="en-US" w:eastAsia="zh-CN"/>
        </w:rPr>
        <w:t>酸碱</w:t>
      </w:r>
      <w:r>
        <w:rPr>
          <w:rFonts w:hint="eastAsia" w:ascii="黑体" w:hAnsi="黑体" w:eastAsia="黑体"/>
          <w:sz w:val="30"/>
          <w:szCs w:val="30"/>
          <w:lang w:eastAsia="zh-CN"/>
        </w:rPr>
        <w:t>滴定法</w:t>
      </w:r>
      <w:r>
        <w:rPr>
          <w:rFonts w:hint="eastAsia" w:ascii="黑体" w:eastAsia="黑体"/>
          <w:w w:val="90"/>
          <w:sz w:val="30"/>
          <w:szCs w:val="30"/>
        </w:rPr>
        <w:t>》</w:t>
      </w:r>
      <w:r>
        <w:rPr>
          <w:rFonts w:hint="eastAsia" w:ascii="黑体" w:hAnsi="黑体" w:eastAsia="黑体"/>
          <w:sz w:val="30"/>
          <w:szCs w:val="30"/>
        </w:rPr>
        <w:t>起草小组202</w:t>
      </w:r>
      <w:r>
        <w:rPr>
          <w:rFonts w:ascii="黑体" w:hAnsi="黑体" w:eastAsia="黑体"/>
          <w:sz w:val="30"/>
          <w:szCs w:val="30"/>
        </w:rPr>
        <w:t>3</w:t>
      </w:r>
      <w:r>
        <w:rPr>
          <w:rFonts w:hint="eastAsia" w:ascii="黑体" w:hAnsi="黑体" w:eastAsia="黑体"/>
          <w:sz w:val="30"/>
          <w:szCs w:val="30"/>
        </w:rPr>
        <w:t>年</w:t>
      </w:r>
      <w:r>
        <w:rPr>
          <w:rFonts w:hint="eastAsia" w:ascii="黑体" w:hAnsi="黑体" w:eastAsia="黑体"/>
          <w:sz w:val="30"/>
          <w:szCs w:val="30"/>
          <w:lang w:val="en-US" w:eastAsia="zh-CN"/>
        </w:rPr>
        <w:t>12</w:t>
      </w:r>
      <w:r>
        <w:rPr>
          <w:rFonts w:hint="eastAsia" w:ascii="黑体" w:hAnsi="黑体" w:eastAsia="黑体"/>
          <w:sz w:val="30"/>
          <w:szCs w:val="30"/>
        </w:rPr>
        <w:t>月</w:t>
      </w:r>
    </w:p>
    <w:p>
      <w:pPr>
        <w:pStyle w:val="16"/>
        <w:spacing w:line="560" w:lineRule="atLeast"/>
        <w:jc w:val="center"/>
        <w:rPr>
          <w:rFonts w:ascii="黑体" w:hAnsi="黑体" w:eastAsia="黑体"/>
          <w:sz w:val="30"/>
          <w:szCs w:val="30"/>
        </w:rPr>
      </w:pPr>
    </w:p>
    <w:p>
      <w:pPr>
        <w:spacing w:line="360" w:lineRule="auto"/>
        <w:jc w:val="center"/>
        <w:rPr>
          <w:rFonts w:eastAsia="黑体"/>
          <w:sz w:val="24"/>
        </w:rPr>
      </w:pPr>
    </w:p>
    <w:p>
      <w:pPr>
        <w:widowControl/>
        <w:jc w:val="left"/>
        <w:rPr>
          <w:rFonts w:eastAsia="黑体"/>
          <w:sz w:val="24"/>
        </w:rPr>
      </w:pPr>
    </w:p>
    <w:p>
      <w:pPr>
        <w:spacing w:line="360" w:lineRule="auto"/>
        <w:jc w:val="center"/>
        <w:rPr>
          <w:rFonts w:ascii="黑体" w:hAnsi="黑体" w:eastAsia="黑体"/>
          <w:sz w:val="36"/>
          <w:szCs w:val="36"/>
        </w:rPr>
        <w:sectPr>
          <w:pgSz w:w="11906" w:h="16838"/>
          <w:pgMar w:top="1440" w:right="1800" w:bottom="1440" w:left="1800" w:header="851" w:footer="992" w:gutter="0"/>
          <w:cols w:space="720" w:num="1"/>
          <w:docGrid w:type="lines" w:linePitch="312" w:charSpace="0"/>
        </w:sectPr>
      </w:pPr>
    </w:p>
    <w:p>
      <w:pPr>
        <w:spacing w:line="360" w:lineRule="auto"/>
        <w:jc w:val="center"/>
        <w:rPr>
          <w:rFonts w:ascii="黑体" w:eastAsia="黑体"/>
          <w:w w:val="90"/>
          <w:sz w:val="36"/>
          <w:szCs w:val="36"/>
        </w:rPr>
      </w:pPr>
      <w:r>
        <w:rPr>
          <w:rFonts w:hint="eastAsia" w:ascii="黑体" w:eastAsia="黑体"/>
          <w:w w:val="90"/>
          <w:sz w:val="36"/>
          <w:szCs w:val="36"/>
        </w:rPr>
        <w:t>有色行业标准《</w:t>
      </w:r>
      <w:r>
        <w:rPr>
          <w:rFonts w:hint="eastAsia" w:ascii="黑体" w:eastAsia="黑体"/>
          <w:w w:val="90"/>
          <w:sz w:val="36"/>
          <w:szCs w:val="36"/>
          <w:lang w:val="en-US" w:eastAsia="zh-CN"/>
        </w:rPr>
        <w:t>核级碳化硼</w:t>
      </w:r>
      <w:r>
        <w:rPr>
          <w:rFonts w:hint="eastAsia" w:ascii="黑体" w:eastAsia="黑体"/>
          <w:w w:val="90"/>
          <w:sz w:val="36"/>
          <w:szCs w:val="36"/>
        </w:rPr>
        <w:t>化学分析方法第</w:t>
      </w:r>
      <w:r>
        <w:rPr>
          <w:rFonts w:hint="eastAsia" w:ascii="黑体" w:eastAsia="黑体"/>
          <w:w w:val="90"/>
          <w:sz w:val="36"/>
          <w:szCs w:val="36"/>
          <w:lang w:val="en-US" w:eastAsia="zh-CN"/>
        </w:rPr>
        <w:t>1</w:t>
      </w:r>
      <w:r>
        <w:rPr>
          <w:rFonts w:hint="eastAsia" w:ascii="黑体" w:eastAsia="黑体"/>
          <w:w w:val="90"/>
          <w:sz w:val="36"/>
          <w:szCs w:val="36"/>
        </w:rPr>
        <w:t>部分：</w:t>
      </w:r>
      <w:r>
        <w:rPr>
          <w:rFonts w:hint="eastAsia" w:ascii="黑体" w:eastAsia="黑体"/>
          <w:w w:val="90"/>
          <w:sz w:val="36"/>
          <w:szCs w:val="36"/>
          <w:lang w:val="en-US" w:eastAsia="zh-CN"/>
        </w:rPr>
        <w:t>总硼</w:t>
      </w:r>
      <w:r>
        <w:rPr>
          <w:rFonts w:hint="eastAsia" w:ascii="黑体" w:eastAsia="黑体"/>
          <w:w w:val="90"/>
          <w:sz w:val="36"/>
          <w:szCs w:val="36"/>
        </w:rPr>
        <w:t>含量的测定</w:t>
      </w:r>
      <w:r>
        <w:rPr>
          <w:rFonts w:hint="eastAsia" w:ascii="黑体" w:eastAsia="黑体"/>
          <w:w w:val="90"/>
          <w:sz w:val="36"/>
          <w:szCs w:val="36"/>
          <w:lang w:val="en-US" w:eastAsia="zh-CN"/>
        </w:rPr>
        <w:t>酸碱</w:t>
      </w:r>
      <w:r>
        <w:rPr>
          <w:rFonts w:hint="eastAsia" w:ascii="黑体" w:eastAsia="黑体"/>
          <w:w w:val="90"/>
          <w:sz w:val="36"/>
          <w:szCs w:val="36"/>
          <w:lang w:eastAsia="zh-CN"/>
        </w:rPr>
        <w:t>滴定法</w:t>
      </w:r>
      <w:r>
        <w:rPr>
          <w:rFonts w:hint="eastAsia" w:ascii="黑体" w:eastAsia="黑体"/>
          <w:w w:val="90"/>
          <w:sz w:val="36"/>
          <w:szCs w:val="36"/>
        </w:rPr>
        <w:t>》</w:t>
      </w:r>
    </w:p>
    <w:p>
      <w:pPr>
        <w:spacing w:line="360" w:lineRule="auto"/>
        <w:jc w:val="center"/>
        <w:rPr>
          <w:rFonts w:eastAsia="黑体"/>
          <w:sz w:val="36"/>
          <w:szCs w:val="36"/>
        </w:rPr>
      </w:pPr>
      <w:r>
        <w:rPr>
          <w:rFonts w:eastAsia="黑体"/>
          <w:sz w:val="36"/>
          <w:szCs w:val="36"/>
        </w:rPr>
        <w:t>编制说明</w:t>
      </w:r>
    </w:p>
    <w:p>
      <w:pPr>
        <w:spacing w:line="360" w:lineRule="auto"/>
        <w:rPr>
          <w:rFonts w:ascii="宋体" w:hAnsi="宋体"/>
          <w:b/>
        </w:rPr>
      </w:pPr>
      <w:r>
        <w:rPr>
          <w:rFonts w:ascii="宋体" w:hAnsi="宋体"/>
          <w:b/>
        </w:rPr>
        <w:t>一、工作简况</w:t>
      </w:r>
    </w:p>
    <w:p>
      <w:pPr>
        <w:spacing w:line="360" w:lineRule="auto"/>
        <w:rPr>
          <w:rFonts w:ascii="宋体" w:hAnsi="宋体"/>
          <w:b/>
        </w:rPr>
      </w:pPr>
      <w:r>
        <w:rPr>
          <w:rFonts w:hint="eastAsia" w:ascii="宋体" w:hAnsi="宋体"/>
          <w:b/>
          <w:lang w:eastAsia="zh-CN"/>
        </w:rPr>
        <w:t>（</w:t>
      </w:r>
      <w:r>
        <w:rPr>
          <w:rFonts w:hint="eastAsia" w:ascii="宋体" w:hAnsi="宋体"/>
          <w:b/>
          <w:lang w:val="en-US" w:eastAsia="zh-CN"/>
        </w:rPr>
        <w:t>一</w:t>
      </w:r>
      <w:r>
        <w:rPr>
          <w:rFonts w:hint="eastAsia" w:ascii="宋体" w:hAnsi="宋体"/>
          <w:b/>
          <w:lang w:eastAsia="zh-CN"/>
        </w:rPr>
        <w:t>）</w:t>
      </w:r>
      <w:r>
        <w:rPr>
          <w:rFonts w:ascii="宋体" w:hAnsi="宋体"/>
          <w:b/>
        </w:rPr>
        <w:t>任务来源</w:t>
      </w:r>
    </w:p>
    <w:p>
      <w:pPr>
        <w:spacing w:line="240" w:lineRule="auto"/>
        <w:ind w:firstLine="420" w:firstLineChars="200"/>
      </w:pPr>
      <w:r>
        <w:rPr>
          <w:rFonts w:hint="eastAsia"/>
          <w:lang w:eastAsia="zh-CN"/>
        </w:rPr>
        <w:t>根据</w:t>
      </w:r>
      <w:r>
        <w:t>工信部</w:t>
      </w:r>
      <w:r>
        <w:rPr>
          <w:rFonts w:hint="eastAsia"/>
        </w:rPr>
        <w:t>《工业和信息化部办工厅关于印发20</w:t>
      </w:r>
      <w:r>
        <w:t>2</w:t>
      </w:r>
      <w:r>
        <w:rPr>
          <w:rFonts w:hint="eastAsia"/>
          <w:lang w:val="en-US" w:eastAsia="zh-CN"/>
        </w:rPr>
        <w:t>3</w:t>
      </w:r>
      <w:r>
        <w:rPr>
          <w:rFonts w:hint="eastAsia"/>
        </w:rPr>
        <w:t>年</w:t>
      </w:r>
      <w:r>
        <w:t>第一批行业标准制修订和外文版项目计划的通知</w:t>
      </w:r>
      <w:r>
        <w:rPr>
          <w:rFonts w:hint="eastAsia"/>
        </w:rPr>
        <w:t>》（</w:t>
      </w:r>
      <w:r>
        <w:t>工信厅科函〔202</w:t>
      </w:r>
      <w:r>
        <w:rPr>
          <w:rFonts w:hint="eastAsia"/>
          <w:lang w:val="en-US" w:eastAsia="zh-CN"/>
        </w:rPr>
        <w:t>3</w:t>
      </w:r>
      <w:r>
        <w:t>〕</w:t>
      </w:r>
      <w:r>
        <w:rPr>
          <w:rFonts w:hint="eastAsia"/>
          <w:lang w:val="en-US" w:eastAsia="zh-CN"/>
        </w:rPr>
        <w:t>18</w:t>
      </w:r>
      <w:r>
        <w:t>号</w:t>
      </w:r>
      <w:r>
        <w:rPr>
          <w:rFonts w:hint="eastAsia"/>
        </w:rPr>
        <w:t>）</w:t>
      </w:r>
      <w:r>
        <w:rPr>
          <w:rFonts w:hint="eastAsia"/>
          <w:lang w:eastAsia="zh-CN"/>
        </w:rPr>
        <w:t>，</w:t>
      </w:r>
      <w:r>
        <w:t>标准《</w:t>
      </w:r>
      <w:r>
        <w:rPr>
          <w:rFonts w:hint="eastAsia" w:ascii="宋体" w:hAnsi="宋体"/>
          <w:szCs w:val="21"/>
        </w:rPr>
        <w:t>碳</w:t>
      </w:r>
      <w:r>
        <w:rPr>
          <w:rFonts w:hint="eastAsia" w:ascii="宋体" w:hAnsi="宋体"/>
          <w:szCs w:val="21"/>
          <w:lang w:val="en-US" w:eastAsia="zh-CN"/>
        </w:rPr>
        <w:t>核级碳化硼</w:t>
      </w:r>
      <w:r>
        <w:rPr>
          <w:rFonts w:hint="eastAsia" w:ascii="宋体" w:hAnsi="宋体"/>
          <w:szCs w:val="21"/>
        </w:rPr>
        <w:t>化学分析方法第</w:t>
      </w:r>
      <w:r>
        <w:rPr>
          <w:rFonts w:hint="eastAsia" w:ascii="宋体" w:hAnsi="宋体"/>
          <w:szCs w:val="21"/>
          <w:lang w:val="en-US" w:eastAsia="zh-CN"/>
        </w:rPr>
        <w:t>1</w:t>
      </w:r>
      <w:r>
        <w:rPr>
          <w:rFonts w:hint="eastAsia" w:ascii="宋体" w:hAnsi="宋体"/>
          <w:szCs w:val="21"/>
        </w:rPr>
        <w:t>部分：</w:t>
      </w:r>
      <w:r>
        <w:rPr>
          <w:rFonts w:hint="eastAsia" w:ascii="宋体" w:hAnsi="宋体"/>
          <w:szCs w:val="21"/>
          <w:lang w:val="en-US" w:eastAsia="zh-CN"/>
        </w:rPr>
        <w:t>总硼</w:t>
      </w:r>
      <w:r>
        <w:rPr>
          <w:rFonts w:hint="eastAsia" w:ascii="宋体" w:hAnsi="宋体"/>
          <w:szCs w:val="21"/>
        </w:rPr>
        <w:t>含量的测定</w:t>
      </w:r>
      <w:r>
        <w:rPr>
          <w:rFonts w:hint="eastAsia" w:ascii="宋体" w:hAnsi="宋体"/>
          <w:szCs w:val="21"/>
          <w:lang w:val="en-US" w:eastAsia="zh-CN"/>
        </w:rPr>
        <w:t>酸碱</w:t>
      </w:r>
      <w:r>
        <w:rPr>
          <w:rFonts w:hint="eastAsia" w:ascii="宋体" w:hAnsi="宋体"/>
          <w:szCs w:val="21"/>
          <w:lang w:eastAsia="zh-CN"/>
        </w:rPr>
        <w:t>滴定法</w:t>
      </w:r>
      <w:r>
        <w:rPr>
          <w:szCs w:val="21"/>
        </w:rPr>
        <w:t>》</w:t>
      </w:r>
      <w:r>
        <w:t>由</w:t>
      </w:r>
      <w:r>
        <w:rPr>
          <w:rFonts w:hint="eastAsia"/>
          <w:szCs w:val="21"/>
        </w:rPr>
        <w:t>中南大学</w:t>
      </w:r>
      <w:r>
        <w:t>负责主起草，</w:t>
      </w:r>
      <w:r>
        <w:rPr>
          <w:rFonts w:hint="eastAsia"/>
          <w:lang w:val="en-US" w:eastAsia="zh-CN"/>
        </w:rPr>
        <w:t>敦化市正兴磨料有限责任公司、大连博恩坦科技有限公司、北京工业大学、深圳市中金岭南有色金属股份有限公司、广东腐蚀科学与技术创新研究院、</w:t>
      </w:r>
      <w:r>
        <w:rPr>
          <w:rFonts w:ascii="Times New Roman" w:hAnsi="Times New Roman" w:eastAsia="宋体" w:cs="Times New Roman"/>
          <w:color w:val="000000"/>
          <w:kern w:val="0"/>
          <w:sz w:val="22"/>
          <w:lang w:bidi="ar"/>
        </w:rPr>
        <w:t>中国有色桂林矿产地质研究院有限公司</w:t>
      </w:r>
      <w:r>
        <w:rPr>
          <w:rFonts w:hint="eastAsia" w:cs="Times New Roman"/>
          <w:color w:val="000000"/>
          <w:kern w:val="0"/>
          <w:sz w:val="22"/>
          <w:lang w:eastAsia="zh-CN" w:bidi="ar"/>
        </w:rPr>
        <w:t>、广西壮族自治区分析测试研究中心、</w:t>
      </w:r>
      <w:r>
        <w:rPr>
          <w:rFonts w:ascii="Times New Roman" w:hAnsi="Times New Roman" w:eastAsia="宋体" w:cs="Times New Roman"/>
          <w:color w:val="000000"/>
          <w:kern w:val="0"/>
          <w:sz w:val="22"/>
          <w:lang w:bidi="ar"/>
        </w:rPr>
        <w:t>长沙矿冶研究院有限责任公司、国标（北京）检验认证有限公司</w:t>
      </w:r>
      <w:r>
        <w:rPr>
          <w:rFonts w:hint="eastAsia"/>
          <w:szCs w:val="21"/>
        </w:rPr>
        <w:t>等</w:t>
      </w:r>
      <w:r>
        <w:t>为验证单位。</w:t>
      </w:r>
    </w:p>
    <w:p>
      <w:pPr>
        <w:spacing w:line="240" w:lineRule="auto"/>
        <w:ind w:firstLine="420" w:firstLineChars="200"/>
        <w:rPr>
          <w:szCs w:val="21"/>
        </w:rPr>
      </w:pPr>
      <w:r>
        <w:rPr>
          <w:szCs w:val="21"/>
        </w:rPr>
        <w:t>项目计划号：202</w:t>
      </w:r>
      <w:r>
        <w:rPr>
          <w:rFonts w:hint="eastAsia"/>
          <w:szCs w:val="21"/>
          <w:lang w:val="en-US" w:eastAsia="zh-CN"/>
        </w:rPr>
        <w:t>3</w:t>
      </w:r>
      <w:r>
        <w:rPr>
          <w:szCs w:val="21"/>
        </w:rPr>
        <w:t>-</w:t>
      </w:r>
      <w:r>
        <w:rPr>
          <w:rFonts w:hint="eastAsia"/>
          <w:szCs w:val="21"/>
          <w:lang w:val="en-US" w:eastAsia="zh-CN"/>
        </w:rPr>
        <w:t>0424</w:t>
      </w:r>
      <w:r>
        <w:rPr>
          <w:rFonts w:hint="eastAsia"/>
          <w:szCs w:val="21"/>
        </w:rPr>
        <w:t>T-YS</w:t>
      </w:r>
      <w:r>
        <w:rPr>
          <w:szCs w:val="21"/>
        </w:rPr>
        <w:t>，计划完成年限：20</w:t>
      </w:r>
      <w:r>
        <w:rPr>
          <w:rFonts w:hint="eastAsia"/>
          <w:szCs w:val="21"/>
        </w:rPr>
        <w:t>2</w:t>
      </w:r>
      <w:r>
        <w:rPr>
          <w:rFonts w:hint="eastAsia"/>
          <w:szCs w:val="21"/>
          <w:lang w:val="en-US" w:eastAsia="zh-CN"/>
        </w:rPr>
        <w:t>4</w:t>
      </w:r>
      <w:r>
        <w:rPr>
          <w:szCs w:val="21"/>
        </w:rPr>
        <w:t>年。</w:t>
      </w:r>
    </w:p>
    <w:p>
      <w:pPr>
        <w:spacing w:line="360" w:lineRule="auto"/>
        <w:rPr>
          <w:b/>
        </w:rPr>
      </w:pPr>
      <w:r>
        <w:rPr>
          <w:rFonts w:hint="eastAsia"/>
          <w:b/>
          <w:lang w:val="en-US" w:eastAsia="zh-CN"/>
        </w:rPr>
        <w:t>（二）</w:t>
      </w:r>
      <w:r>
        <w:rPr>
          <w:b/>
        </w:rPr>
        <w:t>项目概况</w:t>
      </w:r>
    </w:p>
    <w:p>
      <w:pPr>
        <w:pStyle w:val="17"/>
        <w:spacing w:line="240" w:lineRule="auto"/>
        <w:rPr>
          <w:rFonts w:hint="eastAsia" w:ascii="宋体" w:hAnsi="宋体"/>
          <w:szCs w:val="21"/>
        </w:rPr>
      </w:pPr>
      <w:r>
        <w:rPr>
          <w:rFonts w:hint="eastAsia" w:ascii="宋体" w:hAnsi="宋体"/>
          <w:szCs w:val="21"/>
        </w:rPr>
        <w:t>YS</w:t>
      </w:r>
      <w:r>
        <w:rPr>
          <w:rFonts w:hint="eastAsia" w:ascii="宋体" w:hAnsi="宋体"/>
          <w:szCs w:val="21"/>
          <w:lang w:val="en-US" w:eastAsia="zh-CN"/>
        </w:rPr>
        <w:t>/</w:t>
      </w:r>
      <w:r>
        <w:rPr>
          <w:rFonts w:hint="eastAsia" w:ascii="宋体" w:hAnsi="宋体"/>
          <w:szCs w:val="21"/>
        </w:rPr>
        <w:t>T42</w:t>
      </w: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1</w:t>
      </w:r>
      <w:r>
        <w:rPr>
          <w:rFonts w:hint="eastAsia" w:ascii="宋体" w:hAnsi="宋体"/>
          <w:szCs w:val="21"/>
        </w:rPr>
        <w:t>-2000已发布实施20年，现在修订完善具有现实意义。</w:t>
      </w:r>
    </w:p>
    <w:p>
      <w:pPr>
        <w:pStyle w:val="17"/>
        <w:spacing w:line="240" w:lineRule="auto"/>
        <w:rPr>
          <w:b/>
          <w:szCs w:val="21"/>
        </w:rPr>
      </w:pPr>
      <w:r>
        <w:rPr>
          <w:rFonts w:hint="eastAsia" w:ascii="宋体" w:hAnsi="宋体"/>
          <w:szCs w:val="21"/>
          <w:lang w:val="en-US" w:eastAsia="zh-CN"/>
        </w:rPr>
        <w:t>为</w:t>
      </w:r>
      <w:r>
        <w:rPr>
          <w:szCs w:val="21"/>
        </w:rPr>
        <w:t>更好地确保标准的先进性，可操作性</w:t>
      </w:r>
      <w:r>
        <w:rPr>
          <w:rFonts w:hint="eastAsia"/>
          <w:szCs w:val="21"/>
        </w:rPr>
        <w:t>，</w:t>
      </w:r>
      <w:r>
        <w:rPr>
          <w:szCs w:val="21"/>
        </w:rPr>
        <w:t>促进我国检测技术的进步。</w:t>
      </w:r>
      <w:r>
        <w:rPr>
          <w:rFonts w:hint="eastAsia" w:ascii="宋体" w:hAnsi="宋体"/>
          <w:szCs w:val="21"/>
        </w:rPr>
        <w:t>对</w:t>
      </w:r>
      <w:r>
        <w:rPr>
          <w:szCs w:val="21"/>
        </w:rPr>
        <w:t>标准</w:t>
      </w:r>
      <w:r>
        <w:rPr>
          <w:rFonts w:asciiTheme="minorEastAsia" w:hAnsiTheme="minorEastAsia" w:eastAsiaTheme="minorEastAsia"/>
          <w:szCs w:val="21"/>
        </w:rPr>
        <w:t>YS/T</w:t>
      </w:r>
      <w:r>
        <w:rPr>
          <w:rFonts w:hint="eastAsia" w:asciiTheme="minorEastAsia" w:hAnsiTheme="minorEastAsia" w:eastAsiaTheme="minorEastAsia"/>
          <w:szCs w:val="21"/>
        </w:rPr>
        <w:t>42</w:t>
      </w:r>
      <w:r>
        <w:rPr>
          <w:rFonts w:asciiTheme="minorEastAsia" w:hAnsiTheme="minorEastAsia" w:eastAsiaTheme="minorEastAsia"/>
          <w:szCs w:val="21"/>
        </w:rPr>
        <w:t>2</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-2000</w:t>
      </w:r>
      <w:r>
        <w:rPr>
          <w:rFonts w:asciiTheme="minorEastAsia" w:hAnsiTheme="minorEastAsia" w:eastAsiaTheme="minorEastAsia"/>
          <w:szCs w:val="21"/>
        </w:rPr>
        <w:t>《</w:t>
      </w:r>
      <w:r>
        <w:rPr>
          <w:rFonts w:hint="eastAsia" w:ascii="宋体" w:hAnsi="宋体" w:eastAsiaTheme="minorEastAsia"/>
          <w:szCs w:val="21"/>
          <w:lang w:eastAsia="zh-CN"/>
        </w:rPr>
        <w:t>核级碳化硼</w:t>
      </w:r>
      <w:r>
        <w:rPr>
          <w:rFonts w:hint="eastAsia" w:ascii="宋体" w:hAnsi="宋体"/>
          <w:szCs w:val="21"/>
        </w:rPr>
        <w:t>化学分析方法</w:t>
      </w:r>
      <w:r>
        <w:rPr>
          <w:rFonts w:hint="eastAsia" w:ascii="宋体" w:hAnsi="宋体"/>
          <w:szCs w:val="21"/>
          <w:lang w:eastAsia="zh-CN"/>
        </w:rPr>
        <w:t>总硼</w:t>
      </w:r>
      <w:r>
        <w:rPr>
          <w:rFonts w:hint="eastAsia" w:ascii="宋体" w:hAnsi="宋体"/>
          <w:szCs w:val="21"/>
        </w:rPr>
        <w:t>量的测定</w:t>
      </w:r>
      <w:r>
        <w:rPr>
          <w:rFonts w:asciiTheme="minorEastAsia" w:hAnsiTheme="minorEastAsia" w:eastAsiaTheme="minorEastAsia"/>
          <w:szCs w:val="21"/>
        </w:rPr>
        <w:t>》</w:t>
      </w:r>
      <w:r>
        <w:rPr>
          <w:szCs w:val="21"/>
        </w:rPr>
        <w:t>进行修定</w:t>
      </w:r>
      <w:r>
        <w:rPr>
          <w:rFonts w:hint="eastAsia"/>
          <w:szCs w:val="21"/>
        </w:rPr>
        <w:t>。</w:t>
      </w:r>
      <w:r>
        <w:rPr>
          <w:rFonts w:hint="eastAsia" w:ascii="宋体" w:hAnsi="宋体"/>
          <w:color w:val="000000"/>
          <w:lang w:val="en-US" w:eastAsia="zh-CN"/>
        </w:rPr>
        <w:t>对原标准试验操作的技术细节、精密度数据进行修改或补充，进一步规范了</w:t>
      </w:r>
      <w:r>
        <w:rPr>
          <w:rFonts w:hint="eastAsia" w:ascii="宋体" w:hAnsi="宋体"/>
          <w:szCs w:val="21"/>
          <w:lang w:val="en-US" w:eastAsia="zh-CN"/>
        </w:rPr>
        <w:t>核级</w:t>
      </w:r>
      <w:r>
        <w:rPr>
          <w:rFonts w:hint="eastAsia" w:ascii="宋体" w:hAnsi="宋体"/>
          <w:szCs w:val="21"/>
        </w:rPr>
        <w:t>碳化硼</w:t>
      </w:r>
      <w:r>
        <w:rPr>
          <w:rFonts w:hint="eastAsia" w:ascii="宋体" w:hAnsi="宋体"/>
          <w:color w:val="000000"/>
          <w:lang w:val="en-US" w:eastAsia="zh-CN"/>
        </w:rPr>
        <w:t>中总硼含量的分析方法，同时又体现了行业内</w:t>
      </w:r>
      <w:r>
        <w:rPr>
          <w:rFonts w:hint="eastAsia" w:ascii="宋体" w:hAnsi="宋体"/>
          <w:szCs w:val="21"/>
          <w:lang w:val="en-US" w:eastAsia="zh-CN"/>
        </w:rPr>
        <w:t>核级</w:t>
      </w:r>
      <w:r>
        <w:rPr>
          <w:rFonts w:hint="eastAsia" w:ascii="宋体" w:hAnsi="宋体"/>
          <w:szCs w:val="21"/>
        </w:rPr>
        <w:t>碳化硼</w:t>
      </w:r>
      <w:r>
        <w:rPr>
          <w:rFonts w:hint="eastAsia" w:ascii="宋体" w:hAnsi="宋体"/>
          <w:color w:val="000000"/>
          <w:lang w:val="en-US" w:eastAsia="zh-CN"/>
        </w:rPr>
        <w:t>化学成分分析的技术水平，具有先进性、可操作性和广泛的适用性。对完善</w:t>
      </w:r>
      <w:r>
        <w:rPr>
          <w:rFonts w:hint="eastAsia" w:ascii="宋体" w:hAnsi="宋体"/>
          <w:szCs w:val="21"/>
          <w:lang w:val="en-US" w:eastAsia="zh-CN"/>
        </w:rPr>
        <w:t>核级</w:t>
      </w:r>
      <w:r>
        <w:rPr>
          <w:rFonts w:hint="eastAsia" w:ascii="宋体" w:hAnsi="宋体"/>
          <w:szCs w:val="21"/>
        </w:rPr>
        <w:t>碳化硼</w:t>
      </w:r>
      <w:r>
        <w:rPr>
          <w:rFonts w:hint="eastAsia" w:ascii="宋体" w:hAnsi="宋体"/>
          <w:color w:val="000000"/>
          <w:lang w:val="en-US" w:eastAsia="zh-CN"/>
        </w:rPr>
        <w:t>产业链，提升</w:t>
      </w:r>
      <w:r>
        <w:rPr>
          <w:rFonts w:hint="eastAsia" w:ascii="宋体" w:hAnsi="宋体"/>
          <w:szCs w:val="21"/>
          <w:lang w:val="en-US" w:eastAsia="zh-CN"/>
        </w:rPr>
        <w:t>核级</w:t>
      </w:r>
      <w:r>
        <w:rPr>
          <w:rFonts w:hint="eastAsia" w:ascii="宋体" w:hAnsi="宋体"/>
          <w:szCs w:val="21"/>
        </w:rPr>
        <w:t>碳化硼</w:t>
      </w:r>
      <w:r>
        <w:rPr>
          <w:rFonts w:hint="eastAsia" w:ascii="宋体" w:hAnsi="宋体"/>
          <w:color w:val="000000"/>
          <w:lang w:val="en-US" w:eastAsia="zh-CN"/>
        </w:rPr>
        <w:t>生产能力具有积极的指导意义</w:t>
      </w:r>
    </w:p>
    <w:p>
      <w:pPr>
        <w:spacing w:line="360" w:lineRule="auto"/>
        <w:rPr>
          <w:rFonts w:hint="eastAsia" w:eastAsia="宋体"/>
          <w:lang w:eastAsia="zh-CN"/>
        </w:rPr>
      </w:pPr>
      <w:r>
        <w:rPr>
          <w:rFonts w:hint="eastAsia"/>
          <w:b/>
          <w:lang w:eastAsia="zh-CN"/>
        </w:rPr>
        <w:t>（</w:t>
      </w:r>
      <w:r>
        <w:rPr>
          <w:rFonts w:hint="eastAsia"/>
          <w:b/>
          <w:lang w:val="en-US" w:eastAsia="zh-CN"/>
        </w:rPr>
        <w:t>三</w:t>
      </w:r>
      <w:r>
        <w:rPr>
          <w:rFonts w:hint="eastAsia"/>
          <w:b/>
          <w:lang w:eastAsia="zh-CN"/>
        </w:rPr>
        <w:t>）</w:t>
      </w:r>
      <w:r>
        <w:rPr>
          <w:b/>
        </w:rPr>
        <w:t>承担单位情况</w:t>
      </w:r>
    </w:p>
    <w:p>
      <w:pPr>
        <w:spacing w:line="360" w:lineRule="auto"/>
        <w:rPr>
          <w:rFonts w:hint="eastAsia" w:ascii="Times New Roman" w:hAnsi="Times New Roman" w:cs="Times New Roman"/>
          <w:b/>
          <w:lang w:val="en-US" w:eastAsia="zh-CN"/>
        </w:rPr>
      </w:pPr>
      <w:r>
        <w:rPr>
          <w:rFonts w:hint="eastAsia" w:cs="Times New Roman"/>
          <w:b/>
          <w:lang w:val="en-US" w:eastAsia="zh-CN"/>
        </w:rPr>
        <w:t xml:space="preserve">1  </w:t>
      </w:r>
      <w:r>
        <w:rPr>
          <w:rFonts w:hint="eastAsia" w:ascii="Times New Roman" w:hAnsi="Times New Roman" w:cs="Times New Roman"/>
          <w:b/>
          <w:lang w:val="en-US" w:eastAsia="zh-CN"/>
        </w:rPr>
        <w:t>中南大学</w:t>
      </w:r>
    </w:p>
    <w:p>
      <w:pPr>
        <w:spacing w:line="240" w:lineRule="auto"/>
        <w:ind w:firstLine="420" w:firstLineChars="200"/>
      </w:pPr>
      <w:r>
        <w:t>本单位为国家双一流大学中南大学的二级学院粉末冶金研究院，是我国新材料领域集教学、科研和产业为一体的综合性基地。依托研究院建设有“粉末冶金国家重点实验室”、“轻质高强结构材料国家级重点实验室”及“粉末冶金国家工程研究中心”等3个国家级基地；研究院辖有2个教学系、8个研究所、5个实验（检测）中心。有教职工300余人，其中中国工程院院士3人，中国科学院院士1人，国家“千人计划”入选者4人，国家“长江学者”特聘教授5人、讲座教授4人，国家杰出青年基金获得者4人，博士生导师54人，教授（研究员）51人。本单位拥有“材料科学与工程”一级学科国家重点学科，“材料科学与工程”一级学科博士点和硕士点，建有材料科学与工程博士后科研流动站。目前，研究院已培养了5000多名各类高级专门人才活跃在高等教育、科学研究、企业管理以及政府部门等社会领域。本单位建立了系统的从事材料研究的体系，从材料基础理论研究、应用基础研究、工程化研究到材料的性能检测评价，包含了材料基础与相图计算、难熔金属与硬质合金、摩擦减磨材料、粉末高温合金、特种陶瓷材料、轻质合金材料、电工电子材料、炭基复合材料和航空制动系统等研究领域，研究的材料和系统广泛应用于航空、航天、兵器、船舶、电子、核工业等工业部门和相关国民经济建设部门。近年来先后完成了各类国家863计划、973计划、国家自然科学基金、国家科技重大专项、国防军工等国家级科研项目500余项，获国家级和省部级科技奖励60余项，其中国家技术发明（科技进步）一等奖3项（次），拥有发明专利200多项。</w:t>
      </w:r>
    </w:p>
    <w:p>
      <w:pPr>
        <w:spacing w:line="360" w:lineRule="auto"/>
        <w:rPr>
          <w:rFonts w:hint="eastAsia" w:ascii="Times New Roman" w:hAnsi="Times New Roman" w:cs="Times New Roman"/>
          <w:b/>
          <w:lang w:val="en-US" w:eastAsia="zh-CN"/>
        </w:rPr>
      </w:pPr>
      <w:r>
        <w:rPr>
          <w:rFonts w:hint="eastAsia" w:cs="Times New Roman"/>
          <w:b/>
          <w:lang w:val="en-US" w:eastAsia="zh-CN"/>
        </w:rPr>
        <w:t xml:space="preserve">2  </w:t>
      </w:r>
      <w:r>
        <w:rPr>
          <w:rFonts w:hint="eastAsia" w:ascii="Times New Roman" w:hAnsi="Times New Roman" w:cs="Times New Roman"/>
          <w:b/>
          <w:lang w:val="en-US" w:eastAsia="zh-CN"/>
        </w:rPr>
        <w:t>中国有色桂林矿产地质研究院有限公司</w:t>
      </w:r>
    </w:p>
    <w:p>
      <w:pPr>
        <w:spacing w:line="240" w:lineRule="auto"/>
        <w:ind w:firstLine="420" w:firstLineChars="200"/>
        <w:rPr>
          <w:rFonts w:ascii="Times New Roman" w:hAnsi="Times New Roman" w:cs="Times New Roman"/>
        </w:rPr>
      </w:pPr>
      <w:r>
        <w:rPr>
          <w:rFonts w:hint="eastAsia" w:ascii="Times New Roman" w:hAnsi="Times New Roman" w:cs="Times New Roman"/>
        </w:rPr>
        <w:t>中国有色桂林矿产地质研究院有限公司现为中国有色矿业集团有限公司全资子公司。总资产为7.2亿元，净资产4.84亿元；现有在册正式职工394人，其中：工程师147人，高级工程师65人，教授级高级工程师36人。具有博士学位人员20人，硕士87人。国家级“中青年有突出贡献专家”1人，享受国务院政府特殊津贴优秀专家6人，获广西优秀专家称号6人，获“中国有色金属系统跨世纪学术和技术带头人”称号4人，广西“十百千”拔尖人才第二层次人才6人，广西八桂学者1人，广西区政府专家2人，特聘专家2人。柔性引进高级人才18人(其中院士8人、教授10人)。</w:t>
      </w:r>
    </w:p>
    <w:p>
      <w:pPr>
        <w:spacing w:line="240" w:lineRule="auto"/>
        <w:ind w:firstLine="420" w:firstLineChars="200"/>
        <w:rPr>
          <w:rFonts w:ascii="Times New Roman" w:hAnsi="Times New Roman" w:cs="Times New Roman"/>
        </w:rPr>
      </w:pPr>
      <w:r>
        <w:rPr>
          <w:rFonts w:hint="eastAsia" w:ascii="Times New Roman" w:hAnsi="Times New Roman" w:cs="Times New Roman"/>
        </w:rPr>
        <w:t>中国有色桂林矿产地质研究院下设矿产地质研究所、资源环境研究所、资源综合利用所、有色金属矿产地质测试中心和“国家特种矿物材料工程技术研究中心”等研究开发机构,拥有地质勘查、矿权经营与矿业开发、超硬材料研发及制品、资源环境工程公司、矿产品贸易等10余家全资子公司。承担国家、省部级科研项目、技术开发与技术服务等任务。建院以来共提交科研成果2900多项，获国家级科技成果奖20余项，其中：特等奖1项，一等奖1项，二等奖6项。省部级以上科技成果奖320多项，其中二等奖以上90余项。</w:t>
      </w:r>
    </w:p>
    <w:p>
      <w:pPr>
        <w:spacing w:line="240" w:lineRule="auto"/>
        <w:ind w:firstLine="420" w:firstLineChars="200"/>
        <w:rPr>
          <w:rFonts w:hint="eastAsia" w:ascii="Times New Roman" w:hAnsi="Times New Roman" w:cs="Times New Roman"/>
        </w:rPr>
      </w:pPr>
      <w:r>
        <w:rPr>
          <w:rFonts w:hint="eastAsia" w:ascii="Times New Roman" w:hAnsi="Times New Roman" w:cs="Times New Roman"/>
        </w:rPr>
        <w:t>中国有色桂林矿产地质研究院有限公司是国际标准化组织电子探针分析技术委员会(ISO/TC202/SC2)主席单位,并承担SC2秘书处工作；是全国有色金属标准化技术委员会和（SAC/TC243）全国稀土标准化技术委员会（SAC/TC229）成员单位。标准研究团队配备15人的专业化技术人员，具有丰富的有色金属、地质、稀土等分析方法研究工作基础和标准化研究工作经验，近5年来主持完成3项国际标准制修定工作，主持或参与主持完成45项国家标准，49项行业标准的制修定工作，在研国家及行业标准16项，为本项目的完成提供坚实的标准制定工作基础。</w:t>
      </w:r>
    </w:p>
    <w:p>
      <w:pPr>
        <w:spacing w:line="360" w:lineRule="auto"/>
        <w:rPr>
          <w:rFonts w:hint="default" w:ascii="Times New Roman" w:hAnsi="Times New Roman" w:cs="Times New Roman"/>
          <w:b/>
          <w:lang w:val="en-US" w:eastAsia="zh-CN"/>
        </w:rPr>
      </w:pPr>
      <w:r>
        <w:rPr>
          <w:rFonts w:hint="eastAsia" w:ascii="Times New Roman" w:hAnsi="Times New Roman" w:cs="Times New Roman"/>
          <w:b/>
          <w:lang w:val="en-US" w:eastAsia="zh-CN"/>
        </w:rPr>
        <w:t>3</w:t>
      </w:r>
      <w:r>
        <w:rPr>
          <w:rFonts w:hint="eastAsia" w:cs="Times New Roman"/>
          <w:b/>
          <w:lang w:val="en-US" w:eastAsia="zh-CN"/>
        </w:rPr>
        <w:t xml:space="preserve">  </w:t>
      </w:r>
      <w:r>
        <w:rPr>
          <w:rFonts w:hint="eastAsia" w:ascii="Times New Roman" w:hAnsi="Times New Roman" w:cs="Times New Roman"/>
          <w:b/>
          <w:lang w:val="en-US" w:eastAsia="zh-CN"/>
        </w:rPr>
        <w:t>广西壮族自治区分析测试研究中心</w:t>
      </w:r>
    </w:p>
    <w:p>
      <w:pPr>
        <w:spacing w:line="240" w:lineRule="auto"/>
        <w:ind w:firstLine="420" w:firstLineChars="200"/>
        <w:rPr>
          <w:rFonts w:ascii="Arial" w:hAnsi="Arial" w:eastAsia="宋体" w:cs="Arial"/>
          <w:i w:val="0"/>
          <w:iCs w:val="0"/>
          <w:caps w:val="0"/>
          <w:color w:val="222222"/>
          <w:spacing w:val="0"/>
          <w:sz w:val="21"/>
          <w:szCs w:val="21"/>
          <w:shd w:val="clear" w:fill="FFFFFF"/>
        </w:rPr>
      </w:pPr>
      <w:r>
        <w:rPr>
          <w:rFonts w:ascii="Arial" w:hAnsi="Arial" w:eastAsia="宋体" w:cs="Arial"/>
          <w:i w:val="0"/>
          <w:iCs w:val="0"/>
          <w:caps w:val="0"/>
          <w:color w:val="222222"/>
          <w:spacing w:val="0"/>
          <w:sz w:val="21"/>
          <w:szCs w:val="21"/>
          <w:shd w:val="clear" w:fill="FFFFFF"/>
        </w:rPr>
        <w:t>广西壮族自治区分析测试研究中心（以下简称“中心）为公益二类事业单位，成立于1978年，是广西科技厅直属的以分析测试技术研究、理化分析为主的省级综合分析测试研究机构，是广西质量技术监督局授权建立的“广西壮族自治区保健食品及生物产品质量监督检验站”，属于为社会公众服务、对外独立开展检验/检测业务的第三方检测机构。根据中国合格评定国家认可委员会与美国、欧盟、日本等国家和地区的认可机构达成的互认协议，广西分析测试研究中心出具的数据和结果可获得多个国家和地区（包括美国、日本、欧洲等一些发达国家和地区）实验室认可组织的国际互认。中心奉行科学公正、廉洁高效的工作理念，竭诚为社会公众提供检验、检测服务；为科研机构、企事业单位提供技术支持、成果鉴定。</w:t>
      </w:r>
    </w:p>
    <w:p>
      <w:pPr>
        <w:spacing w:line="240" w:lineRule="auto"/>
        <w:rPr>
          <w:rFonts w:hint="default" w:ascii="Arial" w:hAnsi="Arial" w:eastAsia="宋体" w:cs="Arial"/>
          <w:i w:val="0"/>
          <w:iCs w:val="0"/>
          <w:caps w:val="0"/>
          <w:color w:val="222222"/>
          <w:spacing w:val="0"/>
          <w:sz w:val="21"/>
          <w:szCs w:val="21"/>
          <w:shd w:val="clear" w:fill="FFFFFF"/>
        </w:rPr>
      </w:pPr>
      <w:r>
        <w:rPr>
          <w:rFonts w:hint="eastAsia" w:ascii="Times New Roman" w:hAnsi="Times New Roman" w:cs="Times New Roman"/>
          <w:b/>
          <w:lang w:val="en-US" w:eastAsia="zh-CN"/>
        </w:rPr>
        <w:t>4</w:t>
      </w:r>
      <w:r>
        <w:rPr>
          <w:rFonts w:hint="eastAsia" w:cs="Times New Roman"/>
          <w:b/>
          <w:lang w:val="en-US" w:eastAsia="zh-CN"/>
        </w:rPr>
        <w:t xml:space="preserve">  </w:t>
      </w:r>
      <w:r>
        <w:rPr>
          <w:rFonts w:hint="eastAsia" w:ascii="Times New Roman" w:hAnsi="Times New Roman" w:cs="Times New Roman"/>
          <w:b/>
          <w:lang w:val="en-US" w:eastAsia="zh-CN"/>
        </w:rPr>
        <w:t>长沙矿冶院</w:t>
      </w:r>
      <w:r>
        <w:rPr>
          <w:rFonts w:hint="eastAsia" w:cs="Times New Roman"/>
          <w:b/>
          <w:lang w:val="en-US" w:eastAsia="zh-CN"/>
        </w:rPr>
        <w:t>检测技术</w:t>
      </w:r>
      <w:r>
        <w:rPr>
          <w:rFonts w:hint="eastAsia" w:ascii="Times New Roman" w:hAnsi="Times New Roman" w:cs="Times New Roman"/>
          <w:b/>
          <w:lang w:val="en-US" w:eastAsia="zh-CN"/>
        </w:rPr>
        <w:t>有限责任公司</w:t>
      </w:r>
      <w:r>
        <w:rPr>
          <w:rFonts w:hint="default" w:ascii="Arial" w:hAnsi="Arial" w:eastAsia="宋体" w:cs="Arial"/>
          <w:i w:val="0"/>
          <w:iCs w:val="0"/>
          <w:caps w:val="0"/>
          <w:color w:val="222222"/>
          <w:spacing w:val="0"/>
          <w:sz w:val="21"/>
          <w:szCs w:val="21"/>
          <w:shd w:val="clear" w:fill="FFFFFF"/>
        </w:rPr>
        <w:br w:type="textWrapping"/>
      </w:r>
      <w:r>
        <w:rPr>
          <w:rFonts w:hint="default" w:ascii="Arial" w:hAnsi="Arial" w:eastAsia="宋体" w:cs="Arial"/>
          <w:i w:val="0"/>
          <w:iCs w:val="0"/>
          <w:caps w:val="0"/>
          <w:color w:val="222222"/>
          <w:spacing w:val="0"/>
          <w:sz w:val="21"/>
          <w:szCs w:val="21"/>
          <w:shd w:val="clear" w:fill="FFFFFF"/>
        </w:rPr>
        <w:t>       长沙矿冶院检测技术有限责任公司（简称“长矿检测”）始建于1956年，为原冶金部辅料矿质量监督检测中心，2021年7月转制为国有控股企业，为世界500强企业中国五矿所属长沙矿冶研究院有限责任公司子公司，注册资本2580万元。长矿检测专注于为客户提供检测、能力验证、咨询培训、仲裁检测等综合性技术服务，拥有检验检测机构资质认定（CMA）、实验室认可（CNAS）、能力验证提供者认可（PTP）等多项专业资质及百余台套先进精密分析仪器设备，尤其是化学物相分析、材料微观表征等检测能力国内领先。长矿检测制修订100余项国际、国家、行业、团体标准，拥有发明专利3项，为工信部工业产品（黑色矿冶产品）质量控制和技术评价实验室、湖南省工信厅产业技术基础公共服务平台（试验检测类）等20多个国家级、省部级科技创新平台的重要组成部分，是中国矿冶检测机构联盟副理事长单位、国家技术标准创新基地（长株潭）理事单位、湖南省环境检测行业协会副会长单位、湖南省精密仪器测试学会秘书长单位、长沙市先进电池材料及电池产业技术创新战略联盟理事单位等。</w:t>
      </w:r>
    </w:p>
    <w:p>
      <w:pPr>
        <w:spacing w:line="240" w:lineRule="auto"/>
        <w:rPr>
          <w:rFonts w:hint="eastAsia" w:ascii="Times New Roman" w:hAnsi="Times New Roman" w:cs="Times New Roman"/>
          <w:b/>
          <w:lang w:val="en-US" w:eastAsia="zh-CN"/>
        </w:rPr>
      </w:pPr>
      <w:r>
        <w:rPr>
          <w:rFonts w:hint="eastAsia" w:ascii="Times New Roman" w:hAnsi="Times New Roman" w:cs="Times New Roman"/>
          <w:b/>
          <w:lang w:val="en-US" w:eastAsia="zh-CN"/>
        </w:rPr>
        <w:t>5</w:t>
      </w:r>
      <w:r>
        <w:rPr>
          <w:rFonts w:hint="eastAsia" w:cs="Times New Roman"/>
          <w:b/>
          <w:lang w:val="en-US" w:eastAsia="zh-CN"/>
        </w:rPr>
        <w:t xml:space="preserve">  </w:t>
      </w:r>
      <w:r>
        <w:rPr>
          <w:rFonts w:hint="eastAsia" w:ascii="Times New Roman" w:hAnsi="Times New Roman" w:cs="Times New Roman"/>
          <w:b/>
          <w:lang w:val="en-US" w:eastAsia="zh-CN"/>
        </w:rPr>
        <w:t>国标（北京）检验认证有限公司</w:t>
      </w:r>
    </w:p>
    <w:p>
      <w:pPr>
        <w:spacing w:line="240" w:lineRule="auto"/>
        <w:ind w:firstLine="420" w:firstLineChars="200"/>
        <w:rPr>
          <w:rFonts w:hint="eastAsia"/>
          <w:lang w:eastAsia="zh-CN"/>
        </w:rPr>
      </w:pPr>
      <w:r>
        <w:rPr>
          <w:rFonts w:hint="eastAsia"/>
        </w:rPr>
        <w:t>国标（北京）检验认证有限公司前身是北京有色金属研究总院分析测试技术研究所，是国家有色金属行业最知名的第三方检验机构之一。公司运营管理着国家有色金属及电子材料分析测试中心和国家有色金属质量监督检验中心，拥有一支基础理论扎实、实践经验丰富的研究和服务队伍，自2004年至今共承担了国家科技支撑计划、国家863计划、国家自然科学基金、军工配套等省部级科技项目40余项；曾获国家科技进步奖6项，国家发明奖3项，省部级科技进步一等奖10项，二、三等奖107项；近5年获得国家发明专利20余项；负责和参加起草制订分析方法国家标准、行业标准300余项；国家标准物质/标准样品120个，在国内外科技期刊上发表论文800余篇，撰写论著22部</w:t>
      </w:r>
      <w:r>
        <w:rPr>
          <w:rFonts w:hint="eastAsia"/>
          <w:lang w:eastAsia="zh-CN"/>
        </w:rPr>
        <w:t>。</w:t>
      </w:r>
    </w:p>
    <w:p>
      <w:pPr>
        <w:spacing w:line="360" w:lineRule="auto"/>
        <w:rPr>
          <w:rFonts w:hint="eastAsia" w:ascii="宋体" w:hAnsi="宋体" w:eastAsia="宋体"/>
          <w:lang w:eastAsia="zh-CN"/>
        </w:rPr>
      </w:pPr>
      <w:r>
        <w:rPr>
          <w:rFonts w:hint="eastAsia" w:ascii="宋体" w:hAnsi="宋体"/>
          <w:b/>
          <w:lang w:eastAsia="zh-CN"/>
        </w:rPr>
        <w:t>（</w:t>
      </w:r>
      <w:r>
        <w:rPr>
          <w:rFonts w:hint="eastAsia" w:ascii="宋体" w:hAnsi="宋体"/>
          <w:b/>
          <w:lang w:val="en-US" w:eastAsia="zh-CN"/>
        </w:rPr>
        <w:t>四</w:t>
      </w:r>
      <w:r>
        <w:rPr>
          <w:rFonts w:hint="eastAsia" w:ascii="宋体" w:hAnsi="宋体"/>
          <w:b/>
          <w:lang w:eastAsia="zh-CN"/>
        </w:rPr>
        <w:t>）</w:t>
      </w:r>
      <w:r>
        <w:rPr>
          <w:rFonts w:ascii="宋体" w:hAnsi="宋体"/>
          <w:b/>
        </w:rPr>
        <w:t>参编单位及主要起草人工作情况</w:t>
      </w:r>
    </w:p>
    <w:p>
      <w:pPr>
        <w:spacing w:line="240" w:lineRule="auto"/>
        <w:ind w:firstLine="420" w:firstLineChars="200"/>
        <w:rPr>
          <w:rFonts w:hint="eastAsia" w:ascii="Times New Roman" w:hAnsi="Times New Roman" w:cs="Times New Roman"/>
          <w:lang w:eastAsia="zh-CN"/>
        </w:rPr>
      </w:pPr>
      <w:r>
        <w:rPr>
          <w:rFonts w:hint="eastAsia" w:ascii="Times New Roman" w:hAnsi="Times New Roman" w:cs="Times New Roman"/>
        </w:rPr>
        <w:t>整个标准起草过程中各参编单位给予了大力的支持帮助。由</w:t>
      </w:r>
      <w:r>
        <w:rPr>
          <w:rFonts w:hint="eastAsia"/>
          <w:lang w:val="en-US" w:eastAsia="zh-CN"/>
        </w:rPr>
        <w:t>敦化市正兴磨料有限责任公司</w:t>
      </w:r>
      <w:r>
        <w:rPr>
          <w:rFonts w:hint="eastAsia" w:ascii="Times New Roman" w:hAnsi="Times New Roman" w:cs="Times New Roman"/>
        </w:rPr>
        <w:t>提供</w:t>
      </w:r>
      <w:r>
        <w:rPr>
          <w:rFonts w:hint="eastAsia" w:cs="Times New Roman"/>
          <w:lang w:eastAsia="zh-CN"/>
        </w:rPr>
        <w:t>核级碳化硼</w:t>
      </w:r>
      <w:r>
        <w:rPr>
          <w:rFonts w:hint="eastAsia" w:ascii="Times New Roman" w:hAnsi="Times New Roman" w:cs="Times New Roman"/>
        </w:rPr>
        <w:t>样品，由</w:t>
      </w:r>
      <w:r>
        <w:rPr>
          <w:rFonts w:hint="eastAsia"/>
          <w:lang w:val="en-US" w:eastAsia="zh-CN"/>
        </w:rPr>
        <w:t>北京工业大学、深圳市中金岭南有色金属股份有限公司、广东腐蚀科学与技术创新研究院、</w:t>
      </w:r>
      <w:r>
        <w:rPr>
          <w:rFonts w:ascii="Times New Roman" w:hAnsi="Times New Roman" w:eastAsia="宋体" w:cs="Times New Roman"/>
          <w:color w:val="000000"/>
          <w:kern w:val="0"/>
          <w:sz w:val="22"/>
          <w:lang w:bidi="ar"/>
        </w:rPr>
        <w:t>中国有色桂林矿产地质研究院有限公司</w:t>
      </w:r>
      <w:r>
        <w:rPr>
          <w:rFonts w:hint="eastAsia" w:cs="Times New Roman"/>
          <w:color w:val="000000"/>
          <w:kern w:val="0"/>
          <w:sz w:val="22"/>
          <w:lang w:eastAsia="zh-CN" w:bidi="ar"/>
        </w:rPr>
        <w:t>、广西壮族自治区分析测试研究中心、</w:t>
      </w:r>
      <w:r>
        <w:rPr>
          <w:rFonts w:ascii="Times New Roman" w:hAnsi="Times New Roman" w:eastAsia="宋体" w:cs="Times New Roman"/>
          <w:color w:val="000000"/>
          <w:kern w:val="0"/>
          <w:sz w:val="22"/>
          <w:lang w:bidi="ar"/>
        </w:rPr>
        <w:t>长沙矿冶研究院有限责任公司、国标（北京）检验认证有限公司</w:t>
      </w:r>
      <w:r>
        <w:rPr>
          <w:rFonts w:hint="eastAsia" w:ascii="Times New Roman" w:hAnsi="Times New Roman" w:cs="Times New Roman"/>
          <w:lang w:eastAsia="zh-CN"/>
        </w:rPr>
        <w:t>等几家单位提供数据的调研验证工作。</w:t>
      </w:r>
    </w:p>
    <w:p>
      <w:pPr>
        <w:spacing w:line="240" w:lineRule="auto"/>
        <w:ind w:firstLine="420" w:firstLineChars="200"/>
        <w:rPr>
          <w:rFonts w:hint="default" w:ascii="Times New Roman" w:hAnsi="Times New Roman" w:eastAsia="宋体" w:cs="Times New Roman"/>
          <w:lang w:val="en-US" w:eastAsia="zh-CN"/>
        </w:rPr>
      </w:pPr>
      <w:r>
        <w:rPr>
          <w:rFonts w:hint="eastAsia" w:cs="Times New Roman"/>
          <w:lang w:val="en-US" w:eastAsia="zh-CN"/>
        </w:rPr>
        <w:t>其中，中南大学主要负责试验方案制定，试验样品收集和分发，分析方法研究，试验结果处理，标准文本、试验报告和编制说明撰写等工作；XX为一验单位，主要负责对试验方案中的条件试验进行验证，提供精密度等测试数据，并对标准文本提出修改意见和建议；XX为二验单位，主要负责提供精密度试验数据，</w:t>
      </w:r>
      <w:bookmarkStart w:id="0" w:name="_GoBack"/>
      <w:bookmarkEnd w:id="0"/>
      <w:r>
        <w:rPr>
          <w:rFonts w:hint="eastAsia" w:cs="Times New Roman"/>
          <w:lang w:val="en-US" w:eastAsia="zh-CN"/>
        </w:rPr>
        <w:t>并对标准文本提出修改意见和建议。</w:t>
      </w:r>
    </w:p>
    <w:p>
      <w:pPr>
        <w:spacing w:line="360" w:lineRule="auto"/>
        <w:ind w:firstLine="420" w:firstLineChars="200"/>
        <w:rPr>
          <w:rFonts w:hint="eastAsia" w:ascii="宋体" w:hAnsi="宋体" w:eastAsia="宋体"/>
          <w:lang w:eastAsia="zh-CN"/>
        </w:rPr>
      </w:pPr>
      <w:r>
        <w:rPr>
          <w:rFonts w:ascii="宋体" w:hAnsi="宋体"/>
        </w:rPr>
        <w:t>标准主要起草人以及分工见下表</w:t>
      </w:r>
      <w:r>
        <w:rPr>
          <w:rFonts w:hint="eastAsia" w:ascii="宋体" w:hAnsi="宋体"/>
        </w:rPr>
        <w:t>1</w:t>
      </w:r>
      <w:r>
        <w:rPr>
          <w:rFonts w:hint="eastAsia" w:ascii="宋体" w:hAnsi="宋体"/>
          <w:lang w:eastAsia="zh-CN"/>
        </w:rPr>
        <w:t>：</w:t>
      </w:r>
    </w:p>
    <w:p>
      <w:pPr>
        <w:spacing w:line="360" w:lineRule="auto"/>
        <w:jc w:val="center"/>
        <w:rPr>
          <w:rFonts w:hint="default" w:ascii="宋体" w:hAnsi="宋体" w:eastAsia="宋体" w:cs="黑体"/>
          <w:b/>
          <w:bCs/>
          <w:sz w:val="18"/>
          <w:szCs w:val="18"/>
          <w:lang w:val="en-US" w:eastAsia="zh-CN"/>
        </w:rPr>
      </w:pPr>
      <w:r>
        <w:rPr>
          <w:rFonts w:hint="eastAsia" w:ascii="黑体" w:hAnsi="黑体" w:eastAsia="黑体" w:cs="黑体"/>
          <w:b w:val="0"/>
          <w:bCs/>
          <w:iCs/>
          <w:kern w:val="0"/>
          <w:sz w:val="20"/>
          <w:szCs w:val="20"/>
          <w:lang w:val="en-US" w:eastAsia="zh-CN" w:bidi="ar-SA"/>
        </w:rPr>
        <w:t>表1各起草人及其工作职责</w:t>
      </w:r>
    </w:p>
    <w:tbl>
      <w:tblPr>
        <w:tblStyle w:val="8"/>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3"/>
        <w:gridCol w:w="3830"/>
        <w:gridCol w:w="3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393" w:type="dxa"/>
            <w:vAlign w:val="center"/>
          </w:tcPr>
          <w:p>
            <w:pPr>
              <w:spacing w:line="360" w:lineRule="auto"/>
              <w:jc w:val="center"/>
              <w:rPr>
                <w:rFonts w:hint="eastAsia" w:ascii="黑体" w:hAnsi="黑体" w:eastAsia="黑体" w:cs="黑体"/>
                <w:b w:val="0"/>
                <w:bCs w:val="0"/>
                <w:sz w:val="18"/>
                <w:szCs w:val="18"/>
              </w:rPr>
            </w:pPr>
            <w:r>
              <w:rPr>
                <w:rFonts w:hint="eastAsia" w:ascii="黑体" w:hAnsi="黑体" w:eastAsia="黑体" w:cs="黑体"/>
                <w:b w:val="0"/>
                <w:bCs w:val="0"/>
                <w:sz w:val="18"/>
                <w:szCs w:val="18"/>
              </w:rPr>
              <w:t>姓名</w:t>
            </w:r>
          </w:p>
        </w:tc>
        <w:tc>
          <w:tcPr>
            <w:tcW w:w="3830" w:type="dxa"/>
            <w:vAlign w:val="center"/>
          </w:tcPr>
          <w:p>
            <w:pPr>
              <w:spacing w:line="360" w:lineRule="auto"/>
              <w:jc w:val="center"/>
              <w:rPr>
                <w:rFonts w:hint="eastAsia" w:ascii="黑体" w:hAnsi="黑体" w:eastAsia="黑体" w:cs="黑体"/>
                <w:b w:val="0"/>
                <w:bCs w:val="0"/>
                <w:sz w:val="18"/>
                <w:szCs w:val="18"/>
              </w:rPr>
            </w:pPr>
            <w:r>
              <w:rPr>
                <w:rFonts w:hint="eastAsia" w:ascii="黑体" w:hAnsi="黑体" w:eastAsia="黑体" w:cs="黑体"/>
                <w:b w:val="0"/>
                <w:bCs w:val="0"/>
                <w:sz w:val="18"/>
                <w:szCs w:val="18"/>
              </w:rPr>
              <w:t>工作单位</w:t>
            </w:r>
          </w:p>
        </w:tc>
        <w:tc>
          <w:tcPr>
            <w:tcW w:w="3975" w:type="dxa"/>
            <w:vAlign w:val="center"/>
          </w:tcPr>
          <w:p>
            <w:pPr>
              <w:spacing w:line="360" w:lineRule="auto"/>
              <w:jc w:val="center"/>
              <w:rPr>
                <w:rFonts w:hint="eastAsia" w:ascii="黑体" w:hAnsi="黑体" w:eastAsia="黑体" w:cs="黑体"/>
                <w:b w:val="0"/>
                <w:bCs w:val="0"/>
                <w:sz w:val="18"/>
                <w:szCs w:val="18"/>
                <w:lang w:val="en-US" w:eastAsia="zh-CN"/>
              </w:rPr>
            </w:pPr>
            <w:r>
              <w:rPr>
                <w:rFonts w:hint="eastAsia" w:ascii="黑体" w:hAnsi="黑体" w:eastAsia="黑体" w:cs="黑体"/>
                <w:b w:val="0"/>
                <w:bCs w:val="0"/>
                <w:sz w:val="18"/>
                <w:szCs w:val="18"/>
                <w:lang w:val="en-US" w:eastAsia="zh-CN"/>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393" w:type="dxa"/>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撒志远、郑灵芝</w:t>
            </w:r>
          </w:p>
        </w:tc>
        <w:tc>
          <w:tcPr>
            <w:tcW w:w="3830" w:type="dxa"/>
            <w:vAlign w:val="center"/>
          </w:tcPr>
          <w:p>
            <w:pPr>
              <w:jc w:val="center"/>
              <w:rPr>
                <w:rFonts w:ascii="宋体" w:hAnsi="宋体"/>
                <w:sz w:val="18"/>
                <w:szCs w:val="18"/>
              </w:rPr>
            </w:pPr>
            <w:r>
              <w:rPr>
                <w:rFonts w:ascii="宋体" w:hAnsi="宋体"/>
                <w:sz w:val="18"/>
                <w:szCs w:val="18"/>
              </w:rPr>
              <w:t>中南大学</w:t>
            </w:r>
          </w:p>
        </w:tc>
        <w:tc>
          <w:tcPr>
            <w:tcW w:w="3975" w:type="dxa"/>
            <w:vAlign w:val="center"/>
          </w:tcPr>
          <w:p>
            <w:pPr>
              <w:jc w:val="center"/>
              <w:rPr>
                <w:rFonts w:hint="default" w:ascii="宋体" w:hAnsi="宋体" w:eastAsia="宋体"/>
                <w:sz w:val="18"/>
                <w:szCs w:val="18"/>
                <w:lang w:val="en-US" w:eastAsia="zh-CN"/>
              </w:rPr>
            </w:pPr>
            <w:r>
              <w:rPr>
                <w:rFonts w:ascii="宋体" w:hAnsi="宋体"/>
                <w:sz w:val="18"/>
                <w:szCs w:val="18"/>
              </w:rPr>
              <w:t>负责标准编制</w:t>
            </w:r>
            <w:r>
              <w:rPr>
                <w:rFonts w:hint="eastAsia" w:ascii="宋体" w:hAnsi="宋体"/>
                <w:sz w:val="18"/>
                <w:szCs w:val="18"/>
              </w:rPr>
              <w:t>、</w:t>
            </w:r>
            <w:r>
              <w:rPr>
                <w:rFonts w:ascii="宋体" w:hAnsi="宋体"/>
                <w:sz w:val="18"/>
                <w:szCs w:val="18"/>
              </w:rPr>
              <w:t>标准起草</w:t>
            </w:r>
            <w:r>
              <w:rPr>
                <w:rFonts w:hint="eastAsia" w:ascii="宋体" w:hAnsi="宋体"/>
                <w:sz w:val="18"/>
                <w:szCs w:val="18"/>
                <w:lang w:eastAsia="zh-CN"/>
              </w:rPr>
              <w:t>、</w:t>
            </w:r>
            <w:r>
              <w:rPr>
                <w:rFonts w:hint="eastAsia" w:ascii="宋体" w:hAnsi="宋体"/>
                <w:sz w:val="18"/>
                <w:szCs w:val="18"/>
                <w:lang w:val="en-US" w:eastAsia="zh-CN"/>
              </w:rPr>
              <w:t>试验方案制定与研究、试验结果处理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393" w:type="dxa"/>
            <w:vAlign w:val="center"/>
          </w:tcPr>
          <w:p>
            <w:pPr>
              <w:jc w:val="center"/>
              <w:rPr>
                <w:rFonts w:hint="default" w:ascii="宋体" w:hAnsi="宋体" w:eastAsia="宋体"/>
                <w:sz w:val="18"/>
                <w:szCs w:val="18"/>
                <w:lang w:val="en-US" w:eastAsia="zh-CN"/>
              </w:rPr>
            </w:pPr>
            <w:r>
              <w:rPr>
                <w:rFonts w:ascii="宋体" w:hAnsi="宋体"/>
                <w:sz w:val="18"/>
                <w:szCs w:val="18"/>
              </w:rPr>
              <w:t>吴艳华</w:t>
            </w:r>
            <w:r>
              <w:rPr>
                <w:rFonts w:hint="eastAsia" w:ascii="宋体" w:hAnsi="宋体"/>
                <w:sz w:val="18"/>
                <w:szCs w:val="18"/>
                <w:lang w:eastAsia="zh-CN"/>
              </w:rPr>
              <w:t>、</w:t>
            </w:r>
            <w:r>
              <w:rPr>
                <w:rFonts w:hint="eastAsia" w:ascii="宋体" w:hAnsi="宋体"/>
                <w:sz w:val="18"/>
                <w:szCs w:val="18"/>
                <w:lang w:val="en-US" w:eastAsia="zh-CN"/>
              </w:rPr>
              <w:t>崔妍</w:t>
            </w:r>
          </w:p>
        </w:tc>
        <w:tc>
          <w:tcPr>
            <w:tcW w:w="3830" w:type="dxa"/>
            <w:vAlign w:val="center"/>
          </w:tcPr>
          <w:p>
            <w:pPr>
              <w:jc w:val="center"/>
              <w:rPr>
                <w:rFonts w:ascii="宋体" w:hAnsi="宋体"/>
                <w:sz w:val="18"/>
                <w:szCs w:val="18"/>
              </w:rPr>
            </w:pPr>
            <w:r>
              <w:rPr>
                <w:rFonts w:ascii="宋体" w:hAnsi="宋体"/>
                <w:sz w:val="18"/>
                <w:szCs w:val="18"/>
              </w:rPr>
              <w:t>有色金属技术经济研究院</w:t>
            </w:r>
          </w:p>
        </w:tc>
        <w:tc>
          <w:tcPr>
            <w:tcW w:w="3975" w:type="dxa"/>
            <w:vAlign w:val="center"/>
          </w:tcPr>
          <w:p>
            <w:pPr>
              <w:jc w:val="center"/>
              <w:rPr>
                <w:rFonts w:ascii="宋体" w:hAnsi="宋体"/>
                <w:sz w:val="18"/>
                <w:szCs w:val="18"/>
              </w:rPr>
            </w:pPr>
            <w:r>
              <w:rPr>
                <w:rFonts w:ascii="宋体" w:hAnsi="宋体"/>
                <w:sz w:val="18"/>
                <w:szCs w:val="18"/>
              </w:rPr>
              <w:t>负责标准审核、协调工作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393" w:type="dxa"/>
            <w:vAlign w:val="center"/>
          </w:tcPr>
          <w:p>
            <w:pPr>
              <w:jc w:val="center"/>
              <w:rPr>
                <w:rFonts w:ascii="宋体" w:hAnsi="宋体"/>
                <w:sz w:val="18"/>
                <w:szCs w:val="18"/>
              </w:rPr>
            </w:pPr>
          </w:p>
        </w:tc>
        <w:tc>
          <w:tcPr>
            <w:tcW w:w="3830" w:type="dxa"/>
            <w:vAlign w:val="center"/>
          </w:tcPr>
          <w:p>
            <w:pPr>
              <w:jc w:val="center"/>
              <w:rPr>
                <w:rFonts w:hint="eastAsia" w:ascii="宋体" w:hAnsi="宋体"/>
                <w:sz w:val="18"/>
                <w:szCs w:val="18"/>
                <w:lang w:eastAsia="zh-CN"/>
              </w:rPr>
            </w:pPr>
            <w:r>
              <w:rPr>
                <w:rFonts w:hint="eastAsia" w:ascii="宋体" w:hAnsi="宋体"/>
                <w:sz w:val="18"/>
                <w:szCs w:val="18"/>
                <w:lang w:eastAsia="zh-CN"/>
              </w:rPr>
              <w:t>中国有色桂林矿产地质研究院有限公司</w:t>
            </w:r>
          </w:p>
        </w:tc>
        <w:tc>
          <w:tcPr>
            <w:tcW w:w="3975" w:type="dxa"/>
            <w:vAlign w:val="center"/>
          </w:tcPr>
          <w:p>
            <w:pPr>
              <w:jc w:val="center"/>
              <w:rPr>
                <w:rFonts w:hint="default" w:ascii="宋体" w:hAnsi="宋体"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393" w:type="dxa"/>
            <w:vAlign w:val="center"/>
          </w:tcPr>
          <w:p>
            <w:pPr>
              <w:jc w:val="center"/>
              <w:rPr>
                <w:rFonts w:hint="default" w:ascii="宋体" w:hAnsi="宋体" w:eastAsia="宋体"/>
                <w:sz w:val="18"/>
                <w:szCs w:val="18"/>
                <w:lang w:val="en-US" w:eastAsia="zh-CN"/>
              </w:rPr>
            </w:pPr>
          </w:p>
        </w:tc>
        <w:tc>
          <w:tcPr>
            <w:tcW w:w="3830" w:type="dxa"/>
            <w:vAlign w:val="center"/>
          </w:tcPr>
          <w:p>
            <w:pPr>
              <w:jc w:val="center"/>
              <w:rPr>
                <w:rFonts w:hint="eastAsia" w:ascii="宋体" w:hAnsi="宋体" w:cs="Times New Roman"/>
                <w:sz w:val="18"/>
                <w:szCs w:val="18"/>
                <w:lang w:eastAsia="zh-CN"/>
              </w:rPr>
            </w:pPr>
            <w:r>
              <w:rPr>
                <w:rFonts w:hint="eastAsia" w:ascii="宋体" w:hAnsi="宋体" w:cs="Times New Roman"/>
                <w:sz w:val="18"/>
                <w:szCs w:val="18"/>
                <w:lang w:eastAsia="zh-CN"/>
              </w:rPr>
              <w:t>广西壮族自治区分析测试研究中心</w:t>
            </w:r>
          </w:p>
        </w:tc>
        <w:tc>
          <w:tcPr>
            <w:tcW w:w="3975" w:type="dxa"/>
            <w:vMerge w:val="restart"/>
            <w:vAlign w:val="center"/>
          </w:tcPr>
          <w:p>
            <w:pPr>
              <w:jc w:val="center"/>
              <w:rPr>
                <w:rFonts w:hint="default" w:ascii="宋体" w:hAnsi="宋体"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393" w:type="dxa"/>
            <w:vAlign w:val="center"/>
          </w:tcPr>
          <w:p>
            <w:pPr>
              <w:jc w:val="center"/>
              <w:rPr>
                <w:rFonts w:hint="default" w:ascii="宋体" w:hAnsi="宋体" w:eastAsia="宋体"/>
                <w:sz w:val="18"/>
                <w:szCs w:val="18"/>
                <w:lang w:val="en-US" w:eastAsia="zh-CN"/>
              </w:rPr>
            </w:pPr>
          </w:p>
        </w:tc>
        <w:tc>
          <w:tcPr>
            <w:tcW w:w="3830" w:type="dxa"/>
            <w:vAlign w:val="center"/>
          </w:tcPr>
          <w:p>
            <w:pPr>
              <w:jc w:val="center"/>
              <w:rPr>
                <w:rFonts w:hint="eastAsia" w:ascii="宋体" w:hAnsi="宋体" w:cs="Times New Roman"/>
                <w:sz w:val="18"/>
                <w:szCs w:val="18"/>
                <w:lang w:eastAsia="zh-CN"/>
              </w:rPr>
            </w:pPr>
            <w:r>
              <w:rPr>
                <w:rFonts w:hint="eastAsia" w:ascii="宋体" w:hAnsi="宋体" w:cs="Times New Roman"/>
                <w:sz w:val="18"/>
                <w:szCs w:val="18"/>
                <w:lang w:eastAsia="zh-CN"/>
              </w:rPr>
              <w:t>长沙矿冶院</w:t>
            </w:r>
            <w:r>
              <w:rPr>
                <w:rFonts w:hint="eastAsia" w:ascii="宋体" w:hAnsi="宋体" w:cs="Times New Roman"/>
                <w:sz w:val="18"/>
                <w:szCs w:val="18"/>
                <w:lang w:val="en-US" w:eastAsia="zh-CN"/>
              </w:rPr>
              <w:t>检测技术</w:t>
            </w:r>
            <w:r>
              <w:rPr>
                <w:rFonts w:hint="eastAsia" w:ascii="宋体" w:hAnsi="宋体" w:cs="Times New Roman"/>
                <w:sz w:val="18"/>
                <w:szCs w:val="18"/>
                <w:lang w:eastAsia="zh-CN"/>
              </w:rPr>
              <w:t>有限责任公司</w:t>
            </w:r>
          </w:p>
        </w:tc>
        <w:tc>
          <w:tcPr>
            <w:tcW w:w="3975"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393" w:type="dxa"/>
            <w:vAlign w:val="center"/>
          </w:tcPr>
          <w:p>
            <w:pPr>
              <w:jc w:val="center"/>
              <w:rPr>
                <w:rFonts w:ascii="宋体" w:hAnsi="宋体"/>
                <w:sz w:val="18"/>
                <w:szCs w:val="18"/>
              </w:rPr>
            </w:pPr>
          </w:p>
        </w:tc>
        <w:tc>
          <w:tcPr>
            <w:tcW w:w="3830" w:type="dxa"/>
            <w:vAlign w:val="center"/>
          </w:tcPr>
          <w:p>
            <w:pPr>
              <w:jc w:val="center"/>
              <w:rPr>
                <w:rFonts w:hint="eastAsia" w:ascii="宋体" w:hAnsi="宋体" w:cs="Times New Roman"/>
                <w:sz w:val="18"/>
                <w:szCs w:val="18"/>
                <w:lang w:eastAsia="zh-CN"/>
              </w:rPr>
            </w:pPr>
            <w:r>
              <w:rPr>
                <w:rFonts w:hint="eastAsia" w:ascii="宋体" w:hAnsi="宋体" w:cs="Times New Roman"/>
                <w:sz w:val="18"/>
                <w:szCs w:val="18"/>
                <w:lang w:eastAsia="zh-CN"/>
              </w:rPr>
              <w:t>国标（北京）检验认证有限公司</w:t>
            </w:r>
          </w:p>
        </w:tc>
        <w:tc>
          <w:tcPr>
            <w:tcW w:w="3975"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393" w:type="dxa"/>
            <w:vAlign w:val="center"/>
          </w:tcPr>
          <w:p>
            <w:pPr>
              <w:jc w:val="center"/>
              <w:rPr>
                <w:rFonts w:ascii="宋体" w:hAnsi="宋体"/>
                <w:sz w:val="18"/>
                <w:szCs w:val="18"/>
              </w:rPr>
            </w:pPr>
          </w:p>
        </w:tc>
        <w:tc>
          <w:tcPr>
            <w:tcW w:w="3830" w:type="dxa"/>
            <w:vAlign w:val="center"/>
          </w:tcPr>
          <w:p>
            <w:pPr>
              <w:jc w:val="center"/>
              <w:rPr>
                <w:rFonts w:hint="eastAsia" w:ascii="宋体" w:hAnsi="宋体" w:cs="Times New Roman"/>
                <w:sz w:val="18"/>
                <w:szCs w:val="18"/>
                <w:lang w:eastAsia="zh-CN"/>
              </w:rPr>
            </w:pPr>
            <w:r>
              <w:rPr>
                <w:rFonts w:hint="eastAsia"/>
                <w:lang w:val="en-US" w:eastAsia="zh-CN"/>
              </w:rPr>
              <w:t>深圳市中金岭南有色金属股份有限公司</w:t>
            </w:r>
          </w:p>
        </w:tc>
        <w:tc>
          <w:tcPr>
            <w:tcW w:w="3975" w:type="dxa"/>
            <w:vMerge w:val="continue"/>
            <w:vAlign w:val="center"/>
          </w:tcPr>
          <w:p>
            <w:pPr>
              <w:jc w:val="center"/>
              <w:rPr>
                <w:rFonts w:ascii="宋体" w:hAnsi="宋体"/>
                <w:sz w:val="18"/>
                <w:szCs w:val="18"/>
              </w:rPr>
            </w:pPr>
          </w:p>
        </w:tc>
      </w:tr>
    </w:tbl>
    <w:p>
      <w:pPr>
        <w:spacing w:line="360" w:lineRule="auto"/>
        <w:rPr>
          <w:rFonts w:ascii="宋体" w:hAnsi="宋体"/>
          <w:sz w:val="24"/>
        </w:rPr>
      </w:pPr>
    </w:p>
    <w:p>
      <w:pPr>
        <w:spacing w:line="360" w:lineRule="auto"/>
        <w:rPr>
          <w:rFonts w:hint="eastAsia" w:ascii="宋体" w:hAnsi="宋体"/>
          <w:b/>
          <w:lang w:eastAsia="zh-CN"/>
        </w:rPr>
      </w:pPr>
      <w:r>
        <w:rPr>
          <w:rFonts w:hint="eastAsia" w:ascii="宋体" w:hAnsi="宋体"/>
          <w:b/>
          <w:lang w:eastAsia="zh-CN"/>
        </w:rPr>
        <w:t>（</w:t>
      </w:r>
      <w:r>
        <w:rPr>
          <w:rFonts w:hint="eastAsia" w:ascii="宋体" w:hAnsi="宋体"/>
          <w:b/>
          <w:lang w:val="en-US" w:eastAsia="zh-CN"/>
        </w:rPr>
        <w:t>五</w:t>
      </w:r>
      <w:r>
        <w:rPr>
          <w:rFonts w:hint="eastAsia" w:ascii="宋体" w:hAnsi="宋体"/>
          <w:b/>
          <w:lang w:eastAsia="zh-CN"/>
        </w:rPr>
        <w:t>）</w:t>
      </w:r>
      <w:r>
        <w:rPr>
          <w:rFonts w:ascii="宋体" w:hAnsi="宋体"/>
          <w:b/>
        </w:rPr>
        <w:t>主要工作过程</w:t>
      </w:r>
    </w:p>
    <w:p>
      <w:pPr>
        <w:spacing w:line="360" w:lineRule="auto"/>
        <w:rPr>
          <w:rFonts w:ascii="宋体" w:hAnsi="宋体"/>
          <w:b/>
        </w:rPr>
      </w:pPr>
      <w:r>
        <w:rPr>
          <w:rFonts w:hint="eastAsia" w:ascii="宋体" w:hAnsi="宋体"/>
          <w:b/>
          <w:lang w:val="en-US" w:eastAsia="zh-CN"/>
        </w:rPr>
        <w:t xml:space="preserve">1  </w:t>
      </w:r>
      <w:r>
        <w:rPr>
          <w:rFonts w:hint="eastAsia" w:ascii="宋体" w:hAnsi="宋体"/>
          <w:b/>
        </w:rPr>
        <w:t>起草阶段</w:t>
      </w:r>
    </w:p>
    <w:p>
      <w:pPr>
        <w:spacing w:line="24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中南大学粉末冶金研究院接到《</w:t>
      </w:r>
      <w:r>
        <w:rPr>
          <w:rFonts w:hint="eastAsia" w:ascii="宋体" w:hAnsi="宋体"/>
          <w:szCs w:val="21"/>
        </w:rPr>
        <w:t>碳</w:t>
      </w:r>
      <w:r>
        <w:rPr>
          <w:rFonts w:hint="eastAsia" w:ascii="宋体" w:hAnsi="宋体"/>
          <w:szCs w:val="21"/>
          <w:lang w:val="en-US" w:eastAsia="zh-CN"/>
        </w:rPr>
        <w:t>核级碳化硼</w:t>
      </w:r>
      <w:r>
        <w:rPr>
          <w:rFonts w:hint="eastAsia" w:ascii="宋体" w:hAnsi="宋体"/>
          <w:szCs w:val="21"/>
        </w:rPr>
        <w:t>化学分析方法第</w:t>
      </w:r>
      <w:r>
        <w:rPr>
          <w:rFonts w:hint="eastAsia" w:ascii="宋体" w:hAnsi="宋体"/>
          <w:szCs w:val="21"/>
          <w:lang w:val="en-US" w:eastAsia="zh-CN"/>
        </w:rPr>
        <w:t>1</w:t>
      </w:r>
      <w:r>
        <w:rPr>
          <w:rFonts w:hint="eastAsia" w:ascii="宋体" w:hAnsi="宋体"/>
          <w:szCs w:val="21"/>
        </w:rPr>
        <w:t>部分：</w:t>
      </w:r>
      <w:r>
        <w:rPr>
          <w:rFonts w:hint="eastAsia" w:ascii="宋体" w:hAnsi="宋体"/>
          <w:szCs w:val="21"/>
          <w:lang w:val="en-US" w:eastAsia="zh-CN"/>
        </w:rPr>
        <w:t>总硼</w:t>
      </w:r>
      <w:r>
        <w:rPr>
          <w:rFonts w:hint="eastAsia" w:ascii="宋体" w:hAnsi="宋体"/>
          <w:szCs w:val="21"/>
        </w:rPr>
        <w:t>含量的测定</w:t>
      </w:r>
      <w:r>
        <w:rPr>
          <w:rFonts w:hint="eastAsia" w:ascii="宋体" w:hAnsi="宋体"/>
          <w:szCs w:val="21"/>
          <w:lang w:val="en-US" w:eastAsia="zh-CN"/>
        </w:rPr>
        <w:t>酸碱</w:t>
      </w:r>
      <w:r>
        <w:rPr>
          <w:rFonts w:hint="eastAsia" w:ascii="宋体" w:hAnsi="宋体"/>
          <w:szCs w:val="21"/>
          <w:lang w:eastAsia="zh-CN"/>
        </w:rPr>
        <w:t>滴定法</w:t>
      </w:r>
      <w:r>
        <w:rPr>
          <w:rFonts w:hint="eastAsia" w:ascii="Times New Roman" w:hAnsi="Times New Roman" w:eastAsia="宋体" w:cs="Times New Roman"/>
        </w:rPr>
        <w:t>》标准的制定任务后，立即组织相关技术人员成立了标准编制小组，进行相关资料的查询与收集工作，明确了成员的任务，制订了工作计划和进度安排。对该产品的相关企业进行收集、分析、研究了国内相关技术资料，对产品标准的可行性进行了对比。此基础上，于2023年</w:t>
      </w:r>
      <w:r>
        <w:rPr>
          <w:rFonts w:hint="eastAsia" w:cs="Times New Roman"/>
          <w:lang w:val="en-US" w:eastAsia="zh-CN"/>
        </w:rPr>
        <w:t>12</w:t>
      </w:r>
      <w:r>
        <w:rPr>
          <w:rFonts w:hint="eastAsia" w:ascii="Times New Roman" w:hAnsi="Times New Roman" w:eastAsia="宋体" w:cs="Times New Roman"/>
        </w:rPr>
        <w:t>月形成了标准的讨论稿和编制说明。</w:t>
      </w:r>
    </w:p>
    <w:p>
      <w:pPr>
        <w:spacing w:line="360" w:lineRule="auto"/>
        <w:rPr>
          <w:rFonts w:ascii="宋体" w:hAnsi="宋体"/>
          <w:b/>
          <w:szCs w:val="21"/>
        </w:rPr>
      </w:pPr>
      <w:r>
        <w:rPr>
          <w:rFonts w:hint="eastAsia" w:ascii="宋体" w:hAnsi="宋体"/>
          <w:b/>
          <w:szCs w:val="21"/>
          <w:lang w:val="en-US" w:eastAsia="zh-CN"/>
        </w:rPr>
        <w:t xml:space="preserve">2  </w:t>
      </w:r>
      <w:r>
        <w:rPr>
          <w:rFonts w:hint="eastAsia" w:ascii="宋体" w:hAnsi="宋体"/>
          <w:b/>
          <w:szCs w:val="21"/>
        </w:rPr>
        <w:t>征求意见阶段</w:t>
      </w:r>
    </w:p>
    <w:p>
      <w:pPr>
        <w:spacing w:line="360" w:lineRule="auto"/>
        <w:rPr>
          <w:rFonts w:hint="default" w:ascii="宋体" w:hAnsi="宋体" w:eastAsia="宋体"/>
          <w:b/>
          <w:szCs w:val="21"/>
          <w:highlight w:val="none"/>
          <w:lang w:val="en-US" w:eastAsia="zh-CN"/>
        </w:rPr>
      </w:pPr>
      <w:r>
        <w:rPr>
          <w:rFonts w:hint="eastAsia" w:ascii="宋体" w:hAnsi="宋体"/>
          <w:b/>
          <w:szCs w:val="21"/>
          <w:highlight w:val="none"/>
          <w:lang w:val="en-US" w:eastAsia="zh-CN"/>
        </w:rPr>
        <w:t xml:space="preserve">3  </w:t>
      </w:r>
      <w:r>
        <w:rPr>
          <w:rFonts w:hint="eastAsia" w:ascii="宋体" w:hAnsi="宋体"/>
          <w:b/>
          <w:szCs w:val="21"/>
          <w:highlight w:val="none"/>
        </w:rPr>
        <w:t>审查阶段</w:t>
      </w:r>
    </w:p>
    <w:p>
      <w:pPr>
        <w:spacing w:line="360" w:lineRule="auto"/>
        <w:rPr>
          <w:rFonts w:ascii="宋体" w:hAnsi="宋体"/>
          <w:b/>
          <w:szCs w:val="21"/>
          <w:highlight w:val="none"/>
        </w:rPr>
      </w:pPr>
      <w:r>
        <w:rPr>
          <w:rFonts w:hint="eastAsia" w:ascii="宋体" w:hAnsi="宋体"/>
          <w:b/>
          <w:szCs w:val="21"/>
          <w:highlight w:val="none"/>
          <w:lang w:val="en-US" w:eastAsia="zh-CN"/>
        </w:rPr>
        <w:t xml:space="preserve">4  </w:t>
      </w:r>
      <w:r>
        <w:rPr>
          <w:rFonts w:hint="eastAsia" w:ascii="宋体" w:hAnsi="宋体"/>
          <w:b/>
          <w:szCs w:val="21"/>
          <w:highlight w:val="none"/>
        </w:rPr>
        <w:t>报批阶段</w:t>
      </w:r>
    </w:p>
    <w:p>
      <w:pPr>
        <w:spacing w:line="360" w:lineRule="auto"/>
        <w:rPr>
          <w:rFonts w:hint="eastAsia" w:ascii="宋体" w:hAnsi="宋体" w:eastAsia="宋体"/>
          <w:szCs w:val="21"/>
          <w:lang w:eastAsia="zh-CN"/>
        </w:rPr>
      </w:pPr>
      <w:r>
        <w:rPr>
          <w:rFonts w:ascii="宋体" w:hAnsi="宋体"/>
          <w:b/>
          <w:szCs w:val="21"/>
        </w:rPr>
        <w:t>二、标准的制定原则、主要内容与依据</w:t>
      </w:r>
    </w:p>
    <w:p>
      <w:pPr>
        <w:spacing w:line="360" w:lineRule="auto"/>
        <w:rPr>
          <w:rFonts w:hint="eastAsia" w:ascii="宋体" w:hAnsi="宋体" w:eastAsia="宋体"/>
          <w:b/>
          <w:szCs w:val="21"/>
          <w:lang w:eastAsia="zh-CN"/>
        </w:rPr>
      </w:pPr>
      <w:r>
        <w:rPr>
          <w:rFonts w:hint="eastAsia" w:ascii="宋体" w:hAnsi="宋体"/>
          <w:b/>
          <w:szCs w:val="21"/>
          <w:lang w:val="en-US" w:eastAsia="zh-CN"/>
        </w:rPr>
        <w:t>（一）符合性</w:t>
      </w:r>
    </w:p>
    <w:p>
      <w:pPr>
        <w:spacing w:line="380" w:lineRule="exact"/>
        <w:ind w:left="0" w:leftChars="0" w:firstLine="420" w:firstLineChars="200"/>
        <w:rPr>
          <w:rFonts w:hint="eastAsia"/>
        </w:rPr>
      </w:pPr>
      <w:r>
        <w:rPr>
          <w:rFonts w:hint="eastAsia"/>
        </w:rPr>
        <w:t>本标准严格按照GB/T 1.1-2020《标准化工作导则 第1部分：标准化文件的结构和起草规则》、GB/T 20001.4-2015《标准编写规则 第4部分：试验方法标准》、GB/T 6379.2-2004《测量方法与结果的准确度(正确度与精密度) 第2部分：确定标准测量方法重复性与再现性的基本方法》的要求进行编写。</w:t>
      </w:r>
    </w:p>
    <w:p>
      <w:pPr>
        <w:spacing w:line="380" w:lineRule="exact"/>
        <w:rPr>
          <w:rFonts w:hint="default"/>
          <w:lang w:val="en-US"/>
        </w:rPr>
      </w:pPr>
      <w:r>
        <w:rPr>
          <w:rFonts w:hint="eastAsia" w:ascii="宋体" w:hAnsi="宋体"/>
          <w:b/>
          <w:szCs w:val="21"/>
          <w:lang w:val="en-US" w:eastAsia="zh-CN"/>
        </w:rPr>
        <w:t>（二）适用性和先进性</w:t>
      </w:r>
    </w:p>
    <w:p>
      <w:pPr>
        <w:spacing w:line="380" w:lineRule="exact"/>
        <w:ind w:left="0" w:leftChars="0" w:firstLine="420" w:firstLineChars="200"/>
      </w:pPr>
      <w:r>
        <w:rPr>
          <w:rFonts w:hint="eastAsia"/>
        </w:rPr>
        <w:t xml:space="preserve">本标准是对YS/T </w:t>
      </w:r>
      <w:r>
        <w:rPr>
          <w:rFonts w:hint="eastAsia"/>
          <w:lang w:val="en-US" w:eastAsia="zh-CN"/>
        </w:rPr>
        <w:t>423.1-2000</w:t>
      </w:r>
      <w:r>
        <w:rPr>
          <w:rFonts w:hint="eastAsia"/>
        </w:rPr>
        <w:t>《</w:t>
      </w:r>
      <w:r>
        <w:rPr>
          <w:rFonts w:hint="eastAsia" w:ascii="宋体" w:hAnsi="宋体"/>
          <w:szCs w:val="21"/>
        </w:rPr>
        <w:t>碳</w:t>
      </w:r>
      <w:r>
        <w:rPr>
          <w:rFonts w:hint="eastAsia" w:ascii="宋体" w:hAnsi="宋体"/>
          <w:szCs w:val="21"/>
          <w:lang w:val="en-US" w:eastAsia="zh-CN"/>
        </w:rPr>
        <w:t>核级碳化硼</w:t>
      </w:r>
      <w:r>
        <w:rPr>
          <w:rFonts w:hint="eastAsia" w:ascii="宋体" w:hAnsi="宋体"/>
          <w:szCs w:val="21"/>
        </w:rPr>
        <w:t>化学分析方法第</w:t>
      </w:r>
      <w:r>
        <w:rPr>
          <w:rFonts w:hint="eastAsia" w:ascii="宋体" w:hAnsi="宋体"/>
          <w:szCs w:val="21"/>
          <w:lang w:val="en-US" w:eastAsia="zh-CN"/>
        </w:rPr>
        <w:t>1</w:t>
      </w:r>
      <w:r>
        <w:rPr>
          <w:rFonts w:hint="eastAsia" w:ascii="宋体" w:hAnsi="宋体"/>
          <w:szCs w:val="21"/>
        </w:rPr>
        <w:t>部分：</w:t>
      </w:r>
      <w:r>
        <w:rPr>
          <w:rFonts w:hint="eastAsia" w:ascii="宋体" w:hAnsi="宋体"/>
          <w:szCs w:val="21"/>
          <w:lang w:val="en-US" w:eastAsia="zh-CN"/>
        </w:rPr>
        <w:t>总硼</w:t>
      </w:r>
      <w:r>
        <w:rPr>
          <w:rFonts w:hint="eastAsia" w:ascii="宋体" w:hAnsi="宋体"/>
          <w:szCs w:val="21"/>
        </w:rPr>
        <w:t>含量的测定</w:t>
      </w:r>
      <w:r>
        <w:rPr>
          <w:rFonts w:hint="eastAsia" w:ascii="宋体" w:hAnsi="宋体"/>
          <w:szCs w:val="21"/>
          <w:lang w:val="en-US" w:eastAsia="zh-CN"/>
        </w:rPr>
        <w:t>酸碱</w:t>
      </w:r>
      <w:r>
        <w:rPr>
          <w:rFonts w:hint="eastAsia" w:ascii="宋体" w:hAnsi="宋体"/>
          <w:szCs w:val="21"/>
          <w:lang w:eastAsia="zh-CN"/>
        </w:rPr>
        <w:t>滴定法</w:t>
      </w:r>
      <w:r>
        <w:rPr>
          <w:rFonts w:hint="eastAsia"/>
        </w:rPr>
        <w:t>》的修订起草。在充分调研</w:t>
      </w:r>
      <w:r>
        <w:rPr>
          <w:rFonts w:hint="eastAsia"/>
          <w:lang w:val="en-US" w:eastAsia="zh-CN"/>
        </w:rPr>
        <w:t>核级碳化硼</w:t>
      </w:r>
      <w:r>
        <w:rPr>
          <w:rFonts w:hint="eastAsia"/>
        </w:rPr>
        <w:t>相关产品分析检测实际需求的基础上，对原标准的试验操作的技术细节、精密度数据进行修改或补充，进一步规范了</w:t>
      </w:r>
      <w:r>
        <w:rPr>
          <w:rFonts w:hint="eastAsia"/>
          <w:lang w:val="en-US" w:eastAsia="zh-CN"/>
        </w:rPr>
        <w:t>核级碳化硼</w:t>
      </w:r>
      <w:r>
        <w:rPr>
          <w:rFonts w:hint="eastAsia"/>
        </w:rPr>
        <w:t>中</w:t>
      </w:r>
      <w:r>
        <w:rPr>
          <w:rFonts w:hint="eastAsia"/>
          <w:lang w:val="en-US" w:eastAsia="zh-CN"/>
        </w:rPr>
        <w:t>总硼</w:t>
      </w:r>
      <w:r>
        <w:rPr>
          <w:rFonts w:hint="eastAsia"/>
        </w:rPr>
        <w:t>含量</w:t>
      </w:r>
      <w:r>
        <w:rPr>
          <w:rFonts w:hint="eastAsia"/>
          <w:lang w:val="en-US" w:eastAsia="zh-CN"/>
        </w:rPr>
        <w:t>测定</w:t>
      </w:r>
      <w:r>
        <w:rPr>
          <w:rFonts w:hint="eastAsia"/>
        </w:rPr>
        <w:t>的分析方法，同时又体现了行业内对</w:t>
      </w:r>
      <w:r>
        <w:rPr>
          <w:rFonts w:hint="eastAsia"/>
          <w:lang w:val="en-US" w:eastAsia="zh-CN"/>
        </w:rPr>
        <w:t>核级碳化硼</w:t>
      </w:r>
      <w:r>
        <w:rPr>
          <w:rFonts w:hint="eastAsia"/>
        </w:rPr>
        <w:t>化学成分分析的技术水平，具有先进性、可操作性和广泛的适用性</w:t>
      </w:r>
      <w:r>
        <w:rPr>
          <w:rFonts w:hint="eastAsia"/>
          <w:lang w:eastAsia="zh-CN"/>
        </w:rPr>
        <w:t>。</w:t>
      </w:r>
      <w:r>
        <w:rPr>
          <w:rFonts w:hint="eastAsia"/>
        </w:rPr>
        <w:t>反映当前国内各相关企业的检测技术水平，宜于应用，经济上合理。</w:t>
      </w:r>
    </w:p>
    <w:p>
      <w:pPr>
        <w:spacing w:line="360" w:lineRule="auto"/>
        <w:rPr>
          <w:rFonts w:ascii="宋体" w:hAnsi="宋体"/>
          <w:b/>
          <w:sz w:val="24"/>
        </w:rPr>
      </w:pPr>
      <w:r>
        <w:rPr>
          <w:rFonts w:ascii="宋体" w:hAnsi="宋体"/>
          <w:b/>
          <w:sz w:val="24"/>
        </w:rPr>
        <w:t>三</w:t>
      </w:r>
      <w:r>
        <w:rPr>
          <w:rFonts w:hint="eastAsia" w:ascii="宋体" w:hAnsi="宋体"/>
          <w:b/>
          <w:sz w:val="24"/>
        </w:rPr>
        <w:t>.</w:t>
      </w:r>
      <w:r>
        <w:rPr>
          <w:rFonts w:ascii="宋体" w:hAnsi="宋体"/>
          <w:b/>
          <w:sz w:val="24"/>
        </w:rPr>
        <w:t>标准修定内容的确定依据及主要实验和验证情况</w:t>
      </w:r>
    </w:p>
    <w:p>
      <w:pPr>
        <w:spacing w:line="380" w:lineRule="exact"/>
        <w:ind w:left="0" w:leftChars="0" w:firstLine="420" w:firstLineChars="200"/>
        <w:rPr>
          <w:rFonts w:hint="eastAsia"/>
          <w:lang w:eastAsia="zh-CN"/>
        </w:rPr>
      </w:pPr>
      <w:r>
        <w:rPr>
          <w:rFonts w:hint="eastAsia"/>
          <w:lang w:val="en-US" w:eastAsia="zh-CN"/>
        </w:rPr>
        <w:t>与</w:t>
      </w:r>
      <w:r>
        <w:rPr>
          <w:rFonts w:hint="eastAsia"/>
          <w:lang w:eastAsia="zh-CN"/>
        </w:rPr>
        <w:t>YS/T</w:t>
      </w:r>
      <w:r>
        <w:rPr>
          <w:rFonts w:hint="eastAsia"/>
          <w:lang w:val="en-US" w:eastAsia="zh-CN"/>
        </w:rPr>
        <w:t xml:space="preserve"> </w:t>
      </w:r>
      <w:r>
        <w:rPr>
          <w:rFonts w:hint="eastAsia"/>
          <w:lang w:eastAsia="zh-CN"/>
        </w:rPr>
        <w:t>42</w:t>
      </w:r>
      <w:r>
        <w:rPr>
          <w:rFonts w:hint="eastAsia"/>
          <w:lang w:val="en-US" w:eastAsia="zh-CN"/>
        </w:rPr>
        <w:t>3</w:t>
      </w:r>
      <w:r>
        <w:rPr>
          <w:rFonts w:hint="eastAsia"/>
          <w:lang w:eastAsia="zh-CN"/>
        </w:rPr>
        <w:t>.</w:t>
      </w:r>
      <w:r>
        <w:rPr>
          <w:rFonts w:hint="eastAsia"/>
          <w:lang w:val="en-US" w:eastAsia="zh-CN"/>
        </w:rPr>
        <w:t>1</w:t>
      </w:r>
      <w:r>
        <w:rPr>
          <w:rFonts w:hint="eastAsia"/>
          <w:lang w:eastAsia="zh-CN"/>
        </w:rPr>
        <w:t>-2000《</w:t>
      </w:r>
      <w:r>
        <w:rPr>
          <w:rFonts w:hint="eastAsia" w:ascii="宋体" w:hAnsi="宋体"/>
          <w:szCs w:val="21"/>
        </w:rPr>
        <w:t>碳</w:t>
      </w:r>
      <w:r>
        <w:rPr>
          <w:rFonts w:hint="eastAsia" w:ascii="宋体" w:hAnsi="宋体"/>
          <w:szCs w:val="21"/>
          <w:lang w:val="en-US" w:eastAsia="zh-CN"/>
        </w:rPr>
        <w:t>核级碳化硼</w:t>
      </w:r>
      <w:r>
        <w:rPr>
          <w:rFonts w:hint="eastAsia" w:ascii="宋体" w:hAnsi="宋体"/>
          <w:szCs w:val="21"/>
        </w:rPr>
        <w:t>化学分析方法第</w:t>
      </w:r>
      <w:r>
        <w:rPr>
          <w:rFonts w:hint="eastAsia" w:ascii="宋体" w:hAnsi="宋体"/>
          <w:szCs w:val="21"/>
          <w:lang w:val="en-US" w:eastAsia="zh-CN"/>
        </w:rPr>
        <w:t>1</w:t>
      </w:r>
      <w:r>
        <w:rPr>
          <w:rFonts w:hint="eastAsia" w:ascii="宋体" w:hAnsi="宋体"/>
          <w:szCs w:val="21"/>
        </w:rPr>
        <w:t>部分：</w:t>
      </w:r>
      <w:r>
        <w:rPr>
          <w:rFonts w:hint="eastAsia" w:ascii="宋体" w:hAnsi="宋体"/>
          <w:szCs w:val="21"/>
          <w:lang w:val="en-US" w:eastAsia="zh-CN"/>
        </w:rPr>
        <w:t>总硼</w:t>
      </w:r>
      <w:r>
        <w:rPr>
          <w:rFonts w:hint="eastAsia" w:ascii="宋体" w:hAnsi="宋体"/>
          <w:szCs w:val="21"/>
        </w:rPr>
        <w:t>含量的测定</w:t>
      </w:r>
      <w:r>
        <w:rPr>
          <w:rFonts w:hint="eastAsia" w:ascii="宋体" w:hAnsi="宋体"/>
          <w:szCs w:val="21"/>
          <w:lang w:val="en-US" w:eastAsia="zh-CN"/>
        </w:rPr>
        <w:t>酸碱</w:t>
      </w:r>
      <w:r>
        <w:rPr>
          <w:rFonts w:hint="eastAsia" w:ascii="宋体" w:hAnsi="宋体"/>
          <w:szCs w:val="21"/>
          <w:lang w:eastAsia="zh-CN"/>
        </w:rPr>
        <w:t>滴定法</w:t>
      </w:r>
      <w:r>
        <w:rPr>
          <w:rFonts w:hint="eastAsia"/>
          <w:lang w:eastAsia="zh-CN"/>
        </w:rPr>
        <w:t>》</w:t>
      </w:r>
      <w:r>
        <w:rPr>
          <w:rFonts w:hint="eastAsia"/>
          <w:lang w:val="en-US" w:eastAsia="zh-CN"/>
        </w:rPr>
        <w:t>相比，本次</w:t>
      </w:r>
      <w:r>
        <w:rPr>
          <w:rFonts w:hint="eastAsia"/>
          <w:lang w:eastAsia="zh-CN"/>
        </w:rPr>
        <w:t>主要</w:t>
      </w:r>
      <w:r>
        <w:rPr>
          <w:rFonts w:hint="eastAsia"/>
          <w:lang w:val="en-US" w:eastAsia="zh-CN"/>
        </w:rPr>
        <w:t>修订内容</w:t>
      </w:r>
      <w:r>
        <w:rPr>
          <w:rFonts w:hint="eastAsia"/>
          <w:lang w:eastAsia="zh-CN"/>
        </w:rPr>
        <w:t>如下：</w:t>
      </w:r>
    </w:p>
    <w:p>
      <w:pPr>
        <w:spacing w:line="380" w:lineRule="exact"/>
        <w:rPr>
          <w:rFonts w:hint="eastAsia"/>
          <w:lang w:val="en-US" w:eastAsia="zh-CN"/>
        </w:rPr>
      </w:pPr>
      <w:r>
        <w:rPr>
          <w:rFonts w:hint="eastAsia"/>
          <w:b w:val="0"/>
          <w:bCs w:val="0"/>
          <w:lang w:val="en-US" w:eastAsia="zh-CN"/>
        </w:rPr>
        <w:t>（一）修订了氢氧化钠标准滴定溶液的的配制和标定方法</w:t>
      </w:r>
      <w:r>
        <w:rPr>
          <w:rFonts w:hint="eastAsia"/>
          <w:lang w:val="en-US" w:eastAsia="zh-CN"/>
        </w:rPr>
        <w:t>：参考GB/T 601-2016《化学试剂标准滴定溶液的制备》进行标定。</w:t>
      </w:r>
    </w:p>
    <w:p>
      <w:pPr>
        <w:spacing w:line="380" w:lineRule="exact"/>
        <w:rPr>
          <w:rFonts w:hint="eastAsia"/>
          <w:lang w:val="en-US" w:eastAsia="zh-CN"/>
        </w:rPr>
      </w:pPr>
      <w:r>
        <w:rPr>
          <w:rFonts w:hint="eastAsia"/>
          <w:b w:val="0"/>
          <w:bCs w:val="0"/>
          <w:lang w:val="en-US" w:eastAsia="zh-CN"/>
        </w:rPr>
        <w:t>（三）试验条件的探究</w:t>
      </w:r>
      <w:r>
        <w:rPr>
          <w:rFonts w:hint="eastAsia"/>
          <w:lang w:val="en-US" w:eastAsia="zh-CN"/>
        </w:rPr>
        <w:t>：为使试样分解完全不至于损失，探究了熔样的操作细节。</w:t>
      </w:r>
    </w:p>
    <w:p>
      <w:pPr>
        <w:spacing w:line="380" w:lineRule="exact"/>
        <w:rPr>
          <w:rFonts w:hint="default" w:ascii="宋体" w:hAnsi="宋体" w:eastAsia="宋体" w:cs="Times New Roman"/>
          <w:szCs w:val="21"/>
          <w:highlight w:val="yellow"/>
          <w:lang w:val="en-US" w:eastAsia="zh-CN"/>
        </w:rPr>
      </w:pPr>
      <w:r>
        <w:rPr>
          <w:rFonts w:hint="eastAsia"/>
          <w:b w:val="0"/>
          <w:bCs w:val="0"/>
          <w:lang w:val="en-US" w:eastAsia="zh-CN"/>
        </w:rPr>
        <w:t>（四）数据处理的修订</w:t>
      </w:r>
      <w:r>
        <w:rPr>
          <w:rFonts w:hint="eastAsia"/>
          <w:lang w:val="en-US" w:eastAsia="zh-CN"/>
        </w:rPr>
        <w:t>：修改了总硼含量的计算公式。</w:t>
      </w:r>
    </w:p>
    <w:p>
      <w:pPr>
        <w:spacing w:line="360" w:lineRule="auto"/>
        <w:ind w:left="0" w:leftChars="0" w:firstLine="420" w:firstLineChars="200"/>
        <w:rPr>
          <w:rFonts w:hint="default" w:ascii="宋体" w:hAnsi="宋体"/>
          <w:b w:val="0"/>
          <w:bCs/>
          <w:szCs w:val="21"/>
          <w:lang w:val="en-US" w:eastAsia="zh-CN"/>
        </w:rPr>
      </w:pPr>
      <w:r>
        <w:rPr>
          <w:rFonts w:hint="eastAsia" w:ascii="宋体" w:hAnsi="宋体"/>
          <w:b w:val="0"/>
          <w:bCs/>
          <w:szCs w:val="21"/>
          <w:lang w:val="en-US" w:eastAsia="zh-CN"/>
        </w:rPr>
        <w:t>主要试验和验证情况如下：</w:t>
      </w:r>
    </w:p>
    <w:p>
      <w:pPr>
        <w:spacing w:line="360" w:lineRule="auto"/>
        <w:rPr>
          <w:rFonts w:hint="default" w:ascii="宋体" w:hAnsi="宋体"/>
          <w:b/>
          <w:szCs w:val="21"/>
          <w:lang w:val="en-US" w:eastAsia="zh-CN"/>
        </w:rPr>
      </w:pPr>
      <w:r>
        <w:rPr>
          <w:rFonts w:hint="eastAsia" w:ascii="宋体" w:hAnsi="宋体"/>
          <w:b/>
          <w:szCs w:val="21"/>
          <w:lang w:val="en-US" w:eastAsia="zh-CN"/>
        </w:rPr>
        <w:t>1样品的分解</w:t>
      </w:r>
    </w:p>
    <w:p>
      <w:pPr>
        <w:pStyle w:val="15"/>
        <w:spacing w:line="240" w:lineRule="auto"/>
        <w:ind w:firstLine="422"/>
        <w:rPr>
          <w:rFonts w:hint="eastAsia" w:hAnsi="宋体"/>
          <w:b w:val="0"/>
          <w:bCs/>
          <w:iCs/>
          <w:sz w:val="21"/>
          <w:szCs w:val="21"/>
          <w:lang w:val="en-US" w:eastAsia="zh-CN"/>
        </w:rPr>
      </w:pPr>
      <w:r>
        <w:rPr>
          <w:rFonts w:hint="eastAsia" w:hAnsi="宋体"/>
          <w:b w:val="0"/>
          <w:bCs/>
          <w:iCs/>
          <w:sz w:val="21"/>
          <w:szCs w:val="21"/>
          <w:lang w:val="en-US" w:eastAsia="zh-CN"/>
        </w:rPr>
        <w:t>原标准中分析步骤为：先将样品与3g碳酸钙混匀后再放入铺有4g碳酸钙的瓷坩埚中，再覆盖2g碳酸钙进行灼烧。由于在表面皿上混样，致使表面皿上也残留有碳酸钙与样品，使得样品有所损失。故考虑在坩埚中直接进行混合。</w:t>
      </w:r>
    </w:p>
    <w:p>
      <w:pPr>
        <w:pStyle w:val="15"/>
        <w:spacing w:line="240" w:lineRule="auto"/>
        <w:ind w:firstLine="422"/>
        <w:rPr>
          <w:rFonts w:hint="eastAsia" w:hAnsi="宋体"/>
          <w:b w:val="0"/>
          <w:bCs/>
          <w:iCs/>
          <w:sz w:val="21"/>
          <w:szCs w:val="21"/>
          <w:lang w:val="en-US" w:eastAsia="zh-CN"/>
        </w:rPr>
      </w:pPr>
      <w:r>
        <w:rPr>
          <w:rFonts w:hint="eastAsia" w:hAnsi="宋体"/>
          <w:b w:val="0"/>
          <w:bCs/>
          <w:iCs/>
          <w:sz w:val="21"/>
          <w:szCs w:val="21"/>
          <w:lang w:val="en-US" w:eastAsia="zh-CN"/>
        </w:rPr>
        <w:t>方法①：将样品与3g碳酸钙在表面皿上混匀，放入铺有4g碳酸钙的瓷坩埚中，覆盖2g碳酸钙进行灼烧。</w:t>
      </w:r>
    </w:p>
    <w:p>
      <w:pPr>
        <w:pStyle w:val="15"/>
        <w:spacing w:line="240" w:lineRule="auto"/>
        <w:ind w:firstLine="422"/>
        <w:rPr>
          <w:rFonts w:hint="default" w:hAnsi="宋体"/>
          <w:b w:val="0"/>
          <w:bCs/>
          <w:iCs/>
          <w:sz w:val="21"/>
          <w:szCs w:val="21"/>
          <w:lang w:val="en-US" w:eastAsia="zh-CN"/>
        </w:rPr>
      </w:pPr>
      <w:r>
        <w:rPr>
          <w:rFonts w:hint="eastAsia" w:hAnsi="宋体"/>
          <w:b w:val="0"/>
          <w:bCs/>
          <w:iCs/>
          <w:sz w:val="21"/>
          <w:szCs w:val="21"/>
          <w:lang w:val="en-US" w:eastAsia="zh-CN"/>
        </w:rPr>
        <w:t>方法②：将样品称入盛有4g碳酸钙的瓷坩埚中，用玻璃棒混匀，用小片定量滤纸擦净玻璃棒，滤纸放入坩埚中，再覆盖3g碳酸钙进行灼烧。</w:t>
      </w:r>
    </w:p>
    <w:p>
      <w:pPr>
        <w:pStyle w:val="15"/>
        <w:spacing w:line="240" w:lineRule="auto"/>
        <w:ind w:firstLine="422"/>
        <w:rPr>
          <w:rFonts w:hint="eastAsia" w:hAnsi="宋体"/>
          <w:b w:val="0"/>
          <w:bCs/>
          <w:iCs/>
          <w:sz w:val="21"/>
          <w:szCs w:val="21"/>
          <w:lang w:val="en-US" w:eastAsia="zh-CN"/>
        </w:rPr>
      </w:pPr>
      <w:r>
        <w:rPr>
          <w:rFonts w:hint="eastAsia" w:hAnsi="宋体"/>
          <w:b w:val="0"/>
          <w:bCs/>
          <w:iCs/>
          <w:sz w:val="21"/>
          <w:szCs w:val="21"/>
          <w:lang w:val="en-US" w:eastAsia="zh-CN"/>
        </w:rPr>
        <w:t>称取0.2g1#样品，分别按方法①和方法②分解样品，并按分析方法进行测定。结果见表2。</w:t>
      </w:r>
    </w:p>
    <w:p>
      <w:pPr>
        <w:pStyle w:val="15"/>
        <w:spacing w:line="360" w:lineRule="auto"/>
        <w:ind w:firstLine="422"/>
        <w:jc w:val="center"/>
        <w:rPr>
          <w:rFonts w:hint="eastAsia" w:ascii="黑体" w:hAnsi="黑体" w:eastAsia="黑体" w:cs="黑体"/>
          <w:b w:val="0"/>
          <w:bCs/>
          <w:iCs/>
          <w:sz w:val="20"/>
          <w:szCs w:val="20"/>
          <w:lang w:val="en-US" w:eastAsia="zh-CN"/>
        </w:rPr>
      </w:pPr>
    </w:p>
    <w:p>
      <w:pPr>
        <w:pStyle w:val="15"/>
        <w:spacing w:line="360" w:lineRule="auto"/>
        <w:ind w:firstLine="422"/>
        <w:jc w:val="center"/>
        <w:rPr>
          <w:rFonts w:hint="eastAsia" w:ascii="黑体" w:hAnsi="黑体" w:eastAsia="黑体" w:cs="黑体"/>
          <w:b w:val="0"/>
          <w:bCs/>
          <w:iCs/>
          <w:sz w:val="20"/>
          <w:szCs w:val="20"/>
          <w:lang w:val="en-US" w:eastAsia="zh-CN"/>
        </w:rPr>
      </w:pPr>
    </w:p>
    <w:p>
      <w:pPr>
        <w:pStyle w:val="15"/>
        <w:spacing w:line="360" w:lineRule="auto"/>
        <w:ind w:firstLine="422"/>
        <w:jc w:val="center"/>
        <w:rPr>
          <w:rFonts w:hint="eastAsia" w:ascii="黑体" w:hAnsi="黑体" w:eastAsia="黑体" w:cs="黑体"/>
          <w:b w:val="0"/>
          <w:bCs/>
          <w:iCs/>
          <w:sz w:val="21"/>
          <w:szCs w:val="21"/>
          <w:lang w:val="en-US" w:eastAsia="zh-CN"/>
        </w:rPr>
      </w:pPr>
      <w:r>
        <w:rPr>
          <w:rFonts w:hint="eastAsia" w:ascii="黑体" w:hAnsi="黑体" w:eastAsia="黑体" w:cs="黑体"/>
          <w:b w:val="0"/>
          <w:bCs/>
          <w:iCs/>
          <w:sz w:val="20"/>
          <w:szCs w:val="20"/>
          <w:lang w:val="en-US" w:eastAsia="zh-CN"/>
        </w:rPr>
        <w:t>表2  样品熔融条件试验</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828"/>
        <w:gridCol w:w="1690"/>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Align w:val="center"/>
          </w:tcPr>
          <w:p>
            <w:pPr>
              <w:pStyle w:val="15"/>
              <w:spacing w:line="240" w:lineRule="auto"/>
              <w:ind w:left="0" w:leftChars="0" w:firstLine="0" w:firstLineChars="0"/>
              <w:jc w:val="both"/>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分解条件</w:t>
            </w:r>
          </w:p>
        </w:tc>
        <w:tc>
          <w:tcPr>
            <w:tcW w:w="3828" w:type="dxa"/>
            <w:vAlign w:val="center"/>
          </w:tcPr>
          <w:p>
            <w:pPr>
              <w:pStyle w:val="15"/>
              <w:spacing w:line="240" w:lineRule="auto"/>
              <w:ind w:left="0" w:leftChars="0" w:firstLine="0" w:firstLineChars="0"/>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总硼质量分数w/%</w:t>
            </w:r>
          </w:p>
        </w:tc>
        <w:tc>
          <w:tcPr>
            <w:tcW w:w="1690" w:type="dxa"/>
            <w:vAlign w:val="center"/>
          </w:tcPr>
          <w:p>
            <w:pPr>
              <w:pStyle w:val="15"/>
              <w:spacing w:line="240" w:lineRule="auto"/>
              <w:ind w:left="0" w:leftChars="0" w:firstLine="0" w:firstLineChars="0"/>
              <w:jc w:val="both"/>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总硼质量分数</w:t>
            </w:r>
            <w:r>
              <w:rPr>
                <w:rFonts w:hint="default" w:ascii="Times New Roman" w:hAnsi="Times New Roman" w:cs="Times New Roman"/>
                <w:b w:val="0"/>
                <w:bCs/>
                <w:i/>
                <w:iCs w:val="0"/>
                <w:sz w:val="21"/>
                <w:szCs w:val="21"/>
                <w:vertAlign w:val="baseline"/>
                <w:lang w:val="en-US" w:eastAsia="zh-CN"/>
              </w:rPr>
              <w:t>w</w:t>
            </w:r>
            <w:r>
              <w:rPr>
                <w:rFonts w:hint="eastAsia" w:hAnsi="宋体"/>
                <w:b w:val="0"/>
                <w:bCs/>
                <w:iCs/>
                <w:sz w:val="21"/>
                <w:szCs w:val="21"/>
                <w:vertAlign w:val="baseline"/>
                <w:lang w:val="en-US" w:eastAsia="zh-CN"/>
              </w:rPr>
              <w:t>平均值/%</w:t>
            </w:r>
          </w:p>
        </w:tc>
        <w:tc>
          <w:tcPr>
            <w:tcW w:w="991" w:type="dxa"/>
            <w:vAlign w:val="center"/>
          </w:tcPr>
          <w:p>
            <w:pPr>
              <w:pStyle w:val="15"/>
              <w:spacing w:line="240" w:lineRule="auto"/>
              <w:ind w:left="0" w:leftChars="0" w:firstLine="0" w:firstLineChars="0"/>
              <w:jc w:val="both"/>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Merge w:val="restart"/>
            <w:vAlign w:val="center"/>
          </w:tcPr>
          <w:p>
            <w:pPr>
              <w:pStyle w:val="15"/>
              <w:spacing w:line="240" w:lineRule="auto"/>
              <w:ind w:left="0" w:leftChars="0" w:firstLine="0" w:firstLineChars="0"/>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方法①</w:t>
            </w:r>
          </w:p>
        </w:tc>
        <w:tc>
          <w:tcPr>
            <w:tcW w:w="3828"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76.03</w:t>
            </w:r>
          </w:p>
        </w:tc>
        <w:tc>
          <w:tcPr>
            <w:tcW w:w="1690" w:type="dxa"/>
            <w:vMerge w:val="restart"/>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76.21</w:t>
            </w:r>
          </w:p>
        </w:tc>
        <w:tc>
          <w:tcPr>
            <w:tcW w:w="991" w:type="dxa"/>
            <w:vMerge w:val="restart"/>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Merge w:val="continue"/>
            <w:vAlign w:val="center"/>
          </w:tcPr>
          <w:p>
            <w:pPr>
              <w:pStyle w:val="15"/>
              <w:spacing w:line="240" w:lineRule="auto"/>
              <w:ind w:left="0" w:leftChars="0" w:firstLine="0" w:firstLineChars="0"/>
              <w:jc w:val="center"/>
              <w:rPr>
                <w:rFonts w:hint="eastAsia" w:hAnsi="宋体"/>
                <w:b w:val="0"/>
                <w:bCs/>
                <w:iCs/>
                <w:sz w:val="21"/>
                <w:szCs w:val="21"/>
                <w:vertAlign w:val="baseline"/>
                <w:lang w:val="en-US" w:eastAsia="zh-CN"/>
              </w:rPr>
            </w:pPr>
          </w:p>
        </w:tc>
        <w:tc>
          <w:tcPr>
            <w:tcW w:w="3828"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76.42</w:t>
            </w:r>
          </w:p>
        </w:tc>
        <w:tc>
          <w:tcPr>
            <w:tcW w:w="1690" w:type="dxa"/>
            <w:vMerge w:val="continue"/>
            <w:vAlign w:val="center"/>
          </w:tcPr>
          <w:p>
            <w:pPr>
              <w:keepNext w:val="0"/>
              <w:keepLines w:val="0"/>
              <w:widowControl/>
              <w:suppressLineNumbers w:val="0"/>
              <w:jc w:val="center"/>
              <w:textAlignment w:val="center"/>
              <w:rPr>
                <w:rFonts w:hint="eastAsia" w:hAnsi="宋体"/>
                <w:b w:val="0"/>
                <w:bCs/>
                <w:iCs/>
                <w:sz w:val="21"/>
                <w:szCs w:val="21"/>
                <w:vertAlign w:val="baseline"/>
                <w:lang w:val="en-US" w:eastAsia="zh-CN"/>
              </w:rPr>
            </w:pPr>
          </w:p>
        </w:tc>
        <w:tc>
          <w:tcPr>
            <w:tcW w:w="991" w:type="dxa"/>
            <w:vMerge w:val="continue"/>
            <w:vAlign w:val="center"/>
          </w:tcPr>
          <w:p>
            <w:pPr>
              <w:keepNext w:val="0"/>
              <w:keepLines w:val="0"/>
              <w:widowControl/>
              <w:suppressLineNumbers w:val="0"/>
              <w:jc w:val="center"/>
              <w:textAlignment w:val="center"/>
              <w:rPr>
                <w:rFonts w:hint="eastAsia"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Merge w:val="continue"/>
            <w:vAlign w:val="center"/>
          </w:tcPr>
          <w:p>
            <w:pPr>
              <w:pStyle w:val="15"/>
              <w:spacing w:line="240" w:lineRule="auto"/>
              <w:ind w:left="0" w:leftChars="0" w:firstLine="0" w:firstLineChars="0"/>
              <w:jc w:val="center"/>
              <w:rPr>
                <w:rFonts w:hint="eastAsia" w:hAnsi="宋体"/>
                <w:b w:val="0"/>
                <w:bCs/>
                <w:iCs/>
                <w:sz w:val="21"/>
                <w:szCs w:val="21"/>
                <w:vertAlign w:val="baseline"/>
                <w:lang w:val="en-US" w:eastAsia="zh-CN"/>
              </w:rPr>
            </w:pPr>
          </w:p>
        </w:tc>
        <w:tc>
          <w:tcPr>
            <w:tcW w:w="3828"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76.18</w:t>
            </w:r>
          </w:p>
        </w:tc>
        <w:tc>
          <w:tcPr>
            <w:tcW w:w="1690" w:type="dxa"/>
            <w:vMerge w:val="continue"/>
            <w:vAlign w:val="center"/>
          </w:tcPr>
          <w:p>
            <w:pPr>
              <w:keepNext w:val="0"/>
              <w:keepLines w:val="0"/>
              <w:widowControl/>
              <w:suppressLineNumbers w:val="0"/>
              <w:jc w:val="center"/>
              <w:textAlignment w:val="center"/>
              <w:rPr>
                <w:rFonts w:hint="eastAsia" w:hAnsi="宋体"/>
                <w:b w:val="0"/>
                <w:bCs/>
                <w:iCs/>
                <w:sz w:val="21"/>
                <w:szCs w:val="21"/>
                <w:vertAlign w:val="baseline"/>
                <w:lang w:val="en-US" w:eastAsia="zh-CN"/>
              </w:rPr>
            </w:pPr>
          </w:p>
        </w:tc>
        <w:tc>
          <w:tcPr>
            <w:tcW w:w="991" w:type="dxa"/>
            <w:vMerge w:val="continue"/>
            <w:vAlign w:val="center"/>
          </w:tcPr>
          <w:p>
            <w:pPr>
              <w:keepNext w:val="0"/>
              <w:keepLines w:val="0"/>
              <w:widowControl/>
              <w:suppressLineNumbers w:val="0"/>
              <w:jc w:val="center"/>
              <w:textAlignment w:val="center"/>
              <w:rPr>
                <w:rFonts w:hint="eastAsia"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Merge w:val="restart"/>
            <w:vAlign w:val="center"/>
          </w:tcPr>
          <w:p>
            <w:pPr>
              <w:pStyle w:val="15"/>
              <w:spacing w:line="240" w:lineRule="auto"/>
              <w:ind w:left="0" w:leftChars="0" w:firstLine="0" w:firstLineChars="0"/>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方法②</w:t>
            </w:r>
          </w:p>
        </w:tc>
        <w:tc>
          <w:tcPr>
            <w:tcW w:w="3828"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76.86</w:t>
            </w:r>
          </w:p>
        </w:tc>
        <w:tc>
          <w:tcPr>
            <w:tcW w:w="1690" w:type="dxa"/>
            <w:vMerge w:val="restart"/>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76.78</w:t>
            </w:r>
          </w:p>
        </w:tc>
        <w:tc>
          <w:tcPr>
            <w:tcW w:w="991" w:type="dxa"/>
            <w:vMerge w:val="restart"/>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Merge w:val="continue"/>
            <w:vAlign w:val="center"/>
          </w:tcPr>
          <w:p>
            <w:pPr>
              <w:pStyle w:val="15"/>
              <w:spacing w:line="240" w:lineRule="auto"/>
              <w:ind w:left="0" w:leftChars="0" w:firstLine="0" w:firstLineChars="0"/>
              <w:jc w:val="center"/>
              <w:rPr>
                <w:rFonts w:hint="eastAsia" w:hAnsi="宋体"/>
                <w:b w:val="0"/>
                <w:bCs/>
                <w:iCs/>
                <w:sz w:val="21"/>
                <w:szCs w:val="21"/>
                <w:vertAlign w:val="baseline"/>
                <w:lang w:val="en-US" w:eastAsia="zh-CN"/>
              </w:rPr>
            </w:pPr>
          </w:p>
        </w:tc>
        <w:tc>
          <w:tcPr>
            <w:tcW w:w="3828"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76.68</w:t>
            </w:r>
          </w:p>
        </w:tc>
        <w:tc>
          <w:tcPr>
            <w:tcW w:w="1690" w:type="dxa"/>
            <w:vMerge w:val="continue"/>
            <w:vAlign w:val="center"/>
          </w:tcPr>
          <w:p>
            <w:pPr>
              <w:pStyle w:val="15"/>
              <w:spacing w:line="240" w:lineRule="auto"/>
              <w:ind w:left="0" w:leftChars="0" w:firstLine="0" w:firstLineChars="0"/>
              <w:jc w:val="both"/>
              <w:rPr>
                <w:rFonts w:hint="eastAsia" w:hAnsi="宋体"/>
                <w:b w:val="0"/>
                <w:bCs/>
                <w:iCs/>
                <w:sz w:val="21"/>
                <w:szCs w:val="21"/>
                <w:vertAlign w:val="baseline"/>
                <w:lang w:val="en-US" w:eastAsia="zh-CN"/>
              </w:rPr>
            </w:pPr>
          </w:p>
        </w:tc>
        <w:tc>
          <w:tcPr>
            <w:tcW w:w="991" w:type="dxa"/>
            <w:vMerge w:val="continue"/>
            <w:vAlign w:val="center"/>
          </w:tcPr>
          <w:p>
            <w:pPr>
              <w:pStyle w:val="15"/>
              <w:spacing w:line="240" w:lineRule="auto"/>
              <w:ind w:left="0" w:leftChars="0" w:firstLine="0" w:firstLineChars="0"/>
              <w:jc w:val="both"/>
              <w:rPr>
                <w:rFonts w:hint="eastAsia"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Merge w:val="continue"/>
            <w:vAlign w:val="center"/>
          </w:tcPr>
          <w:p>
            <w:pPr>
              <w:pStyle w:val="15"/>
              <w:spacing w:line="240" w:lineRule="auto"/>
              <w:ind w:left="0" w:leftChars="0" w:firstLine="0" w:firstLineChars="0"/>
              <w:jc w:val="center"/>
              <w:rPr>
                <w:rFonts w:hint="eastAsia" w:hAnsi="宋体"/>
                <w:b w:val="0"/>
                <w:bCs/>
                <w:iCs/>
                <w:sz w:val="21"/>
                <w:szCs w:val="21"/>
                <w:vertAlign w:val="baseline"/>
                <w:lang w:val="en-US" w:eastAsia="zh-CN"/>
              </w:rPr>
            </w:pPr>
          </w:p>
        </w:tc>
        <w:tc>
          <w:tcPr>
            <w:tcW w:w="3828"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76.79</w:t>
            </w:r>
          </w:p>
        </w:tc>
        <w:tc>
          <w:tcPr>
            <w:tcW w:w="1690" w:type="dxa"/>
            <w:vMerge w:val="continue"/>
            <w:vAlign w:val="center"/>
          </w:tcPr>
          <w:p>
            <w:pPr>
              <w:pStyle w:val="15"/>
              <w:spacing w:line="240" w:lineRule="auto"/>
              <w:ind w:left="0" w:leftChars="0" w:firstLine="0" w:firstLineChars="0"/>
              <w:jc w:val="both"/>
              <w:rPr>
                <w:rFonts w:hint="eastAsia" w:hAnsi="宋体"/>
                <w:b w:val="0"/>
                <w:bCs/>
                <w:iCs/>
                <w:sz w:val="21"/>
                <w:szCs w:val="21"/>
                <w:vertAlign w:val="baseline"/>
                <w:lang w:val="en-US" w:eastAsia="zh-CN"/>
              </w:rPr>
            </w:pPr>
          </w:p>
        </w:tc>
        <w:tc>
          <w:tcPr>
            <w:tcW w:w="991" w:type="dxa"/>
            <w:vMerge w:val="continue"/>
            <w:vAlign w:val="center"/>
          </w:tcPr>
          <w:p>
            <w:pPr>
              <w:pStyle w:val="15"/>
              <w:spacing w:line="240" w:lineRule="auto"/>
              <w:ind w:left="0" w:leftChars="0" w:firstLine="0" w:firstLineChars="0"/>
              <w:jc w:val="both"/>
              <w:rPr>
                <w:rFonts w:hint="eastAsia" w:hAnsi="宋体"/>
                <w:b w:val="0"/>
                <w:bCs/>
                <w:iCs/>
                <w:sz w:val="21"/>
                <w:szCs w:val="21"/>
                <w:vertAlign w:val="baseline"/>
                <w:lang w:val="en-US" w:eastAsia="zh-CN"/>
              </w:rPr>
            </w:pPr>
          </w:p>
        </w:tc>
      </w:tr>
    </w:tbl>
    <w:p>
      <w:pPr>
        <w:widowControl/>
        <w:spacing w:line="240" w:lineRule="auto"/>
        <w:ind w:firstLine="420" w:firstLineChars="200"/>
        <w:rPr>
          <w:rFonts w:hint="eastAsia" w:ascii="宋体" w:hAnsi="宋体"/>
          <w:b w:val="0"/>
          <w:bCs/>
          <w:szCs w:val="21"/>
          <w:lang w:val="en-US" w:eastAsia="zh-CN"/>
        </w:rPr>
      </w:pPr>
    </w:p>
    <w:p>
      <w:pPr>
        <w:widowControl/>
        <w:spacing w:line="240" w:lineRule="auto"/>
        <w:ind w:firstLine="420" w:firstLineChars="200"/>
        <w:rPr>
          <w:rFonts w:hint="default" w:hAnsi="宋体"/>
          <w:b w:val="0"/>
          <w:bCs/>
          <w:iCs/>
          <w:sz w:val="21"/>
          <w:szCs w:val="21"/>
          <w:lang w:val="en-US" w:eastAsia="zh-CN"/>
        </w:rPr>
      </w:pPr>
      <w:r>
        <w:rPr>
          <w:rFonts w:hint="eastAsia" w:ascii="宋体" w:hAnsi="宋体"/>
          <w:b w:val="0"/>
          <w:bCs/>
          <w:szCs w:val="21"/>
          <w:lang w:val="en-US" w:eastAsia="zh-CN"/>
        </w:rPr>
        <w:t>由表2可以看出，两种条件下分解样品，方法②得到的结果要高于方法①，考虑的可能结果为方法①使样品损失，同时方法②操作更快捷</w:t>
      </w:r>
      <w:r>
        <w:rPr>
          <w:rFonts w:hint="eastAsia" w:hAnsi="宋体"/>
          <w:b w:val="0"/>
          <w:bCs/>
          <w:iCs/>
          <w:sz w:val="21"/>
          <w:szCs w:val="21"/>
          <w:vertAlign w:val="baseline"/>
          <w:lang w:val="en-US" w:eastAsia="zh-CN"/>
        </w:rPr>
        <w:t>。所以选择</w:t>
      </w:r>
      <w:r>
        <w:rPr>
          <w:rFonts w:hint="eastAsia" w:hAnsi="宋体"/>
          <w:b w:val="0"/>
          <w:bCs/>
          <w:iCs/>
          <w:sz w:val="21"/>
          <w:szCs w:val="21"/>
          <w:lang w:val="en-US" w:eastAsia="zh-CN"/>
        </w:rPr>
        <w:t>将样品称入盛有4g碳酸钙的瓷坩埚中，用玻璃棒混匀，用小片定量滤纸擦净玻璃棒，滤纸放入坩埚中，再覆盖3g碳酸钙进行灼烧进行样品分解。</w:t>
      </w:r>
    </w:p>
    <w:p>
      <w:pPr>
        <w:widowControl/>
        <w:spacing w:line="240" w:lineRule="auto"/>
        <w:rPr>
          <w:rFonts w:hint="eastAsia" w:ascii="宋体" w:hAnsi="宋体"/>
          <w:b/>
          <w:szCs w:val="21"/>
          <w:lang w:val="en-US" w:eastAsia="zh-CN"/>
        </w:rPr>
      </w:pPr>
      <w:r>
        <w:rPr>
          <w:rFonts w:hint="eastAsia" w:ascii="宋体" w:hAnsi="宋体"/>
          <w:b/>
          <w:szCs w:val="21"/>
          <w:lang w:val="en-US" w:eastAsia="zh-CN"/>
        </w:rPr>
        <w:t>2丙三醇用量</w:t>
      </w:r>
    </w:p>
    <w:p>
      <w:pPr>
        <w:widowControl/>
        <w:spacing w:line="240" w:lineRule="auto"/>
        <w:ind w:firstLine="421"/>
        <w:rPr>
          <w:rFonts w:hint="eastAsia" w:ascii="宋体" w:hAnsi="宋体"/>
          <w:b w:val="0"/>
          <w:bCs/>
          <w:szCs w:val="21"/>
          <w:lang w:val="en-US" w:eastAsia="zh-CN"/>
        </w:rPr>
      </w:pPr>
      <w:r>
        <w:rPr>
          <w:rFonts w:hint="eastAsia" w:ascii="宋体" w:hAnsi="宋体"/>
          <w:b w:val="0"/>
          <w:bCs/>
          <w:szCs w:val="21"/>
          <w:lang w:val="en-US" w:eastAsia="zh-CN"/>
        </w:rPr>
        <w:t>分取50mL样品溶液，按试验方法进行，分别加入10mL、20mL、30mL、40mL丙三醇溶液，按试验方法进行测定，考察丙三醇用量的影响，结果见表3</w:t>
      </w:r>
    </w:p>
    <w:p>
      <w:pPr>
        <w:pStyle w:val="15"/>
        <w:spacing w:line="360" w:lineRule="auto"/>
        <w:ind w:firstLine="422"/>
        <w:jc w:val="center"/>
        <w:rPr>
          <w:rFonts w:hint="eastAsia" w:ascii="黑体" w:hAnsi="黑体" w:eastAsia="黑体" w:cs="黑体"/>
          <w:b w:val="0"/>
          <w:bCs/>
          <w:iCs/>
          <w:sz w:val="21"/>
          <w:szCs w:val="21"/>
          <w:lang w:val="en-US" w:eastAsia="zh-CN"/>
        </w:rPr>
      </w:pPr>
      <w:r>
        <w:rPr>
          <w:rFonts w:hint="eastAsia" w:ascii="黑体" w:hAnsi="黑体" w:eastAsia="黑体" w:cs="黑体"/>
          <w:b w:val="0"/>
          <w:bCs/>
          <w:iCs/>
          <w:sz w:val="20"/>
          <w:szCs w:val="20"/>
          <w:lang w:val="en-US" w:eastAsia="zh-CN"/>
        </w:rPr>
        <w:t>表3  样品熔融条件试验</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4534"/>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80" w:type="dxa"/>
            <w:vAlign w:val="center"/>
          </w:tcPr>
          <w:p>
            <w:pPr>
              <w:pStyle w:val="15"/>
              <w:spacing w:line="240" w:lineRule="auto"/>
              <w:ind w:left="0" w:leftChars="0" w:firstLine="0" w:firstLineChars="0"/>
              <w:jc w:val="both"/>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序号</w:t>
            </w:r>
          </w:p>
        </w:tc>
        <w:tc>
          <w:tcPr>
            <w:tcW w:w="4534" w:type="dxa"/>
            <w:vAlign w:val="center"/>
          </w:tcPr>
          <w:p>
            <w:pPr>
              <w:pStyle w:val="15"/>
              <w:spacing w:line="240" w:lineRule="auto"/>
              <w:ind w:left="0" w:leftChars="0" w:firstLine="0" w:firstLineChars="0"/>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丙三醇加入体积/mL</w:t>
            </w:r>
          </w:p>
        </w:tc>
        <w:tc>
          <w:tcPr>
            <w:tcW w:w="2805" w:type="dxa"/>
            <w:vAlign w:val="center"/>
          </w:tcPr>
          <w:p>
            <w:pPr>
              <w:pStyle w:val="15"/>
              <w:spacing w:line="240" w:lineRule="auto"/>
              <w:ind w:left="0" w:leftChars="0" w:firstLine="0" w:firstLineChars="0"/>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总硼质量分数w/%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80" w:type="dxa"/>
            <w:vAlign w:val="center"/>
          </w:tcPr>
          <w:p>
            <w:pPr>
              <w:pStyle w:val="15"/>
              <w:spacing w:line="240" w:lineRule="auto"/>
              <w:ind w:left="0" w:leftChars="0" w:firstLine="0" w:firstLineChars="0"/>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1</w:t>
            </w:r>
          </w:p>
        </w:tc>
        <w:tc>
          <w:tcPr>
            <w:tcW w:w="4534"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10</w:t>
            </w:r>
          </w:p>
        </w:tc>
        <w:tc>
          <w:tcPr>
            <w:tcW w:w="2805"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80" w:type="dxa"/>
            <w:vAlign w:val="center"/>
          </w:tcPr>
          <w:p>
            <w:pPr>
              <w:pStyle w:val="15"/>
              <w:spacing w:line="240" w:lineRule="auto"/>
              <w:ind w:left="0" w:leftChars="0" w:firstLine="0" w:firstLineChars="0"/>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2</w:t>
            </w:r>
          </w:p>
        </w:tc>
        <w:tc>
          <w:tcPr>
            <w:tcW w:w="4534"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20</w:t>
            </w:r>
          </w:p>
        </w:tc>
        <w:tc>
          <w:tcPr>
            <w:tcW w:w="2805"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80" w:type="dxa"/>
            <w:vAlign w:val="center"/>
          </w:tcPr>
          <w:p>
            <w:pPr>
              <w:pStyle w:val="15"/>
              <w:spacing w:line="240" w:lineRule="auto"/>
              <w:ind w:left="0" w:leftChars="0" w:firstLine="0" w:firstLineChars="0"/>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3</w:t>
            </w:r>
          </w:p>
        </w:tc>
        <w:tc>
          <w:tcPr>
            <w:tcW w:w="4534"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30</w:t>
            </w:r>
          </w:p>
        </w:tc>
        <w:tc>
          <w:tcPr>
            <w:tcW w:w="2805"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80" w:type="dxa"/>
            <w:vAlign w:val="center"/>
          </w:tcPr>
          <w:p>
            <w:pPr>
              <w:pStyle w:val="15"/>
              <w:spacing w:line="240" w:lineRule="auto"/>
              <w:ind w:left="0" w:leftChars="0" w:firstLine="0" w:firstLineChars="0"/>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4</w:t>
            </w:r>
          </w:p>
        </w:tc>
        <w:tc>
          <w:tcPr>
            <w:tcW w:w="4534"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40</w:t>
            </w:r>
          </w:p>
        </w:tc>
        <w:tc>
          <w:tcPr>
            <w:tcW w:w="2805" w:type="dxa"/>
            <w:vAlign w:val="center"/>
          </w:tcPr>
          <w:p>
            <w:pPr>
              <w:keepNext w:val="0"/>
              <w:keepLines w:val="0"/>
              <w:widowControl/>
              <w:suppressLineNumbers w:val="0"/>
              <w:jc w:val="center"/>
              <w:textAlignment w:val="center"/>
              <w:rPr>
                <w:rFonts w:hint="default" w:hAnsi="宋体"/>
                <w:b w:val="0"/>
                <w:bCs/>
                <w:iCs/>
                <w:sz w:val="21"/>
                <w:szCs w:val="21"/>
                <w:vertAlign w:val="baseline"/>
                <w:lang w:val="en-US" w:eastAsia="zh-CN"/>
              </w:rPr>
            </w:pPr>
          </w:p>
        </w:tc>
      </w:tr>
    </w:tbl>
    <w:p>
      <w:pPr>
        <w:widowControl/>
        <w:spacing w:line="240" w:lineRule="auto"/>
        <w:ind w:firstLine="421"/>
        <w:rPr>
          <w:rFonts w:hint="default" w:ascii="宋体" w:hAnsi="宋体"/>
          <w:b w:val="0"/>
          <w:bCs/>
          <w:szCs w:val="21"/>
          <w:lang w:val="en-US" w:eastAsia="zh-CN"/>
        </w:rPr>
      </w:pPr>
    </w:p>
    <w:p>
      <w:pPr>
        <w:widowControl/>
        <w:spacing w:line="240" w:lineRule="auto"/>
        <w:rPr>
          <w:rFonts w:hint="default" w:ascii="宋体" w:hAnsi="宋体"/>
          <w:b/>
          <w:szCs w:val="21"/>
          <w:lang w:val="en-US" w:eastAsia="zh-CN"/>
        </w:rPr>
      </w:pPr>
      <w:r>
        <w:rPr>
          <w:rFonts w:hint="eastAsia" w:ascii="宋体" w:hAnsi="宋体"/>
          <w:b/>
          <w:szCs w:val="21"/>
          <w:lang w:val="en-US" w:eastAsia="zh-CN"/>
        </w:rPr>
        <w:t>2精密度试验</w:t>
      </w:r>
    </w:p>
    <w:p>
      <w:pPr>
        <w:widowControl/>
        <w:spacing w:line="240" w:lineRule="auto"/>
        <w:rPr>
          <w:rFonts w:hint="eastAsia" w:ascii="宋体" w:hAnsi="宋体"/>
          <w:b/>
          <w:szCs w:val="21"/>
          <w:lang w:val="en-US" w:eastAsia="zh-CN"/>
        </w:rPr>
      </w:pPr>
      <w:r>
        <w:rPr>
          <w:rFonts w:hint="eastAsia" w:ascii="宋体" w:hAnsi="宋体"/>
          <w:b/>
          <w:szCs w:val="21"/>
          <w:lang w:val="en-US" w:eastAsia="zh-CN"/>
        </w:rPr>
        <w:t>2.1 起草单位的精密度试验</w:t>
      </w:r>
    </w:p>
    <w:p>
      <w:pPr>
        <w:widowControl/>
        <w:spacing w:line="240" w:lineRule="auto"/>
        <w:ind w:firstLine="420" w:firstLineChars="200"/>
        <w:rPr>
          <w:rFonts w:hint="eastAsia" w:ascii="宋体" w:hAnsi="宋体"/>
          <w:b w:val="0"/>
          <w:bCs/>
          <w:szCs w:val="21"/>
          <w:lang w:val="en-US" w:eastAsia="zh-CN"/>
        </w:rPr>
      </w:pPr>
      <w:r>
        <w:rPr>
          <w:rFonts w:hint="eastAsia" w:ascii="宋体" w:hAnsi="宋体"/>
          <w:b w:val="0"/>
          <w:bCs/>
          <w:szCs w:val="21"/>
          <w:lang w:val="en-US" w:eastAsia="zh-CN"/>
        </w:rPr>
        <w:t>称取1#试样0.2g，按照分析方法对试样独立进行7次试验，测定结果见表4。</w:t>
      </w:r>
    </w:p>
    <w:p>
      <w:pPr>
        <w:pStyle w:val="15"/>
        <w:spacing w:line="360" w:lineRule="auto"/>
        <w:ind w:firstLine="422"/>
        <w:jc w:val="center"/>
        <w:rPr>
          <w:rFonts w:hint="eastAsia" w:ascii="黑体" w:hAnsi="黑体" w:eastAsia="黑体" w:cs="黑体"/>
          <w:b w:val="0"/>
          <w:bCs/>
          <w:iCs/>
          <w:sz w:val="20"/>
          <w:szCs w:val="20"/>
          <w:lang w:val="en-US" w:eastAsia="zh-CN"/>
        </w:rPr>
      </w:pPr>
      <w:r>
        <w:rPr>
          <w:rFonts w:hint="eastAsia" w:ascii="黑体" w:hAnsi="黑体" w:eastAsia="黑体" w:cs="黑体"/>
          <w:b w:val="0"/>
          <w:bCs/>
          <w:iCs/>
          <w:sz w:val="20"/>
          <w:szCs w:val="20"/>
          <w:lang w:val="en-US" w:eastAsia="zh-CN"/>
        </w:rPr>
        <w:t>表4  精密度</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597"/>
        <w:gridCol w:w="1597"/>
        <w:gridCol w:w="1597"/>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30" w:type="dxa"/>
            <w:vMerge w:val="restart"/>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测定次数</w:t>
            </w:r>
          </w:p>
        </w:tc>
        <w:tc>
          <w:tcPr>
            <w:tcW w:w="6391" w:type="dxa"/>
            <w:gridSpan w:val="4"/>
            <w:vAlign w:val="center"/>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总硼质量分数/%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130" w:type="dxa"/>
            <w:vMerge w:val="continue"/>
            <w:vAlign w:val="center"/>
          </w:tcPr>
          <w:p>
            <w:pPr>
              <w:widowControl/>
              <w:spacing w:line="240" w:lineRule="auto"/>
              <w:jc w:val="center"/>
              <w:rPr>
                <w:rFonts w:hint="eastAsia"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1#</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600" w:type="dxa"/>
            <w:vAlign w:val="center"/>
          </w:tcPr>
          <w:p>
            <w:pPr>
              <w:widowControl/>
              <w:spacing w:line="240" w:lineRule="auto"/>
              <w:jc w:val="center"/>
              <w:rPr>
                <w:rFonts w:hint="default"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1</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76.86</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eastAsia" w:hAnsi="宋体"/>
                <w:b w:val="0"/>
                <w:bCs/>
                <w:iCs/>
                <w:sz w:val="21"/>
                <w:szCs w:val="21"/>
                <w:vertAlign w:val="baseline"/>
                <w:lang w:val="en-US" w:eastAsia="zh-CN"/>
              </w:rPr>
            </w:pPr>
          </w:p>
        </w:tc>
        <w:tc>
          <w:tcPr>
            <w:tcW w:w="1600" w:type="dxa"/>
            <w:vAlign w:val="center"/>
          </w:tcPr>
          <w:p>
            <w:pPr>
              <w:widowControl/>
              <w:spacing w:line="240" w:lineRule="auto"/>
              <w:jc w:val="center"/>
              <w:rPr>
                <w:rFonts w:hint="eastAsia"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2</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76.68</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eastAsia" w:hAnsi="宋体"/>
                <w:b w:val="0"/>
                <w:bCs/>
                <w:iCs/>
                <w:sz w:val="21"/>
                <w:szCs w:val="21"/>
                <w:vertAlign w:val="baseline"/>
                <w:lang w:val="en-US" w:eastAsia="zh-CN"/>
              </w:rPr>
            </w:pPr>
          </w:p>
        </w:tc>
        <w:tc>
          <w:tcPr>
            <w:tcW w:w="1600" w:type="dxa"/>
            <w:vAlign w:val="center"/>
          </w:tcPr>
          <w:p>
            <w:pPr>
              <w:widowControl/>
              <w:spacing w:line="240" w:lineRule="auto"/>
              <w:jc w:val="center"/>
              <w:rPr>
                <w:rFonts w:hint="eastAsia"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3</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76.79</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600" w:type="dxa"/>
            <w:vAlign w:val="center"/>
          </w:tcPr>
          <w:p>
            <w:pPr>
              <w:widowControl/>
              <w:spacing w:line="240" w:lineRule="auto"/>
              <w:jc w:val="center"/>
              <w:rPr>
                <w:rFonts w:hint="default"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4</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76.49</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600" w:type="dxa"/>
            <w:vAlign w:val="center"/>
          </w:tcPr>
          <w:p>
            <w:pPr>
              <w:widowControl/>
              <w:spacing w:line="240" w:lineRule="auto"/>
              <w:jc w:val="center"/>
              <w:rPr>
                <w:rFonts w:hint="default"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5</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76.52</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600" w:type="dxa"/>
            <w:vAlign w:val="center"/>
          </w:tcPr>
          <w:p>
            <w:pPr>
              <w:widowControl/>
              <w:spacing w:line="240" w:lineRule="auto"/>
              <w:jc w:val="center"/>
              <w:rPr>
                <w:rFonts w:hint="default"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6</w:t>
            </w:r>
          </w:p>
        </w:tc>
        <w:tc>
          <w:tcPr>
            <w:tcW w:w="1597" w:type="dxa"/>
            <w:vAlign w:val="center"/>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76.83</w:t>
            </w:r>
          </w:p>
        </w:tc>
        <w:tc>
          <w:tcPr>
            <w:tcW w:w="1597" w:type="dxa"/>
            <w:vAlign w:val="center"/>
          </w:tcPr>
          <w:p>
            <w:pPr>
              <w:widowControl/>
              <w:spacing w:line="240" w:lineRule="auto"/>
              <w:jc w:val="center"/>
              <w:rPr>
                <w:rFonts w:hint="eastAsia" w:hAnsi="宋体"/>
                <w:b w:val="0"/>
                <w:bCs/>
                <w:iCs/>
                <w:sz w:val="21"/>
                <w:szCs w:val="21"/>
                <w:vertAlign w:val="baseline"/>
                <w:lang w:val="en-US" w:eastAsia="zh-CN"/>
              </w:rPr>
            </w:pPr>
          </w:p>
        </w:tc>
        <w:tc>
          <w:tcPr>
            <w:tcW w:w="1597" w:type="dxa"/>
            <w:vAlign w:val="center"/>
          </w:tcPr>
          <w:p>
            <w:pPr>
              <w:widowControl/>
              <w:spacing w:line="240" w:lineRule="auto"/>
              <w:jc w:val="center"/>
              <w:rPr>
                <w:rFonts w:hint="eastAsia" w:hAnsi="宋体"/>
                <w:b w:val="0"/>
                <w:bCs/>
                <w:iCs/>
                <w:sz w:val="21"/>
                <w:szCs w:val="21"/>
                <w:vertAlign w:val="baseline"/>
                <w:lang w:val="en-US" w:eastAsia="zh-CN"/>
              </w:rPr>
            </w:pPr>
          </w:p>
        </w:tc>
        <w:tc>
          <w:tcPr>
            <w:tcW w:w="1600" w:type="dxa"/>
            <w:vAlign w:val="center"/>
          </w:tcPr>
          <w:p>
            <w:pPr>
              <w:widowControl/>
              <w:spacing w:line="240" w:lineRule="auto"/>
              <w:jc w:val="center"/>
              <w:rPr>
                <w:rFonts w:hint="eastAsia"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7</w:t>
            </w:r>
          </w:p>
        </w:tc>
        <w:tc>
          <w:tcPr>
            <w:tcW w:w="1597" w:type="dxa"/>
            <w:vAlign w:val="center"/>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 xml:space="preserve">76.90 </w:t>
            </w:r>
          </w:p>
        </w:tc>
        <w:tc>
          <w:tcPr>
            <w:tcW w:w="1597" w:type="dxa"/>
            <w:vAlign w:val="center"/>
          </w:tcPr>
          <w:p>
            <w:pPr>
              <w:widowControl/>
              <w:spacing w:line="240" w:lineRule="auto"/>
              <w:jc w:val="center"/>
              <w:rPr>
                <w:rFonts w:hint="eastAsia" w:hAnsi="宋体"/>
                <w:b w:val="0"/>
                <w:bCs/>
                <w:iCs/>
                <w:sz w:val="21"/>
                <w:szCs w:val="21"/>
                <w:vertAlign w:val="baseline"/>
                <w:lang w:val="en-US" w:eastAsia="zh-CN"/>
              </w:rPr>
            </w:pPr>
          </w:p>
        </w:tc>
        <w:tc>
          <w:tcPr>
            <w:tcW w:w="1597" w:type="dxa"/>
            <w:vAlign w:val="center"/>
          </w:tcPr>
          <w:p>
            <w:pPr>
              <w:widowControl/>
              <w:spacing w:line="240" w:lineRule="auto"/>
              <w:jc w:val="center"/>
              <w:rPr>
                <w:rFonts w:hint="eastAsia" w:hAnsi="宋体"/>
                <w:b w:val="0"/>
                <w:bCs/>
                <w:iCs/>
                <w:sz w:val="21"/>
                <w:szCs w:val="21"/>
                <w:vertAlign w:val="baseline"/>
                <w:lang w:val="en-US" w:eastAsia="zh-CN"/>
              </w:rPr>
            </w:pPr>
          </w:p>
        </w:tc>
        <w:tc>
          <w:tcPr>
            <w:tcW w:w="1600" w:type="dxa"/>
            <w:vAlign w:val="center"/>
          </w:tcPr>
          <w:p>
            <w:pPr>
              <w:widowControl/>
              <w:spacing w:line="240" w:lineRule="auto"/>
              <w:jc w:val="center"/>
              <w:rPr>
                <w:rFonts w:hint="eastAsia"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平均值/%</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76.72</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600" w:type="dxa"/>
            <w:vAlign w:val="center"/>
          </w:tcPr>
          <w:p>
            <w:pPr>
              <w:widowControl/>
              <w:spacing w:line="240" w:lineRule="auto"/>
              <w:jc w:val="center"/>
              <w:rPr>
                <w:rFonts w:hint="default"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标准偏差/%</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0.165</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600" w:type="dxa"/>
            <w:vAlign w:val="center"/>
          </w:tcPr>
          <w:p>
            <w:pPr>
              <w:widowControl/>
              <w:spacing w:line="240" w:lineRule="auto"/>
              <w:jc w:val="center"/>
              <w:rPr>
                <w:rFonts w:hint="default"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RSD/%</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0.22</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600" w:type="dxa"/>
            <w:vAlign w:val="center"/>
          </w:tcPr>
          <w:p>
            <w:pPr>
              <w:widowControl/>
              <w:spacing w:line="240" w:lineRule="auto"/>
              <w:jc w:val="center"/>
              <w:rPr>
                <w:rFonts w:hint="default" w:hAnsi="宋体"/>
                <w:b w:val="0"/>
                <w:bCs/>
                <w:iCs/>
                <w:sz w:val="21"/>
                <w:szCs w:val="21"/>
                <w:vertAlign w:val="baseline"/>
                <w:lang w:val="en-US" w:eastAsia="zh-CN"/>
              </w:rPr>
            </w:pPr>
          </w:p>
        </w:tc>
      </w:tr>
    </w:tbl>
    <w:p>
      <w:pPr>
        <w:spacing w:line="240" w:lineRule="auto"/>
        <w:ind w:firstLine="480" w:firstLineChars="200"/>
        <w:rPr>
          <w:rFonts w:hint="eastAsia" w:ascii="宋体" w:hAnsi="宋体"/>
          <w:sz w:val="24"/>
        </w:rPr>
      </w:pPr>
    </w:p>
    <w:p>
      <w:pPr>
        <w:widowControl/>
        <w:spacing w:line="240" w:lineRule="auto"/>
        <w:ind w:firstLine="420" w:firstLineChars="200"/>
        <w:rPr>
          <w:rFonts w:hint="eastAsia" w:ascii="宋体" w:hAnsi="宋体"/>
          <w:b w:val="0"/>
          <w:bCs/>
          <w:szCs w:val="21"/>
          <w:lang w:val="en-US" w:eastAsia="zh-CN"/>
        </w:rPr>
      </w:pPr>
      <w:r>
        <w:rPr>
          <w:rFonts w:hint="eastAsia" w:ascii="宋体" w:hAnsi="宋体"/>
          <w:b w:val="0"/>
          <w:bCs/>
          <w:szCs w:val="21"/>
          <w:lang w:val="en-US" w:eastAsia="zh-CN"/>
        </w:rPr>
        <w:t>由表3可知，1#试验样品精密度试验结果的RSD为0.22%，说明该方法精密度良好，能够满足分析要求。</w:t>
      </w:r>
    </w:p>
    <w:p>
      <w:pPr>
        <w:spacing w:line="360" w:lineRule="auto"/>
        <w:rPr>
          <w:rFonts w:ascii="宋体" w:hAnsi="宋体"/>
          <w:b/>
          <w:bCs/>
          <w:kern w:val="0"/>
          <w:sz w:val="24"/>
        </w:rPr>
      </w:pPr>
      <w:r>
        <w:rPr>
          <w:rFonts w:ascii="宋体" w:hAnsi="宋体"/>
          <w:b/>
          <w:bCs/>
          <w:kern w:val="0"/>
          <w:sz w:val="24"/>
        </w:rPr>
        <w:t>四、与现行法律法规、强制性国家标准及相关标准协调配套情况</w:t>
      </w:r>
    </w:p>
    <w:p>
      <w:pPr>
        <w:spacing w:line="240" w:lineRule="auto"/>
        <w:ind w:firstLine="420"/>
        <w:rPr>
          <w:rFonts w:ascii="宋体" w:hAnsi="宋体"/>
          <w:kern w:val="0"/>
          <w:sz w:val="24"/>
        </w:rPr>
      </w:pPr>
      <w:r>
        <w:rPr>
          <w:rFonts w:ascii="宋体" w:hAnsi="宋体"/>
          <w:kern w:val="0"/>
          <w:sz w:val="24"/>
        </w:rPr>
        <w:t>现行的法律法规、本标准与现行法律法规、强制性国家标准无冲突。</w:t>
      </w:r>
    </w:p>
    <w:p>
      <w:pPr>
        <w:spacing w:line="240" w:lineRule="auto"/>
        <w:ind w:firstLine="420"/>
        <w:rPr>
          <w:rFonts w:ascii="宋体" w:hAnsi="宋体"/>
          <w:kern w:val="0"/>
          <w:sz w:val="24"/>
        </w:rPr>
      </w:pPr>
      <w:r>
        <w:rPr>
          <w:rFonts w:ascii="宋体" w:hAnsi="宋体"/>
          <w:kern w:val="0"/>
          <w:sz w:val="24"/>
        </w:rPr>
        <w:t>本标准是YS/T</w:t>
      </w:r>
      <w:r>
        <w:rPr>
          <w:rFonts w:hint="eastAsia" w:ascii="宋体" w:hAnsi="宋体"/>
          <w:kern w:val="0"/>
          <w:sz w:val="24"/>
        </w:rPr>
        <w:t>42</w:t>
      </w:r>
      <w:r>
        <w:rPr>
          <w:rFonts w:hint="eastAsia" w:ascii="宋体" w:hAnsi="宋体"/>
          <w:kern w:val="0"/>
          <w:sz w:val="24"/>
          <w:lang w:val="en-US" w:eastAsia="zh-CN"/>
        </w:rPr>
        <w:t>3</w:t>
      </w:r>
      <w:r>
        <w:rPr>
          <w:rFonts w:ascii="宋体" w:hAnsi="宋体"/>
          <w:kern w:val="0"/>
          <w:sz w:val="24"/>
        </w:rPr>
        <w:t>《</w:t>
      </w:r>
      <w:r>
        <w:rPr>
          <w:rFonts w:hint="eastAsia" w:ascii="宋体" w:hAnsi="宋体"/>
          <w:kern w:val="0"/>
          <w:sz w:val="24"/>
          <w:lang w:val="en-US" w:eastAsia="zh-CN"/>
        </w:rPr>
        <w:t>核级碳化硼化学分析方法</w:t>
      </w:r>
      <w:r>
        <w:rPr>
          <w:rFonts w:ascii="宋体" w:hAnsi="宋体"/>
          <w:kern w:val="0"/>
          <w:sz w:val="24"/>
        </w:rPr>
        <w:t>》系列标准的组成部分。</w:t>
      </w:r>
    </w:p>
    <w:p>
      <w:pPr>
        <w:spacing w:line="240" w:lineRule="auto"/>
        <w:rPr>
          <w:rFonts w:ascii="宋体" w:hAnsi="宋体"/>
          <w:b/>
          <w:bCs/>
          <w:kern w:val="0"/>
          <w:sz w:val="24"/>
        </w:rPr>
      </w:pPr>
      <w:r>
        <w:rPr>
          <w:rFonts w:ascii="宋体" w:hAnsi="宋体"/>
          <w:b/>
          <w:bCs/>
          <w:kern w:val="0"/>
          <w:sz w:val="24"/>
        </w:rPr>
        <w:t>五、标准中涉及专利情况</w:t>
      </w:r>
    </w:p>
    <w:p>
      <w:pPr>
        <w:spacing w:line="240" w:lineRule="auto"/>
        <w:ind w:firstLine="480" w:firstLineChars="200"/>
        <w:rPr>
          <w:rFonts w:ascii="宋体" w:hAnsi="宋体"/>
          <w:sz w:val="24"/>
        </w:rPr>
      </w:pPr>
      <w:r>
        <w:rPr>
          <w:rFonts w:ascii="宋体" w:hAnsi="宋体"/>
          <w:sz w:val="24"/>
        </w:rPr>
        <w:t>本标准起草过程中，如果涉及到专利和知识产权时请使用单位与专利和知识产权方协商，本标准的发布机构不承担识别这些专利的责任。</w:t>
      </w:r>
    </w:p>
    <w:p>
      <w:pPr>
        <w:spacing w:line="240" w:lineRule="auto"/>
        <w:rPr>
          <w:rFonts w:ascii="宋体" w:hAnsi="宋体"/>
          <w:b/>
          <w:bCs/>
          <w:kern w:val="0"/>
          <w:sz w:val="24"/>
        </w:rPr>
      </w:pPr>
      <w:r>
        <w:rPr>
          <w:rFonts w:ascii="宋体" w:hAnsi="宋体"/>
          <w:b/>
          <w:bCs/>
          <w:kern w:val="0"/>
          <w:sz w:val="24"/>
        </w:rPr>
        <w:t>六、重大分歧意见的处理经过和依据</w:t>
      </w:r>
    </w:p>
    <w:p>
      <w:pPr>
        <w:spacing w:line="240" w:lineRule="auto"/>
        <w:rPr>
          <w:rFonts w:ascii="宋体" w:hAnsi="宋体"/>
          <w:kern w:val="0"/>
          <w:sz w:val="24"/>
        </w:rPr>
      </w:pPr>
      <w:r>
        <w:rPr>
          <w:rFonts w:ascii="宋体" w:hAnsi="宋体"/>
          <w:kern w:val="0"/>
          <w:sz w:val="24"/>
        </w:rPr>
        <w:t>无。</w:t>
      </w:r>
    </w:p>
    <w:p>
      <w:pPr>
        <w:spacing w:line="240" w:lineRule="auto"/>
        <w:rPr>
          <w:rFonts w:ascii="宋体" w:hAnsi="宋体"/>
          <w:b/>
          <w:bCs/>
          <w:kern w:val="0"/>
          <w:sz w:val="24"/>
        </w:rPr>
      </w:pPr>
      <w:r>
        <w:rPr>
          <w:rFonts w:ascii="宋体" w:hAnsi="宋体"/>
          <w:b/>
          <w:bCs/>
          <w:kern w:val="0"/>
          <w:sz w:val="24"/>
        </w:rPr>
        <w:t>七、作为推荐性标准的建议</w:t>
      </w:r>
    </w:p>
    <w:p>
      <w:pPr>
        <w:spacing w:line="240" w:lineRule="auto"/>
        <w:rPr>
          <w:rFonts w:ascii="宋体" w:hAnsi="宋体"/>
          <w:b/>
          <w:bCs/>
          <w:kern w:val="0"/>
          <w:sz w:val="24"/>
        </w:rPr>
      </w:pPr>
      <w:r>
        <w:rPr>
          <w:rFonts w:ascii="宋体" w:hAnsi="宋体"/>
          <w:b/>
          <w:bCs/>
          <w:kern w:val="0"/>
          <w:sz w:val="24"/>
        </w:rPr>
        <w:t>八、贯彻标准的要求和措施建议</w:t>
      </w:r>
    </w:p>
    <w:p>
      <w:pPr>
        <w:spacing w:line="240" w:lineRule="auto"/>
        <w:rPr>
          <w:rFonts w:ascii="宋体" w:hAnsi="宋体"/>
          <w:kern w:val="0"/>
          <w:sz w:val="24"/>
        </w:rPr>
      </w:pPr>
      <w:r>
        <w:rPr>
          <w:rFonts w:ascii="宋体" w:hAnsi="宋体"/>
          <w:kern w:val="0"/>
          <w:sz w:val="24"/>
        </w:rPr>
        <w:t>无。</w:t>
      </w:r>
    </w:p>
    <w:p>
      <w:pPr>
        <w:spacing w:line="240" w:lineRule="auto"/>
        <w:rPr>
          <w:rFonts w:ascii="宋体" w:hAnsi="宋体"/>
          <w:b/>
          <w:bCs/>
          <w:kern w:val="0"/>
          <w:sz w:val="24"/>
        </w:rPr>
      </w:pPr>
      <w:r>
        <w:rPr>
          <w:rFonts w:ascii="宋体" w:hAnsi="宋体"/>
          <w:b/>
          <w:bCs/>
          <w:kern w:val="0"/>
          <w:sz w:val="24"/>
        </w:rPr>
        <w:t>九、废止现行有关标准的建议</w:t>
      </w:r>
    </w:p>
    <w:p>
      <w:pPr>
        <w:spacing w:line="240" w:lineRule="auto"/>
        <w:rPr>
          <w:rFonts w:ascii="宋体" w:hAnsi="宋体"/>
          <w:kern w:val="0"/>
          <w:sz w:val="24"/>
        </w:rPr>
      </w:pPr>
      <w:r>
        <w:rPr>
          <w:rFonts w:ascii="宋体" w:hAnsi="宋体"/>
          <w:kern w:val="0"/>
          <w:sz w:val="24"/>
        </w:rPr>
        <w:t>无。</w:t>
      </w:r>
    </w:p>
    <w:p>
      <w:pPr>
        <w:spacing w:line="240" w:lineRule="auto"/>
        <w:rPr>
          <w:rFonts w:ascii="宋体" w:hAnsi="宋体"/>
          <w:b/>
          <w:bCs/>
          <w:kern w:val="0"/>
          <w:sz w:val="24"/>
        </w:rPr>
      </w:pPr>
      <w:r>
        <w:rPr>
          <w:rFonts w:ascii="宋体" w:hAnsi="宋体"/>
          <w:b/>
          <w:bCs/>
          <w:kern w:val="0"/>
          <w:sz w:val="24"/>
        </w:rPr>
        <w:t>十、其他事项</w:t>
      </w:r>
    </w:p>
    <w:p>
      <w:pPr>
        <w:spacing w:line="240" w:lineRule="auto"/>
        <w:rPr>
          <w:rFonts w:ascii="宋体" w:hAnsi="宋体"/>
          <w:kern w:val="0"/>
          <w:sz w:val="24"/>
        </w:rPr>
      </w:pPr>
      <w:r>
        <w:rPr>
          <w:rFonts w:ascii="宋体" w:hAnsi="宋体"/>
          <w:kern w:val="0"/>
          <w:sz w:val="24"/>
        </w:rPr>
        <w:t>无。</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5NDcwZGEwMzg5NTljYzBmNjA1NTdmZGIxYzkwN2YifQ=="/>
  </w:docVars>
  <w:rsids>
    <w:rsidRoot w:val="00092C34"/>
    <w:rsid w:val="000068B5"/>
    <w:rsid w:val="00010571"/>
    <w:rsid w:val="000235A0"/>
    <w:rsid w:val="00055AF1"/>
    <w:rsid w:val="00065EF0"/>
    <w:rsid w:val="0007243B"/>
    <w:rsid w:val="0007793B"/>
    <w:rsid w:val="00080032"/>
    <w:rsid w:val="0008532E"/>
    <w:rsid w:val="00092C34"/>
    <w:rsid w:val="000978E2"/>
    <w:rsid w:val="000A179A"/>
    <w:rsid w:val="000A328B"/>
    <w:rsid w:val="000A7224"/>
    <w:rsid w:val="000C1AF6"/>
    <w:rsid w:val="000D3D67"/>
    <w:rsid w:val="000E0A0B"/>
    <w:rsid w:val="000F28BF"/>
    <w:rsid w:val="00102DFE"/>
    <w:rsid w:val="00111A49"/>
    <w:rsid w:val="00127117"/>
    <w:rsid w:val="00127AA2"/>
    <w:rsid w:val="00146FA5"/>
    <w:rsid w:val="00155F51"/>
    <w:rsid w:val="00156608"/>
    <w:rsid w:val="0015671E"/>
    <w:rsid w:val="0017220D"/>
    <w:rsid w:val="00176AFD"/>
    <w:rsid w:val="00181B08"/>
    <w:rsid w:val="00183070"/>
    <w:rsid w:val="001830EE"/>
    <w:rsid w:val="00186513"/>
    <w:rsid w:val="00191E19"/>
    <w:rsid w:val="001937EB"/>
    <w:rsid w:val="00194AD6"/>
    <w:rsid w:val="001A4A92"/>
    <w:rsid w:val="001C42AE"/>
    <w:rsid w:val="001D6F97"/>
    <w:rsid w:val="001D79EB"/>
    <w:rsid w:val="001E2478"/>
    <w:rsid w:val="001E5206"/>
    <w:rsid w:val="001E5F9C"/>
    <w:rsid w:val="001F7DC9"/>
    <w:rsid w:val="00206CF7"/>
    <w:rsid w:val="0021529D"/>
    <w:rsid w:val="00234E58"/>
    <w:rsid w:val="00236C9E"/>
    <w:rsid w:val="00237633"/>
    <w:rsid w:val="00241DB3"/>
    <w:rsid w:val="00253AC6"/>
    <w:rsid w:val="002575A4"/>
    <w:rsid w:val="00257D20"/>
    <w:rsid w:val="00262AAC"/>
    <w:rsid w:val="002653AA"/>
    <w:rsid w:val="0026615D"/>
    <w:rsid w:val="00271A67"/>
    <w:rsid w:val="0029652A"/>
    <w:rsid w:val="002A3D18"/>
    <w:rsid w:val="002B4B0C"/>
    <w:rsid w:val="002B6239"/>
    <w:rsid w:val="002D7BB9"/>
    <w:rsid w:val="002E333C"/>
    <w:rsid w:val="002E42A4"/>
    <w:rsid w:val="00303E98"/>
    <w:rsid w:val="0030501D"/>
    <w:rsid w:val="00306296"/>
    <w:rsid w:val="003064A1"/>
    <w:rsid w:val="003234A2"/>
    <w:rsid w:val="00355373"/>
    <w:rsid w:val="00362C21"/>
    <w:rsid w:val="00375135"/>
    <w:rsid w:val="00380423"/>
    <w:rsid w:val="003A5BFE"/>
    <w:rsid w:val="004138EB"/>
    <w:rsid w:val="0041502C"/>
    <w:rsid w:val="004154FF"/>
    <w:rsid w:val="004246A4"/>
    <w:rsid w:val="004312CA"/>
    <w:rsid w:val="00440310"/>
    <w:rsid w:val="00442A81"/>
    <w:rsid w:val="004430FA"/>
    <w:rsid w:val="0044528A"/>
    <w:rsid w:val="00447F49"/>
    <w:rsid w:val="00453463"/>
    <w:rsid w:val="00454313"/>
    <w:rsid w:val="004846B8"/>
    <w:rsid w:val="004949D6"/>
    <w:rsid w:val="00495461"/>
    <w:rsid w:val="00495E69"/>
    <w:rsid w:val="004D4511"/>
    <w:rsid w:val="004D6F69"/>
    <w:rsid w:val="004F2956"/>
    <w:rsid w:val="005107AB"/>
    <w:rsid w:val="005142BD"/>
    <w:rsid w:val="00547689"/>
    <w:rsid w:val="00561577"/>
    <w:rsid w:val="00570088"/>
    <w:rsid w:val="005733AF"/>
    <w:rsid w:val="00583363"/>
    <w:rsid w:val="00595AF7"/>
    <w:rsid w:val="00596668"/>
    <w:rsid w:val="005A31B8"/>
    <w:rsid w:val="005A481D"/>
    <w:rsid w:val="005B05E2"/>
    <w:rsid w:val="005B78CE"/>
    <w:rsid w:val="005C6BD8"/>
    <w:rsid w:val="005D4AA0"/>
    <w:rsid w:val="005E4655"/>
    <w:rsid w:val="005F1CD3"/>
    <w:rsid w:val="00613A1D"/>
    <w:rsid w:val="00617F48"/>
    <w:rsid w:val="00626FAE"/>
    <w:rsid w:val="00632D51"/>
    <w:rsid w:val="0063380A"/>
    <w:rsid w:val="006507CD"/>
    <w:rsid w:val="00650967"/>
    <w:rsid w:val="00656F68"/>
    <w:rsid w:val="006675F9"/>
    <w:rsid w:val="00671A5E"/>
    <w:rsid w:val="006A1C1C"/>
    <w:rsid w:val="006A213E"/>
    <w:rsid w:val="006A521E"/>
    <w:rsid w:val="006A6E8F"/>
    <w:rsid w:val="006B2504"/>
    <w:rsid w:val="006C60D8"/>
    <w:rsid w:val="006D419C"/>
    <w:rsid w:val="006D7AD2"/>
    <w:rsid w:val="006E0976"/>
    <w:rsid w:val="006E30C9"/>
    <w:rsid w:val="006E787A"/>
    <w:rsid w:val="006F0558"/>
    <w:rsid w:val="006F4FF7"/>
    <w:rsid w:val="006F69FC"/>
    <w:rsid w:val="006F6EBD"/>
    <w:rsid w:val="00701741"/>
    <w:rsid w:val="00731CB8"/>
    <w:rsid w:val="00736DDA"/>
    <w:rsid w:val="00740823"/>
    <w:rsid w:val="00745E57"/>
    <w:rsid w:val="00747880"/>
    <w:rsid w:val="00762D2D"/>
    <w:rsid w:val="00763109"/>
    <w:rsid w:val="00764FC1"/>
    <w:rsid w:val="00770687"/>
    <w:rsid w:val="00772E9E"/>
    <w:rsid w:val="00780D9B"/>
    <w:rsid w:val="00796BE8"/>
    <w:rsid w:val="007B0700"/>
    <w:rsid w:val="007F59F0"/>
    <w:rsid w:val="007F7561"/>
    <w:rsid w:val="00802DE9"/>
    <w:rsid w:val="00826DF5"/>
    <w:rsid w:val="008370A8"/>
    <w:rsid w:val="00842F88"/>
    <w:rsid w:val="00852D22"/>
    <w:rsid w:val="00863E0B"/>
    <w:rsid w:val="008655E7"/>
    <w:rsid w:val="008720E3"/>
    <w:rsid w:val="00891B92"/>
    <w:rsid w:val="008963C7"/>
    <w:rsid w:val="008A01E6"/>
    <w:rsid w:val="008C143A"/>
    <w:rsid w:val="008C2DE7"/>
    <w:rsid w:val="008C7DFD"/>
    <w:rsid w:val="008E01AB"/>
    <w:rsid w:val="008F5F12"/>
    <w:rsid w:val="008F7724"/>
    <w:rsid w:val="009022F0"/>
    <w:rsid w:val="0090633F"/>
    <w:rsid w:val="00914E3B"/>
    <w:rsid w:val="00917185"/>
    <w:rsid w:val="0092365A"/>
    <w:rsid w:val="00950BFE"/>
    <w:rsid w:val="00961EDB"/>
    <w:rsid w:val="009765EF"/>
    <w:rsid w:val="009A4012"/>
    <w:rsid w:val="009A4712"/>
    <w:rsid w:val="009D08FA"/>
    <w:rsid w:val="009D2AA8"/>
    <w:rsid w:val="009D5354"/>
    <w:rsid w:val="009E1120"/>
    <w:rsid w:val="009E4675"/>
    <w:rsid w:val="009E6A7F"/>
    <w:rsid w:val="009F0DC7"/>
    <w:rsid w:val="00A14734"/>
    <w:rsid w:val="00A23FF7"/>
    <w:rsid w:val="00A33F0E"/>
    <w:rsid w:val="00A425F8"/>
    <w:rsid w:val="00A6749E"/>
    <w:rsid w:val="00A754D0"/>
    <w:rsid w:val="00A767F1"/>
    <w:rsid w:val="00A85195"/>
    <w:rsid w:val="00A92744"/>
    <w:rsid w:val="00A93458"/>
    <w:rsid w:val="00A9384F"/>
    <w:rsid w:val="00A976FB"/>
    <w:rsid w:val="00AB1BA9"/>
    <w:rsid w:val="00AB1DA3"/>
    <w:rsid w:val="00AE5550"/>
    <w:rsid w:val="00AF36B0"/>
    <w:rsid w:val="00AF389F"/>
    <w:rsid w:val="00B0219F"/>
    <w:rsid w:val="00B16B3B"/>
    <w:rsid w:val="00B22BEC"/>
    <w:rsid w:val="00B62BF5"/>
    <w:rsid w:val="00B82E45"/>
    <w:rsid w:val="00B90461"/>
    <w:rsid w:val="00BB1F68"/>
    <w:rsid w:val="00BB6A03"/>
    <w:rsid w:val="00BD2F0B"/>
    <w:rsid w:val="00BD31B4"/>
    <w:rsid w:val="00BE1BD8"/>
    <w:rsid w:val="00BF5BA9"/>
    <w:rsid w:val="00C00678"/>
    <w:rsid w:val="00C01C46"/>
    <w:rsid w:val="00C06CCC"/>
    <w:rsid w:val="00C13CC7"/>
    <w:rsid w:val="00C160CF"/>
    <w:rsid w:val="00C230A7"/>
    <w:rsid w:val="00C26DFE"/>
    <w:rsid w:val="00C35833"/>
    <w:rsid w:val="00C42C0B"/>
    <w:rsid w:val="00C47985"/>
    <w:rsid w:val="00C51352"/>
    <w:rsid w:val="00C51428"/>
    <w:rsid w:val="00C64DD2"/>
    <w:rsid w:val="00C64EF1"/>
    <w:rsid w:val="00C72FAF"/>
    <w:rsid w:val="00C7750E"/>
    <w:rsid w:val="00C94ADA"/>
    <w:rsid w:val="00CA5D3B"/>
    <w:rsid w:val="00CC30C0"/>
    <w:rsid w:val="00CD4290"/>
    <w:rsid w:val="00CD7201"/>
    <w:rsid w:val="00CE2B6C"/>
    <w:rsid w:val="00CE5251"/>
    <w:rsid w:val="00D119C8"/>
    <w:rsid w:val="00D20E28"/>
    <w:rsid w:val="00D2179F"/>
    <w:rsid w:val="00D2399D"/>
    <w:rsid w:val="00D31DF2"/>
    <w:rsid w:val="00D52DB6"/>
    <w:rsid w:val="00D66BBE"/>
    <w:rsid w:val="00D872B9"/>
    <w:rsid w:val="00D95148"/>
    <w:rsid w:val="00DA1346"/>
    <w:rsid w:val="00DC0B4F"/>
    <w:rsid w:val="00DD3698"/>
    <w:rsid w:val="00E02753"/>
    <w:rsid w:val="00E027E6"/>
    <w:rsid w:val="00E06883"/>
    <w:rsid w:val="00E204DF"/>
    <w:rsid w:val="00E27EEF"/>
    <w:rsid w:val="00E30B6E"/>
    <w:rsid w:val="00E419F5"/>
    <w:rsid w:val="00E5638D"/>
    <w:rsid w:val="00E5646F"/>
    <w:rsid w:val="00E6149B"/>
    <w:rsid w:val="00E773C8"/>
    <w:rsid w:val="00E81EFE"/>
    <w:rsid w:val="00EA4ECF"/>
    <w:rsid w:val="00EB4563"/>
    <w:rsid w:val="00EC0496"/>
    <w:rsid w:val="00EC09A4"/>
    <w:rsid w:val="00EC11D4"/>
    <w:rsid w:val="00EC11F8"/>
    <w:rsid w:val="00ED4EF2"/>
    <w:rsid w:val="00EE0522"/>
    <w:rsid w:val="00EE38E1"/>
    <w:rsid w:val="00EE481F"/>
    <w:rsid w:val="00EF0112"/>
    <w:rsid w:val="00F00ECD"/>
    <w:rsid w:val="00F115E9"/>
    <w:rsid w:val="00F15C01"/>
    <w:rsid w:val="00F34CF0"/>
    <w:rsid w:val="00F379AB"/>
    <w:rsid w:val="00F42318"/>
    <w:rsid w:val="00F53B9A"/>
    <w:rsid w:val="00F558AD"/>
    <w:rsid w:val="00F61D79"/>
    <w:rsid w:val="00F739F3"/>
    <w:rsid w:val="00F845D4"/>
    <w:rsid w:val="00F868E4"/>
    <w:rsid w:val="00F87C6F"/>
    <w:rsid w:val="00FA4671"/>
    <w:rsid w:val="00FB2DD6"/>
    <w:rsid w:val="00FC0799"/>
    <w:rsid w:val="00FC191E"/>
    <w:rsid w:val="00FD6871"/>
    <w:rsid w:val="00FD6B89"/>
    <w:rsid w:val="04E60714"/>
    <w:rsid w:val="07AE198A"/>
    <w:rsid w:val="0BC711F5"/>
    <w:rsid w:val="13E55C7E"/>
    <w:rsid w:val="1B213B61"/>
    <w:rsid w:val="1D9C64B7"/>
    <w:rsid w:val="203D1DC1"/>
    <w:rsid w:val="264C33F5"/>
    <w:rsid w:val="2AA852D0"/>
    <w:rsid w:val="2DB8019C"/>
    <w:rsid w:val="2E5B2964"/>
    <w:rsid w:val="34871537"/>
    <w:rsid w:val="424C509C"/>
    <w:rsid w:val="45FF2515"/>
    <w:rsid w:val="4711175C"/>
    <w:rsid w:val="491B118D"/>
    <w:rsid w:val="4A16441A"/>
    <w:rsid w:val="4BE26BDD"/>
    <w:rsid w:val="4F4176BE"/>
    <w:rsid w:val="529E6DAF"/>
    <w:rsid w:val="55E5756D"/>
    <w:rsid w:val="59AA190F"/>
    <w:rsid w:val="5B184BDD"/>
    <w:rsid w:val="5CFF3BED"/>
    <w:rsid w:val="5D5F44D4"/>
    <w:rsid w:val="5D9130C8"/>
    <w:rsid w:val="5F5766E8"/>
    <w:rsid w:val="636E1CFF"/>
    <w:rsid w:val="69E54176"/>
    <w:rsid w:val="6B29162B"/>
    <w:rsid w:val="6BBD2087"/>
    <w:rsid w:val="6BE008C3"/>
    <w:rsid w:val="6C1521B6"/>
    <w:rsid w:val="6E3872DD"/>
    <w:rsid w:val="6E7F2488"/>
    <w:rsid w:val="6F6A672C"/>
    <w:rsid w:val="730D7B4F"/>
    <w:rsid w:val="74A31D69"/>
    <w:rsid w:val="76322E63"/>
    <w:rsid w:val="763B7C1F"/>
    <w:rsid w:val="76F41D52"/>
    <w:rsid w:val="784F30F3"/>
    <w:rsid w:val="79FA16C1"/>
    <w:rsid w:val="7A552C46"/>
    <w:rsid w:val="7AA60FA6"/>
    <w:rsid w:val="7F552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0"/>
    <w:semiHidden/>
    <w:unhideWhenUsed/>
    <w:qFormat/>
    <w:uiPriority w:val="99"/>
    <w:pPr>
      <w:ind w:left="100" w:leftChars="2500"/>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6">
    <w:name w:val="Title"/>
    <w:basedOn w:val="1"/>
    <w:next w:val="1"/>
    <w:link w:val="11"/>
    <w:qFormat/>
    <w:uiPriority w:val="0"/>
    <w:pPr>
      <w:spacing w:before="240" w:after="60"/>
      <w:jc w:val="center"/>
      <w:outlineLvl w:val="0"/>
    </w:pPr>
    <w:rPr>
      <w:rFonts w:ascii="Cambria" w:hAnsi="Cambria"/>
      <w:b/>
      <w:bCs/>
      <w:sz w:val="32"/>
      <w:szCs w:val="32"/>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customStyle="1" w:styleId="11">
    <w:name w:val="标题 Char"/>
    <w:basedOn w:val="9"/>
    <w:link w:val="6"/>
    <w:qFormat/>
    <w:uiPriority w:val="0"/>
    <w:rPr>
      <w:rFonts w:ascii="Cambria" w:hAnsi="Cambria" w:cs="Times New Roman"/>
      <w:b/>
      <w:bCs/>
      <w:kern w:val="2"/>
      <w:sz w:val="32"/>
      <w:szCs w:val="32"/>
    </w:rPr>
  </w:style>
  <w:style w:type="character" w:customStyle="1" w:styleId="12">
    <w:name w:val="页眉 Char"/>
    <w:basedOn w:val="9"/>
    <w:link w:val="4"/>
    <w:qFormat/>
    <w:uiPriority w:val="99"/>
    <w:rPr>
      <w:kern w:val="2"/>
      <w:sz w:val="18"/>
      <w:szCs w:val="18"/>
    </w:rPr>
  </w:style>
  <w:style w:type="character" w:customStyle="1" w:styleId="13">
    <w:name w:val="页脚 Char"/>
    <w:basedOn w:val="9"/>
    <w:link w:val="3"/>
    <w:qFormat/>
    <w:uiPriority w:val="99"/>
    <w:rPr>
      <w:kern w:val="2"/>
      <w:sz w:val="18"/>
      <w:szCs w:val="18"/>
    </w:rPr>
  </w:style>
  <w:style w:type="character" w:customStyle="1" w:styleId="14">
    <w:name w:val="段 Char"/>
    <w:link w:val="15"/>
    <w:qFormat/>
    <w:uiPriority w:val="0"/>
    <w:rPr>
      <w:rFonts w:ascii="宋体"/>
    </w:rPr>
  </w:style>
  <w:style w:type="paragraph" w:customStyle="1" w:styleId="15">
    <w:name w:val="段"/>
    <w:link w:val="14"/>
    <w:qFormat/>
    <w:uiPriority w:val="0"/>
    <w:pPr>
      <w:autoSpaceDE w:val="0"/>
      <w:autoSpaceDN w:val="0"/>
      <w:ind w:firstLine="200" w:firstLineChars="200"/>
      <w:jc w:val="both"/>
    </w:pPr>
    <w:rPr>
      <w:rFonts w:ascii="宋体" w:hAnsi="Times New Roman" w:eastAsia="宋体" w:cs="Times New Roman"/>
      <w:lang w:val="en-US" w:eastAsia="zh-CN" w:bidi="ar-SA"/>
    </w:rPr>
  </w:style>
  <w:style w:type="paragraph" w:customStyle="1" w:styleId="16">
    <w:name w:val="p0"/>
    <w:basedOn w:val="1"/>
    <w:qFormat/>
    <w:uiPriority w:val="0"/>
    <w:pPr>
      <w:widowControl/>
    </w:pPr>
    <w:rPr>
      <w:kern w:val="0"/>
      <w:szCs w:val="21"/>
    </w:rPr>
  </w:style>
  <w:style w:type="paragraph" w:styleId="17">
    <w:name w:val="List Paragraph"/>
    <w:basedOn w:val="1"/>
    <w:qFormat/>
    <w:uiPriority w:val="34"/>
    <w:pPr>
      <w:ind w:firstLine="420" w:firstLineChars="200"/>
    </w:pPr>
  </w:style>
  <w:style w:type="paragraph" w:customStyle="1" w:styleId="18">
    <w:name w:val="列出段落1"/>
    <w:basedOn w:val="1"/>
    <w:qFormat/>
    <w:uiPriority w:val="34"/>
    <w:pPr>
      <w:ind w:firstLine="420" w:firstLineChars="200"/>
    </w:pPr>
  </w:style>
  <w:style w:type="character" w:customStyle="1" w:styleId="19">
    <w:name w:val="fontstyle01"/>
    <w:basedOn w:val="9"/>
    <w:qFormat/>
    <w:uiPriority w:val="0"/>
    <w:rPr>
      <w:rFonts w:hint="eastAsia" w:ascii="宋体" w:hAnsi="宋体" w:eastAsia="宋体"/>
      <w:color w:val="000000"/>
      <w:sz w:val="22"/>
      <w:szCs w:val="22"/>
    </w:rPr>
  </w:style>
  <w:style w:type="character" w:customStyle="1" w:styleId="20">
    <w:name w:val="日期 Char"/>
    <w:basedOn w:val="9"/>
    <w:link w:val="2"/>
    <w:semiHidden/>
    <w:qFormat/>
    <w:uiPriority w:val="99"/>
    <w:rPr>
      <w:kern w:val="2"/>
      <w:sz w:val="21"/>
      <w:szCs w:val="24"/>
    </w:rPr>
  </w:style>
  <w:style w:type="character" w:styleId="21">
    <w:name w:val="Placeholder Text"/>
    <w:basedOn w:val="9"/>
    <w:semiHidden/>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12097</Words>
  <Characters>15845</Characters>
  <Lines>32</Lines>
  <Paragraphs>9</Paragraphs>
  <TotalTime>4</TotalTime>
  <ScaleCrop>false</ScaleCrop>
  <LinksUpToDate>false</LinksUpToDate>
  <CharactersWithSpaces>16277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2023-02-22T06:21:00Z</dcterms:created>
  <dc:creator>郑灵芝</dc:creator>
  <cp:lastModifiedBy>SA</cp:lastModifiedBy>
  <cp:lastPrinted>2023-03-10T08:09:00Z</cp:lastPrinted>
  <dcterms:modified xsi:type="dcterms:W3CDTF">2023-12-12T12:28:17Z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5A4C42E8FFC24553867D198CCC1700D4_13</vt:lpwstr>
  </property>
</Properties>
</file>