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rPr>
          <w:rFonts w:hint="eastAsia"/>
        </w:rPr>
        <w:t>行业</w:t>
      </w:r>
      <w:r>
        <w:t>标准《</w:t>
      </w:r>
      <w:r>
        <w:rPr>
          <w:rFonts w:hint="eastAsia"/>
        </w:rPr>
        <w:t>再生硅料</w:t>
      </w:r>
      <w:r>
        <w:t>》</w:t>
      </w:r>
    </w:p>
    <w:p>
      <w:pPr>
        <w:adjustRightInd w:val="0"/>
        <w:snapToGrid w:val="0"/>
        <w:jc w:val="center"/>
        <w:rPr>
          <w:rFonts w:ascii="Times New Roman" w:hAnsi="Times New Roman"/>
          <w:b/>
          <w:bCs/>
          <w:sz w:val="30"/>
          <w:szCs w:val="30"/>
        </w:rPr>
      </w:pPr>
      <w:r>
        <w:rPr>
          <w:rFonts w:ascii="Times New Roman" w:hAnsi="Times New Roman"/>
          <w:b/>
          <w:bCs/>
          <w:sz w:val="30"/>
          <w:szCs w:val="30"/>
        </w:rPr>
        <w:t>编制说明</w:t>
      </w:r>
      <w:r>
        <w:rPr>
          <w:rFonts w:hint="eastAsia" w:ascii="Times New Roman" w:hAnsi="Times New Roman"/>
          <w:b/>
          <w:bCs/>
          <w:sz w:val="30"/>
          <w:szCs w:val="30"/>
        </w:rPr>
        <w:t>（</w:t>
      </w:r>
      <w:r>
        <w:rPr>
          <w:rFonts w:hint="eastAsia" w:ascii="Times New Roman" w:hAnsi="Times New Roman"/>
          <w:b/>
          <w:bCs/>
          <w:sz w:val="30"/>
          <w:szCs w:val="30"/>
          <w:lang w:val="en-US" w:eastAsia="zh-CN"/>
        </w:rPr>
        <w:t>预审</w:t>
      </w:r>
      <w:bookmarkStart w:id="0" w:name="_GoBack"/>
      <w:bookmarkEnd w:id="0"/>
      <w:r>
        <w:rPr>
          <w:rFonts w:hint="eastAsia" w:ascii="Times New Roman" w:hAnsi="Times New Roman"/>
          <w:b/>
          <w:bCs/>
          <w:sz w:val="30"/>
          <w:szCs w:val="30"/>
        </w:rPr>
        <w:t>稿）</w:t>
      </w:r>
    </w:p>
    <w:p>
      <w:pPr>
        <w:pStyle w:val="16"/>
        <w:numPr>
          <w:ilvl w:val="0"/>
          <w:numId w:val="5"/>
        </w:numPr>
        <w:spacing w:line="360" w:lineRule="auto"/>
        <w:ind w:left="0" w:firstLine="0" w:firstLineChars="0"/>
        <w:rPr>
          <w:rFonts w:ascii="Times New Roman" w:hAnsi="Times New Roman"/>
          <w:b/>
          <w:bCs/>
          <w:sz w:val="24"/>
          <w:szCs w:val="24"/>
        </w:rPr>
      </w:pPr>
      <w:r>
        <w:rPr>
          <w:rFonts w:ascii="Times New Roman" w:hAnsi="Times New Roman"/>
          <w:b/>
          <w:bCs/>
          <w:sz w:val="24"/>
          <w:szCs w:val="24"/>
        </w:rPr>
        <w:t>工作简况</w:t>
      </w:r>
    </w:p>
    <w:p>
      <w:pPr>
        <w:pStyle w:val="16"/>
        <w:numPr>
          <w:ilvl w:val="1"/>
          <w:numId w:val="6"/>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立项目的与意义</w:t>
      </w:r>
    </w:p>
    <w:p>
      <w:pPr>
        <w:tabs>
          <w:tab w:val="left" w:pos="567"/>
        </w:tabs>
        <w:spacing w:line="360" w:lineRule="auto"/>
        <w:ind w:firstLine="480" w:firstLineChars="200"/>
        <w:rPr>
          <w:rFonts w:ascii="Times New Roman"/>
          <w:sz w:val="24"/>
          <w:szCs w:val="24"/>
        </w:rPr>
      </w:pPr>
      <w:r>
        <w:rPr>
          <w:rFonts w:hint="eastAsia" w:ascii="Times New Roman"/>
          <w:sz w:val="24"/>
          <w:szCs w:val="24"/>
        </w:rPr>
        <w:t>近年来光伏产业快速发展，年均复合增长率超过2</w:t>
      </w:r>
      <w:r>
        <w:rPr>
          <w:rFonts w:ascii="Times New Roman"/>
          <w:sz w:val="24"/>
          <w:szCs w:val="24"/>
        </w:rPr>
        <w:t>5%</w:t>
      </w:r>
      <w:r>
        <w:rPr>
          <w:rFonts w:hint="eastAsia" w:ascii="Times New Roman"/>
          <w:sz w:val="24"/>
          <w:szCs w:val="24"/>
        </w:rPr>
        <w:t>。截止2</w:t>
      </w:r>
      <w:r>
        <w:rPr>
          <w:rFonts w:ascii="Times New Roman"/>
          <w:sz w:val="24"/>
          <w:szCs w:val="24"/>
        </w:rPr>
        <w:t>022</w:t>
      </w:r>
      <w:r>
        <w:rPr>
          <w:rFonts w:hint="eastAsia" w:ascii="Times New Roman"/>
          <w:sz w:val="24"/>
          <w:szCs w:val="24"/>
        </w:rPr>
        <w:t>年末光伏新增装机已突破2</w:t>
      </w:r>
      <w:r>
        <w:rPr>
          <w:rFonts w:ascii="Times New Roman"/>
          <w:sz w:val="24"/>
          <w:szCs w:val="24"/>
        </w:rPr>
        <w:t>50</w:t>
      </w:r>
      <w:r>
        <w:rPr>
          <w:rFonts w:hint="eastAsia" w:ascii="Times New Roman"/>
          <w:sz w:val="24"/>
          <w:szCs w:val="24"/>
        </w:rPr>
        <w:t>GW。光伏各环节产能同样在快速扩张，2</w:t>
      </w:r>
      <w:r>
        <w:rPr>
          <w:rFonts w:ascii="Times New Roman"/>
          <w:sz w:val="24"/>
          <w:szCs w:val="24"/>
        </w:rPr>
        <w:t>022</w:t>
      </w:r>
      <w:r>
        <w:rPr>
          <w:rFonts w:hint="eastAsia" w:ascii="Times New Roman"/>
          <w:sz w:val="24"/>
          <w:szCs w:val="24"/>
        </w:rPr>
        <w:t>年底多晶硅产能突破1</w:t>
      </w:r>
      <w:r>
        <w:rPr>
          <w:rFonts w:ascii="Times New Roman"/>
          <w:sz w:val="24"/>
          <w:szCs w:val="24"/>
        </w:rPr>
        <w:t>25</w:t>
      </w:r>
      <w:r>
        <w:rPr>
          <w:rFonts w:hint="eastAsia" w:ascii="Times New Roman"/>
          <w:sz w:val="24"/>
          <w:szCs w:val="24"/>
        </w:rPr>
        <w:t>万吨，产量突破9</w:t>
      </w:r>
      <w:r>
        <w:rPr>
          <w:rFonts w:ascii="Times New Roman"/>
          <w:sz w:val="24"/>
          <w:szCs w:val="24"/>
        </w:rPr>
        <w:t>0</w:t>
      </w:r>
      <w:r>
        <w:rPr>
          <w:rFonts w:hint="eastAsia" w:ascii="Times New Roman"/>
          <w:sz w:val="24"/>
          <w:szCs w:val="24"/>
        </w:rPr>
        <w:t>万吨；硅片产能突破6</w:t>
      </w:r>
      <w:r>
        <w:rPr>
          <w:rFonts w:ascii="Times New Roman"/>
          <w:sz w:val="24"/>
          <w:szCs w:val="24"/>
        </w:rPr>
        <w:t>00</w:t>
      </w:r>
      <w:r>
        <w:rPr>
          <w:rFonts w:hint="eastAsia" w:ascii="Times New Roman"/>
          <w:sz w:val="24"/>
          <w:szCs w:val="24"/>
        </w:rPr>
        <w:t>GW，产量突破3</w:t>
      </w:r>
      <w:r>
        <w:rPr>
          <w:rFonts w:ascii="Times New Roman"/>
          <w:sz w:val="24"/>
          <w:szCs w:val="24"/>
        </w:rPr>
        <w:t>00</w:t>
      </w:r>
      <w:r>
        <w:rPr>
          <w:rFonts w:hint="eastAsia" w:ascii="Times New Roman"/>
          <w:sz w:val="24"/>
          <w:szCs w:val="24"/>
        </w:rPr>
        <w:t>GW。</w:t>
      </w:r>
    </w:p>
    <w:p>
      <w:pPr>
        <w:tabs>
          <w:tab w:val="left" w:pos="567"/>
        </w:tabs>
        <w:spacing w:line="360" w:lineRule="auto"/>
        <w:ind w:firstLine="480" w:firstLineChars="200"/>
        <w:rPr>
          <w:rFonts w:ascii="Times New Roman"/>
          <w:sz w:val="24"/>
          <w:szCs w:val="24"/>
        </w:rPr>
      </w:pPr>
      <w:r>
        <w:rPr>
          <w:rFonts w:hint="eastAsia" w:ascii="Times New Roman"/>
          <w:sz w:val="24"/>
          <w:szCs w:val="24"/>
        </w:rPr>
        <w:t>由于光伏组件大多为单晶硅组件，其硅基材（即单晶硅片）是直拉法生长的单晶圆棒经过切方、线切割后产出的硅片。因此在硅片生产过程中会产出极大的次级品或副产物，比如直拉法单晶硅棒生产过程中由于尺寸、电性能指标等不合格产生的次级品、圆棒切方后留下的边皮料、线切割环节产生的厚片等。这些次级品或副产物经过一定处理可从新用于直拉法单晶硅生产，因此被称为“再生硅料”。考虑直拉法单晶硅片生产的成品率损失、圆棒至方棒的切除损失、破碎损失、切片损失等，2022年底硅片企业所产生的再生硅料在25万吨以上。</w:t>
      </w:r>
    </w:p>
    <w:p>
      <w:pPr>
        <w:tabs>
          <w:tab w:val="left" w:pos="567"/>
        </w:tabs>
        <w:spacing w:line="360" w:lineRule="auto"/>
        <w:ind w:firstLine="480" w:firstLineChars="200"/>
        <w:rPr>
          <w:rFonts w:ascii="Times New Roman"/>
          <w:sz w:val="24"/>
          <w:szCs w:val="24"/>
        </w:rPr>
      </w:pPr>
      <w:r>
        <w:rPr>
          <w:rFonts w:hint="eastAsia" w:ascii="Times New Roman"/>
          <w:sz w:val="24"/>
          <w:szCs w:val="24"/>
        </w:rPr>
        <w:t>再生硅料产出巨大且品类复杂，因此有必要建立合理标准，规范其的使用。通过利用该部分硅料，可降低企业原料成本及产业链综合成本，提升资源及能源利用率。</w:t>
      </w:r>
    </w:p>
    <w:p>
      <w:pPr>
        <w:tabs>
          <w:tab w:val="left" w:pos="567"/>
        </w:tabs>
        <w:spacing w:line="360" w:lineRule="auto"/>
        <w:ind w:firstLine="480" w:firstLineChars="200"/>
        <w:rPr>
          <w:rFonts w:ascii="Times New Roman"/>
          <w:sz w:val="24"/>
          <w:szCs w:val="24"/>
        </w:rPr>
      </w:pPr>
      <w:r>
        <w:rPr>
          <w:rFonts w:hint="eastAsia" w:ascii="Times New Roman"/>
          <w:sz w:val="24"/>
          <w:szCs w:val="24"/>
        </w:rPr>
        <w:t>针对再生硅料的相关标准为YS/T 840-2012《再生硅料分类和技术条件》，经过多年的发展，光伏行业取得了长足的技术进步，多晶硅杂质含量、电池/组件技术路线及对单晶硅片电性能指标的要求亦有了明显差异，原标准对再生硅料的</w:t>
      </w:r>
      <w:r>
        <w:rPr>
          <w:rFonts w:ascii="Times New Roman"/>
          <w:sz w:val="24"/>
          <w:szCs w:val="24"/>
        </w:rPr>
        <w:t>等级划分、技术要求已</w:t>
      </w:r>
      <w:r>
        <w:rPr>
          <w:rFonts w:hint="eastAsia" w:ascii="Times New Roman"/>
          <w:sz w:val="24"/>
          <w:szCs w:val="24"/>
        </w:rPr>
        <w:t>无法</w:t>
      </w:r>
      <w:r>
        <w:rPr>
          <w:rFonts w:ascii="Times New Roman"/>
          <w:sz w:val="24"/>
          <w:szCs w:val="24"/>
        </w:rPr>
        <w:t>满足市场的实际需求</w:t>
      </w:r>
      <w:r>
        <w:rPr>
          <w:rFonts w:hint="eastAsia" w:ascii="Times New Roman"/>
          <w:sz w:val="24"/>
          <w:szCs w:val="24"/>
        </w:rPr>
        <w:t>，无法指导</w:t>
      </w:r>
      <w:r>
        <w:rPr>
          <w:rFonts w:ascii="Times New Roman"/>
          <w:sz w:val="24"/>
          <w:szCs w:val="24"/>
        </w:rPr>
        <w:t>企业的生产和销售</w:t>
      </w:r>
      <w:r>
        <w:rPr>
          <w:rFonts w:hint="eastAsia" w:ascii="Times New Roman"/>
          <w:sz w:val="24"/>
          <w:szCs w:val="24"/>
        </w:rPr>
        <w:t>。</w:t>
      </w:r>
    </w:p>
    <w:p>
      <w:pPr>
        <w:tabs>
          <w:tab w:val="left" w:pos="567"/>
        </w:tabs>
        <w:spacing w:line="360" w:lineRule="auto"/>
        <w:ind w:firstLine="480" w:firstLineChars="200"/>
        <w:rPr>
          <w:rFonts w:ascii="Times New Roman"/>
          <w:sz w:val="24"/>
          <w:szCs w:val="24"/>
        </w:rPr>
      </w:pPr>
      <w:r>
        <w:rPr>
          <w:rFonts w:ascii="Times New Roman"/>
          <w:sz w:val="24"/>
          <w:szCs w:val="24"/>
        </w:rPr>
        <w:t>通过</w:t>
      </w:r>
      <w:r>
        <w:rPr>
          <w:rFonts w:hint="eastAsia" w:ascii="Times New Roman"/>
          <w:sz w:val="24"/>
          <w:szCs w:val="24"/>
        </w:rPr>
        <w:t>对</w:t>
      </w:r>
      <w:r>
        <w:rPr>
          <w:rFonts w:ascii="Times New Roman"/>
          <w:sz w:val="24"/>
          <w:szCs w:val="24"/>
        </w:rPr>
        <w:t>此标准的修订，能够更加贴合市场实际情况，有效的指导</w:t>
      </w:r>
      <w:r>
        <w:rPr>
          <w:rFonts w:hint="eastAsia" w:ascii="Times New Roman"/>
          <w:sz w:val="24"/>
          <w:szCs w:val="24"/>
        </w:rPr>
        <w:t>国内厂商对再生硅料的分级和</w:t>
      </w:r>
      <w:r>
        <w:rPr>
          <w:rFonts w:ascii="Times New Roman"/>
          <w:sz w:val="24"/>
          <w:szCs w:val="24"/>
        </w:rPr>
        <w:t>应用</w:t>
      </w:r>
      <w:r>
        <w:rPr>
          <w:rFonts w:hint="eastAsia" w:ascii="Times New Roman"/>
          <w:sz w:val="24"/>
          <w:szCs w:val="24"/>
        </w:rPr>
        <w:t>，降低企业原料成本及产业链综合成本，提升资源及能源利用率</w:t>
      </w:r>
      <w:r>
        <w:rPr>
          <w:rFonts w:ascii="Times New Roman"/>
          <w:sz w:val="24"/>
          <w:szCs w:val="24"/>
        </w:rPr>
        <w:t>。</w:t>
      </w:r>
    </w:p>
    <w:p>
      <w:pPr>
        <w:pStyle w:val="16"/>
        <w:numPr>
          <w:ilvl w:val="1"/>
          <w:numId w:val="6"/>
        </w:numPr>
        <w:spacing w:line="360" w:lineRule="auto"/>
        <w:ind w:left="0" w:firstLine="0" w:firstLineChars="0"/>
        <w:rPr>
          <w:rFonts w:ascii="Times New Roman" w:hAnsi="Times New Roman"/>
          <w:b/>
          <w:bCs/>
          <w:sz w:val="24"/>
          <w:szCs w:val="24"/>
        </w:rPr>
      </w:pPr>
      <w:r>
        <w:rPr>
          <w:rFonts w:ascii="Times New Roman" w:hAnsi="Times New Roman"/>
          <w:b/>
          <w:bCs/>
          <w:sz w:val="24"/>
          <w:szCs w:val="24"/>
        </w:rPr>
        <w:t>任务来源</w:t>
      </w:r>
    </w:p>
    <w:p>
      <w:pPr>
        <w:tabs>
          <w:tab w:val="left" w:pos="567"/>
        </w:tabs>
        <w:spacing w:line="360" w:lineRule="auto"/>
        <w:ind w:firstLine="480" w:firstLineChars="200"/>
        <w:rPr>
          <w:rFonts w:ascii="Times New Roman"/>
          <w:sz w:val="24"/>
          <w:szCs w:val="24"/>
        </w:rPr>
      </w:pPr>
      <w:r>
        <w:rPr>
          <w:rFonts w:hint="eastAsia" w:ascii="Times New Roman"/>
          <w:sz w:val="24"/>
          <w:szCs w:val="24"/>
        </w:rPr>
        <w:t>本标准修订需求源于近年来行业技术方向的巨大变化。原标准形成时，硅基光伏路线为A</w:t>
      </w:r>
      <w:r>
        <w:rPr>
          <w:rFonts w:ascii="Times New Roman"/>
          <w:sz w:val="24"/>
          <w:szCs w:val="24"/>
        </w:rPr>
        <w:t>l-</w:t>
      </w:r>
      <w:r>
        <w:rPr>
          <w:rFonts w:hint="eastAsia" w:ascii="Times New Roman"/>
          <w:sz w:val="24"/>
          <w:szCs w:val="24"/>
        </w:rPr>
        <w:t>BSF，电池转换效率普遍在1</w:t>
      </w:r>
      <w:r>
        <w:rPr>
          <w:rFonts w:ascii="Times New Roman"/>
          <w:sz w:val="24"/>
          <w:szCs w:val="24"/>
        </w:rPr>
        <w:t>8%</w:t>
      </w:r>
      <w:r>
        <w:rPr>
          <w:rFonts w:hint="eastAsia" w:ascii="Times New Roman"/>
          <w:sz w:val="24"/>
          <w:szCs w:val="24"/>
        </w:rPr>
        <w:t>以下。由于Al</w:t>
      </w:r>
      <w:r>
        <w:rPr>
          <w:rFonts w:ascii="Times New Roman"/>
          <w:sz w:val="24"/>
          <w:szCs w:val="24"/>
        </w:rPr>
        <w:t>-BSF</w:t>
      </w:r>
      <w:r>
        <w:rPr>
          <w:rFonts w:hint="eastAsia" w:ascii="Times New Roman"/>
          <w:sz w:val="24"/>
          <w:szCs w:val="24"/>
        </w:rPr>
        <w:t>结构的固有的界面高复合速率、P型基底制备N型结时的掺杂浓度及深度等缺陷的存在，加之彼时国内多晶硅产品杂质含量偏高，因此彼时硅基光伏对硅基材（即直拉法单晶硅片，下文简称单晶硅片）的要求不高。彼时单晶硅片普遍具有高阻（即基材电阻率范围为1</w:t>
      </w:r>
      <w:r>
        <w:rPr>
          <w:rFonts w:ascii="Times New Roman"/>
          <w:sz w:val="24"/>
          <w:szCs w:val="24"/>
        </w:rPr>
        <w:t>-3</w:t>
      </w:r>
      <w:r>
        <w:rPr>
          <w:rFonts w:hint="eastAsia" w:ascii="Times New Roman"/>
          <w:sz w:val="24"/>
          <w:szCs w:val="24"/>
        </w:rPr>
        <w:t>Ω·cm）、硼掺杂、少子寿命偏低（多晶硅原料以及直拉单晶生产过程中引入较多过渡族金属导致，单晶硅片对少子寿命的控制线仅为≥5μs）。随着技术水平的发展，目前量产电池转换效率已突破2</w:t>
      </w:r>
      <w:r>
        <w:rPr>
          <w:rFonts w:ascii="Times New Roman"/>
          <w:sz w:val="24"/>
          <w:szCs w:val="24"/>
        </w:rPr>
        <w:t>5</w:t>
      </w:r>
      <w:r>
        <w:rPr>
          <w:rFonts w:hint="eastAsia" w:ascii="Times New Roman"/>
          <w:sz w:val="24"/>
          <w:szCs w:val="24"/>
        </w:rPr>
        <w:t>%，具有低衰减、高效率的掺镓P型硅和N型硅得到大规模应用，因此对于单晶硅片的要求极大改变。单晶硅片向掺镓/掺磷、低阻化，高少子寿命化。因此单晶硅片生产过程中的工艺参数（如掺杂、生长速度等）、原材料（如多晶硅原料、热场材料等）明显不同，导致产生的再生硅料明显不同。</w:t>
      </w:r>
    </w:p>
    <w:p>
      <w:pPr>
        <w:tabs>
          <w:tab w:val="left" w:pos="567"/>
        </w:tabs>
        <w:spacing w:line="360" w:lineRule="auto"/>
        <w:ind w:firstLine="480" w:firstLineChars="200"/>
        <w:rPr>
          <w:rFonts w:ascii="Times New Roman"/>
          <w:sz w:val="24"/>
          <w:szCs w:val="24"/>
        </w:rPr>
      </w:pPr>
      <w:r>
        <w:rPr>
          <w:rFonts w:hint="eastAsia" w:ascii="Times New Roman"/>
          <w:sz w:val="24"/>
          <w:szCs w:val="24"/>
        </w:rPr>
        <w:t>因此为了更好的利用这些再生硅料，企业内部根据现场实际情况制定了相关的内部文件。考虑到产出和应用再生硅料的企业很多，有必要结合行业内实际情况统一行程规范化的文件，帮助企业与行业提升综合效能。</w:t>
      </w:r>
    </w:p>
    <w:p>
      <w:pPr>
        <w:tabs>
          <w:tab w:val="left" w:pos="567"/>
        </w:tabs>
        <w:spacing w:line="360" w:lineRule="auto"/>
        <w:ind w:firstLine="480" w:firstLineChars="200"/>
        <w:rPr>
          <w:rFonts w:ascii="Times New Roman"/>
          <w:sz w:val="24"/>
          <w:szCs w:val="24"/>
        </w:rPr>
      </w:pPr>
      <w:r>
        <w:rPr>
          <w:rFonts w:hint="eastAsia" w:ascii="Times New Roman"/>
          <w:sz w:val="24"/>
          <w:szCs w:val="24"/>
        </w:rPr>
        <w:t>隆基绿能科技股份有限公司拥有多年单晶硅生产经验，结合自身对于再生硅料的研究和应用情况，在2</w:t>
      </w:r>
      <w:r>
        <w:rPr>
          <w:rFonts w:ascii="Times New Roman"/>
          <w:sz w:val="24"/>
          <w:szCs w:val="24"/>
        </w:rPr>
        <w:t>021</w:t>
      </w:r>
      <w:r>
        <w:rPr>
          <w:rFonts w:hint="eastAsia" w:ascii="Times New Roman"/>
          <w:sz w:val="24"/>
          <w:szCs w:val="24"/>
        </w:rPr>
        <w:t>年提出了更新原有标准的申请并提交了行业标准项目建议书。</w:t>
      </w:r>
    </w:p>
    <w:p>
      <w:pPr>
        <w:pStyle w:val="16"/>
        <w:numPr>
          <w:ilvl w:val="1"/>
          <w:numId w:val="6"/>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主要参加单位</w:t>
      </w:r>
      <w:r>
        <w:rPr>
          <w:rFonts w:ascii="Times New Roman" w:hAnsi="Times New Roman"/>
          <w:b/>
          <w:bCs/>
          <w:sz w:val="24"/>
          <w:szCs w:val="24"/>
        </w:rPr>
        <w:t>和工作</w:t>
      </w:r>
      <w:r>
        <w:rPr>
          <w:rFonts w:hint="eastAsia" w:ascii="Times New Roman" w:hAnsi="Times New Roman"/>
          <w:b/>
          <w:bCs/>
          <w:sz w:val="24"/>
          <w:szCs w:val="24"/>
        </w:rPr>
        <w:t>成员及其</w:t>
      </w:r>
      <w:r>
        <w:rPr>
          <w:rFonts w:ascii="Times New Roman" w:hAnsi="Times New Roman"/>
          <w:b/>
          <w:bCs/>
          <w:sz w:val="24"/>
          <w:szCs w:val="24"/>
        </w:rPr>
        <w:t>所做工作</w:t>
      </w:r>
    </w:p>
    <w:p>
      <w:pPr>
        <w:spacing w:line="360" w:lineRule="auto"/>
        <w:rPr>
          <w:rFonts w:ascii="Times New Roman" w:hAnsi="Times New Roman"/>
          <w:b/>
          <w:bCs/>
          <w:sz w:val="24"/>
          <w:szCs w:val="24"/>
        </w:rPr>
      </w:pPr>
      <w:r>
        <w:rPr>
          <w:rFonts w:ascii="Times New Roman" w:hAnsi="Times New Roman"/>
          <w:b/>
          <w:bCs/>
          <w:sz w:val="24"/>
          <w:szCs w:val="24"/>
        </w:rPr>
        <w:t xml:space="preserve">3.1 </w:t>
      </w:r>
      <w:r>
        <w:rPr>
          <w:rFonts w:hint="eastAsia" w:ascii="Times New Roman" w:hAnsi="Times New Roman"/>
          <w:b/>
          <w:bCs/>
          <w:sz w:val="24"/>
          <w:szCs w:val="24"/>
        </w:rPr>
        <w:t>主要参加</w:t>
      </w:r>
      <w:r>
        <w:rPr>
          <w:rFonts w:ascii="Times New Roman" w:hAnsi="Times New Roman"/>
          <w:b/>
          <w:bCs/>
          <w:sz w:val="24"/>
          <w:szCs w:val="24"/>
        </w:rPr>
        <w:t>单位</w:t>
      </w:r>
      <w:r>
        <w:rPr>
          <w:rFonts w:hint="eastAsia" w:ascii="Times New Roman" w:hAnsi="Times New Roman"/>
          <w:b/>
          <w:bCs/>
          <w:sz w:val="24"/>
          <w:szCs w:val="24"/>
        </w:rPr>
        <w:t>情况</w:t>
      </w:r>
    </w:p>
    <w:p>
      <w:pPr>
        <w:spacing w:line="360" w:lineRule="auto"/>
        <w:ind w:firstLine="480" w:firstLineChars="200"/>
        <w:rPr>
          <w:rFonts w:ascii="Times New Roman" w:hAnsi="Times New Roman"/>
          <w:sz w:val="24"/>
          <w:szCs w:val="24"/>
        </w:rPr>
      </w:pPr>
      <w:r>
        <w:rPr>
          <w:rFonts w:hint="eastAsia" w:ascii="Times New Roman"/>
          <w:sz w:val="24"/>
          <w:szCs w:val="24"/>
        </w:rPr>
        <w:t>标准主要</w:t>
      </w:r>
      <w:r>
        <w:rPr>
          <w:rFonts w:ascii="Times New Roman"/>
          <w:sz w:val="24"/>
          <w:szCs w:val="24"/>
        </w:rPr>
        <w:t>起草单位</w:t>
      </w:r>
      <w:r>
        <w:rPr>
          <w:rFonts w:hint="eastAsia" w:ascii="Times New Roman"/>
          <w:sz w:val="24"/>
          <w:szCs w:val="24"/>
        </w:rPr>
        <w:t>隆基绿能科技股份有限公司基于多年单晶生产经验，结合自身对于再生硅料的研究和应用情况提出了标准更新的申请及草案</w:t>
      </w:r>
      <w:r>
        <w:rPr>
          <w:rFonts w:ascii="Times New Roman" w:hAnsi="Times New Roman"/>
          <w:sz w:val="24"/>
          <w:szCs w:val="24"/>
        </w:rPr>
        <w:t>。</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天津中环半导体股份有限公司、弘元新材料有限公司、江苏中能硅业科技发展有限公司、新特能源股份有限公司等在草案编辑期间提出了具有建设性的意见。</w:t>
      </w:r>
    </w:p>
    <w:p>
      <w:pPr>
        <w:spacing w:line="360" w:lineRule="auto"/>
        <w:rPr>
          <w:rFonts w:ascii="Times New Roman" w:hAnsi="Times New Roman"/>
          <w:sz w:val="24"/>
          <w:szCs w:val="24"/>
        </w:rPr>
      </w:pPr>
      <w:r>
        <w:rPr>
          <w:rFonts w:ascii="Times New Roman" w:hAnsi="Times New Roman"/>
          <w:b/>
          <w:bCs/>
          <w:sz w:val="24"/>
          <w:szCs w:val="24"/>
        </w:rPr>
        <w:t xml:space="preserve">3.2 </w:t>
      </w:r>
      <w:r>
        <w:rPr>
          <w:rFonts w:hint="eastAsia" w:ascii="Times New Roman" w:hAnsi="Times New Roman"/>
          <w:b/>
          <w:bCs/>
          <w:sz w:val="24"/>
          <w:szCs w:val="24"/>
        </w:rPr>
        <w:t>主要</w:t>
      </w:r>
      <w:r>
        <w:rPr>
          <w:rFonts w:ascii="Times New Roman" w:hAnsi="Times New Roman"/>
          <w:b/>
          <w:bCs/>
          <w:sz w:val="24"/>
          <w:szCs w:val="24"/>
        </w:rPr>
        <w:t>工作成员所</w:t>
      </w:r>
      <w:r>
        <w:rPr>
          <w:rFonts w:hint="eastAsia" w:ascii="Times New Roman" w:hAnsi="Times New Roman"/>
          <w:b/>
          <w:bCs/>
          <w:sz w:val="24"/>
          <w:szCs w:val="24"/>
        </w:rPr>
        <w:t>负责</w:t>
      </w:r>
      <w:r>
        <w:rPr>
          <w:rFonts w:ascii="Times New Roman" w:hAnsi="Times New Roman"/>
          <w:b/>
          <w:bCs/>
          <w:sz w:val="24"/>
          <w:szCs w:val="24"/>
        </w:rPr>
        <w:t>的工作情况</w:t>
      </w:r>
    </w:p>
    <w:p>
      <w:pPr>
        <w:spacing w:line="360" w:lineRule="auto"/>
        <w:ind w:firstLine="480"/>
        <w:rPr>
          <w:rFonts w:ascii="Times New Roman" w:hAnsi="Times New Roman"/>
          <w:sz w:val="24"/>
          <w:szCs w:val="24"/>
        </w:rPr>
      </w:pPr>
      <w:r>
        <w:rPr>
          <w:rFonts w:hint="eastAsia" w:ascii="Times New Roman" w:hAnsi="Times New Roman"/>
          <w:sz w:val="24"/>
          <w:szCs w:val="24"/>
        </w:rPr>
        <w:t>本标准</w:t>
      </w:r>
      <w:r>
        <w:rPr>
          <w:rFonts w:ascii="Times New Roman" w:hAnsi="Times New Roman"/>
          <w:sz w:val="24"/>
          <w:szCs w:val="24"/>
        </w:rPr>
        <w:t>主要起草人</w:t>
      </w:r>
      <w:r>
        <w:rPr>
          <w:rFonts w:hint="eastAsia" w:ascii="Times New Roman" w:hAnsi="Times New Roman"/>
          <w:sz w:val="24"/>
          <w:szCs w:val="24"/>
        </w:rPr>
        <w:t>及工作</w:t>
      </w:r>
      <w:r>
        <w:rPr>
          <w:rFonts w:ascii="Times New Roman" w:hAnsi="Times New Roman"/>
          <w:sz w:val="24"/>
          <w:szCs w:val="24"/>
        </w:rPr>
        <w:t>职责</w:t>
      </w:r>
      <w:r>
        <w:rPr>
          <w:rFonts w:hint="eastAsia" w:ascii="Times New Roman" w:hAnsi="Times New Roman"/>
          <w:sz w:val="24"/>
          <w:szCs w:val="24"/>
        </w:rPr>
        <w:t>见</w:t>
      </w:r>
      <w:r>
        <w:rPr>
          <w:rFonts w:ascii="Times New Roman" w:hAnsi="Times New Roman"/>
          <w:sz w:val="24"/>
          <w:szCs w:val="24"/>
        </w:rPr>
        <w:t>表</w:t>
      </w:r>
      <w:r>
        <w:rPr>
          <w:rFonts w:hint="eastAsia" w:ascii="Times New Roman" w:hAnsi="Times New Roman"/>
          <w:sz w:val="24"/>
          <w:szCs w:val="24"/>
        </w:rPr>
        <w:t>1。（待确定）</w:t>
      </w:r>
    </w:p>
    <w:p>
      <w:pPr>
        <w:spacing w:line="360" w:lineRule="auto"/>
        <w:ind w:firstLine="480"/>
        <w:jc w:val="center"/>
        <w:rPr>
          <w:rFonts w:ascii="Times New Roman" w:hAnsi="Times New Roman"/>
          <w:sz w:val="24"/>
          <w:szCs w:val="24"/>
        </w:rPr>
      </w:pPr>
      <w:r>
        <w:rPr>
          <w:rFonts w:hint="eastAsia" w:ascii="Times New Roman" w:hAnsi="Times New Roman"/>
          <w:sz w:val="24"/>
          <w:szCs w:val="24"/>
        </w:rPr>
        <w:t>表1 主要</w:t>
      </w:r>
      <w:r>
        <w:rPr>
          <w:rFonts w:ascii="Times New Roman" w:hAnsi="Times New Roman"/>
          <w:sz w:val="24"/>
          <w:szCs w:val="24"/>
        </w:rPr>
        <w:t>起草人及工作职责</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spacing w:line="360" w:lineRule="auto"/>
              <w:jc w:val="center"/>
              <w:rPr>
                <w:rFonts w:ascii="Times New Roman" w:hAnsi="Times New Roman"/>
                <w:sz w:val="24"/>
                <w:szCs w:val="24"/>
              </w:rPr>
            </w:pPr>
            <w:r>
              <w:rPr>
                <w:rFonts w:hint="eastAsia" w:ascii="Times New Roman" w:hAnsi="Times New Roman"/>
                <w:sz w:val="24"/>
                <w:szCs w:val="24"/>
              </w:rPr>
              <w:t>起草人</w:t>
            </w:r>
          </w:p>
        </w:tc>
        <w:tc>
          <w:tcPr>
            <w:tcW w:w="6913" w:type="dxa"/>
          </w:tcPr>
          <w:p>
            <w:pPr>
              <w:spacing w:line="360" w:lineRule="auto"/>
              <w:jc w:val="center"/>
              <w:rPr>
                <w:rFonts w:ascii="Times New Roman" w:hAnsi="Times New Roman"/>
                <w:sz w:val="24"/>
                <w:szCs w:val="24"/>
              </w:rPr>
            </w:pPr>
            <w:r>
              <w:rPr>
                <w:rFonts w:hint="eastAsia" w:ascii="Times New Roman" w:hAnsi="Times New Roman"/>
                <w:sz w:val="24"/>
                <w:szCs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spacing w:line="360" w:lineRule="auto"/>
              <w:jc w:val="center"/>
              <w:rPr>
                <w:rFonts w:ascii="Times New Roman" w:hAnsi="Times New Roman"/>
                <w:sz w:val="24"/>
                <w:szCs w:val="24"/>
              </w:rPr>
            </w:pPr>
            <w:r>
              <w:rPr>
                <w:rFonts w:hint="eastAsia" w:ascii="Times New Roman" w:hAnsi="Times New Roman"/>
                <w:sz w:val="24"/>
                <w:szCs w:val="24"/>
              </w:rPr>
              <w:t>邓浩</w:t>
            </w:r>
          </w:p>
        </w:tc>
        <w:tc>
          <w:tcPr>
            <w:tcW w:w="6913" w:type="dxa"/>
          </w:tcPr>
          <w:p>
            <w:pPr>
              <w:spacing w:line="360" w:lineRule="auto"/>
              <w:jc w:val="center"/>
              <w:rPr>
                <w:rFonts w:ascii="Times New Roman" w:hAnsi="Times New Roman"/>
                <w:sz w:val="24"/>
                <w:szCs w:val="24"/>
              </w:rPr>
            </w:pPr>
            <w:r>
              <w:rPr>
                <w:rFonts w:hint="eastAsia" w:ascii="Times New Roman" w:hAnsi="Times New Roman"/>
                <w:sz w:val="24"/>
                <w:szCs w:val="24"/>
              </w:rPr>
              <w:t>负责</w:t>
            </w:r>
            <w:r>
              <w:rPr>
                <w:rFonts w:ascii="Times New Roman" w:hAnsi="Times New Roman"/>
                <w:sz w:val="24"/>
                <w:szCs w:val="24"/>
              </w:rPr>
              <w:t>标准的工作指导、组织协调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spacing w:line="360" w:lineRule="auto"/>
              <w:jc w:val="center"/>
              <w:rPr>
                <w:rFonts w:ascii="Times New Roman" w:hAnsi="Times New Roman"/>
                <w:sz w:val="24"/>
                <w:szCs w:val="24"/>
              </w:rPr>
            </w:pPr>
            <w:r>
              <w:rPr>
                <w:rFonts w:hint="eastAsia" w:ascii="Times New Roman" w:hAnsi="Times New Roman"/>
                <w:sz w:val="24"/>
                <w:szCs w:val="24"/>
              </w:rPr>
              <w:t>韩伟</w:t>
            </w:r>
          </w:p>
        </w:tc>
        <w:tc>
          <w:tcPr>
            <w:tcW w:w="6913" w:type="dxa"/>
          </w:tcPr>
          <w:p>
            <w:pPr>
              <w:spacing w:line="360" w:lineRule="auto"/>
              <w:jc w:val="center"/>
              <w:rPr>
                <w:rFonts w:ascii="Times New Roman" w:hAnsi="Times New Roman"/>
                <w:sz w:val="24"/>
                <w:szCs w:val="24"/>
              </w:rPr>
            </w:pPr>
            <w:r>
              <w:rPr>
                <w:rFonts w:hint="eastAsia" w:ascii="Times New Roman" w:hAnsi="Times New Roman"/>
                <w:sz w:val="24"/>
                <w:szCs w:val="24"/>
              </w:rPr>
              <w:t>负责标准内容的编写、审核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spacing w:line="360" w:lineRule="auto"/>
              <w:jc w:val="center"/>
              <w:rPr>
                <w:rFonts w:hint="eastAsia" w:ascii="Times New Roman" w:hAnsi="Times New Roman"/>
                <w:sz w:val="24"/>
                <w:szCs w:val="24"/>
              </w:rPr>
            </w:pPr>
            <w:r>
              <w:rPr>
                <w:rFonts w:hint="eastAsia" w:ascii="Times New Roman" w:hAnsi="Times New Roman"/>
                <w:sz w:val="24"/>
                <w:szCs w:val="24"/>
              </w:rPr>
              <w:t>任秀强</w:t>
            </w:r>
          </w:p>
        </w:tc>
        <w:tc>
          <w:tcPr>
            <w:tcW w:w="6913" w:type="dxa"/>
          </w:tcPr>
          <w:p>
            <w:pPr>
              <w:spacing w:line="360" w:lineRule="auto"/>
              <w:jc w:val="center"/>
              <w:rPr>
                <w:rFonts w:hint="eastAsia" w:ascii="Times New Roman" w:hAnsi="Times New Roman"/>
                <w:sz w:val="24"/>
                <w:szCs w:val="24"/>
              </w:rPr>
            </w:pPr>
            <w:r>
              <w:rPr>
                <w:rFonts w:hint="eastAsia" w:ascii="Times New Roman" w:hAnsi="Times New Roman"/>
                <w:sz w:val="24"/>
                <w:szCs w:val="24"/>
              </w:rPr>
              <w:t>负责标准内容的编写、审核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spacing w:line="360" w:lineRule="auto"/>
              <w:jc w:val="center"/>
              <w:rPr>
                <w:rFonts w:ascii="Times New Roman" w:hAnsi="Times New Roman"/>
                <w:sz w:val="24"/>
                <w:szCs w:val="24"/>
              </w:rPr>
            </w:pPr>
            <w:r>
              <w:rPr>
                <w:rFonts w:hint="eastAsia" w:ascii="Times New Roman" w:hAnsi="Times New Roman"/>
                <w:sz w:val="24"/>
                <w:szCs w:val="24"/>
              </w:rPr>
              <w:t>杜超</w:t>
            </w:r>
          </w:p>
        </w:tc>
        <w:tc>
          <w:tcPr>
            <w:tcW w:w="6913" w:type="dxa"/>
          </w:tcPr>
          <w:p>
            <w:pPr>
              <w:spacing w:line="360" w:lineRule="auto"/>
              <w:jc w:val="center"/>
              <w:rPr>
                <w:rFonts w:ascii="Times New Roman" w:hAnsi="Times New Roman"/>
                <w:sz w:val="24"/>
                <w:szCs w:val="24"/>
              </w:rPr>
            </w:pPr>
            <w:r>
              <w:rPr>
                <w:rFonts w:hint="eastAsia" w:ascii="Times New Roman" w:hAnsi="Times New Roman"/>
                <w:sz w:val="24"/>
                <w:szCs w:val="24"/>
              </w:rPr>
              <w:t>负责标准内容的编写、审核</w:t>
            </w:r>
          </w:p>
        </w:tc>
      </w:tr>
    </w:tbl>
    <w:p>
      <w:pPr>
        <w:pStyle w:val="16"/>
        <w:numPr>
          <w:ilvl w:val="1"/>
          <w:numId w:val="6"/>
        </w:numPr>
        <w:spacing w:line="360" w:lineRule="auto"/>
        <w:ind w:left="0" w:firstLine="0" w:firstLineChars="0"/>
        <w:rPr>
          <w:rFonts w:ascii="Times New Roman" w:hAnsi="Times New Roman"/>
          <w:b/>
          <w:bCs/>
          <w:sz w:val="24"/>
          <w:szCs w:val="24"/>
        </w:rPr>
      </w:pPr>
      <w:r>
        <w:rPr>
          <w:rFonts w:ascii="Times New Roman" w:hAnsi="Times New Roman"/>
          <w:b/>
          <w:bCs/>
          <w:sz w:val="24"/>
          <w:szCs w:val="24"/>
        </w:rPr>
        <w:t>主要工作过程</w:t>
      </w:r>
    </w:p>
    <w:p>
      <w:pPr>
        <w:pStyle w:val="16"/>
        <w:numPr>
          <w:ilvl w:val="0"/>
          <w:numId w:val="7"/>
        </w:numPr>
        <w:spacing w:line="360" w:lineRule="auto"/>
        <w:ind w:firstLineChars="0"/>
        <w:rPr>
          <w:rFonts w:ascii="Times New Roman" w:hAnsi="Times New Roman"/>
          <w:b/>
          <w:bCs/>
          <w:vanish/>
          <w:sz w:val="24"/>
          <w:szCs w:val="24"/>
        </w:rPr>
      </w:pPr>
    </w:p>
    <w:p>
      <w:pPr>
        <w:pStyle w:val="16"/>
        <w:numPr>
          <w:ilvl w:val="0"/>
          <w:numId w:val="7"/>
        </w:numPr>
        <w:spacing w:line="360" w:lineRule="auto"/>
        <w:ind w:firstLineChars="0"/>
        <w:rPr>
          <w:rFonts w:ascii="Times New Roman" w:hAnsi="Times New Roman"/>
          <w:b/>
          <w:bCs/>
          <w:vanish/>
          <w:sz w:val="24"/>
          <w:szCs w:val="24"/>
        </w:rPr>
      </w:pPr>
    </w:p>
    <w:p>
      <w:pPr>
        <w:pStyle w:val="16"/>
        <w:numPr>
          <w:ilvl w:val="1"/>
          <w:numId w:val="7"/>
        </w:numPr>
        <w:spacing w:line="360" w:lineRule="auto"/>
        <w:ind w:firstLineChars="0"/>
        <w:rPr>
          <w:rFonts w:ascii="Times New Roman" w:hAnsi="Times New Roman"/>
          <w:b/>
          <w:bCs/>
          <w:sz w:val="24"/>
          <w:szCs w:val="24"/>
        </w:rPr>
      </w:pPr>
      <w:r>
        <w:rPr>
          <w:rFonts w:hint="eastAsia" w:ascii="Times New Roman" w:hAnsi="Times New Roman"/>
          <w:b/>
          <w:bCs/>
          <w:sz w:val="24"/>
          <w:szCs w:val="24"/>
        </w:rPr>
        <w:t>立项阶段</w:t>
      </w:r>
    </w:p>
    <w:p>
      <w:pPr>
        <w:pStyle w:val="16"/>
        <w:spacing w:line="360" w:lineRule="auto"/>
        <w:ind w:firstLine="480"/>
        <w:rPr>
          <w:rFonts w:ascii="Times New Roman" w:hAnsi="Times New Roman"/>
          <w:sz w:val="24"/>
          <w:szCs w:val="24"/>
        </w:rPr>
      </w:pPr>
      <w:r>
        <w:rPr>
          <w:rFonts w:hint="eastAsia" w:ascii="Times New Roman" w:hAnsi="Times New Roman"/>
          <w:sz w:val="24"/>
          <w:szCs w:val="24"/>
        </w:rPr>
        <w:t>20</w:t>
      </w:r>
      <w:r>
        <w:rPr>
          <w:rFonts w:ascii="Times New Roman" w:hAnsi="Times New Roman"/>
          <w:sz w:val="24"/>
          <w:szCs w:val="24"/>
        </w:rPr>
        <w:t>21</w:t>
      </w:r>
      <w:r>
        <w:rPr>
          <w:rFonts w:hint="eastAsia" w:ascii="Times New Roman" w:hAnsi="Times New Roman"/>
          <w:sz w:val="24"/>
          <w:szCs w:val="24"/>
        </w:rPr>
        <w:t>年1</w:t>
      </w:r>
      <w:r>
        <w:rPr>
          <w:rFonts w:ascii="Times New Roman" w:hAnsi="Times New Roman"/>
          <w:sz w:val="24"/>
          <w:szCs w:val="24"/>
        </w:rPr>
        <w:t>2</w:t>
      </w:r>
      <w:r>
        <w:rPr>
          <w:rFonts w:hint="eastAsia" w:ascii="Times New Roman" w:hAnsi="Times New Roman"/>
          <w:sz w:val="24"/>
          <w:szCs w:val="24"/>
        </w:rPr>
        <w:t>月，隆基绿能科技股份</w:t>
      </w:r>
      <w:r>
        <w:rPr>
          <w:rFonts w:ascii="Times New Roman" w:hAnsi="Times New Roman"/>
          <w:sz w:val="24"/>
          <w:szCs w:val="24"/>
        </w:rPr>
        <w:t>有限公司向全体委员会议提交了《</w:t>
      </w:r>
      <w:r>
        <w:rPr>
          <w:rFonts w:hint="eastAsia" w:ascii="Times New Roman" w:hAnsi="Times New Roman"/>
          <w:sz w:val="24"/>
          <w:szCs w:val="24"/>
        </w:rPr>
        <w:t>再生硅料</w:t>
      </w:r>
      <w:r>
        <w:rPr>
          <w:rFonts w:ascii="Times New Roman" w:hAnsi="Times New Roman"/>
          <w:sz w:val="24"/>
          <w:szCs w:val="24"/>
        </w:rPr>
        <w:t>》</w:t>
      </w:r>
      <w:r>
        <w:rPr>
          <w:rFonts w:hint="eastAsia" w:ascii="Times New Roman" w:hAnsi="Times New Roman"/>
          <w:sz w:val="24"/>
          <w:szCs w:val="24"/>
        </w:rPr>
        <w:t>标准</w:t>
      </w:r>
      <w:r>
        <w:rPr>
          <w:rFonts w:ascii="Times New Roman" w:hAnsi="Times New Roman"/>
          <w:sz w:val="24"/>
          <w:szCs w:val="24"/>
        </w:rPr>
        <w:t>项目建议书、标准草案</w:t>
      </w:r>
      <w:r>
        <w:rPr>
          <w:rFonts w:hint="eastAsia" w:ascii="Times New Roman" w:hAnsi="Times New Roman"/>
          <w:sz w:val="24"/>
          <w:szCs w:val="24"/>
        </w:rPr>
        <w:t>及</w:t>
      </w:r>
      <w:r>
        <w:rPr>
          <w:rFonts w:ascii="Times New Roman" w:hAnsi="Times New Roman"/>
          <w:sz w:val="24"/>
          <w:szCs w:val="24"/>
        </w:rPr>
        <w:t>标准</w:t>
      </w:r>
      <w:r>
        <w:rPr>
          <w:rFonts w:hint="eastAsia" w:ascii="Times New Roman" w:hAnsi="Times New Roman"/>
          <w:sz w:val="24"/>
          <w:szCs w:val="24"/>
        </w:rPr>
        <w:t>立项</w:t>
      </w:r>
      <w:r>
        <w:rPr>
          <w:rFonts w:ascii="Times New Roman" w:hAnsi="Times New Roman"/>
          <w:sz w:val="24"/>
          <w:szCs w:val="24"/>
        </w:rPr>
        <w:t>说明</w:t>
      </w:r>
      <w:r>
        <w:rPr>
          <w:rFonts w:hint="eastAsia" w:ascii="Times New Roman" w:hAnsi="Times New Roman"/>
          <w:sz w:val="24"/>
          <w:szCs w:val="24"/>
        </w:rPr>
        <w:t>等材料，</w:t>
      </w:r>
      <w:r>
        <w:rPr>
          <w:rFonts w:ascii="Times New Roman" w:hAnsi="Times New Roman"/>
          <w:sz w:val="24"/>
          <w:szCs w:val="24"/>
        </w:rPr>
        <w:t>委员会议论证结果为</w:t>
      </w:r>
      <w:r>
        <w:rPr>
          <w:rFonts w:hint="eastAsia" w:ascii="Times New Roman" w:hAnsi="Times New Roman"/>
          <w:sz w:val="24"/>
          <w:szCs w:val="24"/>
        </w:rPr>
        <w:t>同意行业</w:t>
      </w:r>
      <w:r>
        <w:rPr>
          <w:rFonts w:ascii="Times New Roman" w:hAnsi="Times New Roman"/>
          <w:sz w:val="24"/>
          <w:szCs w:val="24"/>
        </w:rPr>
        <w:t>标准</w:t>
      </w:r>
      <w:r>
        <w:rPr>
          <w:rFonts w:hint="eastAsia" w:ascii="Times New Roman" w:hAnsi="Times New Roman"/>
          <w:sz w:val="24"/>
          <w:szCs w:val="24"/>
        </w:rPr>
        <w:t>申报</w:t>
      </w:r>
      <w:r>
        <w:rPr>
          <w:rFonts w:ascii="Times New Roman" w:hAnsi="Times New Roman"/>
          <w:sz w:val="24"/>
          <w:szCs w:val="24"/>
        </w:rPr>
        <w:t>立项</w:t>
      </w:r>
      <w:r>
        <w:rPr>
          <w:rFonts w:hint="eastAsia" w:ascii="Times New Roman"/>
          <w:sz w:val="24"/>
          <w:szCs w:val="24"/>
        </w:rPr>
        <w:t>。</w:t>
      </w:r>
    </w:p>
    <w:p>
      <w:pPr>
        <w:pStyle w:val="16"/>
        <w:numPr>
          <w:ilvl w:val="1"/>
          <w:numId w:val="7"/>
        </w:numPr>
        <w:spacing w:line="360" w:lineRule="auto"/>
        <w:ind w:firstLineChars="0"/>
        <w:rPr>
          <w:rFonts w:ascii="Times New Roman" w:hAnsi="Times New Roman"/>
          <w:b/>
          <w:bCs/>
          <w:sz w:val="24"/>
          <w:szCs w:val="24"/>
        </w:rPr>
      </w:pPr>
      <w:r>
        <w:rPr>
          <w:rFonts w:hint="eastAsia" w:ascii="Times New Roman" w:hAnsi="Times New Roman"/>
          <w:b/>
          <w:bCs/>
          <w:sz w:val="24"/>
          <w:szCs w:val="24"/>
        </w:rPr>
        <w:t>起草阶段</w:t>
      </w:r>
    </w:p>
    <w:p>
      <w:pPr>
        <w:pStyle w:val="16"/>
        <w:spacing w:line="360" w:lineRule="auto"/>
        <w:ind w:firstLine="480"/>
        <w:rPr>
          <w:rFonts w:ascii="Times New Roman" w:hAnsi="Times New Roman"/>
          <w:sz w:val="24"/>
        </w:rPr>
      </w:pPr>
      <w:r>
        <w:rPr>
          <w:rFonts w:hint="eastAsia" w:ascii="Times New Roman" w:hAnsi="Times New Roman"/>
          <w:sz w:val="24"/>
          <w:szCs w:val="24"/>
        </w:rPr>
        <w:t>本项目自下达</w:t>
      </w:r>
      <w:r>
        <w:rPr>
          <w:rFonts w:ascii="Times New Roman" w:hAnsi="Times New Roman"/>
          <w:sz w:val="24"/>
          <w:szCs w:val="24"/>
        </w:rPr>
        <w:t>计划之日起，在</w:t>
      </w:r>
      <w:r>
        <w:rPr>
          <w:rFonts w:hint="eastAsia" w:ascii="Times New Roman" w:hAnsi="Times New Roman"/>
          <w:sz w:val="24"/>
          <w:szCs w:val="24"/>
        </w:rPr>
        <w:t>隆基绿能科技</w:t>
      </w:r>
      <w:r>
        <w:rPr>
          <w:rFonts w:hint="eastAsia" w:ascii="Times New Roman"/>
          <w:sz w:val="24"/>
          <w:szCs w:val="24"/>
        </w:rPr>
        <w:t>股份有限公司</w:t>
      </w:r>
      <w:r>
        <w:rPr>
          <w:rFonts w:ascii="Times New Roman" w:hAnsi="Times New Roman"/>
          <w:sz w:val="24"/>
          <w:szCs w:val="24"/>
        </w:rPr>
        <w:t>内部成立了标准编制组</w:t>
      </w:r>
      <w:r>
        <w:rPr>
          <w:rFonts w:hint="eastAsia" w:ascii="Times New Roman" w:hAnsi="Times New Roman"/>
          <w:sz w:val="24"/>
          <w:szCs w:val="24"/>
        </w:rPr>
        <w:t>，</w:t>
      </w:r>
      <w:r>
        <w:rPr>
          <w:rFonts w:ascii="Times New Roman" w:hAnsi="Times New Roman"/>
          <w:sz w:val="24"/>
          <w:szCs w:val="24"/>
        </w:rPr>
        <w:t>召开了关于标准起草的工作会议，布置了标</w:t>
      </w:r>
      <w:r>
        <w:rPr>
          <w:rFonts w:hint="eastAsia" w:ascii="Times New Roman" w:hAnsi="Times New Roman"/>
          <w:sz w:val="24"/>
          <w:szCs w:val="24"/>
        </w:rPr>
        <w:t>准起草的</w:t>
      </w:r>
      <w:r>
        <w:rPr>
          <w:rFonts w:ascii="Times New Roman" w:hAnsi="Times New Roman"/>
          <w:sz w:val="24"/>
          <w:szCs w:val="24"/>
        </w:rPr>
        <w:t>相关工作</w:t>
      </w:r>
      <w:r>
        <w:rPr>
          <w:rFonts w:hint="eastAsia" w:ascii="Times New Roman" w:hAnsi="Times New Roman"/>
          <w:sz w:val="24"/>
          <w:szCs w:val="24"/>
        </w:rPr>
        <w:t>，</w:t>
      </w:r>
      <w:r>
        <w:rPr>
          <w:rFonts w:ascii="Times New Roman" w:hAnsi="Times New Roman"/>
          <w:sz w:val="24"/>
          <w:szCs w:val="24"/>
        </w:rPr>
        <w:t>产品测试和数据收集有序展开。</w:t>
      </w:r>
      <w:r>
        <w:rPr>
          <w:rFonts w:hint="eastAsia" w:ascii="Times New Roman" w:hAnsi="Times New Roman"/>
          <w:sz w:val="24"/>
          <w:szCs w:val="24"/>
        </w:rPr>
        <w:t>202</w:t>
      </w:r>
      <w:r>
        <w:rPr>
          <w:rFonts w:ascii="Times New Roman" w:hAnsi="Times New Roman"/>
          <w:sz w:val="24"/>
          <w:szCs w:val="24"/>
        </w:rPr>
        <w:t>3年6月完成</w:t>
      </w:r>
      <w:r>
        <w:rPr>
          <w:rFonts w:hint="eastAsia" w:ascii="Times New Roman" w:hAnsi="Times New Roman"/>
          <w:sz w:val="24"/>
          <w:szCs w:val="24"/>
        </w:rPr>
        <w:t>了</w:t>
      </w:r>
      <w:r>
        <w:rPr>
          <w:rFonts w:ascii="Times New Roman" w:hAnsi="Times New Roman"/>
          <w:sz w:val="24"/>
          <w:szCs w:val="24"/>
        </w:rPr>
        <w:t>标准标准讨论稿</w:t>
      </w:r>
      <w:r>
        <w:rPr>
          <w:rFonts w:hint="eastAsia" w:ascii="Times New Roman" w:hAnsi="Times New Roman"/>
          <w:sz w:val="24"/>
          <w:szCs w:val="24"/>
        </w:rPr>
        <w:t>1</w:t>
      </w:r>
      <w:r>
        <w:rPr>
          <w:rFonts w:ascii="Times New Roman" w:hAnsi="Times New Roman"/>
          <w:sz w:val="24"/>
          <w:szCs w:val="24"/>
        </w:rPr>
        <w:t>及编制说明。</w:t>
      </w:r>
    </w:p>
    <w:p>
      <w:pPr>
        <w:pStyle w:val="16"/>
        <w:numPr>
          <w:ilvl w:val="0"/>
          <w:numId w:val="5"/>
        </w:numPr>
        <w:adjustRightInd w:val="0"/>
        <w:snapToGrid w:val="0"/>
        <w:ind w:left="0" w:firstLine="0" w:firstLineChars="0"/>
        <w:jc w:val="left"/>
        <w:rPr>
          <w:rFonts w:ascii="Times New Roman" w:hAnsi="Times New Roman"/>
          <w:b/>
          <w:bCs/>
          <w:sz w:val="24"/>
          <w:szCs w:val="24"/>
        </w:rPr>
      </w:pPr>
      <w:r>
        <w:rPr>
          <w:rFonts w:hint="eastAsia" w:ascii="Times New Roman" w:hAnsi="Times New Roman"/>
          <w:b/>
          <w:bCs/>
          <w:sz w:val="24"/>
          <w:szCs w:val="24"/>
        </w:rPr>
        <w:t>标准</w:t>
      </w:r>
      <w:r>
        <w:rPr>
          <w:rFonts w:ascii="Times New Roman" w:hAnsi="Times New Roman"/>
          <w:b/>
          <w:bCs/>
          <w:sz w:val="24"/>
          <w:szCs w:val="24"/>
        </w:rPr>
        <w:t>编制原则</w:t>
      </w:r>
    </w:p>
    <w:p>
      <w:pPr>
        <w:pStyle w:val="16"/>
        <w:spacing w:line="360" w:lineRule="auto"/>
        <w:ind w:firstLine="480"/>
        <w:rPr>
          <w:rFonts w:ascii="Times New Roman" w:hAnsi="Times New Roman"/>
          <w:sz w:val="24"/>
          <w:szCs w:val="24"/>
        </w:rPr>
      </w:pPr>
      <w:r>
        <w:rPr>
          <w:rFonts w:hint="eastAsia" w:ascii="Times New Roman" w:hAnsi="Times New Roman"/>
          <w:sz w:val="24"/>
          <w:szCs w:val="24"/>
        </w:rPr>
        <w:t>本标准</w:t>
      </w:r>
      <w:r>
        <w:rPr>
          <w:rFonts w:ascii="Times New Roman" w:hAnsi="Times New Roman"/>
          <w:sz w:val="24"/>
          <w:szCs w:val="24"/>
        </w:rPr>
        <w:t>完全按照GB/T 1.1-2020</w:t>
      </w:r>
      <w:r>
        <w:rPr>
          <w:rFonts w:hint="eastAsia" w:ascii="Times New Roman" w:hAnsi="Times New Roman"/>
          <w:sz w:val="24"/>
          <w:szCs w:val="24"/>
        </w:rPr>
        <w:t>《标准化</w:t>
      </w:r>
      <w:r>
        <w:rPr>
          <w:rFonts w:ascii="Times New Roman" w:hAnsi="Times New Roman"/>
          <w:sz w:val="24"/>
          <w:szCs w:val="24"/>
        </w:rPr>
        <w:t>工</w:t>
      </w:r>
      <w:r>
        <w:rPr>
          <w:rFonts w:hint="eastAsia" w:ascii="Times New Roman" w:hAnsi="Times New Roman"/>
          <w:sz w:val="24"/>
          <w:szCs w:val="24"/>
        </w:rPr>
        <w:t>作原则 第1部分</w:t>
      </w:r>
      <w:r>
        <w:rPr>
          <w:rFonts w:ascii="Times New Roman" w:hAnsi="Times New Roman"/>
          <w:sz w:val="24"/>
          <w:szCs w:val="24"/>
        </w:rPr>
        <w:t>：标准的结构与</w:t>
      </w:r>
      <w:r>
        <w:rPr>
          <w:rFonts w:hint="eastAsia" w:ascii="Times New Roman" w:hAnsi="Times New Roman"/>
          <w:sz w:val="24"/>
          <w:szCs w:val="24"/>
        </w:rPr>
        <w:t>编写》、</w:t>
      </w:r>
    </w:p>
    <w:p>
      <w:pPr>
        <w:pStyle w:val="16"/>
        <w:spacing w:line="360" w:lineRule="auto"/>
        <w:ind w:firstLine="0" w:firstLineChars="0"/>
        <w:rPr>
          <w:rFonts w:ascii="Times New Roman" w:hAnsi="Times New Roman"/>
          <w:sz w:val="24"/>
          <w:szCs w:val="24"/>
        </w:rPr>
      </w:pPr>
      <w:r>
        <w:rPr>
          <w:rFonts w:hint="eastAsia" w:ascii="Times New Roman" w:hAnsi="Times New Roman"/>
          <w:sz w:val="24"/>
          <w:szCs w:val="24"/>
        </w:rPr>
        <w:t>GB</w:t>
      </w:r>
      <w:r>
        <w:rPr>
          <w:rFonts w:ascii="Times New Roman" w:hAnsi="Times New Roman"/>
          <w:sz w:val="24"/>
          <w:szCs w:val="24"/>
        </w:rPr>
        <w:t>/T 20001.10-2015</w:t>
      </w:r>
      <w:r>
        <w:rPr>
          <w:rFonts w:hint="eastAsia" w:ascii="Times New Roman" w:hAnsi="Times New Roman"/>
          <w:sz w:val="24"/>
          <w:szCs w:val="24"/>
        </w:rPr>
        <w:t>《标准编写规则 第10部分</w:t>
      </w:r>
      <w:r>
        <w:rPr>
          <w:rFonts w:ascii="Times New Roman" w:hAnsi="Times New Roman"/>
          <w:sz w:val="24"/>
          <w:szCs w:val="24"/>
        </w:rPr>
        <w:t>：</w:t>
      </w:r>
      <w:r>
        <w:rPr>
          <w:rFonts w:hint="eastAsia" w:ascii="Times New Roman" w:hAnsi="Times New Roman"/>
          <w:sz w:val="24"/>
          <w:szCs w:val="24"/>
        </w:rPr>
        <w:t>产品标准》的</w:t>
      </w:r>
      <w:r>
        <w:rPr>
          <w:rFonts w:ascii="Times New Roman" w:hAnsi="Times New Roman"/>
          <w:sz w:val="24"/>
          <w:szCs w:val="24"/>
        </w:rPr>
        <w:t>要求</w:t>
      </w:r>
      <w:r>
        <w:rPr>
          <w:rFonts w:hint="eastAsia" w:ascii="Times New Roman" w:hAnsi="Times New Roman"/>
          <w:sz w:val="24"/>
          <w:szCs w:val="24"/>
        </w:rPr>
        <w:t>进行</w:t>
      </w:r>
      <w:r>
        <w:rPr>
          <w:rFonts w:ascii="Times New Roman" w:hAnsi="Times New Roman"/>
          <w:sz w:val="24"/>
          <w:szCs w:val="24"/>
        </w:rPr>
        <w:t>编写。</w:t>
      </w:r>
    </w:p>
    <w:p>
      <w:pPr>
        <w:pStyle w:val="16"/>
        <w:numPr>
          <w:ilvl w:val="0"/>
          <w:numId w:val="8"/>
        </w:numPr>
        <w:spacing w:line="360" w:lineRule="auto"/>
        <w:ind w:firstLineChars="0"/>
        <w:rPr>
          <w:rFonts w:ascii="Times New Roman" w:hAnsi="Times New Roman"/>
          <w:sz w:val="24"/>
          <w:szCs w:val="24"/>
        </w:rPr>
      </w:pPr>
      <w:r>
        <w:rPr>
          <w:rFonts w:hint="eastAsia" w:ascii="Times New Roman" w:hAnsi="Times New Roman"/>
          <w:sz w:val="24"/>
          <w:szCs w:val="24"/>
        </w:rPr>
        <w:t>更改了标准名称，将“再生硅料分类和技术条件”更改为“再生硅料”；将英文标准名“Classification and technical specification for renewable crystal silicon”更改为“Recycling Silicon Material”；</w:t>
      </w:r>
    </w:p>
    <w:p>
      <w:pPr>
        <w:pStyle w:val="16"/>
        <w:numPr>
          <w:ilvl w:val="0"/>
          <w:numId w:val="8"/>
        </w:numPr>
        <w:spacing w:line="360" w:lineRule="auto"/>
        <w:ind w:firstLineChars="0"/>
        <w:rPr>
          <w:rFonts w:ascii="Times New Roman" w:hAnsi="Times New Roman"/>
          <w:sz w:val="24"/>
          <w:szCs w:val="24"/>
        </w:rPr>
      </w:pPr>
      <w:r>
        <w:rPr>
          <w:rFonts w:hint="eastAsia" w:ascii="Times New Roman" w:hAnsi="Times New Roman"/>
          <w:sz w:val="24"/>
          <w:szCs w:val="24"/>
        </w:rPr>
        <w:t>更改了再生硅料类别，增加边皮料、切片废料、墩埚料、沫子料、回收单晶料、多晶粉料，修改埚底料、晶体硅样块、原生型废硅片描述；</w:t>
      </w:r>
    </w:p>
    <w:p>
      <w:pPr>
        <w:pStyle w:val="16"/>
        <w:numPr>
          <w:ilvl w:val="0"/>
          <w:numId w:val="8"/>
        </w:numPr>
        <w:spacing w:line="360" w:lineRule="auto"/>
        <w:ind w:firstLineChars="0"/>
        <w:rPr>
          <w:rFonts w:ascii="Times New Roman" w:hAnsi="Times New Roman"/>
          <w:sz w:val="24"/>
          <w:szCs w:val="24"/>
        </w:rPr>
      </w:pPr>
      <w:r>
        <w:rPr>
          <w:rFonts w:hint="eastAsia" w:ascii="Times New Roman" w:hAnsi="Times New Roman"/>
          <w:sz w:val="24"/>
          <w:szCs w:val="24"/>
        </w:rPr>
        <w:t>更改了规范性引用文件中的GB/T 1551和GB/T 24581，删除了GB/T 24574、GB/T 24579、GB/T 24581、GB/T 24582和SEMI PV1，增加了GB/T 31854；</w:t>
      </w:r>
    </w:p>
    <w:p>
      <w:pPr>
        <w:pStyle w:val="16"/>
        <w:numPr>
          <w:ilvl w:val="0"/>
          <w:numId w:val="8"/>
        </w:numPr>
        <w:spacing w:line="360" w:lineRule="auto"/>
        <w:ind w:firstLineChars="0"/>
        <w:rPr>
          <w:rFonts w:ascii="Times New Roman" w:hAnsi="Times New Roman"/>
          <w:sz w:val="24"/>
          <w:szCs w:val="24"/>
        </w:rPr>
      </w:pPr>
      <w:r>
        <w:rPr>
          <w:rFonts w:hint="eastAsia" w:ascii="Times New Roman" w:hAnsi="Times New Roman"/>
          <w:sz w:val="24"/>
          <w:szCs w:val="24"/>
        </w:rPr>
        <w:t>更改了再生硅料的线性尺寸，由不小于3mm更改为 线性尺寸范围为&gt;</w:t>
      </w:r>
      <w:r>
        <w:rPr>
          <w:rFonts w:ascii="Times New Roman" w:hAnsi="Times New Roman"/>
          <w:sz w:val="24"/>
          <w:szCs w:val="24"/>
        </w:rPr>
        <w:t>8</w:t>
      </w:r>
      <w:r>
        <w:rPr>
          <w:rFonts w:hint="eastAsia" w:ascii="Times New Roman" w:hAnsi="Times New Roman"/>
          <w:sz w:val="24"/>
          <w:szCs w:val="24"/>
        </w:rPr>
        <w:t>、&gt;</w:t>
      </w:r>
      <w:r>
        <w:rPr>
          <w:rFonts w:ascii="Times New Roman" w:hAnsi="Times New Roman"/>
          <w:sz w:val="24"/>
          <w:szCs w:val="24"/>
        </w:rPr>
        <w:t>3</w:t>
      </w:r>
      <w:r>
        <w:rPr>
          <w:rFonts w:hint="eastAsia" w:ascii="Times New Roman" w:hAnsi="Times New Roman"/>
          <w:sz w:val="24"/>
          <w:szCs w:val="24"/>
        </w:rPr>
        <w:t>、&gt;</w:t>
      </w:r>
      <w:r>
        <w:rPr>
          <w:rFonts w:ascii="Times New Roman" w:hAnsi="Times New Roman"/>
          <w:sz w:val="24"/>
          <w:szCs w:val="24"/>
        </w:rPr>
        <w:t>1</w:t>
      </w:r>
      <w:r>
        <w:rPr>
          <w:rFonts w:hint="eastAsia" w:ascii="Times New Roman" w:hAnsi="Times New Roman"/>
          <w:sz w:val="24"/>
          <w:szCs w:val="24"/>
        </w:rPr>
        <w:t>mm；</w:t>
      </w:r>
    </w:p>
    <w:p>
      <w:pPr>
        <w:pStyle w:val="16"/>
        <w:numPr>
          <w:ilvl w:val="0"/>
          <w:numId w:val="8"/>
        </w:numPr>
        <w:spacing w:line="360" w:lineRule="auto"/>
        <w:ind w:firstLineChars="0"/>
        <w:rPr>
          <w:rFonts w:ascii="Times New Roman" w:hAnsi="Times New Roman"/>
          <w:sz w:val="24"/>
          <w:szCs w:val="24"/>
        </w:rPr>
      </w:pPr>
      <w:r>
        <w:rPr>
          <w:rFonts w:hint="eastAsia" w:ascii="Times New Roman" w:hAnsi="Times New Roman"/>
          <w:sz w:val="24"/>
          <w:szCs w:val="24"/>
        </w:rPr>
        <w:t>合并2012版表1和表2，删除受主杂质浓度和施主杂质浓度要求，新增线性尺寸要求，更改了电阻率和碳浓度要求；</w:t>
      </w:r>
    </w:p>
    <w:p>
      <w:pPr>
        <w:pStyle w:val="16"/>
        <w:numPr>
          <w:ilvl w:val="0"/>
          <w:numId w:val="8"/>
        </w:numPr>
        <w:spacing w:line="360" w:lineRule="auto"/>
        <w:ind w:firstLineChars="0"/>
        <w:rPr>
          <w:rFonts w:ascii="Times New Roman" w:hAnsi="Times New Roman"/>
          <w:sz w:val="24"/>
          <w:szCs w:val="24"/>
        </w:rPr>
      </w:pPr>
      <w:r>
        <w:rPr>
          <w:rFonts w:hint="eastAsia" w:ascii="Times New Roman" w:hAnsi="Times New Roman"/>
          <w:sz w:val="24"/>
          <w:szCs w:val="24"/>
        </w:rPr>
        <w:t>更改了再生硅料中N型再生硅料的电阻率等级指标，一级至三级的电阻率范围由＞40、20～40、1～2更改为＞</w:t>
      </w:r>
      <w:r>
        <w:rPr>
          <w:rFonts w:ascii="Times New Roman" w:hAnsi="Times New Roman"/>
          <w:sz w:val="24"/>
          <w:szCs w:val="24"/>
        </w:rPr>
        <w:t>1</w:t>
      </w:r>
      <w:r>
        <w:rPr>
          <w:rFonts w:hint="eastAsia" w:ascii="Times New Roman" w:hAnsi="Times New Roman"/>
          <w:sz w:val="24"/>
          <w:szCs w:val="24"/>
        </w:rPr>
        <w:t>、0.</w:t>
      </w:r>
      <w:r>
        <w:rPr>
          <w:rFonts w:ascii="Times New Roman" w:hAnsi="Times New Roman"/>
          <w:sz w:val="24"/>
          <w:szCs w:val="24"/>
        </w:rPr>
        <w:t>1</w:t>
      </w:r>
      <w:r>
        <w:rPr>
          <w:rFonts w:hint="eastAsia" w:ascii="Times New Roman" w:hAnsi="Times New Roman"/>
          <w:sz w:val="24"/>
          <w:szCs w:val="24"/>
        </w:rPr>
        <w:t>～1、0.01～1Ω·cm；</w:t>
      </w:r>
    </w:p>
    <w:p>
      <w:pPr>
        <w:pStyle w:val="16"/>
        <w:numPr>
          <w:ilvl w:val="0"/>
          <w:numId w:val="8"/>
        </w:numPr>
        <w:spacing w:line="360" w:lineRule="auto"/>
        <w:ind w:firstLineChars="0"/>
        <w:rPr>
          <w:rFonts w:ascii="Times New Roman" w:hAnsi="Times New Roman"/>
          <w:sz w:val="24"/>
          <w:szCs w:val="24"/>
        </w:rPr>
      </w:pPr>
      <w:r>
        <w:rPr>
          <w:rFonts w:hint="eastAsia" w:ascii="Times New Roman" w:hAnsi="Times New Roman"/>
          <w:sz w:val="24"/>
          <w:szCs w:val="24"/>
        </w:rPr>
        <w:t>更改了再生硅料中P型再生硅料的电阻率等级指标，一级至三级的电阻率范围由＞10、1～10、0.35～1更改为＞</w:t>
      </w:r>
      <w:r>
        <w:rPr>
          <w:rFonts w:ascii="Times New Roman" w:hAnsi="Times New Roman"/>
          <w:sz w:val="24"/>
          <w:szCs w:val="24"/>
        </w:rPr>
        <w:t>0.5</w:t>
      </w:r>
      <w:r>
        <w:rPr>
          <w:rFonts w:hint="eastAsia" w:ascii="Times New Roman" w:hAnsi="Times New Roman"/>
          <w:sz w:val="24"/>
          <w:szCs w:val="24"/>
        </w:rPr>
        <w:t>、0.</w:t>
      </w:r>
      <w:r>
        <w:rPr>
          <w:rFonts w:ascii="Times New Roman" w:hAnsi="Times New Roman"/>
          <w:sz w:val="24"/>
          <w:szCs w:val="24"/>
        </w:rPr>
        <w:t>1</w:t>
      </w:r>
      <w:r>
        <w:rPr>
          <w:rFonts w:hint="eastAsia" w:ascii="Times New Roman" w:hAnsi="Times New Roman"/>
          <w:sz w:val="24"/>
          <w:szCs w:val="24"/>
        </w:rPr>
        <w:t>～0</w:t>
      </w:r>
      <w:r>
        <w:rPr>
          <w:rFonts w:ascii="Times New Roman" w:hAnsi="Times New Roman"/>
          <w:sz w:val="24"/>
          <w:szCs w:val="24"/>
        </w:rPr>
        <w:t>.5</w:t>
      </w:r>
      <w:r>
        <w:rPr>
          <w:rFonts w:hint="eastAsia" w:ascii="Times New Roman" w:hAnsi="Times New Roman"/>
          <w:sz w:val="24"/>
          <w:szCs w:val="24"/>
        </w:rPr>
        <w:t>、0.001～0.</w:t>
      </w:r>
      <w:r>
        <w:rPr>
          <w:rFonts w:ascii="Times New Roman" w:hAnsi="Times New Roman"/>
          <w:sz w:val="24"/>
          <w:szCs w:val="24"/>
        </w:rPr>
        <w:t>1</w:t>
      </w:r>
      <w:r>
        <w:rPr>
          <w:rFonts w:hint="eastAsia" w:ascii="Times New Roman" w:hAnsi="Times New Roman"/>
          <w:sz w:val="24"/>
          <w:szCs w:val="24"/>
        </w:rPr>
        <w:t>Ω·cm；</w:t>
      </w:r>
    </w:p>
    <w:p>
      <w:pPr>
        <w:pStyle w:val="16"/>
        <w:numPr>
          <w:ilvl w:val="0"/>
          <w:numId w:val="8"/>
        </w:numPr>
        <w:spacing w:line="360" w:lineRule="auto"/>
        <w:ind w:firstLineChars="0"/>
        <w:rPr>
          <w:rFonts w:ascii="Times New Roman" w:hAnsi="Times New Roman"/>
          <w:sz w:val="24"/>
          <w:szCs w:val="24"/>
        </w:rPr>
      </w:pPr>
      <w:r>
        <w:rPr>
          <w:rFonts w:hint="eastAsia" w:ascii="Times New Roman" w:hAnsi="Times New Roman"/>
          <w:sz w:val="24"/>
          <w:szCs w:val="24"/>
        </w:rPr>
        <w:t>增加了按导电型号分类再生硅料的分类方法；</w:t>
      </w:r>
    </w:p>
    <w:p>
      <w:pPr>
        <w:pStyle w:val="16"/>
        <w:numPr>
          <w:ilvl w:val="0"/>
          <w:numId w:val="8"/>
        </w:numPr>
        <w:spacing w:line="360" w:lineRule="auto"/>
        <w:ind w:firstLineChars="0"/>
        <w:rPr>
          <w:rFonts w:ascii="Times New Roman" w:hAnsi="Times New Roman"/>
          <w:sz w:val="24"/>
          <w:szCs w:val="24"/>
        </w:rPr>
      </w:pPr>
      <w:r>
        <w:rPr>
          <w:rFonts w:hint="eastAsia" w:ascii="Times New Roman" w:hAnsi="Times New Roman"/>
          <w:sz w:val="24"/>
          <w:szCs w:val="24"/>
        </w:rPr>
        <w:t>更改了再生硅料碳杂质浓度等级，由≤0.5、≤2、≤4改为≤</w:t>
      </w:r>
      <w:r>
        <w:rPr>
          <w:rFonts w:ascii="Times New Roman" w:hAnsi="Times New Roman"/>
          <w:sz w:val="24"/>
          <w:szCs w:val="24"/>
        </w:rPr>
        <w:t>5*10</w:t>
      </w:r>
      <w:r>
        <w:rPr>
          <w:rFonts w:ascii="Times New Roman" w:hAnsi="Times New Roman"/>
          <w:sz w:val="24"/>
          <w:szCs w:val="24"/>
          <w:vertAlign w:val="superscript"/>
        </w:rPr>
        <w:t>16</w:t>
      </w:r>
      <w:r>
        <w:rPr>
          <w:rFonts w:hint="eastAsia" w:ascii="Times New Roman" w:hAnsi="Times New Roman"/>
          <w:sz w:val="24"/>
          <w:szCs w:val="24"/>
        </w:rPr>
        <w:t>、≤1</w:t>
      </w:r>
      <w:r>
        <w:rPr>
          <w:rFonts w:ascii="Times New Roman" w:hAnsi="Times New Roman"/>
          <w:sz w:val="24"/>
          <w:szCs w:val="24"/>
        </w:rPr>
        <w:t>*10</w:t>
      </w:r>
      <w:r>
        <w:rPr>
          <w:rFonts w:ascii="Times New Roman" w:hAnsi="Times New Roman"/>
          <w:sz w:val="24"/>
          <w:szCs w:val="24"/>
          <w:vertAlign w:val="superscript"/>
        </w:rPr>
        <w:t>17</w:t>
      </w:r>
      <w:r>
        <w:rPr>
          <w:rFonts w:hint="eastAsia" w:ascii="Times New Roman" w:hAnsi="Times New Roman"/>
          <w:sz w:val="24"/>
          <w:szCs w:val="24"/>
        </w:rPr>
        <w:t>、≤2</w:t>
      </w:r>
      <w:r>
        <w:rPr>
          <w:rFonts w:ascii="Times New Roman" w:hAnsi="Times New Roman"/>
          <w:sz w:val="24"/>
          <w:szCs w:val="24"/>
        </w:rPr>
        <w:t>.5*10</w:t>
      </w:r>
      <w:r>
        <w:rPr>
          <w:rFonts w:ascii="Times New Roman" w:hAnsi="Times New Roman"/>
          <w:sz w:val="24"/>
          <w:szCs w:val="24"/>
          <w:vertAlign w:val="superscript"/>
        </w:rPr>
        <w:t>17</w:t>
      </w:r>
      <w:r>
        <w:rPr>
          <w:rFonts w:hint="eastAsia" w:ascii="Times New Roman" w:hAnsi="Times New Roman"/>
          <w:sz w:val="24"/>
          <w:szCs w:val="24"/>
        </w:rPr>
        <w:t>，单位为</w:t>
      </w:r>
      <w:r>
        <w:rPr>
          <w:rFonts w:ascii="Times New Roman" w:hAnsi="Times New Roman"/>
          <w:sz w:val="24"/>
          <w:szCs w:val="24"/>
        </w:rPr>
        <w:t>atoms/cm</w:t>
      </w:r>
      <w:r>
        <w:rPr>
          <w:rFonts w:ascii="Times New Roman" w:hAnsi="Times New Roman"/>
          <w:sz w:val="24"/>
          <w:szCs w:val="24"/>
          <w:vertAlign w:val="superscript"/>
        </w:rPr>
        <w:t>3</w:t>
      </w:r>
      <w:r>
        <w:rPr>
          <w:rFonts w:hint="eastAsia" w:ascii="Times New Roman" w:hAnsi="Times New Roman"/>
          <w:sz w:val="24"/>
          <w:szCs w:val="24"/>
        </w:rPr>
        <w:t>。</w:t>
      </w:r>
    </w:p>
    <w:p>
      <w:pPr>
        <w:pStyle w:val="16"/>
        <w:numPr>
          <w:ilvl w:val="0"/>
          <w:numId w:val="5"/>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标准主要</w:t>
      </w:r>
      <w:r>
        <w:rPr>
          <w:rFonts w:ascii="Times New Roman" w:hAnsi="Times New Roman"/>
          <w:b/>
          <w:bCs/>
          <w:sz w:val="24"/>
          <w:szCs w:val="24"/>
        </w:rPr>
        <w:t>内容</w:t>
      </w:r>
      <w:r>
        <w:rPr>
          <w:rFonts w:hint="eastAsia" w:ascii="Times New Roman" w:hAnsi="Times New Roman"/>
          <w:b/>
          <w:bCs/>
          <w:sz w:val="24"/>
          <w:szCs w:val="24"/>
        </w:rPr>
        <w:t>的</w:t>
      </w:r>
      <w:r>
        <w:rPr>
          <w:rFonts w:ascii="Times New Roman" w:hAnsi="Times New Roman"/>
          <w:b/>
          <w:bCs/>
          <w:sz w:val="24"/>
          <w:szCs w:val="24"/>
        </w:rPr>
        <w:t>确定依据</w:t>
      </w:r>
    </w:p>
    <w:p>
      <w:pPr>
        <w:spacing w:line="360" w:lineRule="auto"/>
        <w:rPr>
          <w:rFonts w:ascii="Times New Roman" w:hAnsi="Times New Roman"/>
          <w:b/>
          <w:bCs/>
          <w:sz w:val="24"/>
          <w:szCs w:val="24"/>
        </w:rPr>
      </w:pPr>
      <w:r>
        <w:rPr>
          <w:rFonts w:ascii="Times New Roman" w:hAnsi="Times New Roman"/>
          <w:b/>
          <w:bCs/>
          <w:sz w:val="24"/>
          <w:szCs w:val="24"/>
        </w:rPr>
        <w:t>1</w:t>
      </w:r>
      <w:r>
        <w:rPr>
          <w:rFonts w:hint="eastAsia" w:ascii="Times New Roman" w:hAnsi="Times New Roman"/>
          <w:b/>
          <w:bCs/>
          <w:sz w:val="24"/>
          <w:szCs w:val="24"/>
        </w:rPr>
        <w:t>、第3章 术语及定义</w:t>
      </w:r>
      <w:r>
        <w:rPr>
          <w:rFonts w:ascii="Times New Roman" w:hAnsi="Times New Roman"/>
          <w:b/>
          <w:bCs/>
          <w:sz w:val="24"/>
          <w:szCs w:val="24"/>
        </w:rPr>
        <w:t xml:space="preserve"> </w:t>
      </w:r>
    </w:p>
    <w:p>
      <w:pPr>
        <w:pStyle w:val="16"/>
        <w:spacing w:line="360" w:lineRule="auto"/>
        <w:ind w:firstLine="480"/>
        <w:rPr>
          <w:rFonts w:ascii="Times New Roman" w:hAnsi="Times New Roman"/>
          <w:sz w:val="24"/>
          <w:szCs w:val="24"/>
        </w:rPr>
      </w:pPr>
      <w:r>
        <w:rPr>
          <w:rFonts w:hint="eastAsia" w:ascii="Times New Roman" w:hAnsi="Times New Roman"/>
          <w:sz w:val="24"/>
          <w:szCs w:val="24"/>
        </w:rPr>
        <w:t>GB/T 14264界定的以及下列术语和定义适用于本文件。</w:t>
      </w:r>
    </w:p>
    <w:p>
      <w:pPr>
        <w:pStyle w:val="16"/>
        <w:spacing w:line="360" w:lineRule="auto"/>
        <w:ind w:firstLine="480"/>
        <w:rPr>
          <w:rFonts w:ascii="Times New Roman" w:hAnsi="Times New Roman"/>
          <w:sz w:val="24"/>
          <w:szCs w:val="24"/>
        </w:rPr>
      </w:pPr>
      <w:r>
        <w:rPr>
          <w:rFonts w:hint="eastAsia" w:ascii="Times New Roman" w:hAnsi="Times New Roman"/>
          <w:sz w:val="24"/>
          <w:szCs w:val="24"/>
        </w:rPr>
        <w:t>结合隆基绿能科技股份有限公司生产实际情况，以下所列举的条目可覆盖绝大部分经简单处理后正常使用的再生硅料。</w:t>
      </w:r>
    </w:p>
    <w:p>
      <w:pPr>
        <w:pStyle w:val="16"/>
        <w:spacing w:line="360" w:lineRule="auto"/>
        <w:ind w:firstLine="480"/>
        <w:rPr>
          <w:rFonts w:ascii="Times New Roman" w:hAnsi="Times New Roman"/>
          <w:sz w:val="24"/>
          <w:szCs w:val="24"/>
        </w:rPr>
      </w:pPr>
      <w:r>
        <w:rPr>
          <w:rFonts w:ascii="Times New Roman" w:hAnsi="Times New Roman"/>
          <w:sz w:val="24"/>
          <w:szCs w:val="24"/>
        </w:rPr>
        <w:t>3.1</w:t>
      </w:r>
    </w:p>
    <w:p>
      <w:pPr>
        <w:pStyle w:val="16"/>
        <w:spacing w:line="360" w:lineRule="auto"/>
        <w:ind w:firstLine="480"/>
        <w:rPr>
          <w:rFonts w:ascii="Times New Roman" w:hAnsi="Times New Roman"/>
          <w:sz w:val="24"/>
          <w:szCs w:val="24"/>
        </w:rPr>
      </w:pPr>
      <w:r>
        <w:rPr>
          <w:rFonts w:hint="eastAsia" w:ascii="Times New Roman" w:hAnsi="Times New Roman"/>
          <w:sz w:val="24"/>
          <w:szCs w:val="24"/>
        </w:rPr>
        <w:t>碳极多晶硅（碳头料）carbon end polysilicon</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在多晶硅生产过程中，包围在U型多晶硅棒的碳极周围，沾连有石墨的不规则形状多晶硅料。</w:t>
      </w:r>
    </w:p>
    <w:p>
      <w:pPr>
        <w:pStyle w:val="16"/>
        <w:spacing w:line="360" w:lineRule="auto"/>
        <w:ind w:firstLine="480"/>
        <w:rPr>
          <w:rFonts w:ascii="Times New Roman" w:hAnsi="Times New Roman"/>
          <w:sz w:val="24"/>
          <w:szCs w:val="24"/>
        </w:rPr>
      </w:pPr>
      <w:r>
        <w:rPr>
          <w:rFonts w:ascii="Times New Roman" w:hAnsi="Times New Roman"/>
          <w:sz w:val="24"/>
          <w:szCs w:val="24"/>
        </w:rPr>
        <w:t>3.2</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头尾料 monocrystaline top and tail</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在光伏行业拉制单晶硅棒过程中形成的头尾圆锥体；拉制单晶失败（断棱，即失去单晶特性）产生的多晶硅棒和位错单晶；单晶/多晶铸锭顶部及底部切除部分。</w:t>
      </w:r>
    </w:p>
    <w:p>
      <w:pPr>
        <w:pStyle w:val="16"/>
        <w:spacing w:line="360" w:lineRule="auto"/>
        <w:ind w:firstLine="480"/>
        <w:rPr>
          <w:rFonts w:ascii="Times New Roman" w:hAnsi="Times New Roman"/>
          <w:sz w:val="24"/>
          <w:szCs w:val="24"/>
        </w:rPr>
      </w:pPr>
      <w:r>
        <w:rPr>
          <w:rFonts w:ascii="Times New Roman" w:hAnsi="Times New Roman"/>
          <w:sz w:val="24"/>
          <w:szCs w:val="24"/>
        </w:rPr>
        <w:t>3.3</w:t>
      </w:r>
    </w:p>
    <w:p>
      <w:pPr>
        <w:pStyle w:val="16"/>
        <w:spacing w:line="360" w:lineRule="auto"/>
        <w:ind w:firstLine="480"/>
        <w:rPr>
          <w:rFonts w:ascii="Times New Roman" w:hAnsi="Times New Roman"/>
          <w:sz w:val="24"/>
          <w:szCs w:val="24"/>
        </w:rPr>
      </w:pPr>
      <w:r>
        <w:rPr>
          <w:rFonts w:hint="eastAsia" w:ascii="Times New Roman" w:hAnsi="Times New Roman"/>
          <w:sz w:val="24"/>
          <w:szCs w:val="24"/>
        </w:rPr>
        <w:t>边皮料 monocrystalline side cuts</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光伏行业拉制单晶无位错圆棒切方过程中产生的边缘部分；单晶/多晶铸锭与坩埚接触侧面的切除部分。</w:t>
      </w:r>
    </w:p>
    <w:p>
      <w:pPr>
        <w:pStyle w:val="16"/>
        <w:spacing w:line="360" w:lineRule="auto"/>
        <w:ind w:firstLine="480"/>
        <w:rPr>
          <w:rFonts w:ascii="Times New Roman" w:hAnsi="Times New Roman"/>
          <w:sz w:val="24"/>
          <w:szCs w:val="24"/>
        </w:rPr>
      </w:pPr>
      <w:r>
        <w:rPr>
          <w:rFonts w:ascii="Times New Roman" w:hAnsi="Times New Roman"/>
          <w:sz w:val="24"/>
          <w:szCs w:val="24"/>
        </w:rPr>
        <w:t>3.4</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切片废料 slicing scrap</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光伏硅锭切片过程每根方棒产生的厚片，或异常问题产生的废方棒。</w:t>
      </w:r>
    </w:p>
    <w:p>
      <w:pPr>
        <w:pStyle w:val="16"/>
        <w:spacing w:line="360" w:lineRule="auto"/>
        <w:ind w:firstLine="480"/>
        <w:rPr>
          <w:rFonts w:ascii="Times New Roman" w:hAnsi="Times New Roman"/>
          <w:sz w:val="24"/>
          <w:szCs w:val="24"/>
        </w:rPr>
      </w:pPr>
      <w:r>
        <w:rPr>
          <w:rFonts w:ascii="Times New Roman" w:hAnsi="Times New Roman"/>
          <w:sz w:val="24"/>
          <w:szCs w:val="24"/>
        </w:rPr>
        <w:t>3.5</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墩埚料 abnormal pot poly</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光伏行业因长晶过程中出现设备异常、操作异常、工艺异常、原辅料异常导致墩埚剩料。</w:t>
      </w:r>
    </w:p>
    <w:p>
      <w:pPr>
        <w:pStyle w:val="16"/>
        <w:spacing w:line="360" w:lineRule="auto"/>
        <w:ind w:firstLine="480"/>
        <w:rPr>
          <w:rFonts w:ascii="Times New Roman" w:hAnsi="Times New Roman"/>
          <w:sz w:val="24"/>
          <w:szCs w:val="24"/>
        </w:rPr>
      </w:pPr>
      <w:r>
        <w:rPr>
          <w:rFonts w:ascii="Times New Roman" w:hAnsi="Times New Roman"/>
          <w:sz w:val="24"/>
          <w:szCs w:val="24"/>
        </w:rPr>
        <w:t>3.6</w:t>
      </w:r>
    </w:p>
    <w:p>
      <w:pPr>
        <w:pStyle w:val="16"/>
        <w:spacing w:line="360" w:lineRule="auto"/>
        <w:ind w:firstLine="480"/>
        <w:rPr>
          <w:rFonts w:ascii="Times New Roman" w:hAnsi="Times New Roman"/>
          <w:sz w:val="24"/>
          <w:szCs w:val="24"/>
        </w:rPr>
      </w:pPr>
      <w:r>
        <w:rPr>
          <w:rFonts w:hint="eastAsia" w:ascii="Times New Roman" w:hAnsi="Times New Roman"/>
          <w:sz w:val="24"/>
          <w:szCs w:val="24"/>
        </w:rPr>
        <w:t>沫子料 crushing scrap</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光伏行业破碎复拉料/破碎多晶料过程中产生线性尺寸在1-3mm之间的硅料。</w:t>
      </w:r>
    </w:p>
    <w:p>
      <w:pPr>
        <w:pStyle w:val="16"/>
        <w:spacing w:line="360" w:lineRule="auto"/>
        <w:ind w:firstLine="480"/>
        <w:rPr>
          <w:rFonts w:ascii="Times New Roman" w:hAnsi="Times New Roman"/>
          <w:sz w:val="24"/>
          <w:szCs w:val="24"/>
        </w:rPr>
      </w:pPr>
      <w:r>
        <w:rPr>
          <w:rFonts w:ascii="Times New Roman" w:hAnsi="Times New Roman"/>
          <w:sz w:val="24"/>
          <w:szCs w:val="24"/>
        </w:rPr>
        <w:t>3.7</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回收料 recycled silicon</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光伏行业长晶过程中尺寸、电性能等指标不合格的硅锭。</w:t>
      </w:r>
    </w:p>
    <w:p>
      <w:pPr>
        <w:pStyle w:val="16"/>
        <w:spacing w:line="360" w:lineRule="auto"/>
        <w:ind w:firstLine="480"/>
        <w:rPr>
          <w:rFonts w:ascii="Times New Roman" w:hAnsi="Times New Roman"/>
          <w:sz w:val="24"/>
          <w:szCs w:val="24"/>
        </w:rPr>
      </w:pPr>
      <w:r>
        <w:rPr>
          <w:rFonts w:ascii="Times New Roman" w:hAnsi="Times New Roman"/>
          <w:sz w:val="24"/>
          <w:szCs w:val="24"/>
        </w:rPr>
        <w:t>3.8</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埚底料 pot scrap</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光伏行业在拉制单晶硅棒的过程中，残留在石英坩埚中的硅料。</w:t>
      </w:r>
    </w:p>
    <w:p>
      <w:pPr>
        <w:pStyle w:val="16"/>
        <w:spacing w:line="360" w:lineRule="auto"/>
        <w:ind w:firstLine="480"/>
        <w:rPr>
          <w:rFonts w:ascii="Times New Roman" w:hAnsi="Times New Roman"/>
          <w:sz w:val="24"/>
          <w:szCs w:val="24"/>
        </w:rPr>
      </w:pPr>
      <w:r>
        <w:rPr>
          <w:rFonts w:ascii="Times New Roman" w:hAnsi="Times New Roman"/>
          <w:sz w:val="24"/>
          <w:szCs w:val="24"/>
        </w:rPr>
        <w:t>3.9</w:t>
      </w:r>
    </w:p>
    <w:p>
      <w:pPr>
        <w:pStyle w:val="16"/>
        <w:spacing w:line="360" w:lineRule="auto"/>
        <w:ind w:firstLine="480"/>
        <w:rPr>
          <w:rFonts w:ascii="Times New Roman" w:hAnsi="Times New Roman"/>
          <w:sz w:val="24"/>
          <w:szCs w:val="24"/>
        </w:rPr>
      </w:pPr>
      <w:r>
        <w:rPr>
          <w:rFonts w:hint="eastAsia" w:ascii="Times New Roman" w:hAnsi="Times New Roman"/>
          <w:sz w:val="24"/>
          <w:szCs w:val="24"/>
        </w:rPr>
        <w:t>晶体硅样块 test silicon material</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光伏行业在晶体硅棒的检测和评估中作为测试用的样块。</w:t>
      </w:r>
    </w:p>
    <w:p>
      <w:pPr>
        <w:pStyle w:val="16"/>
        <w:spacing w:line="360" w:lineRule="auto"/>
        <w:ind w:firstLine="480"/>
        <w:rPr>
          <w:rFonts w:ascii="Times New Roman" w:hAnsi="Times New Roman"/>
          <w:sz w:val="24"/>
          <w:szCs w:val="24"/>
        </w:rPr>
      </w:pPr>
      <w:r>
        <w:rPr>
          <w:rFonts w:ascii="Times New Roman" w:hAnsi="Times New Roman"/>
          <w:sz w:val="24"/>
          <w:szCs w:val="24"/>
        </w:rPr>
        <w:t>3.10</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原生型废硅片 process scrap</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在硅棒切割、研磨或抛光过程中产生的碎片或不合格硅片。</w:t>
      </w:r>
    </w:p>
    <w:p>
      <w:pPr>
        <w:pStyle w:val="16"/>
        <w:spacing w:line="360" w:lineRule="auto"/>
        <w:ind w:firstLine="480"/>
        <w:rPr>
          <w:rFonts w:ascii="Times New Roman" w:hAnsi="Times New Roman"/>
          <w:sz w:val="24"/>
          <w:szCs w:val="24"/>
        </w:rPr>
      </w:pPr>
      <w:r>
        <w:rPr>
          <w:rFonts w:ascii="Times New Roman" w:hAnsi="Times New Roman"/>
          <w:sz w:val="24"/>
          <w:szCs w:val="24"/>
        </w:rPr>
        <w:t>3.11</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多晶粉料 powdery</w:t>
      </w:r>
      <w:r>
        <w:rPr>
          <w:rFonts w:ascii="Times New Roman" w:hAnsi="Times New Roman"/>
          <w:sz w:val="24"/>
          <w:szCs w:val="24"/>
        </w:rPr>
        <w:t xml:space="preserve"> silicon</w:t>
      </w:r>
    </w:p>
    <w:p>
      <w:pPr>
        <w:pStyle w:val="16"/>
        <w:spacing w:line="360" w:lineRule="auto"/>
        <w:ind w:firstLine="480"/>
        <w:rPr>
          <w:rFonts w:hint="eastAsia" w:ascii="Times New Roman" w:hAnsi="Times New Roman"/>
          <w:sz w:val="24"/>
          <w:szCs w:val="24"/>
        </w:rPr>
      </w:pPr>
      <w:r>
        <w:rPr>
          <w:rFonts w:hint="eastAsia" w:ascii="Times New Roman" w:hAnsi="Times New Roman"/>
          <w:sz w:val="24"/>
          <w:szCs w:val="24"/>
        </w:rPr>
        <w:t>多晶硅棒/颗粒沉积过程中形成的粉状多晶硅。</w:t>
      </w:r>
    </w:p>
    <w:p>
      <w:pPr>
        <w:spacing w:line="360" w:lineRule="auto"/>
        <w:rPr>
          <w:rFonts w:ascii="黑体" w:hAnsi="黑体" w:eastAsia="黑体"/>
          <w:b/>
          <w:bCs/>
          <w:sz w:val="24"/>
          <w:szCs w:val="24"/>
        </w:rPr>
      </w:pPr>
      <w:r>
        <w:rPr>
          <w:rFonts w:ascii="Times New Roman" w:hAnsi="Times New Roman"/>
          <w:b/>
          <w:bCs/>
          <w:sz w:val="24"/>
          <w:szCs w:val="24"/>
        </w:rPr>
        <w:t>2</w:t>
      </w:r>
      <w:r>
        <w:rPr>
          <w:rFonts w:hint="eastAsia" w:ascii="Times New Roman" w:hAnsi="Times New Roman"/>
          <w:b/>
          <w:bCs/>
          <w:sz w:val="24"/>
          <w:szCs w:val="24"/>
        </w:rPr>
        <w:t>、第4章 技术要求</w:t>
      </w:r>
    </w:p>
    <w:p>
      <w:pPr>
        <w:pStyle w:val="16"/>
        <w:spacing w:line="360" w:lineRule="auto"/>
        <w:ind w:firstLine="600" w:firstLineChars="250"/>
        <w:jc w:val="left"/>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 xml:space="preserve">.1 </w:t>
      </w:r>
      <w:r>
        <w:rPr>
          <w:rFonts w:hint="eastAsia" w:ascii="Times New Roman" w:hAnsi="Times New Roman"/>
          <w:sz w:val="24"/>
          <w:szCs w:val="24"/>
        </w:rPr>
        <w:t>技术条件及分类</w:t>
      </w:r>
    </w:p>
    <w:p>
      <w:pPr>
        <w:pStyle w:val="16"/>
        <w:spacing w:line="360" w:lineRule="auto"/>
        <w:ind w:firstLine="600" w:firstLineChars="250"/>
        <w:jc w:val="left"/>
        <w:rPr>
          <w:rFonts w:ascii="Times New Roman" w:hAnsi="Times New Roman"/>
          <w:sz w:val="24"/>
          <w:szCs w:val="24"/>
        </w:rPr>
      </w:pPr>
      <w:r>
        <w:rPr>
          <w:rFonts w:hint="eastAsia" w:ascii="Times New Roman" w:hAnsi="Times New Roman"/>
          <w:sz w:val="24"/>
          <w:szCs w:val="24"/>
        </w:rPr>
        <w:t>所有再生硅料需通过清洗、破碎、干燥等方式去除非硅异物及水分。再生硅料可按电阻率、杂质浓度尺寸进行分级，需经供需双方协商一致。每一级的产品应该同时满足本级的要求。各级不同导电类型、电阻率、杂质浓度、线性尺寸的相关参数应符合表1的规定。</w:t>
      </w:r>
    </w:p>
    <w:p>
      <w:pPr>
        <w:pStyle w:val="35"/>
        <w:spacing w:before="156" w:after="156"/>
        <w:ind w:firstLine="420"/>
      </w:pPr>
      <w:r>
        <w:rPr>
          <w:rFonts w:hint="eastAsia"/>
        </w:rPr>
        <w:t>再生硅料导电类型、电阻率、杂质浓度分类要求</w:t>
      </w:r>
    </w:p>
    <w:tbl>
      <w:tblPr>
        <w:tblStyle w:val="11"/>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719"/>
        <w:gridCol w:w="1105"/>
        <w:gridCol w:w="1106"/>
        <w:gridCol w:w="1106"/>
        <w:gridCol w:w="1106"/>
        <w:gridCol w:w="1106"/>
        <w:gridCol w:w="11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719" w:type="dxa"/>
            <w:tcBorders>
              <w:top w:val="single" w:color="auto" w:sz="8" w:space="0"/>
              <w:bottom w:val="single" w:color="auto" w:sz="8" w:space="0"/>
            </w:tcBorders>
            <w:shd w:val="clear" w:color="auto" w:fill="auto"/>
            <w:vAlign w:val="center"/>
          </w:tcPr>
          <w:p>
            <w:pPr>
              <w:pStyle w:val="36"/>
              <w:widowControl w:val="0"/>
            </w:pPr>
            <w:r>
              <w:rPr>
                <w:rFonts w:hint="eastAsia"/>
              </w:rPr>
              <w:t>项目</w:t>
            </w:r>
          </w:p>
        </w:tc>
        <w:tc>
          <w:tcPr>
            <w:tcW w:w="2211" w:type="dxa"/>
            <w:gridSpan w:val="2"/>
            <w:tcBorders>
              <w:top w:val="single" w:color="auto" w:sz="8" w:space="0"/>
              <w:bottom w:val="single" w:color="auto" w:sz="8" w:space="0"/>
            </w:tcBorders>
            <w:shd w:val="clear" w:color="auto" w:fill="auto"/>
            <w:vAlign w:val="center"/>
          </w:tcPr>
          <w:p>
            <w:pPr>
              <w:pStyle w:val="36"/>
              <w:widowControl w:val="0"/>
            </w:pPr>
            <w:r>
              <w:rPr>
                <w:rFonts w:hint="eastAsia"/>
              </w:rPr>
              <w:t>一级</w:t>
            </w:r>
          </w:p>
        </w:tc>
        <w:tc>
          <w:tcPr>
            <w:tcW w:w="2212" w:type="dxa"/>
            <w:gridSpan w:val="2"/>
            <w:tcBorders>
              <w:top w:val="single" w:color="auto" w:sz="8" w:space="0"/>
              <w:bottom w:val="single" w:color="auto" w:sz="8" w:space="0"/>
            </w:tcBorders>
            <w:shd w:val="clear" w:color="auto" w:fill="auto"/>
            <w:vAlign w:val="center"/>
          </w:tcPr>
          <w:p>
            <w:pPr>
              <w:pStyle w:val="36"/>
              <w:widowControl w:val="0"/>
            </w:pPr>
            <w:r>
              <w:rPr>
                <w:rFonts w:hint="eastAsia"/>
              </w:rPr>
              <w:t>二级</w:t>
            </w:r>
          </w:p>
        </w:tc>
        <w:tc>
          <w:tcPr>
            <w:tcW w:w="2212" w:type="dxa"/>
            <w:gridSpan w:val="2"/>
            <w:tcBorders>
              <w:top w:val="single" w:color="auto" w:sz="8" w:space="0"/>
              <w:bottom w:val="single" w:color="auto" w:sz="8" w:space="0"/>
            </w:tcBorders>
            <w:shd w:val="clear" w:color="auto" w:fill="auto"/>
            <w:vAlign w:val="center"/>
          </w:tcPr>
          <w:p>
            <w:pPr>
              <w:pStyle w:val="36"/>
              <w:widowControl w:val="0"/>
            </w:pPr>
            <w:r>
              <w:rPr>
                <w:rFonts w:hint="eastAsia"/>
              </w:rPr>
              <w:t>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tcBorders>
              <w:top w:val="single" w:color="auto" w:sz="8" w:space="0"/>
            </w:tcBorders>
            <w:shd w:val="clear" w:color="auto" w:fill="auto"/>
            <w:vAlign w:val="center"/>
          </w:tcPr>
          <w:p>
            <w:pPr>
              <w:pStyle w:val="22"/>
              <w:widowControl w:val="0"/>
              <w:ind w:firstLine="0" w:firstLineChars="0"/>
              <w:jc w:val="center"/>
              <w:rPr>
                <w:rFonts w:hAnsi="宋体"/>
                <w:sz w:val="18"/>
                <w:szCs w:val="18"/>
              </w:rPr>
            </w:pPr>
            <w:r>
              <w:rPr>
                <w:rFonts w:hint="eastAsia" w:hAnsi="宋体"/>
                <w:sz w:val="18"/>
                <w:szCs w:val="18"/>
              </w:rPr>
              <w:t>导电类型</w:t>
            </w:r>
          </w:p>
        </w:tc>
        <w:tc>
          <w:tcPr>
            <w:tcW w:w="1105" w:type="dxa"/>
            <w:tcBorders>
              <w:top w:val="single" w:color="auto" w:sz="8" w:space="0"/>
            </w:tcBorders>
            <w:shd w:val="clear" w:color="auto" w:fill="auto"/>
            <w:vAlign w:val="center"/>
          </w:tcPr>
          <w:p>
            <w:pPr>
              <w:pStyle w:val="22"/>
              <w:widowControl w:val="0"/>
              <w:ind w:firstLine="0" w:firstLineChars="0"/>
              <w:jc w:val="center"/>
              <w:rPr>
                <w:rFonts w:hAnsi="宋体"/>
                <w:sz w:val="18"/>
                <w:szCs w:val="18"/>
              </w:rPr>
            </w:pPr>
            <w:r>
              <w:rPr>
                <w:rFonts w:hAnsi="宋体"/>
                <w:sz w:val="18"/>
                <w:szCs w:val="18"/>
              </w:rPr>
              <w:t>N</w:t>
            </w:r>
            <w:r>
              <w:rPr>
                <w:rFonts w:hint="eastAsia" w:hAnsi="宋体"/>
                <w:sz w:val="18"/>
                <w:szCs w:val="18"/>
              </w:rPr>
              <w:t>型</w:t>
            </w:r>
          </w:p>
        </w:tc>
        <w:tc>
          <w:tcPr>
            <w:tcW w:w="1106" w:type="dxa"/>
            <w:tcBorders>
              <w:top w:val="single" w:color="auto" w:sz="8" w:space="0"/>
            </w:tcBorders>
            <w:shd w:val="clear" w:color="auto" w:fill="auto"/>
            <w:vAlign w:val="center"/>
          </w:tcPr>
          <w:p>
            <w:pPr>
              <w:pStyle w:val="22"/>
              <w:widowControl w:val="0"/>
              <w:ind w:firstLine="0" w:firstLineChars="0"/>
              <w:jc w:val="center"/>
              <w:rPr>
                <w:rFonts w:hAnsi="宋体"/>
                <w:sz w:val="18"/>
                <w:szCs w:val="18"/>
              </w:rPr>
            </w:pPr>
            <w:r>
              <w:rPr>
                <w:rFonts w:hint="eastAsia" w:hAnsi="宋体"/>
                <w:sz w:val="18"/>
                <w:szCs w:val="18"/>
              </w:rPr>
              <w:t>P型</w:t>
            </w:r>
          </w:p>
        </w:tc>
        <w:tc>
          <w:tcPr>
            <w:tcW w:w="1106" w:type="dxa"/>
            <w:tcBorders>
              <w:top w:val="single" w:color="auto" w:sz="8" w:space="0"/>
            </w:tcBorders>
            <w:shd w:val="clear" w:color="auto" w:fill="auto"/>
            <w:vAlign w:val="center"/>
          </w:tcPr>
          <w:p>
            <w:pPr>
              <w:pStyle w:val="22"/>
              <w:widowControl w:val="0"/>
              <w:ind w:firstLine="0" w:firstLineChars="0"/>
              <w:jc w:val="center"/>
              <w:rPr>
                <w:rFonts w:hAnsi="宋体"/>
                <w:sz w:val="18"/>
                <w:szCs w:val="18"/>
              </w:rPr>
            </w:pPr>
            <w:r>
              <w:rPr>
                <w:rFonts w:hAnsi="宋体"/>
                <w:sz w:val="18"/>
                <w:szCs w:val="18"/>
              </w:rPr>
              <w:t>N</w:t>
            </w:r>
            <w:r>
              <w:rPr>
                <w:rFonts w:hint="eastAsia" w:hAnsi="宋体"/>
                <w:sz w:val="18"/>
                <w:szCs w:val="18"/>
              </w:rPr>
              <w:t>型</w:t>
            </w:r>
          </w:p>
        </w:tc>
        <w:tc>
          <w:tcPr>
            <w:tcW w:w="1106" w:type="dxa"/>
            <w:tcBorders>
              <w:top w:val="single" w:color="auto" w:sz="8" w:space="0"/>
            </w:tcBorders>
            <w:shd w:val="clear" w:color="auto" w:fill="auto"/>
            <w:vAlign w:val="center"/>
          </w:tcPr>
          <w:p>
            <w:pPr>
              <w:pStyle w:val="22"/>
              <w:widowControl w:val="0"/>
              <w:ind w:firstLine="0" w:firstLineChars="0"/>
              <w:jc w:val="center"/>
              <w:rPr>
                <w:rFonts w:hAnsi="宋体"/>
                <w:sz w:val="18"/>
                <w:szCs w:val="18"/>
              </w:rPr>
            </w:pPr>
            <w:r>
              <w:rPr>
                <w:rFonts w:hint="eastAsia" w:hAnsi="宋体"/>
                <w:sz w:val="18"/>
                <w:szCs w:val="18"/>
              </w:rPr>
              <w:t>P型</w:t>
            </w:r>
          </w:p>
        </w:tc>
        <w:tc>
          <w:tcPr>
            <w:tcW w:w="1106" w:type="dxa"/>
            <w:tcBorders>
              <w:top w:val="single" w:color="auto" w:sz="8" w:space="0"/>
            </w:tcBorders>
            <w:shd w:val="clear" w:color="auto" w:fill="auto"/>
            <w:vAlign w:val="center"/>
          </w:tcPr>
          <w:p>
            <w:pPr>
              <w:pStyle w:val="22"/>
              <w:widowControl w:val="0"/>
              <w:ind w:firstLine="0" w:firstLineChars="0"/>
              <w:jc w:val="center"/>
              <w:rPr>
                <w:rFonts w:hAnsi="宋体"/>
                <w:sz w:val="18"/>
                <w:szCs w:val="18"/>
              </w:rPr>
            </w:pPr>
            <w:r>
              <w:rPr>
                <w:rFonts w:hAnsi="宋体"/>
                <w:sz w:val="18"/>
                <w:szCs w:val="18"/>
              </w:rPr>
              <w:t>N</w:t>
            </w:r>
            <w:r>
              <w:rPr>
                <w:rFonts w:hint="eastAsia" w:hAnsi="宋体"/>
                <w:sz w:val="18"/>
                <w:szCs w:val="18"/>
              </w:rPr>
              <w:t>型</w:t>
            </w:r>
          </w:p>
        </w:tc>
        <w:tc>
          <w:tcPr>
            <w:tcW w:w="1106" w:type="dxa"/>
            <w:tcBorders>
              <w:top w:val="single" w:color="auto" w:sz="8" w:space="0"/>
            </w:tcBorders>
            <w:shd w:val="clear" w:color="auto" w:fill="auto"/>
            <w:vAlign w:val="center"/>
          </w:tcPr>
          <w:p>
            <w:pPr>
              <w:pStyle w:val="22"/>
              <w:widowControl w:val="0"/>
              <w:ind w:firstLine="0" w:firstLineChars="0"/>
              <w:jc w:val="center"/>
              <w:rPr>
                <w:rFonts w:hAnsi="宋体"/>
                <w:sz w:val="18"/>
                <w:szCs w:val="18"/>
              </w:rPr>
            </w:pPr>
            <w:r>
              <w:rPr>
                <w:rFonts w:hint="eastAsia" w:hAnsi="宋体"/>
                <w:sz w:val="18"/>
                <w:szCs w:val="18"/>
              </w:rPr>
              <w:t>P型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pPr>
              <w:pStyle w:val="22"/>
              <w:widowControl w:val="0"/>
              <w:ind w:firstLine="0" w:firstLineChars="0"/>
              <w:jc w:val="center"/>
              <w:rPr>
                <w:rFonts w:hAnsi="宋体"/>
                <w:color w:val="0D0D0D"/>
                <w:sz w:val="18"/>
                <w:szCs w:val="18"/>
              </w:rPr>
            </w:pPr>
            <w:r>
              <w:rPr>
                <w:rFonts w:hint="eastAsia" w:hAnsi="宋体"/>
                <w:color w:val="0D0D0D"/>
                <w:sz w:val="18"/>
                <w:szCs w:val="18"/>
              </w:rPr>
              <w:t>电阻率，Ω·cm</w:t>
            </w:r>
          </w:p>
        </w:tc>
        <w:tc>
          <w:tcPr>
            <w:tcW w:w="1105" w:type="dxa"/>
            <w:shd w:val="clear" w:color="auto" w:fill="auto"/>
            <w:vAlign w:val="center"/>
          </w:tcPr>
          <w:p>
            <w:pPr>
              <w:pStyle w:val="36"/>
              <w:widowControl w:val="0"/>
            </w:pPr>
            <w:r>
              <w:rPr>
                <w:rFonts w:hint="eastAsia" w:hAnsi="宋体"/>
                <w:color w:val="0D0D0D"/>
                <w:szCs w:val="18"/>
              </w:rPr>
              <w:t>＞1</w:t>
            </w:r>
          </w:p>
        </w:tc>
        <w:tc>
          <w:tcPr>
            <w:tcW w:w="1106" w:type="dxa"/>
            <w:shd w:val="clear" w:color="auto" w:fill="auto"/>
            <w:vAlign w:val="center"/>
          </w:tcPr>
          <w:p>
            <w:pPr>
              <w:pStyle w:val="36"/>
              <w:widowControl w:val="0"/>
            </w:pPr>
            <w:r>
              <w:rPr>
                <w:rFonts w:hint="eastAsia" w:hAnsi="宋体"/>
                <w:color w:val="0D0D0D"/>
                <w:szCs w:val="18"/>
              </w:rPr>
              <w:t>＞0</w:t>
            </w:r>
            <w:r>
              <w:rPr>
                <w:rFonts w:hAnsi="宋体"/>
                <w:color w:val="0D0D0D"/>
                <w:szCs w:val="18"/>
              </w:rPr>
              <w:t>.5</w:t>
            </w:r>
          </w:p>
        </w:tc>
        <w:tc>
          <w:tcPr>
            <w:tcW w:w="1106" w:type="dxa"/>
            <w:shd w:val="clear" w:color="auto" w:fill="auto"/>
            <w:vAlign w:val="center"/>
          </w:tcPr>
          <w:p>
            <w:pPr>
              <w:pStyle w:val="36"/>
              <w:widowControl w:val="0"/>
            </w:pPr>
            <w:r>
              <w:rPr>
                <w:rFonts w:hint="eastAsia" w:hAnsi="宋体"/>
                <w:color w:val="0D0D0D"/>
                <w:szCs w:val="18"/>
              </w:rPr>
              <w:t>＞0</w:t>
            </w:r>
            <w:r>
              <w:rPr>
                <w:rFonts w:hAnsi="宋体"/>
                <w:color w:val="0D0D0D"/>
                <w:szCs w:val="18"/>
              </w:rPr>
              <w:t>.1</w:t>
            </w:r>
          </w:p>
        </w:tc>
        <w:tc>
          <w:tcPr>
            <w:tcW w:w="1106" w:type="dxa"/>
            <w:shd w:val="clear" w:color="auto" w:fill="auto"/>
            <w:vAlign w:val="center"/>
          </w:tcPr>
          <w:p>
            <w:pPr>
              <w:pStyle w:val="36"/>
              <w:widowControl w:val="0"/>
            </w:pPr>
            <w:r>
              <w:rPr>
                <w:rFonts w:hint="eastAsia" w:hAnsi="宋体"/>
                <w:color w:val="0D0D0D"/>
                <w:szCs w:val="18"/>
              </w:rPr>
              <w:t>＞0</w:t>
            </w:r>
            <w:r>
              <w:rPr>
                <w:rFonts w:hAnsi="宋体"/>
                <w:color w:val="0D0D0D"/>
                <w:szCs w:val="18"/>
              </w:rPr>
              <w:t>.1</w:t>
            </w:r>
          </w:p>
        </w:tc>
        <w:tc>
          <w:tcPr>
            <w:tcW w:w="1106" w:type="dxa"/>
            <w:shd w:val="clear" w:color="auto" w:fill="auto"/>
            <w:vAlign w:val="center"/>
          </w:tcPr>
          <w:p>
            <w:pPr>
              <w:pStyle w:val="36"/>
              <w:widowControl w:val="0"/>
            </w:pPr>
            <w:r>
              <w:rPr>
                <w:rFonts w:hint="eastAsia" w:hAnsi="宋体"/>
                <w:color w:val="0D0D0D"/>
                <w:szCs w:val="18"/>
              </w:rPr>
              <w:t>＞</w:t>
            </w:r>
            <w:r>
              <w:rPr>
                <w:rFonts w:hAnsi="宋体"/>
                <w:color w:val="0D0D0D"/>
                <w:szCs w:val="18"/>
              </w:rPr>
              <w:t>0.01</w:t>
            </w:r>
          </w:p>
        </w:tc>
        <w:tc>
          <w:tcPr>
            <w:tcW w:w="1106" w:type="dxa"/>
            <w:shd w:val="clear" w:color="auto" w:fill="auto"/>
            <w:vAlign w:val="center"/>
          </w:tcPr>
          <w:p>
            <w:pPr>
              <w:pStyle w:val="36"/>
              <w:widowControl w:val="0"/>
            </w:pPr>
            <w:r>
              <w:rPr>
                <w:rFonts w:hint="eastAsia" w:hAnsi="宋体"/>
                <w:color w:val="0D0D0D"/>
                <w:szCs w:val="18"/>
              </w:rPr>
              <w:t>＞</w:t>
            </w:r>
            <w:r>
              <w:rPr>
                <w:rFonts w:hAnsi="宋体"/>
                <w:color w:val="0D0D0D"/>
                <w:szCs w:val="18"/>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pPr>
              <w:pStyle w:val="22"/>
              <w:widowControl w:val="0"/>
              <w:ind w:firstLine="0" w:firstLineChars="0"/>
              <w:jc w:val="center"/>
              <w:rPr>
                <w:rFonts w:hAnsi="宋体"/>
                <w:color w:val="0D0D0D"/>
                <w:sz w:val="18"/>
                <w:szCs w:val="18"/>
                <w:vertAlign w:val="superscript"/>
              </w:rPr>
            </w:pPr>
            <w:r>
              <w:rPr>
                <w:rFonts w:hint="eastAsia" w:hAnsi="宋体"/>
                <w:color w:val="0D0D0D"/>
                <w:sz w:val="18"/>
                <w:szCs w:val="18"/>
              </w:rPr>
              <w:t>碳浓度，a</w:t>
            </w:r>
            <w:r>
              <w:rPr>
                <w:rFonts w:hAnsi="宋体"/>
                <w:color w:val="0D0D0D"/>
                <w:sz w:val="18"/>
                <w:szCs w:val="18"/>
              </w:rPr>
              <w:t>toms/cm</w:t>
            </w:r>
            <w:r>
              <w:rPr>
                <w:rFonts w:hAnsi="宋体"/>
                <w:color w:val="0D0D0D"/>
                <w:sz w:val="18"/>
                <w:szCs w:val="18"/>
                <w:vertAlign w:val="superscript"/>
              </w:rPr>
              <w:t>3</w:t>
            </w:r>
          </w:p>
        </w:tc>
        <w:tc>
          <w:tcPr>
            <w:tcW w:w="2211" w:type="dxa"/>
            <w:gridSpan w:val="2"/>
            <w:shd w:val="clear" w:color="auto" w:fill="auto"/>
            <w:vAlign w:val="center"/>
          </w:tcPr>
          <w:p>
            <w:pPr>
              <w:pStyle w:val="22"/>
              <w:widowControl w:val="0"/>
              <w:ind w:firstLine="0" w:firstLineChars="0"/>
              <w:jc w:val="center"/>
              <w:rPr>
                <w:color w:val="0D0D0D"/>
                <w:sz w:val="18"/>
                <w:szCs w:val="18"/>
                <w:vertAlign w:val="superscript"/>
              </w:rPr>
            </w:pPr>
            <w:r>
              <w:rPr>
                <w:rFonts w:hint="eastAsia"/>
                <w:color w:val="0D0D0D"/>
                <w:sz w:val="18"/>
                <w:szCs w:val="18"/>
              </w:rPr>
              <w:t>≤5</w:t>
            </w:r>
            <w:r>
              <w:rPr>
                <w:color w:val="0D0D0D"/>
                <w:sz w:val="18"/>
                <w:szCs w:val="18"/>
              </w:rPr>
              <w:t>*10</w:t>
            </w:r>
            <w:r>
              <w:rPr>
                <w:color w:val="0D0D0D"/>
                <w:sz w:val="18"/>
                <w:szCs w:val="18"/>
                <w:vertAlign w:val="superscript"/>
              </w:rPr>
              <w:t>16</w:t>
            </w:r>
          </w:p>
        </w:tc>
        <w:tc>
          <w:tcPr>
            <w:tcW w:w="2212" w:type="dxa"/>
            <w:gridSpan w:val="2"/>
            <w:shd w:val="clear" w:color="auto" w:fill="auto"/>
            <w:vAlign w:val="center"/>
          </w:tcPr>
          <w:p>
            <w:pPr>
              <w:pStyle w:val="22"/>
              <w:widowControl w:val="0"/>
              <w:ind w:firstLine="0" w:firstLineChars="0"/>
              <w:jc w:val="center"/>
              <w:rPr>
                <w:color w:val="0D0D0D"/>
                <w:sz w:val="18"/>
                <w:szCs w:val="18"/>
              </w:rPr>
            </w:pPr>
            <w:r>
              <w:rPr>
                <w:rFonts w:hint="eastAsia"/>
                <w:color w:val="0D0D0D"/>
                <w:sz w:val="18"/>
                <w:szCs w:val="18"/>
              </w:rPr>
              <w:t>≤1</w:t>
            </w:r>
            <w:r>
              <w:rPr>
                <w:color w:val="0D0D0D"/>
                <w:sz w:val="18"/>
                <w:szCs w:val="18"/>
              </w:rPr>
              <w:t>*10</w:t>
            </w:r>
            <w:r>
              <w:rPr>
                <w:color w:val="0D0D0D"/>
                <w:sz w:val="18"/>
                <w:szCs w:val="18"/>
                <w:vertAlign w:val="superscript"/>
              </w:rPr>
              <w:t>17</w:t>
            </w:r>
          </w:p>
        </w:tc>
        <w:tc>
          <w:tcPr>
            <w:tcW w:w="2212" w:type="dxa"/>
            <w:gridSpan w:val="2"/>
            <w:shd w:val="clear" w:color="auto" w:fill="auto"/>
            <w:vAlign w:val="center"/>
          </w:tcPr>
          <w:p>
            <w:pPr>
              <w:pStyle w:val="22"/>
              <w:widowControl w:val="0"/>
              <w:ind w:firstLine="0" w:firstLineChars="0"/>
              <w:jc w:val="center"/>
              <w:rPr>
                <w:color w:val="0D0D0D"/>
                <w:sz w:val="18"/>
                <w:szCs w:val="18"/>
              </w:rPr>
            </w:pPr>
            <w:r>
              <w:rPr>
                <w:rFonts w:hint="eastAsia"/>
                <w:color w:val="0D0D0D"/>
                <w:sz w:val="18"/>
                <w:szCs w:val="18"/>
              </w:rPr>
              <w:t>≤2</w:t>
            </w:r>
            <w:r>
              <w:rPr>
                <w:color w:val="0D0D0D"/>
                <w:sz w:val="18"/>
                <w:szCs w:val="18"/>
              </w:rPr>
              <w:t>.5*10</w:t>
            </w:r>
            <w:r>
              <w:rPr>
                <w:color w:val="0D0D0D"/>
                <w:sz w:val="18"/>
                <w:szCs w:val="18"/>
                <w:vertAlign w:val="superscript"/>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pPr>
              <w:pStyle w:val="22"/>
              <w:widowControl w:val="0"/>
              <w:ind w:firstLine="0" w:firstLineChars="0"/>
              <w:jc w:val="center"/>
              <w:rPr>
                <w:rFonts w:hAnsi="宋体"/>
                <w:color w:val="0D0D0D"/>
                <w:sz w:val="18"/>
                <w:szCs w:val="18"/>
              </w:rPr>
            </w:pPr>
            <w:r>
              <w:rPr>
                <w:rFonts w:hint="eastAsia" w:hAnsi="宋体"/>
                <w:color w:val="0D0D0D"/>
                <w:sz w:val="18"/>
                <w:szCs w:val="18"/>
              </w:rPr>
              <w:t>体金属杂质</w:t>
            </w:r>
            <w:r>
              <w:rPr>
                <w:rFonts w:hint="eastAsia" w:hAnsi="宋体"/>
                <w:color w:val="020202"/>
                <w:sz w:val="18"/>
                <w:szCs w:val="18"/>
              </w:rPr>
              <w:t>（</w:t>
            </w:r>
            <w:r>
              <w:rPr>
                <w:rFonts w:hAnsi="宋体"/>
                <w:color w:val="0E0E0E"/>
                <w:sz w:val="18"/>
                <w:szCs w:val="18"/>
              </w:rPr>
              <w:t>Fe</w:t>
            </w:r>
            <w:r>
              <w:rPr>
                <w:rFonts w:hint="eastAsia" w:hAnsi="宋体"/>
                <w:color w:val="0E0E0E"/>
                <w:sz w:val="18"/>
                <w:szCs w:val="18"/>
              </w:rPr>
              <w:t>、</w:t>
            </w:r>
            <w:r>
              <w:rPr>
                <w:rFonts w:hAnsi="宋体"/>
                <w:color w:val="0E0E0E"/>
                <w:sz w:val="18"/>
                <w:szCs w:val="18"/>
              </w:rPr>
              <w:t>Cr</w:t>
            </w:r>
            <w:r>
              <w:rPr>
                <w:rFonts w:hint="eastAsia" w:hAnsi="宋体"/>
                <w:color w:val="0E0E0E"/>
                <w:sz w:val="18"/>
                <w:szCs w:val="18"/>
              </w:rPr>
              <w:t>、</w:t>
            </w:r>
            <w:r>
              <w:rPr>
                <w:rFonts w:hAnsi="宋体"/>
                <w:color w:val="0E0E0E"/>
                <w:sz w:val="18"/>
                <w:szCs w:val="18"/>
              </w:rPr>
              <w:t>Ni</w:t>
            </w:r>
            <w:r>
              <w:rPr>
                <w:rFonts w:hint="eastAsia" w:hAnsi="宋体"/>
                <w:color w:val="0E0E0E"/>
                <w:sz w:val="18"/>
                <w:szCs w:val="18"/>
              </w:rPr>
              <w:t>、</w:t>
            </w:r>
            <w:r>
              <w:rPr>
                <w:rFonts w:hAnsi="宋体"/>
                <w:color w:val="0E0E0E"/>
                <w:sz w:val="18"/>
                <w:szCs w:val="18"/>
              </w:rPr>
              <w:t>Cu</w:t>
            </w:r>
            <w:r>
              <w:rPr>
                <w:rFonts w:hint="eastAsia" w:hAnsi="宋体"/>
                <w:color w:val="0E0E0E"/>
                <w:sz w:val="18"/>
                <w:szCs w:val="18"/>
              </w:rPr>
              <w:t>、</w:t>
            </w:r>
            <w:r>
              <w:rPr>
                <w:rFonts w:hAnsi="宋体"/>
                <w:color w:val="0E0E0E"/>
                <w:sz w:val="18"/>
                <w:szCs w:val="18"/>
              </w:rPr>
              <w:t>Zn</w:t>
            </w:r>
            <w:r>
              <w:rPr>
                <w:rFonts w:hint="eastAsia" w:hAnsi="宋体"/>
                <w:color w:val="0E0E0E"/>
                <w:sz w:val="18"/>
                <w:szCs w:val="18"/>
              </w:rPr>
              <w:t>、</w:t>
            </w:r>
            <w:r>
              <w:rPr>
                <w:rFonts w:hAnsi="宋体"/>
                <w:color w:val="0E0E0E"/>
                <w:sz w:val="18"/>
                <w:szCs w:val="18"/>
              </w:rPr>
              <w:t>Na</w:t>
            </w:r>
            <w:r>
              <w:rPr>
                <w:rFonts w:hint="eastAsia" w:hAnsi="宋体"/>
                <w:color w:val="0E0E0E"/>
                <w:sz w:val="18"/>
                <w:szCs w:val="18"/>
              </w:rPr>
              <w:t>）</w:t>
            </w:r>
            <w:r>
              <w:rPr>
                <w:rFonts w:hint="eastAsia" w:hAnsi="宋体"/>
                <w:color w:val="0D0D0D"/>
                <w:sz w:val="18"/>
                <w:szCs w:val="18"/>
              </w:rPr>
              <w:t>总含量，n</w:t>
            </w:r>
            <w:r>
              <w:rPr>
                <w:rFonts w:hAnsi="宋体"/>
                <w:color w:val="0D0D0D"/>
                <w:sz w:val="18"/>
                <w:szCs w:val="18"/>
              </w:rPr>
              <w:t>g/g</w:t>
            </w:r>
          </w:p>
        </w:tc>
        <w:tc>
          <w:tcPr>
            <w:tcW w:w="2211" w:type="dxa"/>
            <w:gridSpan w:val="2"/>
            <w:shd w:val="clear" w:color="auto" w:fill="auto"/>
            <w:vAlign w:val="center"/>
          </w:tcPr>
          <w:p>
            <w:pPr>
              <w:pStyle w:val="22"/>
              <w:widowControl w:val="0"/>
              <w:ind w:firstLine="0" w:firstLineChars="0"/>
              <w:jc w:val="center"/>
              <w:rPr>
                <w:color w:val="0D0D0D"/>
                <w:sz w:val="18"/>
                <w:szCs w:val="18"/>
              </w:rPr>
            </w:pPr>
            <w:r>
              <w:rPr>
                <w:rFonts w:hint="eastAsia"/>
                <w:color w:val="0D0D0D"/>
                <w:sz w:val="18"/>
                <w:szCs w:val="18"/>
              </w:rPr>
              <w:t>≤50</w:t>
            </w:r>
          </w:p>
        </w:tc>
        <w:tc>
          <w:tcPr>
            <w:tcW w:w="2212" w:type="dxa"/>
            <w:gridSpan w:val="2"/>
            <w:shd w:val="clear" w:color="auto" w:fill="auto"/>
            <w:vAlign w:val="center"/>
          </w:tcPr>
          <w:p>
            <w:pPr>
              <w:pStyle w:val="22"/>
              <w:widowControl w:val="0"/>
              <w:ind w:firstLine="0" w:firstLineChars="0"/>
              <w:jc w:val="center"/>
              <w:rPr>
                <w:color w:val="0D0D0D"/>
                <w:sz w:val="18"/>
                <w:szCs w:val="18"/>
              </w:rPr>
            </w:pPr>
            <w:r>
              <w:rPr>
                <w:rFonts w:hint="eastAsia"/>
                <w:color w:val="0D0D0D"/>
                <w:sz w:val="18"/>
                <w:szCs w:val="18"/>
              </w:rPr>
              <w:t>≤100</w:t>
            </w:r>
          </w:p>
        </w:tc>
        <w:tc>
          <w:tcPr>
            <w:tcW w:w="2212" w:type="dxa"/>
            <w:gridSpan w:val="2"/>
            <w:shd w:val="clear" w:color="auto" w:fill="auto"/>
            <w:vAlign w:val="center"/>
          </w:tcPr>
          <w:p>
            <w:pPr>
              <w:pStyle w:val="22"/>
              <w:widowControl w:val="0"/>
              <w:ind w:firstLine="0" w:firstLineChars="0"/>
              <w:jc w:val="center"/>
              <w:rPr>
                <w:color w:val="0D0D0D"/>
                <w:sz w:val="18"/>
                <w:szCs w:val="18"/>
              </w:rPr>
            </w:pPr>
            <w:r>
              <w:rPr>
                <w:rFonts w:hint="eastAsia"/>
                <w:color w:val="0D0D0D"/>
                <w:sz w:val="18"/>
                <w:szCs w:val="18"/>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tcBorders>
              <w:bottom w:val="single" w:color="auto" w:sz="8" w:space="0"/>
            </w:tcBorders>
            <w:shd w:val="clear" w:color="auto" w:fill="auto"/>
            <w:vAlign w:val="center"/>
          </w:tcPr>
          <w:p>
            <w:pPr>
              <w:pStyle w:val="22"/>
              <w:widowControl w:val="0"/>
              <w:ind w:firstLine="0" w:firstLineChars="0"/>
              <w:jc w:val="center"/>
              <w:rPr>
                <w:rFonts w:hAnsi="宋体"/>
                <w:color w:val="0D0D0D"/>
                <w:sz w:val="18"/>
                <w:szCs w:val="18"/>
              </w:rPr>
            </w:pPr>
            <w:r>
              <w:rPr>
                <w:rFonts w:hint="eastAsia" w:hAnsi="宋体"/>
                <w:color w:val="0D0D0D"/>
                <w:sz w:val="18"/>
                <w:szCs w:val="18"/>
              </w:rPr>
              <w:t>线性尺寸，mm</w:t>
            </w:r>
          </w:p>
        </w:tc>
        <w:tc>
          <w:tcPr>
            <w:tcW w:w="2211" w:type="dxa"/>
            <w:gridSpan w:val="2"/>
            <w:tcBorders>
              <w:bottom w:val="single" w:color="auto" w:sz="8" w:space="0"/>
            </w:tcBorders>
            <w:shd w:val="clear" w:color="auto" w:fill="auto"/>
            <w:vAlign w:val="center"/>
          </w:tcPr>
          <w:p>
            <w:pPr>
              <w:pStyle w:val="36"/>
              <w:widowControl w:val="0"/>
            </w:pPr>
            <w:r>
              <w:rPr>
                <w:rFonts w:hint="eastAsia" w:hAnsi="宋体"/>
                <w:color w:val="0D0D0D"/>
                <w:szCs w:val="18"/>
              </w:rPr>
              <w:t>＞</w:t>
            </w:r>
            <w:r>
              <w:rPr>
                <w:rFonts w:hAnsi="宋体"/>
                <w:color w:val="0D0D0D"/>
                <w:szCs w:val="18"/>
              </w:rPr>
              <w:t>8</w:t>
            </w:r>
          </w:p>
        </w:tc>
        <w:tc>
          <w:tcPr>
            <w:tcW w:w="2212" w:type="dxa"/>
            <w:gridSpan w:val="2"/>
            <w:tcBorders>
              <w:bottom w:val="single" w:color="auto" w:sz="8" w:space="0"/>
            </w:tcBorders>
            <w:shd w:val="clear" w:color="auto" w:fill="auto"/>
            <w:vAlign w:val="center"/>
          </w:tcPr>
          <w:p>
            <w:pPr>
              <w:pStyle w:val="36"/>
              <w:widowControl w:val="0"/>
            </w:pPr>
            <w:r>
              <w:rPr>
                <w:rFonts w:hint="eastAsia" w:hAnsi="宋体"/>
                <w:color w:val="0D0D0D"/>
                <w:szCs w:val="18"/>
              </w:rPr>
              <w:t>＞</w:t>
            </w:r>
            <w:r>
              <w:rPr>
                <w:rFonts w:hAnsi="宋体"/>
                <w:color w:val="0D0D0D"/>
                <w:szCs w:val="18"/>
              </w:rPr>
              <w:t>3</w:t>
            </w:r>
          </w:p>
        </w:tc>
        <w:tc>
          <w:tcPr>
            <w:tcW w:w="2212" w:type="dxa"/>
            <w:gridSpan w:val="2"/>
            <w:tcBorders>
              <w:bottom w:val="single" w:color="auto" w:sz="8" w:space="0"/>
            </w:tcBorders>
            <w:shd w:val="clear" w:color="auto" w:fill="auto"/>
            <w:vAlign w:val="center"/>
          </w:tcPr>
          <w:p>
            <w:pPr>
              <w:pStyle w:val="36"/>
              <w:widowControl w:val="0"/>
            </w:pPr>
            <w:r>
              <w:rPr>
                <w:rFonts w:hint="eastAsia" w:hAnsi="宋体"/>
                <w:color w:val="0D0D0D"/>
                <w:szCs w:val="18"/>
              </w:rPr>
              <w:t>＞</w:t>
            </w:r>
            <w:r>
              <w:rPr>
                <w:rFonts w:hAnsi="宋体"/>
                <w:color w:val="0D0D0D"/>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54" w:type="dxa"/>
            <w:gridSpan w:val="7"/>
            <w:tcBorders>
              <w:top w:val="single" w:color="auto" w:sz="8" w:space="0"/>
              <w:bottom w:val="single" w:color="auto" w:sz="8" w:space="0"/>
            </w:tcBorders>
            <w:shd w:val="clear" w:color="auto" w:fill="auto"/>
            <w:vAlign w:val="center"/>
          </w:tcPr>
          <w:p>
            <w:pPr>
              <w:pStyle w:val="37"/>
            </w:pPr>
            <w:r>
              <w:rPr>
                <w:rFonts w:hint="eastAsia"/>
              </w:rPr>
              <w:t>除多晶粉料外，其余再生硅料均需约束线性尺寸。</w:t>
            </w:r>
          </w:p>
        </w:tc>
      </w:tr>
    </w:tbl>
    <w:p>
      <w:pPr>
        <w:pStyle w:val="16"/>
        <w:spacing w:line="360" w:lineRule="auto"/>
        <w:ind w:firstLine="600" w:firstLineChars="250"/>
        <w:jc w:val="left"/>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2</w:t>
      </w:r>
      <w:r>
        <w:rPr>
          <w:rFonts w:hint="eastAsia" w:ascii="Times New Roman" w:hAnsi="Times New Roman"/>
          <w:sz w:val="24"/>
          <w:szCs w:val="24"/>
        </w:rPr>
        <w:t xml:space="preserve"> 外观特征</w:t>
      </w:r>
    </w:p>
    <w:p>
      <w:pPr>
        <w:pStyle w:val="16"/>
        <w:spacing w:line="360" w:lineRule="auto"/>
        <w:ind w:firstLine="600" w:firstLineChars="250"/>
        <w:jc w:val="left"/>
        <w:rPr>
          <w:rFonts w:ascii="Times New Roman" w:hAnsi="Times New Roman"/>
          <w:sz w:val="24"/>
          <w:szCs w:val="24"/>
        </w:rPr>
      </w:pPr>
      <w:r>
        <w:rPr>
          <w:rFonts w:hint="eastAsia" w:ascii="Times New Roman" w:hAnsi="Times New Roman"/>
          <w:sz w:val="24"/>
          <w:szCs w:val="24"/>
        </w:rPr>
        <w:t>再生硅料的外观应无色斑，氧化层以及其它的污染物等。</w:t>
      </w:r>
    </w:p>
    <w:p>
      <w:pPr>
        <w:spacing w:line="360" w:lineRule="auto"/>
        <w:jc w:val="left"/>
        <w:rPr>
          <w:rFonts w:ascii="Times New Roman" w:hAnsi="Times New Roman"/>
          <w:b/>
          <w:bCs/>
          <w:sz w:val="24"/>
          <w:szCs w:val="24"/>
        </w:rPr>
      </w:pPr>
      <w:r>
        <w:rPr>
          <w:rFonts w:ascii="Times New Roman" w:hAnsi="Times New Roman"/>
          <w:b/>
          <w:bCs/>
          <w:sz w:val="24"/>
          <w:szCs w:val="24"/>
        </w:rPr>
        <w:t>3</w:t>
      </w:r>
      <w:r>
        <w:rPr>
          <w:rFonts w:hint="eastAsia" w:ascii="Times New Roman" w:hAnsi="Times New Roman"/>
          <w:b/>
          <w:bCs/>
          <w:sz w:val="24"/>
          <w:szCs w:val="24"/>
        </w:rPr>
        <w:t>、第</w:t>
      </w:r>
      <w:r>
        <w:rPr>
          <w:rFonts w:ascii="Times New Roman" w:hAnsi="Times New Roman"/>
          <w:b/>
          <w:bCs/>
          <w:sz w:val="24"/>
          <w:szCs w:val="24"/>
        </w:rPr>
        <w:t>5</w:t>
      </w:r>
      <w:r>
        <w:rPr>
          <w:rFonts w:hint="eastAsia" w:ascii="Times New Roman" w:hAnsi="Times New Roman"/>
          <w:b/>
          <w:bCs/>
          <w:sz w:val="24"/>
          <w:szCs w:val="24"/>
        </w:rPr>
        <w:t xml:space="preserve">章 </w:t>
      </w:r>
      <w:r>
        <w:rPr>
          <w:rFonts w:ascii="Times New Roman" w:hAnsi="Times New Roman"/>
          <w:b/>
          <w:bCs/>
          <w:sz w:val="24"/>
          <w:szCs w:val="24"/>
        </w:rPr>
        <w:t xml:space="preserve"> </w:t>
      </w:r>
      <w:r>
        <w:rPr>
          <w:rFonts w:hint="eastAsia" w:ascii="Times New Roman" w:hAnsi="Times New Roman"/>
          <w:b/>
          <w:bCs/>
          <w:sz w:val="24"/>
          <w:szCs w:val="24"/>
        </w:rPr>
        <w:t>试验</w:t>
      </w:r>
      <w:r>
        <w:rPr>
          <w:rFonts w:ascii="Times New Roman" w:hAnsi="Times New Roman"/>
          <w:b/>
          <w:bCs/>
          <w:sz w:val="24"/>
          <w:szCs w:val="24"/>
        </w:rPr>
        <w:t>方法</w:t>
      </w:r>
    </w:p>
    <w:p>
      <w:pPr>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5.1　再生硅料中碳含量测量按照GB/T 1558的规定进行测试。</w:t>
      </w:r>
    </w:p>
    <w:p>
      <w:pPr>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5.2　再生硅料中的体金属杂质含量按照GB/T 31854的规定进行测试。</w:t>
      </w:r>
    </w:p>
    <w:p>
      <w:pPr>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5.3　再生硅料的尺寸分布范围用筛网检验，或由供需双方商定的方法检验。</w:t>
      </w:r>
    </w:p>
    <w:p>
      <w:pPr>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 xml:space="preserve">5.4　再生硅料的表面质量用目视/放大镜检查。                            </w:t>
      </w:r>
    </w:p>
    <w:p>
      <w:pPr>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5.5　再生硅料的导电类型测试方法按照GB/T 1550的规定进行测试。</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5.6　再生硅料的电阻率测定按照GB/T 1551的规定进行测试。</w:t>
      </w:r>
    </w:p>
    <w:p>
      <w:pPr>
        <w:pStyle w:val="16"/>
        <w:numPr>
          <w:ilvl w:val="0"/>
          <w:numId w:val="5"/>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标准中涉及专利的</w:t>
      </w:r>
      <w:r>
        <w:rPr>
          <w:rFonts w:ascii="Times New Roman" w:hAnsi="Times New Roman"/>
          <w:b/>
          <w:bCs/>
          <w:sz w:val="24"/>
          <w:szCs w:val="24"/>
        </w:rPr>
        <w:t>情况</w:t>
      </w:r>
    </w:p>
    <w:p>
      <w:pPr>
        <w:pStyle w:val="16"/>
        <w:spacing w:line="360" w:lineRule="auto"/>
        <w:ind w:firstLine="480"/>
        <w:rPr>
          <w:rFonts w:ascii="Times New Roman" w:hAnsi="Times New Roman"/>
          <w:sz w:val="24"/>
          <w:szCs w:val="24"/>
        </w:rPr>
      </w:pPr>
      <w:r>
        <w:rPr>
          <w:rFonts w:hint="eastAsia" w:ascii="Times New Roman" w:hAnsi="Times New Roman"/>
          <w:sz w:val="24"/>
          <w:szCs w:val="24"/>
        </w:rPr>
        <w:t>本标准</w:t>
      </w:r>
      <w:r>
        <w:rPr>
          <w:rFonts w:ascii="Times New Roman" w:hAnsi="Times New Roman"/>
          <w:sz w:val="24"/>
          <w:szCs w:val="24"/>
        </w:rPr>
        <w:t>不涉及专利问题。</w:t>
      </w:r>
    </w:p>
    <w:p>
      <w:pPr>
        <w:pStyle w:val="16"/>
        <w:numPr>
          <w:ilvl w:val="0"/>
          <w:numId w:val="5"/>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 xml:space="preserve"> 标准</w:t>
      </w:r>
      <w:r>
        <w:rPr>
          <w:rFonts w:ascii="Times New Roman" w:hAnsi="Times New Roman"/>
          <w:b/>
          <w:bCs/>
          <w:sz w:val="24"/>
          <w:szCs w:val="24"/>
        </w:rPr>
        <w:t>水平分析</w:t>
      </w:r>
    </w:p>
    <w:p>
      <w:pPr>
        <w:pStyle w:val="16"/>
        <w:spacing w:line="360" w:lineRule="auto"/>
        <w:ind w:firstLine="480"/>
        <w:rPr>
          <w:rFonts w:ascii="Times New Roman" w:hAnsi="Times New Roman"/>
          <w:sz w:val="24"/>
          <w:szCs w:val="24"/>
        </w:rPr>
      </w:pPr>
      <w:r>
        <w:rPr>
          <w:rFonts w:hint="eastAsia" w:ascii="Times New Roman" w:hAnsi="Times New Roman"/>
          <w:sz w:val="24"/>
          <w:szCs w:val="24"/>
        </w:rPr>
        <w:t>经查</w:t>
      </w:r>
      <w:r>
        <w:rPr>
          <w:rFonts w:ascii="Times New Roman" w:hAnsi="Times New Roman"/>
          <w:sz w:val="24"/>
          <w:szCs w:val="24"/>
        </w:rPr>
        <w:t>，本标准目前</w:t>
      </w:r>
      <w:r>
        <w:rPr>
          <w:rFonts w:hint="eastAsia" w:ascii="Times New Roman" w:hAnsi="Times New Roman"/>
          <w:sz w:val="24"/>
          <w:szCs w:val="24"/>
        </w:rPr>
        <w:t>无国际标准</w:t>
      </w:r>
      <w:r>
        <w:rPr>
          <w:rFonts w:ascii="Times New Roman" w:hAnsi="Times New Roman"/>
          <w:sz w:val="24"/>
          <w:szCs w:val="24"/>
        </w:rPr>
        <w:t>，</w:t>
      </w:r>
      <w:r>
        <w:rPr>
          <w:rFonts w:hint="eastAsia" w:ascii="Times New Roman" w:hAnsi="Times New Roman"/>
          <w:sz w:val="24"/>
          <w:szCs w:val="24"/>
        </w:rPr>
        <w:t>通过新旧标准对比，标准内容</w:t>
      </w:r>
      <w:r>
        <w:rPr>
          <w:rFonts w:ascii="Times New Roman" w:hAnsi="Times New Roman"/>
          <w:sz w:val="24"/>
          <w:szCs w:val="24"/>
        </w:rPr>
        <w:t>本标准技术内容达到</w:t>
      </w:r>
      <w:r>
        <w:rPr>
          <w:rFonts w:hint="eastAsia" w:ascii="Times New Roman" w:hAnsi="Times New Roman"/>
          <w:sz w:val="24"/>
          <w:szCs w:val="24"/>
        </w:rPr>
        <w:t>国际先进水平，</w:t>
      </w:r>
      <w:r>
        <w:rPr>
          <w:rFonts w:ascii="Times New Roman" w:hAnsi="Times New Roman"/>
          <w:sz w:val="24"/>
          <w:szCs w:val="24"/>
        </w:rPr>
        <w:t>标准水平分析见</w:t>
      </w:r>
      <w:r>
        <w:rPr>
          <w:rFonts w:hint="eastAsia" w:ascii="Times New Roman" w:hAnsi="Times New Roman"/>
          <w:sz w:val="24"/>
          <w:szCs w:val="24"/>
        </w:rPr>
        <w:t>表3</w:t>
      </w:r>
    </w:p>
    <w:p>
      <w:pPr>
        <w:spacing w:line="360" w:lineRule="auto"/>
        <w:ind w:firstLine="480" w:firstLineChars="200"/>
        <w:jc w:val="center"/>
        <w:rPr>
          <w:rFonts w:ascii="Times New Roman" w:hAnsi="Times New Roman"/>
          <w:sz w:val="24"/>
          <w:szCs w:val="24"/>
        </w:rPr>
      </w:pPr>
      <w:r>
        <w:rPr>
          <w:rFonts w:hint="eastAsia" w:ascii="Times New Roman" w:hAnsi="Times New Roman"/>
          <w:sz w:val="24"/>
          <w:szCs w:val="24"/>
        </w:rPr>
        <w:t>表</w:t>
      </w:r>
      <w:r>
        <w:rPr>
          <w:rFonts w:ascii="Times New Roman" w:hAnsi="Times New Roman"/>
          <w:sz w:val="24"/>
          <w:szCs w:val="24"/>
        </w:rPr>
        <w:t>3</w:t>
      </w:r>
      <w:r>
        <w:rPr>
          <w:rFonts w:hint="eastAsia" w:ascii="Times New Roman" w:hAnsi="Times New Roman"/>
          <w:sz w:val="24"/>
          <w:szCs w:val="24"/>
        </w:rPr>
        <w:t>《再生硅料</w:t>
      </w:r>
      <w:r>
        <w:rPr>
          <w:rFonts w:ascii="Times New Roman" w:hAnsi="Times New Roman"/>
          <w:sz w:val="24"/>
          <w:szCs w:val="24"/>
        </w:rPr>
        <w:t>》</w:t>
      </w:r>
      <w:r>
        <w:rPr>
          <w:rFonts w:hint="eastAsia" w:ascii="Times New Roman" w:hAnsi="Times New Roman"/>
          <w:sz w:val="24"/>
          <w:szCs w:val="24"/>
        </w:rPr>
        <w:t>标准</w:t>
      </w:r>
      <w:r>
        <w:rPr>
          <w:rFonts w:ascii="Times New Roman" w:hAnsi="Times New Roman"/>
          <w:sz w:val="24"/>
          <w:szCs w:val="24"/>
        </w:rPr>
        <w:t>水平</w:t>
      </w:r>
      <w:r>
        <w:rPr>
          <w:rFonts w:hint="eastAsia" w:ascii="Times New Roman" w:hAnsi="Times New Roman"/>
          <w:sz w:val="24"/>
          <w:szCs w:val="24"/>
        </w:rPr>
        <w:t>分析</w:t>
      </w:r>
    </w:p>
    <w:tbl>
      <w:tblPr>
        <w:tblStyle w:val="10"/>
        <w:tblW w:w="9840" w:type="dxa"/>
        <w:tblInd w:w="0" w:type="dxa"/>
        <w:tblLayout w:type="autofit"/>
        <w:tblCellMar>
          <w:top w:w="0" w:type="dxa"/>
          <w:left w:w="108" w:type="dxa"/>
          <w:bottom w:w="0" w:type="dxa"/>
          <w:right w:w="108" w:type="dxa"/>
        </w:tblCellMar>
      </w:tblPr>
      <w:tblGrid>
        <w:gridCol w:w="2122"/>
        <w:gridCol w:w="2738"/>
        <w:gridCol w:w="3200"/>
        <w:gridCol w:w="1780"/>
      </w:tblGrid>
      <w:tr>
        <w:tblPrEx>
          <w:tblCellMar>
            <w:top w:w="0" w:type="dxa"/>
            <w:left w:w="108" w:type="dxa"/>
            <w:bottom w:w="0" w:type="dxa"/>
            <w:right w:w="108" w:type="dxa"/>
          </w:tblCellMar>
        </w:tblPrEx>
        <w:trPr>
          <w:trHeight w:val="270" w:hRule="atLeast"/>
        </w:trPr>
        <w:tc>
          <w:tcPr>
            <w:tcW w:w="2122"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项目</w:t>
            </w:r>
          </w:p>
        </w:tc>
        <w:tc>
          <w:tcPr>
            <w:tcW w:w="273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本标准</w:t>
            </w:r>
          </w:p>
        </w:tc>
        <w:tc>
          <w:tcPr>
            <w:tcW w:w="320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原标准</w:t>
            </w:r>
          </w:p>
        </w:tc>
        <w:tc>
          <w:tcPr>
            <w:tcW w:w="17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水平综合判定</w:t>
            </w:r>
          </w:p>
        </w:tc>
      </w:tr>
      <w:tr>
        <w:tblPrEx>
          <w:tblCellMar>
            <w:top w:w="0" w:type="dxa"/>
            <w:left w:w="108" w:type="dxa"/>
            <w:bottom w:w="0" w:type="dxa"/>
            <w:right w:w="108" w:type="dxa"/>
          </w:tblCellMar>
        </w:tblPrEx>
        <w:trPr>
          <w:trHeight w:val="270" w:hRule="atLeast"/>
        </w:trPr>
        <w:tc>
          <w:tcPr>
            <w:tcW w:w="21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术语及定义</w:t>
            </w:r>
          </w:p>
        </w:tc>
        <w:tc>
          <w:tcPr>
            <w:tcW w:w="2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碳极多晶硅（碳头料）、头尾料、边皮料、切片废料、墩埚料、沫子料、回收单晶料、埚底料、晶体硅样块、原生型废硅片、多晶粉料</w:t>
            </w:r>
          </w:p>
        </w:tc>
        <w:tc>
          <w:tcPr>
            <w:tcW w:w="3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碳极多晶硅（碳头料）、头尾料、边皮料、切片废料、埚底料、晶体硅样块、原生型废硅片</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增加墩埚料、沫子料、回收单晶料，多晶粉料，在目前再生硅料产出占比中超过1</w:t>
            </w:r>
            <w:r>
              <w:rPr>
                <w:rFonts w:ascii="宋体" w:hAnsi="宋体" w:cs="宋体"/>
                <w:color w:val="000000"/>
                <w:kern w:val="0"/>
                <w:sz w:val="22"/>
              </w:rPr>
              <w:t>0%</w:t>
            </w:r>
            <w:r>
              <w:rPr>
                <w:rFonts w:hint="eastAsia" w:ascii="宋体" w:hAnsi="宋体" w:cs="宋体"/>
                <w:color w:val="000000"/>
                <w:kern w:val="0"/>
                <w:sz w:val="22"/>
              </w:rPr>
              <w:t>，必须增加，达到国际领先水平</w:t>
            </w:r>
          </w:p>
        </w:tc>
      </w:tr>
      <w:tr>
        <w:tblPrEx>
          <w:tblCellMar>
            <w:top w:w="0" w:type="dxa"/>
            <w:left w:w="108" w:type="dxa"/>
            <w:bottom w:w="0" w:type="dxa"/>
            <w:right w:w="108" w:type="dxa"/>
          </w:tblCellMar>
        </w:tblPrEx>
        <w:trPr>
          <w:trHeight w:val="270" w:hRule="atLeast"/>
        </w:trPr>
        <w:tc>
          <w:tcPr>
            <w:tcW w:w="21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技术要求</w:t>
            </w:r>
          </w:p>
        </w:tc>
        <w:tc>
          <w:tcPr>
            <w:tcW w:w="2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结合导电类型、电阻率分级</w:t>
            </w:r>
          </w:p>
        </w:tc>
        <w:tc>
          <w:tcPr>
            <w:tcW w:w="3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仅按电阻率或杂质浓度区分等级</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国际领先水平</w:t>
            </w:r>
          </w:p>
        </w:tc>
      </w:tr>
      <w:tr>
        <w:tblPrEx>
          <w:tblCellMar>
            <w:top w:w="0" w:type="dxa"/>
            <w:left w:w="108" w:type="dxa"/>
            <w:bottom w:w="0" w:type="dxa"/>
            <w:right w:w="108" w:type="dxa"/>
          </w:tblCellMar>
        </w:tblPrEx>
        <w:trPr>
          <w:trHeight w:val="1890" w:hRule="atLeast"/>
        </w:trPr>
        <w:tc>
          <w:tcPr>
            <w:tcW w:w="21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技术要求-电阻率分档（Ω·cm）</w:t>
            </w:r>
          </w:p>
        </w:tc>
        <w:tc>
          <w:tcPr>
            <w:tcW w:w="27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P</w:t>
            </w:r>
            <w:r>
              <w:rPr>
                <w:rFonts w:hint="eastAsia" w:ascii="宋体" w:hAnsi="宋体" w:cs="宋体"/>
                <w:color w:val="000000"/>
                <w:kern w:val="0"/>
                <w:sz w:val="22"/>
              </w:rPr>
              <w:t>型电阻率分档为</w:t>
            </w:r>
            <w:r>
              <w:rPr>
                <w:rFonts w:hint="eastAsia"/>
                <w:color w:val="0D0D0D"/>
              </w:rPr>
              <w:t>＞0</w:t>
            </w:r>
            <w:r>
              <w:rPr>
                <w:color w:val="0D0D0D"/>
              </w:rPr>
              <w:t>.5</w:t>
            </w:r>
            <w:r>
              <w:rPr>
                <w:rFonts w:hint="eastAsia"/>
                <w:color w:val="0D0D0D"/>
              </w:rPr>
              <w:t>、0</w:t>
            </w:r>
            <w:r>
              <w:rPr>
                <w:color w:val="0D0D0D"/>
              </w:rPr>
              <w:t>.1</w:t>
            </w:r>
            <w:r>
              <w:rPr>
                <w:rFonts w:hint="eastAsia"/>
                <w:color w:val="0D0D0D"/>
              </w:rPr>
              <w:t>～0</w:t>
            </w:r>
            <w:r>
              <w:rPr>
                <w:color w:val="0D0D0D"/>
              </w:rPr>
              <w:t>.5</w:t>
            </w:r>
            <w:r>
              <w:rPr>
                <w:rFonts w:hint="eastAsia"/>
                <w:color w:val="0D0D0D"/>
              </w:rPr>
              <w:t>、0.</w:t>
            </w:r>
            <w:r>
              <w:rPr>
                <w:color w:val="0D0D0D"/>
              </w:rPr>
              <w:t>001</w:t>
            </w:r>
            <w:r>
              <w:rPr>
                <w:rFonts w:hint="eastAsia"/>
                <w:color w:val="0D0D0D"/>
              </w:rPr>
              <w:t>～0</w:t>
            </w:r>
            <w:r>
              <w:rPr>
                <w:color w:val="0D0D0D"/>
              </w:rPr>
              <w:t>.1</w:t>
            </w:r>
            <w:r>
              <w:rPr>
                <w:rFonts w:hint="eastAsia"/>
                <w:color w:val="0D0D0D"/>
              </w:rPr>
              <w:t>；</w:t>
            </w:r>
            <w:r>
              <w:rPr>
                <w:rFonts w:hint="eastAsia" w:ascii="宋体" w:hAnsi="宋体" w:cs="宋体"/>
                <w:color w:val="000000"/>
                <w:kern w:val="0"/>
                <w:sz w:val="22"/>
              </w:rPr>
              <w:t>N型电阻率分档为＞1、0</w:t>
            </w:r>
            <w:r>
              <w:rPr>
                <w:rFonts w:ascii="宋体" w:hAnsi="宋体" w:cs="宋体"/>
                <w:color w:val="000000"/>
                <w:kern w:val="0"/>
                <w:sz w:val="22"/>
              </w:rPr>
              <w:t>.1</w:t>
            </w:r>
            <w:r>
              <w:rPr>
                <w:rFonts w:hint="eastAsia" w:ascii="宋体" w:hAnsi="宋体" w:cs="宋体"/>
                <w:color w:val="000000"/>
                <w:kern w:val="0"/>
                <w:sz w:val="22"/>
              </w:rPr>
              <w:t>～1、0</w:t>
            </w:r>
            <w:r>
              <w:rPr>
                <w:rFonts w:ascii="宋体" w:hAnsi="宋体" w:cs="宋体"/>
                <w:color w:val="000000"/>
                <w:kern w:val="0"/>
                <w:sz w:val="22"/>
              </w:rPr>
              <w:t>.01</w:t>
            </w:r>
            <w:r>
              <w:rPr>
                <w:rFonts w:hint="eastAsia" w:ascii="宋体" w:hAnsi="宋体" w:cs="宋体"/>
                <w:color w:val="000000"/>
                <w:kern w:val="0"/>
                <w:sz w:val="22"/>
              </w:rPr>
              <w:t>～0</w:t>
            </w:r>
            <w:r>
              <w:rPr>
                <w:rFonts w:ascii="宋体" w:hAnsi="宋体" w:cs="宋体"/>
                <w:color w:val="000000"/>
                <w:kern w:val="0"/>
                <w:sz w:val="22"/>
              </w:rPr>
              <w:t>.1</w:t>
            </w: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P</w:t>
            </w:r>
            <w:r>
              <w:rPr>
                <w:rFonts w:hint="eastAsia" w:ascii="宋体" w:hAnsi="宋体" w:cs="宋体"/>
                <w:color w:val="000000"/>
                <w:kern w:val="0"/>
                <w:sz w:val="22"/>
              </w:rPr>
              <w:t>型电阻率分档为</w:t>
            </w:r>
            <w:r>
              <w:rPr>
                <w:rFonts w:hint="eastAsia"/>
                <w:color w:val="0D0D0D"/>
              </w:rPr>
              <w:t>＞10、1～10、0.35～1；</w:t>
            </w:r>
            <w:r>
              <w:rPr>
                <w:rFonts w:hint="eastAsia" w:ascii="宋体" w:hAnsi="宋体" w:cs="宋体"/>
                <w:color w:val="000000"/>
                <w:kern w:val="0"/>
                <w:sz w:val="22"/>
              </w:rPr>
              <w:t>N型电阻率分档为＞40、20～40、1～2</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充分考虑掺磷/掺镓；低阻化，达到国际领先水平</w:t>
            </w:r>
          </w:p>
        </w:tc>
      </w:tr>
      <w:tr>
        <w:tblPrEx>
          <w:tblCellMar>
            <w:top w:w="0" w:type="dxa"/>
            <w:left w:w="108" w:type="dxa"/>
            <w:bottom w:w="0" w:type="dxa"/>
            <w:right w:w="108" w:type="dxa"/>
          </w:tblCellMar>
        </w:tblPrEx>
        <w:trPr>
          <w:trHeight w:val="810" w:hRule="atLeast"/>
        </w:trPr>
        <w:tc>
          <w:tcPr>
            <w:tcW w:w="21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技术要求-施主/受主杂质分档</w:t>
            </w:r>
          </w:p>
        </w:tc>
        <w:tc>
          <w:tcPr>
            <w:tcW w:w="27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删去</w:t>
            </w:r>
          </w:p>
        </w:tc>
        <w:tc>
          <w:tcPr>
            <w:tcW w:w="3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同电阻率分档</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国际先进水平</w:t>
            </w:r>
          </w:p>
        </w:tc>
      </w:tr>
      <w:tr>
        <w:tblPrEx>
          <w:tblCellMar>
            <w:top w:w="0" w:type="dxa"/>
            <w:left w:w="108" w:type="dxa"/>
            <w:bottom w:w="0" w:type="dxa"/>
            <w:right w:w="108" w:type="dxa"/>
          </w:tblCellMar>
        </w:tblPrEx>
        <w:trPr>
          <w:trHeight w:val="810" w:hRule="atLeast"/>
        </w:trPr>
        <w:tc>
          <w:tcPr>
            <w:tcW w:w="21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技术要求-碳含量（atoms</w:t>
            </w:r>
            <w:r>
              <w:rPr>
                <w:rFonts w:ascii="宋体" w:hAnsi="宋体" w:cs="宋体"/>
                <w:color w:val="000000"/>
                <w:kern w:val="0"/>
                <w:sz w:val="22"/>
              </w:rPr>
              <w:t>/cm</w:t>
            </w:r>
            <w:r>
              <w:rPr>
                <w:rFonts w:ascii="宋体" w:hAnsi="宋体" w:cs="宋体"/>
                <w:color w:val="000000"/>
                <w:kern w:val="0"/>
                <w:sz w:val="22"/>
                <w:vertAlign w:val="superscript"/>
              </w:rPr>
              <w:t>3</w:t>
            </w:r>
            <w:r>
              <w:rPr>
                <w:rFonts w:hint="eastAsia" w:ascii="宋体" w:hAnsi="宋体" w:cs="宋体"/>
                <w:color w:val="000000"/>
                <w:kern w:val="0"/>
                <w:sz w:val="22"/>
              </w:rPr>
              <w:t>）</w:t>
            </w:r>
          </w:p>
        </w:tc>
        <w:tc>
          <w:tcPr>
            <w:tcW w:w="27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vertAlign w:val="superscript"/>
              </w:rPr>
            </w:pPr>
            <w:r>
              <w:rPr>
                <w:rFonts w:hint="eastAsia"/>
                <w:color w:val="0D0D0D"/>
              </w:rPr>
              <w:t>≤5</w:t>
            </w:r>
            <w:r>
              <w:rPr>
                <w:color w:val="0D0D0D"/>
              </w:rPr>
              <w:t>*10</w:t>
            </w:r>
            <w:r>
              <w:rPr>
                <w:color w:val="0D0D0D"/>
                <w:vertAlign w:val="superscript"/>
              </w:rPr>
              <w:t>16</w:t>
            </w:r>
            <w:r>
              <w:rPr>
                <w:rFonts w:hint="eastAsia"/>
                <w:color w:val="0D0D0D"/>
              </w:rPr>
              <w:t>、≤1</w:t>
            </w:r>
            <w:r>
              <w:rPr>
                <w:color w:val="0D0D0D"/>
              </w:rPr>
              <w:t>*10</w:t>
            </w:r>
            <w:r>
              <w:rPr>
                <w:color w:val="0D0D0D"/>
                <w:vertAlign w:val="superscript"/>
              </w:rPr>
              <w:t>17</w:t>
            </w:r>
            <w:r>
              <w:rPr>
                <w:rFonts w:hint="eastAsia"/>
                <w:color w:val="0D0D0D"/>
              </w:rPr>
              <w:t>、≤2.</w:t>
            </w:r>
            <w:r>
              <w:rPr>
                <w:color w:val="0D0D0D"/>
              </w:rPr>
              <w:t>5*10</w:t>
            </w:r>
            <w:r>
              <w:rPr>
                <w:color w:val="0D0D0D"/>
                <w:vertAlign w:val="superscript"/>
              </w:rPr>
              <w:t>17</w:t>
            </w:r>
          </w:p>
        </w:tc>
        <w:tc>
          <w:tcPr>
            <w:tcW w:w="3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color w:val="0D0D0D"/>
              </w:rPr>
              <w:t>≤0.5、≤2、≤4</w:t>
            </w:r>
            <w:r>
              <w:rPr>
                <w:color w:val="0D0D0D"/>
              </w:rPr>
              <w:t xml:space="preserve"> (ppma)</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国际先进水平</w:t>
            </w:r>
          </w:p>
        </w:tc>
      </w:tr>
      <w:tr>
        <w:tblPrEx>
          <w:tblCellMar>
            <w:top w:w="0" w:type="dxa"/>
            <w:left w:w="108" w:type="dxa"/>
            <w:bottom w:w="0" w:type="dxa"/>
            <w:right w:w="108" w:type="dxa"/>
          </w:tblCellMar>
        </w:tblPrEx>
        <w:trPr>
          <w:trHeight w:val="2970" w:hRule="atLeast"/>
        </w:trPr>
        <w:tc>
          <w:tcPr>
            <w:tcW w:w="21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技术要求-尺寸范围</w:t>
            </w:r>
          </w:p>
        </w:tc>
        <w:tc>
          <w:tcPr>
            <w:tcW w:w="27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一级&gt;</w:t>
            </w:r>
            <w:r>
              <w:rPr>
                <w:rFonts w:ascii="宋体" w:hAnsi="宋体" w:cs="宋体"/>
                <w:color w:val="000000"/>
                <w:kern w:val="0"/>
                <w:sz w:val="22"/>
              </w:rPr>
              <w:t>8mm</w:t>
            </w:r>
          </w:p>
          <w:p>
            <w:pPr>
              <w:widowControl/>
              <w:jc w:val="center"/>
              <w:rPr>
                <w:rFonts w:ascii="宋体" w:hAnsi="宋体" w:cs="宋体"/>
                <w:color w:val="000000"/>
                <w:kern w:val="0"/>
                <w:sz w:val="22"/>
              </w:rPr>
            </w:pPr>
            <w:r>
              <w:rPr>
                <w:rFonts w:hint="eastAsia" w:ascii="宋体" w:hAnsi="宋体" w:cs="宋体"/>
                <w:color w:val="000000"/>
                <w:kern w:val="0"/>
                <w:sz w:val="22"/>
              </w:rPr>
              <w:t>二级&gt;</w:t>
            </w:r>
            <w:r>
              <w:rPr>
                <w:rFonts w:ascii="宋体" w:hAnsi="宋体" w:cs="宋体"/>
                <w:color w:val="000000"/>
                <w:kern w:val="0"/>
                <w:sz w:val="22"/>
              </w:rPr>
              <w:t>3mm</w:t>
            </w:r>
          </w:p>
          <w:p>
            <w:pPr>
              <w:widowControl/>
              <w:jc w:val="center"/>
              <w:rPr>
                <w:rFonts w:hint="eastAsia" w:ascii="宋体" w:hAnsi="宋体" w:cs="宋体"/>
                <w:color w:val="000000"/>
                <w:kern w:val="0"/>
                <w:sz w:val="22"/>
              </w:rPr>
            </w:pPr>
            <w:r>
              <w:rPr>
                <w:rFonts w:hint="eastAsia" w:ascii="宋体" w:hAnsi="宋体" w:cs="宋体"/>
                <w:color w:val="000000"/>
                <w:kern w:val="0"/>
                <w:sz w:val="22"/>
              </w:rPr>
              <w:t>三级&gt;</w:t>
            </w:r>
            <w:r>
              <w:rPr>
                <w:rFonts w:ascii="宋体" w:hAnsi="宋体" w:cs="宋体"/>
                <w:color w:val="000000"/>
                <w:kern w:val="0"/>
                <w:sz w:val="22"/>
              </w:rPr>
              <w:t>1mm</w:t>
            </w: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w:t>
            </w:r>
            <w:r>
              <w:rPr>
                <w:rFonts w:hint="eastAsia" w:ascii="宋体" w:hAnsi="宋体" w:cs="宋体"/>
                <w:color w:val="000000"/>
                <w:kern w:val="0"/>
                <w:sz w:val="22"/>
              </w:rPr>
              <w:t>mm</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国际领先水平</w:t>
            </w:r>
          </w:p>
        </w:tc>
      </w:tr>
    </w:tbl>
    <w:p>
      <w:pPr>
        <w:pStyle w:val="16"/>
        <w:spacing w:line="360" w:lineRule="auto"/>
        <w:ind w:firstLine="480"/>
        <w:rPr>
          <w:rFonts w:ascii="Times New Roman" w:hAnsi="Times New Roman"/>
          <w:sz w:val="24"/>
          <w:szCs w:val="24"/>
        </w:rPr>
      </w:pPr>
    </w:p>
    <w:p>
      <w:pPr>
        <w:pStyle w:val="16"/>
        <w:numPr>
          <w:ilvl w:val="0"/>
          <w:numId w:val="5"/>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与</w:t>
      </w:r>
      <w:r>
        <w:rPr>
          <w:rFonts w:ascii="Times New Roman" w:hAnsi="Times New Roman"/>
          <w:b/>
          <w:bCs/>
          <w:sz w:val="24"/>
          <w:szCs w:val="24"/>
        </w:rPr>
        <w:t>现行法律、法规和</w:t>
      </w:r>
      <w:r>
        <w:rPr>
          <w:rFonts w:hint="eastAsia" w:ascii="Times New Roman" w:hAnsi="Times New Roman"/>
          <w:b/>
          <w:bCs/>
          <w:sz w:val="24"/>
          <w:szCs w:val="24"/>
        </w:rPr>
        <w:t>强制性</w:t>
      </w:r>
      <w:r>
        <w:rPr>
          <w:rFonts w:ascii="Times New Roman" w:hAnsi="Times New Roman"/>
          <w:b/>
          <w:bCs/>
          <w:sz w:val="24"/>
          <w:szCs w:val="24"/>
        </w:rPr>
        <w:t>国家标准及相关标准协调配套情况</w:t>
      </w:r>
    </w:p>
    <w:p>
      <w:pPr>
        <w:pStyle w:val="16"/>
        <w:spacing w:line="360" w:lineRule="auto"/>
        <w:ind w:firstLine="480"/>
        <w:rPr>
          <w:rFonts w:ascii="Times New Roman" w:hAnsi="Times New Roman"/>
          <w:sz w:val="24"/>
          <w:szCs w:val="24"/>
        </w:rPr>
      </w:pPr>
      <w:r>
        <w:rPr>
          <w:rFonts w:hint="eastAsia" w:ascii="Times New Roman" w:hAnsi="Times New Roman"/>
          <w:sz w:val="24"/>
          <w:szCs w:val="24"/>
        </w:rPr>
        <w:t>本标准</w:t>
      </w:r>
      <w:r>
        <w:rPr>
          <w:rFonts w:ascii="Times New Roman" w:hAnsi="Times New Roman"/>
          <w:sz w:val="24"/>
          <w:szCs w:val="24"/>
        </w:rPr>
        <w:t>的制定过程、技术指标选定、检验项目的设置等符合</w:t>
      </w:r>
      <w:r>
        <w:rPr>
          <w:rFonts w:hint="eastAsia" w:ascii="Times New Roman" w:hAnsi="Times New Roman"/>
          <w:sz w:val="24"/>
          <w:szCs w:val="24"/>
        </w:rPr>
        <w:t>现行</w:t>
      </w:r>
      <w:r>
        <w:rPr>
          <w:rFonts w:ascii="Times New Roman" w:hAnsi="Times New Roman"/>
          <w:sz w:val="24"/>
          <w:szCs w:val="24"/>
        </w:rPr>
        <w:t>法律</w:t>
      </w:r>
      <w:r>
        <w:rPr>
          <w:rFonts w:hint="eastAsia" w:ascii="Times New Roman" w:hAnsi="Times New Roman"/>
          <w:sz w:val="24"/>
          <w:szCs w:val="24"/>
        </w:rPr>
        <w:t>、</w:t>
      </w:r>
      <w:r>
        <w:rPr>
          <w:rFonts w:ascii="Times New Roman" w:hAnsi="Times New Roman"/>
          <w:sz w:val="24"/>
          <w:szCs w:val="24"/>
        </w:rPr>
        <w:t>法规及相关的</w:t>
      </w:r>
      <w:r>
        <w:rPr>
          <w:rFonts w:hint="eastAsia" w:ascii="Times New Roman" w:hAnsi="Times New Roman"/>
          <w:sz w:val="24"/>
          <w:szCs w:val="24"/>
        </w:rPr>
        <w:t>国家</w:t>
      </w:r>
      <w:r>
        <w:rPr>
          <w:rFonts w:ascii="Times New Roman" w:hAnsi="Times New Roman"/>
          <w:sz w:val="24"/>
          <w:szCs w:val="24"/>
        </w:rPr>
        <w:t>标准或行业标准。</w:t>
      </w:r>
    </w:p>
    <w:p>
      <w:pPr>
        <w:pStyle w:val="16"/>
        <w:numPr>
          <w:ilvl w:val="0"/>
          <w:numId w:val="5"/>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重大分歧</w:t>
      </w:r>
      <w:r>
        <w:rPr>
          <w:rFonts w:ascii="Times New Roman" w:hAnsi="Times New Roman"/>
          <w:b/>
          <w:bCs/>
          <w:sz w:val="24"/>
          <w:szCs w:val="24"/>
        </w:rPr>
        <w:t>意见的处理</w:t>
      </w:r>
      <w:r>
        <w:rPr>
          <w:rFonts w:hint="eastAsia" w:ascii="Times New Roman" w:hAnsi="Times New Roman"/>
          <w:b/>
          <w:bCs/>
          <w:sz w:val="24"/>
          <w:szCs w:val="24"/>
        </w:rPr>
        <w:t>经过</w:t>
      </w:r>
      <w:r>
        <w:rPr>
          <w:rFonts w:ascii="Times New Roman" w:hAnsi="Times New Roman"/>
          <w:b/>
          <w:bCs/>
          <w:sz w:val="24"/>
          <w:szCs w:val="24"/>
        </w:rPr>
        <w:t>和依据</w:t>
      </w:r>
    </w:p>
    <w:p>
      <w:pPr>
        <w:pStyle w:val="16"/>
        <w:spacing w:line="360" w:lineRule="auto"/>
        <w:ind w:firstLine="480"/>
        <w:rPr>
          <w:rFonts w:ascii="Times New Roman" w:hAnsi="Times New Roman"/>
          <w:sz w:val="24"/>
          <w:szCs w:val="24"/>
        </w:rPr>
      </w:pPr>
      <w:r>
        <w:rPr>
          <w:rFonts w:hint="eastAsia" w:ascii="Times New Roman" w:hAnsi="Times New Roman"/>
          <w:sz w:val="24"/>
          <w:szCs w:val="24"/>
        </w:rPr>
        <w:t>无</w:t>
      </w:r>
      <w:r>
        <w:rPr>
          <w:rFonts w:ascii="Times New Roman" w:hAnsi="Times New Roman"/>
          <w:sz w:val="24"/>
          <w:szCs w:val="24"/>
        </w:rPr>
        <w:t>。</w:t>
      </w:r>
    </w:p>
    <w:p>
      <w:pPr>
        <w:pStyle w:val="16"/>
        <w:numPr>
          <w:ilvl w:val="0"/>
          <w:numId w:val="5"/>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标准性质的</w:t>
      </w:r>
      <w:r>
        <w:rPr>
          <w:rFonts w:ascii="Times New Roman" w:hAnsi="Times New Roman"/>
          <w:b/>
          <w:bCs/>
          <w:sz w:val="24"/>
          <w:szCs w:val="24"/>
        </w:rPr>
        <w:t>建议说明</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建议</w:t>
      </w:r>
      <w:r>
        <w:rPr>
          <w:rFonts w:ascii="Times New Roman" w:hAnsi="Times New Roman"/>
          <w:sz w:val="24"/>
          <w:szCs w:val="24"/>
        </w:rPr>
        <w:t>该标准为</w:t>
      </w:r>
      <w:r>
        <w:rPr>
          <w:rFonts w:hint="eastAsia" w:ascii="Times New Roman" w:hAnsi="Times New Roman"/>
          <w:sz w:val="24"/>
          <w:szCs w:val="24"/>
        </w:rPr>
        <w:t>推荐性行业</w:t>
      </w:r>
      <w:r>
        <w:rPr>
          <w:rFonts w:ascii="Times New Roman" w:hAnsi="Times New Roman"/>
          <w:sz w:val="24"/>
          <w:szCs w:val="24"/>
        </w:rPr>
        <w:t>标准。</w:t>
      </w:r>
    </w:p>
    <w:p>
      <w:pPr>
        <w:pStyle w:val="16"/>
        <w:numPr>
          <w:ilvl w:val="0"/>
          <w:numId w:val="5"/>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贯彻标准的要求</w:t>
      </w:r>
      <w:r>
        <w:rPr>
          <w:rFonts w:ascii="Times New Roman" w:hAnsi="Times New Roman"/>
          <w:b/>
          <w:bCs/>
          <w:sz w:val="24"/>
          <w:szCs w:val="24"/>
        </w:rPr>
        <w:t>和</w:t>
      </w:r>
      <w:r>
        <w:rPr>
          <w:rFonts w:hint="eastAsia" w:ascii="Times New Roman" w:hAnsi="Times New Roman"/>
          <w:b/>
          <w:bCs/>
          <w:sz w:val="24"/>
          <w:szCs w:val="24"/>
        </w:rPr>
        <w:t>措施建议</w:t>
      </w:r>
    </w:p>
    <w:p>
      <w:pPr>
        <w:tabs>
          <w:tab w:val="left" w:pos="567"/>
        </w:tabs>
        <w:spacing w:line="360" w:lineRule="auto"/>
        <w:ind w:firstLine="480" w:firstLineChars="200"/>
        <w:rPr>
          <w:rFonts w:ascii="Times New Roman" w:hAnsi="Times New Roman"/>
          <w:sz w:val="24"/>
          <w:szCs w:val="24"/>
        </w:rPr>
      </w:pPr>
      <w:r>
        <w:rPr>
          <w:rFonts w:hint="eastAsia" w:ascii="Times New Roman" w:hAnsi="Times New Roman"/>
          <w:sz w:val="24"/>
          <w:szCs w:val="24"/>
        </w:rPr>
        <w:t>起草单位应及时与各单晶硅生产厂商沟通再生硅料品类及定义，不同品类再生硅料的应用情况，将沟通情况应用于标准撰写。</w:t>
      </w:r>
      <w:r>
        <w:rPr>
          <w:rFonts w:ascii="Times New Roman" w:hAnsi="Times New Roman"/>
          <w:sz w:val="24"/>
          <w:szCs w:val="24"/>
        </w:rPr>
        <w:t>。</w:t>
      </w:r>
    </w:p>
    <w:p>
      <w:pPr>
        <w:pStyle w:val="16"/>
        <w:numPr>
          <w:ilvl w:val="0"/>
          <w:numId w:val="5"/>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废止</w:t>
      </w:r>
      <w:r>
        <w:rPr>
          <w:rFonts w:ascii="Times New Roman" w:hAnsi="Times New Roman"/>
          <w:b/>
          <w:bCs/>
          <w:sz w:val="24"/>
          <w:szCs w:val="24"/>
        </w:rPr>
        <w:t>现行有关标准</w:t>
      </w:r>
      <w:r>
        <w:rPr>
          <w:rFonts w:hint="eastAsia" w:ascii="Times New Roman" w:hAnsi="Times New Roman"/>
          <w:b/>
          <w:bCs/>
          <w:sz w:val="24"/>
          <w:szCs w:val="24"/>
        </w:rPr>
        <w:t>的</w:t>
      </w:r>
      <w:r>
        <w:rPr>
          <w:rFonts w:ascii="Times New Roman" w:hAnsi="Times New Roman"/>
          <w:b/>
          <w:bCs/>
          <w:sz w:val="24"/>
          <w:szCs w:val="24"/>
        </w:rPr>
        <w:t>建议</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在本标准</w:t>
      </w:r>
      <w:r>
        <w:rPr>
          <w:rFonts w:ascii="Times New Roman" w:hAnsi="Times New Roman"/>
          <w:sz w:val="24"/>
          <w:szCs w:val="24"/>
        </w:rPr>
        <w:t>发布实施之日起，代替</w:t>
      </w:r>
      <w:r>
        <w:rPr>
          <w:rFonts w:hint="eastAsia" w:ascii="Times New Roman"/>
          <w:sz w:val="24"/>
          <w:szCs w:val="24"/>
        </w:rPr>
        <w:t>YS/T 840-2012《再生硅料分类和技术条件》</w:t>
      </w:r>
      <w:r>
        <w:rPr>
          <w:rFonts w:hint="eastAsia" w:ascii="Times New Roman" w:hAnsi="Times New Roman"/>
          <w:sz w:val="24"/>
          <w:szCs w:val="24"/>
        </w:rPr>
        <w:t>，</w:t>
      </w:r>
      <w:r>
        <w:rPr>
          <w:rFonts w:ascii="Times New Roman" w:hAnsi="Times New Roman"/>
          <w:color w:val="000000"/>
          <w:kern w:val="0"/>
          <w:sz w:val="24"/>
          <w:szCs w:val="24"/>
        </w:rPr>
        <w:t>原标准废止。</w:t>
      </w:r>
    </w:p>
    <w:p>
      <w:pPr>
        <w:pStyle w:val="16"/>
        <w:numPr>
          <w:ilvl w:val="0"/>
          <w:numId w:val="5"/>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其他应</w:t>
      </w:r>
      <w:r>
        <w:rPr>
          <w:rFonts w:ascii="Times New Roman" w:hAnsi="Times New Roman"/>
          <w:b/>
          <w:bCs/>
          <w:sz w:val="24"/>
          <w:szCs w:val="24"/>
        </w:rPr>
        <w:t>予说</w:t>
      </w:r>
      <w:r>
        <w:rPr>
          <w:rFonts w:hint="eastAsia" w:ascii="Times New Roman" w:hAnsi="Times New Roman"/>
          <w:b/>
          <w:bCs/>
          <w:sz w:val="24"/>
          <w:szCs w:val="24"/>
        </w:rPr>
        <w:t>明</w:t>
      </w:r>
      <w:r>
        <w:rPr>
          <w:rFonts w:ascii="Times New Roman" w:hAnsi="Times New Roman"/>
          <w:b/>
          <w:bCs/>
          <w:sz w:val="24"/>
          <w:szCs w:val="24"/>
        </w:rPr>
        <w:t>的事项</w:t>
      </w:r>
    </w:p>
    <w:p>
      <w:pPr>
        <w:pStyle w:val="16"/>
        <w:spacing w:line="360" w:lineRule="auto"/>
        <w:ind w:firstLine="480"/>
        <w:rPr>
          <w:rFonts w:ascii="Times New Roman" w:hAnsi="Times New Roman"/>
          <w:sz w:val="24"/>
          <w:szCs w:val="24"/>
        </w:rPr>
      </w:pPr>
      <w:r>
        <w:rPr>
          <w:rFonts w:hint="eastAsia" w:ascii="Times New Roman" w:hAnsi="Times New Roman"/>
          <w:sz w:val="24"/>
          <w:szCs w:val="24"/>
        </w:rPr>
        <w:t>无</w:t>
      </w:r>
      <w:r>
        <w:rPr>
          <w:rFonts w:ascii="Times New Roman" w:hAnsi="Times New Roman"/>
          <w:sz w:val="24"/>
          <w:szCs w:val="24"/>
        </w:rPr>
        <w:t>。</w:t>
      </w:r>
    </w:p>
    <w:p>
      <w:pPr>
        <w:pStyle w:val="16"/>
        <w:spacing w:line="360" w:lineRule="auto"/>
        <w:ind w:left="840" w:firstLine="0" w:firstLineChars="0"/>
        <w:rPr>
          <w:rFonts w:ascii="Times New Roman" w:hAnsi="Times New Roman"/>
          <w:sz w:val="24"/>
          <w:szCs w:val="24"/>
        </w:rPr>
      </w:pPr>
    </w:p>
    <w:p>
      <w:pPr>
        <w:pStyle w:val="16"/>
        <w:spacing w:line="360" w:lineRule="auto"/>
        <w:ind w:left="840" w:firstLine="0" w:firstLineChars="0"/>
        <w:rPr>
          <w:rFonts w:ascii="Times New Roman" w:hAnsi="Times New Roman"/>
          <w:sz w:val="24"/>
          <w:szCs w:val="24"/>
        </w:rPr>
      </w:pPr>
    </w:p>
    <w:p>
      <w:pPr>
        <w:pStyle w:val="16"/>
        <w:spacing w:line="360" w:lineRule="auto"/>
        <w:ind w:left="840" w:firstLine="0" w:firstLineChars="0"/>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标准编制组</w:t>
      </w:r>
    </w:p>
    <w:p>
      <w:pPr>
        <w:pStyle w:val="16"/>
        <w:spacing w:line="360" w:lineRule="auto"/>
        <w:ind w:left="840" w:firstLine="0" w:firstLineChars="0"/>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 xml:space="preserve">                                                  2023</w:t>
      </w:r>
      <w:r>
        <w:rPr>
          <w:rFonts w:hint="eastAsia" w:ascii="Times New Roman" w:hAnsi="Times New Roman"/>
          <w:sz w:val="24"/>
          <w:szCs w:val="24"/>
        </w:rPr>
        <w:t>年</w:t>
      </w:r>
      <w:r>
        <w:rPr>
          <w:rFonts w:ascii="Times New Roman" w:hAnsi="Times New Roman"/>
          <w:sz w:val="24"/>
          <w:szCs w:val="24"/>
        </w:rPr>
        <w:t>11</w:t>
      </w:r>
      <w:r>
        <w:rPr>
          <w:rFonts w:hint="eastAsia" w:ascii="Times New Roman" w:hAnsi="Times New Roman"/>
          <w:sz w:val="24"/>
          <w:szCs w:val="24"/>
        </w:rPr>
        <w:t>月</w:t>
      </w:r>
    </w:p>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705134"/>
      <w:docPartObj>
        <w:docPartGallery w:val="autotext"/>
      </w:docPartObj>
    </w:sdtPr>
    <w:sdtEndPr>
      <w:rPr>
        <w:rFonts w:asciiTheme="minorEastAsia" w:hAnsiTheme="minorEastAsia" w:eastAsiaTheme="minorEastAsia"/>
      </w:rPr>
    </w:sdtEndPr>
    <w:sdtContent>
      <w:p>
        <w:pPr>
          <w:pStyle w:val="5"/>
          <w:jc w:val="cente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7</w:t>
        </w:r>
        <w:r>
          <w:rPr>
            <w:rFonts w:asciiTheme="minorEastAsia" w:hAnsiTheme="minorEastAsia" w:eastAsiaTheme="minorEastAsia"/>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pict>
        <v:shape id="_x0000_i1025" o:spt="75" type="#_x0000_t75" style="height:14.5pt;width:96pt;" filled="f" o:preferrelative="t" stroked="f" coordsize="21600,21600">
          <v:path/>
          <v:fill on="f" focussize="0,0"/>
          <v:stroke on="f" joinstyle="miter"/>
          <v:imagedata r:id="rId1" o:title=""/>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C0E8D"/>
    <w:multiLevelType w:val="multilevel"/>
    <w:tmpl w:val="004C0E8D"/>
    <w:lvl w:ilvl="0" w:tentative="0">
      <w:start w:val="1"/>
      <w:numFmt w:val="decimal"/>
      <w:pStyle w:val="28"/>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27"/>
      <w:suff w:val="nothing"/>
      <w:lvlText w:val="%1.%2　"/>
      <w:lvlJc w:val="left"/>
      <w:pPr>
        <w:ind w:left="2976" w:firstLine="0"/>
      </w:pPr>
      <w:rPr>
        <w:rFonts w:hint="eastAsia" w:ascii="黑体" w:hAnsi="Times New Roman" w:eastAsia="黑体" w:cs="Times New Roman"/>
        <w:b w:val="0"/>
        <w:bCs w:val="0"/>
        <w:i w:val="0"/>
        <w:iCs w:val="0"/>
        <w:caps w:val="0"/>
        <w:strike w:val="0"/>
        <w:dstrike w:val="0"/>
        <w:shadow/>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9"/>
      <w:suff w:val="nothing"/>
      <w:lvlText w:val="%1.%2.%3　"/>
      <w:lvlJc w:val="left"/>
      <w:pPr>
        <w:ind w:left="0" w:firstLine="0"/>
      </w:pPr>
      <w:rPr>
        <w:rFonts w:hint="eastAsia" w:ascii="黑体" w:hAnsi="Times New Roman" w:eastAsia="黑体"/>
        <w:b w:val="0"/>
        <w:i w:val="0"/>
        <w:sz w:val="21"/>
      </w:rPr>
    </w:lvl>
    <w:lvl w:ilvl="3" w:tentative="0">
      <w:start w:val="1"/>
      <w:numFmt w:val="decimal"/>
      <w:pStyle w:val="30"/>
      <w:suff w:val="nothing"/>
      <w:lvlText w:val="%1.%2.%3.%4　"/>
      <w:lvlJc w:val="left"/>
      <w:pPr>
        <w:ind w:left="0" w:firstLine="0"/>
      </w:pPr>
      <w:rPr>
        <w:rFonts w:hint="eastAsia" w:ascii="黑体" w:hAnsi="Times New Roman" w:eastAsia="黑体"/>
        <w:b w:val="0"/>
        <w:i w:val="0"/>
        <w:sz w:val="21"/>
      </w:rPr>
    </w:lvl>
    <w:lvl w:ilvl="4" w:tentative="0">
      <w:start w:val="1"/>
      <w:numFmt w:val="decimal"/>
      <w:pStyle w:val="31"/>
      <w:suff w:val="nothing"/>
      <w:lvlText w:val="%1.%2.%3.%4.%5　"/>
      <w:lvlJc w:val="left"/>
      <w:pPr>
        <w:ind w:left="0" w:firstLine="0"/>
      </w:pPr>
      <w:rPr>
        <w:rFonts w:hint="eastAsia" w:ascii="黑体" w:hAnsi="Times New Roman" w:eastAsia="黑体"/>
        <w:b w:val="0"/>
        <w:i w:val="0"/>
        <w:sz w:val="21"/>
      </w:rPr>
    </w:lvl>
    <w:lvl w:ilvl="5" w:tentative="0">
      <w:start w:val="1"/>
      <w:numFmt w:val="decimal"/>
      <w:pStyle w:val="3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04204F"/>
    <w:multiLevelType w:val="multilevel"/>
    <w:tmpl w:val="2A04204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pStyle w:val="21"/>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975718E"/>
    <w:multiLevelType w:val="multilevel"/>
    <w:tmpl w:val="3975718E"/>
    <w:lvl w:ilvl="0" w:tentative="0">
      <w:start w:val="1"/>
      <w:numFmt w:val="chineseCountingThousand"/>
      <w:lvlText w:val="%1、"/>
      <w:lvlJc w:val="left"/>
      <w:pPr>
        <w:ind w:left="840" w:hanging="420"/>
      </w:pPr>
    </w:lvl>
    <w:lvl w:ilvl="1" w:tentative="0">
      <w:start w:val="1"/>
      <w:numFmt w:val="decimal"/>
      <w:lvlText w:val="%2、"/>
      <w:lvlJc w:val="left"/>
      <w:pPr>
        <w:ind w:left="1215" w:hanging="375"/>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4635808"/>
    <w:multiLevelType w:val="multilevel"/>
    <w:tmpl w:val="4463580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7E1397"/>
    <w:multiLevelType w:val="multilevel"/>
    <w:tmpl w:val="607E1397"/>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46260FA"/>
    <w:multiLevelType w:val="multilevel"/>
    <w:tmpl w:val="646260FA"/>
    <w:lvl w:ilvl="0" w:tentative="0">
      <w:start w:val="1"/>
      <w:numFmt w:val="decimal"/>
      <w:pStyle w:val="3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6DBF04F4"/>
    <w:multiLevelType w:val="multilevel"/>
    <w:tmpl w:val="6DBF04F4"/>
    <w:lvl w:ilvl="0" w:tentative="0">
      <w:start w:val="1"/>
      <w:numFmt w:val="none"/>
      <w:pStyle w:val="37"/>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
    <w:nsid w:val="7FAC3DDA"/>
    <w:multiLevelType w:val="multilevel"/>
    <w:tmpl w:val="7FAC3DDA"/>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0"/>
  </w:num>
  <w:num w:numId="3">
    <w:abstractNumId w:val="5"/>
  </w:num>
  <w:num w:numId="4">
    <w:abstractNumId w:val="6"/>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attachedTemplate r:id="rId1"/>
  <w:documentProtection w:edit="trackedChanges"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xMTg0ZjVkM2YzZTZiYzJiMzc1ZDQ2NDIxM2JiZjIifQ=="/>
  </w:docVars>
  <w:rsids>
    <w:rsidRoot w:val="00B376DE"/>
    <w:rsid w:val="000545CE"/>
    <w:rsid w:val="0023366D"/>
    <w:rsid w:val="002C1CCA"/>
    <w:rsid w:val="0046172C"/>
    <w:rsid w:val="004C08F0"/>
    <w:rsid w:val="006A3E54"/>
    <w:rsid w:val="006D730A"/>
    <w:rsid w:val="00755CC0"/>
    <w:rsid w:val="00762641"/>
    <w:rsid w:val="00926A1A"/>
    <w:rsid w:val="0096350A"/>
    <w:rsid w:val="009E4C39"/>
    <w:rsid w:val="00AA5B2B"/>
    <w:rsid w:val="00B376DE"/>
    <w:rsid w:val="00B60BE6"/>
    <w:rsid w:val="00C413D1"/>
    <w:rsid w:val="00D11B88"/>
    <w:rsid w:val="00E62FD8"/>
    <w:rsid w:val="00E85BB5"/>
    <w:rsid w:val="00F410D2"/>
    <w:rsid w:val="697F2A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rPr>
      <w:rFonts w:ascii="Times New Roman" w:hAnsi="Times New Roman"/>
      <w:szCs w:val="24"/>
    </w:rPr>
  </w:style>
  <w:style w:type="paragraph" w:styleId="3">
    <w:name w:val="Body Text"/>
    <w:basedOn w:val="1"/>
    <w:qFormat/>
    <w:uiPriority w:val="0"/>
    <w:pPr>
      <w:spacing w:after="120"/>
    </w:pPr>
  </w:style>
  <w:style w:type="paragraph" w:styleId="4">
    <w:name w:val="Balloon Text"/>
    <w:basedOn w:val="1"/>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8">
    <w:name w:val="annotation subject"/>
    <w:basedOn w:val="2"/>
    <w:semiHidden/>
    <w:unhideWhenUsed/>
    <w:qFormat/>
    <w:uiPriority w:val="0"/>
    <w:rPr>
      <w:rFonts w:ascii="Calibri" w:hAnsi="Calibri"/>
      <w:b/>
      <w:bCs/>
      <w:szCs w:val="22"/>
    </w:rPr>
  </w:style>
  <w:style w:type="paragraph" w:styleId="9">
    <w:name w:val="Body Text First Indent"/>
    <w:basedOn w:val="3"/>
    <w:qFormat/>
    <w:uiPriority w:val="0"/>
    <w:pPr>
      <w:adjustRightInd w:val="0"/>
      <w:spacing w:after="0" w:line="240" w:lineRule="atLeast"/>
      <w:jc w:val="left"/>
      <w:textAlignment w:val="baseline"/>
    </w:pPr>
    <w:rPr>
      <w:rFonts w:ascii="宋体" w:hAnsi="宋体"/>
      <w:color w:val="000000"/>
      <w:kern w:val="0"/>
      <w:szCs w:val="20"/>
    </w:rPr>
  </w:style>
  <w:style w:type="table" w:styleId="11">
    <w:name w:val="Table Grid"/>
    <w:basedOn w:val="10"/>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cs="Times New Roman"/>
      <w:b/>
      <w:bCs/>
    </w:rPr>
  </w:style>
  <w:style w:type="character" w:styleId="14">
    <w:name w:val="Emphasis"/>
    <w:basedOn w:val="12"/>
    <w:qFormat/>
    <w:uiPriority w:val="20"/>
    <w:rPr>
      <w:i/>
      <w:iCs/>
    </w:rPr>
  </w:style>
  <w:style w:type="character" w:styleId="15">
    <w:name w:val="annotation reference"/>
    <w:qFormat/>
    <w:uiPriority w:val="0"/>
    <w:rPr>
      <w:sz w:val="21"/>
      <w:szCs w:val="21"/>
    </w:rPr>
  </w:style>
  <w:style w:type="paragraph" w:styleId="16">
    <w:name w:val="List Paragraph"/>
    <w:basedOn w:val="1"/>
    <w:qFormat/>
    <w:uiPriority w:val="0"/>
    <w:pPr>
      <w:ind w:firstLine="420" w:firstLineChars="200"/>
    </w:pPr>
  </w:style>
  <w:style w:type="paragraph" w:customStyle="1" w:styleId="17">
    <w:name w:val="封面标准号2"/>
    <w:qFormat/>
    <w:uiPriority w:val="0"/>
    <w:pPr>
      <w:framePr w:w="9140" w:h="1242" w:hRule="exact" w:hSpace="284" w:wrap="around" w:vAnchor="page" w:hAnchor="page" w:x="1645" w:y="2910"/>
      <w:spacing w:before="357" w:line="280" w:lineRule="exact"/>
      <w:jc w:val="right"/>
    </w:pPr>
    <w:rPr>
      <w:rFonts w:ascii="黑体" w:hAnsi="Times New Roman" w:eastAsia="黑体" w:cs="Times New Roman"/>
      <w:sz w:val="28"/>
      <w:szCs w:val="28"/>
      <w:lang w:val="en-US" w:eastAsia="zh-CN" w:bidi="ar-SA"/>
    </w:rPr>
  </w:style>
  <w:style w:type="character" w:customStyle="1" w:styleId="18">
    <w:name w:val="批注文字 字符"/>
    <w:basedOn w:val="12"/>
    <w:link w:val="2"/>
    <w:qFormat/>
    <w:uiPriority w:val="0"/>
    <w:rPr>
      <w:rFonts w:ascii="Calibri" w:hAnsi="Calibri"/>
      <w:kern w:val="2"/>
      <w:sz w:val="18"/>
      <w:szCs w:val="18"/>
    </w:rPr>
  </w:style>
  <w:style w:type="character" w:customStyle="1" w:styleId="19">
    <w:name w:val="页脚 Char"/>
    <w:basedOn w:val="12"/>
    <w:qFormat/>
    <w:uiPriority w:val="99"/>
    <w:rPr>
      <w:rFonts w:ascii="Calibri" w:hAnsi="Calibri"/>
      <w:kern w:val="2"/>
      <w:sz w:val="18"/>
      <w:szCs w:val="18"/>
    </w:rPr>
  </w:style>
  <w:style w:type="character" w:customStyle="1" w:styleId="20">
    <w:name w:val="批注框文本 Char"/>
    <w:basedOn w:val="12"/>
    <w:qFormat/>
    <w:uiPriority w:val="0"/>
    <w:rPr>
      <w:rFonts w:ascii="Calibri" w:hAnsi="Calibri"/>
      <w:kern w:val="2"/>
      <w:sz w:val="18"/>
      <w:szCs w:val="18"/>
    </w:rPr>
  </w:style>
  <w:style w:type="paragraph" w:customStyle="1" w:styleId="21">
    <w:name w:val="二级无"/>
    <w:basedOn w:val="1"/>
    <w:qFormat/>
    <w:uiPriority w:val="0"/>
    <w:pPr>
      <w:widowControl/>
      <w:numPr>
        <w:ilvl w:val="2"/>
        <w:numId w:val="1"/>
      </w:numPr>
      <w:jc w:val="left"/>
      <w:outlineLvl w:val="3"/>
    </w:pPr>
    <w:rPr>
      <w:rFonts w:ascii="宋体" w:hAnsi="Times New Roman"/>
      <w:kern w:val="0"/>
      <w:szCs w:val="21"/>
    </w:r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
    <w:name w:val="批注文字 Char"/>
    <w:qFormat/>
    <w:uiPriority w:val="0"/>
    <w:rPr>
      <w:kern w:val="2"/>
      <w:sz w:val="21"/>
      <w:szCs w:val="24"/>
    </w:rPr>
  </w:style>
  <w:style w:type="character" w:customStyle="1" w:styleId="24">
    <w:name w:val="批注文字 字符1"/>
    <w:basedOn w:val="12"/>
    <w:uiPriority w:val="0"/>
    <w:rPr>
      <w:rFonts w:ascii="Calibri" w:hAnsi="Calibri"/>
      <w:kern w:val="2"/>
      <w:sz w:val="21"/>
      <w:szCs w:val="22"/>
    </w:rPr>
  </w:style>
  <w:style w:type="character" w:customStyle="1" w:styleId="25">
    <w:name w:val="段 Char"/>
    <w:qFormat/>
    <w:uiPriority w:val="0"/>
    <w:rPr>
      <w:rFonts w:ascii="宋体"/>
      <w:sz w:val="21"/>
    </w:rPr>
  </w:style>
  <w:style w:type="character" w:customStyle="1" w:styleId="26">
    <w:name w:val="批注主题 Char"/>
    <w:basedOn w:val="23"/>
    <w:semiHidden/>
    <w:qFormat/>
    <w:uiPriority w:val="0"/>
    <w:rPr>
      <w:rFonts w:ascii="Calibri" w:hAnsi="Calibri"/>
      <w:b/>
      <w:bCs/>
      <w:kern w:val="2"/>
      <w:sz w:val="21"/>
      <w:szCs w:val="22"/>
    </w:rPr>
  </w:style>
  <w:style w:type="paragraph" w:customStyle="1" w:styleId="27">
    <w:name w:val="一级条标题"/>
    <w:uiPriority w:val="0"/>
    <w:pPr>
      <w:numPr>
        <w:ilvl w:val="1"/>
        <w:numId w:val="2"/>
      </w:numPr>
      <w:spacing w:beforeLines="50" w:afterLines="50"/>
      <w:ind w:left="1701"/>
      <w:outlineLvl w:val="2"/>
    </w:pPr>
    <w:rPr>
      <w:rFonts w:ascii="黑体" w:hAnsi="Times New Roman" w:eastAsia="黑体" w:cs="Times New Roman"/>
      <w:sz w:val="21"/>
      <w:szCs w:val="21"/>
      <w:lang w:val="en-US" w:eastAsia="zh-CN" w:bidi="ar-SA"/>
    </w:rPr>
  </w:style>
  <w:style w:type="paragraph" w:customStyle="1" w:styleId="28">
    <w:name w:val="章标题"/>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29">
    <w:name w:val="二级条标题"/>
    <w:basedOn w:val="27"/>
    <w:qFormat/>
    <w:uiPriority w:val="0"/>
    <w:pPr>
      <w:numPr>
        <w:ilvl w:val="2"/>
      </w:numPr>
      <w:spacing w:before="50" w:after="50"/>
      <w:outlineLvl w:val="3"/>
    </w:pPr>
  </w:style>
  <w:style w:type="paragraph" w:customStyle="1" w:styleId="30">
    <w:name w:val="三级条标题"/>
    <w:basedOn w:val="29"/>
    <w:qFormat/>
    <w:uiPriority w:val="0"/>
    <w:pPr>
      <w:numPr>
        <w:ilvl w:val="3"/>
      </w:numPr>
      <w:outlineLvl w:val="4"/>
    </w:pPr>
  </w:style>
  <w:style w:type="paragraph" w:customStyle="1" w:styleId="31">
    <w:name w:val="四级条标题"/>
    <w:basedOn w:val="30"/>
    <w:qFormat/>
    <w:uiPriority w:val="0"/>
    <w:pPr>
      <w:numPr>
        <w:ilvl w:val="4"/>
      </w:numPr>
      <w:outlineLvl w:val="5"/>
    </w:pPr>
  </w:style>
  <w:style w:type="paragraph" w:customStyle="1" w:styleId="32">
    <w:name w:val="五级条标题"/>
    <w:basedOn w:val="31"/>
    <w:uiPriority w:val="0"/>
    <w:pPr>
      <w:numPr>
        <w:ilvl w:val="5"/>
      </w:numPr>
      <w:outlineLvl w:val="6"/>
    </w:pPr>
  </w:style>
  <w:style w:type="character" w:customStyle="1" w:styleId="33">
    <w:name w:val="副标题 Char"/>
    <w:basedOn w:val="12"/>
    <w:uiPriority w:val="0"/>
    <w:rPr>
      <w:rFonts w:asciiTheme="majorHAnsi" w:hAnsiTheme="majorHAnsi" w:cstheme="majorBidi"/>
      <w:b/>
      <w:bCs/>
      <w:kern w:val="28"/>
      <w:sz w:val="32"/>
      <w:szCs w:val="32"/>
    </w:rPr>
  </w:style>
  <w:style w:type="paragraph" w:customStyle="1" w:styleId="34">
    <w:name w:val="标准文件_段"/>
    <w:link w:val="3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标准文件_正文表标题"/>
    <w:next w:val="34"/>
    <w:qFormat/>
    <w:uiPriority w:val="0"/>
    <w:pPr>
      <w:numPr>
        <w:ilvl w:val="0"/>
        <w:numId w:val="3"/>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36">
    <w:name w:val="标准文件_表格"/>
    <w:basedOn w:val="34"/>
    <w:qFormat/>
    <w:uiPriority w:val="0"/>
    <w:pPr>
      <w:ind w:firstLine="0" w:firstLineChars="0"/>
      <w:jc w:val="center"/>
    </w:pPr>
    <w:rPr>
      <w:sz w:val="18"/>
    </w:rPr>
  </w:style>
  <w:style w:type="paragraph" w:customStyle="1" w:styleId="37">
    <w:name w:val="标准文件_注："/>
    <w:next w:val="34"/>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character" w:customStyle="1" w:styleId="38">
    <w:name w:val="标准文件_段 Char"/>
    <w:link w:val="34"/>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

<file path=customXml/item3.xml><?xml version="1.0" encoding="utf-8"?>
<Properties xmlns="http://schemas.openxmlformats.org/officeDocument/2006/extended-properties" xmlns:vt="http://schemas.openxmlformats.org/officeDocument/2006/docPropsVTypes">
  <Template>0</Template>
  <TotalTime>2131</TotalTime>
  <Pages>1</Pages>
  <Words>1344</Words>
  <Characters>7664</Characters>
  <Application>Microsoft Office Word</Application>
  <DocSecurity>0</DocSecurity>
  <Lines>63</Lines>
  <Paragraphs>17</Paragraphs>
  <ScaleCrop>false</ScaleCrop>
  <Company/>
  <LinksUpToDate>false</LinksUpToDate>
  <CharactersWithSpaces>8991</CharactersWithSpaces>
  <SharedDoc>false</SharedDoc>
  <HyperlinksChanged>false</HyperlinksChanged>
  <AppVersion>15.0000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81</cp:revision>
  <cp:lastPrinted>2020-01-08T06:49:00Z</cp:lastPrinted>
  <dcterms:created xsi:type="dcterms:W3CDTF">2020-10-11T10:38:00Z</dcterms:created>
  <dcterms:modified xsi:type="dcterms:W3CDTF">2022-05-16T02:28:00Z</dcterms:modified>
</cp:coreProperties>
</file>

<file path=customXml/itemProps1.xml><?xml version="1.0" encoding="utf-8"?>
<ds:datastoreItem xmlns:ds="http://schemas.openxmlformats.org/officeDocument/2006/customXml" ds:itemID="{7965E1A9-DFCC-48FD-A727-B2BFF0A82717}">
  <ds:schemaRefs/>
</ds:datastoreItem>
</file>

<file path=customXml/itemProps2.xml><?xml version="1.0" encoding="utf-8"?>
<ds:datastoreItem xmlns:ds="http://schemas.openxmlformats.org/officeDocument/2006/customXml" ds:itemID="{8E7952DC-2DD5-4EDF-B416-22CA432A6D55}">
  <ds:schemaRefs/>
</ds:datastoreItem>
</file>

<file path=customXml/itemProps3.xml><?xml version="1.0" encoding="utf-8"?>
<ds:datastoreItem xmlns:ds="http://schemas.openxmlformats.org/officeDocument/2006/customXml" ds:itemID="{EAE07008-0C14-40A3-A40B-225316E0EDC1}">
  <ds:schemaRefs/>
</ds:datastoreItem>
</file>

<file path=customXml/itemProps4.xml><?xml version="1.0" encoding="utf-8"?>
<ds:datastoreItem xmlns:ds="http://schemas.openxmlformats.org/officeDocument/2006/customXml" ds:itemID="{A4680D03-5638-4C23-BF72-B3206A508B4E}">
  <ds:schemaRefs/>
</ds:datastoreItem>
</file>

<file path=docProps/app.xml><?xml version="1.0" encoding="utf-8"?>
<Properties xmlns="http://schemas.openxmlformats.org/officeDocument/2006/extended-properties" xmlns:vt="http://schemas.openxmlformats.org/officeDocument/2006/docPropsVTypes">
  <Template>0</Template>
  <Pages>7</Pages>
  <Words>743</Words>
  <Characters>4236</Characters>
  <Lines>35</Lines>
  <Paragraphs>9</Paragraphs>
  <TotalTime>2267</TotalTime>
  <ScaleCrop>false</ScaleCrop>
  <LinksUpToDate>false</LinksUpToDate>
  <CharactersWithSpaces>4970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2020-10-11T10:38:00Z</dcterms:created>
  <dc:creator>Lenovo</dc:creator>
  <cp:lastModifiedBy>素素</cp:lastModifiedBy>
  <cp:lastPrinted>2020-01-08T06:49:00Z</cp:lastPrinted>
  <dcterms:modified xsi:type="dcterms:W3CDTF">2023-11-10T23:33:25Z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2576723720F947F78A4604F2C57A8E2C_12</vt:lpwstr>
  </property>
</Properties>
</file>