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000000"/>
          <w:w w:val="150"/>
          <w:sz w:val="96"/>
          <w:szCs w:val="96"/>
        </w:rPr>
      </w:pPr>
      <w:r>
        <w:rPr>
          <w:rFonts w:eastAsia="黑体"/>
          <w:b/>
          <w:color w:val="000000"/>
          <w:w w:val="150"/>
          <w:sz w:val="96"/>
          <w:szCs w:val="96"/>
        </w:rPr>
        <w:t>YS</w:t>
      </w:r>
    </w:p>
    <w:p>
      <w:pPr>
        <w:jc w:val="distribute"/>
        <w:rPr>
          <w:rFonts w:ascii="黑体" w:hAnsi="黑体" w:eastAsia="黑体"/>
          <w:b/>
          <w:color w:val="000000"/>
          <w:sz w:val="44"/>
          <w:szCs w:val="52"/>
        </w:rPr>
      </w:pPr>
      <w:r>
        <w:rPr>
          <w:rFonts w:hint="eastAsia" w:ascii="黑体" w:hAnsi="黑体" w:eastAsia="黑体"/>
          <w:b/>
          <w:color w:val="000000"/>
          <w:sz w:val="48"/>
          <w:szCs w:val="52"/>
        </w:rPr>
        <w:t>中华人民共和国有色金属行业标准</w:t>
      </w:r>
    </w:p>
    <w:p>
      <w:pPr>
        <w:jc w:val="right"/>
        <w:rPr>
          <w:rFonts w:eastAsia="黑体"/>
          <w:color w:val="000000"/>
          <w:spacing w:val="20"/>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943600" cy="0"/>
                <wp:effectExtent l="9525" t="15240" r="9525" b="13335"/>
                <wp:wrapNone/>
                <wp:docPr id="12" name="Line 14"/>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wps:spPr>
                      <wps:bodyPr/>
                    </wps:wsp>
                  </a:graphicData>
                </a:graphic>
              </wp:anchor>
            </w:drawing>
          </mc:Choice>
          <mc:Fallback>
            <w:pict>
              <v:line id="Line 14" o:spid="_x0000_s1026" o:spt="20" style="position:absolute;left:0pt;margin-left:0pt;margin-top:31.2pt;height:0pt;width:468pt;z-index:251659264;mso-width-relative:page;mso-height-relative:page;" filled="f" stroked="t" coordsize="21600,21600" o:gfxdata="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PLqtdUAAAAGAQAADwAAAAAAAAABACAAAAAiAAAAZHJzL2Rvd25y&#10;ZXYueG1sUEsBAhQAFAAAAAgAh07iQF4MpJPIAQAAogMAAA4AAAAAAAAAAQAgAAAAJAEAAGRycy9l&#10;Mm9Eb2MueG1sUEsFBgAAAAAGAAYAWQEAAF4FAAAAAA==&#10;">
                <v:fill on="f" focussize="0,0"/>
                <v:stroke weight="1pt" color="#000000" joinstyle="round"/>
                <v:imagedata o:title=""/>
                <o:lock v:ext="edit" aspectratio="f"/>
              </v:line>
            </w:pict>
          </mc:Fallback>
        </mc:AlternateContent>
      </w:r>
      <w:r>
        <w:rPr>
          <w:rFonts w:eastAsia="黑体"/>
          <w:color w:val="000000"/>
          <w:spacing w:val="20"/>
          <w:sz w:val="28"/>
          <w:szCs w:val="28"/>
        </w:rPr>
        <w:t>YS/T XXXX-202X</w:t>
      </w:r>
    </w:p>
    <w:p>
      <w:pPr>
        <w:rPr>
          <w:rFonts w:eastAsia="黑体"/>
          <w:color w:val="000000"/>
          <w:spacing w:val="20"/>
          <w:sz w:val="28"/>
          <w:szCs w:val="28"/>
        </w:rPr>
      </w:pPr>
    </w:p>
    <w:p>
      <w:pPr>
        <w:rPr>
          <w:rFonts w:eastAsia="黑体"/>
          <w:color w:val="000000"/>
          <w:spacing w:val="20"/>
          <w:sz w:val="28"/>
          <w:szCs w:val="28"/>
        </w:rPr>
      </w:pPr>
    </w:p>
    <w:p>
      <w:pPr>
        <w:rPr>
          <w:rFonts w:eastAsia="黑体"/>
          <w:color w:val="000000"/>
          <w:spacing w:val="20"/>
          <w:sz w:val="28"/>
          <w:szCs w:val="28"/>
        </w:rPr>
      </w:pPr>
    </w:p>
    <w:p>
      <w:pPr>
        <w:rPr>
          <w:rFonts w:eastAsia="黑体"/>
          <w:color w:val="000000"/>
          <w:spacing w:val="20"/>
          <w:sz w:val="28"/>
          <w:szCs w:val="28"/>
        </w:rPr>
      </w:pPr>
    </w:p>
    <w:p>
      <w:pPr>
        <w:rPr>
          <w:rFonts w:eastAsia="黑体"/>
          <w:color w:val="000000"/>
          <w:spacing w:val="20"/>
          <w:sz w:val="28"/>
          <w:szCs w:val="28"/>
        </w:rPr>
      </w:pPr>
    </w:p>
    <w:p>
      <w:pPr>
        <w:rPr>
          <w:rFonts w:eastAsia="黑体"/>
          <w:color w:val="000000"/>
          <w:spacing w:val="20"/>
          <w:sz w:val="28"/>
          <w:szCs w:val="28"/>
        </w:rPr>
      </w:pPr>
    </w:p>
    <w:p>
      <w:pPr>
        <w:jc w:val="center"/>
        <w:rPr>
          <w:rFonts w:eastAsia="黑体"/>
          <w:color w:val="000000"/>
          <w:spacing w:val="20"/>
          <w:sz w:val="52"/>
          <w:szCs w:val="52"/>
        </w:rPr>
      </w:pPr>
      <w:r>
        <w:rPr>
          <w:rFonts w:hint="eastAsia" w:eastAsia="黑体"/>
          <w:color w:val="000000"/>
          <w:spacing w:val="20"/>
          <w:sz w:val="52"/>
          <w:szCs w:val="52"/>
        </w:rPr>
        <w:t>区熔用多晶硅材料</w:t>
      </w:r>
    </w:p>
    <w:p>
      <w:pPr>
        <w:jc w:val="center"/>
        <w:rPr>
          <w:rFonts w:hint="eastAsia" w:eastAsia="黑体"/>
          <w:b/>
          <w:color w:val="000000"/>
          <w:spacing w:val="20"/>
          <w:sz w:val="28"/>
          <w:szCs w:val="28"/>
          <w:lang w:val="en-US" w:eastAsia="zh-CN"/>
        </w:rPr>
      </w:pPr>
      <w:r>
        <w:rPr>
          <w:rFonts w:eastAsia="黑体"/>
          <w:b/>
          <w:color w:val="000000"/>
          <w:spacing w:val="20"/>
          <w:sz w:val="28"/>
          <w:szCs w:val="28"/>
        </w:rPr>
        <w:t>Polycrystalline silicon</w:t>
      </w:r>
      <w:r>
        <w:rPr>
          <w:rFonts w:hint="eastAsia" w:eastAsia="黑体"/>
          <w:b/>
          <w:color w:val="000000"/>
          <w:spacing w:val="20"/>
          <w:sz w:val="28"/>
          <w:szCs w:val="28"/>
          <w:lang w:val="en-US" w:eastAsia="zh-CN"/>
        </w:rPr>
        <w:t xml:space="preserve"> </w:t>
      </w:r>
      <w:r>
        <w:rPr>
          <w:rFonts w:eastAsia="黑体"/>
          <w:b/>
          <w:color w:val="000000"/>
          <w:spacing w:val="20"/>
          <w:sz w:val="28"/>
          <w:szCs w:val="28"/>
        </w:rPr>
        <w:t xml:space="preserve">materials </w:t>
      </w:r>
      <w:r>
        <w:rPr>
          <w:rFonts w:hint="eastAsia" w:eastAsia="黑体"/>
          <w:b/>
          <w:color w:val="000000"/>
          <w:spacing w:val="20"/>
          <w:sz w:val="28"/>
          <w:szCs w:val="28"/>
        </w:rPr>
        <w:t>for</w:t>
      </w:r>
      <w:r>
        <w:rPr>
          <w:rFonts w:eastAsia="黑体"/>
          <w:b/>
          <w:color w:val="000000"/>
          <w:spacing w:val="20"/>
          <w:sz w:val="28"/>
          <w:szCs w:val="28"/>
        </w:rPr>
        <w:t xml:space="preserve"> float zoned</w:t>
      </w:r>
    </w:p>
    <w:p>
      <w:pPr>
        <w:jc w:val="center"/>
        <w:rPr>
          <w:rFonts w:eastAsia="黑体"/>
          <w:b/>
          <w:color w:val="000000"/>
          <w:spacing w:val="20"/>
          <w:sz w:val="28"/>
          <w:szCs w:val="28"/>
        </w:rPr>
      </w:pPr>
    </w:p>
    <w:p>
      <w:pPr>
        <w:rPr>
          <w:rFonts w:eastAsia="黑体"/>
          <w:color w:val="000000"/>
          <w:spacing w:val="20"/>
          <w:sz w:val="28"/>
          <w:szCs w:val="28"/>
        </w:rPr>
      </w:pPr>
    </w:p>
    <w:p>
      <w:pPr>
        <w:rPr>
          <w:rFonts w:eastAsia="黑体"/>
          <w:color w:val="000000"/>
          <w:spacing w:val="20"/>
          <w:sz w:val="28"/>
          <w:szCs w:val="28"/>
        </w:rPr>
      </w:pPr>
    </w:p>
    <w:p>
      <w:pPr>
        <w:rPr>
          <w:rFonts w:eastAsia="黑体"/>
          <w:color w:val="000000"/>
          <w:spacing w:val="20"/>
          <w:sz w:val="28"/>
          <w:szCs w:val="28"/>
        </w:rPr>
        <w:sectPr>
          <w:headerReference r:id="rId3" w:type="default"/>
          <w:footerReference r:id="rId4" w:type="default"/>
          <w:pgSz w:w="11906" w:h="16838"/>
          <w:pgMar w:top="1134" w:right="1134" w:bottom="1134" w:left="1418" w:header="851" w:footer="992" w:gutter="0"/>
          <w:cols w:space="720" w:num="1"/>
          <w:docGrid w:type="lines" w:linePitch="312" w:charSpace="0"/>
        </w:sectPr>
      </w:pPr>
    </w:p>
    <w:p>
      <w:pPr>
        <w:rPr>
          <w:rFonts w:eastAsia="黑体"/>
          <w:color w:val="000000"/>
          <w:spacing w:val="20"/>
          <w:sz w:val="28"/>
          <w:szCs w:val="28"/>
        </w:rPr>
      </w:pPr>
    </w:p>
    <w:p>
      <w:pPr>
        <w:rPr>
          <w:rFonts w:eastAsia="黑体"/>
          <w:color w:val="000000"/>
          <w:spacing w:val="20"/>
          <w:sz w:val="28"/>
          <w:szCs w:val="28"/>
        </w:rPr>
      </w:pPr>
    </w:p>
    <w:p>
      <w:pPr>
        <w:rPr>
          <w:rFonts w:eastAsia="黑体"/>
          <w:color w:val="000000"/>
          <w:spacing w:val="20"/>
          <w:szCs w:val="21"/>
        </w:rPr>
      </w:pPr>
    </w:p>
    <w:p>
      <w:pPr>
        <w:rPr>
          <w:rFonts w:eastAsia="黑体"/>
          <w:i/>
          <w:color w:val="000000"/>
          <w:spacing w:val="20"/>
          <w:szCs w:val="21"/>
        </w:rPr>
      </w:pPr>
    </w:p>
    <w:p>
      <w:pPr>
        <w:rPr>
          <w:rFonts w:eastAsia="黑体"/>
          <w:i/>
          <w:color w:val="000000"/>
          <w:spacing w:val="20"/>
          <w:szCs w:val="21"/>
        </w:rPr>
      </w:pPr>
    </w:p>
    <w:p>
      <w:pPr>
        <w:rPr>
          <w:rFonts w:eastAsia="黑体"/>
          <w:i/>
          <w:color w:val="000000"/>
          <w:spacing w:val="20"/>
          <w:szCs w:val="21"/>
        </w:rPr>
      </w:pPr>
    </w:p>
    <w:p>
      <w:pPr>
        <w:rPr>
          <w:rFonts w:eastAsia="黑体"/>
          <w:i/>
          <w:color w:val="000000"/>
          <w:spacing w:val="20"/>
          <w:szCs w:val="21"/>
        </w:rPr>
      </w:pPr>
    </w:p>
    <w:p>
      <w:pPr>
        <w:rPr>
          <w:rFonts w:eastAsia="黑体"/>
          <w:color w:val="000000"/>
          <w:spacing w:val="20"/>
          <w:sz w:val="28"/>
          <w:szCs w:val="28"/>
        </w:rPr>
      </w:pPr>
      <w:r>
        <w:rPr>
          <w:rFonts w:eastAsia="黑体"/>
          <w:color w:val="000000"/>
          <w:spacing w:val="20"/>
          <w:sz w:val="28"/>
          <w:szCs w:val="28"/>
        </w:rPr>
        <w:t>202X-xx-xx</w:t>
      </w:r>
      <w:r>
        <w:rPr>
          <w:rFonts w:hint="eastAsia" w:eastAsia="黑体"/>
          <w:color w:val="000000"/>
          <w:spacing w:val="20"/>
          <w:sz w:val="28"/>
          <w:szCs w:val="28"/>
        </w:rPr>
        <w:t>发布</w:t>
      </w:r>
      <w:r>
        <w:rPr>
          <w:rFonts w:eastAsia="黑体"/>
          <w:color w:val="000000"/>
          <w:spacing w:val="20"/>
          <w:sz w:val="28"/>
          <w:szCs w:val="28"/>
        </w:rPr>
        <w:t xml:space="preserve">                         202X-xx-xx</w:t>
      </w:r>
      <w:r>
        <w:rPr>
          <w:rFonts w:hint="eastAsia" w:eastAsia="黑体"/>
          <w:color w:val="000000"/>
          <w:spacing w:val="20"/>
          <w:sz w:val="28"/>
          <w:szCs w:val="28"/>
        </w:rPr>
        <w:t>实施</w:t>
      </w:r>
    </w:p>
    <w:p>
      <w:pPr>
        <w:adjustRightInd w:val="0"/>
        <w:snapToGrid w:val="0"/>
        <w:spacing w:line="240" w:lineRule="atLeast"/>
        <w:jc w:val="center"/>
        <w:rPr>
          <w:rFonts w:eastAsia="黑体"/>
          <w:color w:val="000000"/>
          <w:kern w:val="0"/>
          <w:sz w:val="28"/>
          <w:szCs w:val="28"/>
        </w:rPr>
      </w:pPr>
      <w: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43180</wp:posOffset>
                </wp:positionV>
                <wp:extent cx="5894705" cy="635"/>
                <wp:effectExtent l="5715" t="5080" r="5080" b="13335"/>
                <wp:wrapNone/>
                <wp:docPr id="11" name="Line 15"/>
                <wp:cNvGraphicFramePr/>
                <a:graphic xmlns:a="http://schemas.openxmlformats.org/drawingml/2006/main">
                  <a:graphicData uri="http://schemas.microsoft.com/office/word/2010/wordprocessingShape">
                    <wps:wsp>
                      <wps:cNvCnPr>
                        <a:cxnSpLocks noChangeShapeType="1"/>
                      </wps:cNvCnPr>
                      <wps:spPr bwMode="auto">
                        <a:xfrm>
                          <a:off x="0" y="0"/>
                          <a:ext cx="5894705" cy="635"/>
                        </a:xfrm>
                        <a:prstGeom prst="line">
                          <a:avLst/>
                        </a:prstGeom>
                        <a:noFill/>
                        <a:ln w="3175">
                          <a:solidFill>
                            <a:srgbClr val="000000"/>
                          </a:solidFill>
                          <a:round/>
                        </a:ln>
                      </wps:spPr>
                      <wps:bodyPr/>
                    </wps:wsp>
                  </a:graphicData>
                </a:graphic>
              </wp:anchor>
            </w:drawing>
          </mc:Choice>
          <mc:Fallback>
            <w:pict>
              <v:line id="Line 15" o:spid="_x0000_s1026" o:spt="20" style="position:absolute;left:0pt;margin-left:-3.3pt;margin-top:3.4pt;height:0.05pt;width:464.15pt;z-index:251660288;mso-width-relative:page;mso-height-relative:page;" filled="f" stroked="t" coordsize="21600,21600" o:gfxdata="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&#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uW1N1gAAAAYBAAAPAAAAAAAAAAEAIAAAACIAAABk&#10;cnMvZG93bnJldi54bWxQSwECFAAUAAAACACHTuJAqofZv88BAACjAwAADgAAAAAAAAABACAAAAAl&#10;AQAAZHJzL2Uyb0RvYy54bWxQSwUGAAAAAAYABgBZAQAAZgUAAAAA&#10;">
                <v:fill on="f" focussize="0,0"/>
                <v:stroke weight="0.25pt" color="#000000" joinstyle="round"/>
                <v:imagedata o:title=""/>
                <o:lock v:ext="edit" aspectratio="f"/>
              </v:line>
            </w:pict>
          </mc:Fallback>
        </mc:AlternateContent>
      </w:r>
    </w:p>
    <w:p>
      <w:pPr>
        <w:tabs>
          <w:tab w:val="center" w:pos="4677"/>
          <w:tab w:val="right" w:pos="9354"/>
        </w:tabs>
        <w:adjustRightInd w:val="0"/>
        <w:snapToGrid w:val="0"/>
        <w:jc w:val="left"/>
        <w:rPr>
          <w:rFonts w:eastAsia="黑体"/>
          <w:color w:val="000000"/>
          <w:kern w:val="0"/>
          <w:sz w:val="36"/>
          <w:szCs w:val="28"/>
        </w:rPr>
        <w:sectPr>
          <w:headerReference r:id="rId5" w:type="even"/>
          <w:type w:val="continuous"/>
          <w:pgSz w:w="11906" w:h="16838"/>
          <w:pgMar w:top="1134" w:right="1134" w:bottom="1134" w:left="1418" w:header="851" w:footer="992" w:gutter="0"/>
          <w:cols w:space="720" w:num="1"/>
          <w:docGrid w:type="lines" w:linePitch="312" w:charSpace="0"/>
        </w:sectPr>
      </w:pPr>
      <w:r>
        <w:rPr>
          <w:rFonts w:eastAsia="黑体"/>
          <w:color w:val="000000"/>
          <w:spacing w:val="30"/>
          <w:kern w:val="0"/>
          <w:sz w:val="36"/>
          <w:szCs w:val="28"/>
          <w:fitText w:val="5828" w:id="-1523342846"/>
          <w:eastAsianLayout w:id="3" w:combine="1"/>
        </w:rPr>
        <w:tab/>
      </w:r>
      <w:r>
        <w:rPr>
          <w:rFonts w:hint="eastAsia" w:eastAsia="黑体"/>
          <w:color w:val="000000"/>
          <w:spacing w:val="30"/>
          <w:kern w:val="0"/>
          <w:sz w:val="36"/>
          <w:szCs w:val="28"/>
          <w:fitText w:val="5828" w:id="-1523342846"/>
          <w:eastAsianLayout w:id="4" w:combine="1"/>
        </w:rPr>
        <w:t>中华人民共和国工业和信息化</w:t>
      </w:r>
      <w:r>
        <w:rPr>
          <w:rFonts w:hint="eastAsia" w:eastAsia="黑体"/>
          <w:color w:val="000000"/>
          <w:spacing w:val="4"/>
          <w:kern w:val="0"/>
          <w:sz w:val="36"/>
          <w:szCs w:val="28"/>
          <w:fitText w:val="5828" w:id="-1523342846"/>
          <w:eastAsianLayout w:id="5" w:combine="1"/>
        </w:rPr>
        <w:t>部</w:t>
      </w:r>
      <w:r>
        <w:rPr>
          <w:rFonts w:hint="eastAsia" w:eastAsia="黑体"/>
          <w:color w:val="000000"/>
          <w:kern w:val="0"/>
          <w:sz w:val="36"/>
          <w:szCs w:val="28"/>
        </w:rPr>
        <w:t xml:space="preserve">  发 布</w:t>
      </w:r>
      <w:r>
        <w:rPr>
          <w:rFonts w:eastAsia="黑体"/>
          <w:color w:val="000000"/>
          <w:kern w:val="0"/>
          <w:sz w:val="36"/>
          <w:szCs w:val="28"/>
        </w:rPr>
        <w:tab/>
      </w:r>
      <w:r>
        <w:rPr>
          <w:w w:val="150"/>
          <w:sz w:val="28"/>
        </w:rPr>
        <w:t xml:space="preserve">          </w:t>
      </w:r>
    </w:p>
    <w:p>
      <w:pPr>
        <w:pStyle w:val="6"/>
        <w:rPr>
          <w:rFonts w:ascii="Times New Roman"/>
          <w:color w:val="000000"/>
          <w:sz w:val="31"/>
          <w:szCs w:val="31"/>
        </w:rPr>
      </w:pPr>
      <w:r>
        <w:rPr>
          <w:rFonts w:hint="eastAsia" w:ascii="Times New Roman"/>
          <w:color w:val="000000"/>
          <w:sz w:val="31"/>
          <w:szCs w:val="31"/>
        </w:rPr>
        <w:t>前</w:t>
      </w:r>
      <w:r>
        <w:rPr>
          <w:rFonts w:ascii="Times New Roman"/>
          <w:color w:val="000000"/>
          <w:sz w:val="31"/>
          <w:szCs w:val="31"/>
        </w:rPr>
        <w:t xml:space="preserve">    </w:t>
      </w:r>
      <w:r>
        <w:rPr>
          <w:rFonts w:hint="eastAsia" w:ascii="Times New Roman"/>
          <w:color w:val="000000"/>
          <w:sz w:val="31"/>
          <w:szCs w:val="31"/>
        </w:rPr>
        <w:t>言</w:t>
      </w:r>
    </w:p>
    <w:p>
      <w:pPr>
        <w:pStyle w:val="7"/>
        <w:ind w:firstLine="447" w:firstLineChars="213"/>
        <w:rPr>
          <w:rFonts w:hint="eastAsia" w:ascii="宋体" w:hAnsi="宋体" w:eastAsia="宋体" w:cs="宋体"/>
          <w:color w:val="000000"/>
          <w:sz w:val="21"/>
          <w:szCs w:val="21"/>
        </w:rPr>
      </w:pPr>
      <w:r>
        <w:rPr>
          <w:rFonts w:hint="eastAsia" w:ascii="宋体" w:hAnsi="宋体" w:eastAsia="宋体" w:cs="宋体"/>
          <w:color w:val="000000"/>
          <w:sz w:val="21"/>
          <w:szCs w:val="21"/>
        </w:rPr>
        <w:t>本文件按照GB/T 1.1-2020的规定编写。</w:t>
      </w:r>
    </w:p>
    <w:p>
      <w:pPr>
        <w:pStyle w:val="7"/>
        <w:ind w:firstLine="447" w:firstLineChars="213"/>
        <w:rPr>
          <w:rFonts w:hint="eastAsia" w:ascii="宋体" w:hAnsi="宋体" w:eastAsia="宋体" w:cs="宋体"/>
          <w:color w:val="000000"/>
          <w:sz w:val="21"/>
          <w:szCs w:val="21"/>
        </w:rPr>
      </w:pPr>
      <w:r>
        <w:rPr>
          <w:rFonts w:hint="eastAsia" w:ascii="宋体" w:hAnsi="宋体" w:eastAsia="宋体" w:cs="宋体"/>
          <w:color w:val="000000"/>
          <w:sz w:val="21"/>
          <w:szCs w:val="21"/>
        </w:rPr>
        <w:t>请注意本文件的某些内容可能涉及专利。本文件的发布机构不承担识别这些专利的责任。</w:t>
      </w:r>
    </w:p>
    <w:p>
      <w:pPr>
        <w:widowControl/>
        <w:autoSpaceDE w:val="0"/>
        <w:autoSpaceDN w:val="0"/>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本文件由全国有色金属标准化技术委员会（SAC/TC243）、全国半导体设备和材料标准化技术委员会材料分技术委员会（SAC/TC203/SC2）提出并归口。</w:t>
      </w:r>
    </w:p>
    <w:p>
      <w:pPr>
        <w:pStyle w:val="7"/>
        <w:ind w:firstLine="400"/>
        <w:rPr>
          <w:rFonts w:hint="eastAsia" w:ascii="宋体" w:hAnsi="宋体" w:eastAsia="宋体" w:cs="宋体"/>
          <w:color w:val="000000"/>
          <w:sz w:val="21"/>
          <w:szCs w:val="21"/>
        </w:rPr>
      </w:pPr>
      <w:r>
        <w:rPr>
          <w:rFonts w:hint="eastAsia" w:ascii="宋体" w:hAnsi="宋体" w:eastAsia="宋体" w:cs="宋体"/>
          <w:color w:val="000000"/>
          <w:sz w:val="21"/>
          <w:szCs w:val="21"/>
        </w:rPr>
        <w:t>本文件起草单位:陕西有色天宏瑞科硅材料有限责任公司。</w:t>
      </w:r>
    </w:p>
    <w:p>
      <w:pPr>
        <w:pStyle w:val="7"/>
        <w:ind w:firstLine="4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本文件主要起草人： </w:t>
      </w:r>
    </w:p>
    <w:p>
      <w:pPr>
        <w:pStyle w:val="7"/>
        <w:ind w:firstLine="400"/>
        <w:rPr>
          <w:rFonts w:ascii="Times New Roman" w:eastAsia="黑体"/>
          <w:color w:val="000000"/>
          <w:sz w:val="20"/>
        </w:rPr>
        <w:sectPr>
          <w:headerReference r:id="rId6" w:type="default"/>
          <w:footerReference r:id="rId7" w:type="default"/>
          <w:footerReference r:id="rId8" w:type="even"/>
          <w:pgSz w:w="11906" w:h="16838"/>
          <w:pgMar w:top="1134" w:right="1134" w:bottom="1134" w:left="1418" w:header="851" w:footer="992" w:gutter="0"/>
          <w:pgNumType w:start="1"/>
          <w:cols w:space="720" w:num="1"/>
          <w:docGrid w:type="lines" w:linePitch="312" w:charSpace="0"/>
        </w:sectPr>
      </w:pPr>
      <w:r>
        <w:rPr>
          <w:rFonts w:hint="eastAsia" w:ascii="宋体" w:hAnsi="宋体" w:eastAsia="宋体" w:cs="宋体"/>
          <w:color w:val="000000"/>
          <w:sz w:val="21"/>
          <w:szCs w:val="21"/>
        </w:rPr>
        <w:t>本文件首次发布</w:t>
      </w:r>
      <w:r>
        <w:rPr>
          <w:rFonts w:hint="eastAsia" w:ascii="Times New Roman" w:eastAsia="黑体"/>
          <w:color w:val="000000"/>
          <w:sz w:val="20"/>
        </w:rPr>
        <w:t>。</w:t>
      </w:r>
    </w:p>
    <w:p>
      <w:pPr>
        <w:rPr>
          <w:rFonts w:eastAsia="黑体"/>
          <w:color w:val="000000"/>
          <w:spacing w:val="20"/>
          <w:sz w:val="32"/>
          <w:szCs w:val="32"/>
        </w:rPr>
      </w:pPr>
    </w:p>
    <w:p>
      <w:pPr>
        <w:jc w:val="center"/>
        <w:rPr>
          <w:rFonts w:eastAsia="黑体"/>
          <w:color w:val="000000"/>
          <w:spacing w:val="20"/>
          <w:sz w:val="32"/>
          <w:szCs w:val="32"/>
        </w:rPr>
      </w:pPr>
      <w:r>
        <w:rPr>
          <w:rFonts w:hint="eastAsia" w:eastAsia="黑体"/>
          <w:color w:val="000000"/>
          <w:spacing w:val="20"/>
          <w:sz w:val="32"/>
          <w:szCs w:val="32"/>
        </w:rPr>
        <w:t>区熔用多晶硅材料</w:t>
      </w:r>
    </w:p>
    <w:p>
      <w:pPr>
        <w:jc w:val="center"/>
        <w:rPr>
          <w:rFonts w:eastAsia="黑体"/>
          <w:i/>
          <w:color w:val="000000"/>
          <w:spacing w:val="20"/>
          <w:szCs w:val="21"/>
        </w:rPr>
      </w:pPr>
    </w:p>
    <w:p>
      <w:pPr>
        <w:pStyle w:val="8"/>
        <w:keepNext w:val="0"/>
        <w:keepLines w:val="0"/>
        <w:pageBreakBefore w:val="0"/>
        <w:widowControl/>
        <w:kinsoku/>
        <w:wordWrap/>
        <w:overflowPunct/>
        <w:topLinePunct w:val="0"/>
        <w:autoSpaceDE/>
        <w:autoSpaceDN/>
        <w:bidi w:val="0"/>
        <w:adjustRightInd/>
        <w:snapToGrid/>
        <w:spacing w:before="313" w:beforeLines="100" w:after="313" w:afterLines="100"/>
        <w:ind w:left="0"/>
        <w:textAlignment w:val="auto"/>
        <w:rPr>
          <w:rFonts w:ascii="Times New Roman"/>
          <w:color w:val="000000"/>
          <w:sz w:val="20"/>
        </w:rPr>
      </w:pPr>
      <w:bookmarkStart w:id="0" w:name="SectionMark4"/>
      <w:r>
        <w:rPr>
          <w:rFonts w:hint="eastAsia" w:ascii="Times New Roman"/>
          <w:color w:val="000000"/>
          <w:sz w:val="20"/>
        </w:rPr>
        <w:t>范围</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本文件规定了区熔用多晶硅材料产品要求、检验方法、检验规则以及标志、包装、运输、储存、随行文件和订货单（或合同）内容。</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本文件适用于以氯硅烷、硅烷为原料生长的区熔用多晶硅材料（以下简称“区熔硅”）。</w:t>
      </w:r>
    </w:p>
    <w:p>
      <w:pPr>
        <w:pStyle w:val="8"/>
        <w:keepNext w:val="0"/>
        <w:keepLines w:val="0"/>
        <w:pageBreakBefore w:val="0"/>
        <w:widowControl/>
        <w:kinsoku/>
        <w:wordWrap/>
        <w:overflowPunct/>
        <w:topLinePunct w:val="0"/>
        <w:autoSpaceDE/>
        <w:autoSpaceDN/>
        <w:bidi w:val="0"/>
        <w:adjustRightInd/>
        <w:snapToGrid/>
        <w:spacing w:before="313" w:beforeLines="100" w:after="313" w:afterLines="100"/>
        <w:ind w:left="0"/>
        <w:textAlignment w:val="auto"/>
        <w:rPr>
          <w:rFonts w:ascii="Times New Roman"/>
          <w:color w:val="000000"/>
          <w:sz w:val="20"/>
        </w:rPr>
      </w:pPr>
      <w:r>
        <w:rPr>
          <w:rFonts w:hint="eastAsia" w:ascii="Times New Roman"/>
          <w:color w:val="000000"/>
          <w:sz w:val="20"/>
        </w:rPr>
        <w:t>规范性引用文件</w:t>
      </w:r>
    </w:p>
    <w:p>
      <w:pPr>
        <w:pStyle w:val="7"/>
        <w:ind w:firstLine="400"/>
        <w:rPr>
          <w:rFonts w:hint="eastAsia" w:ascii="宋体" w:hAnsi="宋体" w:eastAsia="宋体" w:cs="宋体"/>
          <w:color w:val="000000"/>
          <w:sz w:val="21"/>
          <w:szCs w:val="21"/>
        </w:rPr>
      </w:pPr>
      <w:r>
        <w:rPr>
          <w:rFonts w:hint="eastAsia" w:ascii="宋体" w:hAnsi="宋体" w:eastAsia="宋体" w:cs="宋体"/>
          <w:color w:val="000000"/>
          <w:sz w:val="21"/>
          <w:szCs w:val="21"/>
        </w:rPr>
        <w:t>下列文件中的条款通过本文件的引用而成为本文件的条款。凡是注日期的引用文件，其随后所有的修改单（不包括勘误的内容）或修订版均不适用于本文件，然而，鼓励根据本文件达成协议的各方研究是否可使用这些文件的最新版本。凡是不注日期的引用文件，其最新版本适用于本文件。</w:t>
      </w:r>
    </w:p>
    <w:p>
      <w:pPr>
        <w:snapToGrid w:val="0"/>
        <w:spacing w:line="300" w:lineRule="auto"/>
        <w:ind w:left="420" w:leftChars="200"/>
        <w:rPr>
          <w:rFonts w:hint="eastAsia" w:ascii="宋体" w:hAnsi="宋体" w:eastAsia="宋体" w:cs="宋体"/>
          <w:color w:val="000000"/>
          <w:sz w:val="21"/>
          <w:szCs w:val="21"/>
        </w:rPr>
      </w:pPr>
      <w:r>
        <w:rPr>
          <w:rFonts w:hint="eastAsia" w:ascii="宋体" w:hAnsi="宋体" w:eastAsia="宋体" w:cs="宋体"/>
          <w:color w:val="000000"/>
          <w:sz w:val="21"/>
          <w:szCs w:val="21"/>
        </w:rPr>
        <w:t>GB/T 1550 非本征半导体材料导电类型测试方法</w:t>
      </w:r>
    </w:p>
    <w:p>
      <w:pPr>
        <w:snapToGrid w:val="0"/>
        <w:spacing w:line="300" w:lineRule="auto"/>
        <w:ind w:left="420" w:leftChars="200"/>
        <w:rPr>
          <w:rFonts w:hint="eastAsia" w:ascii="宋体" w:hAnsi="宋体" w:eastAsia="宋体" w:cs="宋体"/>
          <w:color w:val="000000"/>
          <w:sz w:val="21"/>
          <w:szCs w:val="21"/>
        </w:rPr>
      </w:pPr>
      <w:r>
        <w:rPr>
          <w:rFonts w:hint="eastAsia" w:ascii="宋体" w:hAnsi="宋体" w:eastAsia="宋体" w:cs="宋体"/>
          <w:color w:val="000000"/>
          <w:sz w:val="21"/>
          <w:szCs w:val="21"/>
        </w:rPr>
        <w:t>GB/T 1551 硅单晶电阻率的测定 直排四探针法和直流两探针法</w:t>
      </w:r>
    </w:p>
    <w:p>
      <w:pPr>
        <w:snapToGrid w:val="0"/>
        <w:spacing w:line="300" w:lineRule="auto"/>
        <w:ind w:left="420" w:leftChars="200"/>
        <w:rPr>
          <w:rFonts w:hint="eastAsia" w:ascii="宋体" w:hAnsi="宋体" w:eastAsia="宋体" w:cs="宋体"/>
          <w:color w:val="000000"/>
          <w:sz w:val="21"/>
          <w:szCs w:val="21"/>
        </w:rPr>
      </w:pPr>
      <w:r>
        <w:rPr>
          <w:rFonts w:hint="eastAsia" w:ascii="宋体" w:hAnsi="宋体" w:eastAsia="宋体" w:cs="宋体"/>
          <w:color w:val="000000"/>
          <w:sz w:val="21"/>
          <w:szCs w:val="21"/>
        </w:rPr>
        <w:t>GB/T 1553 硅和锗体内少数载流子寿命测定光电导衰减法</w:t>
      </w:r>
    </w:p>
    <w:p>
      <w:pPr>
        <w:snapToGrid w:val="0"/>
        <w:spacing w:line="300" w:lineRule="auto"/>
        <w:ind w:left="420" w:leftChars="200"/>
        <w:rPr>
          <w:rFonts w:hint="eastAsia" w:ascii="宋体" w:hAnsi="宋体" w:eastAsia="宋体" w:cs="宋体"/>
          <w:color w:val="000000"/>
          <w:sz w:val="21"/>
          <w:szCs w:val="21"/>
        </w:rPr>
      </w:pPr>
      <w:r>
        <w:rPr>
          <w:rFonts w:hint="eastAsia" w:ascii="宋体" w:hAnsi="宋体" w:eastAsia="宋体" w:cs="宋体"/>
          <w:color w:val="000000"/>
          <w:sz w:val="21"/>
          <w:szCs w:val="21"/>
        </w:rPr>
        <w:t>GB/T 1557 硅晶体中间隙氧含量的红外吸收测量方法</w:t>
      </w:r>
    </w:p>
    <w:p>
      <w:pPr>
        <w:snapToGrid w:val="0"/>
        <w:spacing w:line="300" w:lineRule="auto"/>
        <w:ind w:left="420" w:leftChars="200"/>
        <w:rPr>
          <w:rFonts w:hint="eastAsia" w:ascii="宋体" w:hAnsi="宋体" w:eastAsia="宋体" w:cs="宋体"/>
          <w:color w:val="000000"/>
          <w:sz w:val="21"/>
          <w:szCs w:val="21"/>
        </w:rPr>
      </w:pPr>
      <w:r>
        <w:rPr>
          <w:rFonts w:hint="eastAsia" w:ascii="宋体" w:hAnsi="宋体" w:eastAsia="宋体" w:cs="宋体"/>
          <w:color w:val="000000"/>
          <w:sz w:val="21"/>
          <w:szCs w:val="21"/>
        </w:rPr>
        <w:t>GB/T 1558 硅中代位碳原子含量红外吸收测量方法</w:t>
      </w:r>
    </w:p>
    <w:p>
      <w:pPr>
        <w:snapToGrid w:val="0"/>
        <w:spacing w:line="300" w:lineRule="auto"/>
        <w:ind w:left="420" w:leftChars="200"/>
        <w:rPr>
          <w:rFonts w:hint="eastAsia" w:ascii="宋体" w:hAnsi="宋体" w:eastAsia="宋体" w:cs="宋体"/>
          <w:color w:val="000000"/>
          <w:sz w:val="21"/>
          <w:szCs w:val="21"/>
        </w:rPr>
      </w:pPr>
      <w:r>
        <w:rPr>
          <w:rFonts w:hint="eastAsia" w:ascii="宋体" w:hAnsi="宋体" w:eastAsia="宋体" w:cs="宋体"/>
          <w:color w:val="000000"/>
          <w:sz w:val="21"/>
          <w:szCs w:val="21"/>
        </w:rPr>
        <w:t>GB/T 4059 硅多晶气氛区熔基磷检验方法</w:t>
      </w:r>
    </w:p>
    <w:p>
      <w:pPr>
        <w:snapToGrid w:val="0"/>
        <w:spacing w:line="300" w:lineRule="auto"/>
        <w:ind w:left="420" w:leftChars="200"/>
        <w:rPr>
          <w:rFonts w:hint="eastAsia" w:ascii="宋体" w:hAnsi="宋体" w:eastAsia="宋体" w:cs="宋体"/>
          <w:color w:val="000000"/>
          <w:sz w:val="21"/>
          <w:szCs w:val="21"/>
        </w:rPr>
      </w:pPr>
      <w:r>
        <w:rPr>
          <w:rFonts w:hint="eastAsia" w:ascii="宋体" w:hAnsi="宋体" w:eastAsia="宋体" w:cs="宋体"/>
          <w:color w:val="000000"/>
          <w:sz w:val="21"/>
          <w:szCs w:val="21"/>
        </w:rPr>
        <w:t>GB/T 4060 硅多晶真空区熔基硼检验方法</w:t>
      </w:r>
    </w:p>
    <w:p>
      <w:pPr>
        <w:snapToGrid w:val="0"/>
        <w:spacing w:line="300" w:lineRule="auto"/>
        <w:ind w:left="420" w:leftChars="200"/>
        <w:rPr>
          <w:rFonts w:hint="eastAsia" w:ascii="宋体" w:hAnsi="宋体" w:eastAsia="宋体" w:cs="宋体"/>
          <w:color w:val="000000"/>
          <w:sz w:val="21"/>
          <w:szCs w:val="21"/>
        </w:rPr>
      </w:pPr>
      <w:r>
        <w:rPr>
          <w:rFonts w:hint="eastAsia" w:ascii="宋体" w:hAnsi="宋体" w:eastAsia="宋体" w:cs="宋体"/>
          <w:color w:val="000000"/>
          <w:sz w:val="21"/>
          <w:szCs w:val="21"/>
        </w:rPr>
        <w:t>GB/T 4061 硅多晶断面夹层化学腐蚀检验方法</w:t>
      </w:r>
    </w:p>
    <w:p>
      <w:pPr>
        <w:snapToGrid w:val="0"/>
        <w:spacing w:line="300" w:lineRule="auto"/>
        <w:ind w:left="420" w:leftChars="200"/>
        <w:rPr>
          <w:rFonts w:hint="eastAsia" w:ascii="宋体" w:hAnsi="宋体" w:eastAsia="宋体" w:cs="宋体"/>
          <w:color w:val="000000"/>
          <w:sz w:val="21"/>
          <w:szCs w:val="21"/>
        </w:rPr>
      </w:pPr>
      <w:r>
        <w:rPr>
          <w:rFonts w:hint="eastAsia" w:ascii="宋体" w:hAnsi="宋体" w:eastAsia="宋体" w:cs="宋体"/>
          <w:color w:val="000000"/>
          <w:sz w:val="21"/>
          <w:szCs w:val="21"/>
        </w:rPr>
        <w:t>GB/T 13389 掺硼掺磷砷硅单晶电阻率与掺杂剂含量换算规程</w:t>
      </w:r>
    </w:p>
    <w:p>
      <w:pPr>
        <w:snapToGrid w:val="0"/>
        <w:spacing w:line="300" w:lineRule="auto"/>
        <w:ind w:left="420" w:leftChars="200"/>
        <w:rPr>
          <w:rFonts w:hint="eastAsia" w:ascii="宋体" w:hAnsi="宋体" w:eastAsia="宋体" w:cs="宋体"/>
          <w:color w:val="000000"/>
          <w:sz w:val="21"/>
          <w:szCs w:val="21"/>
        </w:rPr>
      </w:pPr>
      <w:r>
        <w:rPr>
          <w:rFonts w:hint="eastAsia" w:ascii="宋体" w:hAnsi="宋体" w:eastAsia="宋体" w:cs="宋体"/>
          <w:color w:val="000000"/>
          <w:sz w:val="21"/>
          <w:szCs w:val="21"/>
        </w:rPr>
        <w:t>GB/T 14264 半导体材料术语</w:t>
      </w:r>
    </w:p>
    <w:p>
      <w:pPr>
        <w:snapToGrid w:val="0"/>
        <w:spacing w:line="300" w:lineRule="auto"/>
        <w:ind w:left="420" w:leftChars="200"/>
        <w:rPr>
          <w:rFonts w:hint="eastAsia" w:ascii="宋体" w:hAnsi="宋体" w:eastAsia="宋体" w:cs="宋体"/>
          <w:color w:val="000000"/>
          <w:sz w:val="21"/>
          <w:szCs w:val="21"/>
        </w:rPr>
      </w:pPr>
      <w:r>
        <w:rPr>
          <w:rFonts w:hint="eastAsia" w:ascii="宋体" w:hAnsi="宋体" w:eastAsia="宋体" w:cs="宋体"/>
          <w:color w:val="000000"/>
          <w:sz w:val="21"/>
          <w:szCs w:val="21"/>
        </w:rPr>
        <w:t>GB/T 14844 半导体材料牌号表示方法</w:t>
      </w:r>
    </w:p>
    <w:p>
      <w:pPr>
        <w:snapToGrid w:val="0"/>
        <w:spacing w:line="300" w:lineRule="auto"/>
        <w:ind w:left="420" w:leftChars="200"/>
        <w:rPr>
          <w:rFonts w:hint="eastAsia" w:ascii="宋体" w:hAnsi="宋体" w:eastAsia="宋体" w:cs="宋体"/>
          <w:color w:val="000000"/>
          <w:sz w:val="21"/>
          <w:szCs w:val="21"/>
        </w:rPr>
      </w:pPr>
      <w:r>
        <w:rPr>
          <w:rFonts w:hint="eastAsia" w:ascii="宋体" w:hAnsi="宋体" w:eastAsia="宋体" w:cs="宋体"/>
          <w:color w:val="000000"/>
          <w:sz w:val="21"/>
          <w:szCs w:val="21"/>
        </w:rPr>
        <w:t>GB/T 17737.301 同轴通信电缆第1-301部分：机械试验方法 椭圆度试验</w:t>
      </w:r>
    </w:p>
    <w:p>
      <w:pPr>
        <w:snapToGrid w:val="0"/>
        <w:spacing w:line="300" w:lineRule="auto"/>
        <w:ind w:left="420" w:leftChars="200"/>
        <w:rPr>
          <w:rFonts w:hint="eastAsia" w:ascii="宋体" w:hAnsi="宋体" w:eastAsia="宋体" w:cs="宋体"/>
          <w:color w:val="000000"/>
          <w:sz w:val="21"/>
          <w:szCs w:val="21"/>
        </w:rPr>
      </w:pPr>
      <w:r>
        <w:rPr>
          <w:rFonts w:hint="eastAsia" w:ascii="宋体" w:hAnsi="宋体" w:eastAsia="宋体" w:cs="宋体"/>
          <w:color w:val="000000"/>
          <w:sz w:val="21"/>
          <w:szCs w:val="21"/>
        </w:rPr>
        <w:t>GB/T 24574 硅单晶中 Ⅲ-Ⅴ 族杂质的光致发光测试方法</w:t>
      </w:r>
    </w:p>
    <w:p>
      <w:pPr>
        <w:snapToGrid w:val="0"/>
        <w:spacing w:line="300" w:lineRule="auto"/>
        <w:ind w:left="420" w:leftChars="200"/>
        <w:rPr>
          <w:rFonts w:hint="eastAsia" w:ascii="宋体" w:hAnsi="宋体" w:eastAsia="宋体" w:cs="宋体"/>
          <w:color w:val="000000"/>
          <w:sz w:val="21"/>
          <w:szCs w:val="21"/>
        </w:rPr>
      </w:pPr>
      <w:r>
        <w:rPr>
          <w:rFonts w:hint="eastAsia" w:ascii="宋体" w:hAnsi="宋体" w:eastAsia="宋体" w:cs="宋体"/>
          <w:color w:val="000000"/>
          <w:sz w:val="21"/>
          <w:szCs w:val="21"/>
        </w:rPr>
        <w:t>GB/T 24581 硅单晶中Ⅲ、Ⅴ 族杂质含量的测定 低温傅立叶变换红外光谱法</w:t>
      </w:r>
    </w:p>
    <w:p>
      <w:pPr>
        <w:snapToGrid w:val="0"/>
        <w:spacing w:line="300" w:lineRule="auto"/>
        <w:ind w:left="420" w:leftChars="200"/>
        <w:rPr>
          <w:rFonts w:hint="eastAsia" w:ascii="宋体" w:hAnsi="宋体" w:eastAsia="宋体" w:cs="宋体"/>
          <w:color w:val="000000"/>
          <w:sz w:val="21"/>
          <w:szCs w:val="21"/>
        </w:rPr>
      </w:pPr>
      <w:r>
        <w:rPr>
          <w:rFonts w:hint="eastAsia" w:ascii="宋体" w:hAnsi="宋体" w:eastAsia="宋体" w:cs="宋体"/>
          <w:color w:val="000000"/>
          <w:sz w:val="21"/>
          <w:szCs w:val="21"/>
        </w:rPr>
        <w:t>GB/T 29057 用区熔拉晶法和光谱分析法评价多晶硅棒的规程</w:t>
      </w:r>
    </w:p>
    <w:p>
      <w:pPr>
        <w:snapToGrid w:val="0"/>
        <w:spacing w:line="300" w:lineRule="auto"/>
        <w:ind w:left="420" w:leftChars="200"/>
        <w:rPr>
          <w:rFonts w:hint="eastAsia" w:ascii="宋体" w:hAnsi="宋体" w:eastAsia="宋体" w:cs="宋体"/>
          <w:color w:val="000000"/>
          <w:sz w:val="21"/>
          <w:szCs w:val="21"/>
        </w:rPr>
      </w:pPr>
      <w:r>
        <w:rPr>
          <w:rFonts w:hint="eastAsia" w:ascii="宋体" w:hAnsi="宋体" w:eastAsia="宋体" w:cs="宋体"/>
          <w:color w:val="000000"/>
          <w:sz w:val="21"/>
          <w:szCs w:val="21"/>
        </w:rPr>
        <w:t>GB/T 35306 硅单晶中碳、氧含量的测定 低温傅立叶变换红外光谱法</w:t>
      </w:r>
    </w:p>
    <w:p>
      <w:pPr>
        <w:snapToGrid w:val="0"/>
        <w:spacing w:line="300" w:lineRule="auto"/>
        <w:ind w:left="420" w:leftChars="200"/>
        <w:rPr>
          <w:rFonts w:hint="eastAsia" w:ascii="宋体" w:hAnsi="宋体" w:eastAsia="宋体" w:cs="宋体"/>
          <w:color w:val="000000"/>
          <w:sz w:val="21"/>
          <w:szCs w:val="21"/>
        </w:rPr>
      </w:pPr>
      <w:r>
        <w:rPr>
          <w:rFonts w:hint="eastAsia" w:ascii="宋体" w:hAnsi="宋体" w:eastAsia="宋体" w:cs="宋体"/>
          <w:color w:val="000000"/>
          <w:sz w:val="21"/>
          <w:szCs w:val="21"/>
        </w:rPr>
        <w:t>GB/T 37049 电子级多晶硅中基体金属杂质含量的测定</w:t>
      </w:r>
    </w:p>
    <w:p>
      <w:pPr>
        <w:pStyle w:val="8"/>
        <w:keepNext w:val="0"/>
        <w:keepLines w:val="0"/>
        <w:pageBreakBefore w:val="0"/>
        <w:widowControl/>
        <w:kinsoku/>
        <w:wordWrap/>
        <w:overflowPunct/>
        <w:topLinePunct w:val="0"/>
        <w:autoSpaceDE/>
        <w:autoSpaceDN/>
        <w:bidi w:val="0"/>
        <w:adjustRightInd/>
        <w:snapToGrid/>
        <w:spacing w:before="313" w:beforeLines="100" w:after="313" w:afterLines="100"/>
        <w:ind w:left="0"/>
        <w:textAlignment w:val="auto"/>
        <w:rPr>
          <w:rFonts w:ascii="Times New Roman"/>
          <w:color w:val="000000"/>
          <w:sz w:val="20"/>
        </w:rPr>
      </w:pPr>
      <w:r>
        <w:rPr>
          <w:rFonts w:hint="eastAsia" w:ascii="Times New Roman"/>
          <w:color w:val="000000"/>
          <w:sz w:val="20"/>
        </w:rPr>
        <w:t>术语和定义</w:t>
      </w:r>
    </w:p>
    <w:p>
      <w:pPr>
        <w:pStyle w:val="7"/>
        <w:ind w:firstLine="400"/>
        <w:rPr>
          <w:rFonts w:ascii="Times New Roman" w:eastAsia="黑体"/>
          <w:color w:val="000000"/>
          <w:kern w:val="2"/>
          <w:sz w:val="20"/>
        </w:rPr>
      </w:pPr>
      <w:r>
        <w:rPr>
          <w:rFonts w:hint="eastAsia" w:ascii="宋体" w:hAnsi="宋体" w:eastAsia="宋体" w:cs="宋体"/>
          <w:color w:val="000000"/>
          <w:kern w:val="2"/>
          <w:sz w:val="21"/>
          <w:szCs w:val="21"/>
        </w:rPr>
        <w:t>GB/T 14264界定的术语和定义适用于本文件。</w:t>
      </w:r>
    </w:p>
    <w:p>
      <w:pPr>
        <w:pStyle w:val="8"/>
        <w:keepNext w:val="0"/>
        <w:keepLines w:val="0"/>
        <w:pageBreakBefore w:val="0"/>
        <w:widowControl/>
        <w:kinsoku/>
        <w:wordWrap/>
        <w:overflowPunct/>
        <w:topLinePunct w:val="0"/>
        <w:autoSpaceDE/>
        <w:autoSpaceDN/>
        <w:bidi w:val="0"/>
        <w:adjustRightInd/>
        <w:snapToGrid/>
        <w:spacing w:before="313" w:beforeLines="100" w:after="313" w:afterLines="100"/>
        <w:ind w:left="0"/>
        <w:textAlignment w:val="auto"/>
        <w:rPr>
          <w:rFonts w:ascii="Times New Roman"/>
          <w:color w:val="000000"/>
          <w:sz w:val="20"/>
        </w:rPr>
      </w:pPr>
      <w:r>
        <w:rPr>
          <w:rFonts w:hint="eastAsia" w:ascii="Times New Roman"/>
          <w:color w:val="000000"/>
          <w:sz w:val="20"/>
        </w:rPr>
        <w:t>技术要求</w:t>
      </w:r>
    </w:p>
    <w:p>
      <w:pPr>
        <w:pStyle w:val="9"/>
        <w:numPr>
          <w:ilvl w:val="1"/>
          <w:numId w:val="2"/>
        </w:numPr>
        <w:spacing w:before="156" w:beforeLines="50" w:after="156" w:afterLines="50"/>
        <w:rPr>
          <w:rFonts w:ascii="Times New Roman"/>
          <w:color w:val="000000"/>
          <w:sz w:val="20"/>
        </w:rPr>
      </w:pPr>
      <w:r>
        <w:rPr>
          <w:rFonts w:hint="eastAsia" w:ascii="Times New Roman"/>
          <w:color w:val="000000"/>
          <w:sz w:val="20"/>
        </w:rPr>
        <w:t>产品牌号及类别</w:t>
      </w:r>
    </w:p>
    <w:p>
      <w:pPr>
        <w:pStyle w:val="7"/>
        <w:numPr>
          <w:ilvl w:val="2"/>
          <w:numId w:val="2"/>
        </w:numPr>
        <w:ind w:firstLineChars="0"/>
        <w:rPr>
          <w:rFonts w:ascii="Times New Roman" w:eastAsia="黑体"/>
          <w:color w:val="000000"/>
          <w:sz w:val="20"/>
        </w:rPr>
      </w:pPr>
      <w:r>
        <w:rPr>
          <w:rFonts w:hint="eastAsia" w:ascii="宋体" w:hAnsi="宋体" w:eastAsia="宋体" w:cs="宋体"/>
          <w:color w:val="000000"/>
          <w:sz w:val="21"/>
          <w:szCs w:val="21"/>
        </w:rPr>
        <w:t>区熔硅的牌号表示为：</w:t>
      </w:r>
    </w:p>
    <w:p>
      <w:pPr>
        <w:pStyle w:val="7"/>
        <w:ind w:firstLine="0" w:firstLineChars="0"/>
        <w:rPr>
          <w:rFonts w:ascii="Times New Roman" w:eastAsia="黑体"/>
          <w:color w:val="000000"/>
          <w:sz w:val="20"/>
        </w:rPr>
      </w:pPr>
      <w:r>
        <w:rPr>
          <w:rFonts w:ascii="Times New Roman" w:eastAsia="黑体"/>
          <w:color w:val="000000"/>
          <w:sz w:val="20"/>
        </w:rPr>
        <mc:AlternateContent>
          <mc:Choice Requires="wps">
            <w:drawing>
              <wp:anchor distT="0" distB="0" distL="114300" distR="114300" simplePos="0" relativeHeight="251664384" behindDoc="0" locked="0" layoutInCell="1" allowOverlap="1">
                <wp:simplePos x="0" y="0"/>
                <wp:positionH relativeFrom="page">
                  <wp:posOffset>3270250</wp:posOffset>
                </wp:positionH>
                <wp:positionV relativeFrom="paragraph">
                  <wp:posOffset>197485</wp:posOffset>
                </wp:positionV>
                <wp:extent cx="732790" cy="117475"/>
                <wp:effectExtent l="0" t="0" r="10795" b="35560"/>
                <wp:wrapNone/>
                <wp:docPr id="16" name="肘形连接符 16"/>
                <wp:cNvGraphicFramePr/>
                <a:graphic xmlns:a="http://schemas.openxmlformats.org/drawingml/2006/main">
                  <a:graphicData uri="http://schemas.microsoft.com/office/word/2010/wordprocessingShape">
                    <wps:wsp>
                      <wps:cNvCnPr/>
                      <wps:spPr>
                        <a:xfrm>
                          <a:off x="0" y="0"/>
                          <a:ext cx="732693" cy="117231"/>
                        </a:xfrm>
                        <a:prstGeom prst="bentConnector3">
                          <a:avLst>
                            <a:gd name="adj1" fmla="val 7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257.5pt;margin-top:15.55pt;height:9.25pt;width:57.7pt;mso-position-horizontal-relative:page;z-index:251664384;mso-width-relative:page;mso-height-relative:page;" filled="f" stroked="t" coordsize="21600,21600" o:gfxdata="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lAb19kAAAAJAQAADwAAAAAAAAABACAAAAAi&#10;AAAAZHJzL2Rvd25yZXYueG1sUEsBAhQAFAAAAAgAh07iQB1hQFcJAgAA7AMAAA4AAAAAAAAAAQAg&#10;AAAAKAEAAGRycy9lMm9Eb2MueG1sUEsFBgAAAAAGAAYAWQEAAKMFAAAAAA==&#10;" adj="157">
                <v:fill on="f" focussize="0,0"/>
                <v:stroke weight="0.5pt" color="#000000 [3213]" miterlimit="8" joinstyle="miter"/>
                <v:imagedata o:title=""/>
                <o:lock v:ext="edit" aspectratio="f"/>
              </v:shape>
            </w:pict>
          </mc:Fallback>
        </mc:AlternateContent>
      </w:r>
      <w:r>
        <w:rPr>
          <w:rFonts w:ascii="Times New Roman" w:eastAsia="黑体"/>
          <w:color w:val="000000"/>
          <w:sz w:val="20"/>
        </w:rPr>
        <mc:AlternateContent>
          <mc:Choice Requires="wps">
            <w:drawing>
              <wp:anchor distT="0" distB="0" distL="114300" distR="114300" simplePos="0" relativeHeight="251662336" behindDoc="0" locked="0" layoutInCell="1" allowOverlap="1">
                <wp:simplePos x="0" y="0"/>
                <wp:positionH relativeFrom="column">
                  <wp:posOffset>1713865</wp:posOffset>
                </wp:positionH>
                <wp:positionV relativeFrom="paragraph">
                  <wp:posOffset>198120</wp:posOffset>
                </wp:positionV>
                <wp:extent cx="1171575" cy="504825"/>
                <wp:effectExtent l="19050" t="0" r="9525" b="28575"/>
                <wp:wrapNone/>
                <wp:docPr id="14" name="肘形连接符 14"/>
                <wp:cNvGraphicFramePr/>
                <a:graphic xmlns:a="http://schemas.openxmlformats.org/drawingml/2006/main">
                  <a:graphicData uri="http://schemas.microsoft.com/office/word/2010/wordprocessingShape">
                    <wps:wsp>
                      <wps:cNvCnPr/>
                      <wps:spPr>
                        <a:xfrm>
                          <a:off x="0" y="0"/>
                          <a:ext cx="1171575" cy="504825"/>
                        </a:xfrm>
                        <a:prstGeom prst="bentConnector3">
                          <a:avLst>
                            <a:gd name="adj1" fmla="val -42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34.95pt;margin-top:15.6pt;height:39.75pt;width:92.25pt;z-index:251662336;mso-width-relative:page;mso-height-relative:page;" filled="f" stroked="t" coordsize="21600,21600" o:gfxdata="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7/AfnaAAAACgEAAA8AAAAAAAAAAQAg&#10;AAAAIgAAAGRycy9kb3ducmV2LnhtbFBLAQIUABQAAAAIAIdO4kCZYr2CDAIAAO4DAAAOAAAAAAAA&#10;AAEAIAAAACkBAABkcnMvZTJvRG9jLnhtbFBLBQYAAAAABgAGAFkBAACnBQAAAAA=&#10;" adj="-91">
                <v:fill on="f" focussize="0,0"/>
                <v:stroke weight="0.5pt" color="#000000 [3213]" miterlimit="8" joinstyle="miter"/>
                <v:imagedata o:title=""/>
                <o:lock v:ext="edit" aspectratio="f"/>
              </v:shape>
            </w:pict>
          </mc:Fallback>
        </mc:AlternateContent>
      </w:r>
      <w:r>
        <w:rPr>
          <w:rFonts w:ascii="Times New Roman" w:eastAsia="黑体"/>
          <w:color w:val="000000"/>
          <w:sz w:val="20"/>
        </w:rPr>
        <w:t xml:space="preserve">                   PS</w:t>
      </w:r>
      <w:r>
        <w:rPr>
          <w:rFonts w:hint="eastAsia" w:ascii="Times New Roman" w:eastAsia="黑体"/>
          <w:color w:val="000000"/>
          <w:sz w:val="20"/>
        </w:rPr>
        <w:t>i</w:t>
      </w:r>
      <w:r>
        <w:rPr>
          <w:rFonts w:ascii="Times New Roman" w:eastAsia="黑体"/>
          <w:color w:val="000000"/>
          <w:sz w:val="20"/>
        </w:rPr>
        <w:softHyphen/>
      </w:r>
      <w:r>
        <w:rPr>
          <w:rFonts w:ascii="Times New Roman" w:eastAsia="黑体"/>
          <w:color w:val="000000"/>
          <w:sz w:val="20"/>
        </w:rPr>
        <w:t xml:space="preserve"> –</w:t>
      </w:r>
      <w:r>
        <w:rPr>
          <w:rFonts w:ascii="Times New Roman" w:eastAsia="黑体"/>
          <w:color w:val="000000"/>
          <w:sz w:val="20"/>
        </w:rPr>
        <w:sym w:font="Symbol" w:char="F07F"/>
      </w:r>
      <w:r>
        <w:rPr>
          <w:rFonts w:ascii="Times New Roman" w:eastAsia="黑体"/>
          <w:color w:val="000000"/>
          <w:sz w:val="20"/>
        </w:rPr>
        <w:t xml:space="preserve"> – </w:t>
      </w:r>
      <w:r>
        <w:rPr>
          <w:rFonts w:ascii="Times New Roman" w:eastAsia="黑体"/>
          <w:color w:val="000000"/>
          <w:sz w:val="20"/>
        </w:rPr>
        <w:sym w:font="Symbol" w:char="F07F"/>
      </w:r>
      <w:r>
        <w:rPr>
          <w:rFonts w:ascii="Times New Roman" w:eastAsia="黑体"/>
          <w:color w:val="000000"/>
          <w:sz w:val="20"/>
        </w:rPr>
        <w:t xml:space="preserve"> – </w:t>
      </w:r>
      <w:r>
        <w:rPr>
          <w:rFonts w:ascii="黑体" w:hAnsi="黑体" w:eastAsia="黑体"/>
          <w:color w:val="000000"/>
          <w:sz w:val="20"/>
        </w:rPr>
        <w:sym w:font="Symbol" w:char="F07F"/>
      </w:r>
      <w:r>
        <w:rPr>
          <w:rFonts w:ascii="黑体" w:hAnsi="黑体" w:eastAsia="黑体"/>
          <w:color w:val="000000"/>
          <w:sz w:val="20"/>
        </w:rPr>
        <w:t xml:space="preserve"> </w:t>
      </w:r>
      <w:r>
        <w:rPr>
          <w:rFonts w:ascii="Times New Roman" w:eastAsia="黑体"/>
          <w:color w:val="000000"/>
          <w:sz w:val="20"/>
        </w:rPr>
        <w:t>–FZ</w:t>
      </w:r>
    </w:p>
    <w:p>
      <w:pPr>
        <w:pStyle w:val="7"/>
        <w:ind w:firstLine="0" w:firstLineChars="0"/>
        <w:rPr>
          <w:rFonts w:ascii="Times New Roman" w:eastAsia="黑体"/>
          <w:color w:val="000000"/>
          <w:sz w:val="20"/>
        </w:rPr>
      </w:pPr>
      <w:r>
        <w:rPr>
          <w:rFonts w:ascii="Times New Roman" w:eastAsia="黑体"/>
          <w:color w:val="000000"/>
          <w:sz w:val="20"/>
        </w:rPr>
        <mc:AlternateContent>
          <mc:Choice Requires="wps">
            <w:drawing>
              <wp:anchor distT="0" distB="0" distL="114300" distR="114300" simplePos="0" relativeHeight="251663360" behindDoc="0" locked="0" layoutInCell="1" allowOverlap="1">
                <wp:simplePos x="0" y="0"/>
                <wp:positionH relativeFrom="column">
                  <wp:posOffset>1927860</wp:posOffset>
                </wp:positionH>
                <wp:positionV relativeFrom="paragraph">
                  <wp:posOffset>10795</wp:posOffset>
                </wp:positionV>
                <wp:extent cx="952500" cy="316230"/>
                <wp:effectExtent l="0" t="0" r="19050" b="26670"/>
                <wp:wrapNone/>
                <wp:docPr id="15" name="肘形连接符 15"/>
                <wp:cNvGraphicFramePr/>
                <a:graphic xmlns:a="http://schemas.openxmlformats.org/drawingml/2006/main">
                  <a:graphicData uri="http://schemas.microsoft.com/office/word/2010/wordprocessingShape">
                    <wps:wsp>
                      <wps:cNvCnPr/>
                      <wps:spPr>
                        <a:xfrm>
                          <a:off x="0" y="0"/>
                          <a:ext cx="952500" cy="316523"/>
                        </a:xfrm>
                        <a:prstGeom prst="bentConnector3">
                          <a:avLst>
                            <a:gd name="adj1" fmla="val 5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51.8pt;margin-top:0.85pt;height:24.9pt;width:75pt;z-index:251663360;mso-width-relative:page;mso-height-relative:page;" filled="f" stroked="t" coordsize="21600,21600" o:gfxdata="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bYbpPWAAAACAEAAA8AAAAAAAAAAQAgAAAAIgAAAGRy&#10;cy9kb3ducmV2LnhtbFBLAQIUABQAAAAIAIdO4kCriK91BwIAAOwDAAAOAAAAAAAAAAEAIAAAACUB&#10;AABkcnMvZTJvRG9jLnhtbFBLBQYAAAAABgAGAFkBAACeBQAAAAA=&#10;" adj="126">
                <v:fill on="f" focussize="0,0"/>
                <v:stroke weight="0.5pt" color="#000000 [3213]" miterlimit="8" joinstyle="miter"/>
                <v:imagedata o:title=""/>
                <o:lock v:ext="edit" aspectratio="f"/>
              </v:shape>
            </w:pict>
          </mc:Fallback>
        </mc:AlternateContent>
      </w:r>
      <w:r>
        <w:rPr>
          <w:rFonts w:ascii="Times New Roman" w:eastAsia="黑体"/>
          <w:color w:val="000000"/>
          <w:sz w:val="20"/>
        </w:rPr>
        <mc:AlternateContent>
          <mc:Choice Requires="wps">
            <w:drawing>
              <wp:anchor distT="0" distB="0" distL="114300" distR="114300" simplePos="0" relativeHeight="251665408" behindDoc="0" locked="0" layoutInCell="1" allowOverlap="1">
                <wp:simplePos x="0" y="0"/>
                <wp:positionH relativeFrom="column">
                  <wp:posOffset>1513205</wp:posOffset>
                </wp:positionH>
                <wp:positionV relativeFrom="paragraph">
                  <wp:posOffset>11430</wp:posOffset>
                </wp:positionV>
                <wp:extent cx="1371600" cy="685800"/>
                <wp:effectExtent l="19050" t="0" r="19050" b="19050"/>
                <wp:wrapNone/>
                <wp:docPr id="1" name="肘形连接符 1"/>
                <wp:cNvGraphicFramePr/>
                <a:graphic xmlns:a="http://schemas.openxmlformats.org/drawingml/2006/main">
                  <a:graphicData uri="http://schemas.microsoft.com/office/word/2010/wordprocessingShape">
                    <wps:wsp>
                      <wps:cNvCnPr/>
                      <wps:spPr>
                        <a:xfrm>
                          <a:off x="0" y="0"/>
                          <a:ext cx="1371600" cy="685800"/>
                        </a:xfrm>
                        <a:prstGeom prst="bentConnector3">
                          <a:avLst>
                            <a:gd name="adj1" fmla="val -2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19.15pt;margin-top:0.9pt;height:54pt;width:108pt;z-index:251665408;mso-width-relative:page;mso-height-relative:page;" filled="f" stroked="t" coordsize="21600,21600" o:gfxdata="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hft4fXAAAACQEAAA8AAAAAAAAAAQAgAAAAIgAA&#10;AGRycy9kb3ducmV2LnhtbFBLAQIUABQAAAAIAIdO4kBATdEnCQIAAOwDAAAOAAAAAAAAAAEAIAAA&#10;ACYBAABkcnMvZTJvRG9jLnhtbFBLBQYAAAAABgAGAFkBAAChBQAAAAA=&#10;" adj="-55">
                <v:fill on="f" focussize="0,0"/>
                <v:stroke weight="0.5pt" color="#000000 [3213]" miterlimit="8" joinstyle="miter"/>
                <v:imagedata o:title=""/>
                <o:lock v:ext="edit" aspectratio="f"/>
              </v:shape>
            </w:pict>
          </mc:Fallback>
        </mc:AlternateContent>
      </w:r>
      <w:r>
        <w:rPr>
          <w:rFonts w:ascii="Times New Roman" w:eastAsia="黑体"/>
          <w:color w:val="000000"/>
          <w:sz w:val="20"/>
        </w:rPr>
        <w:t xml:space="preserve">                                               </w:t>
      </w:r>
      <w:r>
        <w:rPr>
          <w:rFonts w:hint="eastAsia" w:ascii="宋体" w:hAnsi="宋体" w:eastAsia="宋体" w:cs="宋体"/>
          <w:color w:val="000000"/>
          <w:sz w:val="21"/>
          <w:szCs w:val="21"/>
        </w:rPr>
        <w:t>用于区熔</w:t>
      </w:r>
    </w:p>
    <w:p>
      <w:pPr>
        <w:pStyle w:val="7"/>
        <w:tabs>
          <w:tab w:val="center" w:pos="4677"/>
        </w:tabs>
        <w:ind w:firstLine="0" w:firstLineChars="0"/>
        <w:rPr>
          <w:rFonts w:ascii="Times New Roman" w:eastAsia="黑体"/>
          <w:color w:val="000000"/>
          <w:sz w:val="20"/>
        </w:rPr>
      </w:pPr>
      <w:r>
        <w:rPr>
          <w:rFonts w:ascii="Times New Roman" w:eastAsia="黑体"/>
          <w:color w:val="000000"/>
          <w:sz w:val="20"/>
        </w:rPr>
        <w:softHyphen/>
      </w:r>
      <w:r>
        <w:rPr>
          <w:rFonts w:ascii="Times New Roman" w:eastAsia="黑体"/>
          <w:color w:val="000000"/>
          <w:sz w:val="20"/>
        </w:rPr>
        <w:tab/>
      </w:r>
      <w:r>
        <w:rPr>
          <w:rFonts w:ascii="Times New Roman" w:eastAsia="黑体"/>
          <w:color w:val="000000"/>
          <w:sz w:val="20"/>
        </w:rPr>
        <w:t xml:space="preserve">                  </w:t>
      </w:r>
      <w:r>
        <w:rPr>
          <w:rFonts w:hint="eastAsia" w:ascii="宋体" w:hAnsi="宋体" w:eastAsia="宋体" w:cs="宋体"/>
          <w:color w:val="000000"/>
          <w:sz w:val="21"/>
          <w:szCs w:val="21"/>
        </w:rPr>
        <w:t>阿拉伯数字表示等级</w:t>
      </w:r>
    </w:p>
    <w:p>
      <w:pPr>
        <w:pStyle w:val="7"/>
        <w:ind w:firstLine="0" w:firstLineChars="0"/>
        <w:rPr>
          <w:rFonts w:hint="eastAsia" w:ascii="宋体" w:hAnsi="宋体" w:eastAsia="宋体" w:cs="宋体"/>
          <w:color w:val="000000"/>
          <w:sz w:val="21"/>
          <w:szCs w:val="21"/>
        </w:rPr>
      </w:pPr>
      <w:r>
        <w:rPr>
          <w:rFonts w:hint="eastAsia" w:ascii="Times New Roman" w:eastAsia="黑体"/>
          <w:color w:val="000000"/>
          <w:sz w:val="20"/>
        </w:rPr>
        <w:t xml:space="preserve"> </w:t>
      </w:r>
      <w:r>
        <w:rPr>
          <w:rFonts w:ascii="Times New Roman" w:eastAsia="黑体"/>
          <w:color w:val="000000"/>
          <w:sz w:val="20"/>
        </w:rPr>
        <w:t xml:space="preserve">                                              </w:t>
      </w:r>
      <w:r>
        <w:rPr>
          <w:rFonts w:hint="eastAsia" w:ascii="宋体" w:hAnsi="宋体" w:eastAsia="宋体" w:cs="宋体"/>
          <w:color w:val="000000"/>
          <w:sz w:val="21"/>
          <w:szCs w:val="21"/>
        </w:rPr>
        <w:t>形态，AI为原生棒，MI为精磨棒</w:t>
      </w:r>
    </w:p>
    <w:p>
      <w:pPr>
        <w:pStyle w:val="7"/>
        <w:ind w:firstLine="0" w:firstLineChars="0"/>
        <w:rPr>
          <w:rFonts w:ascii="Times New Roman" w:eastAsia="黑体"/>
          <w:color w:val="000000"/>
          <w:sz w:val="20"/>
        </w:rPr>
      </w:pPr>
      <w:r>
        <w:rPr>
          <w:rFonts w:hint="eastAsia" w:ascii="Times New Roman" w:eastAsia="黑体"/>
          <w:color w:val="000000"/>
          <w:sz w:val="20"/>
        </w:rPr>
        <w:t xml:space="preserve"> </w:t>
      </w:r>
      <w:r>
        <w:rPr>
          <w:rFonts w:ascii="Times New Roman" w:eastAsia="黑体"/>
          <w:color w:val="000000"/>
          <w:sz w:val="20"/>
        </w:rPr>
        <w:t xml:space="preserve">                                              </w:t>
      </w:r>
      <w:r>
        <w:rPr>
          <w:rFonts w:hint="eastAsia" w:ascii="宋体" w:hAnsi="宋体" w:eastAsia="宋体" w:cs="宋体"/>
          <w:color w:val="000000"/>
          <w:sz w:val="21"/>
          <w:szCs w:val="21"/>
        </w:rPr>
        <w:t>生产方法，S为硅烷法，T为三氯氢硅法</w:t>
      </w:r>
      <w:r>
        <w:rPr>
          <w:rFonts w:ascii="Times New Roman" w:eastAsia="黑体"/>
          <w:color w:val="000000"/>
          <w:sz w:val="20"/>
        </w:rPr>
        <w:t xml:space="preserve">              </w:t>
      </w:r>
    </w:p>
    <w:p>
      <w:pPr>
        <w:pStyle w:val="7"/>
        <w:numPr>
          <w:ilvl w:val="2"/>
          <w:numId w:val="2"/>
        </w:numPr>
        <w:ind w:firstLineChars="0"/>
        <w:rPr>
          <w:rFonts w:ascii="Times New Roman" w:eastAsia="黑体"/>
          <w:color w:val="000000"/>
          <w:sz w:val="20"/>
        </w:rPr>
      </w:pPr>
      <w:r>
        <w:rPr>
          <w:rFonts w:ascii="Times New Roman" w:eastAsia="黑体"/>
          <w:color w:val="000000"/>
          <w:sz w:val="20"/>
        </w:rPr>
        <w:t xml:space="preserve"> </w:t>
      </w:r>
      <w:r>
        <w:rPr>
          <w:rFonts w:hint="eastAsia" w:ascii="宋体" w:hAnsi="宋体" w:eastAsia="宋体" w:cs="宋体"/>
          <w:color w:val="000000"/>
          <w:sz w:val="21"/>
          <w:szCs w:val="21"/>
        </w:rPr>
        <w:t>区熔硅根据导电类型分为N型和P型，根据技术要求的差别分为3级。</w:t>
      </w:r>
    </w:p>
    <w:p>
      <w:pPr>
        <w:pStyle w:val="9"/>
        <w:numPr>
          <w:ilvl w:val="1"/>
          <w:numId w:val="2"/>
        </w:numPr>
        <w:spacing w:before="156" w:beforeLines="50" w:after="156" w:afterLines="50"/>
        <w:ind w:left="0" w:firstLine="0"/>
        <w:rPr>
          <w:rFonts w:ascii="Times New Roman"/>
          <w:color w:val="000000"/>
          <w:sz w:val="20"/>
        </w:rPr>
      </w:pPr>
      <w:r>
        <w:rPr>
          <w:rFonts w:hint="eastAsia" w:ascii="Times New Roman"/>
          <w:color w:val="000000"/>
          <w:sz w:val="20"/>
        </w:rPr>
        <w:t>等级</w:t>
      </w:r>
      <w:bookmarkStart w:id="1" w:name="_GoBack"/>
      <w:bookmarkEnd w:id="1"/>
    </w:p>
    <w:p>
      <w:pPr>
        <w:pStyle w:val="7"/>
        <w:ind w:firstLine="400"/>
        <w:rPr>
          <w:rFonts w:ascii="黑体" w:hAnsi="黑体" w:eastAsia="黑体"/>
          <w:sz w:val="20"/>
        </w:rPr>
      </w:pPr>
      <w:r>
        <w:rPr>
          <w:rFonts w:hint="eastAsia" w:ascii="宋体" w:hAnsi="宋体" w:eastAsia="宋体" w:cs="宋体"/>
          <w:sz w:val="20"/>
        </w:rPr>
        <w:t>区熔硅的等级及相关技术指标应符合表1的规定。</w:t>
      </w:r>
    </w:p>
    <w:p>
      <w:pPr>
        <w:pStyle w:val="7"/>
        <w:ind w:firstLine="1050" w:firstLineChars="500"/>
        <w:jc w:val="center"/>
        <w:rPr>
          <w:rFonts w:ascii="黑体" w:hAnsi="黑体" w:eastAsia="黑体"/>
          <w:b/>
          <w:sz w:val="18"/>
          <w:szCs w:val="18"/>
        </w:rPr>
      </w:pPr>
      <w:r>
        <w:rPr>
          <w:rFonts w:hint="eastAsia" w:ascii="黑体" w:hAnsi="黑体" w:eastAsia="黑体"/>
          <w:b w:val="0"/>
          <w:bCs/>
          <w:sz w:val="21"/>
          <w:szCs w:val="21"/>
        </w:rPr>
        <w:t>表1 区熔硅材料等级及技术要求</w:t>
      </w:r>
    </w:p>
    <w:tbl>
      <w:tblPr>
        <w:tblStyle w:val="4"/>
        <w:tblW w:w="8328" w:type="dxa"/>
        <w:jc w:val="center"/>
        <w:tblLayout w:type="autofit"/>
        <w:tblCellMar>
          <w:top w:w="0" w:type="dxa"/>
          <w:left w:w="108" w:type="dxa"/>
          <w:bottom w:w="0" w:type="dxa"/>
          <w:right w:w="108" w:type="dxa"/>
        </w:tblCellMar>
      </w:tblPr>
      <w:tblGrid>
        <w:gridCol w:w="3934"/>
        <w:gridCol w:w="1417"/>
        <w:gridCol w:w="1559"/>
        <w:gridCol w:w="1418"/>
      </w:tblGrid>
      <w:tr>
        <w:tblPrEx>
          <w:tblCellMar>
            <w:top w:w="0" w:type="dxa"/>
            <w:left w:w="108" w:type="dxa"/>
            <w:bottom w:w="0" w:type="dxa"/>
            <w:right w:w="108" w:type="dxa"/>
          </w:tblCellMar>
        </w:tblPrEx>
        <w:trPr>
          <w:trHeight w:val="256" w:hRule="atLeast"/>
          <w:jc w:val="center"/>
        </w:trPr>
        <w:tc>
          <w:tcPr>
            <w:tcW w:w="3934" w:type="dxa"/>
            <w:vMerge w:val="restart"/>
            <w:tcBorders>
              <w:top w:val="single" w:color="auto" w:sz="8" w:space="0"/>
              <w:left w:val="single" w:color="auto" w:sz="8"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4394" w:type="dxa"/>
            <w:gridSpan w:val="3"/>
            <w:tcBorders>
              <w:top w:val="single" w:color="auto" w:sz="8" w:space="0"/>
              <w:left w:val="nil"/>
              <w:bottom w:val="single" w:color="auto" w:sz="4" w:space="0"/>
              <w:right w:val="single" w:color="auto" w:sz="4" w:space="0"/>
            </w:tcBorders>
            <w:noWrap/>
            <w:vAlign w:val="bottom"/>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技术指标要求</w:t>
            </w:r>
          </w:p>
        </w:tc>
      </w:tr>
      <w:tr>
        <w:tblPrEx>
          <w:tblCellMar>
            <w:top w:w="0" w:type="dxa"/>
            <w:left w:w="108" w:type="dxa"/>
            <w:bottom w:w="0" w:type="dxa"/>
            <w:right w:w="108" w:type="dxa"/>
          </w:tblCellMar>
        </w:tblPrEx>
        <w:trPr>
          <w:trHeight w:val="256" w:hRule="atLeast"/>
          <w:jc w:val="center"/>
        </w:trPr>
        <w:tc>
          <w:tcPr>
            <w:tcW w:w="3934"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rPr>
            </w:pPr>
          </w:p>
        </w:tc>
        <w:tc>
          <w:tcPr>
            <w:tcW w:w="1417"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1级</w:t>
            </w:r>
          </w:p>
        </w:tc>
        <w:tc>
          <w:tcPr>
            <w:tcW w:w="155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2级</w:t>
            </w:r>
          </w:p>
        </w:tc>
        <w:tc>
          <w:tcPr>
            <w:tcW w:w="1418" w:type="dxa"/>
            <w:tcBorders>
              <w:top w:val="nil"/>
              <w:left w:val="nil"/>
              <w:bottom w:val="single" w:color="auto" w:sz="4" w:space="0"/>
              <w:right w:val="single" w:color="auto" w:sz="4" w:space="0"/>
            </w:tcBorders>
            <w:vAlign w:val="bottom"/>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3级</w:t>
            </w:r>
          </w:p>
        </w:tc>
      </w:tr>
      <w:tr>
        <w:tblPrEx>
          <w:tblCellMar>
            <w:top w:w="0" w:type="dxa"/>
            <w:left w:w="108" w:type="dxa"/>
            <w:bottom w:w="0" w:type="dxa"/>
            <w:right w:w="108" w:type="dxa"/>
          </w:tblCellMar>
        </w:tblPrEx>
        <w:trPr>
          <w:trHeight w:val="256" w:hRule="atLeast"/>
          <w:jc w:val="center"/>
        </w:trPr>
        <w:tc>
          <w:tcPr>
            <w:tcW w:w="3934" w:type="dxa"/>
            <w:tcBorders>
              <w:top w:val="nil"/>
              <w:left w:val="single" w:color="auto" w:sz="8" w:space="0"/>
              <w:bottom w:val="single" w:color="auto" w:sz="4" w:space="0"/>
              <w:right w:val="single" w:color="auto" w:sz="4" w:space="0"/>
            </w:tcBorders>
            <w:shd w:val="clear" w:color="auto" w:fill="FFFFFF"/>
            <w:noWrap/>
            <w:vAlign w:val="bottom"/>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受主杂质含量 ppba</w:t>
            </w:r>
          </w:p>
        </w:tc>
        <w:tc>
          <w:tcPr>
            <w:tcW w:w="1417"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≤0.03</w:t>
            </w:r>
          </w:p>
        </w:tc>
        <w:tc>
          <w:tcPr>
            <w:tcW w:w="1559"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≤0.03</w:t>
            </w:r>
          </w:p>
        </w:tc>
        <w:tc>
          <w:tcPr>
            <w:tcW w:w="1418"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≤0.03</w:t>
            </w:r>
          </w:p>
        </w:tc>
      </w:tr>
      <w:tr>
        <w:tblPrEx>
          <w:tblCellMar>
            <w:top w:w="0" w:type="dxa"/>
            <w:left w:w="108" w:type="dxa"/>
            <w:bottom w:w="0" w:type="dxa"/>
            <w:right w:w="108" w:type="dxa"/>
          </w:tblCellMar>
        </w:tblPrEx>
        <w:trPr>
          <w:trHeight w:val="256" w:hRule="atLeast"/>
          <w:jc w:val="center"/>
        </w:trPr>
        <w:tc>
          <w:tcPr>
            <w:tcW w:w="3934" w:type="dxa"/>
            <w:tcBorders>
              <w:top w:val="nil"/>
              <w:left w:val="single" w:color="auto" w:sz="8" w:space="0"/>
              <w:bottom w:val="single" w:color="auto" w:sz="4" w:space="0"/>
              <w:right w:val="single" w:color="auto" w:sz="4" w:space="0"/>
            </w:tcBorders>
            <w:shd w:val="clear" w:color="auto" w:fill="FFFFFF"/>
            <w:noWrap/>
            <w:vAlign w:val="bottom"/>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施主杂质含量 ppba</w:t>
            </w:r>
          </w:p>
        </w:tc>
        <w:tc>
          <w:tcPr>
            <w:tcW w:w="1417"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≤0.10</w:t>
            </w:r>
          </w:p>
        </w:tc>
        <w:tc>
          <w:tcPr>
            <w:tcW w:w="1559"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≤0.10</w:t>
            </w:r>
          </w:p>
        </w:tc>
        <w:tc>
          <w:tcPr>
            <w:tcW w:w="1418"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≤0.10</w:t>
            </w:r>
          </w:p>
        </w:tc>
      </w:tr>
      <w:tr>
        <w:tblPrEx>
          <w:tblCellMar>
            <w:top w:w="0" w:type="dxa"/>
            <w:left w:w="108" w:type="dxa"/>
            <w:bottom w:w="0" w:type="dxa"/>
            <w:right w:w="108" w:type="dxa"/>
          </w:tblCellMar>
        </w:tblPrEx>
        <w:trPr>
          <w:trHeight w:val="256" w:hRule="atLeast"/>
          <w:jc w:val="center"/>
        </w:trPr>
        <w:tc>
          <w:tcPr>
            <w:tcW w:w="3934" w:type="dxa"/>
            <w:tcBorders>
              <w:top w:val="nil"/>
              <w:left w:val="single" w:color="auto" w:sz="8" w:space="0"/>
              <w:bottom w:val="single" w:color="auto" w:sz="4" w:space="0"/>
              <w:right w:val="single" w:color="auto" w:sz="4" w:space="0"/>
            </w:tcBorders>
            <w:noWrap/>
            <w:vAlign w:val="bottom"/>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总碳含量 atoms/cm</w:t>
            </w:r>
            <w:r>
              <w:rPr>
                <w:rFonts w:hint="eastAsia" w:ascii="宋体" w:hAnsi="宋体" w:eastAsia="宋体" w:cs="宋体"/>
                <w:color w:val="000000"/>
                <w:kern w:val="0"/>
                <w:sz w:val="18"/>
                <w:szCs w:val="18"/>
                <w:vertAlign w:val="superscript"/>
              </w:rPr>
              <w:t>3</w:t>
            </w:r>
          </w:p>
        </w:tc>
        <w:tc>
          <w:tcPr>
            <w:tcW w:w="141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＜5.0×10</w:t>
            </w:r>
            <w:r>
              <w:rPr>
                <w:rFonts w:hint="eastAsia" w:ascii="宋体" w:hAnsi="宋体" w:eastAsia="宋体" w:cs="宋体"/>
                <w:color w:val="000000"/>
                <w:kern w:val="0"/>
                <w:sz w:val="18"/>
                <w:szCs w:val="18"/>
                <w:vertAlign w:val="superscript"/>
              </w:rPr>
              <w:t>15</w:t>
            </w:r>
          </w:p>
        </w:tc>
        <w:tc>
          <w:tcPr>
            <w:tcW w:w="155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＜5.0×10</w:t>
            </w:r>
            <w:r>
              <w:rPr>
                <w:rFonts w:hint="eastAsia" w:ascii="宋体" w:hAnsi="宋体" w:eastAsia="宋体" w:cs="宋体"/>
                <w:color w:val="000000"/>
                <w:kern w:val="0"/>
                <w:sz w:val="18"/>
                <w:szCs w:val="18"/>
                <w:vertAlign w:val="superscript"/>
              </w:rPr>
              <w:t>15</w:t>
            </w: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＜5.0×10</w:t>
            </w:r>
            <w:r>
              <w:rPr>
                <w:rFonts w:hint="eastAsia" w:ascii="宋体" w:hAnsi="宋体" w:eastAsia="宋体" w:cs="宋体"/>
                <w:color w:val="000000"/>
                <w:kern w:val="0"/>
                <w:sz w:val="18"/>
                <w:szCs w:val="18"/>
                <w:vertAlign w:val="superscript"/>
              </w:rPr>
              <w:t>15</w:t>
            </w:r>
          </w:p>
        </w:tc>
      </w:tr>
      <w:tr>
        <w:tblPrEx>
          <w:tblCellMar>
            <w:top w:w="0" w:type="dxa"/>
            <w:left w:w="108" w:type="dxa"/>
            <w:bottom w:w="0" w:type="dxa"/>
            <w:right w:w="108" w:type="dxa"/>
          </w:tblCellMar>
        </w:tblPrEx>
        <w:trPr>
          <w:trHeight w:val="256" w:hRule="atLeast"/>
          <w:jc w:val="center"/>
        </w:trPr>
        <w:tc>
          <w:tcPr>
            <w:tcW w:w="3934" w:type="dxa"/>
            <w:tcBorders>
              <w:top w:val="nil"/>
              <w:left w:val="single" w:color="auto" w:sz="8" w:space="0"/>
              <w:bottom w:val="single" w:color="auto" w:sz="4" w:space="0"/>
              <w:right w:val="single" w:color="auto" w:sz="4" w:space="0"/>
            </w:tcBorders>
            <w:noWrap/>
            <w:vAlign w:val="bottom"/>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总氧含量 atoms/cm</w:t>
            </w:r>
            <w:r>
              <w:rPr>
                <w:rFonts w:hint="eastAsia" w:ascii="宋体" w:hAnsi="宋体" w:eastAsia="宋体" w:cs="宋体"/>
                <w:color w:val="000000"/>
                <w:kern w:val="0"/>
                <w:sz w:val="18"/>
                <w:szCs w:val="18"/>
                <w:vertAlign w:val="superscript"/>
              </w:rPr>
              <w:t>3</w:t>
            </w:r>
          </w:p>
        </w:tc>
        <w:tc>
          <w:tcPr>
            <w:tcW w:w="141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＜5.0×10</w:t>
            </w:r>
            <w:r>
              <w:rPr>
                <w:rFonts w:hint="eastAsia" w:ascii="宋体" w:hAnsi="宋体" w:eastAsia="宋体" w:cs="宋体"/>
                <w:color w:val="000000"/>
                <w:kern w:val="0"/>
                <w:sz w:val="18"/>
                <w:szCs w:val="18"/>
                <w:vertAlign w:val="superscript"/>
              </w:rPr>
              <w:t>15</w:t>
            </w:r>
          </w:p>
        </w:tc>
        <w:tc>
          <w:tcPr>
            <w:tcW w:w="155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＜5.0×10</w:t>
            </w:r>
            <w:r>
              <w:rPr>
                <w:rFonts w:hint="eastAsia" w:ascii="宋体" w:hAnsi="宋体" w:eastAsia="宋体" w:cs="宋体"/>
                <w:color w:val="000000"/>
                <w:kern w:val="0"/>
                <w:sz w:val="18"/>
                <w:szCs w:val="18"/>
                <w:vertAlign w:val="superscript"/>
              </w:rPr>
              <w:t>15</w:t>
            </w: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＜5.0×10</w:t>
            </w:r>
            <w:r>
              <w:rPr>
                <w:rFonts w:hint="eastAsia" w:ascii="宋体" w:hAnsi="宋体" w:eastAsia="宋体" w:cs="宋体"/>
                <w:color w:val="000000"/>
                <w:kern w:val="0"/>
                <w:sz w:val="18"/>
                <w:szCs w:val="18"/>
                <w:vertAlign w:val="superscript"/>
              </w:rPr>
              <w:t>15</w:t>
            </w:r>
          </w:p>
        </w:tc>
      </w:tr>
      <w:tr>
        <w:tblPrEx>
          <w:tblCellMar>
            <w:top w:w="0" w:type="dxa"/>
            <w:left w:w="108" w:type="dxa"/>
            <w:bottom w:w="0" w:type="dxa"/>
            <w:right w:w="108" w:type="dxa"/>
          </w:tblCellMar>
        </w:tblPrEx>
        <w:trPr>
          <w:trHeight w:val="256" w:hRule="atLeast"/>
          <w:jc w:val="center"/>
        </w:trPr>
        <w:tc>
          <w:tcPr>
            <w:tcW w:w="3934" w:type="dxa"/>
            <w:tcBorders>
              <w:top w:val="nil"/>
              <w:left w:val="single" w:color="auto" w:sz="8" w:space="0"/>
              <w:bottom w:val="single" w:color="auto" w:sz="4" w:space="0"/>
              <w:right w:val="single" w:color="auto" w:sz="4" w:space="0"/>
            </w:tcBorders>
            <w:shd w:val="clear" w:color="auto" w:fill="FFFFFF"/>
            <w:noWrap/>
            <w:vAlign w:val="bottom"/>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硅芯样芯碳含量 atoms/cm</w:t>
            </w:r>
            <w:r>
              <w:rPr>
                <w:rFonts w:hint="eastAsia" w:ascii="宋体" w:hAnsi="宋体" w:eastAsia="宋体" w:cs="宋体"/>
                <w:color w:val="000000"/>
                <w:kern w:val="0"/>
                <w:sz w:val="18"/>
                <w:szCs w:val="18"/>
                <w:vertAlign w:val="superscript"/>
              </w:rPr>
              <w:t>3</w:t>
            </w:r>
          </w:p>
        </w:tc>
        <w:tc>
          <w:tcPr>
            <w:tcW w:w="1417"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≤2.0×10</w:t>
            </w:r>
            <w:r>
              <w:rPr>
                <w:rFonts w:hint="eastAsia" w:ascii="宋体" w:hAnsi="宋体" w:eastAsia="宋体" w:cs="宋体"/>
                <w:color w:val="000000"/>
                <w:kern w:val="0"/>
                <w:sz w:val="18"/>
                <w:szCs w:val="18"/>
                <w:vertAlign w:val="superscript"/>
              </w:rPr>
              <w:t>16</w:t>
            </w:r>
          </w:p>
        </w:tc>
        <w:tc>
          <w:tcPr>
            <w:tcW w:w="1559"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≤2.0×10</w:t>
            </w:r>
            <w:r>
              <w:rPr>
                <w:rFonts w:hint="eastAsia" w:ascii="宋体" w:hAnsi="宋体" w:eastAsia="宋体" w:cs="宋体"/>
                <w:color w:val="000000"/>
                <w:kern w:val="0"/>
                <w:sz w:val="18"/>
                <w:szCs w:val="18"/>
                <w:vertAlign w:val="superscript"/>
              </w:rPr>
              <w:t>16</w:t>
            </w:r>
          </w:p>
        </w:tc>
        <w:tc>
          <w:tcPr>
            <w:tcW w:w="1418"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≤2.0×10</w:t>
            </w:r>
            <w:r>
              <w:rPr>
                <w:rFonts w:hint="eastAsia" w:ascii="宋体" w:hAnsi="宋体" w:eastAsia="宋体" w:cs="宋体"/>
                <w:color w:val="000000"/>
                <w:kern w:val="0"/>
                <w:sz w:val="18"/>
                <w:szCs w:val="18"/>
                <w:vertAlign w:val="superscript"/>
              </w:rPr>
              <w:t>16</w:t>
            </w:r>
          </w:p>
        </w:tc>
      </w:tr>
      <w:tr>
        <w:tblPrEx>
          <w:tblCellMar>
            <w:top w:w="0" w:type="dxa"/>
            <w:left w:w="108" w:type="dxa"/>
            <w:bottom w:w="0" w:type="dxa"/>
            <w:right w:w="108" w:type="dxa"/>
          </w:tblCellMar>
        </w:tblPrEx>
        <w:trPr>
          <w:trHeight w:val="256" w:hRule="atLeast"/>
          <w:jc w:val="center"/>
        </w:trPr>
        <w:tc>
          <w:tcPr>
            <w:tcW w:w="3934" w:type="dxa"/>
            <w:tcBorders>
              <w:top w:val="nil"/>
              <w:left w:val="single" w:color="auto" w:sz="8" w:space="0"/>
              <w:bottom w:val="single" w:color="auto" w:sz="4" w:space="0"/>
              <w:right w:val="single" w:color="auto" w:sz="4" w:space="0"/>
            </w:tcBorders>
            <w:shd w:val="clear" w:color="auto" w:fill="FFFFFF"/>
            <w:noWrap/>
            <w:vAlign w:val="bottom"/>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硅芯样芯氧含量 atoms/cm</w:t>
            </w:r>
            <w:r>
              <w:rPr>
                <w:rFonts w:hint="eastAsia" w:ascii="宋体" w:hAnsi="宋体" w:eastAsia="宋体" w:cs="宋体"/>
                <w:color w:val="000000"/>
                <w:kern w:val="0"/>
                <w:sz w:val="18"/>
                <w:szCs w:val="18"/>
                <w:vertAlign w:val="superscript"/>
              </w:rPr>
              <w:t>3</w:t>
            </w:r>
          </w:p>
        </w:tc>
        <w:tc>
          <w:tcPr>
            <w:tcW w:w="1417"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≤3.0×10</w:t>
            </w:r>
            <w:r>
              <w:rPr>
                <w:rFonts w:hint="eastAsia" w:ascii="宋体" w:hAnsi="宋体" w:eastAsia="宋体" w:cs="宋体"/>
                <w:color w:val="000000"/>
                <w:kern w:val="0"/>
                <w:sz w:val="18"/>
                <w:szCs w:val="18"/>
                <w:vertAlign w:val="superscript"/>
              </w:rPr>
              <w:t>16</w:t>
            </w:r>
          </w:p>
        </w:tc>
        <w:tc>
          <w:tcPr>
            <w:tcW w:w="1559"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≤3.0×10</w:t>
            </w:r>
            <w:r>
              <w:rPr>
                <w:rFonts w:hint="eastAsia" w:ascii="宋体" w:hAnsi="宋体" w:eastAsia="宋体" w:cs="宋体"/>
                <w:color w:val="000000"/>
                <w:kern w:val="0"/>
                <w:sz w:val="18"/>
                <w:szCs w:val="18"/>
                <w:vertAlign w:val="superscript"/>
              </w:rPr>
              <w:t>16</w:t>
            </w:r>
          </w:p>
        </w:tc>
        <w:tc>
          <w:tcPr>
            <w:tcW w:w="1418"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≤3.0×10</w:t>
            </w:r>
            <w:r>
              <w:rPr>
                <w:rFonts w:hint="eastAsia" w:ascii="宋体" w:hAnsi="宋体" w:eastAsia="宋体" w:cs="宋体"/>
                <w:color w:val="000000"/>
                <w:kern w:val="0"/>
                <w:sz w:val="18"/>
                <w:szCs w:val="18"/>
                <w:vertAlign w:val="superscript"/>
              </w:rPr>
              <w:t>16</w:t>
            </w:r>
          </w:p>
        </w:tc>
      </w:tr>
      <w:tr>
        <w:tblPrEx>
          <w:tblCellMar>
            <w:top w:w="0" w:type="dxa"/>
            <w:left w:w="108" w:type="dxa"/>
            <w:bottom w:w="0" w:type="dxa"/>
            <w:right w:w="108" w:type="dxa"/>
          </w:tblCellMar>
        </w:tblPrEx>
        <w:trPr>
          <w:trHeight w:val="256" w:hRule="atLeast"/>
          <w:jc w:val="center"/>
        </w:trPr>
        <w:tc>
          <w:tcPr>
            <w:tcW w:w="3934" w:type="dxa"/>
            <w:tcBorders>
              <w:top w:val="nil"/>
              <w:left w:val="single" w:color="auto" w:sz="8" w:space="0"/>
              <w:bottom w:val="single" w:color="auto" w:sz="4" w:space="0"/>
              <w:right w:val="single" w:color="auto" w:sz="4" w:space="0"/>
            </w:tcBorders>
            <w:shd w:val="clear" w:color="auto" w:fill="FFFFFF"/>
            <w:noWrap/>
            <w:vAlign w:val="bottom"/>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电阻率（ohm-cm）</w:t>
            </w:r>
          </w:p>
        </w:tc>
        <w:tc>
          <w:tcPr>
            <w:tcW w:w="1417"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232021"/>
                <w:sz w:val="18"/>
                <w:szCs w:val="18"/>
              </w:rPr>
              <w:t>4000 ohm-cm</w:t>
            </w:r>
          </w:p>
        </w:tc>
        <w:tc>
          <w:tcPr>
            <w:tcW w:w="1559"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232021"/>
                <w:sz w:val="18"/>
                <w:szCs w:val="18"/>
              </w:rPr>
              <w:t xml:space="preserve"> 4000 ohm-cm</w:t>
            </w:r>
          </w:p>
        </w:tc>
        <w:tc>
          <w:tcPr>
            <w:tcW w:w="1418"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232021"/>
                <w:sz w:val="18"/>
                <w:szCs w:val="18"/>
              </w:rPr>
              <w:t xml:space="preserve"> 1000 ohm-cm</w:t>
            </w:r>
          </w:p>
        </w:tc>
      </w:tr>
      <w:tr>
        <w:tblPrEx>
          <w:tblCellMar>
            <w:top w:w="0" w:type="dxa"/>
            <w:left w:w="108" w:type="dxa"/>
            <w:bottom w:w="0" w:type="dxa"/>
            <w:right w:w="108" w:type="dxa"/>
          </w:tblCellMar>
        </w:tblPrEx>
        <w:trPr>
          <w:trHeight w:val="256" w:hRule="atLeast"/>
          <w:jc w:val="center"/>
        </w:trPr>
        <w:tc>
          <w:tcPr>
            <w:tcW w:w="3934" w:type="dxa"/>
            <w:tcBorders>
              <w:top w:val="nil"/>
              <w:left w:val="single" w:color="auto" w:sz="8" w:space="0"/>
              <w:bottom w:val="single" w:color="auto" w:sz="4" w:space="0"/>
              <w:right w:val="single" w:color="auto" w:sz="4" w:space="0"/>
            </w:tcBorders>
            <w:shd w:val="clear" w:color="auto" w:fill="FFFFFF"/>
            <w:noWrap/>
            <w:vAlign w:val="bottom"/>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少数载流子寿命μs</w:t>
            </w:r>
          </w:p>
        </w:tc>
        <w:tc>
          <w:tcPr>
            <w:tcW w:w="1417"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eastAsia="宋体" w:cs="宋体"/>
                <w:color w:val="232021"/>
                <w:sz w:val="18"/>
                <w:szCs w:val="18"/>
              </w:rPr>
            </w:pPr>
            <w:r>
              <w:rPr>
                <w:rFonts w:hint="eastAsia" w:ascii="宋体" w:hAnsi="宋体" w:eastAsia="宋体" w:cs="宋体"/>
                <w:color w:val="000000"/>
                <w:kern w:val="0"/>
                <w:sz w:val="18"/>
                <w:szCs w:val="18"/>
              </w:rPr>
              <w:t>≥1000</w:t>
            </w:r>
          </w:p>
        </w:tc>
        <w:tc>
          <w:tcPr>
            <w:tcW w:w="1559"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eastAsia="宋体" w:cs="宋体"/>
                <w:color w:val="232021"/>
                <w:sz w:val="18"/>
                <w:szCs w:val="18"/>
              </w:rPr>
            </w:pPr>
            <w:r>
              <w:rPr>
                <w:rFonts w:hint="eastAsia" w:ascii="宋体" w:hAnsi="宋体" w:eastAsia="宋体" w:cs="宋体"/>
                <w:color w:val="000000"/>
                <w:kern w:val="0"/>
                <w:sz w:val="18"/>
                <w:szCs w:val="18"/>
              </w:rPr>
              <w:t>≥1000</w:t>
            </w:r>
          </w:p>
        </w:tc>
        <w:tc>
          <w:tcPr>
            <w:tcW w:w="1418"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232021"/>
                <w:sz w:val="18"/>
                <w:szCs w:val="18"/>
              </w:rPr>
            </w:pPr>
            <w:r>
              <w:rPr>
                <w:rFonts w:hint="eastAsia" w:ascii="宋体" w:hAnsi="宋体" w:eastAsia="宋体" w:cs="宋体"/>
                <w:color w:val="000000"/>
                <w:kern w:val="0"/>
                <w:sz w:val="18"/>
                <w:szCs w:val="18"/>
              </w:rPr>
              <w:t>≥1000</w:t>
            </w:r>
          </w:p>
        </w:tc>
      </w:tr>
      <w:tr>
        <w:tblPrEx>
          <w:tblCellMar>
            <w:top w:w="0" w:type="dxa"/>
            <w:left w:w="108" w:type="dxa"/>
            <w:bottom w:w="0" w:type="dxa"/>
            <w:right w:w="108" w:type="dxa"/>
          </w:tblCellMar>
        </w:tblPrEx>
        <w:trPr>
          <w:trHeight w:val="256" w:hRule="atLeast"/>
          <w:jc w:val="center"/>
        </w:trPr>
        <w:tc>
          <w:tcPr>
            <w:tcW w:w="3934"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基体金属杂质含量 ppbw（</w:t>
            </w:r>
            <w:r>
              <w:rPr>
                <w:rFonts w:hint="eastAsia" w:ascii="宋体" w:hAnsi="宋体" w:eastAsia="宋体" w:cs="宋体"/>
                <w:color w:val="000000"/>
                <w:kern w:val="0"/>
                <w:sz w:val="18"/>
                <w:szCs w:val="18"/>
              </w:rPr>
              <w:t>Fe、Cr、Ni、Cu、Zn、Na</w:t>
            </w:r>
            <w:r>
              <w:rPr>
                <w:rFonts w:hint="eastAsia" w:ascii="宋体" w:hAnsi="宋体" w:eastAsia="宋体" w:cs="宋体"/>
                <w:kern w:val="0"/>
                <w:sz w:val="18"/>
                <w:szCs w:val="18"/>
              </w:rPr>
              <w:t>）</w:t>
            </w:r>
          </w:p>
        </w:tc>
        <w:tc>
          <w:tcPr>
            <w:tcW w:w="1417"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559"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418"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CellMar>
            <w:top w:w="0" w:type="dxa"/>
            <w:left w:w="108" w:type="dxa"/>
            <w:bottom w:w="0" w:type="dxa"/>
            <w:right w:w="108" w:type="dxa"/>
          </w:tblCellMar>
        </w:tblPrEx>
        <w:trPr>
          <w:trHeight w:val="256" w:hRule="atLeast"/>
          <w:jc w:val="center"/>
        </w:trPr>
        <w:tc>
          <w:tcPr>
            <w:tcW w:w="3934" w:type="dxa"/>
            <w:tcBorders>
              <w:top w:val="nil"/>
              <w:left w:val="single" w:color="auto" w:sz="8" w:space="0"/>
              <w:bottom w:val="single" w:color="auto" w:sz="4" w:space="0"/>
              <w:right w:val="single" w:color="auto" w:sz="4" w:space="0"/>
            </w:tcBorders>
            <w:shd w:val="clear" w:color="auto" w:fill="FFFFFF"/>
            <w:noWrap/>
            <w:vAlign w:val="bottom"/>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直径 mm</w:t>
            </w:r>
          </w:p>
        </w:tc>
        <w:tc>
          <w:tcPr>
            <w:tcW w:w="1417"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[150,190)</w:t>
            </w:r>
          </w:p>
        </w:tc>
        <w:tc>
          <w:tcPr>
            <w:tcW w:w="1559"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[120,150)</w:t>
            </w:r>
          </w:p>
        </w:tc>
        <w:tc>
          <w:tcPr>
            <w:tcW w:w="1418"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[90,120)</w:t>
            </w:r>
          </w:p>
        </w:tc>
      </w:tr>
    </w:tbl>
    <w:p>
      <w:pPr>
        <w:pStyle w:val="9"/>
        <w:numPr>
          <w:ilvl w:val="1"/>
          <w:numId w:val="2"/>
        </w:numPr>
        <w:spacing w:before="156" w:beforeLines="50" w:after="156" w:afterLines="50"/>
        <w:ind w:left="0" w:firstLine="0"/>
        <w:rPr>
          <w:rFonts w:ascii="Times New Roman"/>
          <w:color w:val="000000"/>
          <w:sz w:val="20"/>
        </w:rPr>
      </w:pPr>
      <w:r>
        <w:rPr>
          <w:rFonts w:hint="eastAsia" w:ascii="Times New Roman"/>
          <w:color w:val="000000"/>
          <w:sz w:val="20"/>
        </w:rPr>
        <w:t>尺寸</w:t>
      </w:r>
    </w:p>
    <w:p>
      <w:pPr>
        <w:pStyle w:val="7"/>
        <w:numPr>
          <w:ilvl w:val="2"/>
          <w:numId w:val="3"/>
        </w:numPr>
        <w:ind w:firstLineChars="0"/>
        <w:rPr>
          <w:rFonts w:ascii="Times New Roman" w:eastAsia="黑体"/>
          <w:color w:val="000000"/>
          <w:sz w:val="20"/>
        </w:rPr>
      </w:pPr>
      <w:r>
        <w:rPr>
          <w:rFonts w:hint="eastAsia" w:ascii="Times New Roman" w:eastAsia="黑体"/>
          <w:color w:val="000000"/>
          <w:sz w:val="20"/>
        </w:rPr>
        <w:t xml:space="preserve"> </w:t>
      </w:r>
      <w:r>
        <w:rPr>
          <w:rFonts w:hint="eastAsia" w:ascii="宋体" w:hAnsi="宋体" w:eastAsia="宋体" w:cs="宋体"/>
          <w:color w:val="000000"/>
          <w:sz w:val="21"/>
          <w:szCs w:val="21"/>
        </w:rPr>
        <w:t>区熔硅的长度应在1000 mm至2100 mm之间</w:t>
      </w:r>
      <w:r>
        <w:rPr>
          <w:rFonts w:hint="eastAsia" w:ascii="宋体" w:hAnsi="宋体" w:eastAsia="宋体" w:cs="宋体"/>
          <w:color w:val="000000"/>
          <w:sz w:val="21"/>
          <w:szCs w:val="21"/>
          <w:lang w:eastAsia="zh-CN"/>
        </w:rPr>
        <w:t>。</w:t>
      </w:r>
    </w:p>
    <w:p>
      <w:pPr>
        <w:pStyle w:val="7"/>
        <w:keepNext w:val="0"/>
        <w:keepLines w:val="0"/>
        <w:pageBreakBefore w:val="0"/>
        <w:widowControl/>
        <w:numPr>
          <w:numId w:val="0"/>
        </w:numPr>
        <w:kinsoku/>
        <w:wordWrap/>
        <w:overflowPunct/>
        <w:topLinePunct w:val="0"/>
        <w:autoSpaceDE w:val="0"/>
        <w:autoSpaceDN w:val="0"/>
        <w:bidi w:val="0"/>
        <w:adjustRightInd/>
        <w:snapToGrid/>
        <w:ind w:leftChars="0"/>
        <w:textAlignment w:val="auto"/>
        <w:rPr>
          <w:rFonts w:hint="eastAsia" w:ascii="宋体" w:hAnsi="宋体" w:eastAsia="宋体" w:cs="宋体"/>
          <w:color w:val="000000"/>
          <w:sz w:val="21"/>
          <w:szCs w:val="21"/>
        </w:rPr>
      </w:pPr>
      <w:r>
        <w:rPr>
          <w:rFonts w:hint="eastAsia" w:ascii="黑体" w:hAnsi="黑体" w:eastAsia="黑体" w:cs="黑体"/>
          <w:sz w:val="21"/>
          <w:szCs w:val="21"/>
          <w:lang w:val="en-US" w:eastAsia="zh-CN"/>
        </w:rPr>
        <w:t>4.3.2</w:t>
      </w:r>
      <w:r>
        <w:rPr>
          <w:rFonts w:hint="eastAsia" w:hAnsi="宋体" w:cs="宋体"/>
          <w:sz w:val="21"/>
          <w:szCs w:val="21"/>
          <w:lang w:val="en-US" w:eastAsia="zh-CN"/>
        </w:rPr>
        <w:t xml:space="preserve"> </w:t>
      </w:r>
      <w:r>
        <w:rPr>
          <w:rFonts w:hint="eastAsia" w:ascii="宋体" w:hAnsi="宋体" w:eastAsia="宋体" w:cs="宋体"/>
          <w:sz w:val="21"/>
          <w:szCs w:val="21"/>
        </w:rPr>
        <w:t>精磨硅棒的直径偏差≤2 mm。</w:t>
      </w:r>
    </w:p>
    <w:p>
      <w:pPr>
        <w:pStyle w:val="7"/>
        <w:numPr>
          <w:ilvl w:val="2"/>
          <w:numId w:val="3"/>
        </w:numPr>
        <w:ind w:firstLineChars="0"/>
        <w:rPr>
          <w:rFonts w:ascii="Times New Roman" w:eastAsia="黑体"/>
          <w:color w:val="000000"/>
          <w:sz w:val="20"/>
        </w:rPr>
      </w:pPr>
      <w:r>
        <w:rPr>
          <w:rFonts w:ascii="Times New Roman" w:eastAsia="黑体"/>
          <w:color w:val="000000"/>
          <w:sz w:val="20"/>
        </w:rPr>
        <w:t xml:space="preserve"> </w:t>
      </w:r>
      <w:r>
        <w:rPr>
          <w:rFonts w:hint="eastAsia" w:ascii="宋体" w:hAnsi="宋体" w:eastAsia="宋体" w:cs="宋体"/>
          <w:color w:val="000000"/>
          <w:sz w:val="20"/>
        </w:rPr>
        <w:t>源生区熔硅的直径及长度也可由供需双方协商确定。</w:t>
      </w:r>
    </w:p>
    <w:p>
      <w:pPr>
        <w:pStyle w:val="9"/>
        <w:numPr>
          <w:ilvl w:val="1"/>
          <w:numId w:val="2"/>
        </w:numPr>
        <w:spacing w:before="156" w:beforeLines="50" w:after="156" w:afterLines="50"/>
        <w:ind w:left="0" w:firstLine="0"/>
        <w:rPr>
          <w:rFonts w:ascii="Times New Roman"/>
          <w:color w:val="000000"/>
          <w:sz w:val="20"/>
        </w:rPr>
      </w:pPr>
      <w:r>
        <w:rPr>
          <w:rFonts w:hint="eastAsia" w:ascii="Times New Roman"/>
          <w:color w:val="000000"/>
          <w:sz w:val="20"/>
        </w:rPr>
        <w:t>结构</w:t>
      </w:r>
    </w:p>
    <w:p>
      <w:pPr>
        <w:pStyle w:val="7"/>
        <w:ind w:firstLine="400"/>
        <w:rPr>
          <w:rFonts w:hint="eastAsia" w:ascii="宋体" w:hAnsi="宋体" w:eastAsia="宋体" w:cs="宋体"/>
          <w:color w:val="000000"/>
          <w:sz w:val="21"/>
          <w:szCs w:val="21"/>
        </w:rPr>
      </w:pPr>
      <w:r>
        <w:rPr>
          <w:rFonts w:hint="eastAsia" w:ascii="宋体" w:hAnsi="宋体" w:eastAsia="宋体" w:cs="宋体"/>
          <w:color w:val="000000"/>
          <w:sz w:val="21"/>
          <w:szCs w:val="21"/>
        </w:rPr>
        <w:t>区熔硅应无氧化夹层和温度夹层。</w:t>
      </w:r>
    </w:p>
    <w:p>
      <w:pPr>
        <w:pStyle w:val="9"/>
        <w:numPr>
          <w:ilvl w:val="1"/>
          <w:numId w:val="4"/>
        </w:numPr>
        <w:spacing w:before="156" w:beforeLines="50" w:after="156" w:afterLines="50"/>
        <w:rPr>
          <w:rFonts w:ascii="Times New Roman"/>
          <w:color w:val="000000"/>
          <w:sz w:val="20"/>
        </w:rPr>
      </w:pPr>
      <w:r>
        <w:rPr>
          <w:rFonts w:hint="eastAsia" w:ascii="Times New Roman"/>
          <w:color w:val="000000"/>
          <w:sz w:val="20"/>
        </w:rPr>
        <w:t>外观质量</w:t>
      </w:r>
    </w:p>
    <w:p>
      <w:pPr>
        <w:pStyle w:val="7"/>
        <w:numPr>
          <w:ilvl w:val="2"/>
          <w:numId w:val="5"/>
        </w:numPr>
        <w:ind w:firstLineChars="0"/>
        <w:rPr>
          <w:rFonts w:hint="eastAsia" w:ascii="宋体" w:hAnsi="宋体" w:eastAsia="宋体" w:cs="宋体"/>
          <w:sz w:val="20"/>
        </w:rPr>
      </w:pPr>
      <w:r>
        <w:rPr>
          <w:rFonts w:hint="eastAsia"/>
        </w:rPr>
        <w:t xml:space="preserve"> </w:t>
      </w:r>
      <w:r>
        <w:rPr>
          <w:rFonts w:hint="eastAsia" w:ascii="Times New Roman" w:eastAsia="黑体"/>
          <w:sz w:val="20"/>
        </w:rPr>
        <w:t>区</w:t>
      </w:r>
      <w:r>
        <w:rPr>
          <w:rFonts w:hint="eastAsia" w:ascii="宋体" w:hAnsi="宋体" w:eastAsia="宋体" w:cs="宋体"/>
          <w:sz w:val="20"/>
        </w:rPr>
        <w:t>熔硅表面：原生硅棒允许出现机加过程中产生的污渍，精磨后表面洁净，无碎渣。</w:t>
      </w:r>
    </w:p>
    <w:p>
      <w:pPr>
        <w:pStyle w:val="7"/>
        <w:numPr>
          <w:ilvl w:val="2"/>
          <w:numId w:val="6"/>
        </w:numPr>
        <w:ind w:firstLineChars="0"/>
        <w:rPr>
          <w:rFonts w:hint="eastAsia" w:ascii="宋体" w:hAnsi="宋体" w:eastAsia="宋体" w:cs="宋体"/>
          <w:sz w:val="20"/>
        </w:rPr>
      </w:pPr>
      <w:r>
        <w:rPr>
          <w:rFonts w:hint="eastAsia" w:ascii="宋体" w:hAnsi="宋体" w:eastAsia="宋体" w:cs="宋体"/>
          <w:sz w:val="20"/>
        </w:rPr>
        <w:t xml:space="preserve"> 区熔硅的端面：垂直于硅棒轴线切割，底端刻有批次号和硅棒编号。</w:t>
      </w:r>
    </w:p>
    <w:p>
      <w:pPr>
        <w:pStyle w:val="7"/>
        <w:numPr>
          <w:ilvl w:val="2"/>
          <w:numId w:val="7"/>
        </w:numPr>
        <w:ind w:firstLineChars="0"/>
        <w:rPr>
          <w:rFonts w:hint="eastAsia" w:ascii="宋体" w:hAnsi="宋体" w:eastAsia="宋体" w:cs="宋体"/>
          <w:sz w:val="20"/>
        </w:rPr>
      </w:pPr>
      <w:r>
        <w:rPr>
          <w:rFonts w:hint="eastAsia" w:ascii="宋体" w:hAnsi="宋体" w:eastAsia="宋体" w:cs="宋体"/>
          <w:sz w:val="20"/>
        </w:rPr>
        <w:t xml:space="preserve"> 原生硅棒属性：内外弯曲≤7 mm，椭圆度≤5 mm。</w:t>
      </w:r>
    </w:p>
    <w:p>
      <w:pPr>
        <w:pStyle w:val="7"/>
        <w:numPr>
          <w:ilvl w:val="2"/>
          <w:numId w:val="8"/>
        </w:numPr>
        <w:ind w:firstLineChars="0"/>
        <w:rPr>
          <w:rFonts w:hint="eastAsia" w:ascii="宋体" w:hAnsi="宋体" w:eastAsia="宋体" w:cs="宋体"/>
          <w:sz w:val="20"/>
        </w:rPr>
      </w:pPr>
      <w:r>
        <w:rPr>
          <w:rFonts w:hint="eastAsia" w:ascii="宋体" w:hAnsi="宋体" w:eastAsia="宋体" w:cs="宋体"/>
          <w:sz w:val="20"/>
        </w:rPr>
        <w:t xml:space="preserve"> 精磨硅棒属性：内外弯曲≤2 mm，椭圆度≤2 mm。</w:t>
      </w:r>
    </w:p>
    <w:bookmarkEnd w:id="0"/>
    <w:p>
      <w:pPr>
        <w:pStyle w:val="8"/>
        <w:keepNext w:val="0"/>
        <w:keepLines w:val="0"/>
        <w:pageBreakBefore w:val="0"/>
        <w:widowControl/>
        <w:kinsoku/>
        <w:wordWrap/>
        <w:overflowPunct/>
        <w:topLinePunct w:val="0"/>
        <w:autoSpaceDE/>
        <w:autoSpaceDN/>
        <w:bidi w:val="0"/>
        <w:adjustRightInd/>
        <w:snapToGrid/>
        <w:spacing w:before="313" w:beforeLines="100" w:after="313" w:afterLines="100"/>
        <w:ind w:left="0"/>
        <w:textAlignment w:val="auto"/>
        <w:rPr>
          <w:rFonts w:ascii="Times New Roman"/>
          <w:color w:val="000000"/>
          <w:sz w:val="20"/>
        </w:rPr>
      </w:pPr>
      <w:r>
        <w:rPr>
          <w:rFonts w:hint="eastAsia" w:ascii="Times New Roman"/>
          <w:color w:val="000000"/>
          <w:sz w:val="20"/>
        </w:rPr>
        <w:t>试验方法</w:t>
      </w:r>
    </w:p>
    <w:p>
      <w:pPr>
        <w:pStyle w:val="9"/>
        <w:keepNext w:val="0"/>
        <w:keepLines w:val="0"/>
        <w:pageBreakBefore w:val="0"/>
        <w:widowControl/>
        <w:numPr>
          <w:ilvl w:val="1"/>
          <w:numId w:val="9"/>
        </w:numPr>
        <w:kinsoku/>
        <w:wordWrap/>
        <w:overflowPunct/>
        <w:topLinePunct w:val="0"/>
        <w:autoSpaceDE/>
        <w:autoSpaceDN/>
        <w:bidi w:val="0"/>
        <w:adjustRightInd/>
        <w:snapToGrid/>
        <w:ind w:left="0" w:firstLine="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区熔硅进行施主杂质含量、受主杂质含量、碳含量、氧含量、导电类型、电阻率、少数载流子寿命、检验前按照GB/T4059、GB/T4060或GB/T 29057的方法制成单晶试样。</w:t>
      </w:r>
    </w:p>
    <w:p>
      <w:pPr>
        <w:pStyle w:val="9"/>
        <w:numPr>
          <w:ilvl w:val="1"/>
          <w:numId w:val="9"/>
        </w:num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区熔硅导电类型检验按GB/T 1550的规定进行。</w:t>
      </w:r>
    </w:p>
    <w:p>
      <w:pPr>
        <w:pStyle w:val="9"/>
        <w:keepNext w:val="0"/>
        <w:keepLines w:val="0"/>
        <w:pageBreakBefore w:val="0"/>
        <w:widowControl/>
        <w:numPr>
          <w:ilvl w:val="1"/>
          <w:numId w:val="9"/>
        </w:numPr>
        <w:kinsoku/>
        <w:wordWrap/>
        <w:overflowPunct/>
        <w:topLinePunct w:val="0"/>
        <w:autoSpaceDE/>
        <w:autoSpaceDN/>
        <w:bidi w:val="0"/>
        <w:adjustRightInd/>
        <w:snapToGrid/>
        <w:ind w:left="0" w:firstLine="0"/>
        <w:textAlignment w:val="auto"/>
        <w:rPr>
          <w:rFonts w:hint="eastAsia" w:ascii="宋体" w:hAnsi="宋体" w:eastAsia="宋体" w:cs="宋体"/>
          <w:color w:val="000000"/>
          <w:sz w:val="21"/>
          <w:szCs w:val="21"/>
        </w:rPr>
      </w:pPr>
      <w:r>
        <w:rPr>
          <w:rStyle w:val="14"/>
          <w:rFonts w:hint="eastAsia" w:ascii="宋体" w:hAnsi="宋体" w:eastAsia="宋体" w:cs="宋体"/>
          <w:color w:val="000000"/>
          <w:sz w:val="21"/>
          <w:szCs w:val="21"/>
          <w:lang w:val="en-US" w:eastAsia="zh-CN"/>
        </w:rPr>
        <w:t xml:space="preserve"> </w:t>
      </w:r>
      <w:r>
        <w:rPr>
          <w:rStyle w:val="14"/>
          <w:rFonts w:hint="eastAsia" w:ascii="宋体" w:hAnsi="宋体" w:eastAsia="宋体" w:cs="宋体"/>
          <w:color w:val="000000"/>
          <w:sz w:val="21"/>
          <w:szCs w:val="21"/>
        </w:rPr>
        <w:t>区熔硅中的施主杂质含量、受主杂质含量的测试按</w:t>
      </w:r>
      <w:r>
        <w:rPr>
          <w:rFonts w:hint="eastAsia" w:ascii="宋体" w:hAnsi="宋体" w:eastAsia="宋体" w:cs="宋体"/>
          <w:color w:val="000000"/>
          <w:sz w:val="21"/>
          <w:szCs w:val="21"/>
        </w:rPr>
        <w:t>GB/T 24574或GB/T 24581规定进行。仲裁检验按照GB/T24581的规定进行。</w:t>
      </w:r>
    </w:p>
    <w:p>
      <w:pPr>
        <w:pStyle w:val="9"/>
        <w:numPr>
          <w:ilvl w:val="1"/>
          <w:numId w:val="9"/>
        </w:num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区熔硅中的硅芯样芯碳和硅芯样芯氧含量按照碳、氧含量规定的方法进行检测。</w:t>
      </w:r>
    </w:p>
    <w:p>
      <w:pPr>
        <w:pStyle w:val="9"/>
        <w:numPr>
          <w:ilvl w:val="1"/>
          <w:numId w:val="9"/>
        </w:numPr>
        <w:rPr>
          <w:rFonts w:hAnsi="黑体"/>
          <w:color w:val="000000"/>
          <w:sz w:val="20"/>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区熔硅少数载流子寿命测试按GB/T1553的规定进行。</w:t>
      </w:r>
    </w:p>
    <w:p>
      <w:pPr>
        <w:pStyle w:val="9"/>
        <w:keepNext w:val="0"/>
        <w:keepLines w:val="0"/>
        <w:pageBreakBefore w:val="0"/>
        <w:widowControl/>
        <w:numPr>
          <w:ilvl w:val="1"/>
          <w:numId w:val="9"/>
        </w:numPr>
        <w:kinsoku/>
        <w:wordWrap/>
        <w:overflowPunct/>
        <w:topLinePunct w:val="0"/>
        <w:autoSpaceDE/>
        <w:autoSpaceDN/>
        <w:bidi w:val="0"/>
        <w:adjustRightInd/>
        <w:snapToGrid/>
        <w:ind w:left="0" w:firstLine="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区熔硅中碳含量测试按GB/T1558、GB/T35306的规定进行。仲裁检验按照GB/T35306的规定进行。</w:t>
      </w:r>
    </w:p>
    <w:p>
      <w:pPr>
        <w:pStyle w:val="9"/>
        <w:keepNext w:val="0"/>
        <w:keepLines w:val="0"/>
        <w:pageBreakBefore w:val="0"/>
        <w:widowControl/>
        <w:numPr>
          <w:ilvl w:val="1"/>
          <w:numId w:val="9"/>
        </w:numPr>
        <w:kinsoku/>
        <w:wordWrap/>
        <w:overflowPunct/>
        <w:topLinePunct w:val="0"/>
        <w:autoSpaceDE/>
        <w:autoSpaceDN/>
        <w:bidi w:val="0"/>
        <w:adjustRightInd/>
        <w:snapToGrid/>
        <w:ind w:left="0" w:firstLine="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区熔硅中氧含量测试按GB/T1557、GB/T35306的的规定进行。仲裁检验按照GB/T35306的规定进行。</w:t>
      </w:r>
    </w:p>
    <w:p>
      <w:pPr>
        <w:pStyle w:val="9"/>
        <w:keepNext w:val="0"/>
        <w:keepLines w:val="0"/>
        <w:pageBreakBefore w:val="0"/>
        <w:widowControl/>
        <w:numPr>
          <w:ilvl w:val="1"/>
          <w:numId w:val="9"/>
        </w:numPr>
        <w:kinsoku/>
        <w:wordWrap/>
        <w:overflowPunct/>
        <w:topLinePunct w:val="0"/>
        <w:autoSpaceDE/>
        <w:autoSpaceDN/>
        <w:bidi w:val="0"/>
        <w:adjustRightInd/>
        <w:snapToGrid/>
        <w:ind w:left="0" w:firstLine="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区熔硅基体金属杂质含量测试的测试方法由供需双方协商确定。</w:t>
      </w:r>
    </w:p>
    <w:p>
      <w:pPr>
        <w:pStyle w:val="9"/>
        <w:keepNext w:val="0"/>
        <w:keepLines w:val="0"/>
        <w:pageBreakBefore w:val="0"/>
        <w:widowControl/>
        <w:numPr>
          <w:ilvl w:val="1"/>
          <w:numId w:val="9"/>
        </w:numPr>
        <w:kinsoku/>
        <w:wordWrap/>
        <w:overflowPunct/>
        <w:topLinePunct w:val="0"/>
        <w:autoSpaceDE/>
        <w:autoSpaceDN/>
        <w:bidi w:val="0"/>
        <w:adjustRightInd/>
        <w:snapToGrid/>
        <w:ind w:left="0" w:firstLine="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区熔硅基磷电阻率检验按GB/T4059的规定进行。</w:t>
      </w:r>
    </w:p>
    <w:p>
      <w:pPr>
        <w:pStyle w:val="9"/>
        <w:numPr>
          <w:ilvl w:val="1"/>
          <w:numId w:val="9"/>
        </w:numPr>
        <w:rPr>
          <w:rFonts w:hAnsi="黑体"/>
          <w:color w:val="000000"/>
          <w:sz w:val="20"/>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区熔硅基硼电阻率检验按GB/T4060的规定进行。</w:t>
      </w:r>
    </w:p>
    <w:p>
      <w:pPr>
        <w:pStyle w:val="9"/>
        <w:keepNext w:val="0"/>
        <w:keepLines w:val="0"/>
        <w:pageBreakBefore w:val="0"/>
        <w:widowControl/>
        <w:numPr>
          <w:ilvl w:val="1"/>
          <w:numId w:val="9"/>
        </w:numPr>
        <w:kinsoku/>
        <w:wordWrap/>
        <w:overflowPunct/>
        <w:topLinePunct w:val="0"/>
        <w:autoSpaceDE/>
        <w:autoSpaceDN/>
        <w:bidi w:val="0"/>
        <w:adjustRightInd/>
        <w:snapToGrid/>
        <w:ind w:left="0" w:firstLine="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区熔硅的尺寸用相应精度的量具测量，其中源生硅棒测量去除两端后的有效长度，精磨硅棒测量整根长度；硅棒的直径按照长度平均分三段，分别测量每段的两个点，并选取测量结果中最大值和最小值作为最大直径和最小直径，直径偏差则为最大直径与最小直径之差；或尺寸由供需双方商定的方法检验。</w:t>
      </w:r>
    </w:p>
    <w:p>
      <w:pPr>
        <w:pStyle w:val="9"/>
        <w:numPr>
          <w:ilvl w:val="1"/>
          <w:numId w:val="9"/>
        </w:num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区熔硅结构（氧化夹层、温度夹层）的检验按GB/T4061的规定进行。</w:t>
      </w:r>
    </w:p>
    <w:p>
      <w:pPr>
        <w:pStyle w:val="9"/>
        <w:keepNext w:val="0"/>
        <w:keepLines w:val="0"/>
        <w:pageBreakBefore w:val="0"/>
        <w:widowControl/>
        <w:numPr>
          <w:ilvl w:val="1"/>
          <w:numId w:val="9"/>
        </w:numPr>
        <w:kinsoku/>
        <w:wordWrap/>
        <w:overflowPunct/>
        <w:topLinePunct w:val="0"/>
        <w:autoSpaceDE/>
        <w:autoSpaceDN/>
        <w:bidi w:val="0"/>
        <w:adjustRightInd/>
        <w:snapToGrid/>
        <w:ind w:left="0" w:firstLine="0"/>
        <w:textAlignment w:val="auto"/>
        <w:rPr>
          <w:rStyle w:val="14"/>
          <w:rFonts w:hint="eastAsia" w:ascii="宋体" w:hAnsi="宋体" w:eastAsia="宋体" w:cs="宋体"/>
          <w:sz w:val="21"/>
          <w:szCs w:val="21"/>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区熔硅的外观质量用相应精度的量具测量，其中区熔硅的椭圆度可参照GB/T 17737.301的规定执行，按照长度平均分三段，分别测量两端的两个点，并选取最大值作为结果；弯曲度的测量将直的平尺平行放置在硅棒表面，使用塞尺测量平尺与硅棒之间的距离；或由供需双方商定的方法检验。</w:t>
      </w:r>
    </w:p>
    <w:p>
      <w:pPr>
        <w:pStyle w:val="7"/>
        <w:numPr>
          <w:ilvl w:val="1"/>
          <w:numId w:val="9"/>
        </w:numPr>
        <w:ind w:firstLineChars="0"/>
        <w:rPr>
          <w:rFonts w:hint="eastAsia" w:ascii="宋体" w:hAnsi="宋体" w:eastAsia="宋体" w:cs="宋体"/>
          <w:sz w:val="21"/>
          <w:szCs w:val="21"/>
        </w:rPr>
      </w:pPr>
      <w:r>
        <w:rPr>
          <w:rFonts w:hint="eastAsia" w:hAnsi="宋体" w:cs="宋体"/>
          <w:sz w:val="21"/>
          <w:szCs w:val="21"/>
          <w:lang w:val="en-US" w:eastAsia="zh-CN"/>
        </w:rPr>
        <w:t xml:space="preserve"> </w:t>
      </w:r>
      <w:r>
        <w:rPr>
          <w:rFonts w:hint="eastAsia" w:ascii="宋体" w:hAnsi="宋体" w:eastAsia="宋体" w:cs="宋体"/>
          <w:sz w:val="21"/>
          <w:szCs w:val="21"/>
        </w:rPr>
        <w:t>电阻率可按照GB/T 13389</w:t>
      </w:r>
      <w:r>
        <w:rPr>
          <w:rFonts w:hint="eastAsia" w:ascii="宋体" w:hAnsi="宋体" w:eastAsia="宋体" w:cs="宋体"/>
          <w:color w:val="000000"/>
          <w:sz w:val="21"/>
          <w:szCs w:val="21"/>
        </w:rPr>
        <w:t>的规定进行，或由供需双方商定的方法检验。</w:t>
      </w:r>
    </w:p>
    <w:p>
      <w:pPr>
        <w:pStyle w:val="7"/>
        <w:keepNext w:val="0"/>
        <w:keepLines w:val="0"/>
        <w:pageBreakBefore w:val="0"/>
        <w:widowControl/>
        <w:numPr>
          <w:ilvl w:val="0"/>
          <w:numId w:val="10"/>
        </w:numPr>
        <w:kinsoku/>
        <w:wordWrap/>
        <w:overflowPunct/>
        <w:topLinePunct w:val="0"/>
        <w:autoSpaceDE w:val="0"/>
        <w:autoSpaceDN w:val="0"/>
        <w:bidi w:val="0"/>
        <w:adjustRightInd/>
        <w:snapToGrid/>
        <w:spacing w:before="313" w:beforeLines="100" w:after="313" w:afterLines="100"/>
        <w:ind w:left="357" w:hanging="357" w:firstLineChars="0"/>
        <w:textAlignment w:val="auto"/>
        <w:rPr>
          <w:rFonts w:ascii="黑体" w:hAnsi="黑体" w:eastAsia="黑体"/>
          <w:sz w:val="20"/>
        </w:rPr>
      </w:pPr>
      <w:r>
        <w:rPr>
          <w:rFonts w:hint="eastAsia" w:ascii="黑体" w:hAnsi="黑体" w:eastAsia="黑体"/>
          <w:sz w:val="20"/>
        </w:rPr>
        <w:t>检验规则</w:t>
      </w:r>
    </w:p>
    <w:p>
      <w:pPr>
        <w:pStyle w:val="7"/>
        <w:numPr>
          <w:ilvl w:val="1"/>
          <w:numId w:val="10"/>
        </w:numPr>
        <w:spacing w:before="156" w:beforeLines="50" w:after="156" w:afterLines="50"/>
        <w:ind w:left="357" w:hanging="357" w:firstLineChars="0"/>
        <w:rPr>
          <w:rFonts w:ascii="黑体" w:hAnsi="黑体" w:eastAsia="黑体"/>
          <w:sz w:val="20"/>
        </w:rPr>
      </w:pPr>
      <w:r>
        <w:rPr>
          <w:rFonts w:hint="eastAsia" w:ascii="黑体" w:hAnsi="黑体" w:eastAsia="黑体"/>
          <w:sz w:val="20"/>
        </w:rPr>
        <w:t xml:space="preserve"> 检查和验收</w:t>
      </w:r>
    </w:p>
    <w:p>
      <w:pPr>
        <w:pStyle w:val="7"/>
        <w:numPr>
          <w:ilvl w:val="2"/>
          <w:numId w:val="10"/>
        </w:numPr>
        <w:tabs>
          <w:tab w:val="left" w:pos="567"/>
        </w:tabs>
        <w:ind w:left="0" w:firstLine="0" w:firstLineChars="0"/>
        <w:rPr>
          <w:rFonts w:hint="eastAsia" w:ascii="宋体" w:hAnsi="宋体" w:eastAsia="宋体" w:cs="宋体"/>
          <w:sz w:val="21"/>
          <w:szCs w:val="21"/>
        </w:rPr>
      </w:pPr>
      <w:r>
        <w:rPr>
          <w:rFonts w:hint="eastAsia" w:ascii="宋体" w:hAnsi="宋体" w:eastAsia="宋体" w:cs="宋体"/>
          <w:sz w:val="21"/>
          <w:szCs w:val="21"/>
        </w:rPr>
        <w:t>产品应由供方质量监督部门进行检验，保证产品质量符合本文件及合同的规定，并填写产品随行文件。</w:t>
      </w:r>
    </w:p>
    <w:p>
      <w:pPr>
        <w:pStyle w:val="7"/>
        <w:numPr>
          <w:ilvl w:val="2"/>
          <w:numId w:val="10"/>
        </w:numPr>
        <w:tabs>
          <w:tab w:val="left" w:pos="567"/>
        </w:tabs>
        <w:ind w:left="0" w:hanging="11" w:firstLineChars="0"/>
        <w:rPr>
          <w:rFonts w:ascii="黑体" w:hAnsi="黑体" w:eastAsia="黑体"/>
          <w:sz w:val="20"/>
        </w:rPr>
      </w:pPr>
      <w:r>
        <w:rPr>
          <w:rFonts w:hint="eastAsia" w:ascii="宋体" w:hAnsi="宋体" w:eastAsia="宋体" w:cs="宋体"/>
          <w:sz w:val="21"/>
          <w:szCs w:val="21"/>
        </w:rPr>
        <w:t>需方可对收到的产品进行检验。若检验结果与本文件或合同的规定不符时，应在收到产品之日起3个月内向供方提出，由供需双方协商解决。</w:t>
      </w:r>
    </w:p>
    <w:p>
      <w:pPr>
        <w:pStyle w:val="7"/>
        <w:numPr>
          <w:ilvl w:val="1"/>
          <w:numId w:val="10"/>
        </w:numPr>
        <w:spacing w:before="156" w:beforeLines="50" w:after="156" w:afterLines="50"/>
        <w:ind w:left="357" w:hanging="357" w:firstLineChars="0"/>
        <w:rPr>
          <w:rFonts w:ascii="黑体" w:hAnsi="黑体" w:eastAsia="黑体"/>
          <w:sz w:val="20"/>
        </w:rPr>
      </w:pPr>
      <w:r>
        <w:rPr>
          <w:rFonts w:hint="eastAsia" w:ascii="黑体" w:hAnsi="黑体" w:eastAsia="黑体"/>
          <w:sz w:val="20"/>
        </w:rPr>
        <w:t xml:space="preserve"> 组批</w:t>
      </w:r>
    </w:p>
    <w:p>
      <w:pPr>
        <w:pStyle w:val="7"/>
        <w:ind w:firstLine="400"/>
        <w:rPr>
          <w:rFonts w:hint="eastAsia" w:ascii="宋体" w:hAnsi="宋体" w:eastAsia="宋体" w:cs="宋体"/>
          <w:sz w:val="21"/>
          <w:szCs w:val="21"/>
        </w:rPr>
      </w:pPr>
      <w:r>
        <w:rPr>
          <w:rFonts w:hint="eastAsia" w:ascii="宋体" w:hAnsi="宋体" w:eastAsia="宋体" w:cs="宋体"/>
          <w:sz w:val="21"/>
          <w:szCs w:val="21"/>
        </w:rPr>
        <w:t>产品应成批提交验收，每批应有同一牌号、具有相同纯度等级和特性，以类似工艺生产并可追溯的一批区熔硅组成。</w:t>
      </w:r>
    </w:p>
    <w:p>
      <w:pPr>
        <w:pStyle w:val="7"/>
        <w:numPr>
          <w:ilvl w:val="1"/>
          <w:numId w:val="10"/>
        </w:numPr>
        <w:spacing w:before="156" w:beforeLines="50" w:after="156" w:afterLines="50"/>
        <w:ind w:left="357" w:hanging="357" w:firstLineChars="0"/>
        <w:rPr>
          <w:rFonts w:ascii="黑体" w:hAnsi="黑体" w:eastAsia="黑体"/>
          <w:sz w:val="20"/>
        </w:rPr>
      </w:pPr>
      <w:r>
        <w:rPr>
          <w:rFonts w:hint="eastAsia" w:ascii="黑体" w:hAnsi="黑体" w:eastAsia="黑体"/>
          <w:sz w:val="20"/>
        </w:rPr>
        <w:t xml:space="preserve"> 检验项目</w:t>
      </w:r>
    </w:p>
    <w:p>
      <w:pPr>
        <w:pStyle w:val="7"/>
        <w:ind w:firstLine="0" w:firstLineChars="0"/>
        <w:rPr>
          <w:rFonts w:hint="eastAsia" w:ascii="宋体" w:hAnsi="宋体" w:eastAsia="宋体" w:cs="宋体"/>
          <w:sz w:val="21"/>
          <w:szCs w:val="21"/>
        </w:rPr>
      </w:pPr>
      <w:r>
        <w:rPr>
          <w:rFonts w:hint="eastAsia" w:ascii="黑体" w:hAnsi="黑体" w:eastAsia="黑体"/>
          <w:sz w:val="20"/>
        </w:rPr>
        <w:t xml:space="preserve">    </w:t>
      </w:r>
      <w:r>
        <w:rPr>
          <w:rFonts w:hint="eastAsia" w:ascii="宋体" w:hAnsi="宋体" w:eastAsia="宋体" w:cs="宋体"/>
          <w:sz w:val="21"/>
          <w:szCs w:val="21"/>
        </w:rPr>
        <w:t>每批产品应进行施主杂质含量、受主杂质含量、总碳含量、总氧含量、硅芯样芯碳含量、硅芯样芯氧含量、尺寸及允许偏差、结构、外观质量。导电类型、少数载流子寿命、电阻率、基体金属杂质含量的检验由供需双方协商。</w:t>
      </w:r>
    </w:p>
    <w:p>
      <w:pPr>
        <w:pStyle w:val="7"/>
        <w:numPr>
          <w:ilvl w:val="1"/>
          <w:numId w:val="10"/>
        </w:numPr>
        <w:spacing w:before="156" w:beforeLines="50" w:after="156" w:afterLines="50"/>
        <w:ind w:left="357" w:hanging="357" w:firstLineChars="0"/>
        <w:rPr>
          <w:rFonts w:ascii="黑体" w:hAnsi="黑体" w:eastAsia="黑体"/>
          <w:sz w:val="20"/>
        </w:rPr>
      </w:pPr>
      <w:r>
        <w:rPr>
          <w:rFonts w:hint="eastAsia" w:ascii="黑体" w:hAnsi="黑体" w:eastAsia="黑体"/>
          <w:sz w:val="20"/>
        </w:rPr>
        <w:t xml:space="preserve"> 取样与制样</w:t>
      </w:r>
    </w:p>
    <w:p>
      <w:pPr>
        <w:pStyle w:val="7"/>
        <w:numPr>
          <w:ilvl w:val="2"/>
          <w:numId w:val="10"/>
        </w:numPr>
        <w:tabs>
          <w:tab w:val="left" w:pos="-142"/>
          <w:tab w:val="left" w:pos="567"/>
        </w:tabs>
        <w:ind w:left="0" w:firstLine="0" w:firstLineChars="0"/>
        <w:rPr>
          <w:rFonts w:hint="eastAsia" w:ascii="宋体" w:hAnsi="宋体" w:eastAsia="宋体" w:cs="宋体"/>
          <w:sz w:val="21"/>
          <w:szCs w:val="21"/>
        </w:rPr>
      </w:pPr>
      <w:r>
        <w:rPr>
          <w:rFonts w:hint="eastAsia" w:ascii="宋体" w:hAnsi="宋体" w:eastAsia="宋体" w:cs="宋体"/>
          <w:sz w:val="21"/>
          <w:szCs w:val="21"/>
        </w:rPr>
        <w:t>供方取样、制样时，基磷电阻率、基硼电阻率的取样、制样按照GB/T4059、GB/T4060或者GB/T29057进行，断面氧化夹层取样、制样按GB/T4061进行。仲裁抽样方案由供需双方协商。</w:t>
      </w:r>
    </w:p>
    <w:p>
      <w:pPr>
        <w:pStyle w:val="7"/>
        <w:numPr>
          <w:ilvl w:val="2"/>
          <w:numId w:val="10"/>
        </w:numPr>
        <w:tabs>
          <w:tab w:val="left" w:pos="284"/>
          <w:tab w:val="left" w:pos="567"/>
        </w:tabs>
        <w:ind w:left="0" w:firstLine="0" w:firstLineChars="0"/>
        <w:rPr>
          <w:rFonts w:hint="eastAsia" w:ascii="宋体" w:hAnsi="宋体" w:eastAsia="宋体" w:cs="宋体"/>
          <w:sz w:val="21"/>
          <w:szCs w:val="21"/>
        </w:rPr>
      </w:pPr>
      <w:r>
        <w:rPr>
          <w:rFonts w:hint="eastAsia" w:ascii="宋体" w:hAnsi="宋体" w:eastAsia="宋体" w:cs="宋体"/>
          <w:sz w:val="21"/>
          <w:szCs w:val="21"/>
        </w:rPr>
        <w:t>导电类型、施主杂质含量、受主杂质含量、少数载流子寿命、总碳含量、总氧含量、硅芯样芯碳含量、硅芯样芯氧含量、尺寸及允许偏差、外观质量、基体金属杂质含量的取样由供需双方协商确定。</w:t>
      </w:r>
    </w:p>
    <w:p>
      <w:pPr>
        <w:pStyle w:val="7"/>
        <w:numPr>
          <w:ilvl w:val="1"/>
          <w:numId w:val="10"/>
        </w:numPr>
        <w:spacing w:before="156" w:beforeLines="50" w:after="156" w:afterLines="50"/>
        <w:ind w:left="357" w:hanging="357" w:firstLineChars="0"/>
        <w:rPr>
          <w:rFonts w:ascii="黑体" w:hAnsi="黑体" w:eastAsia="黑体"/>
          <w:sz w:val="20"/>
        </w:rPr>
      </w:pPr>
      <w:r>
        <w:rPr>
          <w:rFonts w:hint="eastAsia" w:ascii="黑体" w:hAnsi="黑体" w:eastAsia="黑体"/>
          <w:sz w:val="20"/>
        </w:rPr>
        <w:t xml:space="preserve"> 检验结果的判定</w:t>
      </w:r>
    </w:p>
    <w:p>
      <w:pPr>
        <w:pStyle w:val="7"/>
        <w:numPr>
          <w:ilvl w:val="2"/>
          <w:numId w:val="10"/>
        </w:numPr>
        <w:tabs>
          <w:tab w:val="left" w:pos="567"/>
        </w:tabs>
        <w:ind w:left="0" w:firstLine="0" w:firstLineChars="0"/>
        <w:rPr>
          <w:rFonts w:hint="eastAsia" w:ascii="宋体" w:hAnsi="宋体" w:eastAsia="宋体" w:cs="宋体"/>
          <w:sz w:val="21"/>
          <w:szCs w:val="21"/>
        </w:rPr>
      </w:pPr>
      <w:r>
        <w:rPr>
          <w:rFonts w:hint="eastAsia" w:ascii="宋体" w:hAnsi="宋体" w:eastAsia="宋体" w:cs="宋体"/>
          <w:sz w:val="21"/>
          <w:szCs w:val="21"/>
        </w:rPr>
        <w:t>区熔硅的等级由施主杂质含量、受主杂质含量、碳含量、氧含量、硅芯样芯碳含量、硅芯样芯氧含量判定。在判定项目中若检验结果有一项不合格，则加倍取样对该不合适的项目进行重复试验。对重复试验结果仍不合格的产品，则判该产品不合格。</w:t>
      </w:r>
    </w:p>
    <w:p>
      <w:pPr>
        <w:pStyle w:val="7"/>
        <w:numPr>
          <w:ilvl w:val="2"/>
          <w:numId w:val="10"/>
        </w:numPr>
        <w:tabs>
          <w:tab w:val="left" w:pos="567"/>
        </w:tabs>
        <w:ind w:left="0" w:firstLine="0" w:firstLineChars="0"/>
        <w:rPr>
          <w:rFonts w:hint="eastAsia" w:ascii="宋体" w:hAnsi="宋体" w:eastAsia="宋体" w:cs="宋体"/>
          <w:sz w:val="21"/>
          <w:szCs w:val="21"/>
        </w:rPr>
      </w:pPr>
      <w:r>
        <w:rPr>
          <w:rFonts w:hint="eastAsia" w:ascii="宋体" w:hAnsi="宋体" w:eastAsia="宋体" w:cs="宋体"/>
          <w:sz w:val="21"/>
          <w:szCs w:val="21"/>
        </w:rPr>
        <w:t>导电类型、少数载流子寿命、基体金属杂质含量、电阻率、尺寸及允许偏差、结构、外观质量的检验结果的判定由供需双方协商确定。</w:t>
      </w:r>
    </w:p>
    <w:p>
      <w:pPr>
        <w:pStyle w:val="7"/>
        <w:keepNext w:val="0"/>
        <w:keepLines w:val="0"/>
        <w:pageBreakBefore w:val="0"/>
        <w:widowControl/>
        <w:numPr>
          <w:ilvl w:val="0"/>
          <w:numId w:val="10"/>
        </w:numPr>
        <w:tabs>
          <w:tab w:val="left" w:pos="567"/>
        </w:tabs>
        <w:kinsoku/>
        <w:wordWrap/>
        <w:overflowPunct/>
        <w:topLinePunct w:val="0"/>
        <w:autoSpaceDE w:val="0"/>
        <w:autoSpaceDN w:val="0"/>
        <w:bidi w:val="0"/>
        <w:adjustRightInd/>
        <w:snapToGrid/>
        <w:spacing w:before="313" w:beforeLines="100" w:after="313" w:afterLines="100"/>
        <w:ind w:left="357" w:hanging="357" w:firstLineChars="0"/>
        <w:textAlignment w:val="auto"/>
        <w:rPr>
          <w:rFonts w:ascii="黑体" w:hAnsi="黑体" w:eastAsia="黑体"/>
          <w:sz w:val="20"/>
        </w:rPr>
      </w:pPr>
      <w:r>
        <w:rPr>
          <w:rFonts w:hint="eastAsia" w:ascii="黑体" w:hAnsi="黑体" w:eastAsia="黑体"/>
          <w:sz w:val="20"/>
        </w:rPr>
        <w:t>标志、包装、运输、储存及随行文件</w:t>
      </w:r>
    </w:p>
    <w:p>
      <w:pPr>
        <w:pStyle w:val="7"/>
        <w:numPr>
          <w:ilvl w:val="1"/>
          <w:numId w:val="10"/>
        </w:numPr>
        <w:tabs>
          <w:tab w:val="left" w:pos="567"/>
        </w:tabs>
        <w:spacing w:before="156" w:beforeLines="50" w:after="156" w:afterLines="50"/>
        <w:ind w:firstLineChars="0"/>
        <w:rPr>
          <w:rFonts w:ascii="黑体" w:hAnsi="黑体" w:eastAsia="黑体"/>
          <w:sz w:val="20"/>
        </w:rPr>
      </w:pPr>
      <w:r>
        <w:rPr>
          <w:rFonts w:hint="eastAsia" w:ascii="黑体" w:hAnsi="黑体" w:eastAsia="黑体"/>
          <w:sz w:val="20"/>
        </w:rPr>
        <w:t>标志</w:t>
      </w:r>
    </w:p>
    <w:p>
      <w:pPr>
        <w:pStyle w:val="7"/>
        <w:tabs>
          <w:tab w:val="left" w:pos="567"/>
        </w:tabs>
        <w:ind w:left="360" w:firstLine="0" w:firstLineChars="0"/>
        <w:rPr>
          <w:rFonts w:hint="eastAsia" w:ascii="宋体" w:hAnsi="宋体" w:eastAsia="宋体" w:cs="宋体"/>
          <w:sz w:val="21"/>
          <w:szCs w:val="21"/>
        </w:rPr>
      </w:pPr>
      <w:r>
        <w:rPr>
          <w:rFonts w:hint="eastAsia" w:ascii="宋体" w:hAnsi="宋体" w:eastAsia="宋体" w:cs="宋体"/>
          <w:sz w:val="21"/>
          <w:szCs w:val="21"/>
        </w:rPr>
        <w:t>产品包装箱外应有“小心轻放”及防潮字样或标志、并注明：</w:t>
      </w:r>
    </w:p>
    <w:p>
      <w:pPr>
        <w:pStyle w:val="7"/>
        <w:numPr>
          <w:ilvl w:val="0"/>
          <w:numId w:val="11"/>
        </w:numPr>
        <w:tabs>
          <w:tab w:val="left" w:pos="567"/>
        </w:tabs>
        <w:ind w:firstLineChars="0"/>
        <w:rPr>
          <w:rFonts w:hint="eastAsia" w:ascii="宋体" w:hAnsi="宋体" w:eastAsia="宋体" w:cs="宋体"/>
          <w:sz w:val="21"/>
          <w:szCs w:val="21"/>
        </w:rPr>
      </w:pPr>
      <w:r>
        <w:rPr>
          <w:rFonts w:hint="eastAsia" w:ascii="宋体" w:hAnsi="宋体" w:eastAsia="宋体" w:cs="宋体"/>
          <w:sz w:val="21"/>
          <w:szCs w:val="21"/>
        </w:rPr>
        <w:t>产品名称、牌号；</w:t>
      </w:r>
    </w:p>
    <w:p>
      <w:pPr>
        <w:pStyle w:val="7"/>
        <w:numPr>
          <w:ilvl w:val="0"/>
          <w:numId w:val="11"/>
        </w:numPr>
        <w:tabs>
          <w:tab w:val="left" w:pos="567"/>
        </w:tabs>
        <w:ind w:firstLineChars="0"/>
        <w:rPr>
          <w:rFonts w:hint="eastAsia" w:ascii="宋体" w:hAnsi="宋体" w:eastAsia="宋体" w:cs="宋体"/>
          <w:sz w:val="21"/>
          <w:szCs w:val="21"/>
        </w:rPr>
      </w:pPr>
      <w:r>
        <w:rPr>
          <w:rFonts w:hint="eastAsia" w:ascii="宋体" w:hAnsi="宋体" w:eastAsia="宋体" w:cs="宋体"/>
          <w:sz w:val="21"/>
          <w:szCs w:val="21"/>
        </w:rPr>
        <w:t>产品发数量、净重</w:t>
      </w:r>
    </w:p>
    <w:p>
      <w:pPr>
        <w:pStyle w:val="7"/>
        <w:numPr>
          <w:ilvl w:val="0"/>
          <w:numId w:val="11"/>
        </w:numPr>
        <w:tabs>
          <w:tab w:val="left" w:pos="567"/>
        </w:tabs>
        <w:ind w:firstLineChars="0"/>
        <w:rPr>
          <w:rFonts w:hint="eastAsia" w:ascii="宋体" w:hAnsi="宋体" w:eastAsia="宋体" w:cs="宋体"/>
          <w:sz w:val="21"/>
          <w:szCs w:val="21"/>
        </w:rPr>
      </w:pPr>
      <w:r>
        <w:rPr>
          <w:rFonts w:hint="eastAsia" w:ascii="宋体" w:hAnsi="宋体" w:eastAsia="宋体" w:cs="宋体"/>
          <w:sz w:val="21"/>
          <w:szCs w:val="21"/>
        </w:rPr>
        <w:t>供方名称</w:t>
      </w:r>
    </w:p>
    <w:p>
      <w:pPr>
        <w:pStyle w:val="7"/>
        <w:numPr>
          <w:ilvl w:val="1"/>
          <w:numId w:val="10"/>
        </w:numPr>
        <w:tabs>
          <w:tab w:val="left" w:pos="567"/>
        </w:tabs>
        <w:spacing w:before="156" w:beforeLines="50" w:after="156" w:afterLines="50"/>
        <w:ind w:firstLineChars="0"/>
        <w:rPr>
          <w:rFonts w:ascii="黑体" w:hAnsi="黑体" w:eastAsia="黑体"/>
          <w:sz w:val="20"/>
        </w:rPr>
      </w:pPr>
      <w:r>
        <w:rPr>
          <w:rFonts w:hint="eastAsia" w:ascii="黑体" w:hAnsi="黑体" w:eastAsia="黑体"/>
          <w:sz w:val="20"/>
        </w:rPr>
        <w:t>包装</w:t>
      </w:r>
    </w:p>
    <w:p>
      <w:pPr>
        <w:pStyle w:val="7"/>
        <w:spacing w:before="156" w:beforeLines="50" w:after="156" w:afterLines="50"/>
        <w:ind w:firstLine="400"/>
        <w:rPr>
          <w:rFonts w:hint="eastAsia" w:ascii="宋体" w:hAnsi="宋体" w:eastAsia="宋体" w:cs="宋体"/>
          <w:sz w:val="21"/>
          <w:szCs w:val="21"/>
        </w:rPr>
      </w:pPr>
      <w:r>
        <w:rPr>
          <w:rFonts w:hint="eastAsia" w:ascii="宋体" w:hAnsi="宋体" w:eastAsia="宋体" w:cs="宋体"/>
          <w:sz w:val="21"/>
          <w:szCs w:val="21"/>
        </w:rPr>
        <w:t>区熔硅用高纯洁净的聚乙烯膜包装。每根硅棒均有标签注明批次号、产品编号、净重、硅棒编号、最小直径、最大直径和长度。标签有条形码可追溯至运行批次。每箱产品都有产品报表，包括生产商名称和地址、硅棒的编号、质量及数量，区熔硅的包装也可由供需双方协商确定。</w:t>
      </w:r>
    </w:p>
    <w:p>
      <w:pPr>
        <w:pStyle w:val="7"/>
        <w:numPr>
          <w:ilvl w:val="1"/>
          <w:numId w:val="10"/>
        </w:numPr>
        <w:tabs>
          <w:tab w:val="left" w:pos="567"/>
        </w:tabs>
        <w:spacing w:before="156" w:beforeLines="50" w:after="156" w:afterLines="50"/>
        <w:ind w:firstLineChars="0"/>
        <w:rPr>
          <w:rFonts w:ascii="黑体" w:hAnsi="黑体" w:eastAsia="黑体"/>
          <w:sz w:val="20"/>
        </w:rPr>
      </w:pPr>
      <w:r>
        <w:rPr>
          <w:rFonts w:hint="eastAsia" w:ascii="黑体" w:hAnsi="黑体" w:eastAsia="黑体"/>
          <w:sz w:val="20"/>
        </w:rPr>
        <w:t>运输</w:t>
      </w:r>
    </w:p>
    <w:p>
      <w:pPr>
        <w:pStyle w:val="7"/>
        <w:tabs>
          <w:tab w:val="left" w:pos="567"/>
        </w:tabs>
        <w:spacing w:before="156" w:beforeLines="50" w:after="156" w:afterLines="50"/>
        <w:ind w:left="360" w:firstLine="0" w:firstLineChars="0"/>
        <w:rPr>
          <w:rFonts w:hint="eastAsia" w:ascii="宋体" w:hAnsi="宋体" w:eastAsia="宋体" w:cs="宋体"/>
          <w:sz w:val="21"/>
          <w:szCs w:val="21"/>
        </w:rPr>
      </w:pPr>
      <w:r>
        <w:rPr>
          <w:rFonts w:hint="eastAsia" w:ascii="宋体" w:hAnsi="宋体" w:eastAsia="宋体" w:cs="宋体"/>
          <w:sz w:val="21"/>
          <w:szCs w:val="21"/>
        </w:rPr>
        <w:t>产品在运输过程中应轻装轻卸，勿压勿挤，并采取防震措施。</w:t>
      </w:r>
    </w:p>
    <w:p>
      <w:pPr>
        <w:pStyle w:val="7"/>
        <w:numPr>
          <w:ilvl w:val="1"/>
          <w:numId w:val="10"/>
        </w:numPr>
        <w:tabs>
          <w:tab w:val="left" w:pos="567"/>
        </w:tabs>
        <w:spacing w:before="156" w:beforeLines="50" w:after="156" w:afterLines="50"/>
        <w:ind w:firstLineChars="0"/>
        <w:rPr>
          <w:rFonts w:ascii="黑体" w:hAnsi="黑体" w:eastAsia="黑体"/>
          <w:sz w:val="20"/>
        </w:rPr>
      </w:pPr>
      <w:r>
        <w:rPr>
          <w:rFonts w:hint="eastAsia" w:ascii="黑体" w:hAnsi="黑体" w:eastAsia="黑体"/>
          <w:sz w:val="20"/>
        </w:rPr>
        <w:t>贮存</w:t>
      </w:r>
    </w:p>
    <w:p>
      <w:pPr>
        <w:pStyle w:val="7"/>
        <w:tabs>
          <w:tab w:val="left" w:pos="567"/>
        </w:tabs>
        <w:spacing w:before="156" w:beforeLines="50" w:after="156" w:afterLines="50"/>
        <w:ind w:left="360" w:firstLine="0" w:firstLineChars="0"/>
        <w:rPr>
          <w:rFonts w:hint="eastAsia" w:ascii="宋体" w:hAnsi="宋体" w:eastAsia="宋体" w:cs="宋体"/>
          <w:sz w:val="21"/>
          <w:szCs w:val="21"/>
        </w:rPr>
      </w:pPr>
      <w:r>
        <w:rPr>
          <w:rFonts w:hint="eastAsia" w:ascii="宋体" w:hAnsi="宋体" w:eastAsia="宋体" w:cs="宋体"/>
          <w:sz w:val="21"/>
          <w:szCs w:val="21"/>
        </w:rPr>
        <w:t>产品应贮存在清洁、干燥环境中。</w:t>
      </w:r>
    </w:p>
    <w:p>
      <w:pPr>
        <w:pStyle w:val="7"/>
        <w:numPr>
          <w:ilvl w:val="1"/>
          <w:numId w:val="10"/>
        </w:numPr>
        <w:tabs>
          <w:tab w:val="left" w:pos="567"/>
        </w:tabs>
        <w:spacing w:before="156" w:beforeLines="50" w:after="156" w:afterLines="50"/>
        <w:ind w:firstLineChars="0"/>
        <w:rPr>
          <w:rFonts w:ascii="黑体" w:hAnsi="黑体" w:eastAsia="黑体"/>
          <w:sz w:val="20"/>
        </w:rPr>
      </w:pPr>
      <w:r>
        <w:rPr>
          <w:rFonts w:hint="eastAsia" w:ascii="黑体" w:hAnsi="黑体" w:eastAsia="黑体"/>
          <w:sz w:val="20"/>
        </w:rPr>
        <w:t>随行文件</w:t>
      </w:r>
    </w:p>
    <w:p>
      <w:pPr>
        <w:pStyle w:val="7"/>
        <w:tabs>
          <w:tab w:val="left" w:pos="567"/>
        </w:tabs>
        <w:ind w:left="360" w:firstLine="0" w:firstLineChars="0"/>
        <w:rPr>
          <w:rFonts w:hint="eastAsia" w:ascii="宋体" w:hAnsi="宋体" w:eastAsia="宋体" w:cs="宋体"/>
          <w:sz w:val="21"/>
          <w:szCs w:val="21"/>
        </w:rPr>
      </w:pPr>
      <w:r>
        <w:rPr>
          <w:rFonts w:hint="eastAsia" w:ascii="宋体" w:hAnsi="宋体" w:eastAsia="宋体" w:cs="宋体"/>
          <w:sz w:val="21"/>
          <w:szCs w:val="21"/>
        </w:rPr>
        <w:t>每批产品应附有随行文件，其中除应包括供方信息、产品信息、还宜包括：</w:t>
      </w:r>
    </w:p>
    <w:p>
      <w:pPr>
        <w:pStyle w:val="7"/>
        <w:numPr>
          <w:ilvl w:val="0"/>
          <w:numId w:val="12"/>
        </w:numPr>
        <w:tabs>
          <w:tab w:val="left" w:pos="567"/>
        </w:tabs>
        <w:ind w:firstLineChars="0"/>
        <w:rPr>
          <w:rFonts w:hint="eastAsia" w:ascii="宋体" w:hAnsi="宋体" w:eastAsia="宋体" w:cs="宋体"/>
          <w:sz w:val="21"/>
          <w:szCs w:val="21"/>
        </w:rPr>
      </w:pPr>
      <w:r>
        <w:rPr>
          <w:rFonts w:hint="eastAsia" w:ascii="宋体" w:hAnsi="宋体" w:eastAsia="宋体" w:cs="宋体"/>
          <w:sz w:val="21"/>
          <w:szCs w:val="21"/>
        </w:rPr>
        <w:t>供方名称；</w:t>
      </w:r>
    </w:p>
    <w:p>
      <w:pPr>
        <w:pStyle w:val="7"/>
        <w:numPr>
          <w:ilvl w:val="0"/>
          <w:numId w:val="12"/>
        </w:numPr>
        <w:tabs>
          <w:tab w:val="left" w:pos="567"/>
        </w:tabs>
        <w:ind w:firstLineChars="0"/>
        <w:rPr>
          <w:rFonts w:hint="eastAsia" w:ascii="宋体" w:hAnsi="宋体" w:eastAsia="宋体" w:cs="宋体"/>
          <w:sz w:val="21"/>
          <w:szCs w:val="21"/>
        </w:rPr>
      </w:pPr>
      <w:r>
        <w:rPr>
          <w:rFonts w:hint="eastAsia" w:ascii="宋体" w:hAnsi="宋体" w:eastAsia="宋体" w:cs="宋体"/>
          <w:sz w:val="21"/>
          <w:szCs w:val="21"/>
        </w:rPr>
        <w:t>产品名称及牌号；</w:t>
      </w:r>
    </w:p>
    <w:p>
      <w:pPr>
        <w:pStyle w:val="7"/>
        <w:numPr>
          <w:ilvl w:val="0"/>
          <w:numId w:val="12"/>
        </w:numPr>
        <w:tabs>
          <w:tab w:val="left" w:pos="567"/>
        </w:tabs>
        <w:ind w:firstLineChars="0"/>
        <w:rPr>
          <w:rFonts w:hint="eastAsia" w:ascii="宋体" w:hAnsi="宋体" w:eastAsia="宋体" w:cs="宋体"/>
          <w:sz w:val="21"/>
          <w:szCs w:val="21"/>
        </w:rPr>
      </w:pPr>
      <w:r>
        <w:rPr>
          <w:rFonts w:hint="eastAsia" w:ascii="宋体" w:hAnsi="宋体" w:eastAsia="宋体" w:cs="宋体"/>
          <w:sz w:val="21"/>
          <w:szCs w:val="21"/>
        </w:rPr>
        <w:t>产品批号；</w:t>
      </w:r>
    </w:p>
    <w:p>
      <w:pPr>
        <w:pStyle w:val="7"/>
        <w:numPr>
          <w:ilvl w:val="0"/>
          <w:numId w:val="12"/>
        </w:numPr>
        <w:tabs>
          <w:tab w:val="left" w:pos="567"/>
        </w:tabs>
        <w:ind w:firstLineChars="0"/>
        <w:rPr>
          <w:rFonts w:hint="eastAsia" w:ascii="宋体" w:hAnsi="宋体" w:eastAsia="宋体" w:cs="宋体"/>
          <w:sz w:val="21"/>
          <w:szCs w:val="21"/>
        </w:rPr>
      </w:pPr>
      <w:r>
        <w:rPr>
          <w:rFonts w:hint="eastAsia" w:ascii="宋体" w:hAnsi="宋体" w:eastAsia="宋体" w:cs="宋体"/>
          <w:sz w:val="21"/>
          <w:szCs w:val="21"/>
        </w:rPr>
        <w:t>产品净重；</w:t>
      </w:r>
    </w:p>
    <w:p>
      <w:pPr>
        <w:pStyle w:val="7"/>
        <w:numPr>
          <w:ilvl w:val="0"/>
          <w:numId w:val="12"/>
        </w:numPr>
        <w:tabs>
          <w:tab w:val="left" w:pos="567"/>
        </w:tabs>
        <w:ind w:firstLineChars="0"/>
        <w:rPr>
          <w:rFonts w:hint="eastAsia" w:ascii="宋体" w:hAnsi="宋体" w:eastAsia="宋体" w:cs="宋体"/>
          <w:sz w:val="21"/>
          <w:szCs w:val="21"/>
        </w:rPr>
      </w:pPr>
      <w:r>
        <w:rPr>
          <w:rFonts w:hint="eastAsia" w:ascii="宋体" w:hAnsi="宋体" w:eastAsia="宋体" w:cs="宋体"/>
          <w:sz w:val="21"/>
          <w:szCs w:val="21"/>
        </w:rPr>
        <w:t>产品获得质量认证或供方技术监督部门检验的各项分析结果；</w:t>
      </w:r>
    </w:p>
    <w:p>
      <w:pPr>
        <w:pStyle w:val="7"/>
        <w:numPr>
          <w:ilvl w:val="0"/>
          <w:numId w:val="12"/>
        </w:numPr>
        <w:tabs>
          <w:tab w:val="left" w:pos="567"/>
        </w:tabs>
        <w:ind w:firstLineChars="0"/>
        <w:rPr>
          <w:rFonts w:hint="eastAsia" w:ascii="宋体" w:hAnsi="宋体" w:eastAsia="宋体" w:cs="宋体"/>
          <w:sz w:val="21"/>
          <w:szCs w:val="21"/>
        </w:rPr>
      </w:pPr>
      <w:r>
        <w:rPr>
          <w:rFonts w:hint="eastAsia" w:ascii="宋体" w:hAnsi="宋体" w:eastAsia="宋体" w:cs="宋体"/>
          <w:sz w:val="21"/>
          <w:szCs w:val="21"/>
        </w:rPr>
        <w:t>本文件编号；</w:t>
      </w:r>
    </w:p>
    <w:p>
      <w:pPr>
        <w:pStyle w:val="7"/>
        <w:numPr>
          <w:ilvl w:val="0"/>
          <w:numId w:val="12"/>
        </w:numPr>
        <w:tabs>
          <w:tab w:val="left" w:pos="567"/>
        </w:tabs>
        <w:ind w:firstLineChars="0"/>
        <w:rPr>
          <w:rFonts w:ascii="黑体" w:hAnsi="黑体" w:eastAsia="黑体"/>
          <w:sz w:val="20"/>
        </w:rPr>
      </w:pPr>
      <w:r>
        <w:rPr>
          <w:rFonts w:hint="eastAsia" w:ascii="宋体" w:hAnsi="宋体" w:eastAsia="宋体" w:cs="宋体"/>
          <w:sz w:val="21"/>
          <w:szCs w:val="21"/>
        </w:rPr>
        <w:t>检验日期。</w:t>
      </w:r>
    </w:p>
    <w:p>
      <w:pPr>
        <w:pStyle w:val="7"/>
        <w:keepNext w:val="0"/>
        <w:keepLines w:val="0"/>
        <w:pageBreakBefore w:val="0"/>
        <w:widowControl/>
        <w:numPr>
          <w:ilvl w:val="0"/>
          <w:numId w:val="10"/>
        </w:numPr>
        <w:tabs>
          <w:tab w:val="left" w:pos="567"/>
        </w:tabs>
        <w:kinsoku/>
        <w:wordWrap/>
        <w:overflowPunct/>
        <w:topLinePunct w:val="0"/>
        <w:autoSpaceDE w:val="0"/>
        <w:autoSpaceDN w:val="0"/>
        <w:bidi w:val="0"/>
        <w:adjustRightInd/>
        <w:snapToGrid/>
        <w:spacing w:before="156" w:beforeLines="50" w:after="156" w:afterLines="50"/>
        <w:ind w:left="357" w:hanging="357" w:firstLineChars="0"/>
        <w:textAlignment w:val="auto"/>
        <w:rPr>
          <w:rFonts w:ascii="黑体" w:hAnsi="黑体" w:eastAsia="黑体"/>
          <w:sz w:val="20"/>
        </w:rPr>
      </w:pPr>
      <w:r>
        <w:rPr>
          <w:rFonts w:hint="eastAsia" w:ascii="黑体" w:hAnsi="黑体" w:eastAsia="黑体"/>
          <w:sz w:val="20"/>
        </w:rPr>
        <w:t>订货单内容</w:t>
      </w:r>
    </w:p>
    <w:p>
      <w:pPr>
        <w:pStyle w:val="7"/>
        <w:tabs>
          <w:tab w:val="left" w:pos="567"/>
        </w:tabs>
        <w:ind w:left="357" w:firstLine="0" w:firstLineChars="0"/>
        <w:rPr>
          <w:rFonts w:hint="eastAsia" w:ascii="宋体" w:hAnsi="宋体" w:eastAsia="宋体" w:cs="宋体"/>
          <w:sz w:val="21"/>
          <w:szCs w:val="21"/>
        </w:rPr>
      </w:pPr>
      <w:r>
        <w:rPr>
          <w:rFonts w:hint="eastAsia" w:ascii="宋体" w:hAnsi="宋体" w:eastAsia="宋体" w:cs="宋体"/>
          <w:sz w:val="21"/>
          <w:szCs w:val="21"/>
        </w:rPr>
        <w:t>需方可根据自身需要，在订购本文件所列产品的订货单内，列出以下内容；</w:t>
      </w:r>
    </w:p>
    <w:p>
      <w:pPr>
        <w:pStyle w:val="7"/>
        <w:numPr>
          <w:ilvl w:val="0"/>
          <w:numId w:val="13"/>
        </w:numPr>
        <w:tabs>
          <w:tab w:val="left" w:pos="567"/>
        </w:tabs>
        <w:ind w:firstLineChars="0"/>
        <w:rPr>
          <w:rFonts w:hint="eastAsia" w:ascii="宋体" w:hAnsi="宋体" w:eastAsia="宋体" w:cs="宋体"/>
          <w:sz w:val="21"/>
          <w:szCs w:val="21"/>
        </w:rPr>
      </w:pPr>
      <w:r>
        <w:rPr>
          <w:rFonts w:hint="eastAsia" w:ascii="宋体" w:hAnsi="宋体" w:eastAsia="宋体" w:cs="宋体"/>
          <w:sz w:val="21"/>
          <w:szCs w:val="21"/>
        </w:rPr>
        <w:t>产品名称、牌号；</w:t>
      </w:r>
    </w:p>
    <w:p>
      <w:pPr>
        <w:pStyle w:val="7"/>
        <w:numPr>
          <w:ilvl w:val="0"/>
          <w:numId w:val="13"/>
        </w:numPr>
        <w:tabs>
          <w:tab w:val="left" w:pos="567"/>
        </w:tabs>
        <w:ind w:firstLineChars="0"/>
        <w:rPr>
          <w:rFonts w:hint="eastAsia" w:ascii="宋体" w:hAnsi="宋体" w:eastAsia="宋体" w:cs="宋体"/>
          <w:sz w:val="21"/>
          <w:szCs w:val="21"/>
        </w:rPr>
      </w:pPr>
      <w:r>
        <w:rPr>
          <w:rFonts w:hint="eastAsia" w:ascii="宋体" w:hAnsi="宋体" w:eastAsia="宋体" w:cs="宋体"/>
          <w:sz w:val="21"/>
          <w:szCs w:val="21"/>
        </w:rPr>
        <w:t>产品技术要求</w:t>
      </w:r>
    </w:p>
    <w:p>
      <w:pPr>
        <w:pStyle w:val="7"/>
        <w:numPr>
          <w:ilvl w:val="0"/>
          <w:numId w:val="13"/>
        </w:numPr>
        <w:tabs>
          <w:tab w:val="left" w:pos="567"/>
        </w:tabs>
        <w:ind w:firstLineChars="0"/>
        <w:rPr>
          <w:rFonts w:hint="eastAsia" w:ascii="宋体" w:hAnsi="宋体" w:eastAsia="宋体" w:cs="宋体"/>
          <w:sz w:val="21"/>
          <w:szCs w:val="21"/>
        </w:rPr>
      </w:pPr>
      <w:r>
        <w:rPr>
          <w:rFonts w:hint="eastAsia" w:ascii="宋体" w:hAnsi="宋体" w:eastAsia="宋体" w:cs="宋体"/>
          <w:sz w:val="21"/>
          <w:szCs w:val="21"/>
        </w:rPr>
        <w:t>本文件编号；</w:t>
      </w:r>
    </w:p>
    <w:p>
      <w:pPr>
        <w:pStyle w:val="7"/>
        <w:numPr>
          <w:ilvl w:val="0"/>
          <w:numId w:val="13"/>
        </w:numPr>
        <w:tabs>
          <w:tab w:val="left" w:pos="567"/>
        </w:tabs>
        <w:ind w:firstLineChars="0"/>
        <w:rPr>
          <w:rFonts w:hint="eastAsia" w:ascii="宋体" w:hAnsi="宋体" w:eastAsia="宋体" w:cs="宋体"/>
          <w:sz w:val="21"/>
          <w:szCs w:val="21"/>
        </w:rPr>
      </w:pPr>
      <w:r>
        <w:rPr>
          <w:rFonts w:hint="eastAsia" w:ascii="宋体" w:hAnsi="宋体" w:eastAsia="宋体" w:cs="宋体"/>
          <w:sz w:val="21"/>
          <w:szCs w:val="21"/>
        </w:rPr>
        <w:t>产品数量</w:t>
      </w:r>
    </w:p>
    <w:p>
      <w:pPr>
        <w:pStyle w:val="7"/>
        <w:numPr>
          <w:ilvl w:val="0"/>
          <w:numId w:val="13"/>
        </w:numPr>
        <w:tabs>
          <w:tab w:val="left" w:pos="567"/>
        </w:tabs>
        <w:ind w:firstLineChars="0"/>
        <w:rPr>
          <w:rFonts w:hint="eastAsia" w:ascii="宋体" w:hAnsi="宋体" w:eastAsia="宋体" w:cs="宋体"/>
          <w:sz w:val="21"/>
          <w:szCs w:val="21"/>
        </w:rPr>
      </w:pPr>
      <w:r>
        <w:rPr>
          <w:rFonts w:hint="eastAsia" w:ascii="宋体" w:hAnsi="宋体" w:eastAsia="宋体" w:cs="宋体"/>
          <w:sz w:val="21"/>
          <w:szCs w:val="21"/>
        </w:rPr>
        <w:t>供需双方协商的内容</w:t>
      </w:r>
    </w:p>
    <w:p>
      <w:pPr>
        <w:pStyle w:val="7"/>
        <w:numPr>
          <w:ilvl w:val="0"/>
          <w:numId w:val="13"/>
        </w:numPr>
        <w:tabs>
          <w:tab w:val="left" w:pos="567"/>
        </w:tabs>
        <w:ind w:firstLineChars="0"/>
        <w:rPr>
          <w:rFonts w:hint="eastAsia" w:ascii="宋体" w:hAnsi="宋体" w:eastAsia="宋体" w:cs="宋体"/>
          <w:sz w:val="21"/>
          <w:szCs w:val="21"/>
        </w:rPr>
      </w:pPr>
      <w:r>
        <w:rPr>
          <w:rFonts w:hint="eastAsia" w:ascii="宋体" w:hAnsi="宋体" w:eastAsia="宋体" w:cs="宋体"/>
          <w:sz w:val="21"/>
          <w:szCs w:val="21"/>
        </w:rPr>
        <w:t>其他。</w:t>
      </w:r>
    </w:p>
    <w:p>
      <w:pPr>
        <w:pStyle w:val="7"/>
        <w:tabs>
          <w:tab w:val="left" w:pos="567"/>
        </w:tabs>
        <w:ind w:left="420" w:firstLine="0" w:firstLineChars="0"/>
        <w:rPr>
          <w:rFonts w:ascii="黑体" w:hAnsi="黑体" w:eastAsia="黑体"/>
          <w:sz w:val="20"/>
        </w:rPr>
      </w:pPr>
    </w:p>
    <w:p>
      <w:pPr>
        <w:pStyle w:val="7"/>
        <w:tabs>
          <w:tab w:val="left" w:pos="567"/>
        </w:tabs>
        <w:ind w:left="420" w:firstLine="0" w:firstLineChars="0"/>
        <w:rPr>
          <w:rFonts w:ascii="黑体" w:hAnsi="黑体" w:eastAsia="黑体"/>
          <w:sz w:val="20"/>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1507490</wp:posOffset>
                </wp:positionH>
                <wp:positionV relativeFrom="paragraph">
                  <wp:posOffset>186690</wp:posOffset>
                </wp:positionV>
                <wp:extent cx="2476500" cy="0"/>
                <wp:effectExtent l="12065" t="15240" r="16510" b="13335"/>
                <wp:wrapNone/>
                <wp:docPr id="7" name="AutoShape 18"/>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straightConnector1">
                          <a:avLst/>
                        </a:prstGeom>
                        <a:noFill/>
                        <a:ln w="15875">
                          <a:solidFill>
                            <a:srgbClr val="000000"/>
                          </a:solidFill>
                          <a:round/>
                        </a:ln>
                      </wps:spPr>
                      <wps:bodyPr/>
                    </wps:wsp>
                  </a:graphicData>
                </a:graphic>
              </wp:anchor>
            </w:drawing>
          </mc:Choice>
          <mc:Fallback>
            <w:pict>
              <v:shape id="AutoShape 18" o:spid="_x0000_s1026" o:spt="32" type="#_x0000_t32" style="position:absolute;left:0pt;margin-left:118.7pt;margin-top:14.7pt;height:0pt;width:195pt;z-index:251661312;mso-width-relative:page;mso-height-relative:page;" filled="f" stroked="t" coordsize="21600,21600" o:gfxdata="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66fMNYAAAAJAQAADwAAAAAAAAABACAA&#10;AAAiAAAAZHJzL2Rvd25yZXYueG1sUEsBAhQAFAAAAAgAh07iQFEIpfbWAQAAtAMAAA4AAAAAAAAA&#10;AQAgAAAAJQEAAGRycy9lMm9Eb2MueG1sUEsFBgAAAAAGAAYAWQEAAG0FAAAAAA==&#10;">
                <v:fill on="f" focussize="0,0"/>
                <v:stroke weight="1.25pt" color="#000000" joinstyle="round"/>
                <v:imagedata o:title=""/>
                <o:lock v:ext="edit" aspectratio="f"/>
              </v:shape>
            </w:pict>
          </mc:Fallback>
        </mc:AlternateContent>
      </w:r>
    </w:p>
    <w:p>
      <w:pPr>
        <w:pStyle w:val="7"/>
        <w:numPr>
          <w:ilvl w:val="4"/>
          <w:numId w:val="10"/>
        </w:numPr>
        <w:tabs>
          <w:tab w:val="left" w:pos="567"/>
        </w:tabs>
        <w:ind w:firstLineChars="0"/>
        <w:rPr>
          <w:rFonts w:ascii="黑体" w:hAnsi="黑体" w:eastAsia="黑体"/>
          <w:sz w:val="20"/>
        </w:rPr>
      </w:pPr>
    </w:p>
    <w:p>
      <w:pPr>
        <w:pStyle w:val="7"/>
        <w:numPr>
          <w:ilvl w:val="5"/>
          <w:numId w:val="10"/>
        </w:numPr>
        <w:ind w:firstLineChars="0"/>
        <w:rPr>
          <w:rFonts w:ascii="黑体" w:hAnsi="黑体" w:eastAsia="黑体"/>
          <w:sz w:val="20"/>
        </w:rPr>
      </w:pPr>
    </w:p>
    <w:p>
      <w:pPr>
        <w:pStyle w:val="7"/>
        <w:numPr>
          <w:ilvl w:val="4"/>
          <w:numId w:val="10"/>
        </w:numPr>
        <w:ind w:firstLineChars="0"/>
        <w:rPr>
          <w:rFonts w:ascii="黑体" w:hAnsi="黑体" w:eastAsia="黑体"/>
          <w:sz w:val="20"/>
        </w:rPr>
      </w:pPr>
    </w:p>
    <w:p/>
    <w:sectPr>
      <w:pgSz w:w="11906" w:h="16838"/>
      <w:pgMar w:top="1134"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jc w:val="right"/>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9574653"/>
      <w:docPartObj>
        <w:docPartGallery w:val="AutoText"/>
      </w:docPartObj>
    </w:sdtPr>
    <w:sdtContent>
      <w:p>
        <w:pPr>
          <w:pStyle w:val="2"/>
          <w:jc w:val="right"/>
        </w:pPr>
        <w:r>
          <w:fldChar w:fldCharType="begin"/>
        </w:r>
        <w:r>
          <w:instrText xml:space="preserve">PAGE   \* MERGEFORMAT</w:instrText>
        </w:r>
        <w:r>
          <w:fldChar w:fldCharType="separate"/>
        </w:r>
        <w:r>
          <w:rPr>
            <w:lang w:val="zh-CN"/>
          </w:rPr>
          <w:t>1</w:t>
        </w:r>
        <w:r>
          <w:fldChar w:fldCharType="end"/>
        </w:r>
      </w:p>
    </w:sdtContent>
  </w:sdt>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sdt>
      <w:sdtPr>
        <w:id w:val="925542193"/>
        <w:docPartObj>
          <w:docPartGallery w:val="AutoText"/>
        </w:docPartObj>
      </w:sdtPr>
      <w:sdtContent>
        <w:r>
          <w:fldChar w:fldCharType="begin"/>
        </w:r>
        <w:r>
          <w:instrText xml:space="preserve">PAGE   \* MERGEFORMAT</w:instrText>
        </w:r>
        <w:r>
          <w:fldChar w:fldCharType="separate"/>
        </w:r>
        <w:r>
          <w:rPr>
            <w:lang w:val="zh-CN"/>
          </w:rPr>
          <w:t>2</w:t>
        </w:r>
        <w: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right="210"/>
      <w:jc w:val="left"/>
      <w:rPr>
        <w:rFonts w:eastAsia="黑体"/>
        <w:b/>
        <w:sz w:val="21"/>
        <w:szCs w:val="21"/>
      </w:rPr>
    </w:pPr>
    <w:r>
      <w:rPr>
        <w:rFonts w:eastAsia="黑体"/>
        <w:b/>
        <w:sz w:val="21"/>
        <w:szCs w:val="21"/>
      </w:rPr>
      <w:t>ICS</w:t>
    </w:r>
    <w:r>
      <w:rPr>
        <w:rFonts w:eastAsia="黑体"/>
        <w:sz w:val="21"/>
        <w:szCs w:val="21"/>
      </w:rPr>
      <w:t xml:space="preserve"> </w:t>
    </w:r>
    <w:r>
      <w:rPr>
        <w:rFonts w:hint="eastAsia" w:ascii="宋体" w:hAnsi="宋体"/>
        <w:b/>
        <w:sz w:val="21"/>
        <w:szCs w:val="21"/>
      </w:rPr>
      <w:t>29.045</w:t>
    </w:r>
  </w:p>
  <w:p>
    <w:pPr>
      <w:pStyle w:val="3"/>
      <w:pBdr>
        <w:bottom w:val="none" w:color="auto" w:sz="0" w:space="0"/>
      </w:pBdr>
      <w:ind w:right="210"/>
      <w:jc w:val="left"/>
      <w:rPr>
        <w:rFonts w:eastAsia="黑体"/>
        <w:b/>
        <w:sz w:val="21"/>
        <w:szCs w:val="21"/>
      </w:rPr>
    </w:pPr>
    <w:r>
      <w:rPr>
        <w:rFonts w:eastAsia="黑体"/>
        <w:b/>
        <w:sz w:val="21"/>
        <w:szCs w:val="21"/>
      </w:rPr>
      <w:t xml:space="preserve">H </w:t>
    </w:r>
    <w:r>
      <w:rPr>
        <w:rFonts w:hint="eastAsia" w:ascii="宋体" w:hAnsi="宋体"/>
        <w:b/>
        <w:sz w:val="21"/>
        <w:szCs w:val="21"/>
      </w:rPr>
      <w:t>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wordWrap w:val="0"/>
      <w:jc w:val="right"/>
      <w:rPr>
        <w:rFonts w:ascii="黑体" w:eastAsia="黑体"/>
        <w:iCs/>
        <w:sz w:val="21"/>
        <w:szCs w:val="21"/>
      </w:rPr>
    </w:pPr>
    <w:r>
      <w:rPr>
        <w:rFonts w:ascii="黑体" w:eastAsia="黑体"/>
        <w:iCs/>
        <w:sz w:val="21"/>
        <w:szCs w:val="21"/>
      </w:rPr>
      <w:t>YS</w:t>
    </w:r>
    <w:r>
      <w:rPr>
        <w:rFonts w:hint="eastAsia" w:ascii="黑体" w:eastAsia="黑体"/>
        <w:iCs/>
        <w:sz w:val="21"/>
        <w:szCs w:val="21"/>
      </w:rPr>
      <w:t>/T XXXX-202</w:t>
    </w:r>
    <w:r>
      <w:rPr>
        <w:rFonts w:ascii="黑体" w:eastAsia="黑体"/>
        <w:iCs/>
        <w:sz w:val="21"/>
        <w:szCs w:val="21"/>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848E1"/>
    <w:multiLevelType w:val="multilevel"/>
    <w:tmpl w:val="03C848E1"/>
    <w:lvl w:ilvl="0" w:tentative="0">
      <w:start w:val="1"/>
      <w:numFmt w:val="lowerLetter"/>
      <w:lvlText w:val="%1)"/>
      <w:lvlJc w:val="left"/>
      <w:pPr>
        <w:ind w:left="717" w:hanging="360"/>
      </w:pPr>
    </w:lvl>
    <w:lvl w:ilvl="1" w:tentative="0">
      <w:start w:val="1"/>
      <w:numFmt w:val="lowerLetter"/>
      <w:lvlText w:val="%2)"/>
      <w:lvlJc w:val="left"/>
      <w:pPr>
        <w:ind w:left="1197" w:hanging="420"/>
      </w:pPr>
    </w:lvl>
    <w:lvl w:ilvl="2" w:tentative="0">
      <w:start w:val="1"/>
      <w:numFmt w:val="lowerRoman"/>
      <w:lvlText w:val="%3."/>
      <w:lvlJc w:val="right"/>
      <w:pPr>
        <w:ind w:left="1617" w:hanging="420"/>
      </w:pPr>
    </w:lvl>
    <w:lvl w:ilvl="3" w:tentative="0">
      <w:start w:val="1"/>
      <w:numFmt w:val="decimal"/>
      <w:lvlText w:val="%4."/>
      <w:lvlJc w:val="left"/>
      <w:pPr>
        <w:ind w:left="2037" w:hanging="420"/>
      </w:pPr>
    </w:lvl>
    <w:lvl w:ilvl="4" w:tentative="0">
      <w:start w:val="1"/>
      <w:numFmt w:val="lowerLetter"/>
      <w:lvlText w:val="%5)"/>
      <w:lvlJc w:val="left"/>
      <w:pPr>
        <w:ind w:left="2457" w:hanging="420"/>
      </w:pPr>
    </w:lvl>
    <w:lvl w:ilvl="5" w:tentative="0">
      <w:start w:val="1"/>
      <w:numFmt w:val="lowerRoman"/>
      <w:lvlText w:val="%6."/>
      <w:lvlJc w:val="right"/>
      <w:pPr>
        <w:ind w:left="2877" w:hanging="420"/>
      </w:pPr>
    </w:lvl>
    <w:lvl w:ilvl="6" w:tentative="0">
      <w:start w:val="1"/>
      <w:numFmt w:val="decimal"/>
      <w:lvlText w:val="%7."/>
      <w:lvlJc w:val="left"/>
      <w:pPr>
        <w:ind w:left="3297" w:hanging="420"/>
      </w:pPr>
    </w:lvl>
    <w:lvl w:ilvl="7" w:tentative="0">
      <w:start w:val="1"/>
      <w:numFmt w:val="lowerLetter"/>
      <w:lvlText w:val="%8)"/>
      <w:lvlJc w:val="left"/>
      <w:pPr>
        <w:ind w:left="3717" w:hanging="420"/>
      </w:pPr>
    </w:lvl>
    <w:lvl w:ilvl="8" w:tentative="0">
      <w:start w:val="1"/>
      <w:numFmt w:val="lowerRoman"/>
      <w:lvlText w:val="%9."/>
      <w:lvlJc w:val="right"/>
      <w:pPr>
        <w:ind w:left="4137" w:hanging="420"/>
      </w:pPr>
    </w:lvl>
  </w:abstractNum>
  <w:abstractNum w:abstractNumId="1">
    <w:nsid w:val="1A8060D0"/>
    <w:multiLevelType w:val="multilevel"/>
    <w:tmpl w:val="1A8060D0"/>
    <w:lvl w:ilvl="0" w:tentative="0">
      <w:start w:val="5"/>
      <w:numFmt w:val="decimal"/>
      <w:lvlText w:val="%1"/>
      <w:lvlJc w:val="left"/>
      <w:pPr>
        <w:tabs>
          <w:tab w:val="left" w:pos="360"/>
        </w:tabs>
        <w:ind w:left="357" w:hanging="357"/>
      </w:pPr>
    </w:lvl>
    <w:lvl w:ilvl="1" w:tentative="0">
      <w:start w:val="3"/>
      <w:numFmt w:val="decimal"/>
      <w:lvlText w:val="4.%2"/>
      <w:lvlJc w:val="left"/>
      <w:pPr>
        <w:tabs>
          <w:tab w:val="left" w:pos="360"/>
        </w:tabs>
        <w:ind w:left="357" w:hanging="357"/>
      </w:pPr>
    </w:lvl>
    <w:lvl w:ilvl="2" w:tentative="0">
      <w:start w:val="1"/>
      <w:numFmt w:val="decimal"/>
      <w:lvlRestart w:val="1"/>
      <w:lvlText w:val="4.3.%3"/>
      <w:lvlJc w:val="left"/>
      <w:pPr>
        <w:tabs>
          <w:tab w:val="left" w:pos="360"/>
        </w:tabs>
        <w:ind w:left="357" w:hanging="357"/>
      </w:pPr>
      <w:rPr>
        <w:rFonts w:hint="default" w:ascii="Times New Roman" w:hAnsi="Times New Roman" w:eastAsia="黑体" w:cs="Times New Roman"/>
      </w:rPr>
    </w:lvl>
    <w:lvl w:ilvl="3" w:tentative="0">
      <w:start w:val="1"/>
      <w:numFmt w:val="decimal"/>
      <w:lvlText w:val="%1.%2.%3.%4"/>
      <w:lvlJc w:val="left"/>
      <w:pPr>
        <w:tabs>
          <w:tab w:val="left" w:pos="360"/>
        </w:tabs>
        <w:ind w:left="357" w:hanging="357"/>
      </w:pPr>
    </w:lvl>
    <w:lvl w:ilvl="4" w:tentative="0">
      <w:start w:val="1"/>
      <w:numFmt w:val="decimal"/>
      <w:lvlText w:val="%1.%2.%3.%4.%5"/>
      <w:lvlJc w:val="left"/>
      <w:pPr>
        <w:tabs>
          <w:tab w:val="left" w:pos="360"/>
        </w:tabs>
        <w:ind w:left="357" w:hanging="357"/>
      </w:pPr>
    </w:lvl>
    <w:lvl w:ilvl="5" w:tentative="0">
      <w:start w:val="1"/>
      <w:numFmt w:val="decimal"/>
      <w:lvlText w:val="%1.%2.%3.%4.%5.%6"/>
      <w:lvlJc w:val="left"/>
      <w:pPr>
        <w:tabs>
          <w:tab w:val="left" w:pos="360"/>
        </w:tabs>
        <w:ind w:left="357" w:hanging="357"/>
      </w:pPr>
    </w:lvl>
    <w:lvl w:ilvl="6" w:tentative="0">
      <w:start w:val="1"/>
      <w:numFmt w:val="decimal"/>
      <w:lvlText w:val="%1.%2.%3.%4.%5.%6.%7"/>
      <w:lvlJc w:val="left"/>
      <w:pPr>
        <w:tabs>
          <w:tab w:val="left" w:pos="360"/>
        </w:tabs>
        <w:ind w:left="357" w:hanging="357"/>
      </w:pPr>
    </w:lvl>
    <w:lvl w:ilvl="7" w:tentative="0">
      <w:start w:val="1"/>
      <w:numFmt w:val="decimal"/>
      <w:lvlText w:val="%1.%2.%3.%4.%5.%6.%7.%8"/>
      <w:lvlJc w:val="left"/>
      <w:pPr>
        <w:tabs>
          <w:tab w:val="left" w:pos="360"/>
        </w:tabs>
        <w:ind w:left="357" w:hanging="357"/>
      </w:pPr>
    </w:lvl>
    <w:lvl w:ilvl="8" w:tentative="0">
      <w:start w:val="1"/>
      <w:numFmt w:val="decimal"/>
      <w:lvlText w:val="%1.%2.%3.%4.%5.%6.%7.%8.%9"/>
      <w:lvlJc w:val="left"/>
      <w:pPr>
        <w:tabs>
          <w:tab w:val="left" w:pos="360"/>
        </w:tabs>
        <w:ind w:left="357" w:hanging="357"/>
      </w:pPr>
    </w:lvl>
  </w:abstractNum>
  <w:abstractNum w:abstractNumId="2">
    <w:nsid w:val="31ED05C7"/>
    <w:multiLevelType w:val="multilevel"/>
    <w:tmpl w:val="31ED05C7"/>
    <w:lvl w:ilvl="0" w:tentative="0">
      <w:start w:val="1"/>
      <w:numFmt w:val="lowerLetter"/>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4FE4286B"/>
    <w:multiLevelType w:val="multilevel"/>
    <w:tmpl w:val="4FE4286B"/>
    <w:lvl w:ilvl="0" w:tentative="0">
      <w:start w:val="5"/>
      <w:numFmt w:val="decimal"/>
      <w:lvlText w:val="%1"/>
      <w:lvlJc w:val="left"/>
      <w:pPr>
        <w:tabs>
          <w:tab w:val="left" w:pos="360"/>
        </w:tabs>
        <w:ind w:left="360" w:hanging="360"/>
      </w:pPr>
    </w:lvl>
    <w:lvl w:ilvl="1" w:tentative="0">
      <w:start w:val="1"/>
      <w:numFmt w:val="decimal"/>
      <w:lvlText w:val="%1.%2"/>
      <w:lvlJc w:val="left"/>
      <w:pPr>
        <w:tabs>
          <w:tab w:val="left" w:pos="360"/>
        </w:tabs>
        <w:ind w:left="360" w:hanging="360"/>
      </w:pPr>
      <w:rPr>
        <w:rFonts w:ascii="黑体" w:hAnsi="黑体" w:eastAsia="黑体"/>
        <w:sz w:val="20"/>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440"/>
        </w:tabs>
        <w:ind w:left="-1440" w:hanging="720"/>
      </w:pPr>
    </w:lvl>
    <w:lvl w:ilvl="4" w:tentative="0">
      <w:start w:val="1"/>
      <w:numFmt w:val="decimal"/>
      <w:lvlText w:val="%1.%2.%3.%4.%5"/>
      <w:lvlJc w:val="left"/>
      <w:pPr>
        <w:tabs>
          <w:tab w:val="left" w:pos="-1800"/>
        </w:tabs>
        <w:ind w:left="-1800" w:hanging="1080"/>
      </w:pPr>
    </w:lvl>
    <w:lvl w:ilvl="5" w:tentative="0">
      <w:start w:val="1"/>
      <w:numFmt w:val="decimal"/>
      <w:lvlText w:val="%1.%2.%3.%4.%5.%6"/>
      <w:lvlJc w:val="left"/>
      <w:pPr>
        <w:tabs>
          <w:tab w:val="left" w:pos="-2160"/>
        </w:tabs>
        <w:ind w:left="-2160" w:hanging="1440"/>
      </w:pPr>
    </w:lvl>
    <w:lvl w:ilvl="6" w:tentative="0">
      <w:start w:val="1"/>
      <w:numFmt w:val="decimal"/>
      <w:lvlText w:val="%1.%2.%3.%4.%5.%6.%7"/>
      <w:lvlJc w:val="left"/>
      <w:pPr>
        <w:tabs>
          <w:tab w:val="left" w:pos="-2880"/>
        </w:tabs>
        <w:ind w:left="-2880" w:hanging="1440"/>
      </w:pPr>
    </w:lvl>
    <w:lvl w:ilvl="7" w:tentative="0">
      <w:start w:val="1"/>
      <w:numFmt w:val="decimal"/>
      <w:lvlText w:val="%1.%2.%3.%4.%5.%6.%7.%8"/>
      <w:lvlJc w:val="left"/>
      <w:pPr>
        <w:tabs>
          <w:tab w:val="left" w:pos="-3240"/>
        </w:tabs>
        <w:ind w:left="-3240" w:hanging="1800"/>
      </w:pPr>
    </w:lvl>
    <w:lvl w:ilvl="8" w:tentative="0">
      <w:start w:val="1"/>
      <w:numFmt w:val="decimal"/>
      <w:lvlText w:val="%1.%2.%3.%4.%5.%6.%7.%8.%9"/>
      <w:lvlJc w:val="left"/>
      <w:pPr>
        <w:tabs>
          <w:tab w:val="left" w:pos="-3960"/>
        </w:tabs>
        <w:ind w:left="-3960" w:hanging="1800"/>
      </w:pPr>
    </w:lvl>
  </w:abstractNum>
  <w:abstractNum w:abstractNumId="4">
    <w:nsid w:val="5ADE30BA"/>
    <w:multiLevelType w:val="multilevel"/>
    <w:tmpl w:val="5ADE30BA"/>
    <w:lvl w:ilvl="0" w:tentative="0">
      <w:start w:val="5"/>
      <w:numFmt w:val="decimal"/>
      <w:lvlText w:val="%1"/>
      <w:lvlJc w:val="left"/>
      <w:pPr>
        <w:tabs>
          <w:tab w:val="left" w:pos="360"/>
        </w:tabs>
        <w:ind w:left="357" w:hanging="357"/>
      </w:pPr>
    </w:lvl>
    <w:lvl w:ilvl="1" w:tentative="0">
      <w:start w:val="5"/>
      <w:numFmt w:val="decimal"/>
      <w:lvlText w:val="4.%2"/>
      <w:lvlJc w:val="left"/>
      <w:pPr>
        <w:tabs>
          <w:tab w:val="left" w:pos="360"/>
        </w:tabs>
        <w:ind w:left="357" w:hanging="357"/>
      </w:pPr>
    </w:lvl>
    <w:lvl w:ilvl="2" w:tentative="0">
      <w:start w:val="1"/>
      <w:numFmt w:val="none"/>
      <w:lvlRestart w:val="1"/>
      <w:isLgl/>
      <w:lvlText w:val="4.5.1"/>
      <w:lvlJc w:val="left"/>
      <w:pPr>
        <w:tabs>
          <w:tab w:val="left" w:pos="360"/>
        </w:tabs>
        <w:ind w:left="357" w:hanging="357"/>
      </w:pPr>
      <w:rPr>
        <w:rFonts w:hint="default" w:ascii="Times New Roman" w:hAnsi="Times New Roman" w:eastAsia="黑体" w:cs="Times New Roman"/>
        <w:sz w:val="20"/>
      </w:rPr>
    </w:lvl>
    <w:lvl w:ilvl="3" w:tentative="0">
      <w:start w:val="1"/>
      <w:numFmt w:val="decimal"/>
      <w:lvlText w:val="%1.%2.%3.%4"/>
      <w:lvlJc w:val="left"/>
      <w:pPr>
        <w:tabs>
          <w:tab w:val="left" w:pos="360"/>
        </w:tabs>
        <w:ind w:left="357" w:hanging="357"/>
      </w:pPr>
    </w:lvl>
    <w:lvl w:ilvl="4" w:tentative="0">
      <w:start w:val="1"/>
      <w:numFmt w:val="decimal"/>
      <w:lvlText w:val="%1.%2.%3.%4.%5"/>
      <w:lvlJc w:val="left"/>
      <w:pPr>
        <w:tabs>
          <w:tab w:val="left" w:pos="360"/>
        </w:tabs>
        <w:ind w:left="357" w:hanging="357"/>
      </w:pPr>
    </w:lvl>
    <w:lvl w:ilvl="5" w:tentative="0">
      <w:start w:val="1"/>
      <w:numFmt w:val="decimal"/>
      <w:lvlText w:val="%1.%2.%3.%4.%5.%6"/>
      <w:lvlJc w:val="left"/>
      <w:pPr>
        <w:tabs>
          <w:tab w:val="left" w:pos="360"/>
        </w:tabs>
        <w:ind w:left="357" w:hanging="357"/>
      </w:pPr>
    </w:lvl>
    <w:lvl w:ilvl="6" w:tentative="0">
      <w:start w:val="1"/>
      <w:numFmt w:val="decimal"/>
      <w:lvlText w:val="%1.%2.%3.%4.%5.%6.%7"/>
      <w:lvlJc w:val="left"/>
      <w:pPr>
        <w:tabs>
          <w:tab w:val="left" w:pos="360"/>
        </w:tabs>
        <w:ind w:left="357" w:hanging="357"/>
      </w:pPr>
    </w:lvl>
    <w:lvl w:ilvl="7" w:tentative="0">
      <w:start w:val="1"/>
      <w:numFmt w:val="decimal"/>
      <w:lvlText w:val="%1.%2.%3.%4.%5.%6.%7.%8"/>
      <w:lvlJc w:val="left"/>
      <w:pPr>
        <w:tabs>
          <w:tab w:val="left" w:pos="360"/>
        </w:tabs>
        <w:ind w:left="357" w:hanging="357"/>
      </w:pPr>
    </w:lvl>
    <w:lvl w:ilvl="8" w:tentative="0">
      <w:start w:val="1"/>
      <w:numFmt w:val="decimal"/>
      <w:lvlText w:val="%1.%2.%3.%4.%5.%6.%7.%8.%9"/>
      <w:lvlJc w:val="left"/>
      <w:pPr>
        <w:tabs>
          <w:tab w:val="left" w:pos="360"/>
        </w:tabs>
        <w:ind w:left="357" w:hanging="357"/>
      </w:pPr>
    </w:lvl>
  </w:abstractNum>
  <w:abstractNum w:abstractNumId="5">
    <w:nsid w:val="67904F46"/>
    <w:multiLevelType w:val="multilevel"/>
    <w:tmpl w:val="67904F46"/>
    <w:lvl w:ilvl="0" w:tentative="0">
      <w:start w:val="5"/>
      <w:numFmt w:val="decimal"/>
      <w:lvlText w:val="%1"/>
      <w:lvlJc w:val="left"/>
      <w:pPr>
        <w:tabs>
          <w:tab w:val="left" w:pos="360"/>
        </w:tabs>
        <w:ind w:left="357" w:hanging="357"/>
      </w:pPr>
      <w:rPr>
        <w:rFonts w:hint="eastAsia"/>
      </w:rPr>
    </w:lvl>
    <w:lvl w:ilvl="1" w:tentative="0">
      <w:start w:val="5"/>
      <w:numFmt w:val="decimal"/>
      <w:lvlText w:val="4.%2"/>
      <w:lvlJc w:val="left"/>
      <w:pPr>
        <w:tabs>
          <w:tab w:val="left" w:pos="360"/>
        </w:tabs>
        <w:ind w:left="357" w:hanging="357"/>
      </w:pPr>
      <w:rPr>
        <w:rFonts w:hint="eastAsia"/>
      </w:rPr>
    </w:lvl>
    <w:lvl w:ilvl="2" w:tentative="0">
      <w:start w:val="1"/>
      <w:numFmt w:val="none"/>
      <w:lvlRestart w:val="1"/>
      <w:isLgl/>
      <w:lvlText w:val="4.5.4"/>
      <w:lvlJc w:val="left"/>
      <w:pPr>
        <w:tabs>
          <w:tab w:val="left" w:pos="360"/>
        </w:tabs>
        <w:ind w:left="357" w:hanging="357"/>
      </w:pPr>
      <w:rPr>
        <w:rFonts w:hint="default" w:ascii="Times New Roman" w:hAnsi="Times New Roman" w:eastAsia="黑体" w:cs="Times New Roman"/>
        <w:sz w:val="20"/>
      </w:rPr>
    </w:lvl>
    <w:lvl w:ilvl="3" w:tentative="0">
      <w:start w:val="1"/>
      <w:numFmt w:val="decimal"/>
      <w:lvlText w:val="%1.%2.%3.%4"/>
      <w:lvlJc w:val="left"/>
      <w:pPr>
        <w:tabs>
          <w:tab w:val="left" w:pos="360"/>
        </w:tabs>
        <w:ind w:left="357" w:hanging="357"/>
      </w:pPr>
      <w:rPr>
        <w:rFonts w:hint="eastAsia"/>
      </w:rPr>
    </w:lvl>
    <w:lvl w:ilvl="4" w:tentative="0">
      <w:start w:val="1"/>
      <w:numFmt w:val="decimal"/>
      <w:lvlText w:val="%1.%2.%3.%4.%5"/>
      <w:lvlJc w:val="left"/>
      <w:pPr>
        <w:tabs>
          <w:tab w:val="left" w:pos="360"/>
        </w:tabs>
        <w:ind w:left="357" w:hanging="357"/>
      </w:pPr>
      <w:rPr>
        <w:rFonts w:hint="eastAsia"/>
      </w:rPr>
    </w:lvl>
    <w:lvl w:ilvl="5" w:tentative="0">
      <w:start w:val="1"/>
      <w:numFmt w:val="decimal"/>
      <w:lvlText w:val="%1.%2.%3.%4.%5.%6"/>
      <w:lvlJc w:val="left"/>
      <w:pPr>
        <w:tabs>
          <w:tab w:val="left" w:pos="360"/>
        </w:tabs>
        <w:ind w:left="357" w:hanging="357"/>
      </w:pPr>
      <w:rPr>
        <w:rFonts w:hint="eastAsia"/>
      </w:rPr>
    </w:lvl>
    <w:lvl w:ilvl="6" w:tentative="0">
      <w:start w:val="1"/>
      <w:numFmt w:val="decimal"/>
      <w:lvlText w:val="%1.%2.%3.%4.%5.%6.%7"/>
      <w:lvlJc w:val="left"/>
      <w:pPr>
        <w:tabs>
          <w:tab w:val="left" w:pos="360"/>
        </w:tabs>
        <w:ind w:left="357" w:hanging="357"/>
      </w:pPr>
      <w:rPr>
        <w:rFonts w:hint="eastAsia"/>
      </w:rPr>
    </w:lvl>
    <w:lvl w:ilvl="7" w:tentative="0">
      <w:start w:val="1"/>
      <w:numFmt w:val="decimal"/>
      <w:lvlText w:val="%1.%2.%3.%4.%5.%6.%7.%8"/>
      <w:lvlJc w:val="left"/>
      <w:pPr>
        <w:tabs>
          <w:tab w:val="left" w:pos="360"/>
        </w:tabs>
        <w:ind w:left="357" w:hanging="357"/>
      </w:pPr>
      <w:rPr>
        <w:rFonts w:hint="eastAsia"/>
      </w:rPr>
    </w:lvl>
    <w:lvl w:ilvl="8" w:tentative="0">
      <w:start w:val="1"/>
      <w:numFmt w:val="decimal"/>
      <w:lvlText w:val="%1.%2.%3.%4.%5.%6.%7.%8.%9"/>
      <w:lvlJc w:val="left"/>
      <w:pPr>
        <w:tabs>
          <w:tab w:val="left" w:pos="360"/>
        </w:tabs>
        <w:ind w:left="357" w:hanging="357"/>
      </w:pPr>
      <w:rPr>
        <w:rFonts w:hint="eastAsia"/>
      </w:rPr>
    </w:lvl>
  </w:abstractNum>
  <w:abstractNum w:abstractNumId="6">
    <w:nsid w:val="67D408E6"/>
    <w:multiLevelType w:val="multilevel"/>
    <w:tmpl w:val="67D408E6"/>
    <w:lvl w:ilvl="0" w:tentative="0">
      <w:start w:val="5"/>
      <w:numFmt w:val="decimal"/>
      <w:lvlText w:val="%1"/>
      <w:lvlJc w:val="left"/>
      <w:pPr>
        <w:tabs>
          <w:tab w:val="left" w:pos="360"/>
        </w:tabs>
        <w:ind w:left="357" w:hanging="357"/>
      </w:pPr>
      <w:rPr>
        <w:rFonts w:hint="eastAsia"/>
      </w:rPr>
    </w:lvl>
    <w:lvl w:ilvl="1" w:tentative="0">
      <w:start w:val="5"/>
      <w:numFmt w:val="decimal"/>
      <w:lvlText w:val="4.%2"/>
      <w:lvlJc w:val="left"/>
      <w:pPr>
        <w:tabs>
          <w:tab w:val="left" w:pos="360"/>
        </w:tabs>
        <w:ind w:left="357" w:hanging="357"/>
      </w:pPr>
      <w:rPr>
        <w:rFonts w:hint="eastAsia"/>
      </w:rPr>
    </w:lvl>
    <w:lvl w:ilvl="2" w:tentative="0">
      <w:start w:val="1"/>
      <w:numFmt w:val="none"/>
      <w:lvlRestart w:val="1"/>
      <w:isLgl/>
      <w:lvlText w:val="4.5.3"/>
      <w:lvlJc w:val="left"/>
      <w:pPr>
        <w:tabs>
          <w:tab w:val="left" w:pos="360"/>
        </w:tabs>
        <w:ind w:left="357" w:hanging="357"/>
      </w:pPr>
      <w:rPr>
        <w:rFonts w:hint="default" w:ascii="Times New Roman" w:hAnsi="Times New Roman" w:eastAsia="黑体" w:cs="Times New Roman"/>
        <w:sz w:val="20"/>
      </w:rPr>
    </w:lvl>
    <w:lvl w:ilvl="3" w:tentative="0">
      <w:start w:val="1"/>
      <w:numFmt w:val="decimal"/>
      <w:lvlText w:val="%1.%2.%3.%4"/>
      <w:lvlJc w:val="left"/>
      <w:pPr>
        <w:tabs>
          <w:tab w:val="left" w:pos="360"/>
        </w:tabs>
        <w:ind w:left="357" w:hanging="357"/>
      </w:pPr>
      <w:rPr>
        <w:rFonts w:hint="eastAsia"/>
      </w:rPr>
    </w:lvl>
    <w:lvl w:ilvl="4" w:tentative="0">
      <w:start w:val="1"/>
      <w:numFmt w:val="decimal"/>
      <w:lvlText w:val="%1.%2.%3.%4.%5"/>
      <w:lvlJc w:val="left"/>
      <w:pPr>
        <w:tabs>
          <w:tab w:val="left" w:pos="360"/>
        </w:tabs>
        <w:ind w:left="357" w:hanging="357"/>
      </w:pPr>
      <w:rPr>
        <w:rFonts w:hint="eastAsia"/>
      </w:rPr>
    </w:lvl>
    <w:lvl w:ilvl="5" w:tentative="0">
      <w:start w:val="1"/>
      <w:numFmt w:val="decimal"/>
      <w:lvlText w:val="%1.%2.%3.%4.%5.%6"/>
      <w:lvlJc w:val="left"/>
      <w:pPr>
        <w:tabs>
          <w:tab w:val="left" w:pos="360"/>
        </w:tabs>
        <w:ind w:left="357" w:hanging="357"/>
      </w:pPr>
      <w:rPr>
        <w:rFonts w:hint="eastAsia"/>
      </w:rPr>
    </w:lvl>
    <w:lvl w:ilvl="6" w:tentative="0">
      <w:start w:val="1"/>
      <w:numFmt w:val="decimal"/>
      <w:lvlText w:val="%1.%2.%3.%4.%5.%6.%7"/>
      <w:lvlJc w:val="left"/>
      <w:pPr>
        <w:tabs>
          <w:tab w:val="left" w:pos="360"/>
        </w:tabs>
        <w:ind w:left="357" w:hanging="357"/>
      </w:pPr>
      <w:rPr>
        <w:rFonts w:hint="eastAsia"/>
      </w:rPr>
    </w:lvl>
    <w:lvl w:ilvl="7" w:tentative="0">
      <w:start w:val="1"/>
      <w:numFmt w:val="decimal"/>
      <w:lvlText w:val="%1.%2.%3.%4.%5.%6.%7.%8"/>
      <w:lvlJc w:val="left"/>
      <w:pPr>
        <w:tabs>
          <w:tab w:val="left" w:pos="360"/>
        </w:tabs>
        <w:ind w:left="357" w:hanging="357"/>
      </w:pPr>
      <w:rPr>
        <w:rFonts w:hint="eastAsia"/>
      </w:rPr>
    </w:lvl>
    <w:lvl w:ilvl="8" w:tentative="0">
      <w:start w:val="1"/>
      <w:numFmt w:val="decimal"/>
      <w:lvlText w:val="%1.%2.%3.%4.%5.%6.%7.%8.%9"/>
      <w:lvlJc w:val="left"/>
      <w:pPr>
        <w:tabs>
          <w:tab w:val="left" w:pos="360"/>
        </w:tabs>
        <w:ind w:left="357" w:hanging="357"/>
      </w:pPr>
      <w:rPr>
        <w:rFonts w:hint="eastAsia"/>
      </w:rPr>
    </w:lvl>
  </w:abstractNum>
  <w:abstractNum w:abstractNumId="7">
    <w:nsid w:val="6B9B6473"/>
    <w:multiLevelType w:val="multilevel"/>
    <w:tmpl w:val="6B9B6473"/>
    <w:lvl w:ilvl="0" w:tentative="0">
      <w:start w:val="5"/>
      <w:numFmt w:val="decimal"/>
      <w:lvlText w:val="%1"/>
      <w:lvlJc w:val="left"/>
      <w:pPr>
        <w:tabs>
          <w:tab w:val="left" w:pos="360"/>
        </w:tabs>
        <w:ind w:left="357" w:hanging="357"/>
      </w:pPr>
    </w:lvl>
    <w:lvl w:ilvl="1" w:tentative="0">
      <w:start w:val="1"/>
      <w:numFmt w:val="decimal"/>
      <w:lvlText w:val="4.%2"/>
      <w:lvlJc w:val="left"/>
      <w:pPr>
        <w:tabs>
          <w:tab w:val="left" w:pos="360"/>
        </w:tabs>
        <w:ind w:left="357" w:hanging="357"/>
      </w:pPr>
    </w:lvl>
    <w:lvl w:ilvl="2" w:tentative="0">
      <w:start w:val="1"/>
      <w:numFmt w:val="decimal"/>
      <w:lvlRestart w:val="1"/>
      <w:lvlText w:val="4.1.%3"/>
      <w:lvlJc w:val="left"/>
      <w:pPr>
        <w:tabs>
          <w:tab w:val="left" w:pos="360"/>
        </w:tabs>
        <w:ind w:left="357" w:hanging="357"/>
      </w:pPr>
      <w:rPr>
        <w:rFonts w:hint="default" w:ascii="Times New Roman" w:hAnsi="Times New Roman" w:eastAsia="黑体" w:cs="Times New Roman"/>
      </w:rPr>
    </w:lvl>
    <w:lvl w:ilvl="3" w:tentative="0">
      <w:start w:val="1"/>
      <w:numFmt w:val="decimal"/>
      <w:lvlText w:val="%1.%2.%3.%4"/>
      <w:lvlJc w:val="left"/>
      <w:pPr>
        <w:tabs>
          <w:tab w:val="left" w:pos="360"/>
        </w:tabs>
        <w:ind w:left="357" w:hanging="357"/>
      </w:pPr>
    </w:lvl>
    <w:lvl w:ilvl="4" w:tentative="0">
      <w:start w:val="1"/>
      <w:numFmt w:val="decimal"/>
      <w:lvlText w:val="%1.%2.%3.%4.%5"/>
      <w:lvlJc w:val="left"/>
      <w:pPr>
        <w:tabs>
          <w:tab w:val="left" w:pos="360"/>
        </w:tabs>
        <w:ind w:left="357" w:hanging="357"/>
      </w:pPr>
    </w:lvl>
    <w:lvl w:ilvl="5" w:tentative="0">
      <w:start w:val="1"/>
      <w:numFmt w:val="decimal"/>
      <w:lvlText w:val="%1.%2.%3.%4.%5.%6"/>
      <w:lvlJc w:val="left"/>
      <w:pPr>
        <w:tabs>
          <w:tab w:val="left" w:pos="360"/>
        </w:tabs>
        <w:ind w:left="357" w:hanging="357"/>
      </w:pPr>
    </w:lvl>
    <w:lvl w:ilvl="6" w:tentative="0">
      <w:start w:val="1"/>
      <w:numFmt w:val="decimal"/>
      <w:lvlText w:val="%1.%2.%3.%4.%5.%6.%7"/>
      <w:lvlJc w:val="left"/>
      <w:pPr>
        <w:tabs>
          <w:tab w:val="left" w:pos="360"/>
        </w:tabs>
        <w:ind w:left="357" w:hanging="357"/>
      </w:pPr>
    </w:lvl>
    <w:lvl w:ilvl="7" w:tentative="0">
      <w:start w:val="1"/>
      <w:numFmt w:val="decimal"/>
      <w:lvlText w:val="%1.%2.%3.%4.%5.%6.%7.%8"/>
      <w:lvlJc w:val="left"/>
      <w:pPr>
        <w:tabs>
          <w:tab w:val="left" w:pos="360"/>
        </w:tabs>
        <w:ind w:left="357" w:hanging="357"/>
      </w:pPr>
    </w:lvl>
    <w:lvl w:ilvl="8" w:tentative="0">
      <w:start w:val="1"/>
      <w:numFmt w:val="decimal"/>
      <w:lvlText w:val="%1.%2.%3.%4.%5.%6.%7.%8.%9"/>
      <w:lvlJc w:val="left"/>
      <w:pPr>
        <w:tabs>
          <w:tab w:val="left" w:pos="360"/>
        </w:tabs>
        <w:ind w:left="357" w:hanging="357"/>
      </w:pPr>
    </w:lvl>
  </w:abstractNum>
  <w:abstractNum w:abstractNumId="8">
    <w:nsid w:val="6CEA2025"/>
    <w:multiLevelType w:val="multilevel"/>
    <w:tmpl w:val="6CEA2025"/>
    <w:lvl w:ilvl="0" w:tentative="0">
      <w:start w:val="1"/>
      <w:numFmt w:val="none"/>
      <w:pStyle w:val="6"/>
      <w:suff w:val="nothing"/>
      <w:lvlText w:val="%1"/>
      <w:lvlJc w:val="left"/>
      <w:pPr>
        <w:ind w:left="0" w:firstLine="0"/>
      </w:pPr>
      <w:rPr>
        <w:rFonts w:hint="default" w:ascii="Times New Roman" w:hAnsi="Times New Roman" w:cs="Times New Roman"/>
        <w:b/>
        <w:i w:val="0"/>
        <w:sz w:val="21"/>
      </w:rPr>
    </w:lvl>
    <w:lvl w:ilvl="1" w:tentative="0">
      <w:start w:val="1"/>
      <w:numFmt w:val="decimal"/>
      <w:pStyle w:val="8"/>
      <w:suff w:val="nothing"/>
      <w:lvlText w:val="%1%2　"/>
      <w:lvlJc w:val="left"/>
      <w:pPr>
        <w:ind w:left="142" w:firstLine="0"/>
      </w:pPr>
      <w:rPr>
        <w:rFonts w:hint="eastAsia" w:ascii="黑体" w:hAnsi="Times New Roman" w:eastAsia="黑体"/>
        <w:b w:val="0"/>
        <w:i w:val="0"/>
        <w:sz w:val="21"/>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pStyle w:val="1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9">
    <w:nsid w:val="73596892"/>
    <w:multiLevelType w:val="multilevel"/>
    <w:tmpl w:val="73596892"/>
    <w:lvl w:ilvl="0" w:tentative="0">
      <w:start w:val="1"/>
      <w:numFmt w:val="lowerLetter"/>
      <w:lvlText w:val="%1)"/>
      <w:lvlJc w:val="left"/>
      <w:pPr>
        <w:ind w:left="786"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 w:ilvl="0" w:tentative="1">
        <w:start w:val="5"/>
        <w:numFmt w:val="decimal"/>
        <w:lvlText w:val="%1.1"/>
        <w:lvlJc w:val="left"/>
        <w:pPr>
          <w:tabs>
            <w:tab w:val="left" w:pos="360"/>
          </w:tabs>
          <w:ind w:left="357" w:hanging="357"/>
        </w:pPr>
      </w:lvl>
    </w:lvlOverride>
    <w:lvlOverride w:ilvl="1">
      <w:lvl w:ilvl="1" w:tentative="1">
        <w:start w:val="1"/>
        <w:numFmt w:val="decimal"/>
        <w:lvlText w:val="4.%2"/>
        <w:lvlJc w:val="left"/>
        <w:pPr>
          <w:tabs>
            <w:tab w:val="left" w:pos="360"/>
          </w:tabs>
          <w:ind w:left="357" w:hanging="357"/>
        </w:pPr>
      </w:lvl>
    </w:lvlOverride>
    <w:lvlOverride w:ilvl="2">
      <w:lvl w:ilvl="2" w:tentative="1">
        <w:start w:val="1"/>
        <w:numFmt w:val="decimal"/>
        <w:lvlRestart w:val="1"/>
        <w:lvlText w:val="4.1.%3"/>
        <w:lvlJc w:val="left"/>
        <w:pPr>
          <w:tabs>
            <w:tab w:val="left" w:pos="360"/>
          </w:tabs>
          <w:ind w:left="357" w:hanging="357"/>
        </w:pPr>
        <w:rPr>
          <w:rFonts w:hint="default" w:ascii="Times New Roman" w:hAnsi="Times New Roman" w:eastAsia="黑体" w:cs="Times New Roman"/>
        </w:rPr>
      </w:lvl>
    </w:lvlOverride>
    <w:lvlOverride w:ilvl="3">
      <w:lvl w:ilvl="3" w:tentative="1">
        <w:start w:val="1"/>
        <w:numFmt w:val="decimal"/>
        <w:lvlText w:val="%1.%2.%3.%4"/>
        <w:lvlJc w:val="left"/>
        <w:pPr>
          <w:tabs>
            <w:tab w:val="left" w:pos="360"/>
          </w:tabs>
          <w:ind w:left="357" w:hanging="357"/>
        </w:pPr>
      </w:lvl>
    </w:lvlOverride>
    <w:lvlOverride w:ilvl="4">
      <w:lvl w:ilvl="4" w:tentative="1">
        <w:start w:val="1"/>
        <w:numFmt w:val="decimal"/>
        <w:lvlText w:val="%1.%2.%3.%4.%5"/>
        <w:lvlJc w:val="left"/>
        <w:pPr>
          <w:tabs>
            <w:tab w:val="left" w:pos="360"/>
          </w:tabs>
          <w:ind w:left="357" w:hanging="357"/>
        </w:pPr>
      </w:lvl>
    </w:lvlOverride>
    <w:lvlOverride w:ilvl="5">
      <w:lvl w:ilvl="5" w:tentative="1">
        <w:start w:val="1"/>
        <w:numFmt w:val="decimal"/>
        <w:lvlText w:val="%1.%2.%3.%4.%5.%6"/>
        <w:lvlJc w:val="left"/>
        <w:pPr>
          <w:tabs>
            <w:tab w:val="left" w:pos="360"/>
          </w:tabs>
          <w:ind w:left="357" w:hanging="357"/>
        </w:pPr>
      </w:lvl>
    </w:lvlOverride>
    <w:lvlOverride w:ilvl="6">
      <w:lvl w:ilvl="6" w:tentative="1">
        <w:start w:val="1"/>
        <w:numFmt w:val="decimal"/>
        <w:lvlText w:val="%1.%2.%3.%4.%5.%6.%7"/>
        <w:lvlJc w:val="left"/>
        <w:pPr>
          <w:tabs>
            <w:tab w:val="left" w:pos="360"/>
          </w:tabs>
          <w:ind w:left="357" w:hanging="357"/>
        </w:pPr>
      </w:lvl>
    </w:lvlOverride>
    <w:lvlOverride w:ilvl="7">
      <w:lvl w:ilvl="7" w:tentative="1">
        <w:start w:val="1"/>
        <w:numFmt w:val="decimal"/>
        <w:lvlText w:val="%1.%2.%3.%4.%5.%6.%7.%8"/>
        <w:lvlJc w:val="left"/>
        <w:pPr>
          <w:tabs>
            <w:tab w:val="left" w:pos="360"/>
          </w:tabs>
          <w:ind w:left="357" w:hanging="357"/>
        </w:pPr>
      </w:lvl>
    </w:lvlOverride>
    <w:lvlOverride w:ilvl="8">
      <w:lvl w:ilvl="8" w:tentative="1">
        <w:start w:val="1"/>
        <w:numFmt w:val="decimal"/>
        <w:lvlText w:val="%1.%2.%3.%4.%5.%6.%7.%8.%9"/>
        <w:lvlJc w:val="left"/>
        <w:pPr>
          <w:tabs>
            <w:tab w:val="left" w:pos="360"/>
          </w:tabs>
          <w:ind w:left="357" w:hanging="357"/>
        </w:pPr>
      </w:lvl>
    </w:lvlOverride>
  </w:num>
  <w:num w:numId="5">
    <w:abstractNumId w:val="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 w:ilvl="0" w:tentative="1">
        <w:start w:val="5"/>
        <w:numFmt w:val="decimal"/>
        <w:lvlText w:val="%1"/>
        <w:lvlJc w:val="left"/>
        <w:pPr>
          <w:tabs>
            <w:tab w:val="left" w:pos="360"/>
          </w:tabs>
          <w:ind w:left="357" w:hanging="357"/>
        </w:pPr>
        <w:rPr>
          <w:rFonts w:hint="eastAsia"/>
        </w:rPr>
      </w:lvl>
    </w:lvlOverride>
    <w:lvlOverride w:ilvl="1">
      <w:lvl w:ilvl="1" w:tentative="1">
        <w:start w:val="5"/>
        <w:numFmt w:val="decimal"/>
        <w:lvlText w:val="4.%2"/>
        <w:lvlJc w:val="left"/>
        <w:pPr>
          <w:tabs>
            <w:tab w:val="left" w:pos="360"/>
          </w:tabs>
          <w:ind w:left="357" w:hanging="357"/>
        </w:pPr>
        <w:rPr>
          <w:rFonts w:hint="eastAsia"/>
        </w:rPr>
      </w:lvl>
    </w:lvlOverride>
    <w:lvlOverride w:ilvl="2">
      <w:lvl w:ilvl="2" w:tentative="1">
        <w:start w:val="1"/>
        <w:numFmt w:val="none"/>
        <w:lvlRestart w:val="1"/>
        <w:isLgl/>
        <w:lvlText w:val="4.5.2"/>
        <w:lvlJc w:val="left"/>
        <w:pPr>
          <w:tabs>
            <w:tab w:val="left" w:pos="360"/>
          </w:tabs>
          <w:ind w:left="357" w:hanging="357"/>
        </w:pPr>
        <w:rPr>
          <w:rFonts w:hint="default" w:ascii="Times New Roman" w:hAnsi="Times New Roman" w:eastAsia="黑体" w:cs="Times New Roman"/>
          <w:sz w:val="20"/>
        </w:rPr>
      </w:lvl>
    </w:lvlOverride>
    <w:lvlOverride w:ilvl="3">
      <w:lvl w:ilvl="3" w:tentative="1">
        <w:start w:val="1"/>
        <w:numFmt w:val="decimal"/>
        <w:lvlText w:val="%1.%2.%3.%4"/>
        <w:lvlJc w:val="left"/>
        <w:pPr>
          <w:tabs>
            <w:tab w:val="left" w:pos="360"/>
          </w:tabs>
          <w:ind w:left="357" w:hanging="357"/>
        </w:pPr>
        <w:rPr>
          <w:rFonts w:hint="eastAsia"/>
        </w:rPr>
      </w:lvl>
    </w:lvlOverride>
    <w:lvlOverride w:ilvl="4">
      <w:lvl w:ilvl="4" w:tentative="1">
        <w:start w:val="1"/>
        <w:numFmt w:val="decimal"/>
        <w:lvlText w:val="%1.%2.%3.%4.%5"/>
        <w:lvlJc w:val="left"/>
        <w:pPr>
          <w:tabs>
            <w:tab w:val="left" w:pos="360"/>
          </w:tabs>
          <w:ind w:left="357" w:hanging="357"/>
        </w:pPr>
        <w:rPr>
          <w:rFonts w:hint="eastAsia"/>
        </w:rPr>
      </w:lvl>
    </w:lvlOverride>
    <w:lvlOverride w:ilvl="5">
      <w:lvl w:ilvl="5" w:tentative="1">
        <w:start w:val="1"/>
        <w:numFmt w:val="decimal"/>
        <w:lvlText w:val="%1.%2.%3.%4.%5.%6"/>
        <w:lvlJc w:val="left"/>
        <w:pPr>
          <w:tabs>
            <w:tab w:val="left" w:pos="360"/>
          </w:tabs>
          <w:ind w:left="357" w:hanging="357"/>
        </w:pPr>
        <w:rPr>
          <w:rFonts w:hint="eastAsia"/>
        </w:rPr>
      </w:lvl>
    </w:lvlOverride>
    <w:lvlOverride w:ilvl="6">
      <w:lvl w:ilvl="6" w:tentative="1">
        <w:start w:val="1"/>
        <w:numFmt w:val="decimal"/>
        <w:lvlText w:val="%1.%2.%3.%4.%5.%6.%7"/>
        <w:lvlJc w:val="left"/>
        <w:pPr>
          <w:tabs>
            <w:tab w:val="left" w:pos="360"/>
          </w:tabs>
          <w:ind w:left="357" w:hanging="357"/>
        </w:pPr>
        <w:rPr>
          <w:rFonts w:hint="eastAsia"/>
        </w:rPr>
      </w:lvl>
    </w:lvlOverride>
    <w:lvlOverride w:ilvl="7">
      <w:lvl w:ilvl="7" w:tentative="1">
        <w:start w:val="1"/>
        <w:numFmt w:val="decimal"/>
        <w:lvlText w:val="%1.%2.%3.%4.%5.%6.%7.%8"/>
        <w:lvlJc w:val="left"/>
        <w:pPr>
          <w:tabs>
            <w:tab w:val="left" w:pos="360"/>
          </w:tabs>
          <w:ind w:left="357" w:hanging="357"/>
        </w:pPr>
        <w:rPr>
          <w:rFonts w:hint="eastAsia"/>
        </w:rPr>
      </w:lvl>
    </w:lvlOverride>
    <w:lvlOverride w:ilvl="8">
      <w:lvl w:ilvl="8" w:tentative="1">
        <w:start w:val="1"/>
        <w:numFmt w:val="decimal"/>
        <w:lvlText w:val="%1.%2.%3.%4.%5.%6.%7.%8.%9"/>
        <w:lvlJc w:val="left"/>
        <w:pPr>
          <w:tabs>
            <w:tab w:val="left" w:pos="360"/>
          </w:tabs>
          <w:ind w:left="357" w:hanging="357"/>
        </w:pPr>
        <w:rPr>
          <w:rFonts w:hint="eastAsia"/>
        </w:rPr>
      </w:lvl>
    </w:lvlOverride>
  </w:num>
  <w:num w:numId="7">
    <w:abstractNumId w:val="6"/>
  </w:num>
  <w:num w:numId="8">
    <w:abstractNumId w:val="5"/>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 w:ilvl="0" w:tentative="1">
        <w:start w:val="5"/>
        <w:numFmt w:val="decimal"/>
        <w:lvlText w:val="%1"/>
        <w:lvlJc w:val="left"/>
        <w:pPr>
          <w:tabs>
            <w:tab w:val="left" w:pos="360"/>
          </w:tabs>
          <w:ind w:left="360" w:hanging="360"/>
        </w:pPr>
      </w:lvl>
    </w:lvlOverride>
    <w:lvlOverride w:ilvl="1">
      <w:lvl w:ilvl="1" w:tentative="1">
        <w:start w:val="1"/>
        <w:numFmt w:val="decimal"/>
        <w:lvlText w:val="%1.%2"/>
        <w:lvlJc w:val="left"/>
        <w:pPr>
          <w:tabs>
            <w:tab w:val="left" w:pos="360"/>
          </w:tabs>
          <w:ind w:left="360" w:hanging="360"/>
        </w:pPr>
        <w:rPr>
          <w:sz w:val="20"/>
        </w:rPr>
      </w:lvl>
    </w:lvlOverride>
    <w:lvlOverride w:ilvl="2">
      <w:lvl w:ilvl="2" w:tentative="1">
        <w:start w:val="1"/>
        <w:numFmt w:val="decimal"/>
        <w:lvlText w:val="%1.%2.%3"/>
        <w:lvlJc w:val="left"/>
        <w:pPr>
          <w:tabs>
            <w:tab w:val="left" w:pos="720"/>
          </w:tabs>
          <w:ind w:left="720" w:hanging="720"/>
        </w:pPr>
        <w:rPr>
          <w:rFonts w:hint="default" w:ascii="黑体" w:hAnsi="黑体" w:eastAsia="黑体" w:cs="黑体"/>
          <w:sz w:val="21"/>
          <w:szCs w:val="21"/>
        </w:rPr>
      </w:lvl>
    </w:lvlOverride>
    <w:lvlOverride w:ilvl="3">
      <w:lvl w:ilvl="3" w:tentative="1">
        <w:start w:val="1"/>
        <w:numFmt w:val="decimal"/>
        <w:lvlText w:val="%1.%2.%3.%4"/>
        <w:lvlJc w:val="left"/>
        <w:pPr>
          <w:tabs>
            <w:tab w:val="left" w:pos="-1440"/>
          </w:tabs>
          <w:ind w:left="-1440" w:hanging="720"/>
        </w:pPr>
      </w:lvl>
    </w:lvlOverride>
    <w:lvlOverride w:ilvl="4">
      <w:lvl w:ilvl="4" w:tentative="1">
        <w:start w:val="1"/>
        <w:numFmt w:val="decimal"/>
        <w:lvlText w:val="%1.%2.%3.%4.%5"/>
        <w:lvlJc w:val="left"/>
        <w:pPr>
          <w:tabs>
            <w:tab w:val="left" w:pos="-1800"/>
          </w:tabs>
          <w:ind w:left="-1800" w:hanging="1080"/>
        </w:pPr>
      </w:lvl>
    </w:lvlOverride>
    <w:lvlOverride w:ilvl="5">
      <w:lvl w:ilvl="5" w:tentative="1">
        <w:start w:val="1"/>
        <w:numFmt w:val="decimal"/>
        <w:lvlText w:val="%1.%2.%3.%4.%5.%6"/>
        <w:lvlJc w:val="left"/>
        <w:pPr>
          <w:tabs>
            <w:tab w:val="left" w:pos="-2160"/>
          </w:tabs>
          <w:ind w:left="-2160" w:hanging="1440"/>
        </w:pPr>
      </w:lvl>
    </w:lvlOverride>
    <w:lvlOverride w:ilvl="6">
      <w:lvl w:ilvl="6" w:tentative="1">
        <w:start w:val="1"/>
        <w:numFmt w:val="decimal"/>
        <w:lvlText w:val="%1.%2.%3.%4.%5.%6.%7"/>
        <w:lvlJc w:val="left"/>
        <w:pPr>
          <w:tabs>
            <w:tab w:val="left" w:pos="-2880"/>
          </w:tabs>
          <w:ind w:left="-2880" w:hanging="1440"/>
        </w:pPr>
      </w:lvl>
    </w:lvlOverride>
    <w:lvlOverride w:ilvl="7">
      <w:lvl w:ilvl="7" w:tentative="1">
        <w:start w:val="1"/>
        <w:numFmt w:val="decimal"/>
        <w:lvlText w:val="%1.%2.%3.%4.%5.%6.%7.%8"/>
        <w:lvlJc w:val="left"/>
        <w:pPr>
          <w:tabs>
            <w:tab w:val="left" w:pos="-3240"/>
          </w:tabs>
          <w:ind w:left="-3240" w:hanging="1800"/>
        </w:pPr>
      </w:lvl>
    </w:lvlOverride>
    <w:lvlOverride w:ilvl="8">
      <w:lvl w:ilvl="8" w:tentative="1">
        <w:start w:val="1"/>
        <w:numFmt w:val="decimal"/>
        <w:lvlText w:val="%1.%2.%3.%4.%5.%6.%7.%8.%9"/>
        <w:lvlJc w:val="left"/>
        <w:pPr>
          <w:tabs>
            <w:tab w:val="left" w:pos="-3960"/>
          </w:tabs>
          <w:ind w:left="-3960" w:hanging="1800"/>
        </w:pPr>
      </w:lvl>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96277F"/>
    <w:rsid w:val="00015186"/>
    <w:rsid w:val="00072FCB"/>
    <w:rsid w:val="000E4749"/>
    <w:rsid w:val="00116B98"/>
    <w:rsid w:val="00152F13"/>
    <w:rsid w:val="00153BDA"/>
    <w:rsid w:val="0017309B"/>
    <w:rsid w:val="001730A6"/>
    <w:rsid w:val="001802ED"/>
    <w:rsid w:val="00191593"/>
    <w:rsid w:val="00197981"/>
    <w:rsid w:val="001A22A2"/>
    <w:rsid w:val="001C29FB"/>
    <w:rsid w:val="001C2D14"/>
    <w:rsid w:val="001E2F3B"/>
    <w:rsid w:val="00230F38"/>
    <w:rsid w:val="0026119F"/>
    <w:rsid w:val="00267BEB"/>
    <w:rsid w:val="0027143D"/>
    <w:rsid w:val="00275AA3"/>
    <w:rsid w:val="002765C6"/>
    <w:rsid w:val="002C334A"/>
    <w:rsid w:val="002F0C56"/>
    <w:rsid w:val="00342FBA"/>
    <w:rsid w:val="003615E4"/>
    <w:rsid w:val="003C413A"/>
    <w:rsid w:val="003E433D"/>
    <w:rsid w:val="003E5AE7"/>
    <w:rsid w:val="003E6C4B"/>
    <w:rsid w:val="003F018C"/>
    <w:rsid w:val="003F6353"/>
    <w:rsid w:val="00402658"/>
    <w:rsid w:val="0040753C"/>
    <w:rsid w:val="004A03AB"/>
    <w:rsid w:val="004B0010"/>
    <w:rsid w:val="004E62B9"/>
    <w:rsid w:val="0052712A"/>
    <w:rsid w:val="005418C0"/>
    <w:rsid w:val="00562696"/>
    <w:rsid w:val="00574810"/>
    <w:rsid w:val="005772E2"/>
    <w:rsid w:val="00577FD8"/>
    <w:rsid w:val="00595E50"/>
    <w:rsid w:val="005A114F"/>
    <w:rsid w:val="005A4E30"/>
    <w:rsid w:val="005A6FAC"/>
    <w:rsid w:val="00605C47"/>
    <w:rsid w:val="006203BC"/>
    <w:rsid w:val="00627788"/>
    <w:rsid w:val="00627BB2"/>
    <w:rsid w:val="00687F6D"/>
    <w:rsid w:val="00694DEB"/>
    <w:rsid w:val="006A49A3"/>
    <w:rsid w:val="00717452"/>
    <w:rsid w:val="00744102"/>
    <w:rsid w:val="00750ECF"/>
    <w:rsid w:val="00772527"/>
    <w:rsid w:val="00773666"/>
    <w:rsid w:val="00775BAC"/>
    <w:rsid w:val="00775F0B"/>
    <w:rsid w:val="007824C8"/>
    <w:rsid w:val="007C1D21"/>
    <w:rsid w:val="0082603F"/>
    <w:rsid w:val="008358C7"/>
    <w:rsid w:val="0087157E"/>
    <w:rsid w:val="00884011"/>
    <w:rsid w:val="008959ED"/>
    <w:rsid w:val="008C431A"/>
    <w:rsid w:val="008F7037"/>
    <w:rsid w:val="00920AA5"/>
    <w:rsid w:val="00940DFC"/>
    <w:rsid w:val="009620C0"/>
    <w:rsid w:val="0096277F"/>
    <w:rsid w:val="009C1E24"/>
    <w:rsid w:val="009C545A"/>
    <w:rsid w:val="009D54C6"/>
    <w:rsid w:val="009F5B53"/>
    <w:rsid w:val="00A32A41"/>
    <w:rsid w:val="00A3430E"/>
    <w:rsid w:val="00A44171"/>
    <w:rsid w:val="00A44F6B"/>
    <w:rsid w:val="00A569F2"/>
    <w:rsid w:val="00A93435"/>
    <w:rsid w:val="00A95B1C"/>
    <w:rsid w:val="00AA5C5E"/>
    <w:rsid w:val="00B12CEA"/>
    <w:rsid w:val="00B40B5A"/>
    <w:rsid w:val="00B4202B"/>
    <w:rsid w:val="00B5782E"/>
    <w:rsid w:val="00B61472"/>
    <w:rsid w:val="00B61C26"/>
    <w:rsid w:val="00B622A6"/>
    <w:rsid w:val="00B717B2"/>
    <w:rsid w:val="00B84541"/>
    <w:rsid w:val="00BB2CFE"/>
    <w:rsid w:val="00BC06F8"/>
    <w:rsid w:val="00BC6CD3"/>
    <w:rsid w:val="00BE5BEF"/>
    <w:rsid w:val="00BF7ED6"/>
    <w:rsid w:val="00C071BD"/>
    <w:rsid w:val="00C52CBE"/>
    <w:rsid w:val="00C97554"/>
    <w:rsid w:val="00CA1A42"/>
    <w:rsid w:val="00CA41CD"/>
    <w:rsid w:val="00CC33DF"/>
    <w:rsid w:val="00CD574F"/>
    <w:rsid w:val="00CD6350"/>
    <w:rsid w:val="00CF5899"/>
    <w:rsid w:val="00D851BF"/>
    <w:rsid w:val="00DE6A4E"/>
    <w:rsid w:val="00DF2E2B"/>
    <w:rsid w:val="00E00863"/>
    <w:rsid w:val="00E15992"/>
    <w:rsid w:val="00E26297"/>
    <w:rsid w:val="00E3239F"/>
    <w:rsid w:val="00E34184"/>
    <w:rsid w:val="00E47316"/>
    <w:rsid w:val="00E537DD"/>
    <w:rsid w:val="00E7194F"/>
    <w:rsid w:val="00E81E28"/>
    <w:rsid w:val="00ED5ECF"/>
    <w:rsid w:val="00F11E61"/>
    <w:rsid w:val="00F26CEF"/>
    <w:rsid w:val="00FA2FDA"/>
    <w:rsid w:val="00FD1646"/>
    <w:rsid w:val="00FE5839"/>
    <w:rsid w:val="6A9F4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6"/>
    <w:unhideWhenUsed/>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前言、引言标题"/>
    <w:next w:val="1"/>
    <w:uiPriority w:val="0"/>
    <w:pPr>
      <w:numPr>
        <w:ilvl w:val="0"/>
        <w:numId w:val="1"/>
      </w:numPr>
      <w:shd w:val="clear" w:color="auto" w:fill="FFFFFF"/>
      <w:tabs>
        <w:tab w:val="left" w:pos="360"/>
      </w:tabs>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7">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8">
    <w:name w:val="章标题"/>
    <w:next w:val="7"/>
    <w:uiPriority w:val="0"/>
    <w:pPr>
      <w:numPr>
        <w:ilvl w:val="1"/>
        <w:numId w:val="1"/>
      </w:numPr>
      <w:spacing w:beforeLines="50" w:afterLines="50"/>
      <w:ind w:left="284"/>
      <w:jc w:val="both"/>
      <w:outlineLvl w:val="1"/>
    </w:pPr>
    <w:rPr>
      <w:rFonts w:ascii="黑体" w:hAnsi="Times New Roman" w:eastAsia="黑体" w:cs="Times New Roman"/>
      <w:kern w:val="0"/>
      <w:sz w:val="21"/>
      <w:szCs w:val="20"/>
      <w:lang w:val="en-US" w:eastAsia="zh-CN" w:bidi="ar-SA"/>
    </w:rPr>
  </w:style>
  <w:style w:type="paragraph" w:customStyle="1" w:styleId="9">
    <w:name w:val="一级条标题"/>
    <w:basedOn w:val="8"/>
    <w:next w:val="7"/>
    <w:uiPriority w:val="0"/>
    <w:pPr>
      <w:numPr>
        <w:ilvl w:val="2"/>
      </w:numPr>
      <w:spacing w:beforeLines="0" w:afterLines="0"/>
      <w:outlineLvl w:val="2"/>
    </w:pPr>
  </w:style>
  <w:style w:type="paragraph" w:customStyle="1" w:styleId="10">
    <w:name w:val="二级条标题"/>
    <w:basedOn w:val="9"/>
    <w:next w:val="7"/>
    <w:uiPriority w:val="0"/>
    <w:pPr>
      <w:numPr>
        <w:ilvl w:val="3"/>
      </w:numPr>
      <w:outlineLvl w:val="3"/>
    </w:pPr>
  </w:style>
  <w:style w:type="paragraph" w:customStyle="1" w:styleId="11">
    <w:name w:val="三级条标题"/>
    <w:basedOn w:val="10"/>
    <w:next w:val="7"/>
    <w:uiPriority w:val="0"/>
    <w:pPr>
      <w:numPr>
        <w:ilvl w:val="4"/>
      </w:numPr>
      <w:tabs>
        <w:tab w:val="left" w:pos="360"/>
      </w:tabs>
      <w:outlineLvl w:val="4"/>
    </w:pPr>
  </w:style>
  <w:style w:type="paragraph" w:customStyle="1" w:styleId="12">
    <w:name w:val="四级条标题"/>
    <w:basedOn w:val="11"/>
    <w:next w:val="7"/>
    <w:qFormat/>
    <w:uiPriority w:val="0"/>
    <w:pPr>
      <w:numPr>
        <w:ilvl w:val="5"/>
      </w:numPr>
      <w:outlineLvl w:val="5"/>
    </w:pPr>
  </w:style>
  <w:style w:type="paragraph" w:customStyle="1" w:styleId="13">
    <w:name w:val="五级条标题"/>
    <w:basedOn w:val="12"/>
    <w:next w:val="7"/>
    <w:qFormat/>
    <w:uiPriority w:val="0"/>
    <w:pPr>
      <w:numPr>
        <w:ilvl w:val="6"/>
      </w:numPr>
      <w:outlineLvl w:val="6"/>
    </w:pPr>
  </w:style>
  <w:style w:type="character" w:customStyle="1" w:styleId="14">
    <w:name w:val="src"/>
    <w:qFormat/>
    <w:uiPriority w:val="0"/>
  </w:style>
  <w:style w:type="character" w:customStyle="1" w:styleId="15">
    <w:name w:val="页眉 字符"/>
    <w:basedOn w:val="5"/>
    <w:link w:val="3"/>
    <w:uiPriority w:val="0"/>
    <w:rPr>
      <w:rFonts w:ascii="Times New Roman" w:hAnsi="Times New Roman" w:eastAsia="宋体" w:cs="Times New Roman"/>
      <w:sz w:val="18"/>
      <w:szCs w:val="18"/>
    </w:rPr>
  </w:style>
  <w:style w:type="character" w:customStyle="1" w:styleId="16">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BE918F-6561-4D62-A875-A8EFFAD3FD42}">
  <ds:schemaRefs/>
</ds:datastoreItem>
</file>

<file path=docProps/app.xml><?xml version="1.0" encoding="utf-8"?>
<Properties xmlns="http://schemas.openxmlformats.org/officeDocument/2006/extended-properties" xmlns:vt="http://schemas.openxmlformats.org/officeDocument/2006/docPropsVTypes">
  <Template>Normal</Template>
  <Pages>7</Pages>
  <Words>623</Words>
  <Characters>3555</Characters>
  <Lines>29</Lines>
  <Paragraphs>8</Paragraphs>
  <TotalTime>12</TotalTime>
  <ScaleCrop>false</ScaleCrop>
  <LinksUpToDate>false</LinksUpToDate>
  <CharactersWithSpaces>4170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2020-07-20T03:51:00Z</dcterms:created>
  <dc:creator>李朋飞</dc:creator>
  <cp:lastModifiedBy>素素</cp:lastModifiedBy>
  <dcterms:modified xsi:type="dcterms:W3CDTF">2023-11-09T07:24:25Z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53667C2494084AD2AC140F6CB33C662A_12</vt:lpwstr>
  </property>
</Properties>
</file>