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Microsoft_Visio___1.vsdx" ContentType="application/vnd.ms-visio.drawing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6"/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39"/>
          <w:pgMar w:top="567" w:right="851" w:bottom="1418" w:left="1418" w:header="1134" w:footer="851" w:gutter="0"/>
          <w:pgNumType w:start="1"/>
          <w:cols w:space="720" w:num="1"/>
          <w:titlePg/>
          <w:docGrid w:type="lines" w:linePitch="312" w:charSpace="0"/>
        </w:sectPr>
      </w:pPr>
      <w:bookmarkStart w:id="0" w:name="SectionMark0"/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1630680</wp:posOffset>
                </wp:positionV>
                <wp:extent cx="6121400" cy="0"/>
                <wp:effectExtent l="0" t="0" r="0" b="0"/>
                <wp:wrapNone/>
                <wp:docPr id="8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0008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top:128.4pt;height:0pt;width:482pt;mso-position-horizontal:center;mso-position-horizontal-relative:margin;z-index:251664384;mso-width-relative:page;mso-height-relative:page;" filled="f" stroked="t" coordsize="21600,21600" o:gfxdata="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AwzgObUAAAACAEAAA8AAAAAAAAAAQAgAAAA&#10;IgAAAGRycy9kb3ducmV2LnhtbFBLAQIUABQAAAAIAIdO4kDtpxxd1gEAAKIDAAAOAAAAAAAAAAEA&#10;IAAAACMBAABkcnMvZTJvRG9jLnhtbFBLBQYAAAAABgAGAFkBAABrBQAAAAA=&#10;">
                <v:fill on="f" focussize="0,0"/>
                <v:stroke weight="1pt" color="#800008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8498205</wp:posOffset>
                </wp:positionV>
                <wp:extent cx="6121400" cy="0"/>
                <wp:effectExtent l="6985" t="13335" r="15240" b="15240"/>
                <wp:wrapNone/>
                <wp:docPr id="9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0008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1.35pt;margin-top:669.15pt;height:0pt;width:482pt;z-index:251665408;mso-width-relative:page;mso-height-relative:page;" filled="f" stroked="t" coordsize="21600,21600" o:gfxdata="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jbQ0xdcAAAAMAQAADwAAAAAAAAABACAA&#10;AAAiAAAAZHJzL2Rvd25yZXYueG1sUEsBAhQAFAAAAAgAh07iQO1K5WzVAQAAogMAAA4AAAAAAAAA&#10;AQAgAAAAJgEAAGRycy9lMm9Eb2MueG1sUEsFBgAAAAAGAAYAWQEAAG0FAAAAAA==&#10;">
                <v:fill on="f" focussize="0,0"/>
                <v:stroke weight="1pt" color="#800008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margin">
                  <wp:posOffset>-552450</wp:posOffset>
                </wp:positionH>
                <wp:positionV relativeFrom="margin">
                  <wp:posOffset>8658860</wp:posOffset>
                </wp:positionV>
                <wp:extent cx="6858000" cy="512445"/>
                <wp:effectExtent l="0" t="2540" r="4445" b="0"/>
                <wp:wrapNone/>
                <wp:docPr id="7" name="fmFram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512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40" w:lineRule="exact"/>
                              <w:jc w:val="center"/>
                              <w:rPr>
                                <w:b/>
                                <w:bCs/>
                                <w:spacing w:val="20"/>
                                <w:sz w:val="4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w w:val="135"/>
                                <w:kern w:val="0"/>
                                <w:sz w:val="30"/>
                                <w:szCs w:val="20"/>
                              </w:rPr>
                              <w:t>中华人民共和国工业和信息化部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napToGrid w:val="0"/>
                                <w:spacing w:val="20"/>
                                <w:kern w:val="0"/>
                                <w:sz w:val="40"/>
                                <w:szCs w:val="40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黑体" w:hAnsi="黑体" w:eastAsia="黑体"/>
                                <w:w w:val="135"/>
                                <w:kern w:val="0"/>
                                <w:sz w:val="28"/>
                                <w:szCs w:val="28"/>
                              </w:rPr>
                              <w:t>发布</w:t>
                            </w:r>
                          </w:p>
                          <w:p>
                            <w:pPr>
                              <w:rPr>
                                <w:szCs w:val="32"/>
                              </w:rPr>
                            </w:pPr>
                          </w:p>
                          <w:p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7" o:spid="_x0000_s1026" o:spt="202" type="#_x0000_t202" style="position:absolute;left:0pt;margin-left:-43.5pt;margin-top:681.8pt;height:40.35pt;width:540pt;mso-position-horizontal-relative:margin;mso-position-vertical-relative:margin;z-index:251663360;mso-width-relative:page;mso-height-relative:page;" fillcolor="#FFFFFF" filled="t" stroked="f" coordsize="21600,21600" o:gfxdata="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CPRSotsAAAANAQAADwAAAAAA&#10;AAABACAAAAAiAAAAZHJzL2Rvd25yZXYueG1sUEsBAhQAFAAAAAgAh07iQMXFm60QAgAAKwQAAA4A&#10;AAAAAAAAAQAgAAAAKgEAAGRycy9lMm9Eb2MueG1sUEsFBgAAAAAGAAYAWQEAAKw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440" w:lineRule="exact"/>
                        <w:jc w:val="center"/>
                        <w:rPr>
                          <w:b/>
                          <w:bCs/>
                          <w:spacing w:val="20"/>
                          <w:sz w:val="44"/>
                        </w:rPr>
                      </w:pPr>
                      <w:r>
                        <w:rPr>
                          <w:rFonts w:hint="eastAsia" w:ascii="黑体" w:hAnsi="黑体" w:eastAsia="黑体"/>
                          <w:w w:val="135"/>
                          <w:kern w:val="0"/>
                          <w:sz w:val="30"/>
                          <w:szCs w:val="20"/>
                        </w:rPr>
                        <w:t>中华人民共和国工业和信息化部</w:t>
                      </w:r>
                      <w:r>
                        <w:rPr>
                          <w:rFonts w:hint="eastAsia" w:ascii="宋体" w:hAnsi="宋体"/>
                          <w:b/>
                          <w:bCs/>
                          <w:snapToGrid w:val="0"/>
                          <w:spacing w:val="20"/>
                          <w:kern w:val="0"/>
                          <w:sz w:val="40"/>
                          <w:szCs w:val="40"/>
                        </w:rPr>
                        <w:t xml:space="preserve">  </w:t>
                      </w:r>
                      <w:r>
                        <w:rPr>
                          <w:rFonts w:hint="eastAsia" w:ascii="黑体" w:hAnsi="黑体" w:eastAsia="黑体"/>
                          <w:w w:val="135"/>
                          <w:kern w:val="0"/>
                          <w:sz w:val="28"/>
                          <w:szCs w:val="28"/>
                        </w:rPr>
                        <w:t>发布</w:t>
                      </w:r>
                    </w:p>
                    <w:p>
                      <w:pPr>
                        <w:rPr>
                          <w:szCs w:val="32"/>
                        </w:rPr>
                      </w:pPr>
                    </w:p>
                    <w:p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margin">
                  <wp:posOffset>4062730</wp:posOffset>
                </wp:positionH>
                <wp:positionV relativeFrom="margin">
                  <wp:posOffset>8181975</wp:posOffset>
                </wp:positionV>
                <wp:extent cx="2019300" cy="297180"/>
                <wp:effectExtent l="635" t="1905" r="0" b="0"/>
                <wp:wrapNone/>
                <wp:docPr id="6" name="fmFram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7"/>
                            </w:pPr>
                            <w:r>
                              <w:t>××××-××-××实施</w:t>
                            </w:r>
                          </w:p>
                          <w:p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6" o:spid="_x0000_s1026" o:spt="202" type="#_x0000_t202" style="position:absolute;left:0pt;margin-left:319.9pt;margin-top:644.25pt;height:23.4pt;width:159pt;mso-position-horizontal-relative:margin;mso-position-vertical-relative:margin;z-index:251663360;mso-width-relative:page;mso-height-relative:page;" fillcolor="#FFFFFF" filled="t" stroked="f" coordsize="21600,21600" o:gfxdata="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JhlYkDbAAAADQEAAA8AAAAAAAAA&#10;AQAgAAAAIgAAAGRycy9kb3ducmV2LnhtbFBLAQIUABQAAAAIAIdO4kDDGlndDgIAACsEAAAOAAAA&#10;AAAAAAEAIAAAACoBAABkcnMvZTJvRG9jLnhtbFBLBQYAAAAABgAGAFkBAACq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7"/>
                      </w:pPr>
                      <w:r>
                        <w:t>××××-××-××实施</w:t>
                      </w:r>
                    </w:p>
                    <w:p/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margin">
                  <wp:posOffset>28575</wp:posOffset>
                </wp:positionH>
                <wp:positionV relativeFrom="margin">
                  <wp:posOffset>8172450</wp:posOffset>
                </wp:positionV>
                <wp:extent cx="2019300" cy="297180"/>
                <wp:effectExtent l="0" t="1905" r="4445" b="0"/>
                <wp:wrapNone/>
                <wp:docPr id="5" name="fmFram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7"/>
                            </w:pPr>
                            <w:r>
                              <w:t>××××-××-××发布</w:t>
                            </w:r>
                          </w:p>
                          <w:p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5" o:spid="_x0000_s1026" o:spt="202" type="#_x0000_t202" style="position:absolute;left:0pt;margin-left:2.25pt;margin-top:643.5pt;height:23.4pt;width:159pt;mso-position-horizontal-relative:margin;mso-position-vertical-relative:margin;z-index:251662336;mso-width-relative:page;mso-height-relative:page;" fillcolor="#FFFFFF" filled="t" stroked="f" coordsize="21600,21600" o:gfxdata="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DTsGJ9kAAAALAQAADwAAAAAAAAAB&#10;ACAAAAAiAAAAZHJzL2Rvd25yZXYueG1sUEsBAhQAFAAAAAgAh07iQNmAWj0PAgAAKwQAAA4AAAAA&#10;AAAAAQAgAAAAKAEAAGRycy9lMm9Eb2MueG1sUEsFBgAAAAAGAAYAWQEAAKk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7"/>
                      </w:pPr>
                      <w:r>
                        <w:t>××××-××-××发布</w:t>
                      </w:r>
                    </w:p>
                    <w:p/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2971800</wp:posOffset>
                </wp:positionV>
                <wp:extent cx="5969000" cy="4953000"/>
                <wp:effectExtent l="0" t="1905" r="0" b="0"/>
                <wp:wrapNone/>
                <wp:docPr id="4" name="fmFra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495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1"/>
                              <w:rPr>
                                <w:rFonts w:ascii="黑体" w:eastAsia="黑体"/>
                                <w:bCs/>
                                <w:snapToGrid w:val="0"/>
                                <w:color w:val="00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Cs/>
                                <w:snapToGrid w:val="0"/>
                                <w:color w:val="000000"/>
                                <w:sz w:val="52"/>
                                <w:szCs w:val="52"/>
                              </w:rPr>
                              <w:t>镧 铈 铝 合 金</w:t>
                            </w:r>
                          </w:p>
                          <w:p>
                            <w:pPr>
                              <w:pStyle w:val="31"/>
                              <w:rPr>
                                <w:rFonts w:ascii="黑体" w:eastAsia="黑体"/>
                                <w:bCs/>
                                <w:snapToGrid w:val="0"/>
                                <w:color w:val="000000"/>
                                <w:sz w:val="52"/>
                                <w:szCs w:val="5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黑体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黑体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Lanthanum-Cerium-Aluminum alloys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黑体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eastAsia="黑体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（预审稿）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4" o:spid="_x0000_s1026" o:spt="202" type="#_x0000_t202" style="position:absolute;left:0pt;margin-left:0pt;margin-top:234pt;height:390pt;width:470pt;mso-position-horizontal-relative:margin;mso-position-vertical-relative:margin;z-index:251661312;mso-width-relative:page;mso-height-relative:page;" fillcolor="#FFFFFF" filled="t" stroked="f" coordsize="21600,21600" o:gfxdata="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TFtU7VAAAACQEAAA8AAAAAAAAAAQAgAAAA&#10;IgAAAGRycy9kb3ducmV2LnhtbFBLAQIUABQAAAAIAIdO4kDf1bLgDgIAACwEAAAOAAAAAAAAAAEA&#10;IAAAACQBAABkcnMvZTJvRG9jLnhtbFBLBQYAAAAABgAGAFkBAACk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1"/>
                        <w:rPr>
                          <w:rFonts w:ascii="黑体" w:eastAsia="黑体"/>
                          <w:bCs/>
                          <w:snapToGrid w:val="0"/>
                          <w:color w:val="000000"/>
                          <w:sz w:val="52"/>
                          <w:szCs w:val="52"/>
                        </w:rPr>
                      </w:pPr>
                      <w:r>
                        <w:rPr>
                          <w:rFonts w:hint="eastAsia" w:ascii="黑体" w:eastAsia="黑体"/>
                          <w:bCs/>
                          <w:snapToGrid w:val="0"/>
                          <w:color w:val="000000"/>
                          <w:sz w:val="52"/>
                          <w:szCs w:val="52"/>
                        </w:rPr>
                        <w:t>镧 铈 铝 合 金</w:t>
                      </w:r>
                    </w:p>
                    <w:p>
                      <w:pPr>
                        <w:pStyle w:val="31"/>
                        <w:rPr>
                          <w:rFonts w:ascii="黑体" w:eastAsia="黑体"/>
                          <w:bCs/>
                          <w:snapToGrid w:val="0"/>
                          <w:color w:val="000000"/>
                          <w:sz w:val="52"/>
                          <w:szCs w:val="52"/>
                        </w:rPr>
                      </w:pPr>
                    </w:p>
                    <w:p>
                      <w:pPr>
                        <w:jc w:val="center"/>
                        <w:rPr>
                          <w:rFonts w:eastAsia="黑体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eastAsia="黑体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Lanthanum-Cerium-Aluminum alloys</w:t>
                      </w:r>
                    </w:p>
                    <w:p>
                      <w:pPr>
                        <w:jc w:val="center"/>
                        <w:rPr>
                          <w:rFonts w:eastAsia="黑体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eastAsia="黑体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</w:rPr>
                        <w:t>（预审稿）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posOffset>83820</wp:posOffset>
                </wp:positionH>
                <wp:positionV relativeFrom="margin">
                  <wp:posOffset>1123315</wp:posOffset>
                </wp:positionV>
                <wp:extent cx="6131560" cy="660400"/>
                <wp:effectExtent l="3175" t="1270" r="0" b="0"/>
                <wp:wrapNone/>
                <wp:docPr id="3" name="fmFra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156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ind w:left="2814" w:leftChars="1340" w:firstLine="3654" w:firstLineChars="1300"/>
                              <w:rPr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adjustRightInd w:val="0"/>
                              <w:snapToGrid w:val="0"/>
                              <w:spacing w:line="400" w:lineRule="exact"/>
                              <w:ind w:firstLine="6437" w:firstLineChars="2290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 xml:space="preserve">XB/T XXX X—202X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3" o:spid="_x0000_s1026" o:spt="202" type="#_x0000_t202" style="position:absolute;left:0pt;margin-left:6.6pt;margin-top:88.45pt;height:52pt;width:482.8pt;mso-position-horizontal-relative:margin;mso-position-vertical-relative:margin;z-index:251660288;mso-width-relative:page;mso-height-relative:page;" fillcolor="#FFFFFF" filled="t" stroked="f" coordsize="21600,21600" o:gfxdata="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dWX952AAAAAoBAAAPAAAAAAAAAAEA&#10;IAAAACIAAABkcnMvZG93bnJldi54bWxQSwECFAAUAAAACACHTuJASbAsaQ8CAAArBAAADgAAAAAA&#10;AAABACAAAAAnAQAAZHJzL2Uyb0RvYy54bWxQSwUGAAAAAAYABgBZAQAAqA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0" w:lineRule="atLeast"/>
                        <w:ind w:left="2814" w:leftChars="1340" w:firstLine="3654" w:firstLineChars="1300"/>
                        <w:rPr>
                          <w:b/>
                          <w:sz w:val="28"/>
                        </w:rPr>
                      </w:pPr>
                    </w:p>
                    <w:p>
                      <w:pPr>
                        <w:adjustRightInd w:val="0"/>
                        <w:snapToGrid w:val="0"/>
                        <w:spacing w:line="400" w:lineRule="exact"/>
                        <w:ind w:firstLine="6437" w:firstLineChars="2290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 xml:space="preserve">XB/T XXX X—202X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>XB</w:t>
      </w:r>
      <w: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margin">
                  <wp:posOffset>95250</wp:posOffset>
                </wp:positionH>
                <wp:positionV relativeFrom="margin">
                  <wp:posOffset>668020</wp:posOffset>
                </wp:positionV>
                <wp:extent cx="6120130" cy="563880"/>
                <wp:effectExtent l="0" t="3175" r="0" b="4445"/>
                <wp:wrapNone/>
                <wp:docPr id="2" name="fm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6"/>
                              <w:rPr>
                                <w:rFonts w:ascii="华文中宋" w:hAnsi="华文中宋" w:eastAsia="华文中宋" w:cs="华文中宋"/>
                                <w:b/>
                                <w:w w:val="130"/>
                                <w:szCs w:val="52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 w:cs="华文中宋"/>
                                <w:b/>
                                <w:w w:val="130"/>
                                <w:szCs w:val="52"/>
                              </w:rPr>
                              <w:t>中华人民共和国稀土行业标准</w:t>
                            </w:r>
                          </w:p>
                          <w:p>
                            <w:pPr>
                              <w:pStyle w:val="26"/>
                              <w:rPr>
                                <w:rFonts w:ascii="华文中宋" w:hAnsi="华文中宋" w:eastAsia="华文中宋" w:cs="华文中宋"/>
                                <w:b/>
                                <w:w w:val="130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mFrame2" o:spid="_x0000_s1026" o:spt="202" type="#_x0000_t202" style="position:absolute;left:0pt;margin-left:7.5pt;margin-top:52.6pt;height:44.4pt;width:481.9pt;mso-position-horizontal-relative:margin;mso-position-vertical-relative:margin;z-index:251659264;mso-width-relative:page;mso-height-relative:page;" fillcolor="#FFFFFF" filled="t" stroked="f" coordsize="21600,21600" o:gfxdata="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JmtZuXZAAAACgEAAA8AAAAA&#10;AAAAAQAgAAAAIgAAAGRycy9kb3ducmV2LnhtbFBLAQIUABQAAAAIAIdO4kDiCVMuEwIAADkEAAAO&#10;AAAAAAAAAAEAIAAAACgBAABkcnMvZTJvRG9jLnhtbFBLBQYAAAAABgAGAFkBAACt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6"/>
                        <w:rPr>
                          <w:rFonts w:ascii="华文中宋" w:hAnsi="华文中宋" w:eastAsia="华文中宋" w:cs="华文中宋"/>
                          <w:b/>
                          <w:w w:val="130"/>
                          <w:szCs w:val="52"/>
                        </w:rPr>
                      </w:pPr>
                      <w:r>
                        <w:rPr>
                          <w:rFonts w:hint="eastAsia" w:ascii="华文中宋" w:hAnsi="华文中宋" w:eastAsia="华文中宋" w:cs="华文中宋"/>
                          <w:b/>
                          <w:w w:val="130"/>
                          <w:szCs w:val="52"/>
                        </w:rPr>
                        <w:t>中华人民共和国稀土行业标准</w:t>
                      </w:r>
                    </w:p>
                    <w:p>
                      <w:pPr>
                        <w:pStyle w:val="26"/>
                        <w:rPr>
                          <w:rFonts w:ascii="华文中宋" w:hAnsi="华文中宋" w:eastAsia="华文中宋" w:cs="华文中宋"/>
                          <w:b/>
                          <w:w w:val="130"/>
                          <w:szCs w:val="5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bookmarkEnd w:id="0"/>
    <w:p>
      <w:pPr>
        <w:spacing w:line="440" w:lineRule="exact"/>
        <w:jc w:val="center"/>
        <w:rPr>
          <w:rFonts w:eastAsia="黑体"/>
          <w:bCs/>
          <w:sz w:val="32"/>
        </w:rPr>
      </w:pPr>
      <w:r>
        <w:rPr>
          <w:rFonts w:eastAsia="黑体"/>
          <w:bCs/>
          <w:sz w:val="32"/>
        </w:rPr>
        <w:t>前</w:t>
      </w:r>
      <w:r>
        <w:rPr>
          <w:rFonts w:hint="eastAsia" w:eastAsia="黑体"/>
          <w:bCs/>
          <w:sz w:val="32"/>
        </w:rPr>
        <w:t xml:space="preserve">  </w:t>
      </w:r>
      <w:r>
        <w:rPr>
          <w:rFonts w:eastAsia="黑体"/>
          <w:bCs/>
          <w:sz w:val="32"/>
        </w:rPr>
        <w:t>言</w:t>
      </w:r>
    </w:p>
    <w:p>
      <w:pPr>
        <w:rPr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szCs w:val="21"/>
        </w:rPr>
      </w:pPr>
      <w:r>
        <w:rPr>
          <w:rFonts w:hint="eastAsia"/>
          <w:szCs w:val="21"/>
        </w:rPr>
        <w:t>本文件按照GB/T1.1-2020《标准化工作导则第1部分：标准化文件的结构和起草规则》的规定起草。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szCs w:val="21"/>
        </w:rPr>
      </w:pPr>
      <w:r>
        <w:rPr>
          <w:rFonts w:hint="eastAsia"/>
          <w:szCs w:val="21"/>
        </w:rPr>
        <w:t>请注意本文件的某些内容可能涉及专利。本文件的发布机构不承担识别专利的责任。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szCs w:val="21"/>
        </w:rPr>
      </w:pPr>
      <w:r>
        <w:rPr>
          <w:rFonts w:hint="eastAsia"/>
          <w:szCs w:val="21"/>
        </w:rPr>
        <w:t>本文件由全国稀土标准化技术委员会（SAC/TC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t>229）提出并归口。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szCs w:val="21"/>
          <w:lang w:eastAsia="zh-CN"/>
        </w:rPr>
      </w:pPr>
      <w:r>
        <w:rPr>
          <w:rFonts w:hint="eastAsia"/>
          <w:szCs w:val="21"/>
        </w:rPr>
        <w:t>本文件</w:t>
      </w:r>
      <w:r>
        <w:rPr>
          <w:rFonts w:hint="eastAsia"/>
          <w:szCs w:val="21"/>
          <w:lang w:val="en-US" w:eastAsia="zh-CN"/>
        </w:rPr>
        <w:t>起草</w:t>
      </w:r>
      <w:r>
        <w:rPr>
          <w:rFonts w:hint="eastAsia"/>
          <w:szCs w:val="21"/>
        </w:rPr>
        <w:t>单位：</w:t>
      </w:r>
      <w:r>
        <w:rPr>
          <w:rFonts w:hint="eastAsia"/>
          <w:szCs w:val="21"/>
          <w:lang w:val="en-US" w:eastAsia="zh-CN"/>
        </w:rPr>
        <w:t>包头稀土研究院、</w:t>
      </w:r>
      <w:r>
        <w:rPr>
          <w:rFonts w:hint="eastAsia"/>
          <w:szCs w:val="21"/>
        </w:rPr>
        <w:t>北方稀土(集团)高科技有限责任公司、虔东稀土集团股份有限公司、有研稀土新材料股份有限公司、晋中学院、中国科学院长春应用化学研究所、常州理工科技股份有限公司、江苏亚太轻合金科技股份有限公司、包头市三隆稀有金属材料有限责任公司、包头市英思特稀磁新材料股份有限公司、国瑞科创稀土功能材料（赣州）有限公司、山西景浩科技有限公司</w:t>
      </w:r>
      <w:r>
        <w:rPr>
          <w:rFonts w:hint="eastAsia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szCs w:val="21"/>
        </w:rPr>
        <w:sectPr>
          <w:pgSz w:w="11906" w:h="16838"/>
          <w:pgMar w:top="567" w:right="1134" w:bottom="1134" w:left="1418" w:header="1418" w:footer="1134" w:gutter="0"/>
          <w:pgNumType w:fmt="upperRoman" w:start="1"/>
          <w:cols w:space="720" w:num="1"/>
          <w:formProt w:val="0"/>
          <w:docGrid w:type="lines" w:linePitch="312" w:charSpace="0"/>
        </w:sectPr>
      </w:pPr>
      <w:bookmarkStart w:id="1" w:name="_GoBack"/>
      <w:bookmarkEnd w:id="1"/>
      <w:r>
        <w:rPr>
          <w:rFonts w:hint="eastAsia"/>
          <w:szCs w:val="21"/>
        </w:rPr>
        <w:t xml:space="preserve">本文件主要起草人： </w:t>
      </w:r>
    </w:p>
    <w:p>
      <w:pPr>
        <w:spacing w:before="600" w:after="720" w:line="440" w:lineRule="exact"/>
        <w:jc w:val="center"/>
        <w:rPr>
          <w:rFonts w:ascii="黑体" w:eastAsia="黑体"/>
          <w:bCs/>
          <w:color w:val="000000"/>
          <w:sz w:val="32"/>
          <w:szCs w:val="32"/>
        </w:rPr>
      </w:pPr>
      <w:r>
        <w:rPr>
          <w:rFonts w:hint="eastAsia" w:ascii="黑体" w:eastAsia="黑体"/>
          <w:bCs/>
          <w:color w:val="000000"/>
          <w:sz w:val="32"/>
          <w:szCs w:val="32"/>
        </w:rPr>
        <w:t>镧铈铝合金</w:t>
      </w:r>
    </w:p>
    <w:p>
      <w:pPr>
        <w:spacing w:before="312" w:beforeLines="100" w:after="312" w:afterLines="100"/>
        <w:rPr>
          <w:rFonts w:eastAsia="黑体"/>
          <w:bCs/>
          <w:szCs w:val="21"/>
        </w:rPr>
      </w:pPr>
      <w:r>
        <w:rPr>
          <w:rFonts w:eastAsia="黑体"/>
          <w:bCs/>
          <w:szCs w:val="21"/>
        </w:rPr>
        <w:t>1</w:t>
      </w:r>
      <w:r>
        <w:rPr>
          <w:rFonts w:hint="eastAsia" w:eastAsia="黑体"/>
          <w:bCs/>
          <w:szCs w:val="21"/>
        </w:rPr>
        <w:t xml:space="preserve">   </w:t>
      </w:r>
      <w:r>
        <w:rPr>
          <w:rFonts w:eastAsia="黑体"/>
          <w:bCs/>
          <w:szCs w:val="21"/>
        </w:rPr>
        <w:t>范围</w:t>
      </w:r>
    </w:p>
    <w:p>
      <w:pPr>
        <w:spacing w:before="156" w:beforeLines="50" w:after="156" w:afterLines="50"/>
        <w:ind w:firstLine="420" w:firstLineChars="200"/>
        <w:rPr>
          <w:szCs w:val="21"/>
        </w:rPr>
      </w:pPr>
      <w:r>
        <w:rPr>
          <w:rFonts w:hint="eastAsia"/>
          <w:szCs w:val="21"/>
        </w:rPr>
        <w:t>本文件规定了镧铈铝合金的分类、技术要求、试验方法、检验规则、标志、包装、运输、贮存及随行文件。</w:t>
      </w:r>
    </w:p>
    <w:p>
      <w:pPr>
        <w:spacing w:before="156" w:beforeLines="50" w:after="156" w:afterLines="50"/>
        <w:ind w:firstLine="420" w:firstLineChars="200"/>
        <w:rPr>
          <w:szCs w:val="21"/>
        </w:rPr>
      </w:pPr>
      <w:r>
        <w:rPr>
          <w:rFonts w:hint="eastAsia"/>
          <w:szCs w:val="21"/>
        </w:rPr>
        <w:t>本文件适用于熔配法生产的镧铈铝合金，主要作为添加剂用于生产铸造铝合金及变形铝合金。</w:t>
      </w:r>
    </w:p>
    <w:p>
      <w:pPr>
        <w:spacing w:before="312" w:beforeLines="100" w:after="312" w:afterLines="100"/>
        <w:rPr>
          <w:rFonts w:eastAsia="黑体"/>
          <w:bCs/>
          <w:szCs w:val="21"/>
        </w:rPr>
      </w:pPr>
      <w:r>
        <w:rPr>
          <w:rFonts w:hint="eastAsia" w:eastAsia="黑体"/>
          <w:bCs/>
          <w:szCs w:val="21"/>
        </w:rPr>
        <w:t>2   规范性引用文件</w:t>
      </w:r>
    </w:p>
    <w:p>
      <w:pPr>
        <w:spacing w:line="360" w:lineRule="exact"/>
        <w:ind w:firstLine="420" w:firstLineChars="200"/>
      </w:pPr>
      <w:r>
        <w:rPr>
          <w:rFonts w:hint="eastAsia"/>
        </w:rPr>
        <w:t>下列文件对于本文件的应用是必不可少的。凡是注日期的引用文件，仅注日期的版本适用于本文件。凡是不注日期的引用文件，其最新版本</w:t>
      </w:r>
      <w:r>
        <w:t>(</w:t>
      </w:r>
      <w:r>
        <w:rPr>
          <w:rFonts w:hint="eastAsia"/>
        </w:rPr>
        <w:t>包括所有的修改单</w:t>
      </w:r>
      <w:r>
        <w:t>)</w:t>
      </w:r>
      <w:r>
        <w:rPr>
          <w:rFonts w:hint="eastAsia"/>
        </w:rPr>
        <w:t>适用于本标准。</w:t>
      </w:r>
    </w:p>
    <w:p>
      <w:pPr>
        <w:snapToGrid w:val="0"/>
        <w:spacing w:line="360" w:lineRule="exact"/>
        <w:ind w:firstLine="420" w:firstLineChars="200"/>
        <w:rPr>
          <w:color w:val="000000"/>
        </w:rPr>
      </w:pPr>
      <w:r>
        <w:rPr>
          <w:color w:val="000000"/>
        </w:rPr>
        <w:t xml:space="preserve">GB/T 8170   </w:t>
      </w:r>
      <w:r>
        <w:rPr>
          <w:rFonts w:hint="eastAsia"/>
          <w:color w:val="000000"/>
        </w:rPr>
        <w:t>数值修约规则与极限数值的表示和判定</w:t>
      </w:r>
    </w:p>
    <w:p>
      <w:pPr>
        <w:snapToGrid w:val="0"/>
        <w:spacing w:line="360" w:lineRule="exact"/>
        <w:ind w:left="210" w:leftChars="100" w:firstLine="210" w:firstLineChars="100"/>
        <w:rPr>
          <w:color w:val="000000"/>
        </w:rPr>
      </w:pPr>
      <w:r>
        <w:rPr>
          <w:color w:val="000000"/>
        </w:rPr>
        <w:t xml:space="preserve">GB/T 12690.1  </w:t>
      </w:r>
      <w:r>
        <w:rPr>
          <w:rFonts w:hint="eastAsia"/>
          <w:color w:val="000000"/>
        </w:rPr>
        <w:t>稀土金属及其氧化物中非稀土杂质化学分析方法</w:t>
      </w:r>
      <w:r>
        <w:rPr>
          <w:color w:val="000000"/>
        </w:rPr>
        <w:t xml:space="preserve"> 第</w:t>
      </w:r>
      <w:r>
        <w:rPr>
          <w:rFonts w:hint="eastAsia"/>
          <w:color w:val="000000"/>
        </w:rPr>
        <w:t>1部分：碳、硫量的测定高频</w:t>
      </w:r>
      <w:r>
        <w:rPr>
          <w:color w:val="000000"/>
        </w:rPr>
        <w:t>-</w:t>
      </w:r>
      <w:r>
        <w:rPr>
          <w:rFonts w:hint="eastAsia"/>
          <w:color w:val="000000"/>
        </w:rPr>
        <w:t>红外吸收法</w:t>
      </w:r>
    </w:p>
    <w:p>
      <w:pPr>
        <w:snapToGrid w:val="0"/>
        <w:spacing w:line="360" w:lineRule="exact"/>
        <w:ind w:firstLine="420" w:firstLineChars="200"/>
      </w:pPr>
      <w:r>
        <w:t xml:space="preserve">GB/T 17803  </w:t>
      </w:r>
      <w:r>
        <w:rPr>
          <w:rFonts w:hint="eastAsia"/>
        </w:rPr>
        <w:t>稀土产品牌号表示方法</w:t>
      </w:r>
    </w:p>
    <w:p>
      <w:pPr>
        <w:snapToGrid w:val="0"/>
        <w:spacing w:line="360" w:lineRule="exact"/>
        <w:ind w:firstLine="420" w:firstLineChars="200"/>
      </w:pPr>
      <w:r>
        <w:rPr>
          <w:rFonts w:hint="eastAsia"/>
        </w:rPr>
        <w:t>GB/T 20967  无损检测 目视检测 总则</w:t>
      </w:r>
    </w:p>
    <w:p>
      <w:pPr>
        <w:snapToGrid w:val="0"/>
        <w:spacing w:line="360" w:lineRule="exact"/>
        <w:ind w:firstLine="420" w:firstLineChars="200"/>
      </w:pPr>
      <w:r>
        <w:rPr>
          <w:rFonts w:hint="eastAsia"/>
        </w:rPr>
        <w:t>GB 39176 稀土产品的包装、标志、运输和贮存</w:t>
      </w:r>
    </w:p>
    <w:p>
      <w:pPr>
        <w:snapToGrid w:val="0"/>
        <w:spacing w:line="360" w:lineRule="exact"/>
        <w:ind w:firstLine="420" w:firstLineChars="200"/>
      </w:pPr>
      <w:r>
        <w:rPr>
          <w:szCs w:val="21"/>
        </w:rPr>
        <w:t>GB/T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40795.2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镧铈金属及其化合物化学分析方法 第2部分</w:t>
      </w:r>
      <w:r>
        <w:rPr>
          <w:rFonts w:hint="eastAsia"/>
          <w:szCs w:val="21"/>
        </w:rPr>
        <w:t>：</w:t>
      </w:r>
      <w:r>
        <w:rPr>
          <w:szCs w:val="21"/>
        </w:rPr>
        <w:t>稀土量的测定</w:t>
      </w:r>
    </w:p>
    <w:p>
      <w:pPr>
        <w:snapToGrid w:val="0"/>
        <w:spacing w:line="360" w:lineRule="exact"/>
        <w:ind w:firstLine="420" w:firstLineChars="200"/>
        <w:rPr>
          <w:color w:val="000000"/>
        </w:rPr>
      </w:pPr>
      <w:r>
        <w:rPr>
          <w:color w:val="000000"/>
        </w:rPr>
        <w:t xml:space="preserve">XB/T 629.2  </w:t>
      </w:r>
      <w:r>
        <w:rPr>
          <w:rFonts w:hint="eastAsia"/>
          <w:color w:val="000000"/>
        </w:rPr>
        <w:t>稀土铝中间合金化学分析方法第</w:t>
      </w:r>
      <w:r>
        <w:rPr>
          <w:color w:val="000000"/>
        </w:rPr>
        <w:t>2</w:t>
      </w:r>
      <w:r>
        <w:rPr>
          <w:rFonts w:hint="eastAsia"/>
          <w:color w:val="000000"/>
        </w:rPr>
        <w:t>部分：稀土总量的测定</w:t>
      </w:r>
    </w:p>
    <w:p>
      <w:pPr>
        <w:spacing w:before="312" w:beforeLines="100" w:after="312" w:afterLines="100"/>
        <w:rPr>
          <w:rFonts w:eastAsia="黑体"/>
          <w:bCs/>
          <w:szCs w:val="21"/>
        </w:rPr>
      </w:pPr>
      <w:r>
        <w:rPr>
          <w:rFonts w:hint="eastAsia" w:eastAsia="黑体"/>
          <w:bCs/>
          <w:szCs w:val="21"/>
        </w:rPr>
        <w:t>3 术语和定义</w:t>
      </w:r>
    </w:p>
    <w:p>
      <w:pPr>
        <w:snapToGrid w:val="0"/>
        <w:spacing w:line="360" w:lineRule="exact"/>
        <w:rPr>
          <w:color w:val="000000"/>
        </w:rPr>
      </w:pPr>
      <w:r>
        <w:rPr>
          <w:rFonts w:hint="eastAsia"/>
          <w:color w:val="000000"/>
        </w:rPr>
        <w:t xml:space="preserve">  本文件没有需要界定的术语和定义</w:t>
      </w:r>
    </w:p>
    <w:p>
      <w:pPr>
        <w:spacing w:before="312" w:beforeLines="100" w:after="312" w:afterLines="100"/>
        <w:rPr>
          <w:rFonts w:eastAsia="黑体"/>
          <w:bCs/>
          <w:szCs w:val="21"/>
        </w:rPr>
      </w:pPr>
      <w:r>
        <w:rPr>
          <w:rFonts w:hint="eastAsia" w:eastAsia="黑体"/>
          <w:bCs/>
          <w:szCs w:val="21"/>
        </w:rPr>
        <w:t>4   分类</w:t>
      </w:r>
    </w:p>
    <w:p>
      <w:pPr>
        <w:adjustRightInd w:val="0"/>
        <w:snapToGrid w:val="0"/>
        <w:spacing w:before="156" w:beforeLines="50" w:after="156" w:afterLines="50"/>
        <w:rPr>
          <w:rFonts w:eastAsia="黑体"/>
          <w:bCs/>
          <w:szCs w:val="21"/>
        </w:rPr>
      </w:pPr>
      <w:r>
        <w:rPr>
          <w:rFonts w:hint="eastAsia" w:eastAsia="黑体"/>
          <w:bCs/>
          <w:szCs w:val="21"/>
        </w:rPr>
        <w:t>4.1  产品分类</w:t>
      </w:r>
    </w:p>
    <w:p>
      <w:pPr>
        <w:spacing w:line="360" w:lineRule="exact"/>
        <w:ind w:firstLine="420" w:firstLineChars="200"/>
        <w:rPr>
          <w:rFonts w:hAnsi="宋体"/>
          <w:szCs w:val="21"/>
        </w:rPr>
      </w:pPr>
      <w:r>
        <w:rPr>
          <w:rFonts w:hint="eastAsia" w:hAnsi="宋体"/>
          <w:szCs w:val="21"/>
        </w:rPr>
        <w:t>产品按化学成分分为</w:t>
      </w:r>
      <w:r>
        <w:rPr>
          <w:szCs w:val="21"/>
        </w:rPr>
        <w:t>LaCeAl–20A</w:t>
      </w:r>
      <w:r>
        <w:rPr>
          <w:rFonts w:hint="eastAsia" w:hAnsi="宋体"/>
          <w:szCs w:val="21"/>
        </w:rPr>
        <w:t>、</w:t>
      </w:r>
      <w:r>
        <w:rPr>
          <w:szCs w:val="21"/>
        </w:rPr>
        <w:t>LaCeAl–20B</w:t>
      </w:r>
      <w:r>
        <w:rPr>
          <w:rFonts w:hint="eastAsia"/>
          <w:szCs w:val="21"/>
        </w:rPr>
        <w:t>、</w:t>
      </w:r>
      <w:r>
        <w:rPr>
          <w:szCs w:val="21"/>
        </w:rPr>
        <w:t>LaCeAl-15A</w:t>
      </w:r>
      <w:r>
        <w:rPr>
          <w:rFonts w:hint="eastAsia" w:hAnsi="宋体"/>
          <w:szCs w:val="21"/>
        </w:rPr>
        <w:t>、</w:t>
      </w:r>
      <w:r>
        <w:rPr>
          <w:szCs w:val="21"/>
        </w:rPr>
        <w:t>LaCeAl-15B</w:t>
      </w:r>
      <w:r>
        <w:rPr>
          <w:rFonts w:hint="eastAsia"/>
          <w:szCs w:val="21"/>
        </w:rPr>
        <w:t>、</w:t>
      </w:r>
      <w:r>
        <w:rPr>
          <w:szCs w:val="21"/>
        </w:rPr>
        <w:t xml:space="preserve"> LaCeAl–10A</w:t>
      </w:r>
      <w:r>
        <w:rPr>
          <w:rFonts w:hint="eastAsia" w:hAnsi="宋体"/>
          <w:szCs w:val="21"/>
        </w:rPr>
        <w:t>、</w:t>
      </w:r>
      <w:r>
        <w:rPr>
          <w:szCs w:val="21"/>
        </w:rPr>
        <w:t>LaCeAl–10B</w:t>
      </w:r>
      <w:r>
        <w:rPr>
          <w:rFonts w:hint="eastAsia"/>
          <w:szCs w:val="21"/>
        </w:rPr>
        <w:t>、</w:t>
      </w:r>
      <w:r>
        <w:rPr>
          <w:szCs w:val="21"/>
        </w:rPr>
        <w:t xml:space="preserve"> LaCeAl–5A</w:t>
      </w:r>
      <w:r>
        <w:rPr>
          <w:rFonts w:hint="eastAsia"/>
          <w:szCs w:val="21"/>
        </w:rPr>
        <w:t>、</w:t>
      </w:r>
      <w:r>
        <w:rPr>
          <w:szCs w:val="21"/>
        </w:rPr>
        <w:t>LaCeAl–5B</w:t>
      </w:r>
      <w:r>
        <w:rPr>
          <w:rFonts w:hint="eastAsia"/>
          <w:szCs w:val="21"/>
        </w:rPr>
        <w:t>八</w:t>
      </w:r>
      <w:r>
        <w:rPr>
          <w:rFonts w:hint="eastAsia" w:hAnsi="宋体"/>
          <w:szCs w:val="21"/>
        </w:rPr>
        <w:t>个牌号。</w:t>
      </w:r>
    </w:p>
    <w:p>
      <w:pPr>
        <w:spacing w:line="360" w:lineRule="exact"/>
        <w:rPr>
          <w:rFonts w:hAnsi="宋体"/>
          <w:szCs w:val="21"/>
        </w:rPr>
      </w:pPr>
    </w:p>
    <w:p>
      <w:pPr>
        <w:spacing w:line="360" w:lineRule="exact"/>
        <w:rPr>
          <w:rFonts w:eastAsia="黑体"/>
          <w:bCs/>
          <w:szCs w:val="21"/>
        </w:rPr>
      </w:pPr>
      <w:r>
        <w:rPr>
          <w:rFonts w:hint="eastAsia" w:eastAsia="黑体"/>
          <w:bCs/>
          <w:szCs w:val="21"/>
        </w:rPr>
        <w:t>4</w:t>
      </w:r>
      <w:r>
        <w:rPr>
          <w:rFonts w:eastAsia="黑体"/>
          <w:bCs/>
          <w:szCs w:val="21"/>
        </w:rPr>
        <w:t xml:space="preserve">.2 </w:t>
      </w:r>
      <w:r>
        <w:rPr>
          <w:rFonts w:hint="eastAsia" w:eastAsia="黑体"/>
          <w:bCs/>
          <w:szCs w:val="21"/>
        </w:rPr>
        <w:t>产品牌号</w:t>
      </w:r>
    </w:p>
    <w:p>
      <w:pPr>
        <w:spacing w:line="360" w:lineRule="exact"/>
        <w:ind w:firstLine="429"/>
        <w:rPr>
          <w:rFonts w:ascii="宋体" w:hAnsi="宋体"/>
        </w:rPr>
      </w:pPr>
      <w:r>
        <w:rPr>
          <w:rFonts w:hint="eastAsia" w:ascii="宋体" w:hAnsi="宋体"/>
        </w:rPr>
        <w:t>镧铈铝合金牌号共分为3个层次，其中第一层次表示稀土镧铈，用金属镧铈的分子式“La</w:t>
      </w:r>
      <w:r>
        <w:rPr>
          <w:rFonts w:ascii="宋体" w:hAnsi="宋体"/>
        </w:rPr>
        <w:t>C</w:t>
      </w:r>
      <w:r>
        <w:rPr>
          <w:rFonts w:hint="eastAsia" w:ascii="宋体" w:hAnsi="宋体"/>
        </w:rPr>
        <w:t>e”表示；第二层次表示产品金属铝，用分子式“Al”表示；第三层次表示稀土元素的名义质量分数，用 “X”来表示（X为阿拉伯数字）；第四层次表示杂质控制要求的差异，用“A”或“B”来表示。</w:t>
      </w:r>
    </w:p>
    <w:p>
      <w:pPr>
        <w:spacing w:line="360" w:lineRule="exact"/>
        <w:ind w:firstLine="429"/>
        <w:rPr>
          <w:rFonts w:ascii="宋体" w:hAnsi="宋体"/>
        </w:rPr>
      </w:pPr>
      <w:r>
        <w:pict>
          <v:shape id="_x0000_s1026" o:spid="_x0000_s1026" o:spt="75" type="#_x0000_t75" style="position:absolute;left:0pt;margin-left:77.55pt;margin-top:5pt;height:120.4pt;width:296.65pt;mso-wrap-distance-bottom:0pt;mso-wrap-distance-left:9pt;mso-wrap-distance-right:9pt;mso-wrap-distance-top:0pt;z-index:251666432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square"/>
          </v:shape>
          <o:OLEObject Type="Embed" ProgID="Visio.Drawing.15" ShapeID="_x0000_s1026" DrawAspect="Content" ObjectID="_1468075725" r:id="rId11">
            <o:LockedField>false</o:LockedField>
          </o:OLEObject>
        </w:pict>
      </w:r>
    </w:p>
    <w:p>
      <w:pPr>
        <w:spacing w:line="360" w:lineRule="exact"/>
        <w:ind w:firstLine="429"/>
        <w:rPr>
          <w:rFonts w:ascii="宋体" w:hAnsi="宋体"/>
        </w:rPr>
      </w:pPr>
    </w:p>
    <w:p>
      <w:pPr>
        <w:spacing w:line="360" w:lineRule="exact"/>
        <w:ind w:firstLine="429"/>
        <w:rPr>
          <w:rFonts w:ascii="宋体" w:hAnsi="宋体"/>
        </w:rPr>
      </w:pPr>
    </w:p>
    <w:p>
      <w:pPr>
        <w:spacing w:line="360" w:lineRule="exact"/>
        <w:ind w:firstLine="429"/>
        <w:rPr>
          <w:rFonts w:ascii="宋体" w:hAnsi="宋体"/>
        </w:rPr>
      </w:pPr>
    </w:p>
    <w:p>
      <w:pPr>
        <w:spacing w:line="360" w:lineRule="exact"/>
        <w:ind w:firstLine="429"/>
        <w:rPr>
          <w:rFonts w:ascii="宋体" w:hAnsi="宋体"/>
        </w:rPr>
      </w:pPr>
    </w:p>
    <w:p>
      <w:pPr>
        <w:spacing w:line="360" w:lineRule="exact"/>
        <w:ind w:firstLine="429"/>
        <w:rPr>
          <w:rFonts w:ascii="宋体" w:hAnsi="宋体"/>
        </w:rPr>
      </w:pPr>
    </w:p>
    <w:p>
      <w:pPr>
        <w:spacing w:line="360" w:lineRule="exact"/>
        <w:ind w:firstLine="429"/>
        <w:rPr>
          <w:rFonts w:ascii="宋体" w:hAnsi="宋体"/>
        </w:rPr>
      </w:pPr>
    </w:p>
    <w:p>
      <w:pPr>
        <w:spacing w:line="360" w:lineRule="exact"/>
        <w:ind w:firstLine="429"/>
        <w:rPr>
          <w:rFonts w:ascii="宋体" w:hAnsi="宋体"/>
        </w:rPr>
      </w:pPr>
    </w:p>
    <w:p>
      <w:pPr>
        <w:spacing w:line="360" w:lineRule="exact"/>
        <w:ind w:firstLine="420" w:firstLineChars="200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牌号示例：LaCeAl-20A表示</w:t>
      </w:r>
      <w:r>
        <w:rPr>
          <w:rFonts w:hint="eastAsia"/>
          <w:color w:val="000000"/>
          <w:kern w:val="0"/>
          <w:szCs w:val="21"/>
        </w:rPr>
        <w:t>稀土镧铈含量为2</w:t>
      </w:r>
      <w:r>
        <w:rPr>
          <w:color w:val="000000"/>
          <w:kern w:val="0"/>
          <w:szCs w:val="21"/>
        </w:rPr>
        <w:t>0%</w:t>
      </w:r>
      <w:r>
        <w:rPr>
          <w:rFonts w:hint="eastAsia"/>
          <w:color w:val="000000"/>
          <w:kern w:val="0"/>
          <w:szCs w:val="21"/>
        </w:rPr>
        <w:t>且杂质控制A级的镧铈铝合金</w:t>
      </w:r>
      <w:r>
        <w:rPr>
          <w:color w:val="000000"/>
          <w:kern w:val="0"/>
          <w:szCs w:val="21"/>
        </w:rPr>
        <w:t>。</w:t>
      </w:r>
    </w:p>
    <w:p>
      <w:pPr>
        <w:spacing w:before="312" w:beforeLines="100" w:after="312" w:afterLines="100"/>
        <w:rPr>
          <w:rFonts w:eastAsia="黑体"/>
          <w:bCs/>
          <w:szCs w:val="21"/>
        </w:rPr>
      </w:pPr>
      <w:r>
        <w:rPr>
          <w:rFonts w:hint="eastAsia" w:eastAsia="黑体"/>
          <w:bCs/>
          <w:szCs w:val="21"/>
        </w:rPr>
        <w:t>5</w:t>
      </w:r>
      <w:r>
        <w:rPr>
          <w:rFonts w:eastAsia="黑体"/>
          <w:bCs/>
          <w:szCs w:val="21"/>
        </w:rPr>
        <w:t xml:space="preserve"> </w:t>
      </w:r>
      <w:r>
        <w:rPr>
          <w:rFonts w:hint="eastAsia" w:eastAsia="黑体"/>
          <w:bCs/>
          <w:szCs w:val="21"/>
        </w:rPr>
        <w:t>技术要求</w:t>
      </w:r>
    </w:p>
    <w:p>
      <w:pPr>
        <w:adjustRightInd w:val="0"/>
        <w:snapToGrid w:val="0"/>
        <w:spacing w:before="156" w:beforeLines="50" w:after="156" w:afterLines="50"/>
        <w:rPr>
          <w:rFonts w:eastAsia="黑体"/>
          <w:bCs/>
          <w:szCs w:val="21"/>
        </w:rPr>
      </w:pPr>
      <w:r>
        <w:rPr>
          <w:rFonts w:eastAsia="黑体"/>
          <w:bCs/>
          <w:szCs w:val="21"/>
        </w:rPr>
        <w:t>5.1</w:t>
      </w:r>
      <w:r>
        <w:rPr>
          <w:rFonts w:hint="eastAsia" w:eastAsia="黑体"/>
          <w:bCs/>
          <w:szCs w:val="21"/>
        </w:rPr>
        <w:t xml:space="preserve">  化学成分</w:t>
      </w:r>
    </w:p>
    <w:p>
      <w:pPr>
        <w:spacing w:line="360" w:lineRule="exact"/>
        <w:ind w:firstLine="420" w:firstLineChars="200"/>
        <w:rPr>
          <w:rFonts w:hAnsi="宋体"/>
        </w:rPr>
      </w:pPr>
      <w:r>
        <w:rPr>
          <w:rFonts w:hint="eastAsia"/>
          <w:bCs/>
          <w:color w:val="000000"/>
          <w:szCs w:val="21"/>
        </w:rPr>
        <w:t>产品的</w:t>
      </w:r>
      <w:r>
        <w:rPr>
          <w:rFonts w:hint="eastAsia"/>
          <w:color w:val="000000"/>
        </w:rPr>
        <w:t>化学成分应符合表</w:t>
      </w:r>
      <w:r>
        <w:rPr>
          <w:color w:val="000000"/>
        </w:rPr>
        <w:t>1</w:t>
      </w:r>
      <w:r>
        <w:rPr>
          <w:rFonts w:hint="eastAsia"/>
          <w:color w:val="000000"/>
        </w:rPr>
        <w:t>的规定。</w:t>
      </w:r>
      <w:r>
        <w:rPr>
          <w:rFonts w:hint="eastAsia" w:hAnsi="宋体"/>
        </w:rPr>
        <w:t>需方如有特殊要求，供需双方可另行协商。</w:t>
      </w:r>
    </w:p>
    <w:p>
      <w:pPr>
        <w:spacing w:line="360" w:lineRule="exact"/>
        <w:ind w:firstLine="420" w:firstLineChars="200"/>
        <w:jc w:val="center"/>
        <w:rPr>
          <w:rFonts w:ascii="黑体" w:eastAsia="黑体"/>
          <w:color w:val="000000"/>
        </w:rPr>
      </w:pPr>
      <w:r>
        <w:rPr>
          <w:rFonts w:hint="eastAsia" w:ascii="黑体" w:eastAsia="黑体"/>
          <w:color w:val="000000"/>
        </w:rPr>
        <w:t>表1</w:t>
      </w:r>
      <w:r>
        <w:rPr>
          <w:rFonts w:ascii="黑体" w:eastAsia="黑体"/>
          <w:color w:val="000000"/>
        </w:rPr>
        <w:t xml:space="preserve"> </w:t>
      </w:r>
      <w:r>
        <w:rPr>
          <w:rFonts w:hint="eastAsia" w:ascii="黑体" w:eastAsia="黑体"/>
          <w:color w:val="000000"/>
        </w:rPr>
        <w:t>产品化学成分</w:t>
      </w:r>
    </w:p>
    <w:tbl>
      <w:tblPr>
        <w:tblStyle w:val="12"/>
        <w:tblW w:w="4808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411"/>
        <w:gridCol w:w="346"/>
        <w:gridCol w:w="801"/>
        <w:gridCol w:w="849"/>
        <w:gridCol w:w="824"/>
        <w:gridCol w:w="824"/>
        <w:gridCol w:w="962"/>
        <w:gridCol w:w="820"/>
        <w:gridCol w:w="826"/>
        <w:gridCol w:w="850"/>
        <w:gridCol w:w="8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tblHeader/>
          <w:jc w:val="center"/>
        </w:trPr>
        <w:tc>
          <w:tcPr>
            <w:tcW w:w="1143" w:type="pct"/>
            <w:gridSpan w:val="4"/>
            <w:tcBorders>
              <w:top w:val="single" w:color="auto" w:sz="18" w:space="0"/>
              <w:left w:val="single" w:color="auto" w:sz="18" w:space="0"/>
              <w:bottom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产品牌号</w:t>
            </w:r>
          </w:p>
        </w:tc>
        <w:tc>
          <w:tcPr>
            <w:tcW w:w="481" w:type="pct"/>
            <w:tcBorders>
              <w:top w:val="single" w:color="auto" w:sz="18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LaCeAl–20A</w:t>
            </w:r>
          </w:p>
        </w:tc>
        <w:tc>
          <w:tcPr>
            <w:tcW w:w="467" w:type="pct"/>
            <w:tcBorders>
              <w:top w:val="single" w:color="auto" w:sz="18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LaCeAl–20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467" w:type="pct"/>
            <w:tcBorders>
              <w:top w:val="single" w:color="auto" w:sz="18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LaCeAl–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15</w:t>
            </w:r>
            <w:r>
              <w:rPr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545" w:type="pct"/>
            <w:tcBorders>
              <w:top w:val="single" w:color="auto" w:sz="18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LaCeAl–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15B</w:t>
            </w:r>
          </w:p>
        </w:tc>
        <w:tc>
          <w:tcPr>
            <w:tcW w:w="465" w:type="pct"/>
            <w:tcBorders>
              <w:top w:val="single" w:color="auto" w:sz="18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LaCeAl–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color w:val="000000"/>
                <w:kern w:val="0"/>
                <w:sz w:val="18"/>
                <w:szCs w:val="18"/>
              </w:rPr>
              <w:t>0A</w:t>
            </w:r>
          </w:p>
        </w:tc>
        <w:tc>
          <w:tcPr>
            <w:tcW w:w="468" w:type="pct"/>
            <w:tcBorders>
              <w:top w:val="single" w:color="auto" w:sz="18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LaCeAl–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482" w:type="pct"/>
            <w:tcBorders>
              <w:top w:val="single" w:color="auto" w:sz="18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LaCeAl–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482" w:type="pct"/>
            <w:tcBorders>
              <w:top w:val="single" w:color="auto" w:sz="18" w:space="0"/>
              <w:bottom w:val="single" w:color="auto" w:sz="6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LaCeAl–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5B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260" w:type="pct"/>
            <w:vMerge w:val="restart"/>
            <w:tcBorders>
              <w:top w:val="single" w:color="auto" w:sz="6" w:space="0"/>
              <w:left w:val="single" w:color="auto" w:sz="18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化学成分（质量分数）/%</w:t>
            </w:r>
          </w:p>
        </w:tc>
        <w:tc>
          <w:tcPr>
            <w:tcW w:w="883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La+Ce</w:t>
            </w:r>
          </w:p>
        </w:tc>
        <w:tc>
          <w:tcPr>
            <w:tcW w:w="481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20±1</w:t>
            </w:r>
          </w:p>
        </w:tc>
        <w:tc>
          <w:tcPr>
            <w:tcW w:w="467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20±</w:t>
            </w:r>
            <w:r>
              <w:rPr>
                <w:rFonts w:hint="eastAsia"/>
                <w:color w:val="000000"/>
                <w:sz w:val="18"/>
              </w:rPr>
              <w:t>2</w:t>
            </w:r>
          </w:p>
        </w:tc>
        <w:tc>
          <w:tcPr>
            <w:tcW w:w="467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</w:rPr>
              <w:t>15</w:t>
            </w:r>
            <w:r>
              <w:rPr>
                <w:color w:val="000000"/>
                <w:sz w:val="18"/>
              </w:rPr>
              <w:t>±1</w:t>
            </w:r>
          </w:p>
        </w:tc>
        <w:tc>
          <w:tcPr>
            <w:tcW w:w="54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</w:rPr>
              <w:t>15</w:t>
            </w:r>
            <w:r>
              <w:rPr>
                <w:color w:val="000000"/>
                <w:sz w:val="18"/>
              </w:rPr>
              <w:t>±</w:t>
            </w:r>
            <w:r>
              <w:rPr>
                <w:rFonts w:hint="eastAsia"/>
                <w:color w:val="000000"/>
                <w:sz w:val="18"/>
              </w:rPr>
              <w:t>2</w:t>
            </w:r>
          </w:p>
        </w:tc>
        <w:tc>
          <w:tcPr>
            <w:tcW w:w="46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</w:rPr>
              <w:t>1</w:t>
            </w:r>
            <w:r>
              <w:rPr>
                <w:color w:val="000000"/>
                <w:sz w:val="18"/>
              </w:rPr>
              <w:t>0±1</w:t>
            </w:r>
          </w:p>
        </w:tc>
        <w:tc>
          <w:tcPr>
            <w:tcW w:w="468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</w:rPr>
              <w:t>1</w:t>
            </w:r>
            <w:r>
              <w:rPr>
                <w:color w:val="000000"/>
                <w:sz w:val="18"/>
              </w:rPr>
              <w:t>0±</w:t>
            </w:r>
            <w:r>
              <w:rPr>
                <w:rFonts w:hint="eastAsia"/>
                <w:color w:val="000000"/>
                <w:sz w:val="18"/>
              </w:rPr>
              <w:t>2</w:t>
            </w:r>
          </w:p>
        </w:tc>
        <w:tc>
          <w:tcPr>
            <w:tcW w:w="482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</w:rPr>
              <w:t>5</w:t>
            </w:r>
            <w:r>
              <w:rPr>
                <w:color w:val="000000"/>
                <w:sz w:val="18"/>
              </w:rPr>
              <w:t>±1</w:t>
            </w:r>
          </w:p>
        </w:tc>
        <w:tc>
          <w:tcPr>
            <w:tcW w:w="482" w:type="pct"/>
            <w:tcBorders>
              <w:top w:val="single" w:color="auto" w:sz="6" w:space="0"/>
              <w:bottom w:val="single" w:color="auto" w:sz="6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</w:rPr>
              <w:t>5</w:t>
            </w:r>
            <w:r>
              <w:rPr>
                <w:color w:val="000000"/>
                <w:sz w:val="18"/>
              </w:rPr>
              <w:t>±</w:t>
            </w:r>
            <w:r>
              <w:rPr>
                <w:rFonts w:hint="eastAsia"/>
                <w:color w:val="000000"/>
                <w:sz w:val="18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260" w:type="pct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3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Al</w:t>
            </w:r>
          </w:p>
        </w:tc>
        <w:tc>
          <w:tcPr>
            <w:tcW w:w="481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余量</w:t>
            </w:r>
          </w:p>
        </w:tc>
        <w:tc>
          <w:tcPr>
            <w:tcW w:w="467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color w:val="000000"/>
                <w:sz w:val="18"/>
              </w:rPr>
              <w:t>余量</w:t>
            </w:r>
          </w:p>
        </w:tc>
        <w:tc>
          <w:tcPr>
            <w:tcW w:w="467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color w:val="000000"/>
                <w:sz w:val="18"/>
              </w:rPr>
              <w:t>余量</w:t>
            </w:r>
          </w:p>
        </w:tc>
        <w:tc>
          <w:tcPr>
            <w:tcW w:w="54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color w:val="000000"/>
                <w:sz w:val="18"/>
              </w:rPr>
              <w:t>余量</w:t>
            </w:r>
          </w:p>
        </w:tc>
        <w:tc>
          <w:tcPr>
            <w:tcW w:w="46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color w:val="000000"/>
                <w:sz w:val="18"/>
              </w:rPr>
              <w:t>余量</w:t>
            </w:r>
          </w:p>
        </w:tc>
        <w:tc>
          <w:tcPr>
            <w:tcW w:w="468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color w:val="000000"/>
                <w:sz w:val="18"/>
              </w:rPr>
              <w:t>余量</w:t>
            </w:r>
          </w:p>
        </w:tc>
        <w:tc>
          <w:tcPr>
            <w:tcW w:w="482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color w:val="000000"/>
                <w:sz w:val="18"/>
              </w:rPr>
              <w:t>余量</w:t>
            </w:r>
          </w:p>
        </w:tc>
        <w:tc>
          <w:tcPr>
            <w:tcW w:w="482" w:type="pct"/>
            <w:tcBorders>
              <w:top w:val="single" w:color="auto" w:sz="6" w:space="0"/>
              <w:bottom w:val="single" w:color="auto" w:sz="6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color w:val="000000"/>
                <w:sz w:val="18"/>
              </w:rPr>
              <w:t>余量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260" w:type="pct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3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（La+Ce）/RE，不小于</w:t>
            </w:r>
          </w:p>
        </w:tc>
        <w:tc>
          <w:tcPr>
            <w:tcW w:w="481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99.9</w:t>
            </w:r>
          </w:p>
        </w:tc>
        <w:tc>
          <w:tcPr>
            <w:tcW w:w="467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99.5</w:t>
            </w:r>
          </w:p>
        </w:tc>
        <w:tc>
          <w:tcPr>
            <w:tcW w:w="467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99.9</w:t>
            </w:r>
          </w:p>
        </w:tc>
        <w:tc>
          <w:tcPr>
            <w:tcW w:w="54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99.5</w:t>
            </w:r>
          </w:p>
        </w:tc>
        <w:tc>
          <w:tcPr>
            <w:tcW w:w="46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99.9</w:t>
            </w:r>
          </w:p>
        </w:tc>
        <w:tc>
          <w:tcPr>
            <w:tcW w:w="468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99. 5</w:t>
            </w:r>
          </w:p>
        </w:tc>
        <w:tc>
          <w:tcPr>
            <w:tcW w:w="482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99.9</w:t>
            </w:r>
          </w:p>
        </w:tc>
        <w:tc>
          <w:tcPr>
            <w:tcW w:w="482" w:type="pct"/>
            <w:tcBorders>
              <w:top w:val="single" w:color="auto" w:sz="6" w:space="0"/>
              <w:bottom w:val="single" w:color="auto" w:sz="6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99.5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260" w:type="pct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" w:type="pct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杂质含量，不大于</w:t>
            </w:r>
          </w:p>
        </w:tc>
        <w:tc>
          <w:tcPr>
            <w:tcW w:w="650" w:type="pct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稀土杂质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/RE，不大于</w:t>
            </w:r>
          </w:p>
        </w:tc>
        <w:tc>
          <w:tcPr>
            <w:tcW w:w="481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467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  <w:tc>
          <w:tcPr>
            <w:tcW w:w="467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0.075</w:t>
            </w:r>
          </w:p>
        </w:tc>
        <w:tc>
          <w:tcPr>
            <w:tcW w:w="54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0.075</w:t>
            </w:r>
          </w:p>
        </w:tc>
        <w:tc>
          <w:tcPr>
            <w:tcW w:w="46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0.050</w:t>
            </w:r>
          </w:p>
        </w:tc>
        <w:tc>
          <w:tcPr>
            <w:tcW w:w="468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0.050</w:t>
            </w:r>
          </w:p>
        </w:tc>
        <w:tc>
          <w:tcPr>
            <w:tcW w:w="482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0.025</w:t>
            </w:r>
          </w:p>
        </w:tc>
        <w:tc>
          <w:tcPr>
            <w:tcW w:w="482" w:type="pct"/>
            <w:tcBorders>
              <w:top w:val="single" w:color="auto" w:sz="6" w:space="0"/>
              <w:bottom w:val="single" w:color="auto" w:sz="6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0.025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260" w:type="pct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" w:type="pct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非稀土杂质</w:t>
            </w:r>
          </w:p>
        </w:tc>
        <w:tc>
          <w:tcPr>
            <w:tcW w:w="454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Si</w:t>
            </w:r>
          </w:p>
        </w:tc>
        <w:tc>
          <w:tcPr>
            <w:tcW w:w="481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0.050</w:t>
            </w:r>
          </w:p>
        </w:tc>
        <w:tc>
          <w:tcPr>
            <w:tcW w:w="467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0.10</w:t>
            </w:r>
          </w:p>
        </w:tc>
        <w:tc>
          <w:tcPr>
            <w:tcW w:w="467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0.050</w:t>
            </w:r>
          </w:p>
        </w:tc>
        <w:tc>
          <w:tcPr>
            <w:tcW w:w="54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0.10</w:t>
            </w:r>
          </w:p>
        </w:tc>
        <w:tc>
          <w:tcPr>
            <w:tcW w:w="46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0.050</w:t>
            </w:r>
          </w:p>
        </w:tc>
        <w:tc>
          <w:tcPr>
            <w:tcW w:w="468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0.10</w:t>
            </w:r>
          </w:p>
        </w:tc>
        <w:tc>
          <w:tcPr>
            <w:tcW w:w="482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0.050</w:t>
            </w:r>
          </w:p>
        </w:tc>
        <w:tc>
          <w:tcPr>
            <w:tcW w:w="482" w:type="pct"/>
            <w:tcBorders>
              <w:top w:val="single" w:color="auto" w:sz="6" w:space="0"/>
              <w:bottom w:val="single" w:color="auto" w:sz="6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0.10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260" w:type="pct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" w:type="pct"/>
            <w:vMerge w:val="continue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Fe</w:t>
            </w:r>
          </w:p>
        </w:tc>
        <w:tc>
          <w:tcPr>
            <w:tcW w:w="481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0.1</w:t>
            </w:r>
            <w:r>
              <w:rPr>
                <w:rFonts w:hint="eastAsia"/>
                <w:color w:val="000000"/>
                <w:sz w:val="18"/>
              </w:rPr>
              <w:t>0</w:t>
            </w:r>
          </w:p>
        </w:tc>
        <w:tc>
          <w:tcPr>
            <w:tcW w:w="467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0.30</w:t>
            </w:r>
          </w:p>
        </w:tc>
        <w:tc>
          <w:tcPr>
            <w:tcW w:w="467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0.1</w:t>
            </w:r>
            <w:r>
              <w:rPr>
                <w:rFonts w:hint="eastAsia"/>
                <w:color w:val="000000"/>
                <w:sz w:val="18"/>
              </w:rPr>
              <w:t>0</w:t>
            </w:r>
          </w:p>
        </w:tc>
        <w:tc>
          <w:tcPr>
            <w:tcW w:w="54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0.30</w:t>
            </w:r>
          </w:p>
        </w:tc>
        <w:tc>
          <w:tcPr>
            <w:tcW w:w="46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0.1</w:t>
            </w:r>
            <w:r>
              <w:rPr>
                <w:rFonts w:hint="eastAsia"/>
                <w:color w:val="000000"/>
                <w:sz w:val="18"/>
              </w:rPr>
              <w:t>0</w:t>
            </w:r>
          </w:p>
        </w:tc>
        <w:tc>
          <w:tcPr>
            <w:tcW w:w="468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0.30</w:t>
            </w:r>
          </w:p>
        </w:tc>
        <w:tc>
          <w:tcPr>
            <w:tcW w:w="482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0.1</w:t>
            </w:r>
            <w:r>
              <w:rPr>
                <w:rFonts w:hint="eastAsia"/>
                <w:color w:val="000000"/>
                <w:sz w:val="18"/>
              </w:rPr>
              <w:t>0</w:t>
            </w:r>
          </w:p>
        </w:tc>
        <w:tc>
          <w:tcPr>
            <w:tcW w:w="482" w:type="pct"/>
            <w:tcBorders>
              <w:top w:val="single" w:color="auto" w:sz="6" w:space="0"/>
              <w:bottom w:val="single" w:color="auto" w:sz="6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0.30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260" w:type="pct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" w:type="pct"/>
            <w:vMerge w:val="continue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Mg</w:t>
            </w:r>
          </w:p>
        </w:tc>
        <w:tc>
          <w:tcPr>
            <w:tcW w:w="3857" w:type="pct"/>
            <w:gridSpan w:val="8"/>
            <w:tcBorders>
              <w:top w:val="single" w:color="auto" w:sz="6" w:space="0"/>
              <w:bottom w:val="single" w:color="auto" w:sz="6" w:space="0"/>
              <w:right w:val="single" w:color="auto" w:sz="18" w:space="0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260" w:type="pct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" w:type="pct"/>
            <w:vMerge w:val="continue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Ca</w:t>
            </w:r>
          </w:p>
        </w:tc>
        <w:tc>
          <w:tcPr>
            <w:tcW w:w="3857" w:type="pct"/>
            <w:gridSpan w:val="8"/>
            <w:tcBorders>
              <w:top w:val="single" w:color="auto" w:sz="6" w:space="0"/>
              <w:bottom w:val="single" w:color="auto" w:sz="6" w:space="0"/>
              <w:right w:val="single" w:color="auto" w:sz="18" w:space="0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260" w:type="pct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Cu</w:t>
            </w:r>
          </w:p>
        </w:tc>
        <w:tc>
          <w:tcPr>
            <w:tcW w:w="3857" w:type="pct"/>
            <w:gridSpan w:val="8"/>
            <w:tcBorders>
              <w:top w:val="single" w:color="auto" w:sz="6" w:space="0"/>
              <w:bottom w:val="single" w:color="auto" w:sz="6" w:space="0"/>
              <w:right w:val="single" w:color="auto" w:sz="1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260" w:type="pct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Zn</w:t>
            </w:r>
          </w:p>
        </w:tc>
        <w:tc>
          <w:tcPr>
            <w:tcW w:w="3857" w:type="pct"/>
            <w:gridSpan w:val="8"/>
            <w:tcBorders>
              <w:top w:val="single" w:color="auto" w:sz="6" w:space="0"/>
              <w:bottom w:val="single" w:color="auto" w:sz="6" w:space="0"/>
              <w:right w:val="single" w:color="auto" w:sz="1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260" w:type="pct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3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3857" w:type="pct"/>
            <w:gridSpan w:val="8"/>
            <w:tcBorders>
              <w:top w:val="single" w:color="auto" w:sz="6" w:space="0"/>
              <w:bottom w:val="single" w:color="auto" w:sz="6" w:space="0"/>
              <w:right w:val="single" w:color="auto" w:sz="18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0.05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5000" w:type="pct"/>
            <w:gridSpan w:val="1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Ansi="宋体"/>
                <w:color w:val="000000"/>
                <w:sz w:val="18"/>
              </w:rPr>
            </w:pPr>
            <w:r>
              <w:rPr>
                <w:rFonts w:hint="eastAsia" w:hAnsi="宋体"/>
                <w:b/>
                <w:color w:val="000000"/>
                <w:sz w:val="18"/>
              </w:rPr>
              <w:t>注</w:t>
            </w:r>
            <w:r>
              <w:rPr>
                <w:rFonts w:hint="eastAsia" w:hAnsi="宋体"/>
                <w:color w:val="000000"/>
                <w:sz w:val="18"/>
              </w:rPr>
              <w:t>：1. 稀土杂质是指除</w:t>
            </w:r>
            <w:r>
              <w:rPr>
                <w:rFonts w:hAnsi="宋体"/>
                <w:color w:val="000000"/>
                <w:sz w:val="18"/>
              </w:rPr>
              <w:t>La</w:t>
            </w:r>
            <w:r>
              <w:rPr>
                <w:rFonts w:hint="eastAsia" w:hAnsi="宋体"/>
                <w:color w:val="000000"/>
                <w:sz w:val="18"/>
              </w:rPr>
              <w:t>、</w:t>
            </w:r>
            <w:r>
              <w:rPr>
                <w:rFonts w:hAnsi="宋体"/>
                <w:color w:val="000000"/>
                <w:sz w:val="18"/>
              </w:rPr>
              <w:t>Ce</w:t>
            </w:r>
            <w:r>
              <w:rPr>
                <w:rFonts w:hint="eastAsia" w:hAnsi="宋体"/>
                <w:color w:val="000000"/>
                <w:sz w:val="18"/>
              </w:rPr>
              <w:t>、</w:t>
            </w:r>
            <w:r>
              <w:rPr>
                <w:rFonts w:hAnsi="宋体"/>
                <w:color w:val="000000"/>
                <w:sz w:val="18"/>
              </w:rPr>
              <w:t>Pm</w:t>
            </w:r>
            <w:r>
              <w:rPr>
                <w:rFonts w:hint="eastAsia" w:hAnsi="宋体"/>
                <w:color w:val="000000"/>
                <w:sz w:val="18"/>
              </w:rPr>
              <w:t>、</w:t>
            </w:r>
            <w:r>
              <w:rPr>
                <w:rFonts w:hAnsi="宋体"/>
                <w:color w:val="000000"/>
                <w:sz w:val="18"/>
              </w:rPr>
              <w:t>Sc</w:t>
            </w:r>
            <w:r>
              <w:rPr>
                <w:rFonts w:hint="eastAsia" w:hAnsi="宋体"/>
                <w:color w:val="000000"/>
                <w:sz w:val="18"/>
              </w:rPr>
              <w:t>以外的所有稀土元素的总量；</w:t>
            </w:r>
          </w:p>
          <w:p>
            <w:pPr>
              <w:widowControl/>
              <w:adjustRightInd w:val="0"/>
              <w:snapToGrid w:val="0"/>
              <w:ind w:firstLine="360" w:firstLineChars="200"/>
              <w:jc w:val="left"/>
              <w:rPr>
                <w:rFonts w:hAnsi="宋体"/>
                <w:color w:val="000000"/>
                <w:sz w:val="18"/>
              </w:rPr>
            </w:pPr>
            <w:r>
              <w:rPr>
                <w:rFonts w:hint="eastAsia" w:hAnsi="宋体"/>
                <w:color w:val="000000"/>
                <w:sz w:val="18"/>
              </w:rPr>
              <w:t>2.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hAnsi="宋体"/>
                <w:color w:val="000000"/>
                <w:sz w:val="18"/>
              </w:rPr>
              <w:t>镧铈配分为35：65±2；</w:t>
            </w:r>
          </w:p>
          <w:p>
            <w:pPr>
              <w:widowControl/>
              <w:adjustRightInd w:val="0"/>
              <w:snapToGrid w:val="0"/>
              <w:ind w:firstLine="360" w:firstLineChars="200"/>
              <w:jc w:val="left"/>
              <w:rPr>
                <w:sz w:val="18"/>
                <w:szCs w:val="18"/>
              </w:rPr>
            </w:pPr>
            <w:r>
              <w:rPr>
                <w:rFonts w:hint="eastAsia" w:hAnsi="宋体"/>
                <w:color w:val="000000"/>
                <w:sz w:val="18"/>
              </w:rPr>
              <w:t>3</w:t>
            </w:r>
            <w:r>
              <w:rPr>
                <w:rFonts w:hAnsi="宋体"/>
                <w:color w:val="000000"/>
                <w:sz w:val="18"/>
              </w:rPr>
              <w:t>.</w:t>
            </w:r>
            <w:r>
              <w:rPr>
                <w:rFonts w:hint="eastAsia" w:hAnsi="宋体"/>
                <w:color w:val="000000"/>
                <w:sz w:val="18"/>
                <w:lang w:val="en-US" w:eastAsia="zh-CN"/>
              </w:rPr>
              <w:t xml:space="preserve"> </w:t>
            </w:r>
            <w:r>
              <w:rPr>
                <w:rFonts w:hint="eastAsia" w:hAnsi="宋体"/>
                <w:color w:val="000000"/>
                <w:sz w:val="18"/>
              </w:rPr>
              <w:t>除表上所列杂质元素以外其余杂质含量合量不超过0</w:t>
            </w:r>
            <w:r>
              <w:rPr>
                <w:rFonts w:hAnsi="宋体"/>
                <w:color w:val="000000"/>
                <w:sz w:val="18"/>
              </w:rPr>
              <w:t>.03%</w:t>
            </w:r>
            <w:r>
              <w:rPr>
                <w:rFonts w:hint="eastAsia" w:hAnsi="宋体"/>
                <w:color w:val="000000"/>
                <w:sz w:val="18"/>
              </w:rPr>
              <w:t>。</w:t>
            </w:r>
          </w:p>
        </w:tc>
      </w:tr>
    </w:tbl>
    <w:p>
      <w:pPr>
        <w:adjustRightInd w:val="0"/>
        <w:snapToGrid w:val="0"/>
        <w:spacing w:before="156" w:beforeLines="50" w:after="156" w:afterLines="50"/>
        <w:rPr>
          <w:rFonts w:eastAsia="黑体"/>
          <w:bCs/>
          <w:szCs w:val="21"/>
        </w:rPr>
      </w:pPr>
    </w:p>
    <w:p>
      <w:pPr>
        <w:adjustRightInd w:val="0"/>
        <w:snapToGrid w:val="0"/>
        <w:spacing w:before="156" w:beforeLines="50" w:after="156" w:afterLines="50"/>
        <w:rPr>
          <w:rFonts w:eastAsia="黑体"/>
          <w:bCs/>
          <w:szCs w:val="21"/>
        </w:rPr>
      </w:pPr>
      <w:r>
        <w:rPr>
          <w:rFonts w:eastAsia="黑体"/>
          <w:bCs/>
          <w:szCs w:val="21"/>
        </w:rPr>
        <w:t>5.2</w:t>
      </w:r>
      <w:r>
        <w:rPr>
          <w:rFonts w:hint="eastAsia" w:eastAsia="黑体"/>
          <w:bCs/>
          <w:szCs w:val="21"/>
        </w:rPr>
        <w:t xml:space="preserve">  外观</w:t>
      </w:r>
    </w:p>
    <w:p>
      <w:pPr>
        <w:spacing w:line="360" w:lineRule="exact"/>
        <w:rPr>
          <w:color w:val="000000"/>
        </w:rPr>
      </w:pPr>
      <w:r>
        <w:rPr>
          <w:color w:val="000000"/>
          <w:szCs w:val="21"/>
        </w:rPr>
        <w:t>5.2.1</w:t>
      </w:r>
      <w:r>
        <w:rPr>
          <w:rFonts w:hint="eastAsia"/>
          <w:color w:val="000000"/>
        </w:rPr>
        <w:t>产品为铸态合金。</w:t>
      </w:r>
    </w:p>
    <w:p>
      <w:pPr>
        <w:spacing w:line="360" w:lineRule="exact"/>
        <w:rPr>
          <w:color w:val="000000"/>
        </w:rPr>
      </w:pPr>
      <w:r>
        <w:rPr>
          <w:color w:val="000000"/>
          <w:szCs w:val="21"/>
        </w:rPr>
        <w:t>5.2.2</w:t>
      </w:r>
      <w:r>
        <w:rPr>
          <w:rFonts w:hint="eastAsia"/>
          <w:color w:val="000000"/>
          <w:szCs w:val="21"/>
        </w:rPr>
        <w:t>产品表面及其断口均呈银灰色，应洁净，</w:t>
      </w:r>
      <w:r>
        <w:rPr>
          <w:rFonts w:hint="eastAsia"/>
          <w:color w:val="000000"/>
        </w:rPr>
        <w:t>无可见的夹杂物和氧化脱落粉末。</w:t>
      </w:r>
    </w:p>
    <w:p>
      <w:pPr>
        <w:spacing w:before="312" w:beforeLines="100" w:after="312" w:afterLines="100"/>
        <w:rPr>
          <w:rFonts w:eastAsia="黑体"/>
          <w:bCs/>
          <w:szCs w:val="21"/>
        </w:rPr>
      </w:pPr>
      <w:r>
        <w:rPr>
          <w:rFonts w:eastAsia="黑体"/>
          <w:bCs/>
          <w:szCs w:val="21"/>
        </w:rPr>
        <w:t>6</w:t>
      </w:r>
      <w:r>
        <w:rPr>
          <w:rFonts w:hint="eastAsia" w:eastAsia="黑体"/>
          <w:bCs/>
          <w:szCs w:val="21"/>
        </w:rPr>
        <w:t xml:space="preserve">   试验方法</w:t>
      </w:r>
    </w:p>
    <w:p>
      <w:pPr>
        <w:adjustRightInd w:val="0"/>
        <w:snapToGrid w:val="0"/>
        <w:spacing w:before="156" w:beforeLines="50" w:after="156" w:afterLines="50"/>
        <w:rPr>
          <w:rFonts w:eastAsia="黑体"/>
          <w:bCs/>
          <w:szCs w:val="21"/>
        </w:rPr>
      </w:pPr>
      <w:r>
        <w:rPr>
          <w:rFonts w:eastAsia="黑体"/>
          <w:bCs/>
          <w:szCs w:val="21"/>
        </w:rPr>
        <w:t>6</w:t>
      </w:r>
      <w:r>
        <w:rPr>
          <w:rFonts w:hint="eastAsia" w:eastAsia="黑体"/>
          <w:bCs/>
          <w:szCs w:val="21"/>
        </w:rPr>
        <w:t>.1  化学成分</w:t>
      </w:r>
    </w:p>
    <w:p>
      <w:pPr>
        <w:spacing w:line="360" w:lineRule="exact"/>
        <w:rPr>
          <w:rFonts w:hint="eastAsia" w:ascii="宋体" w:hAnsi="宋体" w:eastAsia="宋体"/>
          <w:color w:val="000000"/>
          <w:szCs w:val="21"/>
          <w:lang w:eastAsia="zh-CN"/>
        </w:rPr>
      </w:pPr>
      <w:r>
        <w:rPr>
          <w:rFonts w:ascii="宋体" w:hAnsi="宋体"/>
          <w:color w:val="000000"/>
          <w:szCs w:val="21"/>
        </w:rPr>
        <w:t>6</w:t>
      </w:r>
      <w:r>
        <w:rPr>
          <w:rFonts w:hint="eastAsia" w:ascii="宋体" w:hAnsi="宋体"/>
          <w:color w:val="000000"/>
          <w:szCs w:val="21"/>
        </w:rPr>
        <w:t>.1.1产品中稀土总量的分析方法按照</w:t>
      </w:r>
      <w:r>
        <w:rPr>
          <w:color w:val="000000"/>
        </w:rPr>
        <w:t>XB/T 629.2的</w:t>
      </w:r>
      <w:r>
        <w:rPr>
          <w:rFonts w:hint="eastAsia" w:ascii="宋体" w:hAnsi="宋体"/>
          <w:color w:val="000000"/>
          <w:szCs w:val="21"/>
        </w:rPr>
        <w:t>规定进行</w:t>
      </w:r>
      <w:r>
        <w:rPr>
          <w:rFonts w:hint="eastAsia" w:ascii="宋体" w:hAnsi="宋体"/>
          <w:color w:val="000000"/>
          <w:szCs w:val="21"/>
          <w:lang w:eastAsia="zh-CN"/>
        </w:rPr>
        <w:t>。</w:t>
      </w:r>
    </w:p>
    <w:p>
      <w:pPr>
        <w:spacing w:line="360" w:lineRule="exact"/>
        <w:rPr>
          <w:rFonts w:hint="eastAsia" w:ascii="宋体" w:hAnsi="宋体" w:eastAsia="宋体"/>
          <w:color w:val="000000"/>
          <w:szCs w:val="21"/>
          <w:lang w:eastAsia="zh-CN"/>
        </w:rPr>
      </w:pPr>
      <w:r>
        <w:rPr>
          <w:rFonts w:ascii="宋体" w:hAnsi="宋体"/>
          <w:color w:val="000000"/>
          <w:szCs w:val="21"/>
        </w:rPr>
        <w:t>6</w:t>
      </w:r>
      <w:r>
        <w:rPr>
          <w:rFonts w:hint="eastAsia" w:ascii="宋体" w:hAnsi="宋体"/>
          <w:color w:val="000000"/>
          <w:szCs w:val="21"/>
        </w:rPr>
        <w:t>.1.2 产品中稀土杂质含量的分析方法按照</w:t>
      </w:r>
      <w:r>
        <w:rPr>
          <w:color w:val="000000"/>
          <w:szCs w:val="21"/>
        </w:rPr>
        <w:t>GB/T 40795.2</w:t>
      </w:r>
      <w:r>
        <w:rPr>
          <w:rFonts w:hint="eastAsia" w:ascii="宋体" w:hAnsi="宋体"/>
          <w:color w:val="000000"/>
          <w:szCs w:val="21"/>
        </w:rPr>
        <w:t>的规定进行</w:t>
      </w:r>
      <w:r>
        <w:rPr>
          <w:rFonts w:hint="eastAsia" w:ascii="宋体" w:hAnsi="宋体"/>
          <w:color w:val="000000"/>
          <w:szCs w:val="21"/>
          <w:lang w:eastAsia="zh-CN"/>
        </w:rPr>
        <w:t>。</w:t>
      </w:r>
    </w:p>
    <w:p>
      <w:pPr>
        <w:spacing w:line="360" w:lineRule="exact"/>
        <w:rPr>
          <w:rFonts w:hint="eastAsia" w:ascii="宋体" w:hAnsi="宋体" w:eastAsia="宋体"/>
          <w:color w:val="000000"/>
          <w:sz w:val="24"/>
          <w:lang w:eastAsia="zh-CN"/>
        </w:rPr>
      </w:pPr>
      <w:r>
        <w:rPr>
          <w:rFonts w:ascii="宋体" w:hAnsi="宋体"/>
          <w:color w:val="000000"/>
          <w:szCs w:val="21"/>
        </w:rPr>
        <w:t>6</w:t>
      </w:r>
      <w:r>
        <w:rPr>
          <w:rFonts w:hint="eastAsia" w:ascii="宋体" w:hAnsi="宋体"/>
          <w:color w:val="000000"/>
          <w:szCs w:val="21"/>
        </w:rPr>
        <w:t>.1.3产品中其他稀土杂质及非</w:t>
      </w:r>
      <w:r>
        <w:rPr>
          <w:rFonts w:hint="eastAsia" w:ascii="宋体" w:hAnsi="宋体"/>
          <w:color w:val="000000"/>
        </w:rPr>
        <w:t>稀土杂质含量</w:t>
      </w:r>
      <w:r>
        <w:rPr>
          <w:rFonts w:hint="eastAsia" w:ascii="宋体" w:hAnsi="宋体"/>
          <w:color w:val="000000"/>
          <w:szCs w:val="21"/>
        </w:rPr>
        <w:t>的分析方法按供需双方协商确定的方法进行</w:t>
      </w:r>
      <w:r>
        <w:rPr>
          <w:rFonts w:hint="eastAsia" w:ascii="宋体" w:hAnsi="宋体"/>
          <w:color w:val="000000"/>
          <w:szCs w:val="21"/>
          <w:lang w:eastAsia="zh-CN"/>
        </w:rPr>
        <w:t>。</w:t>
      </w:r>
    </w:p>
    <w:p>
      <w:pPr>
        <w:adjustRightInd w:val="0"/>
        <w:snapToGrid w:val="0"/>
        <w:spacing w:line="360" w:lineRule="exac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6</w:t>
      </w:r>
      <w:r>
        <w:rPr>
          <w:rFonts w:hint="eastAsia" w:ascii="宋体" w:hAnsi="宋体"/>
          <w:color w:val="000000"/>
          <w:szCs w:val="21"/>
        </w:rPr>
        <w:t>.1.4 产品中碳的分析方法按照</w:t>
      </w:r>
      <w:r>
        <w:rPr>
          <w:color w:val="000000"/>
        </w:rPr>
        <w:t>GB/T 12690.1</w:t>
      </w:r>
      <w:r>
        <w:rPr>
          <w:rFonts w:hint="eastAsia" w:ascii="宋体" w:hAnsi="宋体"/>
          <w:color w:val="000000"/>
          <w:szCs w:val="21"/>
        </w:rPr>
        <w:t>的规定进行</w:t>
      </w:r>
      <w:r>
        <w:rPr>
          <w:rFonts w:hint="eastAsia" w:ascii="宋体" w:hAnsi="宋体"/>
          <w:color w:val="000000"/>
        </w:rPr>
        <w:t>。</w:t>
      </w:r>
    </w:p>
    <w:p>
      <w:pPr>
        <w:adjustRightInd w:val="0"/>
        <w:snapToGrid w:val="0"/>
        <w:spacing w:before="156" w:beforeLines="50" w:after="156" w:afterLines="50"/>
        <w:rPr>
          <w:rFonts w:eastAsia="黑体"/>
          <w:bCs/>
          <w:szCs w:val="21"/>
        </w:rPr>
      </w:pPr>
      <w:r>
        <w:rPr>
          <w:rFonts w:eastAsia="黑体"/>
          <w:bCs/>
          <w:szCs w:val="21"/>
        </w:rPr>
        <w:t>6</w:t>
      </w:r>
      <w:r>
        <w:rPr>
          <w:rFonts w:hint="eastAsia" w:eastAsia="黑体"/>
          <w:bCs/>
          <w:szCs w:val="21"/>
        </w:rPr>
        <w:t>.2  外观质量</w:t>
      </w:r>
    </w:p>
    <w:p>
      <w:pPr>
        <w:adjustRightInd w:val="0"/>
        <w:snapToGrid w:val="0"/>
        <w:spacing w:line="360" w:lineRule="exact"/>
        <w:ind w:firstLine="420" w:firstLineChars="200"/>
      </w:pPr>
      <w:r>
        <w:rPr>
          <w:rFonts w:hint="eastAsia"/>
        </w:rPr>
        <w:t>产品的外观用目视检查，按照GB/T 20967中目视检测规定进行。</w:t>
      </w:r>
    </w:p>
    <w:p>
      <w:pPr>
        <w:adjustRightInd w:val="0"/>
        <w:snapToGrid w:val="0"/>
        <w:spacing w:before="156" w:beforeLines="50" w:after="156" w:afterLines="50"/>
        <w:rPr>
          <w:rFonts w:eastAsia="黑体"/>
          <w:bCs/>
          <w:szCs w:val="21"/>
        </w:rPr>
      </w:pPr>
      <w:r>
        <w:rPr>
          <w:rFonts w:eastAsia="黑体"/>
          <w:bCs/>
          <w:szCs w:val="21"/>
        </w:rPr>
        <w:t>6</w:t>
      </w:r>
      <w:r>
        <w:rPr>
          <w:rFonts w:hint="eastAsia" w:eastAsia="黑体"/>
          <w:bCs/>
          <w:szCs w:val="21"/>
        </w:rPr>
        <w:t>.3  数值修约</w:t>
      </w:r>
    </w:p>
    <w:p>
      <w:pPr>
        <w:adjustRightInd w:val="0"/>
        <w:snapToGrid w:val="0"/>
        <w:spacing w:line="360" w:lineRule="exact"/>
        <w:ind w:firstLine="420" w:firstLineChars="200"/>
      </w:pPr>
      <w:r>
        <w:rPr>
          <w:rFonts w:hint="eastAsia" w:hAnsi="宋体"/>
        </w:rPr>
        <w:t>数值修约按</w:t>
      </w:r>
      <w:r>
        <w:t>GB/T 8170</w:t>
      </w:r>
      <w:r>
        <w:rPr>
          <w:rFonts w:hint="eastAsia" w:hAnsi="宋体"/>
        </w:rPr>
        <w:t>的规定进行。</w:t>
      </w:r>
    </w:p>
    <w:p>
      <w:pPr>
        <w:spacing w:before="312" w:beforeLines="100" w:after="312" w:afterLines="100"/>
        <w:rPr>
          <w:rFonts w:eastAsia="黑体"/>
          <w:bCs/>
          <w:szCs w:val="21"/>
        </w:rPr>
      </w:pPr>
      <w:r>
        <w:rPr>
          <w:rFonts w:eastAsia="黑体"/>
          <w:bCs/>
          <w:szCs w:val="21"/>
        </w:rPr>
        <w:t>7</w:t>
      </w:r>
      <w:r>
        <w:rPr>
          <w:rFonts w:hint="eastAsia" w:eastAsia="黑体"/>
          <w:bCs/>
          <w:szCs w:val="21"/>
        </w:rPr>
        <w:t xml:space="preserve">   检验</w:t>
      </w:r>
      <w:r>
        <w:rPr>
          <w:rFonts w:eastAsia="黑体"/>
          <w:bCs/>
          <w:szCs w:val="21"/>
        </w:rPr>
        <w:t>规则</w:t>
      </w:r>
    </w:p>
    <w:p>
      <w:pPr>
        <w:pStyle w:val="5"/>
        <w:spacing w:before="156" w:beforeLines="50" w:after="156" w:afterLines="50"/>
        <w:rPr>
          <w:rFonts w:ascii="Times New Roman" w:hAnsi="Times New Roman" w:eastAsia="黑体" w:cs="Times New Roman"/>
          <w:bCs/>
          <w:sz w:val="21"/>
          <w:szCs w:val="21"/>
          <w:lang w:eastAsia="zh-CN"/>
        </w:rPr>
      </w:pPr>
      <w:r>
        <w:rPr>
          <w:rFonts w:ascii="Times New Roman" w:hAnsi="Times New Roman" w:eastAsia="黑体" w:cs="Times New Roman"/>
          <w:bCs/>
          <w:sz w:val="21"/>
          <w:szCs w:val="21"/>
          <w:lang w:eastAsia="zh-CN"/>
        </w:rPr>
        <w:t>7</w:t>
      </w:r>
      <w:r>
        <w:rPr>
          <w:rFonts w:hint="eastAsia" w:ascii="Times New Roman" w:hAnsi="Times New Roman" w:eastAsia="黑体" w:cs="Times New Roman"/>
          <w:bCs/>
          <w:sz w:val="21"/>
          <w:szCs w:val="21"/>
          <w:lang w:eastAsia="zh-CN"/>
        </w:rPr>
        <w:t>.1  检查与验收</w:t>
      </w:r>
    </w:p>
    <w:p>
      <w:pPr>
        <w:spacing w:line="360" w:lineRule="exact"/>
        <w:rPr>
          <w:color w:val="000000"/>
        </w:rPr>
      </w:pPr>
      <w:r>
        <w:rPr>
          <w:color w:val="000000"/>
        </w:rPr>
        <w:t xml:space="preserve">7.1.1 </w:t>
      </w:r>
      <w:r>
        <w:rPr>
          <w:rFonts w:hint="eastAsia"/>
          <w:color w:val="000000"/>
        </w:rPr>
        <w:t>产品由供方质量检验部门</w:t>
      </w:r>
      <w:r>
        <w:rPr>
          <w:rFonts w:hint="eastAsia"/>
        </w:rPr>
        <w:t>或第三方机构</w:t>
      </w:r>
      <w:r>
        <w:rPr>
          <w:rFonts w:hint="eastAsia"/>
          <w:color w:val="000000"/>
        </w:rPr>
        <w:t>进行检验，保证产品质量符合本标准规定，并填写质量证明书。</w:t>
      </w:r>
    </w:p>
    <w:p>
      <w:pPr>
        <w:spacing w:line="360" w:lineRule="exact"/>
        <w:rPr>
          <w:color w:val="000000"/>
        </w:rPr>
      </w:pPr>
      <w:r>
        <w:rPr>
          <w:color w:val="000000"/>
        </w:rPr>
        <w:t xml:space="preserve">7.1.2 </w:t>
      </w:r>
      <w:r>
        <w:rPr>
          <w:rFonts w:hint="eastAsia"/>
          <w:color w:val="000000"/>
        </w:rPr>
        <w:t>需方应对收到的产品按本标准的规定进行检验，如检验结果与本标准规定不符时，应在收到产品之日起1个月内向供方提出，由供需双方协商解决。如需仲裁，可委托双方认可的单位进行，并在需方共同取样。</w:t>
      </w:r>
    </w:p>
    <w:p>
      <w:pPr>
        <w:pStyle w:val="5"/>
        <w:spacing w:before="156" w:beforeLines="50" w:after="156" w:afterLines="50"/>
        <w:rPr>
          <w:rFonts w:ascii="Times New Roman" w:hAnsi="Times New Roman" w:eastAsia="黑体" w:cs="Times New Roman"/>
          <w:bCs/>
          <w:sz w:val="21"/>
          <w:szCs w:val="21"/>
          <w:lang w:eastAsia="zh-CN"/>
        </w:rPr>
      </w:pPr>
      <w:r>
        <w:rPr>
          <w:rFonts w:ascii="Times New Roman" w:hAnsi="Times New Roman" w:eastAsia="黑体" w:cs="Times New Roman"/>
          <w:bCs/>
          <w:sz w:val="21"/>
          <w:szCs w:val="21"/>
          <w:lang w:eastAsia="zh-CN"/>
        </w:rPr>
        <w:t>7</w:t>
      </w:r>
      <w:r>
        <w:rPr>
          <w:rFonts w:hint="eastAsia" w:ascii="Times New Roman" w:hAnsi="Times New Roman" w:eastAsia="黑体" w:cs="Times New Roman"/>
          <w:bCs/>
          <w:sz w:val="21"/>
          <w:szCs w:val="21"/>
          <w:lang w:eastAsia="zh-CN"/>
        </w:rPr>
        <w:t>.2  组批</w:t>
      </w:r>
    </w:p>
    <w:p>
      <w:pPr>
        <w:spacing w:line="360" w:lineRule="exact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产品应成批提交检验，每批应由同一牌号的产品组成。</w:t>
      </w:r>
    </w:p>
    <w:p>
      <w:pPr>
        <w:pStyle w:val="5"/>
        <w:spacing w:before="156" w:beforeLines="50" w:after="156" w:afterLines="50"/>
        <w:rPr>
          <w:rFonts w:ascii="Times New Roman" w:hAnsi="Times New Roman" w:eastAsia="黑体" w:cs="Times New Roman"/>
          <w:bCs/>
          <w:sz w:val="21"/>
          <w:szCs w:val="21"/>
          <w:lang w:eastAsia="zh-CN"/>
        </w:rPr>
      </w:pPr>
      <w:r>
        <w:rPr>
          <w:rFonts w:ascii="Times New Roman" w:hAnsi="Times New Roman" w:eastAsia="黑体" w:cs="Times New Roman"/>
          <w:bCs/>
          <w:sz w:val="21"/>
          <w:szCs w:val="21"/>
          <w:lang w:eastAsia="zh-CN"/>
        </w:rPr>
        <w:t>7</w:t>
      </w:r>
      <w:r>
        <w:rPr>
          <w:rFonts w:hint="eastAsia" w:ascii="Times New Roman" w:hAnsi="Times New Roman" w:eastAsia="黑体" w:cs="Times New Roman"/>
          <w:bCs/>
          <w:sz w:val="21"/>
          <w:szCs w:val="21"/>
          <w:lang w:eastAsia="zh-CN"/>
        </w:rPr>
        <w:t>.3  检验项目</w:t>
      </w:r>
    </w:p>
    <w:p>
      <w:pPr>
        <w:spacing w:line="360" w:lineRule="exact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每批产品应进行化学成分和外观质量检验。</w:t>
      </w:r>
    </w:p>
    <w:p>
      <w:pPr>
        <w:pStyle w:val="5"/>
        <w:spacing w:before="156" w:beforeLines="50" w:after="156" w:afterLines="50"/>
        <w:rPr>
          <w:rFonts w:ascii="Times New Roman" w:hAnsi="Times New Roman" w:eastAsia="黑体" w:cs="Times New Roman"/>
          <w:bCs/>
          <w:sz w:val="21"/>
          <w:szCs w:val="21"/>
          <w:lang w:eastAsia="zh-CN"/>
        </w:rPr>
      </w:pPr>
      <w:r>
        <w:rPr>
          <w:rFonts w:ascii="Times New Roman" w:hAnsi="Times New Roman" w:eastAsia="黑体" w:cs="Times New Roman"/>
          <w:bCs/>
          <w:sz w:val="21"/>
          <w:szCs w:val="21"/>
          <w:lang w:eastAsia="zh-CN"/>
        </w:rPr>
        <w:t>7</w:t>
      </w:r>
      <w:r>
        <w:rPr>
          <w:rFonts w:hint="eastAsia" w:ascii="Times New Roman" w:hAnsi="Times New Roman" w:eastAsia="黑体" w:cs="Times New Roman"/>
          <w:bCs/>
          <w:sz w:val="21"/>
          <w:szCs w:val="21"/>
          <w:lang w:eastAsia="zh-CN"/>
        </w:rPr>
        <w:t>.4  取样与制样</w:t>
      </w:r>
    </w:p>
    <w:p>
      <w:pPr>
        <w:spacing w:line="360" w:lineRule="exact"/>
        <w:rPr>
          <w:color w:val="000000"/>
        </w:rPr>
      </w:pPr>
      <w:r>
        <w:rPr>
          <w:color w:val="000000"/>
        </w:rPr>
        <w:t>7.4.1</w:t>
      </w:r>
      <w:r>
        <w:rPr>
          <w:rFonts w:hint="eastAsia"/>
          <w:color w:val="000000"/>
        </w:rPr>
        <w:t>化学成分仲裁取样件数按表</w:t>
      </w:r>
      <w:r>
        <w:rPr>
          <w:color w:val="000000"/>
        </w:rPr>
        <w:t>2</w:t>
      </w:r>
      <w:r>
        <w:rPr>
          <w:rFonts w:hint="eastAsia"/>
          <w:color w:val="000000"/>
        </w:rPr>
        <w:t>的规定进行。</w:t>
      </w:r>
    </w:p>
    <w:p>
      <w:pPr>
        <w:spacing w:line="360" w:lineRule="exact"/>
        <w:jc w:val="center"/>
        <w:rPr>
          <w:rFonts w:ascii="黑体" w:eastAsia="黑体"/>
          <w:color w:val="000000"/>
        </w:rPr>
      </w:pPr>
      <w:r>
        <w:rPr>
          <w:rFonts w:hint="eastAsia" w:ascii="黑体" w:eastAsia="黑体"/>
          <w:color w:val="000000"/>
        </w:rPr>
        <w:t>表2</w:t>
      </w:r>
    </w:p>
    <w:tbl>
      <w:tblPr>
        <w:tblStyle w:val="12"/>
        <w:tblW w:w="4741" w:type="pct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720"/>
        <w:gridCol w:w="952"/>
        <w:gridCol w:w="1091"/>
        <w:gridCol w:w="1221"/>
        <w:gridCol w:w="1223"/>
        <w:gridCol w:w="1087"/>
        <w:gridCol w:w="9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5" w:type="pc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每批件数</w:t>
            </w:r>
            <w:r>
              <w:rPr>
                <w:color w:val="000000"/>
                <w:sz w:val="18"/>
              </w:rPr>
              <w:t>/</w:t>
            </w:r>
            <w:r>
              <w:rPr>
                <w:rFonts w:hint="eastAsia"/>
                <w:color w:val="000000"/>
                <w:sz w:val="18"/>
              </w:rPr>
              <w:t>块</w:t>
            </w:r>
          </w:p>
        </w:tc>
        <w:tc>
          <w:tcPr>
            <w:tcW w:w="414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</w:t>
            </w:r>
            <w:r>
              <w:rPr>
                <w:rFonts w:ascii="Bodoni MT Black" w:hAnsi="Bodoni MT Black"/>
                <w:color w:val="000000"/>
                <w:sz w:val="18"/>
              </w:rPr>
              <w:t>~</w:t>
            </w: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547" w:type="pc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＞2</w:t>
            </w:r>
            <w:r>
              <w:rPr>
                <w:rFonts w:ascii="Bodoni MT Black" w:hAnsi="Bodoni MT Black"/>
                <w:color w:val="000000"/>
                <w:sz w:val="18"/>
              </w:rPr>
              <w:t>~</w:t>
            </w:r>
            <w:r>
              <w:rPr>
                <w:color w:val="000000"/>
                <w:sz w:val="18"/>
              </w:rPr>
              <w:t>10</w:t>
            </w:r>
          </w:p>
        </w:tc>
        <w:tc>
          <w:tcPr>
            <w:tcW w:w="627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18"/>
              </w:rPr>
              <w:t>＞</w:t>
            </w:r>
            <w:r>
              <w:rPr>
                <w:color w:val="000000"/>
                <w:sz w:val="18"/>
              </w:rPr>
              <w:t>10</w:t>
            </w:r>
            <w:r>
              <w:rPr>
                <w:rFonts w:ascii="Bodoni MT Black" w:hAnsi="Bodoni MT Black"/>
                <w:color w:val="000000"/>
                <w:sz w:val="18"/>
              </w:rPr>
              <w:t>~</w:t>
            </w:r>
            <w:r>
              <w:rPr>
                <w:color w:val="000000"/>
                <w:sz w:val="18"/>
              </w:rPr>
              <w:t>50</w:t>
            </w:r>
          </w:p>
        </w:tc>
        <w:tc>
          <w:tcPr>
            <w:tcW w:w="702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＞</w:t>
            </w:r>
            <w:r>
              <w:rPr>
                <w:color w:val="000000"/>
                <w:sz w:val="18"/>
              </w:rPr>
              <w:t>50</w:t>
            </w:r>
            <w:r>
              <w:rPr>
                <w:rFonts w:ascii="Bodoni MT Black" w:hAnsi="Bodoni MT Black"/>
                <w:color w:val="000000"/>
                <w:sz w:val="18"/>
              </w:rPr>
              <w:t>~</w:t>
            </w:r>
            <w:r>
              <w:rPr>
                <w:color w:val="000000"/>
                <w:sz w:val="18"/>
              </w:rPr>
              <w:t>100</w:t>
            </w:r>
          </w:p>
        </w:tc>
        <w:tc>
          <w:tcPr>
            <w:tcW w:w="703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＞</w:t>
            </w:r>
            <w:r>
              <w:rPr>
                <w:color w:val="000000"/>
                <w:sz w:val="18"/>
              </w:rPr>
              <w:t>100</w:t>
            </w:r>
            <w:r>
              <w:rPr>
                <w:rFonts w:ascii="Bodoni MT Black" w:hAnsi="Bodoni MT Black"/>
                <w:color w:val="000000"/>
                <w:sz w:val="18"/>
              </w:rPr>
              <w:t>~</w:t>
            </w:r>
            <w:r>
              <w:rPr>
                <w:color w:val="000000"/>
                <w:sz w:val="18"/>
              </w:rPr>
              <w:t>200</w:t>
            </w:r>
          </w:p>
        </w:tc>
        <w:tc>
          <w:tcPr>
            <w:tcW w:w="625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＞</w:t>
            </w:r>
            <w:r>
              <w:rPr>
                <w:color w:val="000000"/>
                <w:sz w:val="18"/>
              </w:rPr>
              <w:t>200</w:t>
            </w:r>
            <w:r>
              <w:rPr>
                <w:rFonts w:ascii="Bodoni MT Black" w:hAnsi="Bodoni MT Black"/>
                <w:color w:val="000000"/>
                <w:sz w:val="18"/>
              </w:rPr>
              <w:t>~</w:t>
            </w:r>
            <w:r>
              <w:rPr>
                <w:color w:val="000000"/>
                <w:sz w:val="18"/>
              </w:rPr>
              <w:t>500</w:t>
            </w:r>
          </w:p>
        </w:tc>
        <w:tc>
          <w:tcPr>
            <w:tcW w:w="548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＞</w:t>
            </w:r>
            <w:r>
              <w:rPr>
                <w:color w:val="000000"/>
                <w:sz w:val="18"/>
              </w:rPr>
              <w:t>500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35" w:type="pct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取样件数</w:t>
            </w:r>
            <w:r>
              <w:rPr>
                <w:color w:val="000000"/>
                <w:sz w:val="18"/>
              </w:rPr>
              <w:t>/</w:t>
            </w:r>
            <w:r>
              <w:rPr>
                <w:rFonts w:hint="eastAsia"/>
                <w:color w:val="000000"/>
                <w:sz w:val="18"/>
              </w:rPr>
              <w:t>块</w:t>
            </w:r>
          </w:p>
        </w:tc>
        <w:tc>
          <w:tcPr>
            <w:tcW w:w="414" w:type="pc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spacing w:line="360" w:lineRule="exact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</w:t>
            </w:r>
          </w:p>
        </w:tc>
        <w:tc>
          <w:tcPr>
            <w:tcW w:w="547" w:type="pct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627" w:type="pc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</w:t>
            </w:r>
          </w:p>
        </w:tc>
        <w:tc>
          <w:tcPr>
            <w:tcW w:w="702" w:type="pc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</w:t>
            </w:r>
          </w:p>
        </w:tc>
        <w:tc>
          <w:tcPr>
            <w:tcW w:w="703" w:type="pc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spacing w:line="360" w:lineRule="exact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</w:t>
            </w:r>
          </w:p>
        </w:tc>
        <w:tc>
          <w:tcPr>
            <w:tcW w:w="625" w:type="pc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</w:t>
            </w:r>
          </w:p>
        </w:tc>
        <w:tc>
          <w:tcPr>
            <w:tcW w:w="548" w:type="pc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</w:t>
            </w:r>
          </w:p>
        </w:tc>
      </w:tr>
    </w:tbl>
    <w:p>
      <w:pPr>
        <w:snapToGrid w:val="0"/>
        <w:spacing w:line="360" w:lineRule="auto"/>
        <w:rPr>
          <w:rFonts w:ascii="黑体" w:eastAsia="黑体"/>
          <w:color w:val="000000"/>
        </w:rPr>
      </w:pPr>
    </w:p>
    <w:p>
      <w:pPr>
        <w:snapToGrid w:val="0"/>
        <w:spacing w:line="360" w:lineRule="auto"/>
        <w:rPr>
          <w:color w:val="000000"/>
        </w:rPr>
      </w:pPr>
      <w:r>
        <w:rPr>
          <w:color w:val="000000"/>
        </w:rPr>
        <w:t xml:space="preserve">7.4.2 </w:t>
      </w:r>
      <w:r>
        <w:rPr>
          <w:rFonts w:hint="eastAsia"/>
          <w:color w:val="000000"/>
        </w:rPr>
        <w:t>化学成分分析的仲裁取样方法按下述规定进行：</w:t>
      </w:r>
    </w:p>
    <w:p>
      <w:pPr>
        <w:snapToGrid w:val="0"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取样时，首先将试样打磨干净，用直径5</w:t>
      </w:r>
      <w:r>
        <w:rPr>
          <w:rFonts w:hint="eastAsia" w:ascii="宋体" w:hAnsi="宋体"/>
          <w:szCs w:val="21"/>
          <w:lang w:val="en-US" w:eastAsia="zh-CN"/>
        </w:rPr>
        <w:t xml:space="preserve"> </w:t>
      </w:r>
      <w:r>
        <w:rPr>
          <w:rFonts w:hint="eastAsia" w:ascii="宋体" w:hAnsi="宋体"/>
          <w:szCs w:val="21"/>
        </w:rPr>
        <w:t>mm～10</w:t>
      </w:r>
      <w:r>
        <w:rPr>
          <w:rFonts w:hint="eastAsia" w:ascii="宋体" w:hAnsi="宋体"/>
          <w:szCs w:val="21"/>
          <w:lang w:val="en-US" w:eastAsia="zh-CN"/>
        </w:rPr>
        <w:t xml:space="preserve"> </w:t>
      </w:r>
      <w:r>
        <w:rPr>
          <w:rFonts w:hint="eastAsia" w:ascii="宋体" w:hAnsi="宋体"/>
          <w:szCs w:val="21"/>
        </w:rPr>
        <w:t>mm的钻头在合金锭上、下两面对角线等距离处各钻取3点以上，弃去距锭块表面0.5 mm～1.0 mm的钻屑，然后钻取试样，取样量不少于10g，将所得试样迅速混匀缩分至所需数量，并放入带盖的磨口瓶中密封保存。</w:t>
      </w:r>
    </w:p>
    <w:p>
      <w:pPr>
        <w:pStyle w:val="5"/>
        <w:spacing w:before="156" w:beforeLines="50" w:after="156" w:afterLines="50"/>
        <w:rPr>
          <w:rFonts w:ascii="Times New Roman" w:hAnsi="Times New Roman" w:eastAsia="黑体" w:cs="Times New Roman"/>
          <w:bCs/>
          <w:sz w:val="21"/>
          <w:szCs w:val="21"/>
          <w:lang w:eastAsia="zh-CN"/>
        </w:rPr>
      </w:pPr>
      <w:r>
        <w:rPr>
          <w:rFonts w:ascii="Times New Roman" w:hAnsi="Times New Roman" w:eastAsia="黑体" w:cs="Times New Roman"/>
          <w:bCs/>
          <w:sz w:val="21"/>
          <w:szCs w:val="21"/>
          <w:lang w:eastAsia="zh-CN"/>
        </w:rPr>
        <w:t>7</w:t>
      </w:r>
      <w:r>
        <w:rPr>
          <w:rFonts w:hint="eastAsia" w:ascii="Times New Roman" w:hAnsi="Times New Roman" w:eastAsia="黑体" w:cs="Times New Roman"/>
          <w:bCs/>
          <w:sz w:val="21"/>
          <w:szCs w:val="21"/>
          <w:lang w:eastAsia="zh-CN"/>
        </w:rPr>
        <w:t>.5  检验结果的判定</w:t>
      </w:r>
    </w:p>
    <w:p>
      <w:pPr>
        <w:tabs>
          <w:tab w:val="left" w:pos="614"/>
        </w:tabs>
        <w:rPr>
          <w:spacing w:val="10"/>
        </w:rPr>
      </w:pPr>
      <w:r>
        <w:rPr>
          <w:spacing w:val="10"/>
        </w:rPr>
        <w:t>7</w:t>
      </w:r>
      <w:r>
        <w:rPr>
          <w:rFonts w:hint="eastAsia"/>
          <w:spacing w:val="10"/>
        </w:rPr>
        <w:t>.5.1化学成分仲裁分析结果与本标准规定不符时，则从该批产品中取双倍样锭，检测结果仍有不合格项，则判该批产品为不合格。</w:t>
      </w:r>
    </w:p>
    <w:p>
      <w:pPr>
        <w:tabs>
          <w:tab w:val="left" w:pos="614"/>
        </w:tabs>
        <w:rPr>
          <w:spacing w:val="10"/>
        </w:rPr>
      </w:pPr>
      <w:r>
        <w:rPr>
          <w:spacing w:val="10"/>
        </w:rPr>
        <w:t>7</w:t>
      </w:r>
      <w:r>
        <w:rPr>
          <w:rFonts w:hint="eastAsia"/>
          <w:spacing w:val="10"/>
        </w:rPr>
        <w:t>.5.2产品外观不合格，则直接判该批产品为不合格。</w:t>
      </w:r>
      <w:r>
        <w:rPr>
          <w:rFonts w:hint="eastAsia"/>
        </w:rPr>
        <w:t>但允许供方逐件检验，合格者交货。</w:t>
      </w:r>
    </w:p>
    <w:p>
      <w:pPr>
        <w:spacing w:before="312" w:beforeLines="100" w:after="312" w:afterLines="100"/>
        <w:rPr>
          <w:rFonts w:eastAsia="黑体"/>
          <w:bCs/>
          <w:szCs w:val="21"/>
        </w:rPr>
      </w:pPr>
      <w:r>
        <w:rPr>
          <w:rFonts w:eastAsia="黑体"/>
          <w:bCs/>
          <w:szCs w:val="21"/>
        </w:rPr>
        <w:t>8</w:t>
      </w:r>
      <w:r>
        <w:rPr>
          <w:rFonts w:hint="eastAsia" w:eastAsia="黑体"/>
          <w:bCs/>
          <w:szCs w:val="21"/>
        </w:rPr>
        <w:t xml:space="preserve">   包装、标志、运输、贮存及随行文件</w:t>
      </w:r>
    </w:p>
    <w:p>
      <w:pPr>
        <w:pStyle w:val="5"/>
        <w:spacing w:before="156" w:beforeLines="50" w:after="156" w:afterLines="50"/>
        <w:rPr>
          <w:rFonts w:ascii="Times New Roman" w:hAnsi="Times New Roman" w:eastAsia="黑体" w:cs="Times New Roman"/>
          <w:bCs/>
          <w:sz w:val="21"/>
          <w:szCs w:val="21"/>
          <w:lang w:eastAsia="zh-CN"/>
        </w:rPr>
      </w:pPr>
      <w:r>
        <w:rPr>
          <w:rFonts w:ascii="Times New Roman" w:hAnsi="Times New Roman" w:eastAsia="黑体" w:cs="Times New Roman"/>
          <w:bCs/>
          <w:sz w:val="21"/>
          <w:szCs w:val="21"/>
          <w:lang w:eastAsia="zh-CN"/>
        </w:rPr>
        <w:t>8</w:t>
      </w:r>
      <w:r>
        <w:rPr>
          <w:rFonts w:hint="eastAsia" w:ascii="Times New Roman" w:hAnsi="Times New Roman" w:eastAsia="黑体" w:cs="Times New Roman"/>
          <w:bCs/>
          <w:sz w:val="21"/>
          <w:szCs w:val="21"/>
          <w:lang w:eastAsia="zh-CN"/>
        </w:rPr>
        <w:t>.1  标志、包装、运输、贮存</w:t>
      </w:r>
    </w:p>
    <w:p>
      <w:pPr>
        <w:pStyle w:val="5"/>
        <w:spacing w:before="156" w:beforeLines="50" w:after="156" w:afterLines="50"/>
        <w:ind w:firstLine="420" w:firstLineChars="200"/>
        <w:rPr>
          <w:rFonts w:cs="Times New Roman"/>
          <w:bCs/>
          <w:sz w:val="21"/>
          <w:szCs w:val="21"/>
          <w:lang w:eastAsia="zh-CN"/>
        </w:rPr>
      </w:pPr>
      <w:r>
        <w:rPr>
          <w:rFonts w:hint="eastAsia" w:cs="Times New Roman"/>
          <w:bCs/>
          <w:sz w:val="21"/>
          <w:szCs w:val="21"/>
          <w:lang w:eastAsia="zh-CN"/>
        </w:rPr>
        <w:t>产品的标志、包装、运输、贮存应符合GB 39176的规定。如需方对包装有特殊要求，可由供需双方协商确定。</w:t>
      </w:r>
    </w:p>
    <w:p>
      <w:pPr>
        <w:pStyle w:val="5"/>
        <w:spacing w:before="156" w:beforeLines="50" w:after="156" w:afterLines="50"/>
        <w:rPr>
          <w:rFonts w:ascii="Times New Roman" w:hAnsi="Times New Roman" w:eastAsia="黑体" w:cs="Times New Roman"/>
          <w:bCs/>
          <w:sz w:val="21"/>
          <w:szCs w:val="21"/>
          <w:lang w:eastAsia="zh-CN"/>
        </w:rPr>
      </w:pPr>
      <w:r>
        <w:rPr>
          <w:rFonts w:ascii="Times New Roman" w:hAnsi="Times New Roman" w:eastAsia="黑体" w:cs="Times New Roman"/>
          <w:bCs/>
          <w:sz w:val="21"/>
          <w:szCs w:val="21"/>
          <w:lang w:eastAsia="zh-CN"/>
        </w:rPr>
        <w:t>8</w:t>
      </w:r>
      <w:r>
        <w:rPr>
          <w:rFonts w:hint="eastAsia" w:ascii="Times New Roman" w:hAnsi="Times New Roman" w:eastAsia="黑体" w:cs="Times New Roman"/>
          <w:bCs/>
          <w:sz w:val="21"/>
          <w:szCs w:val="21"/>
          <w:lang w:eastAsia="zh-CN"/>
        </w:rPr>
        <w:t>.2  随行文件</w:t>
      </w:r>
    </w:p>
    <w:p>
      <w:pPr>
        <w:tabs>
          <w:tab w:val="left" w:pos="614"/>
        </w:tabs>
        <w:ind w:firstLine="210" w:firstLineChars="1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每批产品应附有随行文件，其中应包括质量证明书，质量证明书应符合GB 39176的规定。此外还宜包括：</w:t>
      </w:r>
    </w:p>
    <w:p>
      <w:pPr>
        <w:tabs>
          <w:tab w:val="left" w:pos="614"/>
        </w:tabs>
        <w:ind w:firstLine="210" w:firstLineChars="1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a) 产品合格证；</w:t>
      </w:r>
    </w:p>
    <w:p>
      <w:pPr>
        <w:tabs>
          <w:tab w:val="left" w:pos="614"/>
        </w:tabs>
        <w:ind w:firstLine="210" w:firstLineChars="1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b) 产品检验报告；</w:t>
      </w:r>
    </w:p>
    <w:p>
      <w:pPr>
        <w:tabs>
          <w:tab w:val="left" w:pos="614"/>
        </w:tabs>
        <w:ind w:firstLine="210" w:firstLineChars="1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c) 其他。</w:t>
      </w:r>
    </w:p>
    <w:p>
      <w:pPr>
        <w:tabs>
          <w:tab w:val="left" w:pos="614"/>
        </w:tabs>
        <w:rPr>
          <w:spacing w:val="10"/>
        </w:rPr>
      </w:pPr>
    </w:p>
    <w:sectPr>
      <w:footerReference r:id="rId8" w:type="default"/>
      <w:footerReference r:id="rId9" w:type="even"/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odoni MT Black">
    <w:panose1 w:val="02070A03080606020203"/>
    <w:charset w:val="00"/>
    <w:family w:val="roman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I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2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2</w:t>
    </w:r>
    <w:r>
      <w:fldChar w:fldCharType="end"/>
    </w:r>
  </w:p>
  <w:p>
    <w:pPr>
      <w:pStyle w:val="1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1</w:t>
    </w:r>
    <w:r>
      <w:fldChar w:fldCharType="end"/>
    </w:r>
  </w:p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/>
      </w:rPr>
    </w:pPr>
    <w:r>
      <w:rPr>
        <w:rFonts w:hint="eastAsia"/>
      </w:rPr>
      <w:t xml:space="preserve">                                                                 </w:t>
    </w:r>
    <w:r>
      <w:rPr>
        <w:rFonts w:hint="eastAsia" w:ascii="宋体" w:hAnsi="宋体"/>
      </w:rPr>
      <w:t>X</w:t>
    </w:r>
    <w:r>
      <w:rPr>
        <w:rFonts w:ascii="宋体" w:hAnsi="宋体"/>
      </w:rPr>
      <w:t xml:space="preserve">B/T </w:t>
    </w:r>
    <w:r>
      <w:rPr>
        <w:b/>
        <w:szCs w:val="21"/>
      </w:rPr>
      <w:t>XXXX</w:t>
    </w:r>
    <w:r>
      <w:rPr>
        <w:rFonts w:ascii="宋体" w:hAnsi="宋体"/>
      </w:rPr>
      <w:t>—20</w:t>
    </w:r>
    <w:r>
      <w:rPr>
        <w:rFonts w:hint="eastAsia" w:ascii="宋体" w:hAnsi="宋体"/>
      </w:rPr>
      <w:t>2</w:t>
    </w:r>
    <w:r>
      <w:rPr>
        <w:rFonts w:ascii="宋体" w:hAnsi="宋体"/>
      </w:rPr>
      <w:t>×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8"/>
      <w:tabs>
        <w:tab w:val="clear" w:pos="4154"/>
        <w:tab w:val="clear" w:pos="8306"/>
      </w:tabs>
    </w:pPr>
    <w:r>
      <w:t>GB/T ××××—200×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  <w:rPr>
        <w:sz w:val="18"/>
        <w:szCs w:val="18"/>
      </w:rPr>
    </w:pPr>
    <w:r>
      <w:rPr>
        <w:rFonts w:hint="eastAsia"/>
        <w:sz w:val="18"/>
        <w:szCs w:val="18"/>
      </w:rPr>
      <w:t>ICS 77.120.99</w:t>
    </w:r>
  </w:p>
  <w:p>
    <w:pPr>
      <w:pStyle w:val="35"/>
      <w:rPr>
        <w:sz w:val="18"/>
        <w:szCs w:val="18"/>
      </w:rPr>
    </w:pPr>
    <w:r>
      <w:rPr>
        <w:rFonts w:hint="eastAsia"/>
        <w:sz w:val="18"/>
        <w:szCs w:val="18"/>
      </w:rPr>
      <w:t>H 65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F50044"/>
    <w:multiLevelType w:val="multilevel"/>
    <w:tmpl w:val="42F50044"/>
    <w:lvl w:ilvl="0" w:tentative="0">
      <w:start w:val="3"/>
      <w:numFmt w:val="decimal"/>
      <w:pStyle w:val="25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1OWJiOWVhNDQ1ZjBjOGQwZmNiMTI4ZDFiMDY1OWIifQ=="/>
  </w:docVars>
  <w:rsids>
    <w:rsidRoot w:val="00172A27"/>
    <w:rsid w:val="00000761"/>
    <w:rsid w:val="00001E71"/>
    <w:rsid w:val="0000668A"/>
    <w:rsid w:val="00013320"/>
    <w:rsid w:val="00014691"/>
    <w:rsid w:val="00014B06"/>
    <w:rsid w:val="00022687"/>
    <w:rsid w:val="00031779"/>
    <w:rsid w:val="00035C0E"/>
    <w:rsid w:val="00035C6A"/>
    <w:rsid w:val="00036D86"/>
    <w:rsid w:val="00037902"/>
    <w:rsid w:val="0004123A"/>
    <w:rsid w:val="00044051"/>
    <w:rsid w:val="00045269"/>
    <w:rsid w:val="000543A3"/>
    <w:rsid w:val="000549DC"/>
    <w:rsid w:val="00055E9E"/>
    <w:rsid w:val="000579A8"/>
    <w:rsid w:val="00063868"/>
    <w:rsid w:val="00072C22"/>
    <w:rsid w:val="00082AFD"/>
    <w:rsid w:val="000834D9"/>
    <w:rsid w:val="00084F0F"/>
    <w:rsid w:val="000850F5"/>
    <w:rsid w:val="00085CB9"/>
    <w:rsid w:val="00085F0C"/>
    <w:rsid w:val="00086481"/>
    <w:rsid w:val="00090202"/>
    <w:rsid w:val="00091642"/>
    <w:rsid w:val="00092D65"/>
    <w:rsid w:val="0009771C"/>
    <w:rsid w:val="000A0954"/>
    <w:rsid w:val="000A1BB0"/>
    <w:rsid w:val="000A21B1"/>
    <w:rsid w:val="000A498C"/>
    <w:rsid w:val="000B1BBE"/>
    <w:rsid w:val="000B3F76"/>
    <w:rsid w:val="000B5E06"/>
    <w:rsid w:val="000B7610"/>
    <w:rsid w:val="000C26E3"/>
    <w:rsid w:val="000C49ED"/>
    <w:rsid w:val="000D0BD4"/>
    <w:rsid w:val="000D21C2"/>
    <w:rsid w:val="000D581C"/>
    <w:rsid w:val="000D6127"/>
    <w:rsid w:val="000D7353"/>
    <w:rsid w:val="000E2F7C"/>
    <w:rsid w:val="000E7737"/>
    <w:rsid w:val="000F15F2"/>
    <w:rsid w:val="000F2624"/>
    <w:rsid w:val="000F2E80"/>
    <w:rsid w:val="00106B89"/>
    <w:rsid w:val="00110EBC"/>
    <w:rsid w:val="0011492E"/>
    <w:rsid w:val="00116DE6"/>
    <w:rsid w:val="001314EE"/>
    <w:rsid w:val="00131EE1"/>
    <w:rsid w:val="00133668"/>
    <w:rsid w:val="00140AAC"/>
    <w:rsid w:val="00141BAE"/>
    <w:rsid w:val="001449A7"/>
    <w:rsid w:val="0015627C"/>
    <w:rsid w:val="00164AE9"/>
    <w:rsid w:val="00165C85"/>
    <w:rsid w:val="00171463"/>
    <w:rsid w:val="0017266E"/>
    <w:rsid w:val="00172A27"/>
    <w:rsid w:val="00183D77"/>
    <w:rsid w:val="00185741"/>
    <w:rsid w:val="0019059E"/>
    <w:rsid w:val="00190873"/>
    <w:rsid w:val="00192195"/>
    <w:rsid w:val="00197167"/>
    <w:rsid w:val="00197516"/>
    <w:rsid w:val="00197E35"/>
    <w:rsid w:val="001A1E8F"/>
    <w:rsid w:val="001A792B"/>
    <w:rsid w:val="001B1AE7"/>
    <w:rsid w:val="001C5718"/>
    <w:rsid w:val="001D0C32"/>
    <w:rsid w:val="001D1B03"/>
    <w:rsid w:val="001D2DFD"/>
    <w:rsid w:val="001D72E4"/>
    <w:rsid w:val="001E3E59"/>
    <w:rsid w:val="001E74B7"/>
    <w:rsid w:val="001F0BC9"/>
    <w:rsid w:val="001F48CC"/>
    <w:rsid w:val="001F54BD"/>
    <w:rsid w:val="002019C4"/>
    <w:rsid w:val="002074E3"/>
    <w:rsid w:val="00215567"/>
    <w:rsid w:val="002203AF"/>
    <w:rsid w:val="00223E0F"/>
    <w:rsid w:val="00227364"/>
    <w:rsid w:val="00233149"/>
    <w:rsid w:val="00236E9A"/>
    <w:rsid w:val="00237B72"/>
    <w:rsid w:val="00240436"/>
    <w:rsid w:val="002458E4"/>
    <w:rsid w:val="00245D9F"/>
    <w:rsid w:val="00256CA5"/>
    <w:rsid w:val="00256E9F"/>
    <w:rsid w:val="002614FC"/>
    <w:rsid w:val="00267223"/>
    <w:rsid w:val="00270131"/>
    <w:rsid w:val="00271381"/>
    <w:rsid w:val="0027631C"/>
    <w:rsid w:val="00277033"/>
    <w:rsid w:val="00286340"/>
    <w:rsid w:val="00286781"/>
    <w:rsid w:val="00294CBE"/>
    <w:rsid w:val="002979CD"/>
    <w:rsid w:val="002A31D1"/>
    <w:rsid w:val="002A3E88"/>
    <w:rsid w:val="002A50C9"/>
    <w:rsid w:val="002A5D9F"/>
    <w:rsid w:val="002A7B1E"/>
    <w:rsid w:val="002B1180"/>
    <w:rsid w:val="002B21D5"/>
    <w:rsid w:val="002C7783"/>
    <w:rsid w:val="002D43D6"/>
    <w:rsid w:val="002E7EA0"/>
    <w:rsid w:val="002F3E13"/>
    <w:rsid w:val="002F4386"/>
    <w:rsid w:val="002F6FC4"/>
    <w:rsid w:val="003024DD"/>
    <w:rsid w:val="00316FB1"/>
    <w:rsid w:val="00317F68"/>
    <w:rsid w:val="003227E8"/>
    <w:rsid w:val="00325ECB"/>
    <w:rsid w:val="003314E1"/>
    <w:rsid w:val="00332CD5"/>
    <w:rsid w:val="003335E4"/>
    <w:rsid w:val="00360EAB"/>
    <w:rsid w:val="00365800"/>
    <w:rsid w:val="00377D9F"/>
    <w:rsid w:val="00377F77"/>
    <w:rsid w:val="00386C81"/>
    <w:rsid w:val="0039006C"/>
    <w:rsid w:val="003932B1"/>
    <w:rsid w:val="003A5076"/>
    <w:rsid w:val="003A575A"/>
    <w:rsid w:val="003A5C8C"/>
    <w:rsid w:val="003B557A"/>
    <w:rsid w:val="003B5E0F"/>
    <w:rsid w:val="003B7915"/>
    <w:rsid w:val="003C0C34"/>
    <w:rsid w:val="003C6B20"/>
    <w:rsid w:val="003D2BDD"/>
    <w:rsid w:val="003E173D"/>
    <w:rsid w:val="003E414F"/>
    <w:rsid w:val="003E451D"/>
    <w:rsid w:val="003F0D99"/>
    <w:rsid w:val="004072C3"/>
    <w:rsid w:val="0041045C"/>
    <w:rsid w:val="00411DBD"/>
    <w:rsid w:val="00412165"/>
    <w:rsid w:val="00412F88"/>
    <w:rsid w:val="00415D80"/>
    <w:rsid w:val="004254F0"/>
    <w:rsid w:val="004315AA"/>
    <w:rsid w:val="00433639"/>
    <w:rsid w:val="004347D6"/>
    <w:rsid w:val="004453A0"/>
    <w:rsid w:val="004473D2"/>
    <w:rsid w:val="004502C5"/>
    <w:rsid w:val="00451396"/>
    <w:rsid w:val="00455A73"/>
    <w:rsid w:val="00461B6F"/>
    <w:rsid w:val="00464CA2"/>
    <w:rsid w:val="00474AC3"/>
    <w:rsid w:val="00474CFF"/>
    <w:rsid w:val="004755BA"/>
    <w:rsid w:val="00491387"/>
    <w:rsid w:val="004A43C9"/>
    <w:rsid w:val="004B367A"/>
    <w:rsid w:val="004C2AAE"/>
    <w:rsid w:val="004C4C6E"/>
    <w:rsid w:val="004C7B2C"/>
    <w:rsid w:val="004D0CDA"/>
    <w:rsid w:val="004D3BD3"/>
    <w:rsid w:val="004E3777"/>
    <w:rsid w:val="004E4B78"/>
    <w:rsid w:val="004F268F"/>
    <w:rsid w:val="004F2965"/>
    <w:rsid w:val="004F3D5A"/>
    <w:rsid w:val="004F4DBB"/>
    <w:rsid w:val="004F7CE0"/>
    <w:rsid w:val="00500CD7"/>
    <w:rsid w:val="00505050"/>
    <w:rsid w:val="005050FE"/>
    <w:rsid w:val="00507A87"/>
    <w:rsid w:val="005101B1"/>
    <w:rsid w:val="005103B0"/>
    <w:rsid w:val="005121AA"/>
    <w:rsid w:val="00514307"/>
    <w:rsid w:val="00515215"/>
    <w:rsid w:val="00521570"/>
    <w:rsid w:val="005244BD"/>
    <w:rsid w:val="00526A66"/>
    <w:rsid w:val="00530247"/>
    <w:rsid w:val="00531EAE"/>
    <w:rsid w:val="005505F1"/>
    <w:rsid w:val="00551BC7"/>
    <w:rsid w:val="00555950"/>
    <w:rsid w:val="00561A96"/>
    <w:rsid w:val="005622F4"/>
    <w:rsid w:val="00564957"/>
    <w:rsid w:val="00572D65"/>
    <w:rsid w:val="005750D7"/>
    <w:rsid w:val="0057589D"/>
    <w:rsid w:val="00577B17"/>
    <w:rsid w:val="0058083F"/>
    <w:rsid w:val="00580EF6"/>
    <w:rsid w:val="00586797"/>
    <w:rsid w:val="00595BEB"/>
    <w:rsid w:val="00595E85"/>
    <w:rsid w:val="005A29D7"/>
    <w:rsid w:val="005A2FFD"/>
    <w:rsid w:val="005A3C21"/>
    <w:rsid w:val="005A49E0"/>
    <w:rsid w:val="005A5931"/>
    <w:rsid w:val="005B3776"/>
    <w:rsid w:val="005B40D8"/>
    <w:rsid w:val="005B64AC"/>
    <w:rsid w:val="005B7636"/>
    <w:rsid w:val="005C0FD7"/>
    <w:rsid w:val="005C1950"/>
    <w:rsid w:val="005C6974"/>
    <w:rsid w:val="005C7890"/>
    <w:rsid w:val="005D2364"/>
    <w:rsid w:val="005D3B73"/>
    <w:rsid w:val="005D4349"/>
    <w:rsid w:val="005D5EE5"/>
    <w:rsid w:val="005E186E"/>
    <w:rsid w:val="005E50FC"/>
    <w:rsid w:val="005F0023"/>
    <w:rsid w:val="005F0657"/>
    <w:rsid w:val="005F4F3B"/>
    <w:rsid w:val="00607B67"/>
    <w:rsid w:val="00610B69"/>
    <w:rsid w:val="00610F61"/>
    <w:rsid w:val="00620625"/>
    <w:rsid w:val="00621DC0"/>
    <w:rsid w:val="006229C9"/>
    <w:rsid w:val="00624608"/>
    <w:rsid w:val="006302BC"/>
    <w:rsid w:val="006323E1"/>
    <w:rsid w:val="00636E0F"/>
    <w:rsid w:val="00636E9B"/>
    <w:rsid w:val="00636F12"/>
    <w:rsid w:val="00640DCE"/>
    <w:rsid w:val="00641E75"/>
    <w:rsid w:val="00646DF3"/>
    <w:rsid w:val="00652BE4"/>
    <w:rsid w:val="00652E4A"/>
    <w:rsid w:val="00654058"/>
    <w:rsid w:val="0065600D"/>
    <w:rsid w:val="00657B41"/>
    <w:rsid w:val="00662663"/>
    <w:rsid w:val="00664AA1"/>
    <w:rsid w:val="0066519A"/>
    <w:rsid w:val="00666021"/>
    <w:rsid w:val="006746F3"/>
    <w:rsid w:val="006771E0"/>
    <w:rsid w:val="0068175F"/>
    <w:rsid w:val="00682240"/>
    <w:rsid w:val="00683064"/>
    <w:rsid w:val="006849A6"/>
    <w:rsid w:val="00690C5B"/>
    <w:rsid w:val="00691736"/>
    <w:rsid w:val="0069473C"/>
    <w:rsid w:val="006A14B0"/>
    <w:rsid w:val="006A7CCE"/>
    <w:rsid w:val="006B29C6"/>
    <w:rsid w:val="006B3F84"/>
    <w:rsid w:val="006B5263"/>
    <w:rsid w:val="006B6D02"/>
    <w:rsid w:val="006C58B2"/>
    <w:rsid w:val="006C7204"/>
    <w:rsid w:val="006D0F68"/>
    <w:rsid w:val="006D42A5"/>
    <w:rsid w:val="006E0A6D"/>
    <w:rsid w:val="006E46F8"/>
    <w:rsid w:val="006F091A"/>
    <w:rsid w:val="00700573"/>
    <w:rsid w:val="007068BF"/>
    <w:rsid w:val="0071330D"/>
    <w:rsid w:val="0071482B"/>
    <w:rsid w:val="007160A1"/>
    <w:rsid w:val="00717BC1"/>
    <w:rsid w:val="00722E38"/>
    <w:rsid w:val="0072343F"/>
    <w:rsid w:val="007243C3"/>
    <w:rsid w:val="00727882"/>
    <w:rsid w:val="00737F6E"/>
    <w:rsid w:val="00743EB3"/>
    <w:rsid w:val="00744393"/>
    <w:rsid w:val="00744C9F"/>
    <w:rsid w:val="00747C25"/>
    <w:rsid w:val="007516D8"/>
    <w:rsid w:val="00752B80"/>
    <w:rsid w:val="00752B9A"/>
    <w:rsid w:val="0075409D"/>
    <w:rsid w:val="007563BD"/>
    <w:rsid w:val="007564D5"/>
    <w:rsid w:val="00757012"/>
    <w:rsid w:val="007632FE"/>
    <w:rsid w:val="00764C28"/>
    <w:rsid w:val="007675B5"/>
    <w:rsid w:val="00767614"/>
    <w:rsid w:val="007810FD"/>
    <w:rsid w:val="007866D1"/>
    <w:rsid w:val="00786D61"/>
    <w:rsid w:val="00791427"/>
    <w:rsid w:val="00793D3F"/>
    <w:rsid w:val="0079441E"/>
    <w:rsid w:val="007A1070"/>
    <w:rsid w:val="007A11FA"/>
    <w:rsid w:val="007A2852"/>
    <w:rsid w:val="007A3793"/>
    <w:rsid w:val="007A3C8C"/>
    <w:rsid w:val="007A59EB"/>
    <w:rsid w:val="007A5A38"/>
    <w:rsid w:val="007A6DF4"/>
    <w:rsid w:val="007A6F63"/>
    <w:rsid w:val="007B5726"/>
    <w:rsid w:val="007B63EA"/>
    <w:rsid w:val="007B67D1"/>
    <w:rsid w:val="007B77DF"/>
    <w:rsid w:val="007B7954"/>
    <w:rsid w:val="007C1924"/>
    <w:rsid w:val="007E7A20"/>
    <w:rsid w:val="007F3B38"/>
    <w:rsid w:val="00806547"/>
    <w:rsid w:val="00811572"/>
    <w:rsid w:val="00814642"/>
    <w:rsid w:val="00815065"/>
    <w:rsid w:val="0081551F"/>
    <w:rsid w:val="0081620A"/>
    <w:rsid w:val="008253D4"/>
    <w:rsid w:val="008267CC"/>
    <w:rsid w:val="008322E5"/>
    <w:rsid w:val="008377AF"/>
    <w:rsid w:val="00843B53"/>
    <w:rsid w:val="0084411E"/>
    <w:rsid w:val="0084762E"/>
    <w:rsid w:val="0085093D"/>
    <w:rsid w:val="00853FB6"/>
    <w:rsid w:val="00856BF2"/>
    <w:rsid w:val="008603B0"/>
    <w:rsid w:val="00860D49"/>
    <w:rsid w:val="00861B3B"/>
    <w:rsid w:val="00865BBE"/>
    <w:rsid w:val="00866C9F"/>
    <w:rsid w:val="00867F14"/>
    <w:rsid w:val="0087266E"/>
    <w:rsid w:val="00875F1C"/>
    <w:rsid w:val="0087700E"/>
    <w:rsid w:val="00880BEF"/>
    <w:rsid w:val="00882F81"/>
    <w:rsid w:val="008840CA"/>
    <w:rsid w:val="00891277"/>
    <w:rsid w:val="00895408"/>
    <w:rsid w:val="00897EEE"/>
    <w:rsid w:val="008A0CEF"/>
    <w:rsid w:val="008A3F84"/>
    <w:rsid w:val="008B09F3"/>
    <w:rsid w:val="008B14B5"/>
    <w:rsid w:val="008B2D3B"/>
    <w:rsid w:val="008B4EB4"/>
    <w:rsid w:val="008C3B14"/>
    <w:rsid w:val="008C7F71"/>
    <w:rsid w:val="008D164A"/>
    <w:rsid w:val="008D4E6D"/>
    <w:rsid w:val="008D6117"/>
    <w:rsid w:val="008E362E"/>
    <w:rsid w:val="008F1438"/>
    <w:rsid w:val="008F1A35"/>
    <w:rsid w:val="008F21F6"/>
    <w:rsid w:val="008F358E"/>
    <w:rsid w:val="008F391D"/>
    <w:rsid w:val="008F405B"/>
    <w:rsid w:val="008F6392"/>
    <w:rsid w:val="00902726"/>
    <w:rsid w:val="00904AF7"/>
    <w:rsid w:val="0090512F"/>
    <w:rsid w:val="00905452"/>
    <w:rsid w:val="0091193E"/>
    <w:rsid w:val="00921D8B"/>
    <w:rsid w:val="0092354D"/>
    <w:rsid w:val="009254C4"/>
    <w:rsid w:val="009266D7"/>
    <w:rsid w:val="00931915"/>
    <w:rsid w:val="00934A58"/>
    <w:rsid w:val="00935267"/>
    <w:rsid w:val="0093798F"/>
    <w:rsid w:val="0094195D"/>
    <w:rsid w:val="0094416F"/>
    <w:rsid w:val="00945784"/>
    <w:rsid w:val="00950646"/>
    <w:rsid w:val="00952E2B"/>
    <w:rsid w:val="00952E2F"/>
    <w:rsid w:val="009648BA"/>
    <w:rsid w:val="00971035"/>
    <w:rsid w:val="0097560F"/>
    <w:rsid w:val="00980A23"/>
    <w:rsid w:val="00980BC0"/>
    <w:rsid w:val="00982A47"/>
    <w:rsid w:val="009844D9"/>
    <w:rsid w:val="00990FA2"/>
    <w:rsid w:val="00994241"/>
    <w:rsid w:val="00996AC3"/>
    <w:rsid w:val="009A01B9"/>
    <w:rsid w:val="009A0542"/>
    <w:rsid w:val="009A3F28"/>
    <w:rsid w:val="009A6A29"/>
    <w:rsid w:val="009A7A74"/>
    <w:rsid w:val="009B4A3E"/>
    <w:rsid w:val="009C0DB0"/>
    <w:rsid w:val="009C1D4E"/>
    <w:rsid w:val="009C3DF3"/>
    <w:rsid w:val="009C58BD"/>
    <w:rsid w:val="009D29BD"/>
    <w:rsid w:val="009E02FC"/>
    <w:rsid w:val="009E1DF6"/>
    <w:rsid w:val="009E4BBF"/>
    <w:rsid w:val="009E6138"/>
    <w:rsid w:val="009E6916"/>
    <w:rsid w:val="009F11BA"/>
    <w:rsid w:val="009F138E"/>
    <w:rsid w:val="009F1C57"/>
    <w:rsid w:val="009F4467"/>
    <w:rsid w:val="00A00269"/>
    <w:rsid w:val="00A1099C"/>
    <w:rsid w:val="00A11559"/>
    <w:rsid w:val="00A11915"/>
    <w:rsid w:val="00A13DDF"/>
    <w:rsid w:val="00A24314"/>
    <w:rsid w:val="00A2755C"/>
    <w:rsid w:val="00A31020"/>
    <w:rsid w:val="00A33A02"/>
    <w:rsid w:val="00A33EA2"/>
    <w:rsid w:val="00A34F3D"/>
    <w:rsid w:val="00A413EC"/>
    <w:rsid w:val="00A41BDC"/>
    <w:rsid w:val="00A42E21"/>
    <w:rsid w:val="00A520A9"/>
    <w:rsid w:val="00A52218"/>
    <w:rsid w:val="00A53D9A"/>
    <w:rsid w:val="00A56658"/>
    <w:rsid w:val="00A702AC"/>
    <w:rsid w:val="00A75714"/>
    <w:rsid w:val="00A767DB"/>
    <w:rsid w:val="00A76E1B"/>
    <w:rsid w:val="00A808F2"/>
    <w:rsid w:val="00A8132C"/>
    <w:rsid w:val="00A84D7D"/>
    <w:rsid w:val="00A96ECA"/>
    <w:rsid w:val="00AA2700"/>
    <w:rsid w:val="00AA6884"/>
    <w:rsid w:val="00AB090E"/>
    <w:rsid w:val="00AC2F86"/>
    <w:rsid w:val="00AC32A8"/>
    <w:rsid w:val="00AC53D0"/>
    <w:rsid w:val="00AC603A"/>
    <w:rsid w:val="00AC615D"/>
    <w:rsid w:val="00AD26EA"/>
    <w:rsid w:val="00AE20AA"/>
    <w:rsid w:val="00AF05DC"/>
    <w:rsid w:val="00AF30C4"/>
    <w:rsid w:val="00B00BA6"/>
    <w:rsid w:val="00B01A6D"/>
    <w:rsid w:val="00B026F8"/>
    <w:rsid w:val="00B02CCE"/>
    <w:rsid w:val="00B06E81"/>
    <w:rsid w:val="00B06F40"/>
    <w:rsid w:val="00B10700"/>
    <w:rsid w:val="00B1228A"/>
    <w:rsid w:val="00B133F7"/>
    <w:rsid w:val="00B14092"/>
    <w:rsid w:val="00B23914"/>
    <w:rsid w:val="00B2561C"/>
    <w:rsid w:val="00B32072"/>
    <w:rsid w:val="00B32403"/>
    <w:rsid w:val="00B35867"/>
    <w:rsid w:val="00B3780A"/>
    <w:rsid w:val="00B37BC8"/>
    <w:rsid w:val="00B46165"/>
    <w:rsid w:val="00B50EC5"/>
    <w:rsid w:val="00B50ED8"/>
    <w:rsid w:val="00B54086"/>
    <w:rsid w:val="00B63096"/>
    <w:rsid w:val="00B642EA"/>
    <w:rsid w:val="00B71B46"/>
    <w:rsid w:val="00B83973"/>
    <w:rsid w:val="00B915E1"/>
    <w:rsid w:val="00B93124"/>
    <w:rsid w:val="00B935AA"/>
    <w:rsid w:val="00B94C76"/>
    <w:rsid w:val="00B95F3A"/>
    <w:rsid w:val="00B96777"/>
    <w:rsid w:val="00BA2E11"/>
    <w:rsid w:val="00BA32A8"/>
    <w:rsid w:val="00BA622C"/>
    <w:rsid w:val="00BA78E5"/>
    <w:rsid w:val="00BA7E45"/>
    <w:rsid w:val="00BB2D89"/>
    <w:rsid w:val="00BB3EF0"/>
    <w:rsid w:val="00BB5AAA"/>
    <w:rsid w:val="00BB5BC0"/>
    <w:rsid w:val="00BC2777"/>
    <w:rsid w:val="00BC2C1B"/>
    <w:rsid w:val="00BC2DCA"/>
    <w:rsid w:val="00BC34AA"/>
    <w:rsid w:val="00BC56A5"/>
    <w:rsid w:val="00BC5D5C"/>
    <w:rsid w:val="00BC7068"/>
    <w:rsid w:val="00BD10F9"/>
    <w:rsid w:val="00BD3B42"/>
    <w:rsid w:val="00BE0BA8"/>
    <w:rsid w:val="00BE4180"/>
    <w:rsid w:val="00BE65ED"/>
    <w:rsid w:val="00BE7EB5"/>
    <w:rsid w:val="00C013BB"/>
    <w:rsid w:val="00C02B32"/>
    <w:rsid w:val="00C03ACD"/>
    <w:rsid w:val="00C15B3D"/>
    <w:rsid w:val="00C20607"/>
    <w:rsid w:val="00C22BDB"/>
    <w:rsid w:val="00C22E3B"/>
    <w:rsid w:val="00C2359C"/>
    <w:rsid w:val="00C2652C"/>
    <w:rsid w:val="00C27296"/>
    <w:rsid w:val="00C328B6"/>
    <w:rsid w:val="00C32B82"/>
    <w:rsid w:val="00C45103"/>
    <w:rsid w:val="00C51A41"/>
    <w:rsid w:val="00C5640D"/>
    <w:rsid w:val="00C56923"/>
    <w:rsid w:val="00C56929"/>
    <w:rsid w:val="00C578A0"/>
    <w:rsid w:val="00C63E81"/>
    <w:rsid w:val="00C65B36"/>
    <w:rsid w:val="00C66328"/>
    <w:rsid w:val="00C663C5"/>
    <w:rsid w:val="00C7147C"/>
    <w:rsid w:val="00C735B4"/>
    <w:rsid w:val="00C851E6"/>
    <w:rsid w:val="00C859AA"/>
    <w:rsid w:val="00C85CEA"/>
    <w:rsid w:val="00C91359"/>
    <w:rsid w:val="00C91484"/>
    <w:rsid w:val="00C93E4B"/>
    <w:rsid w:val="00CB0490"/>
    <w:rsid w:val="00CB320B"/>
    <w:rsid w:val="00CB3983"/>
    <w:rsid w:val="00CC1F2A"/>
    <w:rsid w:val="00CC235D"/>
    <w:rsid w:val="00CC77A8"/>
    <w:rsid w:val="00CD0ADA"/>
    <w:rsid w:val="00CD1A8C"/>
    <w:rsid w:val="00CD29AD"/>
    <w:rsid w:val="00CE1BD1"/>
    <w:rsid w:val="00CE406E"/>
    <w:rsid w:val="00CF19D7"/>
    <w:rsid w:val="00CF2069"/>
    <w:rsid w:val="00CF480D"/>
    <w:rsid w:val="00CF6C34"/>
    <w:rsid w:val="00CF77EB"/>
    <w:rsid w:val="00D005DE"/>
    <w:rsid w:val="00D019B6"/>
    <w:rsid w:val="00D04E6C"/>
    <w:rsid w:val="00D13285"/>
    <w:rsid w:val="00D14E68"/>
    <w:rsid w:val="00D150E3"/>
    <w:rsid w:val="00D22D58"/>
    <w:rsid w:val="00D26240"/>
    <w:rsid w:val="00D27D75"/>
    <w:rsid w:val="00D30D5F"/>
    <w:rsid w:val="00D346D3"/>
    <w:rsid w:val="00D402FE"/>
    <w:rsid w:val="00D42887"/>
    <w:rsid w:val="00D5036E"/>
    <w:rsid w:val="00D53B01"/>
    <w:rsid w:val="00D55495"/>
    <w:rsid w:val="00D56AE8"/>
    <w:rsid w:val="00D64D96"/>
    <w:rsid w:val="00D65A03"/>
    <w:rsid w:val="00D72067"/>
    <w:rsid w:val="00D8047A"/>
    <w:rsid w:val="00D835A0"/>
    <w:rsid w:val="00D93CE4"/>
    <w:rsid w:val="00D951C1"/>
    <w:rsid w:val="00DA08E9"/>
    <w:rsid w:val="00DA25ED"/>
    <w:rsid w:val="00DA4DE7"/>
    <w:rsid w:val="00DA67AD"/>
    <w:rsid w:val="00DA70A3"/>
    <w:rsid w:val="00DB4CF2"/>
    <w:rsid w:val="00DB6FE1"/>
    <w:rsid w:val="00DB738F"/>
    <w:rsid w:val="00DC0F1C"/>
    <w:rsid w:val="00DC28E0"/>
    <w:rsid w:val="00DC422D"/>
    <w:rsid w:val="00DC4D2E"/>
    <w:rsid w:val="00DD17CA"/>
    <w:rsid w:val="00DD4A40"/>
    <w:rsid w:val="00DD645C"/>
    <w:rsid w:val="00DE2197"/>
    <w:rsid w:val="00DE385A"/>
    <w:rsid w:val="00DE533A"/>
    <w:rsid w:val="00DE7DA4"/>
    <w:rsid w:val="00DF04F7"/>
    <w:rsid w:val="00DF36E5"/>
    <w:rsid w:val="00DF73D4"/>
    <w:rsid w:val="00DF7461"/>
    <w:rsid w:val="00E010CB"/>
    <w:rsid w:val="00E0271A"/>
    <w:rsid w:val="00E027E8"/>
    <w:rsid w:val="00E04288"/>
    <w:rsid w:val="00E04F75"/>
    <w:rsid w:val="00E129AE"/>
    <w:rsid w:val="00E14F09"/>
    <w:rsid w:val="00E15646"/>
    <w:rsid w:val="00E17CBA"/>
    <w:rsid w:val="00E22CF0"/>
    <w:rsid w:val="00E25EB4"/>
    <w:rsid w:val="00E340D0"/>
    <w:rsid w:val="00E3532E"/>
    <w:rsid w:val="00E3690D"/>
    <w:rsid w:val="00E37654"/>
    <w:rsid w:val="00E47633"/>
    <w:rsid w:val="00E47D15"/>
    <w:rsid w:val="00E50650"/>
    <w:rsid w:val="00E5172A"/>
    <w:rsid w:val="00E534DE"/>
    <w:rsid w:val="00E570B2"/>
    <w:rsid w:val="00E679FA"/>
    <w:rsid w:val="00E734BD"/>
    <w:rsid w:val="00E7516C"/>
    <w:rsid w:val="00E752E9"/>
    <w:rsid w:val="00E76F92"/>
    <w:rsid w:val="00E77B39"/>
    <w:rsid w:val="00E837D1"/>
    <w:rsid w:val="00E854AD"/>
    <w:rsid w:val="00E87003"/>
    <w:rsid w:val="00E92326"/>
    <w:rsid w:val="00E92E28"/>
    <w:rsid w:val="00E93135"/>
    <w:rsid w:val="00EA199B"/>
    <w:rsid w:val="00EC6351"/>
    <w:rsid w:val="00ED1B25"/>
    <w:rsid w:val="00ED3433"/>
    <w:rsid w:val="00EF3C0E"/>
    <w:rsid w:val="00EF57E4"/>
    <w:rsid w:val="00EF7194"/>
    <w:rsid w:val="00F032D6"/>
    <w:rsid w:val="00F042F1"/>
    <w:rsid w:val="00F047EF"/>
    <w:rsid w:val="00F13968"/>
    <w:rsid w:val="00F1714B"/>
    <w:rsid w:val="00F17EC5"/>
    <w:rsid w:val="00F214ED"/>
    <w:rsid w:val="00F24947"/>
    <w:rsid w:val="00F267DB"/>
    <w:rsid w:val="00F278D2"/>
    <w:rsid w:val="00F31B52"/>
    <w:rsid w:val="00F35EB7"/>
    <w:rsid w:val="00F4197B"/>
    <w:rsid w:val="00F439A3"/>
    <w:rsid w:val="00F4518A"/>
    <w:rsid w:val="00F47394"/>
    <w:rsid w:val="00F549E2"/>
    <w:rsid w:val="00F57DCF"/>
    <w:rsid w:val="00F607AA"/>
    <w:rsid w:val="00F67538"/>
    <w:rsid w:val="00F702C5"/>
    <w:rsid w:val="00F70CB7"/>
    <w:rsid w:val="00F710B1"/>
    <w:rsid w:val="00F728F5"/>
    <w:rsid w:val="00F73BA6"/>
    <w:rsid w:val="00F77C25"/>
    <w:rsid w:val="00F8028E"/>
    <w:rsid w:val="00F831D9"/>
    <w:rsid w:val="00F840A6"/>
    <w:rsid w:val="00F855C1"/>
    <w:rsid w:val="00F87D2F"/>
    <w:rsid w:val="00F90C4D"/>
    <w:rsid w:val="00F92A38"/>
    <w:rsid w:val="00F93331"/>
    <w:rsid w:val="00FA473F"/>
    <w:rsid w:val="00FA637A"/>
    <w:rsid w:val="00FA7043"/>
    <w:rsid w:val="00FB6237"/>
    <w:rsid w:val="00FB7D79"/>
    <w:rsid w:val="00FC1507"/>
    <w:rsid w:val="00FC6A37"/>
    <w:rsid w:val="00FC6BC4"/>
    <w:rsid w:val="00FD47E2"/>
    <w:rsid w:val="00FE7AA6"/>
    <w:rsid w:val="00FF2751"/>
    <w:rsid w:val="00FF7EFD"/>
    <w:rsid w:val="01AE1649"/>
    <w:rsid w:val="02FC652F"/>
    <w:rsid w:val="05CC1B1A"/>
    <w:rsid w:val="0644674C"/>
    <w:rsid w:val="066E4719"/>
    <w:rsid w:val="07550C4A"/>
    <w:rsid w:val="09680BF5"/>
    <w:rsid w:val="0B0E131B"/>
    <w:rsid w:val="111B2A11"/>
    <w:rsid w:val="12764387"/>
    <w:rsid w:val="15C90318"/>
    <w:rsid w:val="16AD1AAA"/>
    <w:rsid w:val="17852965"/>
    <w:rsid w:val="1A9C249F"/>
    <w:rsid w:val="1C4E7F9D"/>
    <w:rsid w:val="2135519D"/>
    <w:rsid w:val="22C706AF"/>
    <w:rsid w:val="23676DCD"/>
    <w:rsid w:val="23C350DC"/>
    <w:rsid w:val="25761ED8"/>
    <w:rsid w:val="265F758F"/>
    <w:rsid w:val="27727C12"/>
    <w:rsid w:val="28810F26"/>
    <w:rsid w:val="2883618E"/>
    <w:rsid w:val="29C06C64"/>
    <w:rsid w:val="29F6324E"/>
    <w:rsid w:val="2C2614A3"/>
    <w:rsid w:val="2C8A5F48"/>
    <w:rsid w:val="2D945251"/>
    <w:rsid w:val="30C37B2F"/>
    <w:rsid w:val="31FA7A89"/>
    <w:rsid w:val="32B51EF8"/>
    <w:rsid w:val="355157DD"/>
    <w:rsid w:val="36127662"/>
    <w:rsid w:val="367B15DB"/>
    <w:rsid w:val="36C6421D"/>
    <w:rsid w:val="37D44BCF"/>
    <w:rsid w:val="381C47C8"/>
    <w:rsid w:val="38A071A7"/>
    <w:rsid w:val="38C764E2"/>
    <w:rsid w:val="390D40A1"/>
    <w:rsid w:val="39352CB6"/>
    <w:rsid w:val="3B286FE0"/>
    <w:rsid w:val="3C157564"/>
    <w:rsid w:val="3CC03839"/>
    <w:rsid w:val="3CDA518C"/>
    <w:rsid w:val="3D8C3C12"/>
    <w:rsid w:val="3E8E35FE"/>
    <w:rsid w:val="3FC65745"/>
    <w:rsid w:val="409F7D44"/>
    <w:rsid w:val="445448B1"/>
    <w:rsid w:val="449D369B"/>
    <w:rsid w:val="44A92F3F"/>
    <w:rsid w:val="451231DA"/>
    <w:rsid w:val="45F35D2E"/>
    <w:rsid w:val="4AF11CB1"/>
    <w:rsid w:val="4B3317B5"/>
    <w:rsid w:val="4BB46C21"/>
    <w:rsid w:val="4E094A4F"/>
    <w:rsid w:val="4E296051"/>
    <w:rsid w:val="4F7E2395"/>
    <w:rsid w:val="51647C93"/>
    <w:rsid w:val="519C33DF"/>
    <w:rsid w:val="523544B5"/>
    <w:rsid w:val="558863EB"/>
    <w:rsid w:val="55913CA7"/>
    <w:rsid w:val="56C854A7"/>
    <w:rsid w:val="573A4F31"/>
    <w:rsid w:val="5CF66079"/>
    <w:rsid w:val="5D5D753E"/>
    <w:rsid w:val="5E32606C"/>
    <w:rsid w:val="5F2F7FC5"/>
    <w:rsid w:val="5FF63777"/>
    <w:rsid w:val="5FF96161"/>
    <w:rsid w:val="61F47A98"/>
    <w:rsid w:val="630C2186"/>
    <w:rsid w:val="637B3250"/>
    <w:rsid w:val="63ED1A52"/>
    <w:rsid w:val="649E5096"/>
    <w:rsid w:val="6553254E"/>
    <w:rsid w:val="670A2F7A"/>
    <w:rsid w:val="67167D84"/>
    <w:rsid w:val="681C7E16"/>
    <w:rsid w:val="6A3550F2"/>
    <w:rsid w:val="6E296C41"/>
    <w:rsid w:val="6E36589D"/>
    <w:rsid w:val="6F884180"/>
    <w:rsid w:val="708D58E1"/>
    <w:rsid w:val="71300B89"/>
    <w:rsid w:val="714B5103"/>
    <w:rsid w:val="77353EF9"/>
    <w:rsid w:val="78D766BD"/>
    <w:rsid w:val="79B42AF3"/>
    <w:rsid w:val="7A030ACB"/>
    <w:rsid w:val="7B144F61"/>
    <w:rsid w:val="7B58269F"/>
    <w:rsid w:val="7B76484C"/>
    <w:rsid w:val="7C1C7C9C"/>
    <w:rsid w:val="7DB13FBF"/>
    <w:rsid w:val="7E1D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spacing w:line="440" w:lineRule="exact"/>
      <w:ind w:firstLine="1400" w:firstLineChars="498"/>
      <w:jc w:val="left"/>
      <w:outlineLvl w:val="2"/>
    </w:pPr>
    <w:rPr>
      <w:b/>
      <w:bCs/>
      <w:sz w:val="28"/>
    </w:rPr>
  </w:style>
  <w:style w:type="paragraph" w:styleId="3">
    <w:name w:val="heading 4"/>
    <w:basedOn w:val="1"/>
    <w:next w:val="1"/>
    <w:qFormat/>
    <w:uiPriority w:val="0"/>
    <w:pPr>
      <w:keepNext/>
      <w:spacing w:line="440" w:lineRule="exact"/>
      <w:outlineLvl w:val="3"/>
    </w:pPr>
    <w:rPr>
      <w:b/>
      <w:bCs/>
      <w:sz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unhideWhenUsed/>
    <w:qFormat/>
    <w:uiPriority w:val="99"/>
    <w:pPr>
      <w:jc w:val="left"/>
    </w:pPr>
  </w:style>
  <w:style w:type="paragraph" w:styleId="5">
    <w:name w:val="Body Text"/>
    <w:basedOn w:val="1"/>
    <w:semiHidden/>
    <w:qFormat/>
    <w:uiPriority w:val="0"/>
    <w:rPr>
      <w:rFonts w:ascii="宋体" w:hAnsi="宋体" w:cs="宋体"/>
      <w:sz w:val="20"/>
      <w:szCs w:val="20"/>
      <w:lang w:eastAsia="en-US"/>
    </w:rPr>
  </w:style>
  <w:style w:type="paragraph" w:styleId="6">
    <w:name w:val="Body Text Indent"/>
    <w:basedOn w:val="1"/>
    <w:qFormat/>
    <w:uiPriority w:val="0"/>
    <w:pPr>
      <w:spacing w:line="440" w:lineRule="exact"/>
      <w:ind w:firstLine="560" w:firstLineChars="200"/>
    </w:pPr>
    <w:rPr>
      <w:sz w:val="28"/>
    </w:rPr>
  </w:style>
  <w:style w:type="paragraph" w:styleId="7">
    <w:name w:val="Date"/>
    <w:basedOn w:val="1"/>
    <w:next w:val="1"/>
    <w:link w:val="16"/>
    <w:unhideWhenUsed/>
    <w:qFormat/>
    <w:uiPriority w:val="99"/>
    <w:pPr>
      <w:ind w:left="100" w:leftChars="2500"/>
    </w:pPr>
  </w:style>
  <w:style w:type="paragraph" w:styleId="8">
    <w:name w:val="Body Text Indent 2"/>
    <w:basedOn w:val="1"/>
    <w:qFormat/>
    <w:uiPriority w:val="0"/>
    <w:pPr>
      <w:spacing w:line="440" w:lineRule="exact"/>
      <w:ind w:firstLine="420" w:firstLineChars="200"/>
    </w:pPr>
  </w:style>
  <w:style w:type="paragraph" w:styleId="9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qFormat/>
    <w:uiPriority w:val="0"/>
  </w:style>
  <w:style w:type="character" w:customStyle="1" w:styleId="16">
    <w:name w:val="日期 Char"/>
    <w:link w:val="7"/>
    <w:semiHidden/>
    <w:qFormat/>
    <w:uiPriority w:val="99"/>
    <w:rPr>
      <w:kern w:val="2"/>
      <w:sz w:val="21"/>
      <w:szCs w:val="24"/>
    </w:rPr>
  </w:style>
  <w:style w:type="character" w:customStyle="1" w:styleId="17">
    <w:name w:val="批注框文本 Char"/>
    <w:link w:val="9"/>
    <w:semiHidden/>
    <w:qFormat/>
    <w:uiPriority w:val="99"/>
    <w:rPr>
      <w:kern w:val="2"/>
      <w:sz w:val="18"/>
      <w:szCs w:val="18"/>
    </w:rPr>
  </w:style>
  <w:style w:type="character" w:customStyle="1" w:styleId="18">
    <w:name w:val="页眉 Char"/>
    <w:link w:val="11"/>
    <w:qFormat/>
    <w:locked/>
    <w:uiPriority w:val="99"/>
    <w:rPr>
      <w:kern w:val="2"/>
      <w:sz w:val="18"/>
      <w:szCs w:val="18"/>
    </w:rPr>
  </w:style>
  <w:style w:type="character" w:customStyle="1" w:styleId="19">
    <w:name w:val="high-light-bg"/>
    <w:qFormat/>
    <w:uiPriority w:val="0"/>
  </w:style>
  <w:style w:type="character" w:customStyle="1" w:styleId="20">
    <w:name w:val="apple-converted-space"/>
    <w:qFormat/>
    <w:uiPriority w:val="0"/>
  </w:style>
  <w:style w:type="character" w:customStyle="1" w:styleId="21">
    <w:name w:val="发布"/>
    <w:qFormat/>
    <w:uiPriority w:val="0"/>
    <w:rPr>
      <w:rFonts w:ascii="黑体" w:eastAsia="黑体"/>
      <w:spacing w:val="22"/>
      <w:w w:val="100"/>
      <w:position w:val="3"/>
      <w:sz w:val="28"/>
    </w:rPr>
  </w:style>
  <w:style w:type="character" w:customStyle="1" w:styleId="22">
    <w:name w:val="段 Char"/>
    <w:link w:val="23"/>
    <w:qFormat/>
    <w:locked/>
    <w:uiPriority w:val="0"/>
    <w:rPr>
      <w:rFonts w:ascii="宋体"/>
      <w:sz w:val="21"/>
    </w:rPr>
  </w:style>
  <w:style w:type="paragraph" w:customStyle="1" w:styleId="23">
    <w:name w:val="段"/>
    <w:link w:val="22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4">
    <w:name w:val="封面标准号2"/>
    <w:qFormat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25">
    <w:name w:val="前言、引言标题"/>
    <w:next w:val="1"/>
    <w:qFormat/>
    <w:uiPriority w:val="0"/>
    <w:pPr>
      <w:numPr>
        <w:ilvl w:val="0"/>
        <w:numId w:val="1"/>
      </w:num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26">
    <w:name w:val="其他标准称谓"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27">
    <w:name w:val="发布日期"/>
    <w:qFormat/>
    <w:uiPriority w:val="0"/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28">
    <w:name w:val="标准书眉_偶数页"/>
    <w:basedOn w:val="29"/>
    <w:next w:val="1"/>
    <w:qFormat/>
    <w:uiPriority w:val="0"/>
    <w:pPr>
      <w:tabs>
        <w:tab w:val="center" w:pos="4154"/>
        <w:tab w:val="right" w:pos="8306"/>
      </w:tabs>
      <w:jc w:val="left"/>
    </w:pPr>
  </w:style>
  <w:style w:type="paragraph" w:customStyle="1" w:styleId="29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30">
    <w:name w:val="标准称谓"/>
    <w:next w:val="1"/>
    <w:qFormat/>
    <w:uiPriority w:val="0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52"/>
      <w:lang w:val="en-US" w:eastAsia="zh-CN" w:bidi="ar-SA"/>
    </w:rPr>
  </w:style>
  <w:style w:type="paragraph" w:customStyle="1" w:styleId="31">
    <w:name w:val="封面标准英文名称"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32">
    <w:name w:val="修订1"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3">
    <w:name w:val="发布部门"/>
    <w:next w:val="1"/>
    <w:qFormat/>
    <w:uiPriority w:val="0"/>
    <w:pPr>
      <w:jc w:val="center"/>
    </w:pPr>
    <w:rPr>
      <w:rFonts w:ascii="宋体" w:hAnsi="Times New Roman" w:eastAsia="宋体" w:cs="Times New Roman"/>
      <w:b/>
      <w:spacing w:val="20"/>
      <w:w w:val="135"/>
      <w:sz w:val="36"/>
      <w:lang w:val="en-US" w:eastAsia="zh-CN" w:bidi="ar-SA"/>
    </w:rPr>
  </w:style>
  <w:style w:type="paragraph" w:customStyle="1" w:styleId="34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35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6">
    <w:name w:val="标准标志"/>
    <w:next w:val="1"/>
    <w:qFormat/>
    <w:uiPriority w:val="0"/>
    <w:pPr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30"/>
      <w:sz w:val="96"/>
      <w:lang w:val="en-US" w:eastAsia="zh-CN" w:bidi="ar-SA"/>
    </w:rPr>
  </w:style>
  <w:style w:type="paragraph" w:customStyle="1" w:styleId="37">
    <w:name w:val="实施日期"/>
    <w:basedOn w:val="27"/>
    <w:qFormat/>
    <w:uiPriority w:val="0"/>
    <w:pPr>
      <w:jc w:val="right"/>
    </w:pPr>
  </w:style>
  <w:style w:type="paragraph" w:customStyle="1" w:styleId="38">
    <w:name w:val="p18"/>
    <w:basedOn w:val="1"/>
    <w:qFormat/>
    <w:uiPriority w:val="0"/>
    <w:pPr>
      <w:widowControl/>
      <w:spacing w:beforeLines="50" w:afterLines="50"/>
      <w:jc w:val="left"/>
    </w:pPr>
    <w:rPr>
      <w:rFonts w:ascii="黑体" w:hAnsi="宋体" w:eastAsia="黑体" w:cs="宋体"/>
      <w:kern w:val="0"/>
      <w:szCs w:val="21"/>
    </w:rPr>
  </w:style>
  <w:style w:type="paragraph" w:customStyle="1" w:styleId="39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0">
    <w:name w:val="文献分类号"/>
    <w:qFormat/>
    <w:uiPriority w:val="0"/>
    <w:pPr>
      <w:widowControl w:val="0"/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41">
    <w:name w:val="p19"/>
    <w:basedOn w:val="1"/>
    <w:qFormat/>
    <w:uiPriority w:val="0"/>
    <w:pPr>
      <w:widowControl/>
      <w:ind w:firstLine="420"/>
    </w:pPr>
    <w:rPr>
      <w:rFonts w:ascii="宋体" w:hAnsi="宋体" w:cs="宋体"/>
      <w:kern w:val="0"/>
      <w:szCs w:val="21"/>
    </w:rPr>
  </w:style>
  <w:style w:type="paragraph" w:customStyle="1" w:styleId="42">
    <w:name w:val="标准书脚_偶数页"/>
    <w:qFormat/>
    <w:uiPriority w:val="0"/>
    <w:pPr>
      <w:spacing w:before="120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43">
    <w:name w:val="封面标准文稿编辑信息"/>
    <w:qFormat/>
    <w:uiPriority w:val="99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4">
    <w:name w:val="封面标准名称"/>
    <w:qFormat/>
    <w:uiPriority w:val="0"/>
    <w:pPr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table" w:customStyle="1" w:styleId="4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6">
    <w:name w:val="Table Text"/>
    <w:basedOn w:val="1"/>
    <w:semiHidden/>
    <w:qFormat/>
    <w:uiPriority w:val="0"/>
    <w:rPr>
      <w:rFonts w:ascii="微软雅黑" w:hAnsi="微软雅黑" w:eastAsia="微软雅黑" w:cs="微软雅黑"/>
      <w:sz w:val="15"/>
      <w:szCs w:val="15"/>
      <w:lang w:eastAsia="en-US"/>
    </w:rPr>
  </w:style>
  <w:style w:type="character" w:styleId="47">
    <w:name w:val="Placeholder Text"/>
    <w:basedOn w:val="14"/>
    <w:unhideWhenUsed/>
    <w:qFormat/>
    <w:uiPriority w:val="99"/>
    <w:rPr>
      <w:color w:val="808080"/>
    </w:rPr>
  </w:style>
  <w:style w:type="paragraph" w:customStyle="1" w:styleId="48">
    <w:name w:val="修订2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customStyle="1" w:styleId="49">
    <w:name w:val="网格表 21"/>
    <w:basedOn w:val="12"/>
    <w:qFormat/>
    <w:uiPriority w:val="47"/>
    <w:tblPr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paragraph" w:styleId="5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1.emf"/><Relationship Id="rId11" Type="http://schemas.openxmlformats.org/officeDocument/2006/relationships/package" Target="embeddings/Microsoft_Visio___1.vsdx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6</Pages>
  <Words>421</Words>
  <Characters>2406</Characters>
  <Lines>20</Lines>
  <Paragraphs>5</Paragraphs>
  <TotalTime>239</TotalTime>
  <ScaleCrop>false</ScaleCrop>
  <LinksUpToDate>false</LinksUpToDate>
  <CharactersWithSpaces>2822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2023-10-23T06:18:00Z</dcterms:created>
  <dc:creator>推荐书</dc:creator>
  <cp:lastModifiedBy>LEO</cp:lastModifiedBy>
  <cp:lastPrinted>2023-03-14T01:10:00Z</cp:lastPrinted>
  <dcterms:modified xsi:type="dcterms:W3CDTF">2023-10-31T07:46:11Z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30DC410C6E8C4690859AA6A3EA9C32CF_13</vt:lpwstr>
  </property>
</Properties>
</file>