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imes New Roman" w:hAnsi="Times New Roman" w:eastAsia="仿宋" w:cs="Times New Roman"/>
          <w:sz w:val="44"/>
          <w:szCs w:val="44"/>
        </w:rPr>
      </w:pPr>
      <w:bookmarkStart w:id="0" w:name="_Hlk56789505"/>
    </w:p>
    <w:p>
      <w:pPr>
        <w:spacing w:before="100" w:beforeAutospacing="1" w:after="100" w:afterAutospacing="1" w:line="360" w:lineRule="auto"/>
        <w:jc w:val="center"/>
        <w:rPr>
          <w:rFonts w:ascii="Times New Roman" w:hAnsi="Times New Roman" w:eastAsia="仿宋" w:cs="Times New Roman"/>
          <w:sz w:val="44"/>
          <w:szCs w:val="44"/>
        </w:rPr>
      </w:pPr>
    </w:p>
    <w:p>
      <w:pPr>
        <w:spacing w:before="100" w:beforeAutospacing="1" w:after="100" w:afterAutospacing="1" w:line="360" w:lineRule="auto"/>
        <w:jc w:val="center"/>
        <w:rPr>
          <w:rFonts w:ascii="Times New Roman" w:hAnsi="Times New Roman" w:eastAsia="仿宋" w:cs="Times New Roman"/>
          <w:sz w:val="44"/>
          <w:szCs w:val="44"/>
        </w:rPr>
      </w:pPr>
    </w:p>
    <w:p>
      <w:pPr>
        <w:spacing w:before="100" w:beforeAutospacing="1" w:after="100" w:afterAutospacing="1" w:line="360" w:lineRule="auto"/>
        <w:jc w:val="center"/>
        <w:rPr>
          <w:rFonts w:ascii="黑体" w:hAnsi="黑体" w:eastAsia="黑体" w:cs="Times New Roman"/>
          <w:sz w:val="44"/>
          <w:szCs w:val="44"/>
        </w:rPr>
      </w:pPr>
    </w:p>
    <w:p>
      <w:pPr>
        <w:spacing w:before="100" w:beforeAutospacing="1" w:after="100" w:afterAutospacing="1" w:line="360" w:lineRule="auto"/>
        <w:jc w:val="center"/>
        <w:rPr>
          <w:rFonts w:ascii="黑体" w:hAnsi="黑体" w:eastAsia="黑体" w:cs="Times New Roman"/>
          <w:sz w:val="44"/>
          <w:szCs w:val="44"/>
        </w:rPr>
      </w:pPr>
      <w:r>
        <w:rPr>
          <w:rFonts w:ascii="黑体" w:hAnsi="黑体" w:eastAsia="黑体" w:cs="Times New Roman"/>
          <w:sz w:val="44"/>
          <w:szCs w:val="44"/>
        </w:rPr>
        <w:t>行业标准</w:t>
      </w:r>
    </w:p>
    <w:p>
      <w:pPr>
        <w:spacing w:before="100" w:beforeAutospacing="1" w:after="100" w:afterAutospacing="1" w:line="360" w:lineRule="auto"/>
        <w:jc w:val="center"/>
        <w:rPr>
          <w:rFonts w:ascii="黑体" w:hAnsi="黑体" w:eastAsia="黑体" w:cs="Times New Roman"/>
          <w:sz w:val="44"/>
          <w:szCs w:val="44"/>
        </w:rPr>
      </w:pPr>
    </w:p>
    <w:p>
      <w:pPr>
        <w:spacing w:before="100" w:beforeAutospacing="1" w:after="100" w:afterAutospacing="1" w:line="360" w:lineRule="auto"/>
        <w:jc w:val="center"/>
        <w:rPr>
          <w:rFonts w:ascii="黑体" w:hAnsi="黑体" w:eastAsia="黑体" w:cs="Times New Roman"/>
          <w:sz w:val="44"/>
          <w:szCs w:val="44"/>
        </w:rPr>
      </w:pPr>
      <w:r>
        <w:rPr>
          <w:rFonts w:ascii="黑体" w:hAnsi="黑体" w:eastAsia="黑体" w:cs="Times New Roman"/>
          <w:sz w:val="44"/>
          <w:szCs w:val="44"/>
        </w:rPr>
        <w:t>《</w:t>
      </w:r>
      <w:r>
        <w:rPr>
          <w:rFonts w:hint="eastAsia" w:ascii="黑体" w:hAnsi="黑体" w:eastAsia="黑体" w:cs="Times New Roman"/>
          <w:sz w:val="44"/>
          <w:szCs w:val="44"/>
          <w:lang w:val="en-US" w:eastAsia="zh-CN"/>
        </w:rPr>
        <w:t>铝电解槽技术参数测量方法</w:t>
      </w:r>
      <w:r>
        <w:rPr>
          <w:rFonts w:ascii="黑体" w:hAnsi="黑体" w:eastAsia="黑体" w:cs="Times New Roman"/>
          <w:sz w:val="44"/>
          <w:szCs w:val="44"/>
        </w:rPr>
        <w:t>》</w:t>
      </w:r>
    </w:p>
    <w:p>
      <w:pPr>
        <w:spacing w:before="100" w:beforeAutospacing="1" w:after="100" w:afterAutospacing="1" w:line="360" w:lineRule="auto"/>
        <w:jc w:val="center"/>
        <w:rPr>
          <w:rFonts w:ascii="黑体" w:hAnsi="黑体" w:eastAsia="黑体" w:cs="Times New Roman"/>
          <w:sz w:val="32"/>
          <w:szCs w:val="32"/>
        </w:rPr>
      </w:pPr>
      <w:r>
        <w:rPr>
          <w:rFonts w:hint="eastAsia" w:ascii="黑体" w:hAnsi="黑体" w:eastAsia="黑体" w:cs="Times New Roman"/>
          <w:sz w:val="32"/>
          <w:szCs w:val="32"/>
        </w:rPr>
        <w:t>（送审稿）</w:t>
      </w:r>
    </w:p>
    <w:p>
      <w:pPr>
        <w:spacing w:before="100" w:beforeAutospacing="1" w:after="100" w:afterAutospacing="1" w:line="360" w:lineRule="auto"/>
        <w:jc w:val="center"/>
        <w:rPr>
          <w:rFonts w:ascii="黑体" w:hAnsi="黑体" w:eastAsia="黑体" w:cs="Times New Roman"/>
          <w:sz w:val="32"/>
          <w:szCs w:val="32"/>
        </w:rPr>
      </w:pPr>
    </w:p>
    <w:p>
      <w:pPr>
        <w:spacing w:before="100" w:beforeAutospacing="1" w:after="100" w:afterAutospacing="1" w:line="360" w:lineRule="auto"/>
        <w:jc w:val="center"/>
        <w:rPr>
          <w:rFonts w:hint="eastAsia" w:ascii="黑体" w:hAnsi="黑体" w:eastAsia="黑体" w:cs="Times New Roman"/>
          <w:sz w:val="32"/>
          <w:szCs w:val="32"/>
          <w:lang w:val="en-US" w:eastAsia="zh-CN"/>
        </w:rPr>
        <w:sectPr>
          <w:footerReference r:id="rId5" w:type="first"/>
          <w:footerReference r:id="rId3" w:type="default"/>
          <w:footerReference r:id="rId4" w:type="even"/>
          <w:pgSz w:w="11906" w:h="16838"/>
          <w:pgMar w:top="1440" w:right="1418" w:bottom="1418" w:left="1797" w:header="851" w:footer="992" w:gutter="0"/>
          <w:pgNumType w:fmt="decimal" w:start="1"/>
          <w:cols w:space="425" w:num="1"/>
          <w:titlePg/>
          <w:docGrid w:type="lines" w:linePitch="312" w:charSpace="0"/>
        </w:sectPr>
      </w:pPr>
      <w:r>
        <w:rPr>
          <w:rFonts w:ascii="黑体" w:hAnsi="黑体" w:eastAsia="黑体" w:cs="Times New Roman"/>
          <w:sz w:val="44"/>
          <w:szCs w:val="44"/>
        </w:rPr>
        <w:t>编制</w:t>
      </w:r>
      <w:r>
        <w:rPr>
          <w:rFonts w:hint="eastAsia" w:ascii="黑体" w:hAnsi="黑体" w:eastAsia="黑体" w:cs="Times New Roman"/>
          <w:sz w:val="44"/>
          <w:szCs w:val="44"/>
          <w:lang w:val="en-US" w:eastAsia="zh-CN"/>
        </w:rPr>
        <w:t>说明</w:t>
      </w:r>
    </w:p>
    <w:p>
      <w:pPr>
        <w:spacing w:before="100" w:beforeAutospacing="1" w:after="100" w:afterAutospacing="1" w:line="360" w:lineRule="auto"/>
        <w:jc w:val="both"/>
        <w:rPr>
          <w:rFonts w:hint="eastAsia" w:ascii="黑体" w:hAnsi="黑体" w:eastAsia="黑体" w:cs="Times New Roman"/>
          <w:sz w:val="32"/>
          <w:szCs w:val="32"/>
          <w:lang w:val="en-US" w:eastAsia="zh-CN"/>
        </w:rPr>
      </w:pPr>
    </w:p>
    <w:p>
      <w:pPr>
        <w:widowControl/>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行业标准</w:t>
      </w:r>
    </w:p>
    <w:p>
      <w:pPr>
        <w:spacing w:before="100" w:beforeAutospacing="1" w:after="100" w:afterAutospacing="1"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铝电解槽技术参数测量方法</w:t>
      </w:r>
      <w:r>
        <w:rPr>
          <w:rFonts w:ascii="Times New Roman" w:hAnsi="Times New Roman" w:eastAsia="仿宋" w:cs="Times New Roman"/>
          <w:b/>
          <w:bCs/>
          <w:sz w:val="32"/>
          <w:szCs w:val="32"/>
        </w:rPr>
        <w:t>》（送审稿）</w:t>
      </w:r>
    </w:p>
    <w:p>
      <w:pPr>
        <w:spacing w:before="100" w:beforeAutospacing="1" w:after="100" w:afterAutospacing="1"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编制说明</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工作简况</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1.1计划批准文件名称、文号及项目编号、项目名称、计划完成年限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根据工信部《工业和信息化部办公厅关于印发2022年第二批行业标准制修订和外文版项目计划的通知》（工信厅科函[2022]158号），确定由中南大学等单位编制《铝电解槽技术参数测量方法》。项目计划编号为2022-0806T-YS，项目完成年限为18个月，技术归口单位为全国有色金属标准化技术委员会。标准起草单位由中南大学、国家电投集团宁夏能源铝业有限公司、重庆旗能</w:t>
      </w:r>
      <w:r>
        <w:rPr>
          <w:rFonts w:hint="eastAsia" w:ascii="Times New Roman" w:hAnsi="Times New Roman" w:eastAsia="宋体" w:cs="Times New Roman"/>
          <w:b w:val="0"/>
          <w:bCs w:val="0"/>
          <w:sz w:val="21"/>
          <w:szCs w:val="21"/>
          <w:lang w:val="en-US" w:eastAsia="zh-CN"/>
        </w:rPr>
        <w:t>电铝</w:t>
      </w:r>
      <w:r>
        <w:rPr>
          <w:rFonts w:hint="default" w:ascii="Times New Roman" w:hAnsi="Times New Roman" w:eastAsia="宋体" w:cs="Times New Roman"/>
          <w:b w:val="0"/>
          <w:bCs w:val="0"/>
          <w:sz w:val="21"/>
          <w:szCs w:val="21"/>
          <w:lang w:val="en-US" w:eastAsia="zh-CN"/>
        </w:rPr>
        <w:t>有限公司、包头铝业有限公司、遵义铝业</w:t>
      </w:r>
      <w:r>
        <w:rPr>
          <w:rFonts w:hint="eastAsia" w:ascii="Times New Roman" w:hAnsi="Times New Roman" w:eastAsia="宋体" w:cs="Times New Roman"/>
          <w:b w:val="0"/>
          <w:bCs w:val="0"/>
          <w:sz w:val="21"/>
          <w:szCs w:val="21"/>
          <w:lang w:val="en-US" w:eastAsia="zh-CN"/>
        </w:rPr>
        <w:t>股份</w:t>
      </w:r>
      <w:r>
        <w:rPr>
          <w:rFonts w:hint="default" w:ascii="Times New Roman" w:hAnsi="Times New Roman" w:eastAsia="宋体" w:cs="Times New Roman"/>
          <w:b w:val="0"/>
          <w:bCs w:val="0"/>
          <w:sz w:val="21"/>
          <w:szCs w:val="21"/>
          <w:lang w:val="en-US" w:eastAsia="zh-CN"/>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1.2项目编制组单位变化情况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了使标准内容更加更加适用于企业需求，通过多角度提供标准编写意见，提交标准的先进性和规范性，编制组经讨论后决定，增加包头铝业（集团）有限责任公司、广西华磊新材料有限公司、烟台南山学院成为编制组成员单位。</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主要参加单位和工作成员及其所做的工作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标准主编单位中南大学</w:t>
      </w:r>
      <w:r>
        <w:rPr>
          <w:rFonts w:hint="eastAsia" w:ascii="宋体" w:hAnsi="宋体" w:eastAsia="宋体" w:cs="宋体"/>
          <w:b w:val="0"/>
          <w:bCs w:val="0"/>
          <w:sz w:val="21"/>
          <w:szCs w:val="21"/>
          <w:vertAlign w:val="baseline"/>
          <w:lang w:val="en-US" w:eastAsia="zh-CN"/>
        </w:rPr>
        <w:t>总体策划、编制、组织实施。负责主要技术的内容编写工作；在标准完善过程中，多次调研成员单位的应用情况，测试并收集现场数据，最终带领编制组完成标准的编制工作。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国家电投集团宁夏能源铝业有限公司、重庆旗能</w:t>
      </w:r>
      <w:r>
        <w:rPr>
          <w:rFonts w:hint="eastAsia" w:ascii="Times New Roman" w:hAnsi="Times New Roman" w:eastAsia="宋体" w:cs="Times New Roman"/>
          <w:b w:val="0"/>
          <w:bCs w:val="0"/>
          <w:sz w:val="21"/>
          <w:szCs w:val="21"/>
          <w:lang w:val="en-US" w:eastAsia="zh-CN"/>
        </w:rPr>
        <w:t>电铝</w:t>
      </w:r>
      <w:r>
        <w:rPr>
          <w:rFonts w:hint="default" w:ascii="Times New Roman" w:hAnsi="Times New Roman" w:eastAsia="宋体" w:cs="Times New Roman"/>
          <w:b w:val="0"/>
          <w:bCs w:val="0"/>
          <w:sz w:val="21"/>
          <w:szCs w:val="21"/>
          <w:lang w:val="en-US" w:eastAsia="zh-CN"/>
        </w:rPr>
        <w:t>有限公司、包头铝业有限公司、遵义铝业</w:t>
      </w:r>
      <w:r>
        <w:rPr>
          <w:rFonts w:hint="eastAsia" w:ascii="Times New Roman" w:hAnsi="Times New Roman" w:eastAsia="宋体" w:cs="Times New Roman"/>
          <w:b w:val="0"/>
          <w:bCs w:val="0"/>
          <w:sz w:val="21"/>
          <w:szCs w:val="21"/>
          <w:lang w:val="en-US" w:eastAsia="zh-CN"/>
        </w:rPr>
        <w:t>股份</w:t>
      </w:r>
      <w:r>
        <w:rPr>
          <w:rFonts w:hint="default" w:ascii="Times New Roman" w:hAnsi="Times New Roman" w:eastAsia="宋体" w:cs="Times New Roman"/>
          <w:b w:val="0"/>
          <w:bCs w:val="0"/>
          <w:sz w:val="21"/>
          <w:szCs w:val="21"/>
          <w:lang w:val="en-US" w:eastAsia="zh-CN"/>
        </w:rPr>
        <w:t>有限公司</w:t>
      </w:r>
      <w:r>
        <w:rPr>
          <w:rFonts w:hint="eastAsia" w:ascii="Times New Roman" w:hAnsi="Times New Roman" w:eastAsia="宋体" w:cs="Times New Roman"/>
          <w:b w:val="0"/>
          <w:bCs w:val="0"/>
          <w:sz w:val="21"/>
          <w:szCs w:val="21"/>
          <w:lang w:val="en-US" w:eastAsia="zh-CN"/>
        </w:rPr>
        <w:t>、</w:t>
      </w:r>
      <w:r>
        <w:rPr>
          <w:rFonts w:hint="eastAsia" w:ascii="宋体" w:hAnsi="宋体" w:eastAsia="宋体" w:cs="宋体"/>
          <w:b w:val="0"/>
          <w:bCs w:val="0"/>
          <w:sz w:val="21"/>
          <w:szCs w:val="21"/>
          <w:lang w:val="en-US" w:eastAsia="zh-CN"/>
        </w:rPr>
        <w:t>包头铝业（集团）有限责任公司和广西华磊新材料有限公司等6家公司作为铝电解行业代表单位，积极配合现场实验，并提供</w:t>
      </w:r>
      <w:r>
        <w:rPr>
          <w:rFonts w:hint="eastAsia" w:ascii="宋体" w:hAnsi="宋体" w:eastAsia="宋体" w:cs="宋体"/>
          <w:b w:val="0"/>
          <w:bCs w:val="0"/>
          <w:sz w:val="21"/>
          <w:szCs w:val="21"/>
          <w:vertAlign w:val="baseline"/>
          <w:lang w:val="en-US" w:eastAsia="zh-CN"/>
        </w:rPr>
        <w:t>编制组所需要各单位的现场调研情况、单位指标及真实有效的现场数据，在标准的编制过程中，对测量工具的设计、测量方法的撰写提出宝贵建议和意见。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烟台南山学院</w:t>
      </w:r>
      <w:r>
        <w:rPr>
          <w:rFonts w:hint="eastAsia" w:ascii="宋体" w:hAnsi="宋体" w:eastAsia="宋体" w:cs="宋体"/>
          <w:b w:val="0"/>
          <w:bCs w:val="0"/>
          <w:sz w:val="21"/>
          <w:szCs w:val="21"/>
          <w:vertAlign w:val="baseline"/>
          <w:lang w:val="en-US" w:eastAsia="zh-CN"/>
        </w:rPr>
        <w:t>积极配合参与调研工作，为本标准提供理论研究基础。</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val="en-US" w:eastAsia="zh-CN"/>
        </w:rPr>
        <w:t>立项阶段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2018年9月，中南大学向全国有色技术标准化技术委员会轻标委提交了《铝电解技术参数测量方法》标准的修订建议书和立项报告等材料。2019年4月17号，在浙江省桐乡市召开了有色金属标准项目论证会暨标准制修订工作会议，对《铝电解槽技术参数测量方法》修订计划进行了项目讨论。2022年4月，受新冠肺炎病毒疫情影响，无法召开现场会议，在全国有色金属标准化技术委员会轻标委支持下，召开了腾讯会议，对标准内容进行了征求意见和讨论</w:t>
      </w:r>
      <w:r>
        <w:rPr>
          <w:rFonts w:hint="eastAsia" w:ascii="Times New Roman" w:hAnsi="Times New Roman" w:eastAsia="宋体" w:cs="Times New Roman"/>
          <w:b w:val="0"/>
          <w:bCs w:val="0"/>
          <w:sz w:val="21"/>
          <w:szCs w:val="21"/>
          <w:lang w:val="en-US" w:eastAsia="zh-CN"/>
        </w:rPr>
        <w:t>，全体委员会议论结论为同意修订行业标准</w:t>
      </w:r>
      <w:r>
        <w:rPr>
          <w:rFonts w:hint="default" w:ascii="Times New Roman" w:hAnsi="Times New Roman" w:eastAsia="宋体"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2022年工业和信息化部办公厅印发《工业和信息化部办公厅关于印发2022年第二批行业标准制修订和外文版项目计划的通知》（工信厅科函[2022]158号），行业标准《铝电解槽技术参数测量方法》计划号为2022-0806T-YS，完成年限为18个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val="en-US" w:eastAsia="zh-CN"/>
        </w:rPr>
        <w:t>起草阶段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根据任务，中南大学成立了标准起草小组，根据前期的调研结果和现场测试，编制组及时修稿标准文本，形成了《铝电解槽技术参数测量标准》标准征求意见稿</w:t>
      </w: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 1 \* ROMAN \* MERGEFORMAT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cs="Times New Roman"/>
        </w:rPr>
        <w:t>I</w:t>
      </w:r>
      <w:r>
        <w:rPr>
          <w:rFonts w:hint="default" w:ascii="Times New Roman" w:hAnsi="Times New Roman" w:eastAsia="宋体" w:cs="Times New Roman"/>
          <w:b w:val="0"/>
          <w:bCs w:val="0"/>
          <w:sz w:val="21"/>
          <w:szCs w:val="21"/>
          <w:lang w:val="en-US" w:eastAsia="zh-CN"/>
        </w:rPr>
        <w:fldChar w:fldCharType="end"/>
      </w:r>
      <w:r>
        <w:rPr>
          <w:rFonts w:hint="default" w:ascii="Times New Roman" w:hAnsi="Times New Roman" w:eastAsia="宋体" w:cs="Times New Roman"/>
          <w:b w:val="0"/>
          <w:bCs w:val="0"/>
          <w:sz w:val="21"/>
          <w:szCs w:val="21"/>
          <w:lang w:val="en-US" w:eastAsia="zh-CN"/>
        </w:rPr>
        <w:t>及其编制说明。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w:t>
      </w:r>
      <w:r>
        <w:rPr>
          <w:rFonts w:hint="default" w:ascii="Times New Roman" w:hAnsi="Times New Roman" w:eastAsia="宋体" w:cs="Times New Roman"/>
          <w:b w:val="0"/>
          <w:bCs w:val="0"/>
          <w:sz w:val="21"/>
          <w:szCs w:val="21"/>
          <w:lang w:val="en-US" w:eastAsia="zh-CN"/>
        </w:rPr>
        <w:t>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2023年3月30号，在全国有色金属标准化技术委员会轻标委支持下，在衡阳召开了对《铝电解槽技术参数测量标准》第一次预审工作会议。</w:t>
      </w:r>
      <w:r>
        <w:rPr>
          <w:rFonts w:hint="eastAsia" w:ascii="Times New Roman" w:hAnsi="Times New Roman" w:eastAsia="宋体" w:cs="Times New Roman"/>
          <w:b w:val="0"/>
          <w:bCs w:val="0"/>
          <w:sz w:val="21"/>
          <w:szCs w:val="21"/>
          <w:lang w:val="en-US" w:eastAsia="zh-CN"/>
        </w:rPr>
        <w:t>起草单位</w:t>
      </w:r>
      <w:r>
        <w:rPr>
          <w:rFonts w:hint="default" w:ascii="Times New Roman" w:hAnsi="Times New Roman" w:eastAsia="宋体" w:cs="Times New Roman"/>
          <w:b w:val="0"/>
          <w:bCs w:val="0"/>
          <w:sz w:val="21"/>
          <w:szCs w:val="21"/>
          <w:lang w:val="en-US" w:eastAsia="zh-CN"/>
        </w:rPr>
        <w:t>根据会议纪要</w:t>
      </w:r>
      <w:r>
        <w:rPr>
          <w:rFonts w:hint="eastAsia" w:ascii="Times New Roman" w:hAnsi="Times New Roman" w:eastAsia="宋体" w:cs="Times New Roman"/>
          <w:b w:val="0"/>
          <w:bCs w:val="0"/>
          <w:sz w:val="21"/>
          <w:szCs w:val="21"/>
          <w:lang w:val="en-US" w:eastAsia="zh-CN"/>
        </w:rPr>
        <w:t>对意见进行整理分析</w:t>
      </w:r>
      <w:r>
        <w:rPr>
          <w:rFonts w:hint="default" w:ascii="Times New Roman" w:hAnsi="Times New Roman" w:eastAsia="宋体"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形成了</w:t>
      </w:r>
      <w:r>
        <w:rPr>
          <w:rFonts w:hint="default" w:ascii="Times New Roman" w:hAnsi="Times New Roman" w:eastAsia="宋体" w:cs="Times New Roman"/>
          <w:b w:val="0"/>
          <w:bCs w:val="0"/>
          <w:sz w:val="21"/>
          <w:szCs w:val="21"/>
          <w:lang w:val="en-US" w:eastAsia="zh-CN"/>
        </w:rPr>
        <w:t>征求意见稿</w:t>
      </w: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 2 \* ROMAN \* MERGEFORMAT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cs="Times New Roman"/>
        </w:rPr>
        <w:t>II</w:t>
      </w:r>
      <w:r>
        <w:rPr>
          <w:rFonts w:hint="default" w:ascii="Times New Roman" w:hAnsi="Times New Roman" w:eastAsia="宋体" w:cs="Times New Roman"/>
          <w:b w:val="0"/>
          <w:bCs w:val="0"/>
          <w:sz w:val="21"/>
          <w:szCs w:val="21"/>
          <w:lang w:val="en-US" w:eastAsia="zh-CN"/>
        </w:rPr>
        <w:fldChar w:fldCharType="end"/>
      </w:r>
      <w:r>
        <w:rPr>
          <w:rFonts w:hint="default" w:ascii="Times New Roman" w:hAnsi="Times New Roman" w:eastAsia="宋体" w:cs="Times New Roman"/>
          <w:b w:val="0"/>
          <w:bCs w:val="0"/>
          <w:sz w:val="21"/>
          <w:szCs w:val="21"/>
          <w:lang w:val="en-US" w:eastAsia="zh-CN"/>
        </w:rPr>
        <w:t>及其标准说明。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2023年8月22号，在全国有色金属标准化技术委员会轻标委支持下，在贵阳召开了对《铝电解槽技术参数测量标准》的第二次预审工作会议。根据与会专家及企业代表认真研究和讨论，形成了有效的更改意见，会议要求修订征求意见稿</w:t>
      </w: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 2 \* ROMAN \* MERGEFORMAT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cs="Times New Roman"/>
        </w:rPr>
        <w:t>II</w:t>
      </w:r>
      <w:r>
        <w:rPr>
          <w:rFonts w:hint="default" w:ascii="Times New Roman" w:hAnsi="Times New Roman" w:eastAsia="宋体" w:cs="Times New Roman"/>
          <w:b w:val="0"/>
          <w:bCs w:val="0"/>
          <w:sz w:val="21"/>
          <w:szCs w:val="21"/>
          <w:lang w:val="en-US" w:eastAsia="zh-CN"/>
        </w:rPr>
        <w:fldChar w:fldCharType="end"/>
      </w:r>
      <w:r>
        <w:rPr>
          <w:rFonts w:hint="default" w:ascii="Times New Roman" w:hAnsi="Times New Roman" w:eastAsia="宋体" w:cs="Times New Roman"/>
          <w:b w:val="0"/>
          <w:bCs w:val="0"/>
          <w:sz w:val="21"/>
          <w:szCs w:val="21"/>
          <w:lang w:val="en-US" w:eastAsia="zh-CN"/>
        </w:rPr>
        <w:t>及其标准说明的格式，对每一条新增内容写明编制依据，补充对企业的实测数据及成果报告作为数据支撑。根据此次会议纪要，形成征求意见稿</w:t>
      </w: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 3 \* ROMAN \* MERGEFORMAT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cs="Times New Roman"/>
        </w:rPr>
        <w:t>III</w:t>
      </w:r>
      <w:r>
        <w:rPr>
          <w:rFonts w:hint="default" w:ascii="Times New Roman" w:hAnsi="Times New Roman" w:eastAsia="宋体" w:cs="Times New Roman"/>
          <w:b w:val="0"/>
          <w:bCs w:val="0"/>
          <w:sz w:val="21"/>
          <w:szCs w:val="21"/>
          <w:lang w:val="en-US" w:eastAsia="zh-CN"/>
        </w:rPr>
        <w:fldChar w:fldCharType="end"/>
      </w:r>
      <w:r>
        <w:rPr>
          <w:rFonts w:hint="default" w:ascii="Times New Roman" w:hAnsi="Times New Roman" w:eastAsia="宋体" w:cs="Times New Roman"/>
          <w:b w:val="0"/>
          <w:bCs w:val="0"/>
          <w:sz w:val="21"/>
          <w:szCs w:val="21"/>
          <w:lang w:val="en-US" w:eastAsia="zh-CN"/>
        </w:rPr>
        <w:t>及其标准说明</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标准编制确定遵循以下几个原则：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（1）完全按照GB/T 1.1-2020《标准化工作导则 第1部分 标准的结构和编写规则》的要求进行格式、结构的编排。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依据我国铝电解生产行业发展和铝电解槽设计具体情况，参照单位实际情况及国内同行业相关信息，以规定铝电解槽技术参数测量内容，统一测量方法以及计算方法，确定铝电解槽技术参数测量方法行业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（3）使电解铝行业内技术参数标准具有科学性、先进性、普适性和规范性。</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标准主要内容的确定依据及主要试验和验证情况分析</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本标准规定了铝电解槽技术参数的测量方法。本标准适用于预焙阳极电解槽。</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规范性引用文件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下列文件对于本文件的应用是必不可少的。凡是注日期的引用文件，仅注日期的版本适用于本文件；不注日期的引用文件，其最新版本（包括所有的修改单）适用于本文件。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YS/T 480铝电解槽能量平衡测试与计算方法四点进电和两点进电预焙阳极铝电解槽。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highlight w:val="yellow"/>
          <w:lang w:val="en-US" w:eastAsia="zh-CN"/>
        </w:rPr>
      </w:pPr>
      <w:r>
        <w:rPr>
          <w:rFonts w:hint="default" w:ascii="Times New Roman" w:hAnsi="Times New Roman" w:eastAsia="宋体" w:cs="Times New Roman"/>
          <w:b w:val="0"/>
          <w:bCs w:val="0"/>
          <w:sz w:val="21"/>
          <w:szCs w:val="21"/>
          <w:highlight w:val="none"/>
          <w:lang w:val="en-US" w:eastAsia="zh-CN"/>
        </w:rPr>
        <w:t>TS/T 481</w:t>
      </w:r>
      <w:r>
        <w:rPr>
          <w:rFonts w:hint="default" w:ascii="宋体" w:hAnsi="宋体" w:eastAsia="宋体" w:cs="宋体"/>
          <w:b w:val="0"/>
          <w:bCs w:val="0"/>
          <w:sz w:val="21"/>
          <w:szCs w:val="21"/>
          <w:highlight w:val="none"/>
          <w:lang w:val="en-US" w:eastAsia="zh-CN"/>
        </w:rPr>
        <w:t>铝电解槽能量平衡测试与计算方法五点进电和六点进电预焙阳极铝电解槽。</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修订说明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原标准</w:t>
      </w:r>
      <w:r>
        <w:rPr>
          <w:rFonts w:hint="default" w:ascii="Times New Roman" w:hAnsi="Times New Roman" w:eastAsia="宋体" w:cs="Times New Roman"/>
          <w:b w:val="0"/>
          <w:bCs w:val="0"/>
          <w:sz w:val="21"/>
          <w:szCs w:val="21"/>
          <w:highlight w:val="none"/>
          <w:lang w:val="en-US" w:eastAsia="zh-CN"/>
        </w:rPr>
        <w:t>YST 784-2012</w:t>
      </w:r>
      <w:r>
        <w:rPr>
          <w:rFonts w:hint="eastAsia" w:ascii="宋体" w:hAnsi="宋体" w:eastAsia="宋体" w:cs="宋体"/>
          <w:b w:val="0"/>
          <w:bCs w:val="0"/>
          <w:sz w:val="21"/>
          <w:szCs w:val="21"/>
          <w:highlight w:val="none"/>
          <w:lang w:val="en-US" w:eastAsia="zh-CN"/>
        </w:rPr>
        <w:t>《铝电解技术参数测量方法》介绍了热场、电场以及电解质和铝液高度等技术参数的测量方法，通过调研，该方法仍然适用，无需修改。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本次修订主要新增了流场和磁场技术参数的测试方法，增加两个技术参数的原因：</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原标准技术参数不全面，流场和磁场也是影响铝电解槽运行稳定的重要技术参数。</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不同单位的测试方法、测试标准和所用材质不尽相同，未形成统一的规范。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修订后的《铝电解技术参数测量方法》行业标准囊括了铝电解槽热场、电场、流场和磁场四个物理场，为全面分析评价铝电解体系提供数据支撑。</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该章包括2条。为了体现铝电解槽技术参数测量的科学性、准确性和规范性，</w:t>
      </w:r>
      <w:r>
        <w:rPr>
          <w:rFonts w:hint="eastAsia" w:ascii="Times New Roman" w:hAnsi="Times New Roman" w:eastAsia="宋体" w:cs="Times New Roman"/>
          <w:b w:val="0"/>
          <w:bCs w:val="0"/>
          <w:sz w:val="21"/>
          <w:szCs w:val="21"/>
          <w:highlight w:val="none"/>
          <w:lang w:val="en-US" w:eastAsia="zh-CN"/>
        </w:rPr>
        <w:t>将设备类型分为通用设备和专用设备，</w:t>
      </w:r>
      <w:r>
        <w:rPr>
          <w:rFonts w:hint="default" w:ascii="Times New Roman" w:hAnsi="Times New Roman" w:eastAsia="宋体" w:cs="Times New Roman"/>
          <w:b w:val="0"/>
          <w:bCs w:val="0"/>
          <w:sz w:val="21"/>
          <w:szCs w:val="21"/>
          <w:highlight w:val="none"/>
          <w:lang w:val="en-US" w:eastAsia="zh-CN"/>
        </w:rPr>
        <w:t>对通用设备和专用设备进行了规范要求。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3.1.1</w:t>
      </w:r>
      <w:r>
        <w:rPr>
          <w:rFonts w:hint="eastAsia" w:ascii="Times New Roman" w:hAnsi="Times New Roman" w:eastAsia="宋体" w:cs="Times New Roman"/>
          <w:b w:val="0"/>
          <w:bCs w:val="0"/>
          <w:sz w:val="21"/>
          <w:szCs w:val="21"/>
          <w:highlight w:val="none"/>
          <w:lang w:val="en-US" w:eastAsia="zh-CN"/>
        </w:rPr>
        <w:t>新增了用于辅助测量</w:t>
      </w:r>
      <w:r>
        <w:rPr>
          <w:rFonts w:hint="default" w:ascii="Times New Roman" w:hAnsi="Times New Roman" w:eastAsia="宋体" w:cs="Times New Roman"/>
          <w:b w:val="0"/>
          <w:bCs w:val="0"/>
          <w:sz w:val="21"/>
          <w:szCs w:val="21"/>
          <w:highlight w:val="none"/>
          <w:lang w:val="en-US" w:eastAsia="zh-CN"/>
        </w:rPr>
        <w:t>流场技术参数的通用设备，</w:t>
      </w:r>
      <w:r>
        <w:rPr>
          <w:rFonts w:hint="eastAsia" w:ascii="Times New Roman" w:hAnsi="Times New Roman" w:eastAsia="宋体" w:cs="Times New Roman"/>
          <w:b w:val="0"/>
          <w:bCs w:val="0"/>
          <w:sz w:val="21"/>
          <w:szCs w:val="21"/>
          <w:highlight w:val="none"/>
          <w:lang w:val="en-US" w:eastAsia="zh-CN"/>
        </w:rPr>
        <w:t>分别是</w:t>
      </w:r>
      <w:r>
        <w:rPr>
          <w:rFonts w:hint="default" w:ascii="Times New Roman" w:hAnsi="Times New Roman" w:eastAsia="宋体" w:cs="Times New Roman"/>
          <w:b w:val="0"/>
          <w:bCs w:val="0"/>
          <w:sz w:val="21"/>
          <w:szCs w:val="21"/>
          <w:highlight w:val="none"/>
          <w:lang w:val="en-US" w:eastAsia="zh-CN"/>
        </w:rPr>
        <w:t>辅助称重的分析天平</w:t>
      </w:r>
      <w:r>
        <w:rPr>
          <w:rFonts w:hint="eastAsia" w:ascii="Times New Roman" w:hAnsi="Times New Roman" w:eastAsia="宋体" w:cs="Times New Roman"/>
          <w:b w:val="0"/>
          <w:bCs w:val="0"/>
          <w:sz w:val="21"/>
          <w:szCs w:val="21"/>
          <w:highlight w:val="none"/>
          <w:lang w:val="en-US" w:eastAsia="zh-CN"/>
        </w:rPr>
        <w:t>和辅助测量的游标卡尺。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3.1.2对铝电解槽磁感应强度</w:t>
      </w:r>
      <w:r>
        <w:rPr>
          <w:rFonts w:hint="eastAsia" w:ascii="Times New Roman" w:hAnsi="Times New Roman" w:eastAsia="宋体" w:cs="Times New Roman"/>
          <w:b w:val="0"/>
          <w:bCs w:val="0"/>
          <w:sz w:val="21"/>
          <w:szCs w:val="21"/>
          <w:highlight w:val="none"/>
          <w:lang w:val="en-US" w:eastAsia="zh-CN"/>
        </w:rPr>
        <w:t>和</w:t>
      </w:r>
      <w:r>
        <w:rPr>
          <w:rFonts w:hint="default" w:ascii="Times New Roman" w:hAnsi="Times New Roman" w:eastAsia="宋体" w:cs="Times New Roman"/>
          <w:b w:val="0"/>
          <w:bCs w:val="0"/>
          <w:sz w:val="21"/>
          <w:szCs w:val="21"/>
          <w:highlight w:val="none"/>
          <w:lang w:val="en-US" w:eastAsia="zh-CN"/>
        </w:rPr>
        <w:t>铝液流速测量专用工具进行了要求，新增了用以测试铝电解槽三维坐标磁感应强度的三维高斯计和</w:t>
      </w:r>
      <w:r>
        <w:rPr>
          <w:rFonts w:hint="eastAsia" w:ascii="Times New Roman" w:hAnsi="Times New Roman" w:eastAsia="宋体" w:cs="Times New Roman"/>
          <w:b w:val="0"/>
          <w:bCs w:val="0"/>
          <w:sz w:val="21"/>
          <w:szCs w:val="21"/>
          <w:highlight w:val="none"/>
          <w:lang w:val="en-US" w:eastAsia="zh-CN"/>
        </w:rPr>
        <w:t>铝液流速测量棒。</w:t>
      </w:r>
      <w:r>
        <w:rPr>
          <w:rFonts w:hint="default" w:ascii="Times New Roman" w:hAnsi="Times New Roman" w:eastAsia="宋体" w:cs="Times New Roman"/>
          <w:b w:val="0"/>
          <w:bCs w:val="0"/>
          <w:sz w:val="21"/>
          <w:szCs w:val="21"/>
          <w:highlight w:val="none"/>
          <w:lang w:val="en-US" w:eastAsia="zh-CN"/>
        </w:rPr>
        <w:t>规定了</w:t>
      </w:r>
      <w:r>
        <w:rPr>
          <w:rFonts w:hint="eastAsia" w:ascii="Times New Roman" w:hAnsi="Times New Roman" w:eastAsia="宋体" w:cs="Times New Roman"/>
          <w:b w:val="0"/>
          <w:bCs w:val="0"/>
          <w:sz w:val="21"/>
          <w:szCs w:val="21"/>
          <w:highlight w:val="none"/>
          <w:lang w:val="en-US" w:eastAsia="zh-CN"/>
        </w:rPr>
        <w:t>流场</w:t>
      </w:r>
      <w:r>
        <w:rPr>
          <w:rFonts w:hint="default" w:ascii="Times New Roman" w:hAnsi="Times New Roman" w:eastAsia="宋体" w:cs="Times New Roman"/>
          <w:b w:val="0"/>
          <w:bCs w:val="0"/>
          <w:sz w:val="21"/>
          <w:szCs w:val="21"/>
          <w:highlight w:val="none"/>
          <w:lang w:val="en-US" w:eastAsia="zh-CN"/>
        </w:rPr>
        <w:t>测量棒</w:t>
      </w:r>
      <w:r>
        <w:rPr>
          <w:rFonts w:hint="eastAsia" w:ascii="Times New Roman" w:hAnsi="Times New Roman" w:eastAsia="宋体" w:cs="Times New Roman"/>
          <w:b w:val="0"/>
          <w:bCs w:val="0"/>
          <w:sz w:val="21"/>
          <w:szCs w:val="21"/>
          <w:highlight w:val="none"/>
          <w:lang w:val="en-US" w:eastAsia="zh-CN"/>
        </w:rPr>
        <w:t>的工艺</w:t>
      </w:r>
      <w:r>
        <w:rPr>
          <w:rFonts w:hint="default" w:ascii="Times New Roman" w:hAnsi="Times New Roman" w:eastAsia="宋体" w:cs="Times New Roman"/>
          <w:b w:val="0"/>
          <w:bCs w:val="0"/>
          <w:sz w:val="21"/>
          <w:szCs w:val="21"/>
          <w:highlight w:val="none"/>
          <w:lang w:val="en-US" w:eastAsia="zh-CN"/>
        </w:rPr>
        <w:t>结构、碳含量标准、直径和长度，以匹配流速场标定试验的技术要求。</w:t>
      </w:r>
      <w:r>
        <w:rPr>
          <w:rFonts w:hint="eastAsia" w:ascii="Times New Roman" w:hAnsi="Times New Roman" w:eastAsia="宋体" w:cs="Times New Roman"/>
          <w:b w:val="0"/>
          <w:bCs w:val="0"/>
          <w:sz w:val="21"/>
          <w:szCs w:val="21"/>
          <w:highlight w:val="none"/>
          <w:lang w:val="en-US" w:eastAsia="zh-CN"/>
        </w:rPr>
        <w:t>给出了高斯计参数的参考范围，量程等可结合电解槽实际磁感应强度选取。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高斯计是检测磁场磁感应强度的专用仪器，是磁性测量领域中用途最为广泛的测量仪器之一。其工作原理基于霍尔效应：一载流导体放在磁场中时，由于磁场力（洛伦兹力)的作用，会在与磁场和电流二者垂直的方向上出现横向电势差。高斯计就是基于霍尔效应的原理进行磁场测量的仪器，高斯计配备有霍尔探头，霍尔探头在磁场中因霍尔效应而产生霍尔电压，测量仪器根据霍尔电压和已知的霍尔系数换算出磁场强度值，通过数显仪表实时显示。</w:t>
      </w:r>
      <w:r>
        <w:rPr>
          <w:rFonts w:hint="default" w:ascii="Times New Roman" w:hAnsi="Times New Roman" w:eastAsia="宋体" w:cs="Times New Roman"/>
          <w:b w:val="0"/>
          <w:bCs w:val="0"/>
          <w:sz w:val="21"/>
          <w:szCs w:val="21"/>
          <w:highlight w:val="none"/>
          <w:lang w:val="en-US" w:eastAsia="zh-CN"/>
        </w:rPr>
        <w:t>经过对多个单位的测量</w:t>
      </w:r>
      <w:r>
        <w:rPr>
          <w:rFonts w:hint="eastAsia" w:ascii="Times New Roman" w:hAnsi="Times New Roman" w:eastAsia="宋体" w:cs="Times New Roman"/>
          <w:b w:val="0"/>
          <w:bCs w:val="0"/>
          <w:sz w:val="21"/>
          <w:szCs w:val="21"/>
          <w:highlight w:val="none"/>
          <w:lang w:val="en-US" w:eastAsia="zh-CN"/>
        </w:rPr>
        <w:t>与应用</w:t>
      </w:r>
      <w:r>
        <w:rPr>
          <w:rFonts w:hint="default" w:ascii="Times New Roman" w:hAnsi="Times New Roman" w:eastAsia="宋体" w:cs="Times New Roman"/>
          <w:b w:val="0"/>
          <w:bCs w:val="0"/>
          <w:sz w:val="21"/>
          <w:szCs w:val="21"/>
          <w:highlight w:val="none"/>
          <w:lang w:val="en-US" w:eastAsia="zh-CN"/>
        </w:rPr>
        <w:t>，三维高斯计可直观、</w:t>
      </w:r>
      <w:r>
        <w:rPr>
          <w:rFonts w:hint="eastAsia" w:ascii="Times New Roman" w:hAnsi="Times New Roman" w:eastAsia="宋体" w:cs="Times New Roman"/>
          <w:b w:val="0"/>
          <w:bCs w:val="0"/>
          <w:sz w:val="21"/>
          <w:szCs w:val="21"/>
          <w:highlight w:val="none"/>
          <w:lang w:val="en-US" w:eastAsia="zh-CN"/>
        </w:rPr>
        <w:t>准确</w:t>
      </w:r>
      <w:r>
        <w:rPr>
          <w:rFonts w:hint="default" w:ascii="Times New Roman" w:hAnsi="Times New Roman" w:eastAsia="宋体" w:cs="Times New Roman"/>
          <w:b w:val="0"/>
          <w:bCs w:val="0"/>
          <w:sz w:val="21"/>
          <w:szCs w:val="21"/>
          <w:highlight w:val="none"/>
          <w:lang w:val="en-US" w:eastAsia="zh-CN"/>
        </w:rPr>
        <w:t>、快速的得到</w:t>
      </w:r>
      <w:r>
        <w:rPr>
          <w:rFonts w:hint="eastAsia" w:ascii="Times New Roman" w:hAnsi="Times New Roman" w:eastAsia="宋体" w:cs="Times New Roman"/>
          <w:b w:val="0"/>
          <w:bCs w:val="0"/>
          <w:sz w:val="21"/>
          <w:szCs w:val="21"/>
          <w:highlight w:val="none"/>
          <w:lang w:val="en-US" w:eastAsia="zh-CN"/>
        </w:rPr>
        <w:t>铝电解槽</w:t>
      </w:r>
      <w:r>
        <w:rPr>
          <w:rFonts w:hint="default" w:ascii="Times New Roman" w:hAnsi="Times New Roman" w:eastAsia="宋体" w:cs="Times New Roman"/>
          <w:b w:val="0"/>
          <w:bCs w:val="0"/>
          <w:sz w:val="21"/>
          <w:szCs w:val="21"/>
          <w:highlight w:val="none"/>
          <w:lang w:val="en-US" w:eastAsia="zh-CN"/>
        </w:rPr>
        <w:t>磁感应强度；</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测量步骤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该章包括6条，主要对铝液流场和磁场两项技术参数的测量要求、测量步骤和计算方法进行了规范要求。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4.13 铝液流场测试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分3条。第一条（4.13.1)对流场点位测量位置和流场测试专用棒的</w:t>
      </w:r>
      <w:r>
        <w:rPr>
          <w:rFonts w:hint="eastAsia" w:ascii="Times New Roman" w:hAnsi="Times New Roman" w:eastAsia="宋体" w:cs="Times New Roman"/>
          <w:b w:val="0"/>
          <w:bCs w:val="0"/>
          <w:sz w:val="21"/>
          <w:szCs w:val="21"/>
          <w:highlight w:val="none"/>
          <w:lang w:val="en-US" w:eastAsia="zh-CN"/>
        </w:rPr>
        <w:t>工具</w:t>
      </w:r>
      <w:r>
        <w:rPr>
          <w:rFonts w:hint="default" w:ascii="Times New Roman" w:hAnsi="Times New Roman" w:eastAsia="宋体" w:cs="Times New Roman"/>
          <w:b w:val="0"/>
          <w:bCs w:val="0"/>
          <w:sz w:val="21"/>
          <w:szCs w:val="21"/>
          <w:highlight w:val="none"/>
          <w:lang w:val="en-US" w:eastAsia="zh-CN"/>
        </w:rPr>
        <w:t>数量进行了要求，</w:t>
      </w:r>
      <w:r>
        <w:rPr>
          <w:rFonts w:hint="eastAsia" w:ascii="Times New Roman" w:hAnsi="Times New Roman" w:eastAsia="宋体" w:cs="Times New Roman"/>
          <w:b w:val="0"/>
          <w:bCs w:val="0"/>
          <w:sz w:val="21"/>
          <w:szCs w:val="21"/>
          <w:highlight w:val="none"/>
          <w:lang w:val="en-US" w:eastAsia="zh-CN"/>
        </w:rPr>
        <w:t>点位布置意在</w:t>
      </w:r>
      <w:r>
        <w:rPr>
          <w:rFonts w:hint="default" w:ascii="Times New Roman" w:hAnsi="Times New Roman" w:eastAsia="宋体" w:cs="Times New Roman"/>
          <w:b w:val="0"/>
          <w:bCs w:val="0"/>
          <w:sz w:val="21"/>
          <w:szCs w:val="21"/>
          <w:highlight w:val="none"/>
          <w:lang w:val="en-US" w:eastAsia="zh-CN"/>
        </w:rPr>
        <w:t>包绕铝电解槽平面，</w:t>
      </w:r>
      <w:r>
        <w:rPr>
          <w:rFonts w:hint="eastAsia" w:ascii="Times New Roman" w:hAnsi="Times New Roman" w:eastAsia="宋体" w:cs="Times New Roman"/>
          <w:b w:val="0"/>
          <w:bCs w:val="0"/>
          <w:sz w:val="21"/>
          <w:szCs w:val="21"/>
          <w:highlight w:val="none"/>
          <w:lang w:val="en-US" w:eastAsia="zh-CN"/>
        </w:rPr>
        <w:t>以</w:t>
      </w:r>
      <w:r>
        <w:rPr>
          <w:rFonts w:hint="default" w:ascii="Times New Roman" w:hAnsi="Times New Roman" w:eastAsia="宋体" w:cs="Times New Roman"/>
          <w:b w:val="0"/>
          <w:bCs w:val="0"/>
          <w:sz w:val="21"/>
          <w:szCs w:val="21"/>
          <w:highlight w:val="none"/>
          <w:lang w:val="en-US" w:eastAsia="zh-CN"/>
        </w:rPr>
        <w:t>完整</w:t>
      </w:r>
      <w:r>
        <w:rPr>
          <w:rFonts w:hint="eastAsia" w:ascii="Times New Roman" w:hAnsi="Times New Roman" w:eastAsia="宋体" w:cs="Times New Roman"/>
          <w:b w:val="0"/>
          <w:bCs w:val="0"/>
          <w:sz w:val="21"/>
          <w:szCs w:val="21"/>
          <w:highlight w:val="none"/>
          <w:lang w:val="en-US" w:eastAsia="zh-CN"/>
        </w:rPr>
        <w:t>反应</w:t>
      </w:r>
      <w:r>
        <w:rPr>
          <w:rFonts w:hint="default" w:ascii="Times New Roman" w:hAnsi="Times New Roman" w:eastAsia="宋体" w:cs="Times New Roman"/>
          <w:b w:val="0"/>
          <w:bCs w:val="0"/>
          <w:sz w:val="21"/>
          <w:szCs w:val="21"/>
          <w:highlight w:val="none"/>
          <w:lang w:val="en-US" w:eastAsia="zh-CN"/>
        </w:rPr>
        <w:t>槽内各处铝液</w:t>
      </w:r>
      <w:r>
        <w:rPr>
          <w:rFonts w:hint="eastAsia" w:ascii="Times New Roman" w:hAnsi="Times New Roman" w:eastAsia="宋体" w:cs="Times New Roman"/>
          <w:b w:val="0"/>
          <w:bCs w:val="0"/>
          <w:sz w:val="21"/>
          <w:szCs w:val="21"/>
          <w:highlight w:val="none"/>
          <w:lang w:val="en-US" w:eastAsia="zh-CN"/>
        </w:rPr>
        <w:t>流速分布，同时给出了普适性的流场测试专用棒的数量经验公式，每个单位可根据电解槽类型</w:t>
      </w:r>
      <w:r>
        <w:rPr>
          <w:rFonts w:hint="default" w:ascii="Times New Roman" w:hAnsi="Times New Roman" w:eastAsia="宋体" w:cs="Times New Roman"/>
          <w:b w:val="0"/>
          <w:bCs w:val="0"/>
          <w:sz w:val="21"/>
          <w:szCs w:val="21"/>
          <w:highlight w:val="none"/>
          <w:lang w:val="en-US" w:eastAsia="zh-CN"/>
        </w:rPr>
        <w:t>提前准备</w:t>
      </w:r>
      <w:r>
        <w:rPr>
          <w:rFonts w:hint="eastAsia" w:ascii="Times New Roman" w:hAnsi="Times New Roman" w:eastAsia="宋体" w:cs="Times New Roman"/>
          <w:b w:val="0"/>
          <w:bCs w:val="0"/>
          <w:sz w:val="21"/>
          <w:szCs w:val="21"/>
          <w:highlight w:val="none"/>
          <w:lang w:val="en-US" w:eastAsia="zh-CN"/>
        </w:rPr>
        <w:t>好相应的</w:t>
      </w:r>
      <w:r>
        <w:rPr>
          <w:rFonts w:hint="default" w:ascii="Times New Roman" w:hAnsi="Times New Roman" w:eastAsia="宋体" w:cs="Times New Roman"/>
          <w:b w:val="0"/>
          <w:bCs w:val="0"/>
          <w:sz w:val="21"/>
          <w:szCs w:val="21"/>
          <w:highlight w:val="none"/>
          <w:lang w:val="en-US" w:eastAsia="zh-CN"/>
        </w:rPr>
        <w:t>测试工具。第二条（4.13.2）对铝液流场的测量步骤进行了要求。为了匹配流速场标定试验的经验计算公式，规定了试验</w:t>
      </w:r>
      <w:r>
        <w:rPr>
          <w:rFonts w:hint="eastAsia" w:ascii="Times New Roman" w:hAnsi="Times New Roman" w:eastAsia="宋体" w:cs="Times New Roman"/>
          <w:b w:val="0"/>
          <w:bCs w:val="0"/>
          <w:sz w:val="21"/>
          <w:szCs w:val="21"/>
          <w:highlight w:val="none"/>
          <w:lang w:val="en-US" w:eastAsia="zh-CN"/>
        </w:rPr>
        <w:t>测试</w:t>
      </w:r>
      <w:r>
        <w:rPr>
          <w:rFonts w:hint="default" w:ascii="Times New Roman" w:hAnsi="Times New Roman" w:eastAsia="宋体" w:cs="Times New Roman"/>
          <w:b w:val="0"/>
          <w:bCs w:val="0"/>
          <w:sz w:val="21"/>
          <w:szCs w:val="21"/>
          <w:highlight w:val="none"/>
          <w:lang w:val="en-US" w:eastAsia="zh-CN"/>
        </w:rPr>
        <w:t>时间，</w:t>
      </w:r>
      <w:r>
        <w:rPr>
          <w:rFonts w:hint="eastAsia" w:ascii="Times New Roman" w:hAnsi="Times New Roman" w:eastAsia="宋体" w:cs="Times New Roman"/>
          <w:b w:val="0"/>
          <w:bCs w:val="0"/>
          <w:sz w:val="21"/>
          <w:szCs w:val="21"/>
          <w:highlight w:val="none"/>
          <w:lang w:val="en-US" w:eastAsia="zh-CN"/>
        </w:rPr>
        <w:t>铁棒测试棒的插入方向，需要记录的数据（铝液温度）</w:t>
      </w:r>
      <w:r>
        <w:rPr>
          <w:rFonts w:hint="default" w:ascii="Times New Roman" w:hAnsi="Times New Roman" w:eastAsia="宋体" w:cs="Times New Roman"/>
          <w:b w:val="0"/>
          <w:bCs w:val="0"/>
          <w:sz w:val="21"/>
          <w:szCs w:val="21"/>
          <w:highlight w:val="none"/>
          <w:lang w:val="en-US" w:eastAsia="zh-CN"/>
        </w:rPr>
        <w:t>；为了方便</w:t>
      </w:r>
      <w:r>
        <w:rPr>
          <w:rFonts w:hint="eastAsia" w:ascii="Times New Roman" w:hAnsi="Times New Roman" w:eastAsia="宋体" w:cs="Times New Roman"/>
          <w:b w:val="0"/>
          <w:bCs w:val="0"/>
          <w:sz w:val="21"/>
          <w:szCs w:val="21"/>
          <w:highlight w:val="none"/>
          <w:lang w:val="en-US" w:eastAsia="zh-CN"/>
        </w:rPr>
        <w:t>观察与</w:t>
      </w:r>
      <w:r>
        <w:rPr>
          <w:rFonts w:hint="default" w:ascii="Times New Roman" w:hAnsi="Times New Roman" w:eastAsia="宋体" w:cs="Times New Roman"/>
          <w:b w:val="0"/>
          <w:bCs w:val="0"/>
          <w:sz w:val="21"/>
          <w:szCs w:val="21"/>
          <w:highlight w:val="none"/>
          <w:lang w:val="en-US" w:eastAsia="zh-CN"/>
        </w:rPr>
        <w:t>测量溶蚀铁棒，规定了用苛性碱即氢氧化钠溶液</w:t>
      </w:r>
      <w:r>
        <w:rPr>
          <w:rFonts w:hint="eastAsia" w:ascii="Times New Roman" w:hAnsi="Times New Roman" w:eastAsia="宋体" w:cs="Times New Roman"/>
          <w:b w:val="0"/>
          <w:bCs w:val="0"/>
          <w:sz w:val="21"/>
          <w:szCs w:val="21"/>
          <w:highlight w:val="none"/>
          <w:lang w:val="en-US" w:eastAsia="zh-CN"/>
        </w:rPr>
        <w:t>浸泡铁棒以清洗电解质</w:t>
      </w:r>
      <w:r>
        <w:rPr>
          <w:rFonts w:hint="default" w:ascii="Times New Roman" w:hAnsi="Times New Roman" w:eastAsia="宋体" w:cs="Times New Roman"/>
          <w:b w:val="0"/>
          <w:bCs w:val="0"/>
          <w:sz w:val="21"/>
          <w:szCs w:val="21"/>
          <w:highlight w:val="none"/>
          <w:lang w:val="en-US" w:eastAsia="zh-CN"/>
        </w:rPr>
        <w:t>的后处理要求。第三条（4.13.3）对铝液流场的计算方法进行了要求，主要包括测量</w:t>
      </w:r>
      <w:r>
        <w:rPr>
          <w:rFonts w:hint="eastAsia" w:ascii="Times New Roman" w:hAnsi="Times New Roman" w:eastAsia="宋体" w:cs="Times New Roman"/>
          <w:b w:val="0"/>
          <w:bCs w:val="0"/>
          <w:sz w:val="21"/>
          <w:szCs w:val="21"/>
          <w:highlight w:val="none"/>
          <w:lang w:val="en-US" w:eastAsia="zh-CN"/>
        </w:rPr>
        <w:t>流速</w:t>
      </w:r>
      <w:r>
        <w:rPr>
          <w:rFonts w:hint="default" w:ascii="Times New Roman" w:hAnsi="Times New Roman" w:eastAsia="宋体" w:cs="Times New Roman"/>
          <w:b w:val="0"/>
          <w:bCs w:val="0"/>
          <w:sz w:val="21"/>
          <w:szCs w:val="21"/>
          <w:highlight w:val="none"/>
          <w:lang w:val="en-US" w:eastAsia="zh-CN"/>
        </w:rPr>
        <w:t>位置的选取、铝液流速方向的确定、铝液波动层的测量、铝水平的测量、铝液流速大小的计算方法。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国内外铝电解槽的铝液流速场测定采用唯一的较为准确的</w:t>
      </w:r>
      <w:r>
        <w:rPr>
          <w:rFonts w:hint="eastAsia" w:ascii="Times New Roman" w:hAnsi="Times New Roman" w:eastAsia="宋体" w:cs="Times New Roman"/>
          <w:b w:val="0"/>
          <w:bCs w:val="0"/>
          <w:sz w:val="21"/>
          <w:szCs w:val="21"/>
          <w:highlight w:val="none"/>
          <w:lang w:val="en-US" w:eastAsia="zh-CN"/>
        </w:rPr>
        <w:t>方式是</w:t>
      </w:r>
      <w:r>
        <w:rPr>
          <w:rFonts w:hint="default" w:ascii="Times New Roman" w:hAnsi="Times New Roman" w:eastAsia="宋体" w:cs="Times New Roman"/>
          <w:b w:val="0"/>
          <w:bCs w:val="0"/>
          <w:sz w:val="21"/>
          <w:szCs w:val="21"/>
          <w:highlight w:val="none"/>
          <w:lang w:val="en-US" w:eastAsia="zh-CN"/>
        </w:rPr>
        <w:t>铁棒溶蚀法。该方法将铁棒置于电解槽的熔体中一定时间后取出，根据铁棒的溶蚀速率和溶蚀后的断面形状可以确定铝液的水平流速大小和方向。影响铁棒溶蚀量的主要因素有熔体速度及温度、铁棒纯度，铁棒直径，溶蚀时间等，因此测试之前需要进行需要复杂的流速场标定工作</w:t>
      </w:r>
      <w:r>
        <w:rPr>
          <w:rFonts w:hint="eastAsia" w:ascii="Times New Roman" w:hAnsi="Times New Roman" w:eastAsia="宋体" w:cs="Times New Roman"/>
          <w:b w:val="0"/>
          <w:bCs w:val="0"/>
          <w:sz w:val="21"/>
          <w:szCs w:val="21"/>
          <w:highlight w:val="none"/>
          <w:lang w:val="en-US" w:eastAsia="zh-CN"/>
        </w:rPr>
        <w:t>，即在金属温度、铁棒直径、溶蚀时间与铁棒纯度一定的前提下，得出金属熔体速度随铁棒直径变化的关系曲线</w:t>
      </w:r>
      <w:r>
        <w:rPr>
          <w:rFonts w:hint="default" w:ascii="Times New Roman" w:hAnsi="Times New Roman" w:eastAsia="宋体" w:cs="Times New Roman"/>
          <w:b w:val="0"/>
          <w:bCs w:val="0"/>
          <w:sz w:val="21"/>
          <w:szCs w:val="21"/>
          <w:highlight w:val="none"/>
          <w:lang w:val="en-US" w:eastAsia="zh-CN"/>
        </w:rPr>
        <w:t>。因</w:t>
      </w:r>
      <w:r>
        <w:rPr>
          <w:rFonts w:hint="eastAsia" w:ascii="Times New Roman" w:hAnsi="Times New Roman" w:eastAsia="宋体" w:cs="Times New Roman"/>
          <w:b w:val="0"/>
          <w:bCs w:val="0"/>
          <w:sz w:val="21"/>
          <w:szCs w:val="21"/>
          <w:highlight w:val="none"/>
          <w:lang w:val="en-US" w:eastAsia="zh-CN"/>
        </w:rPr>
        <w:t>影响因素</w:t>
      </w:r>
      <w:r>
        <w:rPr>
          <w:rFonts w:hint="default" w:ascii="Times New Roman" w:hAnsi="Times New Roman" w:eastAsia="宋体" w:cs="Times New Roman"/>
          <w:b w:val="0"/>
          <w:bCs w:val="0"/>
          <w:sz w:val="21"/>
          <w:szCs w:val="21"/>
          <w:highlight w:val="none"/>
          <w:lang w:val="en-US" w:eastAsia="zh-CN"/>
        </w:rPr>
        <w:t>不同，对于铝液流速的计算公式也不同，并未形成统一的测试标准。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国内只有中南大学蔡祺风教授进行了完善的流速场标定试验，目前国内只有中南大学独家拥有经过标定试验的铝电解槽铝液流速场测定方法。</w:t>
      </w:r>
      <w:r>
        <w:rPr>
          <w:rFonts w:hint="eastAsia" w:ascii="Times New Roman" w:hAnsi="Times New Roman" w:eastAsia="宋体" w:cs="Times New Roman"/>
          <w:b w:val="0"/>
          <w:bCs w:val="0"/>
          <w:sz w:val="21"/>
          <w:szCs w:val="21"/>
          <w:highlight w:val="none"/>
          <w:lang w:val="en-US" w:eastAsia="zh-CN"/>
        </w:rPr>
        <w:t>因此本文件的铝液流场测试方法依据该流速场标定试验。</w:t>
      </w:r>
      <w:r>
        <w:rPr>
          <w:rFonts w:hint="default" w:ascii="Times New Roman" w:hAnsi="Times New Roman" w:eastAsia="宋体" w:cs="Times New Roman"/>
          <w:b w:val="0"/>
          <w:bCs w:val="0"/>
          <w:sz w:val="21"/>
          <w:szCs w:val="21"/>
          <w:highlight w:val="none"/>
          <w:lang w:val="en-US" w:eastAsia="zh-CN"/>
        </w:rPr>
        <w:t>将标定实验用的同种铁棒插入工业槽的铝液中，经过相同时间后取出，</w:t>
      </w:r>
      <w:r>
        <w:rPr>
          <w:rFonts w:hint="eastAsia" w:ascii="Times New Roman" w:hAnsi="Times New Roman" w:eastAsia="宋体" w:cs="Times New Roman"/>
          <w:b w:val="0"/>
          <w:bCs w:val="0"/>
          <w:sz w:val="21"/>
          <w:szCs w:val="21"/>
          <w:highlight w:val="none"/>
          <w:lang w:val="en-US" w:eastAsia="zh-CN"/>
        </w:rPr>
        <w:t>由于</w:t>
      </w:r>
      <w:r>
        <w:rPr>
          <w:rFonts w:hint="default" w:ascii="Times New Roman" w:hAnsi="Times New Roman" w:eastAsia="宋体" w:cs="Times New Roman"/>
          <w:b w:val="0"/>
          <w:bCs w:val="0"/>
          <w:sz w:val="21"/>
          <w:szCs w:val="21"/>
          <w:highlight w:val="none"/>
          <w:lang w:val="en-US" w:eastAsia="zh-CN"/>
        </w:rPr>
        <w:t>铁棒可溶解在铝中而不溶于电解质和沉淀中</w:t>
      </w:r>
      <w:r>
        <w:rPr>
          <w:rFonts w:hint="eastAsia" w:ascii="Times New Roman" w:hAnsi="Times New Roman" w:eastAsia="宋体"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溶蚀的铁棒上</w:t>
      </w:r>
      <w:r>
        <w:rPr>
          <w:rFonts w:hint="eastAsia" w:ascii="Times New Roman" w:hAnsi="Times New Roman" w:eastAsia="宋体" w:cs="Times New Roman"/>
          <w:b w:val="0"/>
          <w:bCs w:val="0"/>
          <w:sz w:val="21"/>
          <w:szCs w:val="21"/>
          <w:highlight w:val="none"/>
          <w:lang w:val="en-US" w:eastAsia="zh-CN"/>
        </w:rPr>
        <w:t>会出现</w:t>
      </w:r>
      <w:r>
        <w:rPr>
          <w:rFonts w:hint="default" w:ascii="Times New Roman" w:hAnsi="Times New Roman" w:eastAsia="宋体" w:cs="Times New Roman"/>
          <w:b w:val="0"/>
          <w:bCs w:val="0"/>
          <w:sz w:val="21"/>
          <w:szCs w:val="21"/>
          <w:highlight w:val="none"/>
          <w:lang w:val="en-US" w:eastAsia="zh-CN"/>
        </w:rPr>
        <w:t>两道明显的分界线</w:t>
      </w:r>
      <w:r>
        <w:rPr>
          <w:rFonts w:hint="eastAsia" w:ascii="Times New Roman" w:hAnsi="Times New Roman" w:eastAsia="宋体" w:cs="Times New Roman"/>
          <w:b w:val="0"/>
          <w:bCs w:val="0"/>
          <w:sz w:val="21"/>
          <w:szCs w:val="21"/>
          <w:highlight w:val="none"/>
          <w:lang w:val="en-US" w:eastAsia="zh-CN"/>
        </w:rPr>
        <w:t>，以供判断测量流速的位置；</w:t>
      </w:r>
      <w:r>
        <w:rPr>
          <w:rFonts w:hint="default" w:ascii="Times New Roman" w:hAnsi="Times New Roman" w:eastAsia="宋体" w:cs="Times New Roman"/>
          <w:b w:val="0"/>
          <w:bCs w:val="0"/>
          <w:sz w:val="21"/>
          <w:szCs w:val="21"/>
          <w:highlight w:val="none"/>
          <w:lang w:val="en-US" w:eastAsia="zh-CN"/>
        </w:rPr>
        <w:t>由铁棒的溶蚀程度和电解槽铝液温度可</w:t>
      </w:r>
      <w:r>
        <w:rPr>
          <w:rFonts w:hint="eastAsia" w:ascii="Times New Roman" w:hAnsi="Times New Roman" w:eastAsia="宋体" w:cs="Times New Roman"/>
          <w:b w:val="0"/>
          <w:bCs w:val="0"/>
          <w:sz w:val="21"/>
          <w:szCs w:val="21"/>
          <w:highlight w:val="none"/>
          <w:lang w:val="en-US" w:eastAsia="zh-CN"/>
        </w:rPr>
        <w:t>进一步</w:t>
      </w:r>
      <w:r>
        <w:rPr>
          <w:rFonts w:hint="default" w:ascii="Times New Roman" w:hAnsi="Times New Roman" w:eastAsia="宋体" w:cs="Times New Roman"/>
          <w:b w:val="0"/>
          <w:bCs w:val="0"/>
          <w:sz w:val="21"/>
          <w:szCs w:val="21"/>
          <w:highlight w:val="none"/>
          <w:lang w:val="en-US" w:eastAsia="zh-CN"/>
        </w:rPr>
        <w:t>求得铝液的水平流动速度。此次修订增加铝液流场测试方法，形成统一标准，对以后铝厂测试提供了依据与方法。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4.14磁场测量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分3条。第一条（4.14.1）对磁场的测量</w:t>
      </w:r>
      <w:r>
        <w:rPr>
          <w:rFonts w:hint="eastAsia" w:ascii="Times New Roman" w:hAnsi="Times New Roman" w:eastAsia="宋体" w:cs="Times New Roman"/>
          <w:b w:val="0"/>
          <w:bCs w:val="0"/>
          <w:sz w:val="21"/>
          <w:szCs w:val="21"/>
          <w:highlight w:val="none"/>
          <w:lang w:val="en-US" w:eastAsia="zh-CN"/>
        </w:rPr>
        <w:t>点位</w:t>
      </w:r>
      <w:r>
        <w:rPr>
          <w:rFonts w:hint="default" w:ascii="Times New Roman" w:hAnsi="Times New Roman" w:eastAsia="宋体" w:cs="Times New Roman"/>
          <w:b w:val="0"/>
          <w:bCs w:val="0"/>
          <w:sz w:val="21"/>
          <w:szCs w:val="21"/>
          <w:highlight w:val="none"/>
          <w:lang w:val="en-US" w:eastAsia="zh-CN"/>
        </w:rPr>
        <w:t>和防护措施进行了要求。</w:t>
      </w:r>
      <w:r>
        <w:rPr>
          <w:rFonts w:hint="eastAsia" w:ascii="Times New Roman" w:hAnsi="Times New Roman" w:eastAsia="宋体" w:cs="Times New Roman"/>
          <w:b w:val="0"/>
          <w:bCs w:val="0"/>
          <w:sz w:val="21"/>
          <w:szCs w:val="21"/>
          <w:highlight w:val="none"/>
          <w:lang w:val="en-US" w:eastAsia="zh-CN"/>
        </w:rPr>
        <w:t>磁场测量点位同铝液流速测量布点一致，天车打孔后，可先后测量铝液流速场和磁场，避免反复打孔；</w:t>
      </w:r>
      <w:r>
        <w:rPr>
          <w:rFonts w:hint="default" w:ascii="Times New Roman" w:hAnsi="Times New Roman" w:eastAsia="宋体" w:cs="Times New Roman"/>
          <w:b w:val="0"/>
          <w:bCs w:val="0"/>
          <w:sz w:val="21"/>
          <w:szCs w:val="21"/>
          <w:highlight w:val="none"/>
          <w:lang w:val="en-US" w:eastAsia="zh-CN"/>
        </w:rPr>
        <w:t>为避免磁场对仪器的干扰，需要在高斯计外部加铁丝屏蔽罩；同时为避免高温损坏探头，采用压缩空气对测试探头实施高压风冷保护。第二条（4.14.2）对测量步骤进行了要求。为了匹配磁感应方向，减小误差，规定了测试方向</w:t>
      </w:r>
      <w:r>
        <w:rPr>
          <w:rFonts w:hint="eastAsia" w:ascii="Times New Roman" w:hAnsi="Times New Roman" w:eastAsia="宋体" w:cs="Times New Roman"/>
          <w:b w:val="0"/>
          <w:bCs w:val="0"/>
          <w:sz w:val="21"/>
          <w:szCs w:val="21"/>
          <w:highlight w:val="none"/>
          <w:lang w:val="en-US" w:eastAsia="zh-CN"/>
        </w:rPr>
        <w:t>，即将探头垂直插入熔体</w:t>
      </w:r>
      <w:r>
        <w:rPr>
          <w:rFonts w:hint="default" w:ascii="Times New Roman" w:hAnsi="Times New Roman" w:eastAsia="宋体" w:cs="Times New Roman"/>
          <w:b w:val="0"/>
          <w:bCs w:val="0"/>
          <w:sz w:val="21"/>
          <w:szCs w:val="21"/>
          <w:highlight w:val="none"/>
          <w:lang w:val="en-US" w:eastAsia="zh-CN"/>
        </w:rPr>
        <w:t>；为了避免破坏阴极炭块，规定了</w:t>
      </w:r>
      <w:r>
        <w:rPr>
          <w:rFonts w:hint="eastAsia" w:ascii="Times New Roman" w:hAnsi="Times New Roman" w:eastAsia="宋体" w:cs="Times New Roman"/>
          <w:b w:val="0"/>
          <w:bCs w:val="0"/>
          <w:sz w:val="21"/>
          <w:szCs w:val="21"/>
          <w:highlight w:val="none"/>
          <w:lang w:val="en-US" w:eastAsia="zh-CN"/>
        </w:rPr>
        <w:t>工具的</w:t>
      </w:r>
      <w:r>
        <w:rPr>
          <w:rFonts w:hint="default" w:ascii="Times New Roman" w:hAnsi="Times New Roman" w:eastAsia="宋体" w:cs="Times New Roman"/>
          <w:b w:val="0"/>
          <w:bCs w:val="0"/>
          <w:sz w:val="21"/>
          <w:szCs w:val="21"/>
          <w:highlight w:val="none"/>
          <w:lang w:val="en-US" w:eastAsia="zh-CN"/>
        </w:rPr>
        <w:t>测试深度。第三条（4.14.3）对磁场的计算方法进行了要求。由于磁场数据是矢量，还具有方向性，</w:t>
      </w:r>
      <w:r>
        <w:rPr>
          <w:rFonts w:hint="eastAsia" w:ascii="Times New Roman" w:hAnsi="Times New Roman" w:eastAsia="宋体" w:cs="Times New Roman"/>
          <w:b w:val="0"/>
          <w:bCs w:val="0"/>
          <w:sz w:val="21"/>
          <w:szCs w:val="21"/>
          <w:highlight w:val="none"/>
          <w:lang w:val="en-US" w:eastAsia="zh-CN"/>
        </w:rPr>
        <w:t>同时</w:t>
      </w:r>
      <w:r>
        <w:rPr>
          <w:rFonts w:hint="default" w:ascii="Times New Roman" w:hAnsi="Times New Roman" w:eastAsia="宋体" w:cs="Times New Roman"/>
          <w:b w:val="0"/>
          <w:bCs w:val="0"/>
          <w:sz w:val="21"/>
          <w:szCs w:val="21"/>
          <w:highlight w:val="none"/>
          <w:lang w:val="en-US" w:eastAsia="zh-CN"/>
        </w:rPr>
        <w:t>电解槽内部情况复杂，不能绝对保证探头垂直插入熔体中。为了使探头方位与坐标方向保持一致，因此利用右手坐标</w:t>
      </w:r>
      <w:r>
        <w:rPr>
          <w:rFonts w:hint="eastAsia" w:ascii="Times New Roman" w:hAnsi="Times New Roman" w:eastAsia="宋体" w:cs="Times New Roman"/>
          <w:b w:val="0"/>
          <w:bCs w:val="0"/>
          <w:sz w:val="21"/>
          <w:szCs w:val="21"/>
          <w:highlight w:val="none"/>
          <w:lang w:val="en-US" w:eastAsia="zh-CN"/>
        </w:rPr>
        <w:t>系规定电解槽三维坐标的正方向和</w:t>
      </w:r>
      <w:r>
        <w:rPr>
          <w:rFonts w:hint="default" w:ascii="Times New Roman" w:hAnsi="Times New Roman" w:eastAsia="宋体" w:cs="Times New Roman"/>
          <w:b w:val="0"/>
          <w:bCs w:val="0"/>
          <w:sz w:val="21"/>
          <w:szCs w:val="21"/>
          <w:highlight w:val="none"/>
          <w:lang w:val="en-US" w:eastAsia="zh-CN"/>
        </w:rPr>
        <w:t>对测试值进行修正。</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测试结果</w:t>
      </w:r>
      <w:r>
        <w:rPr>
          <w:rFonts w:hint="default" w:ascii="Times New Roman" w:hAnsi="Times New Roman" w:eastAsia="宋体" w:cs="Times New Roman"/>
          <w:b w:val="0"/>
          <w:bCs w:val="0"/>
          <w:sz w:val="21"/>
          <w:szCs w:val="21"/>
          <w:highlight w:val="none"/>
          <w:lang w:val="en-US" w:eastAsia="zh-CN"/>
        </w:rPr>
        <w:t>对</w:t>
      </w:r>
      <w:r>
        <w:rPr>
          <w:rFonts w:hint="eastAsia" w:ascii="Times New Roman" w:hAnsi="Times New Roman" w:eastAsia="宋体" w:cs="Times New Roman"/>
          <w:b w:val="0"/>
          <w:bCs w:val="0"/>
          <w:sz w:val="21"/>
          <w:szCs w:val="21"/>
          <w:highlight w:val="none"/>
          <w:lang w:val="en-US" w:eastAsia="zh-CN"/>
        </w:rPr>
        <w:t>标准修订</w:t>
      </w:r>
      <w:r>
        <w:rPr>
          <w:rFonts w:hint="default" w:ascii="Times New Roman" w:hAnsi="Times New Roman" w:eastAsia="宋体" w:cs="Times New Roman"/>
          <w:b w:val="0"/>
          <w:bCs w:val="0"/>
          <w:sz w:val="21"/>
          <w:szCs w:val="21"/>
          <w:highlight w:val="none"/>
          <w:lang w:val="en-US" w:eastAsia="zh-CN"/>
        </w:rPr>
        <w:t>的支撑情况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中南大学</w:t>
      </w:r>
      <w:r>
        <w:rPr>
          <w:rFonts w:hint="eastAsia" w:ascii="Times New Roman" w:hAnsi="Times New Roman" w:eastAsia="宋体" w:cs="Times New Roman"/>
          <w:b w:val="0"/>
          <w:bCs w:val="0"/>
          <w:sz w:val="21"/>
          <w:szCs w:val="21"/>
          <w:highlight w:val="none"/>
          <w:lang w:val="en-US" w:eastAsia="zh-CN"/>
        </w:rPr>
        <w:t>已</w:t>
      </w:r>
      <w:r>
        <w:rPr>
          <w:rFonts w:hint="default" w:ascii="Times New Roman" w:hAnsi="Times New Roman" w:eastAsia="宋体" w:cs="Times New Roman"/>
          <w:b w:val="0"/>
          <w:bCs w:val="0"/>
          <w:sz w:val="21"/>
          <w:szCs w:val="21"/>
          <w:highlight w:val="none"/>
          <w:lang w:val="en-US" w:eastAsia="zh-CN"/>
        </w:rPr>
        <w:t>对全国二十余家铝厂，一百多台电解槽开展了铝电解槽多物理场测试，涉及200KA、300KA、350KA、400KA、500KA、600KA等规模，收集整理了丰富的基础数据，</w:t>
      </w:r>
      <w:r>
        <w:rPr>
          <w:rFonts w:hint="eastAsia" w:ascii="Times New Roman" w:hAnsi="Times New Roman" w:eastAsia="宋体" w:cs="Times New Roman"/>
          <w:b w:val="0"/>
          <w:bCs w:val="0"/>
          <w:sz w:val="21"/>
          <w:szCs w:val="21"/>
          <w:highlight w:val="none"/>
          <w:lang w:val="en-US" w:eastAsia="zh-CN"/>
        </w:rPr>
        <w:t>对多方单位测试验证后</w:t>
      </w:r>
      <w:r>
        <w:rPr>
          <w:rFonts w:hint="default" w:ascii="Times New Roman" w:hAnsi="Times New Roman" w:eastAsia="宋体" w:cs="Times New Roman"/>
          <w:b w:val="0"/>
          <w:bCs w:val="0"/>
          <w:sz w:val="21"/>
          <w:szCs w:val="21"/>
          <w:highlight w:val="none"/>
          <w:lang w:val="en-US" w:eastAsia="zh-CN"/>
        </w:rPr>
        <w:t>发现修订的标准完全适用于</w:t>
      </w:r>
      <w:r>
        <w:rPr>
          <w:rFonts w:hint="eastAsia" w:ascii="Times New Roman" w:hAnsi="Times New Roman" w:eastAsia="宋体" w:cs="Times New Roman"/>
          <w:b w:val="0"/>
          <w:bCs w:val="0"/>
          <w:sz w:val="21"/>
          <w:szCs w:val="21"/>
          <w:highlight w:val="none"/>
          <w:lang w:val="en-US" w:eastAsia="zh-CN"/>
        </w:rPr>
        <w:t>铝</w:t>
      </w:r>
      <w:r>
        <w:rPr>
          <w:rFonts w:hint="default" w:ascii="Times New Roman" w:hAnsi="Times New Roman" w:eastAsia="宋体" w:cs="Times New Roman"/>
          <w:b w:val="0"/>
          <w:bCs w:val="0"/>
          <w:sz w:val="21"/>
          <w:szCs w:val="21"/>
          <w:highlight w:val="none"/>
          <w:lang w:val="en-US" w:eastAsia="zh-CN"/>
        </w:rPr>
        <w:t>电解槽技术参数测量。针对新增的铝液流场和磁场，相关分析报告见附件1</w:t>
      </w:r>
      <w:r>
        <w:rPr>
          <w:rFonts w:hint="eastAsia" w:ascii="Times New Roman" w:hAnsi="Times New Roman" w:eastAsia="宋体" w:cs="Times New Roman"/>
          <w:b w:val="0"/>
          <w:bCs w:val="0"/>
          <w:sz w:val="21"/>
          <w:szCs w:val="21"/>
          <w:highlight w:val="none"/>
          <w:lang w:val="en-US" w:eastAsia="zh-CN"/>
        </w:rPr>
        <w:t>、2和附件3</w:t>
      </w:r>
      <w:r>
        <w:rPr>
          <w:rFonts w:hint="default" w:ascii="Times New Roman" w:hAnsi="Times New Roman" w:eastAsia="宋体" w:cs="Times New Roman"/>
          <w:b w:val="0"/>
          <w:bCs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附件1为350KA流场测试及仿真分析报告，旨在计算分析电解槽各测点流速方向及总体流动图，铝液流速大小、铝水平及沉淀厚度参数，分析得到电解槽铝液流动图像。附件2为350KA磁场测试及仿真分析报告，旨在分析槽内磁场分布情况，并判断母线配置优劣。附件3为350KA综合评价分析报告，旨在结合数据库，综合比较分析电解槽情况以及提供针对性的建议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比较测试数据和仿真结果，实测值与计算值误差小于10%，两者吻合良好，存在一定误差的原因是：（1）计算结果的误差，比如模型适当的简化；（2）测试过程的误差，比如测试期间生产条件的波动、实际测试中测试方向或位置的偏差等。但整体来看，测试数据与模拟结果基本一致，铝液流速测试和磁场测试可以比较准确的反应电解槽技术参数实际情况，可为生产运行提供有效的指导。</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标准中涉及专利的情况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本标准不涉及专利问题。</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预期达到的社会效益等情况</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项目的必要性简述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bookmarkStart w:id="1" w:name="_Hlk57577971"/>
      <w:r>
        <w:rPr>
          <w:rFonts w:hint="default" w:ascii="Times New Roman" w:hAnsi="Times New Roman" w:eastAsia="宋体" w:cs="Times New Roman"/>
          <w:b w:val="0"/>
          <w:bCs w:val="0"/>
          <w:sz w:val="21"/>
          <w:szCs w:val="21"/>
          <w:lang w:val="en-US" w:eastAsia="zh-CN"/>
        </w:rPr>
        <w:t>近年来随着铝电解的发展，电解铝生产技术取得了较大的技术进步，目前电解槽的设计已经趋于完善，特别是400kA及以下的槽型，但还是不可避免存在一些实际生产与设计有偏差的情况，会使得磁场和铝液流场偏离设计值，这就有必要通过测试手段了解实际生产中铝液流动情况及磁场的分布，以便及时改善，避免出现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铝电解是一个复杂的电化学反应过程，受到磁场、热场、流场等多个物理场的耦合作用，现有标准中仅有关于热场的技术参数测量，信息量过于单一，不能全面反应实际铝电解运行状态，难以合理的提出工艺改进措施及优化方案。因此有必要增加磁场和流场的相关技术参数测量，为全面分析评价铝电解体系提供数据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据统计，2022年我国电解铝行业总耗电量占国内发电量的7.44%，二氧化碳合计排放总量约4.25亿吨，占国内二氧化碳总排放量的5%左右，电解铝作为高耗能行业，受中国能耗“双控”、“双碳”政策影响，行业发展面临前所未有的大变局，因此通过全面的参数测量，全方位评价铝电解体系，才能系统的了解电解槽工况，采取有针对性的技术措施，达到全面提升电流效率，电解槽寿命和降低吨铝能耗的目的。</w:t>
      </w:r>
      <w:bookmarkEnd w:id="1"/>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项目的可行性简述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本标准的承担单位中南大学早于1980年代中期，由中南大学前副校长梅炽教授和冶金专家蔡祺风教授领导的课题组就对贵州铝厂引进日本160kA预焙槽进行“三场”解析。此后先后对青海铝、平果铝、云南铝业、青铜峡铝业公司、河南神火铝电公司、包头铝业、中铝遵义铝业、印度Balco铝业、内蒙霍煤鸿骏铝业、国电投宁夏铝业等全国二十余家铝厂，对一百多台电解槽开展了铝电解槽物理场综合测试，涉及200KA、300KA、350KA、400KA、500KA、600KA等规模，</w:t>
      </w:r>
      <w:r>
        <w:rPr>
          <w:rFonts w:hint="eastAsia" w:ascii="Times New Roman" w:hAnsi="Times New Roman" w:eastAsia="宋体" w:cs="Times New Roman"/>
          <w:b w:val="0"/>
          <w:bCs w:val="0"/>
          <w:sz w:val="21"/>
          <w:szCs w:val="21"/>
          <w:lang w:val="en-US" w:eastAsia="zh-CN"/>
        </w:rPr>
        <w:t>测量数据与评价分析报告均获得了厂方单位的认可。</w:t>
      </w:r>
      <w:r>
        <w:rPr>
          <w:rFonts w:hint="default" w:ascii="Times New Roman" w:hAnsi="Times New Roman" w:eastAsia="宋体" w:cs="Times New Roman"/>
          <w:b w:val="0"/>
          <w:bCs w:val="0"/>
          <w:sz w:val="21"/>
          <w:szCs w:val="21"/>
          <w:lang w:val="en-US" w:eastAsia="zh-CN"/>
        </w:rPr>
        <w:t>全面掌握了通过“三场”测试、评价和改进铝电解槽运行状态技术，为标准的修订提供了丰富的数据及技术支撑。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国内铝电解槽的铝液流速场测定采用的唯一较为准确的方法为铁棒溶蚀法，此种方法需要复杂的流速场标定工作，国内只有中南大学蔡祺风教授进行了完善的流速场标定试验，目前国内也只有中南大学独家拥有经过标定试验的铝电解槽铝液流速场测定方法。同时将铝液波动场测定方法申报了发明专利，能为技术参数测量方法标准的修订提供规范的理论指导。</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标准的先进性、创新性、标准实施后预期产生的经济效益和社会效益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本文件增加了对电解槽流场和磁场的测试，可以全面掌握“三场”的分布信息，进而可以评价铝电解槽设计水平，检验设计与运行参数之间的差距；通过“三场”参数信息，可以找出优化方向（热平衡，物料平衡以及磁流体平衡），使铝电解槽运行趋向平衡；通过对“三场”的技术参数测量，统计数据可以实现铝电解槽的信息化和数字化，与现有的大数据分析结合可以有效的分析铝电解的运行效率与问题，提供优化方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通过“三场”测试及结果分析，为企业提供改进技术与方案，平均可提高电流效率0.8%~1%，降低吨铝能耗120~150kW•h/t•Al，延长槽寿命100余天。按照2022年铝产量4021万吨，一年可节省用电4.82亿千瓦时~6.03亿千瓦时，按照每度电0.35元计算，一年可以节约电费1.68亿元~2.11亿元。因此在现有标准中增加流场和磁场的参数测量，实现对铝电解槽“三场”的测量，对铝电解行业有着重大的社会与经济效益。</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采用国际标准和国外先进标准情况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经查，国外还未发现有关铝液流场测试的标准。本标准是在综合考虑了企业调研数据与相关现行标准的情况确定的，标准水平达到国际先进。</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与现行相关法律、法规、规章及相关标准，特别是强制性国家标准的协调配套情况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本文件所引用的标准全部是现行有效的标准，是本文件的一部分，引用这些标准后，使本文件的要求与现行的相关法律、法规、规章及相关标准的关系不矛盾、不冲突、其相互关系非常协调。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本文件属于方法规范标准，没有现行的法律、法规、规章制度等对其要求，本领域没有强制性标准。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暂无。</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标准性质的建议说明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本标准为铝电解槽技术参数测量方法的标准，</w:t>
      </w:r>
      <w:r>
        <w:rPr>
          <w:rFonts w:hint="default" w:ascii="宋体" w:hAnsi="宋体" w:eastAsia="宋体" w:cs="宋体"/>
          <w:b w:val="0"/>
          <w:bCs w:val="0"/>
          <w:sz w:val="21"/>
          <w:szCs w:val="21"/>
          <w:lang w:val="en-US" w:eastAsia="zh-CN"/>
        </w:rPr>
        <w:t>可弥补现有标准中关键技术参数的缺失，为提高铝电解主要技术经济指标，采取有针对性的技术措施提供更全面与系统合理的科学依据</w:t>
      </w:r>
      <w:r>
        <w:rPr>
          <w:rFonts w:hint="eastAsia" w:ascii="宋体" w:hAnsi="宋体" w:eastAsia="宋体" w:cs="宋体"/>
          <w:b w:val="0"/>
          <w:bCs w:val="0"/>
          <w:sz w:val="21"/>
          <w:szCs w:val="21"/>
          <w:lang w:val="en-US" w:eastAsia="zh-CN"/>
        </w:rPr>
        <w:t>。因此</w:t>
      </w:r>
      <w:r>
        <w:rPr>
          <w:rFonts w:hint="default" w:ascii="宋体" w:hAnsi="宋体" w:eastAsia="宋体" w:cs="宋体"/>
          <w:b w:val="0"/>
          <w:bCs w:val="0"/>
          <w:sz w:val="21"/>
          <w:szCs w:val="21"/>
          <w:lang w:val="en-US" w:eastAsia="zh-CN"/>
        </w:rPr>
        <w:t>建议将本标准作为推荐性行业标准发布。</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贯彻标准的要求的措施建议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文件发布后，各企业应加强本文件的宣传力度，可以对各企业相关部门进行标准的培训和宣贯，以保证标准的贯彻实施，以更全面的判断铝电解槽的运行情况，实现电流效率的提升，延长电解槽寿命，从而达到节能减排的作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废止现行相关标准的建议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本文件是对YS/T 784-2012《铝电解槽技术参数测量方法》的修订，本标准发布实施后，可以代替YS/T 784-2012《铝电解槽技术参数测量方法》。</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其他应予说明的事项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w:t>
      </w: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pPr>
    </w:p>
    <w:p>
      <w:pPr>
        <w:widowControl w:val="0"/>
        <w:numPr>
          <w:ilvl w:val="0"/>
          <w:numId w:val="0"/>
        </w:numPr>
        <w:spacing w:beforeAutospacing="0" w:afterAutospacing="0" w:line="240" w:lineRule="auto"/>
        <w:jc w:val="both"/>
        <w:rPr>
          <w:rFonts w:hint="default" w:ascii="宋体" w:hAnsi="宋体" w:eastAsia="宋体" w:cs="宋体"/>
          <w:b w:val="0"/>
          <w:bCs w:val="0"/>
          <w:sz w:val="21"/>
          <w:szCs w:val="21"/>
          <w:lang w:val="en-US" w:eastAsia="zh-CN"/>
        </w:rPr>
        <w:sectPr>
          <w:footerReference r:id="rId8" w:type="first"/>
          <w:footerReference r:id="rId6" w:type="default"/>
          <w:footerReference r:id="rId7" w:type="even"/>
          <w:pgSz w:w="11906" w:h="16838"/>
          <w:pgMar w:top="1440" w:right="1800" w:bottom="1440" w:left="1800" w:header="851" w:footer="992" w:gutter="0"/>
          <w:pgNumType w:fmt="decimal" w:start="1"/>
          <w:cols w:space="425" w:num="1"/>
          <w:docGrid w:type="lines" w:linePitch="312" w:charSpace="0"/>
        </w:sectPr>
      </w:pPr>
    </w:p>
    <w:p>
      <w:pPr>
        <w:spacing w:line="360" w:lineRule="auto"/>
        <w:outlineLvl w:val="0"/>
        <w:rPr>
          <w:rFonts w:hint="eastAsia"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350KA流场测试及仿真分析报告</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铝液流动方向</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每一测点测1次，从每根棒的熔蚀情况，可以大致看出该测点处的铝液流动方向，根据溶蚀情况还可以计算出铝液流速。根据得到的结果分别绘制各槽铝液流动方向图，用箭头标记表示铝液流动方向，箭头处附注有流速大小。○为测点，括号内数字为铝液流速，单位为cm.s-1。</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350kA槽测点流速方向图及总体流动图</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eastAsia="楷体"/>
          <w:bCs/>
          <w:sz w:val="21"/>
        </w:rPr>
      </w:pPr>
      <w:r>
        <w:rPr>
          <w:rFonts w:hint="default" w:ascii="Times New Roman" w:hAnsi="Times New Roman" w:eastAsia="宋体" w:cs="Times New Roman"/>
          <w:color w:val="000000"/>
          <w:sz w:val="21"/>
          <w:szCs w:val="21"/>
        </w:rPr>
        <w:t>根据现场350kA槽各测点的流速，</w:t>
      </w:r>
      <w:r>
        <w:rPr>
          <w:rFonts w:hint="eastAsia" w:ascii="Times New Roman" w:hAnsi="Times New Roman" w:eastAsia="宋体" w:cs="Times New Roman"/>
          <w:color w:val="000000"/>
          <w:sz w:val="21"/>
          <w:szCs w:val="21"/>
          <w:lang w:val="en-US" w:eastAsia="zh-CN"/>
        </w:rPr>
        <w:t>可</w:t>
      </w:r>
      <w:r>
        <w:rPr>
          <w:rFonts w:hint="default" w:ascii="Times New Roman" w:hAnsi="Times New Roman" w:eastAsia="宋体" w:cs="Times New Roman"/>
          <w:color w:val="000000"/>
          <w:sz w:val="21"/>
          <w:szCs w:val="21"/>
        </w:rPr>
        <w:t>作出</w:t>
      </w:r>
      <w:r>
        <w:rPr>
          <w:rFonts w:hint="eastAsia" w:ascii="Times New Roman" w:hAnsi="Times New Roman" w:eastAsia="宋体" w:cs="Times New Roman"/>
          <w:color w:val="000000"/>
          <w:sz w:val="21"/>
          <w:szCs w:val="21"/>
          <w:lang w:val="en-US" w:eastAsia="zh-CN"/>
        </w:rPr>
        <w:t>电解槽</w:t>
      </w:r>
      <w:r>
        <w:rPr>
          <w:rFonts w:hint="default" w:ascii="Times New Roman" w:hAnsi="Times New Roman" w:eastAsia="宋体" w:cs="Times New Roman"/>
          <w:color w:val="000000"/>
          <w:sz w:val="21"/>
          <w:szCs w:val="21"/>
        </w:rPr>
        <w:t>流场流动方向及总体流动图</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如下图</w:t>
      </w:r>
      <w:r>
        <w:rPr>
          <w:rFonts w:hint="eastAsia" w:ascii="Times New Roman" w:hAnsi="Times New Roman" w:eastAsia="宋体" w:cs="Times New Roman"/>
          <w:color w:val="000000"/>
          <w:sz w:val="21"/>
          <w:szCs w:val="21"/>
          <w:lang w:val="en-US" w:eastAsia="zh-CN"/>
        </w:rPr>
        <w:t>1~图2</w:t>
      </w:r>
      <w:r>
        <w:rPr>
          <w:rFonts w:hint="default" w:ascii="Times New Roman" w:hAnsi="Times New Roman" w:eastAsia="宋体" w:cs="Times New Roman"/>
          <w:color w:val="000000"/>
          <w:sz w:val="21"/>
          <w:szCs w:val="21"/>
        </w:rPr>
        <w:t>所示。</w:t>
      </w:r>
    </w:p>
    <w:p>
      <w:pPr>
        <w:jc w:val="center"/>
      </w:pPr>
      <w:r>
        <w:drawing>
          <wp:inline distT="0" distB="0" distL="114300" distR="114300">
            <wp:extent cx="5224780" cy="3060065"/>
            <wp:effectExtent l="0" t="0" r="13970" b="698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5224780" cy="3060065"/>
                    </a:xfrm>
                    <a:prstGeom prst="rect">
                      <a:avLst/>
                    </a:prstGeom>
                    <a:noFill/>
                    <a:ln>
                      <a:noFill/>
                    </a:ln>
                  </pic:spPr>
                </pic:pic>
              </a:graphicData>
            </a:graphic>
          </wp:inline>
        </w:drawing>
      </w:r>
    </w:p>
    <w:p>
      <w:pPr>
        <w:jc w:val="center"/>
      </w:pPr>
      <w:r>
        <w:drawing>
          <wp:inline distT="0" distB="0" distL="114300" distR="114300">
            <wp:extent cx="5410200" cy="3060065"/>
            <wp:effectExtent l="0" t="0" r="0" b="698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8"/>
                    <a:stretch>
                      <a:fillRect/>
                    </a:stretch>
                  </pic:blipFill>
                  <pic:spPr>
                    <a:xfrm>
                      <a:off x="0" y="0"/>
                      <a:ext cx="5410200" cy="3060065"/>
                    </a:xfrm>
                    <a:prstGeom prst="rect">
                      <a:avLst/>
                    </a:prstGeom>
                    <a:noFill/>
                    <a:ln>
                      <a:noFill/>
                    </a:ln>
                  </pic:spPr>
                </pic:pic>
              </a:graphicData>
            </a:graphic>
          </wp:inline>
        </w:drawing>
      </w:r>
    </w:p>
    <w:p>
      <w:pPr>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图</w:t>
      </w:r>
      <w:r>
        <w:rPr>
          <w:rFonts w:hint="default" w:ascii="Times New Roman" w:hAnsi="Times New Roman" w:eastAsia="黑体" w:cs="Times New Roman"/>
          <w:bCs/>
          <w:sz w:val="21"/>
          <w:szCs w:val="21"/>
          <w:lang w:val="en-US" w:eastAsia="zh-CN"/>
        </w:rPr>
        <w:t>1</w:t>
      </w:r>
      <w:r>
        <w:rPr>
          <w:rFonts w:hint="default" w:ascii="Times New Roman" w:hAnsi="Times New Roman" w:eastAsia="黑体" w:cs="Times New Roman"/>
          <w:bCs/>
          <w:sz w:val="21"/>
          <w:szCs w:val="21"/>
        </w:rPr>
        <w:t>　1327</w:t>
      </w:r>
      <w:r>
        <w:rPr>
          <w:rFonts w:hint="default" w:ascii="Times New Roman" w:hAnsi="Times New Roman" w:eastAsia="黑体" w:cs="Times New Roman"/>
          <w:bCs/>
          <w:sz w:val="21"/>
          <w:szCs w:val="21"/>
          <w:vertAlign w:val="superscript"/>
        </w:rPr>
        <w:t>＃</w:t>
      </w:r>
      <w:r>
        <w:rPr>
          <w:rFonts w:hint="default" w:ascii="Times New Roman" w:hAnsi="Times New Roman" w:eastAsia="黑体" w:cs="Times New Roman"/>
          <w:bCs/>
          <w:sz w:val="21"/>
          <w:szCs w:val="21"/>
        </w:rPr>
        <w:t>槽测点处铝液流动方向及总体流动图</w:t>
      </w:r>
    </w:p>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Cs/>
          <w:sz w:val="21"/>
          <w:szCs w:val="21"/>
        </w:rPr>
        <w:t>(。为测点，括号内数字为铝液流速cm·s</w:t>
      </w:r>
      <w:r>
        <w:rPr>
          <w:rFonts w:hint="default" w:ascii="Times New Roman" w:hAnsi="Times New Roman" w:eastAsia="黑体" w:cs="Times New Roman"/>
          <w:bCs/>
          <w:sz w:val="21"/>
          <w:szCs w:val="21"/>
          <w:vertAlign w:val="superscript"/>
        </w:rPr>
        <w:t>-1</w:t>
      </w:r>
      <w:r>
        <w:rPr>
          <w:rFonts w:hint="default" w:ascii="Times New Roman" w:hAnsi="Times New Roman" w:eastAsia="黑体" w:cs="Times New Roman"/>
          <w:bCs/>
          <w:sz w:val="21"/>
          <w:szCs w:val="21"/>
        </w:rPr>
        <w:t>)</w:t>
      </w:r>
    </w:p>
    <w:p>
      <w:pPr>
        <w:jc w:val="center"/>
      </w:pPr>
      <w:r>
        <w:drawing>
          <wp:inline distT="0" distB="0" distL="114300" distR="114300">
            <wp:extent cx="5400040" cy="3119755"/>
            <wp:effectExtent l="0" t="0" r="10160" b="444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9"/>
                    <a:stretch>
                      <a:fillRect/>
                    </a:stretch>
                  </pic:blipFill>
                  <pic:spPr>
                    <a:xfrm>
                      <a:off x="0" y="0"/>
                      <a:ext cx="5400040" cy="3119755"/>
                    </a:xfrm>
                    <a:prstGeom prst="rect">
                      <a:avLst/>
                    </a:prstGeom>
                    <a:noFill/>
                    <a:ln>
                      <a:noFill/>
                    </a:ln>
                  </pic:spPr>
                </pic:pic>
              </a:graphicData>
            </a:graphic>
          </wp:inline>
        </w:drawing>
      </w:r>
    </w:p>
    <w:p>
      <w:pPr>
        <w:jc w:val="center"/>
        <w:rPr>
          <w:rFonts w:hint="eastAsia"/>
        </w:rPr>
      </w:pPr>
      <w:r>
        <w:drawing>
          <wp:inline distT="0" distB="0" distL="114300" distR="114300">
            <wp:extent cx="5400040" cy="3181985"/>
            <wp:effectExtent l="0" t="0" r="10160" b="1841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0"/>
                    <a:stretch>
                      <a:fillRect/>
                    </a:stretch>
                  </pic:blipFill>
                  <pic:spPr>
                    <a:xfrm>
                      <a:off x="0" y="0"/>
                      <a:ext cx="5400040" cy="3181985"/>
                    </a:xfrm>
                    <a:prstGeom prst="rect">
                      <a:avLst/>
                    </a:prstGeom>
                    <a:noFill/>
                    <a:ln>
                      <a:noFill/>
                    </a:ln>
                  </pic:spPr>
                </pic:pic>
              </a:graphicData>
            </a:graphic>
          </wp:inline>
        </w:drawing>
      </w:r>
    </w:p>
    <w:p>
      <w:pPr>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图</w:t>
      </w:r>
      <w:r>
        <w:rPr>
          <w:rFonts w:hint="eastAsia" w:ascii="Times New Roman" w:hAnsi="Times New Roman" w:eastAsia="黑体" w:cs="Times New Roman"/>
          <w:bCs/>
          <w:sz w:val="21"/>
          <w:szCs w:val="21"/>
          <w:lang w:val="en-US" w:eastAsia="zh-CN"/>
        </w:rPr>
        <w:t>2</w:t>
      </w:r>
      <w:r>
        <w:rPr>
          <w:rFonts w:hint="default" w:ascii="Times New Roman" w:hAnsi="Times New Roman" w:eastAsia="黑体" w:cs="Times New Roman"/>
          <w:bCs/>
          <w:sz w:val="21"/>
          <w:szCs w:val="21"/>
        </w:rPr>
        <w:t>　1223＃槽测点处铝液流动方向及总体流动图</w:t>
      </w:r>
    </w:p>
    <w:p>
      <w:pPr>
        <w:jc w:val="center"/>
        <w:rPr>
          <w:rFonts w:hint="eastAsia" w:ascii="Times New Roman" w:hAnsi="Times New Roman" w:eastAsia="黑体" w:cs="Times New Roman"/>
          <w:bCs/>
          <w:sz w:val="21"/>
          <w:szCs w:val="21"/>
        </w:rPr>
      </w:pPr>
      <w:r>
        <w:rPr>
          <w:rFonts w:hint="default" w:ascii="Times New Roman" w:hAnsi="Times New Roman" w:eastAsia="黑体" w:cs="Times New Roman"/>
          <w:bCs/>
          <w:sz w:val="21"/>
          <w:szCs w:val="21"/>
        </w:rPr>
        <w:t>(。为测点，括号内数字为铝液流速cm·s-1)</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由图</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至图</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可看出，所测槽的铝液流动基本都呈四个对称分布的旋涡运动。但所测槽的局部位置流速较大，可能存在小旋涡，具体部位如下：</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旋涡分布：350kA系列1327#槽在测点9、13和23附近，1223#槽在测点6、13和18附近。流速偏大的原因主要是该点磁场力较大，但大部分流速也都在合理范围内，可以通过调整母线和降低水平电流等方式对磁场进行适当的调节。</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小旋涡：1327#槽均在测点烟道端的两个角部出现两个小旋涡；1223#槽在A测烟道端角部和A测两个大漩涡结合处出现两小旋涡。因此350kA的角部容易出现小涡旋，值得关注，可以通过提高角部阳极的换极设置高度来旋涡小涡旋的产生。</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小漩涡主要是在电磁场力的推动下形成的，正常情况下电解槽的磁场比较稳定，会均匀形成四个大的漩涡，但是由于个别点处磁场分布不均、流速较大以及炉帮大小不一等情况的存在，所以会出现一定的小漩涡。小漩涡会加速铝液对内衬的局部冲刷，是缩短电解槽寿命和降低技术经济指标的重要原因，在角部有很好的复现性，值得密切关注。可以通过改善磁场分布以及注意炉帮状况等方式加以优化。</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bookmarkStart w:id="2" w:name="_Toc3160"/>
      <w:bookmarkStart w:id="3" w:name="_Toc120282247"/>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铝液流速，铝液高度以及沉淀厚度</w:t>
      </w:r>
      <w:bookmarkEnd w:id="2"/>
      <w:bookmarkEnd w:id="3"/>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根据每一测点测1次所得1根铁棒熔蚀前后的直径变化，取平均值，求得该测点处的铝液流速。还可以通过对铁棒的溶蚀程度，较为准确地量取该测点处的铝液高度和沉淀厚度。结果汇总于表</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w:t>
      </w:r>
    </w:p>
    <w:p>
      <w:pPr>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表</w:t>
      </w:r>
      <w:r>
        <w:rPr>
          <w:rFonts w:hint="eastAsia" w:ascii="Times New Roman" w:hAnsi="Times New Roman" w:eastAsia="黑体" w:cs="Times New Roman"/>
          <w:bCs/>
          <w:sz w:val="21"/>
          <w:szCs w:val="21"/>
          <w:lang w:val="en-US" w:eastAsia="zh-CN"/>
        </w:rPr>
        <w:t>1</w:t>
      </w:r>
      <w:r>
        <w:rPr>
          <w:rFonts w:hint="eastAsia" w:ascii="Times New Roman" w:hAnsi="Times New Roman" w:eastAsia="黑体" w:cs="Times New Roman"/>
          <w:bCs/>
          <w:sz w:val="21"/>
          <w:szCs w:val="21"/>
        </w:rPr>
        <w:t xml:space="preserve"> </w:t>
      </w:r>
      <w:r>
        <w:rPr>
          <w:rFonts w:hint="default" w:ascii="Times New Roman" w:hAnsi="Times New Roman" w:eastAsia="黑体" w:cs="Times New Roman"/>
          <w:bCs/>
          <w:sz w:val="21"/>
          <w:szCs w:val="21"/>
        </w:rPr>
        <w:t xml:space="preserve"> 2120#</w:t>
      </w:r>
      <w:r>
        <w:rPr>
          <w:rFonts w:hint="eastAsia" w:ascii="Times New Roman" w:hAnsi="Times New Roman" w:eastAsia="黑体" w:cs="Times New Roman"/>
          <w:bCs/>
          <w:sz w:val="21"/>
          <w:szCs w:val="21"/>
        </w:rPr>
        <w:t>、</w:t>
      </w:r>
      <w:r>
        <w:rPr>
          <w:rFonts w:hint="default" w:ascii="Times New Roman" w:hAnsi="Times New Roman" w:eastAsia="黑体" w:cs="Times New Roman"/>
          <w:bCs/>
          <w:sz w:val="21"/>
          <w:szCs w:val="21"/>
        </w:rPr>
        <w:t>2141#和2312#槽况实时测定结果</w:t>
      </w:r>
    </w:p>
    <w:tbl>
      <w:tblPr>
        <w:tblStyle w:val="15"/>
        <w:tblW w:w="7588" w:type="dxa"/>
        <w:jc w:val="center"/>
        <w:tblLayout w:type="fixed"/>
        <w:tblCellMar>
          <w:top w:w="0" w:type="dxa"/>
          <w:left w:w="108" w:type="dxa"/>
          <w:bottom w:w="0" w:type="dxa"/>
          <w:right w:w="108" w:type="dxa"/>
        </w:tblCellMar>
      </w:tblPr>
      <w:tblGrid>
        <w:gridCol w:w="534"/>
        <w:gridCol w:w="714"/>
        <w:gridCol w:w="600"/>
        <w:gridCol w:w="653"/>
        <w:gridCol w:w="799"/>
        <w:gridCol w:w="639"/>
        <w:gridCol w:w="750"/>
        <w:gridCol w:w="750"/>
        <w:gridCol w:w="653"/>
        <w:gridCol w:w="878"/>
        <w:gridCol w:w="618"/>
      </w:tblGrid>
      <w:tr>
        <w:tblPrEx>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p>
        </w:tc>
        <w:tc>
          <w:tcPr>
            <w:tcW w:w="3405" w:type="dxa"/>
            <w:gridSpan w:val="5"/>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1327</w:t>
            </w:r>
            <w:r>
              <w:rPr>
                <w:rFonts w:hint="default" w:ascii="Times New Roman" w:hAnsi="Times New Roman" w:eastAsia="宋体" w:cs="Times New Roman"/>
                <w:b w:val="0"/>
                <w:bCs/>
                <w:kern w:val="0"/>
                <w:sz w:val="18"/>
                <w:szCs w:val="18"/>
                <w:vertAlign w:val="superscript"/>
              </w:rPr>
              <w:t xml:space="preserve"># </w:t>
            </w:r>
          </w:p>
        </w:tc>
        <w:tc>
          <w:tcPr>
            <w:tcW w:w="3649" w:type="dxa"/>
            <w:gridSpan w:val="5"/>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1223</w:t>
            </w:r>
            <w:r>
              <w:rPr>
                <w:rFonts w:hint="default" w:ascii="Times New Roman" w:hAnsi="Times New Roman" w:eastAsia="宋体" w:cs="Times New Roman"/>
                <w:b w:val="0"/>
                <w:bCs/>
                <w:kern w:val="0"/>
                <w:sz w:val="18"/>
                <w:szCs w:val="18"/>
                <w:vertAlign w:val="superscript"/>
              </w:rPr>
              <w:t>#</w:t>
            </w:r>
          </w:p>
        </w:tc>
      </w:tr>
      <w:tr>
        <w:tblPrEx>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编号</w:t>
            </w:r>
          </w:p>
        </w:tc>
        <w:tc>
          <w:tcPr>
            <w:tcW w:w="714"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流速</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(cm/s)</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沉淀</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厚度(cm)</w:t>
            </w:r>
          </w:p>
        </w:tc>
        <w:tc>
          <w:tcPr>
            <w:tcW w:w="653"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铝液波动(cm)</w:t>
            </w:r>
          </w:p>
        </w:tc>
        <w:tc>
          <w:tcPr>
            <w:tcW w:w="799"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电解质</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水平(cm)</w:t>
            </w:r>
          </w:p>
        </w:tc>
        <w:tc>
          <w:tcPr>
            <w:tcW w:w="639"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铝</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水平</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(cm)</w:t>
            </w:r>
          </w:p>
        </w:tc>
        <w:tc>
          <w:tcPr>
            <w:tcW w:w="750"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流速</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(cm/s)</w:t>
            </w:r>
          </w:p>
        </w:tc>
        <w:tc>
          <w:tcPr>
            <w:tcW w:w="750"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沉淀</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厚度(cm)</w:t>
            </w:r>
          </w:p>
        </w:tc>
        <w:tc>
          <w:tcPr>
            <w:tcW w:w="653"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铝液</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波动</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(cm)</w:t>
            </w:r>
          </w:p>
        </w:tc>
        <w:tc>
          <w:tcPr>
            <w:tcW w:w="878"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电解质</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水平(cm)</w:t>
            </w:r>
          </w:p>
        </w:tc>
        <w:tc>
          <w:tcPr>
            <w:tcW w:w="618" w:type="dxa"/>
            <w:tcBorders>
              <w:top w:val="single" w:color="auto" w:sz="4" w:space="0"/>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铝</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水平</w:t>
            </w:r>
          </w:p>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(cm)</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 xml:space="preserve">15.2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16</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color w:val="000000"/>
                <w:sz w:val="18"/>
                <w:szCs w:val="18"/>
              </w:rPr>
              <w:t xml:space="preserve">45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 xml:space="preserve">13.2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2</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16</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sz w:val="18"/>
                <w:szCs w:val="18"/>
              </w:rPr>
              <w:t>34</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10.3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43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18.0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41.5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3</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17.2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0.8</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47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10.3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11</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9.5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42</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4</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10.4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0.8</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18</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42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6.6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7.5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29.5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5</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16.6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41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15.6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18</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33.5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6</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13.4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42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20.4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7</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18.3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15.2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42.5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8</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14.8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0.9</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33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8.9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40</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9</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21.1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9</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37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17.0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32</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10</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18.9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0.8</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11.5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45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13.5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37.5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11</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15.6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6</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18</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17.4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34</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12</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16.1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20.5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35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11.6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35.5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13</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20.6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20.5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42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22.7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33</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14</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10.9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16.1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39.5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15</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13.8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19</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22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11.1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40</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16</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14.5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37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11.0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21</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36</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17</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6.2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11</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42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11.0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42</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18</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10.7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36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26.6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11</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12.5</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40.5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19</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15.1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17.7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33</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20</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15.1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22</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12.4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17</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33.5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21</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16.7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8</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11</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43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20.2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44</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22</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15.9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44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18.1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21</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35.5</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23</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21.5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15.1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39</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24</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15.2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50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14.8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37</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25</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10.8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0.8</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6.4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38</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26</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14.4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14.8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40</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27</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14.7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41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10.8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36</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28</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11.1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5</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13</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14.7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10.5</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12</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38</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29</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9.4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14.4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6</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2</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39</w:t>
            </w:r>
          </w:p>
        </w:tc>
      </w:tr>
      <w:tr>
        <w:tblPrEx>
          <w:tblCellMar>
            <w:top w:w="0" w:type="dxa"/>
            <w:left w:w="108" w:type="dxa"/>
            <w:bottom w:w="0" w:type="dxa"/>
            <w:right w:w="108" w:type="dxa"/>
          </w:tblCellMar>
        </w:tblPrEx>
        <w:trPr>
          <w:trHeight w:val="369"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30</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12.3 </w:t>
            </w:r>
          </w:p>
        </w:tc>
        <w:tc>
          <w:tcPr>
            <w:tcW w:w="60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16</w:t>
            </w:r>
          </w:p>
        </w:tc>
        <w:tc>
          <w:tcPr>
            <w:tcW w:w="63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40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13.1 </w:t>
            </w:r>
          </w:p>
        </w:tc>
        <w:tc>
          <w:tcPr>
            <w:tcW w:w="750"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w:t>
            </w:r>
          </w:p>
        </w:tc>
        <w:tc>
          <w:tcPr>
            <w:tcW w:w="653"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0.5</w:t>
            </w:r>
          </w:p>
        </w:tc>
        <w:tc>
          <w:tcPr>
            <w:tcW w:w="87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14</w:t>
            </w:r>
          </w:p>
        </w:tc>
        <w:tc>
          <w:tcPr>
            <w:tcW w:w="618"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37</w:t>
            </w:r>
          </w:p>
        </w:tc>
      </w:tr>
      <w:tr>
        <w:tblPrEx>
          <w:tblCellMar>
            <w:top w:w="0" w:type="dxa"/>
            <w:left w:w="108" w:type="dxa"/>
            <w:bottom w:w="0" w:type="dxa"/>
            <w:right w:w="108" w:type="dxa"/>
          </w:tblCellMar>
        </w:tblPrEx>
        <w:trPr>
          <w:trHeight w:val="397" w:hRule="atLeast"/>
          <w:jc w:val="center"/>
        </w:trPr>
        <w:tc>
          <w:tcPr>
            <w:tcW w:w="534" w:type="dxa"/>
            <w:tcBorders>
              <w:top w:val="nil"/>
              <w:left w:val="single" w:color="auto" w:sz="4" w:space="0"/>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kern w:val="0"/>
                <w:sz w:val="18"/>
                <w:szCs w:val="18"/>
              </w:rPr>
            </w:pPr>
            <w:r>
              <w:rPr>
                <w:rFonts w:hint="default" w:ascii="Times New Roman" w:hAnsi="Times New Roman" w:eastAsia="宋体" w:cs="Times New Roman"/>
                <w:b w:val="0"/>
                <w:bCs/>
                <w:kern w:val="0"/>
                <w:sz w:val="18"/>
                <w:szCs w:val="18"/>
              </w:rPr>
              <w:t>平均</w:t>
            </w:r>
          </w:p>
        </w:tc>
        <w:tc>
          <w:tcPr>
            <w:tcW w:w="714"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14.6 </w:t>
            </w:r>
          </w:p>
        </w:tc>
        <w:tc>
          <w:tcPr>
            <w:tcW w:w="60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2.3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1.0</w:t>
            </w:r>
          </w:p>
        </w:tc>
        <w:tc>
          <w:tcPr>
            <w:tcW w:w="799" w:type="dxa"/>
            <w:tcBorders>
              <w:top w:val="nil"/>
              <w:left w:val="nil"/>
              <w:bottom w:val="single" w:color="auto" w:sz="4" w:space="0"/>
              <w:right w:val="single" w:color="auto" w:sz="4" w:space="0"/>
            </w:tcBorders>
            <w:noWrap w:val="0"/>
            <w:vAlign w:val="center"/>
          </w:tcPr>
          <w:p>
            <w:pPr>
              <w:widowControl/>
              <w:adjustRightInd/>
              <w:jc w:val="center"/>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15.5 </w:t>
            </w:r>
          </w:p>
        </w:tc>
        <w:tc>
          <w:tcPr>
            <w:tcW w:w="639"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sz w:val="18"/>
                <w:szCs w:val="18"/>
              </w:rPr>
            </w:pPr>
            <w:r>
              <w:rPr>
                <w:rFonts w:hint="default" w:ascii="Times New Roman" w:hAnsi="Times New Roman" w:eastAsia="宋体" w:cs="Times New Roman"/>
                <w:b w:val="0"/>
                <w:bCs/>
                <w:color w:val="000000"/>
                <w:sz w:val="18"/>
                <w:szCs w:val="18"/>
              </w:rPr>
              <w:t xml:space="preserve">39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14.6 </w:t>
            </w:r>
          </w:p>
        </w:tc>
        <w:tc>
          <w:tcPr>
            <w:tcW w:w="750"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4.9 </w:t>
            </w:r>
          </w:p>
        </w:tc>
        <w:tc>
          <w:tcPr>
            <w:tcW w:w="653"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1.1 </w:t>
            </w:r>
          </w:p>
        </w:tc>
        <w:tc>
          <w:tcPr>
            <w:tcW w:w="878"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 xml:space="preserve">13.8 </w:t>
            </w:r>
          </w:p>
        </w:tc>
        <w:tc>
          <w:tcPr>
            <w:tcW w:w="618" w:type="dxa"/>
            <w:tcBorders>
              <w:top w:val="nil"/>
              <w:left w:val="nil"/>
              <w:bottom w:val="single" w:color="auto" w:sz="4" w:space="0"/>
              <w:right w:val="single" w:color="auto" w:sz="4" w:space="0"/>
            </w:tcBorders>
            <w:noWrap w:val="0"/>
            <w:vAlign w:val="center"/>
          </w:tcPr>
          <w:p>
            <w:pPr>
              <w:widowControl/>
              <w:adjustRightInd/>
              <w:jc w:val="right"/>
              <w:textAlignment w:val="auto"/>
              <w:rPr>
                <w:rFonts w:hint="default" w:ascii="Times New Roman" w:hAnsi="Times New Roman" w:eastAsia="宋体" w:cs="Times New Roman"/>
                <w:b w:val="0"/>
                <w:bCs/>
                <w:color w:val="000000"/>
                <w:sz w:val="18"/>
                <w:szCs w:val="18"/>
              </w:rPr>
            </w:pPr>
            <w:r>
              <w:rPr>
                <w:rFonts w:hint="default" w:ascii="Times New Roman" w:hAnsi="Times New Roman" w:eastAsia="宋体" w:cs="Times New Roman"/>
                <w:b w:val="0"/>
                <w:bCs/>
                <w:color w:val="000000"/>
                <w:sz w:val="18"/>
                <w:szCs w:val="18"/>
              </w:rPr>
              <w:t>38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eastAsia="宋体" w:cs="Times New Roman"/>
          <w:b w:val="0"/>
          <w:bCs w:val="0"/>
          <w:sz w:val="21"/>
          <w:szCs w:val="21"/>
          <w:highlight w:val="none"/>
          <w:lang w:val="en-US" w:eastAsia="zh-CN"/>
        </w:rPr>
      </w:pPr>
    </w:p>
    <w:p>
      <w:pPr>
        <w:pStyle w:val="8"/>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铝液流速仿真模拟分析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根据电解槽流动场模型计算得到的流动场铝液流速分布结果如</w:t>
      </w:r>
      <w:r>
        <w:rPr>
          <w:rFonts w:hint="default" w:ascii="Times New Roman" w:hAnsi="Times New Roman" w:eastAsia="宋体" w:cs="Times New Roman"/>
          <w:color w:val="000000"/>
          <w:sz w:val="21"/>
          <w:szCs w:val="21"/>
          <w:lang w:val="en-US" w:eastAsia="zh-CN"/>
        </w:rPr>
        <w:t>图3所示</w:t>
      </w:r>
      <w:r>
        <w:rPr>
          <w:rFonts w:hint="eastAsia" w:ascii="宋体" w:hAnsi="宋体" w:eastAsia="宋体" w:cs="宋体"/>
          <w:color w:val="000000"/>
          <w:sz w:val="21"/>
          <w:szCs w:val="21"/>
          <w:lang w:val="en-US" w:eastAsia="zh-CN"/>
        </w:rPr>
        <w:t>。从</w:t>
      </w:r>
      <w:r>
        <w:rPr>
          <w:rFonts w:hint="default" w:ascii="Times New Roman" w:hAnsi="Times New Roman" w:eastAsia="宋体" w:cs="Times New Roman"/>
          <w:color w:val="000000"/>
          <w:sz w:val="21"/>
          <w:szCs w:val="21"/>
          <w:lang w:val="en-US" w:eastAsia="zh-CN"/>
        </w:rPr>
        <w:t>图3可</w:t>
      </w:r>
      <w:r>
        <w:rPr>
          <w:rFonts w:hint="eastAsia" w:ascii="宋体" w:hAnsi="宋体" w:eastAsia="宋体" w:cs="宋体"/>
          <w:color w:val="000000"/>
          <w:sz w:val="21"/>
          <w:szCs w:val="21"/>
          <w:lang w:val="en-US" w:eastAsia="zh-CN"/>
        </w:rPr>
        <w:t>以看出，在电解槽区域有明显的四个旋涡，四个旋涡分布规律有共同之处，都是在漩涡的近相切处流速达到最大，向其他方向运动时流速有所减小。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r>
        <w:drawing>
          <wp:inline distT="0" distB="0" distL="114300" distR="114300">
            <wp:extent cx="4755515" cy="1539875"/>
            <wp:effectExtent l="0" t="0" r="6985" b="317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1"/>
                    <a:srcRect b="32124"/>
                    <a:stretch>
                      <a:fillRect/>
                    </a:stretch>
                  </pic:blipFill>
                  <pic:spPr>
                    <a:xfrm>
                      <a:off x="0" y="0"/>
                      <a:ext cx="4755515" cy="1539875"/>
                    </a:xfrm>
                    <a:prstGeom prst="rect">
                      <a:avLst/>
                    </a:prstGeom>
                    <a:noFill/>
                    <a:ln>
                      <a:noFill/>
                    </a:ln>
                  </pic:spPr>
                </pic:pic>
              </a:graphicData>
            </a:graphic>
          </wp:inline>
        </w:drawing>
      </w:r>
    </w:p>
    <w:p>
      <w:pPr>
        <w:jc w:val="center"/>
        <w:rPr>
          <w:rFonts w:hint="default" w:ascii="Times New Roman" w:hAnsi="Times New Roman" w:eastAsia="黑体" w:cs="Times New Roman"/>
          <w:bCs/>
          <w:sz w:val="21"/>
          <w:szCs w:val="21"/>
          <w:lang w:val="en-US" w:eastAsia="zh-CN"/>
        </w:rPr>
      </w:pPr>
      <w:r>
        <w:rPr>
          <w:rFonts w:hint="eastAsia" w:ascii="Times New Roman" w:hAnsi="Times New Roman" w:eastAsia="黑体" w:cs="Times New Roman"/>
          <w:bCs/>
          <w:sz w:val="21"/>
          <w:szCs w:val="21"/>
          <w:lang w:val="en-US" w:eastAsia="zh-CN"/>
        </w:rPr>
        <w:t xml:space="preserve">图3 </w:t>
      </w:r>
      <w:r>
        <w:rPr>
          <w:rFonts w:hint="default" w:ascii="Times New Roman" w:hAnsi="Times New Roman" w:eastAsia="黑体" w:cs="Times New Roman"/>
          <w:bCs/>
          <w:sz w:val="21"/>
          <w:szCs w:val="21"/>
          <w:lang w:val="en-US" w:eastAsia="zh-CN"/>
        </w:rPr>
        <w:t>350</w:t>
      </w:r>
      <w:r>
        <w:rPr>
          <w:rFonts w:hint="eastAsia" w:ascii="Times New Roman" w:hAnsi="Times New Roman" w:eastAsia="黑体" w:cs="Times New Roman"/>
          <w:bCs/>
          <w:sz w:val="21"/>
          <w:szCs w:val="21"/>
        </w:rPr>
        <w:t>k</w:t>
      </w:r>
      <w:r>
        <w:rPr>
          <w:rFonts w:hint="default" w:ascii="Times New Roman" w:hAnsi="Times New Roman" w:eastAsia="黑体" w:cs="Times New Roman"/>
          <w:bCs/>
          <w:sz w:val="21"/>
          <w:szCs w:val="21"/>
        </w:rPr>
        <w:t>A</w:t>
      </w:r>
      <w:r>
        <w:rPr>
          <w:rFonts w:hint="default" w:ascii="Times New Roman" w:hAnsi="Times New Roman" w:eastAsia="黑体" w:cs="Times New Roman"/>
          <w:bCs/>
          <w:sz w:val="21"/>
          <w:szCs w:val="21"/>
          <w:lang w:val="en-US" w:eastAsia="zh-CN"/>
        </w:rPr>
        <w:t>设计电解槽</w:t>
      </w:r>
      <w:r>
        <w:rPr>
          <w:rFonts w:hint="default" w:ascii="Times New Roman" w:hAnsi="Times New Roman" w:eastAsia="黑体" w:cs="Times New Roman"/>
          <w:bCs/>
          <w:sz w:val="21"/>
          <w:szCs w:val="21"/>
        </w:rPr>
        <w:t>模拟铝液</w:t>
      </w:r>
      <w:r>
        <w:rPr>
          <w:rFonts w:hint="default" w:ascii="Times New Roman" w:hAnsi="Times New Roman" w:eastAsia="黑体" w:cs="Times New Roman"/>
          <w:bCs/>
          <w:sz w:val="21"/>
          <w:szCs w:val="21"/>
          <w:lang w:val="en-US" w:eastAsia="zh-CN"/>
        </w:rPr>
        <w:t>流速分布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现场各测点平均值与模拟计算值如下图</w:t>
      </w:r>
      <w:r>
        <w:rPr>
          <w:rFonts w:hint="default" w:ascii="Times New Roman" w:hAnsi="Times New Roman" w:eastAsia="宋体" w:cs="Times New Roman"/>
          <w:color w:val="000000"/>
          <w:sz w:val="21"/>
          <w:szCs w:val="21"/>
          <w:lang w:val="en-US" w:eastAsia="zh-CN"/>
        </w:rPr>
        <w:t>4</w:t>
      </w:r>
      <w:r>
        <w:rPr>
          <w:rFonts w:hint="eastAsia" w:ascii="宋体" w:hAnsi="宋体" w:eastAsia="宋体" w:cs="宋体"/>
          <w:color w:val="000000"/>
          <w:sz w:val="21"/>
          <w:szCs w:val="21"/>
          <w:lang w:val="en-US" w:eastAsia="zh-CN"/>
        </w:rPr>
        <w:t>所示。</w:t>
      </w:r>
    </w:p>
    <w:p>
      <w:pPr>
        <w:tabs>
          <w:tab w:val="left" w:pos="360"/>
        </w:tabs>
        <w:spacing w:line="360" w:lineRule="auto"/>
        <w:ind w:firstLine="420" w:firstLineChars="200"/>
        <w:jc w:val="center"/>
      </w:pPr>
      <w:r>
        <w:drawing>
          <wp:inline distT="0" distB="0" distL="114300" distR="114300">
            <wp:extent cx="4572000" cy="2794000"/>
            <wp:effectExtent l="4445" t="4445" r="14605" b="20955"/>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rFonts w:hint="default" w:ascii="Times New Roman" w:hAnsi="Times New Roman" w:eastAsia="黑体" w:cs="Times New Roman"/>
          <w:bCs/>
          <w:sz w:val="21"/>
          <w:szCs w:val="21"/>
        </w:rPr>
      </w:pPr>
      <w:r>
        <w:rPr>
          <w:rFonts w:hint="eastAsia" w:ascii="Times New Roman" w:hAnsi="Times New Roman" w:eastAsia="黑体" w:cs="Times New Roman"/>
          <w:bCs/>
          <w:sz w:val="21"/>
          <w:szCs w:val="21"/>
        </w:rPr>
        <w:t>图</w:t>
      </w:r>
      <w:r>
        <w:rPr>
          <w:rFonts w:hint="eastAsia" w:ascii="Times New Roman" w:hAnsi="Times New Roman" w:eastAsia="黑体" w:cs="Times New Roman"/>
          <w:bCs/>
          <w:sz w:val="21"/>
          <w:szCs w:val="21"/>
          <w:lang w:val="en-US" w:eastAsia="zh-CN"/>
        </w:rPr>
        <w:t>4</w:t>
      </w:r>
      <w:r>
        <w:rPr>
          <w:rFonts w:hint="eastAsia" w:ascii="Times New Roman" w:hAnsi="Times New Roman" w:eastAsia="黑体" w:cs="Times New Roman"/>
          <w:bCs/>
          <w:sz w:val="21"/>
          <w:szCs w:val="21"/>
        </w:rPr>
        <w:t>　350kA现场各测点实测平均值与模拟计算值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由图4可知，中间下料点处的实测流速和模拟计算值都较大，这表明电解槽下料点处铝液流速更大，从而也会带动电解质的流动速度，从而更利于电解质中氧化铝的溶解。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lang w:val="en-US" w:eastAsia="zh-CN"/>
        </w:rPr>
        <w:sectPr>
          <w:headerReference r:id="rId9" w:type="default"/>
          <w:footerReference r:id="rId10" w:type="default"/>
          <w:footerReference r:id="rId11" w:type="even"/>
          <w:pgSz w:w="11906" w:h="16838"/>
          <w:pgMar w:top="1247" w:right="1134" w:bottom="1134" w:left="1418" w:header="851" w:footer="680" w:gutter="0"/>
          <w:pgNumType w:fmt="decimal"/>
          <w:cols w:space="720" w:num="1"/>
          <w:docGrid w:type="lines" w:linePitch="326" w:charSpace="0"/>
        </w:sectPr>
      </w:pPr>
      <w:r>
        <w:rPr>
          <w:rFonts w:hint="default" w:ascii="Times New Roman" w:hAnsi="Times New Roman" w:eastAsia="宋体" w:cs="Times New Roman"/>
          <w:color w:val="000000"/>
          <w:sz w:val="21"/>
          <w:szCs w:val="21"/>
          <w:lang w:val="en-US" w:eastAsia="zh-CN"/>
        </w:rPr>
        <w:t>对比电解槽铝液流速的模拟计算值和实测值可知，所测电解槽各个位置流速分布较为均匀，并不像模拟计算值呈现出来的局部流速差较大的现象。所测电解槽的最大流速为26.7cm /s，模拟计算值为25.8cm /s，与模拟计算值基本吻合; 平均流速测试计算结果为14.23cm /s，模拟计算值为15.43cm /s，较为接近。这表明了电解槽铝液的整体流动速度与模拟值基本一致。</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 w:cs="Times New Roman"/>
          <w:b/>
          <w:bCs/>
          <w:color w:val="000000"/>
          <w:sz w:val="28"/>
          <w:szCs w:val="28"/>
          <w:lang w:val="en-US" w:eastAsia="zh-CN"/>
        </w:rPr>
      </w:pPr>
    </w:p>
    <w:p>
      <w:pPr>
        <w:tabs>
          <w:tab w:val="left" w:pos="1569"/>
        </w:tabs>
        <w:spacing w:line="360" w:lineRule="auto"/>
        <w:outlineLvl w:val="0"/>
        <w:rPr>
          <w:rFonts w:hint="eastAsia"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附件2</w:t>
      </w:r>
      <w:r>
        <w:rPr>
          <w:rFonts w:hint="eastAsia" w:ascii="Times New Roman" w:hAnsi="Times New Roman" w:eastAsia="仿宋" w:cs="Times New Roman"/>
          <w:b/>
          <w:bCs/>
          <w:color w:val="000000"/>
          <w:sz w:val="28"/>
          <w:szCs w:val="28"/>
          <w:lang w:val="en-US" w:eastAsia="zh-CN"/>
        </w:rPr>
        <w:tab/>
      </w:r>
    </w:p>
    <w:p>
      <w:pPr>
        <w:tabs>
          <w:tab w:val="left" w:pos="1569"/>
        </w:tabs>
        <w:spacing w:line="360" w:lineRule="auto"/>
        <w:jc w:val="center"/>
        <w:outlineLvl w:val="0"/>
        <w:rPr>
          <w:rFonts w:hint="default"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350KA电解槽磁场测试及仿真分析</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一、测试结果</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所测六台槽的磁感应强度绝对值对</w:t>
      </w:r>
      <w:r>
        <w:rPr>
          <w:rFonts w:hint="default" w:ascii="Times New Roman" w:hAnsi="Times New Roman" w:eastAsia="宋体" w:cs="Times New Roman"/>
          <w:color w:val="000000"/>
          <w:sz w:val="21"/>
          <w:szCs w:val="21"/>
        </w:rPr>
        <w:t>比结果如表</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所示。</w:t>
      </w:r>
    </w:p>
    <w:p>
      <w:pPr>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表</w:t>
      </w:r>
      <w:r>
        <w:rPr>
          <w:rFonts w:hint="eastAsia" w:ascii="Times New Roman" w:hAnsi="Times New Roman" w:eastAsia="黑体" w:cs="Times New Roman"/>
          <w:bCs/>
          <w:sz w:val="21"/>
          <w:szCs w:val="21"/>
          <w:lang w:val="en-US" w:eastAsia="zh-CN"/>
        </w:rPr>
        <w:t>2</w:t>
      </w:r>
      <w:r>
        <w:rPr>
          <w:rFonts w:hint="default" w:ascii="Times New Roman" w:hAnsi="Times New Roman" w:eastAsia="黑体" w:cs="Times New Roman"/>
          <w:bCs/>
          <w:sz w:val="21"/>
          <w:szCs w:val="21"/>
        </w:rPr>
        <w:t>六台电解槽磁场实测值对比</w:t>
      </w:r>
    </w:p>
    <w:tbl>
      <w:tblPr>
        <w:tblStyle w:val="1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25"/>
        <w:gridCol w:w="1101"/>
        <w:gridCol w:w="1119"/>
        <w:gridCol w:w="1149"/>
        <w:gridCol w:w="1071"/>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8" w:type="dxa"/>
            <w:gridSpan w:val="2"/>
            <w:vMerge w:val="restart"/>
            <w:tcBorders>
              <w:tl2br w:val="single" w:color="auto" w:sz="4" w:space="0"/>
            </w:tcBorders>
            <w:noWrap w:val="0"/>
            <w:vAlign w:val="center"/>
          </w:tcPr>
          <w:p>
            <w:pPr>
              <w:adjustRightInd w:val="0"/>
              <w:ind w:firstLine="435"/>
              <w:jc w:val="left"/>
              <w:textAlignment w:val="baseline"/>
              <w:rPr>
                <w:rFonts w:hint="default" w:ascii="Times New Roman" w:hAnsi="Times New Roman" w:cs="Times New Roman"/>
                <w:b/>
                <w:sz w:val="18"/>
                <w:szCs w:val="18"/>
              </w:rPr>
            </w:pPr>
            <w:bookmarkStart w:id="4" w:name="_Hlk92889645"/>
            <w:r>
              <w:rPr>
                <w:rFonts w:hint="default" w:ascii="Times New Roman" w:hAnsi="Times New Roman" w:cs="Times New Roman"/>
                <w:sz w:val="18"/>
                <w:szCs w:val="18"/>
              </w:rPr>
              <w:t>　磁场分量测点位置</w:t>
            </w:r>
          </w:p>
        </w:tc>
        <w:tc>
          <w:tcPr>
            <w:tcW w:w="2220" w:type="dxa"/>
            <w:gridSpan w:val="2"/>
            <w:noWrap w:val="0"/>
            <w:vAlign w:val="center"/>
          </w:tcPr>
          <w:p>
            <w:pPr>
              <w:adjustRightInd w:val="0"/>
              <w:jc w:val="center"/>
              <w:textAlignment w:val="baseline"/>
              <w:rPr>
                <w:rFonts w:hint="default" w:ascii="Times New Roman" w:hAnsi="Times New Roman" w:cs="Times New Roman"/>
                <w:sz w:val="18"/>
                <w:szCs w:val="18"/>
                <w:vertAlign w:val="subscript"/>
              </w:rPr>
            </w:pPr>
            <w:r>
              <w:rPr>
                <w:rFonts w:hint="default" w:ascii="Times New Roman" w:hAnsi="Times New Roman" w:cs="Times New Roman"/>
                <w:sz w:val="18"/>
                <w:szCs w:val="18"/>
              </w:rPr>
              <w:t>|B</w:t>
            </w:r>
            <w:r>
              <w:rPr>
                <w:rFonts w:hint="default" w:ascii="Times New Roman" w:hAnsi="Times New Roman" w:cs="Times New Roman"/>
                <w:sz w:val="18"/>
                <w:szCs w:val="18"/>
                <w:vertAlign w:val="subscript"/>
              </w:rPr>
              <w:t>x</w:t>
            </w:r>
            <w:r>
              <w:rPr>
                <w:rFonts w:hint="default" w:ascii="Times New Roman" w:hAnsi="Times New Roman" w:cs="Times New Roman"/>
                <w:sz w:val="18"/>
                <w:szCs w:val="18"/>
              </w:rPr>
              <w:t>|　/Gs</w:t>
            </w:r>
          </w:p>
        </w:tc>
        <w:tc>
          <w:tcPr>
            <w:tcW w:w="2220" w:type="dxa"/>
            <w:gridSpan w:val="2"/>
            <w:noWrap w:val="0"/>
            <w:vAlign w:val="center"/>
          </w:tcPr>
          <w:p>
            <w:pPr>
              <w:adjustRightInd w:val="0"/>
              <w:jc w:val="center"/>
              <w:textAlignment w:val="baseline"/>
              <w:rPr>
                <w:rFonts w:hint="default" w:ascii="Times New Roman" w:hAnsi="Times New Roman" w:cs="Times New Roman"/>
                <w:sz w:val="18"/>
                <w:szCs w:val="18"/>
                <w:vertAlign w:val="subscript"/>
              </w:rPr>
            </w:pPr>
            <w:r>
              <w:rPr>
                <w:rFonts w:hint="default" w:ascii="Times New Roman" w:hAnsi="Times New Roman" w:cs="Times New Roman"/>
                <w:sz w:val="18"/>
                <w:szCs w:val="18"/>
              </w:rPr>
              <w:t>|B</w:t>
            </w:r>
            <w:r>
              <w:rPr>
                <w:rFonts w:hint="default" w:ascii="Times New Roman" w:hAnsi="Times New Roman" w:cs="Times New Roman"/>
                <w:sz w:val="18"/>
                <w:szCs w:val="18"/>
                <w:vertAlign w:val="subscript"/>
              </w:rPr>
              <w:t>y</w:t>
            </w:r>
            <w:r>
              <w:rPr>
                <w:rFonts w:hint="default" w:ascii="Times New Roman" w:hAnsi="Times New Roman" w:cs="Times New Roman"/>
                <w:sz w:val="18"/>
                <w:szCs w:val="18"/>
              </w:rPr>
              <w:t>|  /Gs</w:t>
            </w:r>
          </w:p>
        </w:tc>
        <w:tc>
          <w:tcPr>
            <w:tcW w:w="2142" w:type="dxa"/>
            <w:gridSpan w:val="2"/>
            <w:noWrap w:val="0"/>
            <w:vAlign w:val="top"/>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w:t>
            </w:r>
            <w:r>
              <w:rPr>
                <w:rFonts w:hint="default" w:ascii="Times New Roman" w:hAnsi="Times New Roman" w:cs="Times New Roman"/>
                <w:sz w:val="18"/>
                <w:szCs w:val="18"/>
                <w:vertAlign w:val="subscript"/>
              </w:rPr>
              <w:t>z</w:t>
            </w:r>
            <w:r>
              <w:rPr>
                <w:rFonts w:hint="default" w:ascii="Times New Roman" w:hAnsi="Times New Roman" w:cs="Times New Roman"/>
                <w:sz w:val="18"/>
                <w:szCs w:val="18"/>
              </w:rPr>
              <w:t>|  /Gs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908" w:type="dxa"/>
            <w:gridSpan w:val="2"/>
            <w:vMerge w:val="continue"/>
            <w:tcBorders>
              <w:tl2br w:val="single" w:color="auto" w:sz="4" w:space="0"/>
            </w:tcBorders>
            <w:noWrap w:val="0"/>
            <w:vAlign w:val="center"/>
          </w:tcPr>
          <w:p>
            <w:pPr>
              <w:adjustRightInd w:val="0"/>
              <w:ind w:firstLine="435"/>
              <w:jc w:val="left"/>
              <w:textAlignment w:val="baseline"/>
              <w:rPr>
                <w:rFonts w:hint="default" w:ascii="Times New Roman" w:hAnsi="Times New Roman" w:cs="Times New Roman"/>
                <w:sz w:val="18"/>
                <w:szCs w:val="18"/>
              </w:rPr>
            </w:pPr>
          </w:p>
        </w:tc>
        <w:tc>
          <w:tcPr>
            <w:tcW w:w="1101" w:type="dxa"/>
            <w:tcBorders>
              <w:right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最大值</w:t>
            </w:r>
          </w:p>
        </w:tc>
        <w:tc>
          <w:tcPr>
            <w:tcW w:w="1119" w:type="dxa"/>
            <w:tcBorders>
              <w:left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1149" w:type="dxa"/>
            <w:tcBorders>
              <w:right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最大值</w:t>
            </w:r>
          </w:p>
        </w:tc>
        <w:tc>
          <w:tcPr>
            <w:tcW w:w="1071" w:type="dxa"/>
            <w:tcBorders>
              <w:left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1071" w:type="dxa"/>
            <w:tcBorders>
              <w:left w:val="nil"/>
              <w:right w:val="nil"/>
            </w:tcBorders>
            <w:noWrap w:val="0"/>
            <w:vAlign w:val="top"/>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最大值</w:t>
            </w:r>
          </w:p>
        </w:tc>
        <w:tc>
          <w:tcPr>
            <w:tcW w:w="1071" w:type="dxa"/>
            <w:tcBorders>
              <w:left w:val="nil"/>
            </w:tcBorders>
            <w:noWrap w:val="0"/>
            <w:vAlign w:val="top"/>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3004</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169.093</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133.325</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36.382</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24.256</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12.521</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98.397</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87.489</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32.412</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18.802</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7.001</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77.939</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39.443</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16.58</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9.889</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18.878</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164.005</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128.76</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46.988</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34.193</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30.513</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169.093</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99.654</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46.988</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21.550</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30.513</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3057</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199.540</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168.734</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49.192</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27.170</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11.224</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115.209</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91.620</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45.029</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24.610</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10.487</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65.954</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41.640</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9.652</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6.024</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15.188</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59.175</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38.785</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51.609</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38.846</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28.769</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199.540</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103.189</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51.609</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24.853</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28.769</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3097</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180.825</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170.334</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47.664</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33.889</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11.183</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108.398</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100.649</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54.646</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28.153</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5.431</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76.011</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40.878</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17.234</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13.147</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24.676</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55.141</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54.442</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49.936</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41.901</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24.770</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180.825</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101.188</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54.646</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28.570</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24.770</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3125</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175.254</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109.290</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30.941</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16.092</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13.353</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112.002</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98.570</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34.953</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21.793</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10.608</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43.366</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43.366</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20.074</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20.074</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10.923</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47.053</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23.700</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58.914</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56.936</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11.981</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8.780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175.254</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90.451</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58.914</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23.584</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13.353</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4060</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202.647</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158.077</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25.630</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15.950</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13.282</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114.262</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88.689</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32.640</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17.530</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7.213</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56.367</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35.041</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18.400</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10.533</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25.050</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15.136</w:t>
            </w:r>
          </w:p>
        </w:tc>
      </w:tr>
    </w:tbl>
    <w:p>
      <w:pPr>
        <w:adjustRightInd w:val="0"/>
        <w:jc w:val="center"/>
        <w:textAlignment w:val="baseline"/>
        <w:rPr>
          <w:rFonts w:hint="default" w:ascii="Times New Roman" w:hAnsi="Times New Roman" w:cs="Times New Roman"/>
          <w:sz w:val="18"/>
          <w:szCs w:val="18"/>
        </w:rPr>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p>
    <w:tbl>
      <w:tblPr>
        <w:tblStyle w:val="1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25"/>
        <w:gridCol w:w="1101"/>
        <w:gridCol w:w="1119"/>
        <w:gridCol w:w="1149"/>
        <w:gridCol w:w="1071"/>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31.409</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26.520</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18.140</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15.340</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12.428</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202.647</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96.397</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32.640</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15.483</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25.050</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8.154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restart"/>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4116</w:t>
            </w:r>
          </w:p>
        </w:tc>
        <w:tc>
          <w:tcPr>
            <w:tcW w:w="1025" w:type="dxa"/>
            <w:tcBorders>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A侧</w:t>
            </w:r>
          </w:p>
        </w:tc>
        <w:tc>
          <w:tcPr>
            <w:tcW w:w="1101"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199.771</w:t>
            </w:r>
          </w:p>
        </w:tc>
        <w:tc>
          <w:tcPr>
            <w:tcW w:w="1119"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167.819</w:t>
            </w:r>
          </w:p>
        </w:tc>
        <w:tc>
          <w:tcPr>
            <w:tcW w:w="1149" w:type="dxa"/>
            <w:tcBorders>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48.779</w:t>
            </w:r>
          </w:p>
        </w:tc>
        <w:tc>
          <w:tcPr>
            <w:tcW w:w="1071" w:type="dxa"/>
            <w:tcBorders>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30.312</w:t>
            </w:r>
          </w:p>
        </w:tc>
        <w:tc>
          <w:tcPr>
            <w:tcW w:w="1071" w:type="dxa"/>
            <w:tcBorders>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13.028</w:t>
            </w:r>
          </w:p>
        </w:tc>
        <w:tc>
          <w:tcPr>
            <w:tcW w:w="1071" w:type="dxa"/>
            <w:tcBorders>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B侧</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118.062</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92.704</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47.512</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28.581</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13.762</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bottom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TE端</w:t>
            </w:r>
          </w:p>
        </w:tc>
        <w:tc>
          <w:tcPr>
            <w:tcW w:w="1101"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39.072</w:t>
            </w:r>
          </w:p>
        </w:tc>
        <w:tc>
          <w:tcPr>
            <w:tcW w:w="1119"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42.114</w:t>
            </w:r>
          </w:p>
        </w:tc>
        <w:tc>
          <w:tcPr>
            <w:tcW w:w="1149" w:type="dxa"/>
            <w:tcBorders>
              <w:top w:val="nil"/>
              <w:bottom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10.001</w:t>
            </w:r>
          </w:p>
        </w:tc>
        <w:tc>
          <w:tcPr>
            <w:tcW w:w="1071" w:type="dxa"/>
            <w:tcBorders>
              <w:top w:val="nil"/>
              <w:left w:val="nil"/>
              <w:bottom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5.083</w:t>
            </w:r>
          </w:p>
        </w:tc>
        <w:tc>
          <w:tcPr>
            <w:tcW w:w="1071" w:type="dxa"/>
            <w:tcBorders>
              <w:top w:val="nil"/>
              <w:left w:val="nil"/>
              <w:bottom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26.762</w:t>
            </w:r>
          </w:p>
        </w:tc>
        <w:tc>
          <w:tcPr>
            <w:tcW w:w="1071" w:type="dxa"/>
            <w:tcBorders>
              <w:top w:val="nil"/>
              <w:left w:val="nil"/>
              <w:bottom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tcBorders>
              <w:top w:val="nil"/>
            </w:tcBorders>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DE端</w:t>
            </w:r>
          </w:p>
        </w:tc>
        <w:tc>
          <w:tcPr>
            <w:tcW w:w="1101"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55.771</w:t>
            </w:r>
          </w:p>
        </w:tc>
        <w:tc>
          <w:tcPr>
            <w:tcW w:w="1119"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28.518</w:t>
            </w:r>
          </w:p>
        </w:tc>
        <w:tc>
          <w:tcPr>
            <w:tcW w:w="1149" w:type="dxa"/>
            <w:tcBorders>
              <w:top w:val="nil"/>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51.531</w:t>
            </w:r>
          </w:p>
        </w:tc>
        <w:tc>
          <w:tcPr>
            <w:tcW w:w="1071" w:type="dxa"/>
            <w:tcBorders>
              <w:top w:val="nil"/>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46.833</w:t>
            </w:r>
          </w:p>
        </w:tc>
        <w:tc>
          <w:tcPr>
            <w:tcW w:w="1071" w:type="dxa"/>
            <w:tcBorders>
              <w:top w:val="nil"/>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17.001</w:t>
            </w:r>
          </w:p>
        </w:tc>
        <w:tc>
          <w:tcPr>
            <w:tcW w:w="1071" w:type="dxa"/>
            <w:tcBorders>
              <w:top w:val="nil"/>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83" w:type="dxa"/>
            <w:vMerge w:val="continue"/>
            <w:noWrap w:val="0"/>
            <w:vAlign w:val="center"/>
          </w:tcPr>
          <w:p>
            <w:pPr>
              <w:adjustRightInd w:val="0"/>
              <w:jc w:val="center"/>
              <w:textAlignment w:val="baseline"/>
              <w:rPr>
                <w:rFonts w:hint="default" w:ascii="Times New Roman" w:hAnsi="Times New Roman" w:cs="Times New Roman"/>
                <w:sz w:val="18"/>
                <w:szCs w:val="18"/>
              </w:rPr>
            </w:pPr>
          </w:p>
        </w:tc>
        <w:tc>
          <w:tcPr>
            <w:tcW w:w="1025" w:type="dxa"/>
            <w:noWrap w:val="0"/>
            <w:vAlign w:val="center"/>
          </w:tcPr>
          <w:p>
            <w:pPr>
              <w:adjustRightInd w:val="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t>全槽</w:t>
            </w:r>
          </w:p>
        </w:tc>
        <w:tc>
          <w:tcPr>
            <w:tcW w:w="1101"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199.771</w:t>
            </w:r>
          </w:p>
        </w:tc>
        <w:tc>
          <w:tcPr>
            <w:tcW w:w="1119"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106.352</w:t>
            </w:r>
          </w:p>
        </w:tc>
        <w:tc>
          <w:tcPr>
            <w:tcW w:w="1149" w:type="dxa"/>
            <w:tcBorders>
              <w:righ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51.531</w:t>
            </w:r>
          </w:p>
        </w:tc>
        <w:tc>
          <w:tcPr>
            <w:tcW w:w="1071" w:type="dxa"/>
            <w:tcBorders>
              <w:left w:val="nil"/>
            </w:tcBorders>
            <w:noWrap w:val="0"/>
            <w:vAlign w:val="center"/>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27.371</w:t>
            </w:r>
          </w:p>
        </w:tc>
        <w:tc>
          <w:tcPr>
            <w:tcW w:w="1071" w:type="dxa"/>
            <w:tcBorders>
              <w:left w:val="nil"/>
              <w:righ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26.762</w:t>
            </w:r>
          </w:p>
        </w:tc>
        <w:tc>
          <w:tcPr>
            <w:tcW w:w="1071" w:type="dxa"/>
            <w:tcBorders>
              <w:left w:val="nil"/>
            </w:tcBorders>
            <w:noWrap w:val="0"/>
            <w:vAlign w:val="top"/>
          </w:tcPr>
          <w:p>
            <w:pPr>
              <w:adjustRightInd w:val="0"/>
              <w:jc w:val="center"/>
              <w:textAlignment w:val="baseline"/>
              <w:rPr>
                <w:rFonts w:hint="default" w:ascii="Times New Roman" w:hAnsi="Times New Roman" w:eastAsia="黑体" w:cs="Times New Roman"/>
                <w:bCs/>
                <w:color w:val="000000"/>
                <w:sz w:val="18"/>
                <w:szCs w:val="18"/>
              </w:rPr>
            </w:pPr>
            <w:r>
              <w:rPr>
                <w:rFonts w:hint="default" w:ascii="Times New Roman" w:hAnsi="Times New Roman" w:eastAsia="黑体" w:cs="Times New Roman"/>
                <w:bCs/>
                <w:color w:val="000000"/>
                <w:sz w:val="18"/>
                <w:szCs w:val="18"/>
              </w:rPr>
              <w:t>7.962</w:t>
            </w:r>
          </w:p>
        </w:tc>
      </w:tr>
      <w:bookmarkEnd w:id="4"/>
    </w:tbl>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二、仿真与测试结果对比分析</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为了验证电解槽内磁场分布是否与模拟结果一致，将六台电解槽测试点的z向实测值与数值计算结果进行对比，结果如表</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所示。此外，为了更直观体现对比结果，将实测值与模拟值绘制成图</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所示的曲线图。</w:t>
      </w:r>
    </w:p>
    <w:p>
      <w:pPr>
        <w:jc w:val="center"/>
        <w:rPr>
          <w:rFonts w:hint="eastAsia" w:ascii="Times New Roman" w:hAnsi="Times New Roman" w:eastAsia="黑体" w:cs="Times New Roman"/>
          <w:bCs/>
          <w:sz w:val="21"/>
          <w:szCs w:val="21"/>
        </w:rPr>
      </w:pPr>
      <w:r>
        <w:rPr>
          <w:rFonts w:hint="default" w:ascii="Times New Roman" w:hAnsi="Times New Roman" w:eastAsia="黑体" w:cs="Times New Roman"/>
          <w:bCs/>
          <w:sz w:val="21"/>
          <w:szCs w:val="21"/>
        </w:rPr>
        <w:t>表</w:t>
      </w:r>
      <w:r>
        <w:rPr>
          <w:rFonts w:hint="eastAsia" w:ascii="Times New Roman" w:hAnsi="Times New Roman" w:eastAsia="黑体" w:cs="Times New Roman"/>
          <w:bCs/>
          <w:sz w:val="21"/>
          <w:szCs w:val="21"/>
          <w:lang w:val="en-US" w:eastAsia="zh-CN"/>
        </w:rPr>
        <w:t>3</w:t>
      </w:r>
      <w:r>
        <w:rPr>
          <w:rFonts w:hint="default" w:ascii="Times New Roman" w:hAnsi="Times New Roman" w:eastAsia="黑体" w:cs="Times New Roman"/>
          <w:bCs/>
          <w:sz w:val="21"/>
          <w:szCs w:val="21"/>
        </w:rPr>
        <w:t xml:space="preserve"> </w:t>
      </w:r>
      <w:r>
        <w:rPr>
          <w:rFonts w:hint="eastAsia" w:ascii="Times New Roman" w:hAnsi="Times New Roman" w:eastAsia="黑体" w:cs="Times New Roman"/>
          <w:bCs/>
          <w:sz w:val="21"/>
          <w:szCs w:val="21"/>
        </w:rPr>
        <w:t>350kA</w:t>
      </w:r>
      <w:r>
        <w:rPr>
          <w:rFonts w:hint="default" w:ascii="Times New Roman" w:hAnsi="Times New Roman" w:eastAsia="黑体" w:cs="Times New Roman"/>
          <w:bCs/>
          <w:sz w:val="21"/>
          <w:szCs w:val="21"/>
        </w:rPr>
        <w:t>电解槽槽磁场实测值</w:t>
      </w:r>
      <w:r>
        <w:rPr>
          <w:rFonts w:hint="eastAsia" w:ascii="Times New Roman" w:hAnsi="Times New Roman" w:eastAsia="黑体" w:cs="Times New Roman"/>
          <w:bCs/>
          <w:sz w:val="21"/>
          <w:szCs w:val="21"/>
        </w:rPr>
        <w:t>与模拟值对比</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0"/>
        <w:gridCol w:w="911"/>
        <w:gridCol w:w="911"/>
        <w:gridCol w:w="911"/>
        <w:gridCol w:w="910"/>
        <w:gridCol w:w="911"/>
        <w:gridCol w:w="911"/>
        <w:gridCol w:w="911"/>
        <w:gridCol w:w="9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8197" w:type="dxa"/>
            <w:gridSpan w:val="9"/>
            <w:shd w:val="clear" w:color="auto" w:fill="FFFFFF"/>
            <w:noWrap w:val="0"/>
            <w:vAlign w:val="center"/>
          </w:tcPr>
          <w:p>
            <w:pPr>
              <w:widowControl/>
              <w:jc w:val="center"/>
              <w:textAlignment w:val="top"/>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磁场强度/Gs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vMerge w:val="restart"/>
            <w:shd w:val="clear" w:color="auto" w:fill="FFFFFF"/>
            <w:noWrap w:val="0"/>
            <w:vAlign w:val="center"/>
          </w:tcPr>
          <w:p>
            <w:pPr>
              <w:widowControl/>
              <w:jc w:val="center"/>
              <w:textAlignment w:val="top"/>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测点位置</w:t>
            </w:r>
          </w:p>
        </w:tc>
        <w:tc>
          <w:tcPr>
            <w:tcW w:w="6376" w:type="dxa"/>
            <w:gridSpan w:val="7"/>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实测值</w:t>
            </w:r>
          </w:p>
        </w:tc>
        <w:tc>
          <w:tcPr>
            <w:tcW w:w="911" w:type="dxa"/>
            <w:vMerge w:val="restart"/>
            <w:shd w:val="clear" w:color="auto" w:fill="FFFFFF"/>
            <w:noWrap w:val="0"/>
            <w:vAlign w:val="center"/>
          </w:tcPr>
          <w:p>
            <w:pPr>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模拟值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10" w:type="dxa"/>
            <w:vMerge w:val="continue"/>
            <w:shd w:val="clear" w:color="auto" w:fill="FFFFFF"/>
            <w:noWrap w:val="0"/>
            <w:vAlign w:val="center"/>
          </w:tcPr>
          <w:p>
            <w:pPr>
              <w:widowControl/>
              <w:jc w:val="center"/>
              <w:textAlignment w:val="top"/>
              <w:rPr>
                <w:rFonts w:hint="default" w:ascii="Times New Roman" w:hAnsi="Times New Roman" w:cs="Times New Roman"/>
                <w:sz w:val="18"/>
                <w:szCs w:val="18"/>
                <w:highlight w:val="none"/>
              </w:rPr>
            </w:pP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3004槽</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3057槽</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3097槽</w:t>
            </w:r>
          </w:p>
        </w:tc>
        <w:tc>
          <w:tcPr>
            <w:tcW w:w="910"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3125槽</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4060槽</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4116槽</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平均值</w:t>
            </w:r>
          </w:p>
        </w:tc>
        <w:tc>
          <w:tcPr>
            <w:tcW w:w="911" w:type="dxa"/>
            <w:vMerge w:val="continue"/>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-15.08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-12.92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-9.66</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-10.92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-11.82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-15.81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-12.70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-16.34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-7.00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-7.45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-1.58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-8.32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-7.75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-6.42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-4.74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-2.78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-3.12</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0.04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-1.67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-3.09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-2.56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1.87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2.50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2.37</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3.58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0.03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1.90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1.68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4.23</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2.39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-5.73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2.42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-0.37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-3.16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5.91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4.43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5.43</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3.31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6.63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6.56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5.38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10.49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10.61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7.21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13.76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10.52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30.51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28.77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24.77</w:t>
            </w:r>
          </w:p>
        </w:tc>
        <w:tc>
          <w:tcPr>
            <w:tcW w:w="910" w:type="dxa"/>
            <w:shd w:val="clear" w:color="auto" w:fill="FFFFFF"/>
            <w:noWrap w:val="0"/>
            <w:vAlign w:val="center"/>
          </w:tcPr>
          <w:p>
            <w:pPr>
              <w:jc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28.02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9.51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4.05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5.58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0.45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3.90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4.70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-12.30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-16.24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-11.74</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-11.98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-12.43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-17.00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-13.61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-17.45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-12.52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-2.42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-6.48</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2.17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-15.46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-0.08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-5.80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-8.25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10.03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5.06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4.08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5.65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6.01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6.17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-8.08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-6.66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-7.49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-9.56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-7.95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6.29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3.52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5.23</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-7.26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3.89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1.94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2.27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2.44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2.58</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5.10</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13.28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0.86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4.85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7.18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10.84</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sz w:val="18"/>
                <w:szCs w:val="18"/>
                <w:highlight w:val="none"/>
              </w:rPr>
              <w:t>—</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5.76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6.75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13.03</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9.09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center"/>
          </w:tcPr>
          <w:p>
            <w:pPr>
              <w:widowControl/>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18</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9.19</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11.22</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11.18</w:t>
            </w:r>
          </w:p>
        </w:tc>
        <w:tc>
          <w:tcPr>
            <w:tcW w:w="910"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13.35</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8.27</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8.31</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10.26</w:t>
            </w:r>
          </w:p>
        </w:tc>
        <w:tc>
          <w:tcPr>
            <w:tcW w:w="911" w:type="dxa"/>
            <w:shd w:val="clear" w:color="auto" w:fill="FFFFFF"/>
            <w:noWrap w:val="0"/>
            <w:vAlign w:val="center"/>
          </w:tcPr>
          <w:p>
            <w:pPr>
              <w:widowControl/>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等线" w:cs="Times New Roman"/>
                <w:color w:val="000000"/>
                <w:kern w:val="0"/>
                <w:sz w:val="18"/>
                <w:szCs w:val="18"/>
                <w:highlight w:val="none"/>
                <w:lang w:bidi="ar"/>
              </w:rPr>
              <w:t>6.85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top"/>
          </w:tcPr>
          <w:p>
            <w:pPr>
              <w:widowControl/>
              <w:jc w:val="center"/>
              <w:textAlignment w:val="top"/>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19</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18.88</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15.19</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24.68</w:t>
            </w:r>
          </w:p>
        </w:tc>
        <w:tc>
          <w:tcPr>
            <w:tcW w:w="910"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25.05</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26.76</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22.11</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15.35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0" w:type="dxa"/>
            <w:shd w:val="clear" w:color="auto" w:fill="FFFFFF"/>
            <w:noWrap w:val="0"/>
            <w:vAlign w:val="top"/>
          </w:tcPr>
          <w:p>
            <w:pPr>
              <w:widowControl/>
              <w:jc w:val="center"/>
              <w:textAlignment w:val="top"/>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20</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3.21</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6.86</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6.41</w:t>
            </w:r>
          </w:p>
        </w:tc>
        <w:tc>
          <w:tcPr>
            <w:tcW w:w="910"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8.53</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6.57</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6.32</w:t>
            </w:r>
          </w:p>
        </w:tc>
        <w:tc>
          <w:tcPr>
            <w:tcW w:w="911" w:type="dxa"/>
            <w:shd w:val="clear" w:color="auto" w:fill="FFFFFF"/>
            <w:noWrap w:val="0"/>
            <w:vAlign w:val="center"/>
          </w:tcPr>
          <w:p>
            <w:pPr>
              <w:widowControl/>
              <w:jc w:val="center"/>
              <w:textAlignment w:val="center"/>
              <w:rPr>
                <w:rFonts w:hint="default" w:ascii="Times New Roman" w:hAnsi="Times New Roman" w:cs="Times New Roman"/>
                <w:sz w:val="18"/>
                <w:szCs w:val="18"/>
                <w:highlight w:val="none"/>
              </w:rPr>
            </w:pPr>
            <w:r>
              <w:rPr>
                <w:rFonts w:hint="default" w:ascii="Times New Roman" w:hAnsi="Times New Roman" w:eastAsia="等线" w:cs="Times New Roman"/>
                <w:color w:val="000000"/>
                <w:kern w:val="0"/>
                <w:sz w:val="18"/>
                <w:szCs w:val="18"/>
                <w:highlight w:val="none"/>
                <w:lang w:bidi="ar"/>
              </w:rPr>
              <w:t>-1.36</w:t>
            </w:r>
          </w:p>
        </w:tc>
      </w:tr>
    </w:tbl>
    <w:p>
      <w:pPr>
        <w:spacing w:line="360" w:lineRule="auto"/>
        <w:jc w:val="center"/>
        <w:rPr>
          <w:color w:val="000000"/>
        </w:rPr>
      </w:pPr>
      <w:r>
        <w:rPr>
          <w:color w:val="000000"/>
        </w:rPr>
        <w:drawing>
          <wp:inline distT="0" distB="0" distL="114300" distR="114300">
            <wp:extent cx="5696585" cy="3848100"/>
            <wp:effectExtent l="0" t="0" r="18415" b="0"/>
            <wp:docPr id="4" name="图片 3" descr="350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50KA"/>
                    <pic:cNvPicPr>
                      <a:picLocks noChangeAspect="1"/>
                    </pic:cNvPicPr>
                  </pic:nvPicPr>
                  <pic:blipFill>
                    <a:blip r:embed="rId23"/>
                    <a:stretch>
                      <a:fillRect/>
                    </a:stretch>
                  </pic:blipFill>
                  <pic:spPr>
                    <a:xfrm>
                      <a:off x="0" y="0"/>
                      <a:ext cx="5696585" cy="3848100"/>
                    </a:xfrm>
                    <a:prstGeom prst="rect">
                      <a:avLst/>
                    </a:prstGeom>
                    <a:noFill/>
                    <a:ln>
                      <a:noFill/>
                    </a:ln>
                  </pic:spPr>
                </pic:pic>
              </a:graphicData>
            </a:graphic>
          </wp:inline>
        </w:drawing>
      </w:r>
    </w:p>
    <w:p>
      <w:pPr>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图</w:t>
      </w:r>
      <w:r>
        <w:rPr>
          <w:rFonts w:hint="eastAsia" w:ascii="Times New Roman" w:hAnsi="Times New Roman" w:eastAsia="黑体" w:cs="Times New Roman"/>
          <w:bCs/>
          <w:sz w:val="21"/>
          <w:szCs w:val="21"/>
          <w:lang w:val="en-US" w:eastAsia="zh-CN"/>
        </w:rPr>
        <w:t>5</w:t>
      </w:r>
      <w:r>
        <w:rPr>
          <w:rFonts w:hint="default" w:ascii="Times New Roman" w:hAnsi="Times New Roman" w:eastAsia="黑体" w:cs="Times New Roman"/>
          <w:bCs/>
          <w:sz w:val="21"/>
          <w:szCs w:val="21"/>
        </w:rPr>
        <w:t xml:space="preserve"> 350kA电解槽z向磁场实测值与模拟值对比：(a)实测值与模拟值;(b)实测平均值与模拟值</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从图</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和表</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中可以看出</w:t>
      </w:r>
      <w:r>
        <w:rPr>
          <w:rFonts w:hint="default" w:ascii="Times New Roman" w:hAnsi="Times New Roman" w:eastAsia="宋体" w:cs="Times New Roman"/>
          <w:color w:val="000000"/>
          <w:sz w:val="21"/>
          <w:szCs w:val="21"/>
          <w:lang w:val="en-US" w:eastAsia="zh-CN"/>
        </w:rPr>
        <w:t>六台</w:t>
      </w:r>
      <w:r>
        <w:rPr>
          <w:rFonts w:hint="default" w:ascii="Times New Roman" w:hAnsi="Times New Roman" w:eastAsia="宋体" w:cs="Times New Roman"/>
          <w:color w:val="000000"/>
          <w:sz w:val="21"/>
          <w:szCs w:val="21"/>
        </w:rPr>
        <w:t>槽的垂直磁场绝对值大多集中在0~30</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Gs以内，六台测试槽z向的磁场变化呈现出较好的测试重复性。</w:t>
      </w:r>
    </w:p>
    <w:p>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从图</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(b)可以看出，六台电解槽z向磁场实测平均值与模拟值出现偏离的程度较小，造成偏离的原因主要为：</w:t>
      </w:r>
      <w:r>
        <w:rPr>
          <w:rFonts w:hint="default" w:ascii="Times New Roman" w:hAnsi="Times New Roman" w:eastAsia="宋体" w:cs="Times New Roman"/>
          <w:sz w:val="21"/>
          <w:szCs w:val="21"/>
        </w:rPr>
        <w:t>有些测点处的阳极为新极，导电性差，这就会导致与其对应的阴极母线电流与正常的有所偏差，势必会导致磁场数值的偏差；测点位置会受到伸腿的影响，且各处炉帮伸腿形状不同，也会造成数值上的差异；电解槽的理论测点在平行于电解槽中线的直线上，但现场的开孔位置和测试探头放入位置总会和理论测点有一定偏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综合分析z向测试值与模拟值：六台测试槽z向磁场测试值呈现出基本相同的变化趋势，磁场测试平均值与模拟值基本吻合，说明测试果可信度高。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05" w:firstLineChars="0"/>
        <w:jc w:val="both"/>
        <w:textAlignment w:val="auto"/>
        <w:rPr>
          <w:rFonts w:hint="eastAsia" w:ascii="宋体" w:hAnsi="宋体" w:eastAsia="宋体" w:cs="宋体"/>
          <w:sz w:val="21"/>
          <w:szCs w:val="21"/>
        </w:rPr>
      </w:pPr>
    </w:p>
    <w:p>
      <w:pPr>
        <w:rPr>
          <w:rFonts w:hint="eastAsia" w:ascii="宋体" w:hAnsi="宋体" w:eastAsia="宋体" w:cs="宋体"/>
          <w:sz w:val="21"/>
          <w:szCs w:val="21"/>
          <w:lang w:val="en-US" w:eastAsia="zh-CN"/>
        </w:rPr>
        <w:sectPr>
          <w:footerReference r:id="rId1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1"/>
          <w:szCs w:val="21"/>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lang w:val="en-US" w:eastAsia="zh-CN"/>
        </w:rPr>
      </w:pPr>
    </w:p>
    <w:bookmarkEnd w:id="0"/>
    <w:p>
      <w:pPr>
        <w:spacing w:line="360" w:lineRule="auto"/>
        <w:outlineLvl w:val="0"/>
        <w:rPr>
          <w:rFonts w:hint="default" w:ascii="宋体" w:hAnsi="宋体" w:eastAsia="宋体" w:cs="宋体"/>
          <w:b w:val="0"/>
          <w:bCs w:val="0"/>
          <w:sz w:val="21"/>
          <w:szCs w:val="21"/>
          <w:highlight w:val="yellow"/>
          <w:lang w:val="en-US" w:eastAsia="zh-CN"/>
        </w:rPr>
      </w:pPr>
      <w:bookmarkStart w:id="5" w:name="_Toc4726"/>
      <w:r>
        <w:rPr>
          <w:rFonts w:hint="eastAsia" w:ascii="Times New Roman" w:hAnsi="Times New Roman" w:eastAsia="仿宋" w:cs="Times New Roman"/>
          <w:b/>
          <w:bCs/>
          <w:color w:val="000000"/>
          <w:sz w:val="28"/>
          <w:szCs w:val="28"/>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350KA综合分析与评价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根据电压平衡、热平衡、铝液磁场和流速场的综合测试与仿真研究结果，现就青铜峡铝业股份有限责任公司宁东铝业分公司350kA预焙阳极铝电解槽进行综合分析与评价。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bookmarkStart w:id="6" w:name="_Toc23131"/>
      <w:bookmarkStart w:id="7" w:name="_Toc3842"/>
      <w:r>
        <w:rPr>
          <w:rFonts w:hint="default" w:ascii="Times New Roman" w:hAnsi="Times New Roman" w:eastAsia="宋体" w:cs="Times New Roman"/>
          <w:b w:val="0"/>
          <w:bCs w:val="0"/>
          <w:sz w:val="21"/>
          <w:szCs w:val="21"/>
          <w:highlight w:val="none"/>
          <w:lang w:val="en-US" w:eastAsia="zh-CN"/>
        </w:rPr>
        <w:t>1 关于槽内磁场</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铝液层内的磁场分布，是导致铝液运动，从而影响电解槽热平衡状态、能耗及电流效率的重要原因，为便于比较和评价，现列出国内几种大型槽内的磁场测定或计算结果，如表</w:t>
      </w:r>
      <w:r>
        <w:rPr>
          <w:rFonts w:hint="eastAsia" w:ascii="Times New Roman" w:hAnsi="Times New Roman" w:eastAsia="宋体"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lang w:val="en-US" w:eastAsia="zh-CN"/>
        </w:rPr>
        <w:t>所示。</w:t>
      </w:r>
    </w:p>
    <w:p>
      <w:pPr>
        <w:jc w:val="center"/>
        <w:rPr>
          <w:rFonts w:hint="default" w:ascii="Times New Roman" w:hAnsi="Times New Roman" w:eastAsia="黑体" w:cs="Times New Roman"/>
          <w:bCs/>
          <w:sz w:val="21"/>
          <w:szCs w:val="21"/>
          <w:lang w:val="en-US" w:eastAsia="zh-CN"/>
        </w:rPr>
      </w:pPr>
      <w:r>
        <w:rPr>
          <w:rFonts w:hint="default" w:ascii="Times New Roman" w:hAnsi="Times New Roman" w:eastAsia="黑体" w:cs="Times New Roman"/>
          <w:bCs/>
          <w:sz w:val="21"/>
          <w:szCs w:val="21"/>
          <w:lang w:val="en-US" w:eastAsia="zh-CN"/>
        </w:rPr>
        <w:t>表</w:t>
      </w:r>
      <w:r>
        <w:rPr>
          <w:rFonts w:hint="eastAsia" w:ascii="Times New Roman" w:hAnsi="Times New Roman" w:eastAsia="黑体" w:cs="Times New Roman"/>
          <w:bCs/>
          <w:sz w:val="21"/>
          <w:szCs w:val="21"/>
          <w:lang w:val="en-US" w:eastAsia="zh-CN"/>
        </w:rPr>
        <w:t>4</w:t>
      </w:r>
      <w:r>
        <w:rPr>
          <w:rFonts w:hint="default" w:ascii="Times New Roman" w:hAnsi="Times New Roman" w:eastAsia="黑体" w:cs="Times New Roman"/>
          <w:bCs/>
          <w:sz w:val="21"/>
          <w:szCs w:val="21"/>
          <w:lang w:val="en-US" w:eastAsia="zh-CN"/>
        </w:rPr>
        <w:t xml:space="preserve"> 几种大型预焙槽的磁场比较</w:t>
      </w:r>
    </w:p>
    <w:tbl>
      <w:tblPr>
        <w:tblStyle w:val="15"/>
        <w:tblW w:w="47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72"/>
        <w:gridCol w:w="825"/>
        <w:gridCol w:w="830"/>
        <w:gridCol w:w="830"/>
        <w:gridCol w:w="830"/>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934" w:type="pct"/>
            <w:gridSpan w:val="2"/>
            <w:vMerge w:val="restart"/>
            <w:tcBorders>
              <w:tl2br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Times New Roman" w:hAnsi="Times New Roman" w:eastAsia="宋体" w:cs="Times New Roman"/>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槽型                 磁场</w:t>
            </w:r>
          </w:p>
        </w:tc>
        <w:tc>
          <w:tcPr>
            <w:tcW w:w="3065"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磁场分量</w:t>
            </w:r>
            <w:r>
              <w:rPr>
                <w:rFonts w:ascii="Times New Roman" w:hAnsi="Times New Roman" w:cs="Times New Roman"/>
                <w:sz w:val="18"/>
                <w:szCs w:val="18"/>
              </w:rPr>
              <w:t>(Gs)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934" w:type="pct"/>
            <w:gridSpan w:val="2"/>
            <w:vMerge w:val="continue"/>
            <w:tcBorders>
              <w:tl2br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default" w:ascii="Times New Roman" w:hAnsi="Times New Roman" w:eastAsia="宋体" w:cs="Times New Roman"/>
                <w:b w:val="0"/>
                <w:bCs w:val="0"/>
                <w:sz w:val="18"/>
                <w:szCs w:val="18"/>
                <w:highlight w:val="none"/>
                <w:lang w:val="en-US" w:eastAsia="zh-CN"/>
              </w:rPr>
            </w:pPr>
          </w:p>
        </w:tc>
        <w:tc>
          <w:tcPr>
            <w:tcW w:w="825"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x</w:t>
            </w:r>
            <w:r>
              <w:rPr>
                <w:rFonts w:ascii="Times New Roman" w:hAnsi="Times New Roman" w:cs="Times New Roman"/>
                <w:sz w:val="18"/>
                <w:szCs w:val="18"/>
              </w:rPr>
              <w:t>|</w:t>
            </w:r>
            <w:r>
              <w:rPr>
                <w:rFonts w:ascii="Times New Roman" w:hAnsi="Times New Roman" w:cs="Times New Roman"/>
                <w:sz w:val="18"/>
                <w:szCs w:val="18"/>
                <w:vertAlign w:val="subscript"/>
              </w:rPr>
              <w:t>max</w:t>
            </w:r>
          </w:p>
        </w:tc>
        <w:tc>
          <w:tcPr>
            <w:tcW w:w="830"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x</w:t>
            </w:r>
            <w:r>
              <w:rPr>
                <w:rFonts w:ascii="Times New Roman" w:hAnsi="Times New Roman" w:cs="Times New Roman"/>
                <w:sz w:val="18"/>
                <w:szCs w:val="18"/>
              </w:rPr>
              <w:t>|</w:t>
            </w:r>
            <w:r>
              <w:rPr>
                <w:rFonts w:ascii="Times New Roman" w:hAnsi="Times New Roman" w:cs="Times New Roman"/>
                <w:sz w:val="18"/>
                <w:szCs w:val="18"/>
                <w:vertAlign w:val="subscript"/>
              </w:rPr>
              <w:t>ave</w:t>
            </w:r>
          </w:p>
        </w:tc>
        <w:tc>
          <w:tcPr>
            <w:tcW w:w="830"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y</w:t>
            </w:r>
            <w:r>
              <w:rPr>
                <w:rFonts w:ascii="Times New Roman" w:hAnsi="Times New Roman" w:cs="Times New Roman"/>
                <w:sz w:val="18"/>
                <w:szCs w:val="18"/>
              </w:rPr>
              <w:t>|</w:t>
            </w:r>
            <w:r>
              <w:rPr>
                <w:rFonts w:ascii="Times New Roman" w:hAnsi="Times New Roman" w:cs="Times New Roman"/>
                <w:sz w:val="18"/>
                <w:szCs w:val="18"/>
                <w:vertAlign w:val="subscript"/>
              </w:rPr>
              <w:t>max</w:t>
            </w:r>
          </w:p>
        </w:tc>
        <w:tc>
          <w:tcPr>
            <w:tcW w:w="830"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y</w:t>
            </w:r>
            <w:r>
              <w:rPr>
                <w:rFonts w:ascii="Times New Roman" w:hAnsi="Times New Roman" w:cs="Times New Roman"/>
                <w:sz w:val="18"/>
                <w:szCs w:val="18"/>
              </w:rPr>
              <w:t>|</w:t>
            </w:r>
            <w:r>
              <w:rPr>
                <w:rFonts w:ascii="Times New Roman" w:hAnsi="Times New Roman" w:cs="Times New Roman"/>
                <w:sz w:val="18"/>
                <w:szCs w:val="18"/>
                <w:vertAlign w:val="subscript"/>
              </w:rPr>
              <w:t>ave</w:t>
            </w:r>
          </w:p>
        </w:tc>
        <w:tc>
          <w:tcPr>
            <w:tcW w:w="830"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z</w:t>
            </w:r>
            <w:r>
              <w:rPr>
                <w:rFonts w:ascii="Times New Roman" w:hAnsi="Times New Roman" w:cs="Times New Roman"/>
                <w:sz w:val="18"/>
                <w:szCs w:val="18"/>
              </w:rPr>
              <w:t>|</w:t>
            </w:r>
            <w:r>
              <w:rPr>
                <w:rFonts w:ascii="Times New Roman" w:hAnsi="Times New Roman" w:cs="Times New Roman"/>
                <w:sz w:val="18"/>
                <w:szCs w:val="18"/>
                <w:vertAlign w:val="subscript"/>
              </w:rPr>
              <w:t>max</w:t>
            </w:r>
          </w:p>
        </w:tc>
        <w:tc>
          <w:tcPr>
            <w:tcW w:w="830" w:type="dxa"/>
            <w:vAlign w:val="center"/>
          </w:tcPr>
          <w:p>
            <w:pPr>
              <w:jc w:val="center"/>
              <w:rPr>
                <w:rFonts w:hint="default" w:ascii="Times New Roman" w:hAnsi="Times New Roman" w:eastAsia="宋体" w:cs="Times New Roman"/>
                <w:b w:val="0"/>
                <w:bCs w:val="0"/>
                <w:sz w:val="18"/>
                <w:szCs w:val="18"/>
                <w:highlight w:val="none"/>
                <w:lang w:val="en-US" w:eastAsia="zh-CN"/>
              </w:rPr>
            </w:pPr>
            <w:r>
              <w:rPr>
                <w:rFonts w:ascii="Times New Roman" w:hAnsi="Times New Roman" w:cs="Times New Roman"/>
                <w:sz w:val="18"/>
                <w:szCs w:val="18"/>
              </w:rPr>
              <w:t>|B</w:t>
            </w:r>
            <w:r>
              <w:rPr>
                <w:rFonts w:ascii="Times New Roman" w:hAnsi="Times New Roman" w:cs="Times New Roman"/>
                <w:sz w:val="18"/>
                <w:szCs w:val="18"/>
                <w:vertAlign w:val="subscript"/>
              </w:rPr>
              <w:t>z</w:t>
            </w:r>
            <w:r>
              <w:rPr>
                <w:rFonts w:ascii="Times New Roman" w:hAnsi="Times New Roman" w:cs="Times New Roman"/>
                <w:sz w:val="18"/>
                <w:szCs w:val="18"/>
              </w:rPr>
              <w:t>|</w:t>
            </w:r>
            <w:r>
              <w:rPr>
                <w:rFonts w:ascii="Times New Roman" w:hAnsi="Times New Roman" w:cs="Times New Roman"/>
                <w:sz w:val="18"/>
                <w:szCs w:val="18"/>
                <w:vertAlign w:val="subscript"/>
              </w:rPr>
              <w:t>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贵铝180KA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136.4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65.3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78.3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80.9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102.5</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31.7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35.5</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平果铝160KA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178.0</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26.89</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83.0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26.26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6.54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58.0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14.03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河南神火铝电公司200KA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33.5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40.23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12.57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12.52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19.55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20.32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9.12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四川启明星铝业300KA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121.5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160.94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77.5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71.76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32.7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35.40</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10.74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25.94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湖南创元铝业有限公司240KA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139.5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137.86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83.9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45.11</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67.5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69.94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23.9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9.97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37.7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24.88</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重庆天泰铝业300KA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150.8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156.37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81.5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56.10</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73.0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66.84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6.93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39.57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甘肃连城铝业500KA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141.6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133.1</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86.2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50.72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67.9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61.7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6.59</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甘肃东兴铝业有限公司500KA</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133.8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133.1</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89.6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50.72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68.3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61.7</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32.7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6.59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重庆旗能电铝400KA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147.6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86.2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39.4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19.7</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28.9</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甘肃连城铝业600KA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141.6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87.2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39.2</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19.8</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黄河鑫业有限公司400KA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147.6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81.2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48.34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64.55</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6.14</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27.6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27.63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中铝遵义铝业400KA</w:t>
            </w:r>
          </w:p>
        </w:tc>
        <w:tc>
          <w:tcPr>
            <w:tcW w:w="537"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198.0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183.65</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110.6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60.6</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59.9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66.1</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41.9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24.3</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24.9</w:t>
            </w:r>
          </w:p>
        </w:tc>
        <w:tc>
          <w:tcPr>
            <w:tcW w:w="511" w:type="pct"/>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中铝包头铝业400KA</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计算值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170.4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183.65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108.6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60.6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68.3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66.1</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24.3</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25.4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印度Balco铝业350KA</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141.1</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79.32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28.07</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24.38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中铝广西华磊新材料500KA</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193.7</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101.32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66.44</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18.4</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21.03</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内蒙霍媒鸿骏铝业350KA</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95.9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73</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20.7</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37.46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（1119</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173.9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87.73</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53.7</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23.49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29.6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（1146</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179.00</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81.73</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47.2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19.96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32.6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（1223</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182.8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86.99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59.6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22.58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32.1</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（1327</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195.00</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94.29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57.6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28.25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30.5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（2120</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169.9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84.28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39.2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15.99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23.4</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（2141</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179.2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87.98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48.4</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20.02</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33.8</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（2218</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195.00</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94.29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57.6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28.25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30.5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青铜峡宁东铝业分公司350kA</w:t>
            </w:r>
            <w:r>
              <w:rPr>
                <w:rFonts w:hint="eastAsia" w:ascii="Times New Roman" w:hAnsi="Times New Roman" w:eastAsia="宋体" w:cs="Times New Roman"/>
                <w:b w:val="0"/>
                <w:bCs w:val="0"/>
                <w:sz w:val="18"/>
                <w:szCs w:val="18"/>
                <w:highlight w:val="none"/>
                <w:lang w:val="en-US" w:eastAsia="zh-CN"/>
              </w:rPr>
              <w:t>（2312</w:t>
            </w:r>
            <w:r>
              <w:rPr>
                <w:rFonts w:hint="eastAsia" w:ascii="Times New Roman" w:hAnsi="Times New Roman" w:eastAsia="宋体" w:cs="Times New Roman"/>
                <w:b w:val="0"/>
                <w:bCs w:val="0"/>
                <w:sz w:val="18"/>
                <w:szCs w:val="18"/>
                <w:highlight w:val="none"/>
                <w:vertAlign w:val="superscript"/>
                <w:lang w:val="en-US" w:eastAsia="zh-CN"/>
              </w:rPr>
              <w:t>#</w:t>
            </w:r>
            <w:r>
              <w:rPr>
                <w:rFonts w:hint="default" w:ascii="Times New Roman" w:hAnsi="Times New Roman" w:eastAsia="宋体" w:cs="Times New Roman"/>
                <w:b w:val="0"/>
                <w:bCs w:val="0"/>
                <w:sz w:val="18"/>
                <w:szCs w:val="18"/>
                <w:highlight w:val="none"/>
                <w:lang w:val="en-US" w:eastAsia="zh-CN"/>
              </w:rPr>
              <w:t>槽</w:t>
            </w:r>
            <w:r>
              <w:rPr>
                <w:rFonts w:hint="eastAsia" w:ascii="Times New Roman" w:hAnsi="Times New Roman" w:eastAsia="宋体" w:cs="Times New Roman"/>
                <w:b w:val="0"/>
                <w:bCs w:val="0"/>
                <w:sz w:val="18"/>
                <w:szCs w:val="18"/>
                <w:highlight w:val="none"/>
                <w:lang w:val="en-US" w:eastAsia="zh-CN"/>
              </w:rPr>
              <w:t>）</w:t>
            </w:r>
          </w:p>
        </w:tc>
        <w:tc>
          <w:tcPr>
            <w:tcW w:w="5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5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195.00</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94.29</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57.6</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28.25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30.5</w:t>
            </w:r>
          </w:p>
        </w:tc>
        <w:tc>
          <w:tcPr>
            <w:tcW w:w="5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9.88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由表1可见，与近年来投运的几种大型槽比较，青铜峡宁东铝业分公司350kA槽的x向、y向和z向磁场与其他铝厂不同槽型的磁场基本相当，可以认为其母线配置基本较合理，但在出铝端和烟道端角部出现局部磁场很大的现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bookmarkStart w:id="8" w:name="_Toc19786"/>
      <w:bookmarkStart w:id="9" w:name="_Toc24395"/>
      <w:r>
        <w:rPr>
          <w:rFonts w:hint="eastAsia" w:ascii="Times New Roman" w:hAnsi="Times New Roman" w:eastAsia="宋体" w:cs="Times New Roman"/>
          <w:b w:val="0"/>
          <w:bCs w:val="0"/>
          <w:sz w:val="21"/>
          <w:szCs w:val="21"/>
          <w:highlight w:val="none"/>
          <w:lang w:val="en-US" w:eastAsia="zh-CN"/>
        </w:rPr>
        <w:t>2</w:t>
      </w:r>
      <w:r>
        <w:rPr>
          <w:rFonts w:hint="default" w:ascii="Times New Roman" w:hAnsi="Times New Roman" w:eastAsia="宋体" w:cs="Times New Roman"/>
          <w:b w:val="0"/>
          <w:bCs w:val="0"/>
          <w:sz w:val="21"/>
          <w:szCs w:val="21"/>
          <w:highlight w:val="none"/>
          <w:lang w:val="en-US" w:eastAsia="zh-CN"/>
        </w:rPr>
        <w:t xml:space="preserve"> 关于铝液流速场</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在不平衡的电磁力、电解质运动、热压梯度等因素作用下，铝液将产生运动和界面波动。而电解槽内铝液流速是影响极距、能耗、电流效率，影响槽帮形成和影响槽寿命的综合因素，也是判定母线配置(磁场设计)是否合理的重要依据。因此，实践中应力求减小铝液流速。为便于分析，现列出几种典型槽的铝液流速对比情况，如表</w:t>
      </w:r>
      <w:r>
        <w:rPr>
          <w:rFonts w:hint="eastAsia" w:ascii="Times New Roman" w:hAnsi="Times New Roman" w:eastAsia="宋体" w:cs="Times New Roman"/>
          <w:b w:val="0"/>
          <w:bCs w:val="0"/>
          <w:sz w:val="21"/>
          <w:szCs w:val="21"/>
          <w:highlight w:val="none"/>
          <w:lang w:val="en-US" w:eastAsia="zh-CN"/>
        </w:rPr>
        <w:t>5</w:t>
      </w:r>
      <w:r>
        <w:rPr>
          <w:rFonts w:hint="default" w:ascii="Times New Roman" w:hAnsi="Times New Roman" w:eastAsia="宋体" w:cs="Times New Roman"/>
          <w:b w:val="0"/>
          <w:bCs w:val="0"/>
          <w:sz w:val="21"/>
          <w:szCs w:val="21"/>
          <w:highlight w:val="none"/>
          <w:lang w:val="en-US" w:eastAsia="zh-CN"/>
        </w:rPr>
        <w:t>。</w:t>
      </w:r>
    </w:p>
    <w:p>
      <w:pPr>
        <w:jc w:val="center"/>
        <w:rPr>
          <w:rFonts w:hint="default" w:ascii="Times New Roman" w:hAnsi="Times New Roman" w:eastAsia="黑体" w:cs="Times New Roman"/>
          <w:bCs/>
          <w:sz w:val="21"/>
          <w:szCs w:val="21"/>
          <w:lang w:val="en-US" w:eastAsia="zh-CN"/>
        </w:rPr>
      </w:pPr>
      <w:r>
        <w:rPr>
          <w:rFonts w:hint="default" w:ascii="Times New Roman" w:hAnsi="Times New Roman" w:eastAsia="黑体" w:cs="Times New Roman"/>
          <w:bCs/>
          <w:sz w:val="21"/>
          <w:szCs w:val="21"/>
          <w:lang w:val="en-US" w:eastAsia="zh-CN"/>
        </w:rPr>
        <w:t>表</w:t>
      </w:r>
      <w:r>
        <w:rPr>
          <w:rFonts w:hint="eastAsia" w:ascii="Times New Roman" w:hAnsi="Times New Roman" w:eastAsia="黑体" w:cs="Times New Roman"/>
          <w:bCs/>
          <w:sz w:val="21"/>
          <w:szCs w:val="21"/>
          <w:lang w:val="en-US" w:eastAsia="zh-CN"/>
        </w:rPr>
        <w:t>5</w:t>
      </w:r>
      <w:r>
        <w:rPr>
          <w:rFonts w:hint="default" w:ascii="Times New Roman" w:hAnsi="Times New Roman" w:eastAsia="黑体" w:cs="Times New Roman"/>
          <w:bCs/>
          <w:sz w:val="21"/>
          <w:szCs w:val="21"/>
          <w:lang w:val="en-US" w:eastAsia="zh-CN"/>
        </w:rPr>
        <w:t xml:space="preserve"> 几种槽型铝液流速测定结果对比（cm/s）</w:t>
      </w:r>
    </w:p>
    <w:tbl>
      <w:tblPr>
        <w:tblStyle w:val="15"/>
        <w:tblW w:w="7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290"/>
        <w:gridCol w:w="974"/>
        <w:gridCol w:w="915"/>
        <w:gridCol w:w="92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测试铝厂单位</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槽型</w:t>
            </w:r>
          </w:p>
        </w:tc>
        <w:tc>
          <w:tcPr>
            <w:tcW w:w="97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槽号</w:t>
            </w:r>
          </w:p>
        </w:tc>
        <w:tc>
          <w:tcPr>
            <w:tcW w:w="184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实测值</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平均值</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最大值</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381"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平果铝</w:t>
            </w:r>
          </w:p>
        </w:tc>
        <w:tc>
          <w:tcPr>
            <w:tcW w:w="1290"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165kA生产系列预焙槽</w:t>
            </w:r>
          </w:p>
        </w:tc>
        <w:tc>
          <w:tcPr>
            <w:tcW w:w="974"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5台槽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平均</w:t>
            </w:r>
          </w:p>
        </w:tc>
        <w:tc>
          <w:tcPr>
            <w:tcW w:w="915"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14.46</w:t>
            </w:r>
          </w:p>
        </w:tc>
        <w:tc>
          <w:tcPr>
            <w:tcW w:w="929"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22.35</w:t>
            </w:r>
          </w:p>
        </w:tc>
        <w:tc>
          <w:tcPr>
            <w:tcW w:w="1156"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山东南山铝业</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320kA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006#槽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14.2</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22.83</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910#槽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13.96</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21.7</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包头铝业</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230kA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试验槽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002＃槽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15.85</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25.01</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005#槽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13.1</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22.98</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贵铝</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186kA生产系列预焙槽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335#槽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12.93</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19.99</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435#槽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11.3</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18.05</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青铜峡铝业公司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7116#槽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12.26</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16.48</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7316#槽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11.92</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16.21</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兰州铝业公司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204#槽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13.18</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17.41</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314#槽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12.52</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19.72</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云南铝业公司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619#槽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12.04</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18.87</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744#槽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12.28</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17.33</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河南神火铝电公司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200kA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3010#槽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11.11</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14.05</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3058#槽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11.51</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15.61</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黄河鑫业有限公司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w:t>
            </w:r>
            <w:r>
              <w:rPr>
                <w:rFonts w:hint="eastAsia" w:ascii="Times New Roman" w:hAnsi="Times New Roman" w:eastAsia="宋体" w:cs="Times New Roman"/>
                <w:b w:val="0"/>
                <w:bCs w:val="0"/>
                <w:sz w:val="18"/>
                <w:szCs w:val="18"/>
                <w:highlight w:val="none"/>
                <w:lang w:val="en-US" w:eastAsia="zh-CN"/>
              </w:rPr>
              <w:t>5</w:t>
            </w:r>
            <w:r>
              <w:rPr>
                <w:rFonts w:hint="default" w:ascii="Times New Roman" w:hAnsi="Times New Roman" w:eastAsia="宋体" w:cs="Times New Roman"/>
                <w:b w:val="0"/>
                <w:bCs w:val="0"/>
                <w:sz w:val="18"/>
                <w:szCs w:val="18"/>
                <w:highlight w:val="none"/>
                <w:lang w:val="en-US" w:eastAsia="zh-CN"/>
              </w:rPr>
              <w:t>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354#槽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12.32</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17.14</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429#槽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12.99</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19.60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中铝广西华磊新材料有限公司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500kA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1112#槽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14.41</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16.02</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1326#槽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13.56</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26.78</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1713#槽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12.99</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19.60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青铜峡宁东铝业分公司</w:t>
            </w:r>
          </w:p>
        </w:tc>
        <w:tc>
          <w:tcPr>
            <w:tcW w:w="12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350kA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预焙槽</w:t>
            </w: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1119#槽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14.60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24.20</w:t>
            </w:r>
          </w:p>
        </w:tc>
        <w:tc>
          <w:tcPr>
            <w:tcW w:w="11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1146#槽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13.90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18.50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1223#槽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14.60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26.60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1327#槽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14.60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21.50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2120#槽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12.40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19.30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2141#槽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12.30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17.90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2218#槽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12.40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21.00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18"/>
                <w:szCs w:val="18"/>
                <w:highlight w:val="none"/>
                <w:lang w:val="en-US" w:eastAsia="zh-CN"/>
              </w:rPr>
            </w:pPr>
          </w:p>
        </w:tc>
        <w:tc>
          <w:tcPr>
            <w:tcW w:w="12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p>
        </w:tc>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2312#槽</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13.50</w:t>
            </w:r>
          </w:p>
        </w:tc>
        <w:tc>
          <w:tcPr>
            <w:tcW w:w="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8"/>
                <w:szCs w:val="18"/>
                <w:highlight w:val="none"/>
                <w:lang w:val="en-US" w:eastAsia="zh-CN"/>
              </w:rPr>
              <w:t>25.60</w:t>
            </w:r>
          </w:p>
        </w:tc>
        <w:tc>
          <w:tcPr>
            <w:tcW w:w="11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b w:val="0"/>
                <w:bCs w:val="0"/>
                <w:sz w:val="21"/>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从表</w:t>
      </w:r>
      <w:r>
        <w:rPr>
          <w:rFonts w:hint="eastAsia" w:ascii="Times New Roman" w:hAnsi="Times New Roman" w:eastAsia="宋体" w:cs="Times New Roman"/>
          <w:b w:val="0"/>
          <w:bCs w:val="0"/>
          <w:sz w:val="21"/>
          <w:szCs w:val="21"/>
          <w:highlight w:val="none"/>
          <w:lang w:val="en-US" w:eastAsia="zh-CN"/>
        </w:rPr>
        <w:t>5</w:t>
      </w:r>
      <w:r>
        <w:rPr>
          <w:rFonts w:hint="default" w:ascii="Times New Roman" w:hAnsi="Times New Roman" w:eastAsia="宋体" w:cs="Times New Roman"/>
          <w:b w:val="0"/>
          <w:bCs w:val="0"/>
          <w:sz w:val="21"/>
          <w:szCs w:val="21"/>
          <w:highlight w:val="none"/>
          <w:lang w:val="en-US" w:eastAsia="zh-CN"/>
        </w:rPr>
        <w:t>对比可知，青铜峡宁东铝业分公司350kA槽的铝液平均流速在12.30cm/s至14.60cm/s之间，其他厂的铝液平均流速在13.00cm/s左右；青铜峡宁东铝业分公司350kA槽的铝液最高流速在17.90cm/s至26.60cm/s之间，其他厂的铝液最高流速在20.00cm/s左右；故可以看出青铜峡宁东铝业分公司350kA槽的铝液流速实测值，其平均值和局部最大值较其它厂槽型都是较为相当和合理的。同时，所测八台槽铝液铝液流动图像基本相同，大致呈四个横向旋涡运动，测试电解槽各个位置流速大部分分布较为均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建议措施：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1）350kA的角部容易出现小涡旋，值得关注，可以通过提高角部阳极的换极设置高度来防止小涡旋的产生；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2）可以通过减少A侧阳极的电流比例来减少铝液流速，同侧阳极电流比例对应同侧阴极电流比例，可以通过调整阳极电流总和使之匹配阴极电流；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3）八台槽的铝液波动在1.2cm左右，加上阳极气泡层2cm，两者共计3.2cm，取中间安全隔离层为1cm，因此有效极距维持在4.2cm较好；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出铝端三个下料点的流速较大，烟道端三个下料点的流速较小，可以通过提高烟道端三个立柱的进电比来提高烟道端三个下料点的氧化铝溶解能力。氧化铝的溶解能力在铝液流速10cm/s较好，立柱母线的进电比例与阴极软带有关，建议通过进一步电场仿真模拟优化确定具体数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宋体" w:cs="Times New Roman"/>
          <w:b w:val="0"/>
          <w:bCs w:val="0"/>
          <w:sz w:val="21"/>
          <w:szCs w:val="21"/>
          <w:highlight w:val="none"/>
          <w:lang w:val="en-US" w:eastAsia="zh-CN"/>
        </w:rPr>
        <w:t>5）所测槽最大流速多存在于进电端，而且在一些部位存在小旋涡，有可能由于这些部位铝液流速大而对槽底和侧衬施以冲刷，导致电解槽早期破损，因此应注意在换极时对这些部位进行适当的边部加工。小漩涡产生的原因可能是因为水平电流或垂直磁场，通过母线改造优化垂直磁场，通过调整阴极结构，例如嵌铜阴极优化水平电流。通过上述技术改造后，建议通过仿真建立新的热平衡体系。同时，可以针对2141#的铝水平波动较大，比较不稳定的情况进行适当调节。</w:t>
      </w:r>
      <w:bookmarkEnd w:id="5"/>
    </w:p>
    <w:sectPr>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877"/>
        <w:tab w:val="clear" w:pos="4153"/>
        <w:tab w:val="clear" w:pos="8306"/>
      </w:tabs>
      <w:jc w:val="right"/>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rPr>
    </w:pPr>
    <w:r>
      <w:rPr>
        <w:rFonts w:ascii="Times New Roman" w:hAnsi="Times New Roman" w:cs="Times New Roman"/>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tabs>
        <w:tab w:val="left" w:pos="877"/>
        <w:tab w:val="clear" w:pos="4153"/>
        <w:tab w:val="clear" w:pos="8306"/>
      </w:tabs>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rPr>
    </w:pPr>
    <w:r>
      <w:rPr>
        <w:rFonts w:ascii="Times New Roman" w:hAnsi="Times New Roman" w:cs="Times New Roman"/>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cs="Times New Roman"/>
      </w:rPr>
    </w:pPr>
    <w:r>
      <w:rPr>
        <w:rFonts w:ascii="Times New Roman" w:hAnsi="Times New Roman" w:cs="Times New Roman"/>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18"/>
                            </w:rPr>
                          </w:pPr>
                          <w:r>
                            <w:rPr>
                              <w:rStyle w:val="18"/>
                            </w:rPr>
                            <w:fldChar w:fldCharType="begin"/>
                          </w:r>
                          <w:r>
                            <w:rPr>
                              <w:rStyle w:val="18"/>
                            </w:rPr>
                            <w:instrText xml:space="preserve">PAGE  </w:instrText>
                          </w:r>
                          <w:r>
                            <w:rPr>
                              <w:rStyle w:val="18"/>
                            </w:rPr>
                            <w:fldChar w:fldCharType="separate"/>
                          </w:r>
                          <w:r>
                            <w:rPr>
                              <w:rStyle w:val="18"/>
                            </w:rPr>
                            <w:t>17</w:t>
                          </w:r>
                          <w:r>
                            <w:rPr>
                              <w:rStyle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1"/>
                      <w:rPr>
                        <w:rStyle w:val="18"/>
                      </w:rPr>
                    </w:pPr>
                    <w:r>
                      <w:rPr>
                        <w:rStyle w:val="18"/>
                      </w:rPr>
                      <w:fldChar w:fldCharType="begin"/>
                    </w:r>
                    <w:r>
                      <w:rPr>
                        <w:rStyle w:val="18"/>
                      </w:rPr>
                      <w:instrText xml:space="preserve">PAGE  </w:instrText>
                    </w:r>
                    <w:r>
                      <w:rPr>
                        <w:rStyle w:val="18"/>
                      </w:rPr>
                      <w:fldChar w:fldCharType="separate"/>
                    </w:r>
                    <w:r>
                      <w:rPr>
                        <w:rStyle w:val="18"/>
                      </w:rPr>
                      <w:t>17</w:t>
                    </w:r>
                    <w:r>
                      <w:rPr>
                        <w:rStyle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B0E09"/>
    <w:multiLevelType w:val="singleLevel"/>
    <w:tmpl w:val="854B0E09"/>
    <w:lvl w:ilvl="0" w:tentative="0">
      <w:start w:val="1"/>
      <w:numFmt w:val="chineseCounting"/>
      <w:suff w:val="nothing"/>
      <w:lvlText w:val="（%1）"/>
      <w:lvlJc w:val="left"/>
      <w:rPr>
        <w:rFonts w:hint="eastAsia"/>
      </w:rPr>
    </w:lvl>
  </w:abstractNum>
  <w:abstractNum w:abstractNumId="1">
    <w:nsid w:val="BF6254E5"/>
    <w:multiLevelType w:val="singleLevel"/>
    <w:tmpl w:val="BF6254E5"/>
    <w:lvl w:ilvl="0" w:tentative="0">
      <w:start w:val="1"/>
      <w:numFmt w:val="decimalEnclosedCircleChinese"/>
      <w:suff w:val="nothing"/>
      <w:lvlText w:val="%1　"/>
      <w:lvlJc w:val="left"/>
      <w:pPr>
        <w:ind w:left="0" w:firstLine="400"/>
      </w:pPr>
      <w:rPr>
        <w:rFonts w:hint="eastAsia"/>
      </w:rPr>
    </w:lvl>
  </w:abstractNum>
  <w:abstractNum w:abstractNumId="2">
    <w:nsid w:val="EB92C97B"/>
    <w:multiLevelType w:val="singleLevel"/>
    <w:tmpl w:val="EB92C97B"/>
    <w:lvl w:ilvl="0" w:tentative="0">
      <w:start w:val="1"/>
      <w:numFmt w:val="chineseCounting"/>
      <w:suff w:val="nothing"/>
      <w:lvlText w:val="（%1）"/>
      <w:lvlJc w:val="left"/>
      <w:rPr>
        <w:rFonts w:hint="eastAsia"/>
      </w:rPr>
    </w:lvl>
  </w:abstractNum>
  <w:abstractNum w:abstractNumId="3">
    <w:nsid w:val="05878E2F"/>
    <w:multiLevelType w:val="singleLevel"/>
    <w:tmpl w:val="05878E2F"/>
    <w:lvl w:ilvl="0" w:tentative="0">
      <w:start w:val="1"/>
      <w:numFmt w:val="chineseCounting"/>
      <w:suff w:val="nothing"/>
      <w:lvlText w:val="%1、"/>
      <w:lvlJc w:val="left"/>
      <w:rPr>
        <w:rFonts w:hint="eastAsia"/>
      </w:rPr>
    </w:lvl>
  </w:abstractNum>
  <w:abstractNum w:abstractNumId="4">
    <w:nsid w:val="0D91D0F4"/>
    <w:multiLevelType w:val="singleLevel"/>
    <w:tmpl w:val="0D91D0F4"/>
    <w:lvl w:ilvl="0" w:tentative="0">
      <w:start w:val="1"/>
      <w:numFmt w:val="decimal"/>
      <w:suff w:val="nothing"/>
      <w:lvlText w:val="（%1）"/>
      <w:lvlJc w:val="left"/>
    </w:lvl>
  </w:abstractNum>
  <w:abstractNum w:abstractNumId="5">
    <w:nsid w:val="6917116E"/>
    <w:multiLevelType w:val="singleLevel"/>
    <w:tmpl w:val="6917116E"/>
    <w:lvl w:ilvl="0" w:tentative="0">
      <w:start w:val="3"/>
      <w:numFmt w:val="decimal"/>
      <w:suff w:val="nothing"/>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7"/>
      <w:suff w:val="nothing"/>
      <w:lvlText w:val="%1%2　"/>
      <w:lvlJc w:val="left"/>
      <w:pPr>
        <w:ind w:left="0" w:firstLine="0"/>
      </w:pPr>
      <w:rPr>
        <w:rFonts w:hint="eastAsia" w:ascii="黑体" w:hAnsi="Times New Roman"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pStyle w:val="35"/>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ZmEyMDlhZjM1ODk5MTdlOWYxMjdmOWFiNmE3YjIifQ=="/>
  </w:docVars>
  <w:rsids>
    <w:rsidRoot w:val="00085110"/>
    <w:rsid w:val="00003A23"/>
    <w:rsid w:val="00007B78"/>
    <w:rsid w:val="00012F38"/>
    <w:rsid w:val="00020CE4"/>
    <w:rsid w:val="00023480"/>
    <w:rsid w:val="00025D63"/>
    <w:rsid w:val="00037E1A"/>
    <w:rsid w:val="0004401B"/>
    <w:rsid w:val="00056B33"/>
    <w:rsid w:val="000574C0"/>
    <w:rsid w:val="00060726"/>
    <w:rsid w:val="00067EE5"/>
    <w:rsid w:val="00085110"/>
    <w:rsid w:val="000854A3"/>
    <w:rsid w:val="000A4561"/>
    <w:rsid w:val="000B53DE"/>
    <w:rsid w:val="000C1FFC"/>
    <w:rsid w:val="000C2A8B"/>
    <w:rsid w:val="000C7CEC"/>
    <w:rsid w:val="001168DD"/>
    <w:rsid w:val="001327D4"/>
    <w:rsid w:val="001361D1"/>
    <w:rsid w:val="00136FF7"/>
    <w:rsid w:val="0015597D"/>
    <w:rsid w:val="00156BB6"/>
    <w:rsid w:val="001648E2"/>
    <w:rsid w:val="00165C35"/>
    <w:rsid w:val="00177983"/>
    <w:rsid w:val="00194437"/>
    <w:rsid w:val="00197193"/>
    <w:rsid w:val="001A0464"/>
    <w:rsid w:val="001A2265"/>
    <w:rsid w:val="001B472B"/>
    <w:rsid w:val="001B542A"/>
    <w:rsid w:val="001E2302"/>
    <w:rsid w:val="001E5CFC"/>
    <w:rsid w:val="00214595"/>
    <w:rsid w:val="002178CA"/>
    <w:rsid w:val="00221F51"/>
    <w:rsid w:val="00232B7F"/>
    <w:rsid w:val="002410F1"/>
    <w:rsid w:val="00245DCD"/>
    <w:rsid w:val="00257FDA"/>
    <w:rsid w:val="00262D4A"/>
    <w:rsid w:val="00273570"/>
    <w:rsid w:val="00274F5C"/>
    <w:rsid w:val="00295EC2"/>
    <w:rsid w:val="002A6FFD"/>
    <w:rsid w:val="002A78FA"/>
    <w:rsid w:val="002B0557"/>
    <w:rsid w:val="002B49EE"/>
    <w:rsid w:val="002B629C"/>
    <w:rsid w:val="002F0B6F"/>
    <w:rsid w:val="002F7F41"/>
    <w:rsid w:val="003114A0"/>
    <w:rsid w:val="00322964"/>
    <w:rsid w:val="00324CBF"/>
    <w:rsid w:val="0032571F"/>
    <w:rsid w:val="003320A9"/>
    <w:rsid w:val="003535CC"/>
    <w:rsid w:val="00362899"/>
    <w:rsid w:val="0036551B"/>
    <w:rsid w:val="00371774"/>
    <w:rsid w:val="003926B5"/>
    <w:rsid w:val="003951E9"/>
    <w:rsid w:val="003A3D68"/>
    <w:rsid w:val="003A4867"/>
    <w:rsid w:val="003A640F"/>
    <w:rsid w:val="003B3180"/>
    <w:rsid w:val="003D0D9B"/>
    <w:rsid w:val="003E6C5C"/>
    <w:rsid w:val="003E7536"/>
    <w:rsid w:val="003F4581"/>
    <w:rsid w:val="003F74D7"/>
    <w:rsid w:val="003F7787"/>
    <w:rsid w:val="004813F1"/>
    <w:rsid w:val="004A5EEE"/>
    <w:rsid w:val="004B2FA6"/>
    <w:rsid w:val="004C20A0"/>
    <w:rsid w:val="004E1F0D"/>
    <w:rsid w:val="004F7654"/>
    <w:rsid w:val="004F7793"/>
    <w:rsid w:val="005028E3"/>
    <w:rsid w:val="0053319E"/>
    <w:rsid w:val="00537412"/>
    <w:rsid w:val="00540F50"/>
    <w:rsid w:val="00542467"/>
    <w:rsid w:val="00554392"/>
    <w:rsid w:val="005621B3"/>
    <w:rsid w:val="005636A1"/>
    <w:rsid w:val="00566997"/>
    <w:rsid w:val="00583E36"/>
    <w:rsid w:val="00590255"/>
    <w:rsid w:val="00592DCD"/>
    <w:rsid w:val="005971A7"/>
    <w:rsid w:val="005A362C"/>
    <w:rsid w:val="005B2226"/>
    <w:rsid w:val="005B25B6"/>
    <w:rsid w:val="005B7CA8"/>
    <w:rsid w:val="0060299A"/>
    <w:rsid w:val="00611318"/>
    <w:rsid w:val="006156CC"/>
    <w:rsid w:val="00632744"/>
    <w:rsid w:val="00646581"/>
    <w:rsid w:val="00652A8B"/>
    <w:rsid w:val="00655A09"/>
    <w:rsid w:val="00663C69"/>
    <w:rsid w:val="00674752"/>
    <w:rsid w:val="00683578"/>
    <w:rsid w:val="006925E0"/>
    <w:rsid w:val="006A2BE5"/>
    <w:rsid w:val="006C5A48"/>
    <w:rsid w:val="006D20AE"/>
    <w:rsid w:val="006E7B0F"/>
    <w:rsid w:val="006F2503"/>
    <w:rsid w:val="006F4033"/>
    <w:rsid w:val="007035D3"/>
    <w:rsid w:val="00704607"/>
    <w:rsid w:val="00726050"/>
    <w:rsid w:val="0074180F"/>
    <w:rsid w:val="007645C8"/>
    <w:rsid w:val="0076531E"/>
    <w:rsid w:val="007661A2"/>
    <w:rsid w:val="00766884"/>
    <w:rsid w:val="00767485"/>
    <w:rsid w:val="007714D8"/>
    <w:rsid w:val="00782CE0"/>
    <w:rsid w:val="00783C3F"/>
    <w:rsid w:val="007929FC"/>
    <w:rsid w:val="007C5A94"/>
    <w:rsid w:val="007C5DF9"/>
    <w:rsid w:val="007F744F"/>
    <w:rsid w:val="00806DD6"/>
    <w:rsid w:val="00810577"/>
    <w:rsid w:val="00816637"/>
    <w:rsid w:val="0082557F"/>
    <w:rsid w:val="00827071"/>
    <w:rsid w:val="00833A9F"/>
    <w:rsid w:val="00847905"/>
    <w:rsid w:val="00854ADC"/>
    <w:rsid w:val="008701F6"/>
    <w:rsid w:val="008879BF"/>
    <w:rsid w:val="00896621"/>
    <w:rsid w:val="008B35F4"/>
    <w:rsid w:val="008C2944"/>
    <w:rsid w:val="008D489B"/>
    <w:rsid w:val="008E0539"/>
    <w:rsid w:val="00900093"/>
    <w:rsid w:val="009029AF"/>
    <w:rsid w:val="0091254B"/>
    <w:rsid w:val="00953273"/>
    <w:rsid w:val="00970E91"/>
    <w:rsid w:val="009B1F4E"/>
    <w:rsid w:val="009B4E2B"/>
    <w:rsid w:val="009C6473"/>
    <w:rsid w:val="009D7145"/>
    <w:rsid w:val="009F0D8A"/>
    <w:rsid w:val="009F270B"/>
    <w:rsid w:val="00A20234"/>
    <w:rsid w:val="00A248AF"/>
    <w:rsid w:val="00A36BBF"/>
    <w:rsid w:val="00A47804"/>
    <w:rsid w:val="00A76258"/>
    <w:rsid w:val="00AA1307"/>
    <w:rsid w:val="00AA55E3"/>
    <w:rsid w:val="00AB14E9"/>
    <w:rsid w:val="00AB299A"/>
    <w:rsid w:val="00AE3CB8"/>
    <w:rsid w:val="00AE5542"/>
    <w:rsid w:val="00AE63B5"/>
    <w:rsid w:val="00B04310"/>
    <w:rsid w:val="00B16B37"/>
    <w:rsid w:val="00B170DD"/>
    <w:rsid w:val="00B2257F"/>
    <w:rsid w:val="00B229E2"/>
    <w:rsid w:val="00B23200"/>
    <w:rsid w:val="00B346FB"/>
    <w:rsid w:val="00B92634"/>
    <w:rsid w:val="00BB09D9"/>
    <w:rsid w:val="00BC1520"/>
    <w:rsid w:val="00BC264E"/>
    <w:rsid w:val="00BC6F8B"/>
    <w:rsid w:val="00BD2211"/>
    <w:rsid w:val="00BD4D62"/>
    <w:rsid w:val="00BE3973"/>
    <w:rsid w:val="00BF0433"/>
    <w:rsid w:val="00BF2E1A"/>
    <w:rsid w:val="00C0596B"/>
    <w:rsid w:val="00C94C0E"/>
    <w:rsid w:val="00CA6D35"/>
    <w:rsid w:val="00CD383C"/>
    <w:rsid w:val="00CD45D4"/>
    <w:rsid w:val="00D00E60"/>
    <w:rsid w:val="00D119F4"/>
    <w:rsid w:val="00D15049"/>
    <w:rsid w:val="00D34DF4"/>
    <w:rsid w:val="00D71B6D"/>
    <w:rsid w:val="00D941E9"/>
    <w:rsid w:val="00DC19CB"/>
    <w:rsid w:val="00DE772F"/>
    <w:rsid w:val="00DF1C3F"/>
    <w:rsid w:val="00E0287E"/>
    <w:rsid w:val="00E14C63"/>
    <w:rsid w:val="00E330E2"/>
    <w:rsid w:val="00E35A75"/>
    <w:rsid w:val="00E40AAF"/>
    <w:rsid w:val="00E43732"/>
    <w:rsid w:val="00E66586"/>
    <w:rsid w:val="00EB5182"/>
    <w:rsid w:val="00EC3A2F"/>
    <w:rsid w:val="00EC6807"/>
    <w:rsid w:val="00EE5548"/>
    <w:rsid w:val="00EF5F69"/>
    <w:rsid w:val="00F01210"/>
    <w:rsid w:val="00F10F10"/>
    <w:rsid w:val="00F2583E"/>
    <w:rsid w:val="00F41431"/>
    <w:rsid w:val="00F45F7C"/>
    <w:rsid w:val="00F76F59"/>
    <w:rsid w:val="00FA2302"/>
    <w:rsid w:val="00FA7DEC"/>
    <w:rsid w:val="00FC2831"/>
    <w:rsid w:val="00FD26BE"/>
    <w:rsid w:val="01431A4A"/>
    <w:rsid w:val="01590C4F"/>
    <w:rsid w:val="01853490"/>
    <w:rsid w:val="01A06E9D"/>
    <w:rsid w:val="01BB2634"/>
    <w:rsid w:val="01CC715B"/>
    <w:rsid w:val="01CF55C0"/>
    <w:rsid w:val="023B0973"/>
    <w:rsid w:val="0250150C"/>
    <w:rsid w:val="027C5214"/>
    <w:rsid w:val="02A62291"/>
    <w:rsid w:val="02D0730E"/>
    <w:rsid w:val="02F23728"/>
    <w:rsid w:val="036068E4"/>
    <w:rsid w:val="03817A39"/>
    <w:rsid w:val="03CA6453"/>
    <w:rsid w:val="03EE3EEF"/>
    <w:rsid w:val="03EF25A3"/>
    <w:rsid w:val="04675A50"/>
    <w:rsid w:val="04787C5D"/>
    <w:rsid w:val="047D53B3"/>
    <w:rsid w:val="04AB3B45"/>
    <w:rsid w:val="04FC43EA"/>
    <w:rsid w:val="05136F2D"/>
    <w:rsid w:val="052E47BF"/>
    <w:rsid w:val="05E1021F"/>
    <w:rsid w:val="06A67EFC"/>
    <w:rsid w:val="06DC648F"/>
    <w:rsid w:val="06E15F8D"/>
    <w:rsid w:val="070033A6"/>
    <w:rsid w:val="07181283"/>
    <w:rsid w:val="073D135E"/>
    <w:rsid w:val="074F4BF6"/>
    <w:rsid w:val="07F910B5"/>
    <w:rsid w:val="081A35D8"/>
    <w:rsid w:val="0821462E"/>
    <w:rsid w:val="08294536"/>
    <w:rsid w:val="08372738"/>
    <w:rsid w:val="086054CD"/>
    <w:rsid w:val="08883F83"/>
    <w:rsid w:val="08935065"/>
    <w:rsid w:val="08A47272"/>
    <w:rsid w:val="08B922D1"/>
    <w:rsid w:val="08BF6575"/>
    <w:rsid w:val="08E54FA3"/>
    <w:rsid w:val="09454D7F"/>
    <w:rsid w:val="09A908B8"/>
    <w:rsid w:val="0A157CFC"/>
    <w:rsid w:val="0A5254C4"/>
    <w:rsid w:val="0A894972"/>
    <w:rsid w:val="0A8F16AC"/>
    <w:rsid w:val="0B186C9D"/>
    <w:rsid w:val="0BC47C2C"/>
    <w:rsid w:val="0BE856C8"/>
    <w:rsid w:val="0C2A0BF5"/>
    <w:rsid w:val="0C2D6D73"/>
    <w:rsid w:val="0C7E7DDA"/>
    <w:rsid w:val="0C964A3F"/>
    <w:rsid w:val="0CD10852"/>
    <w:rsid w:val="0D4E59FF"/>
    <w:rsid w:val="0D5D2504"/>
    <w:rsid w:val="0D613984"/>
    <w:rsid w:val="0D6C6406"/>
    <w:rsid w:val="0DAA3FDD"/>
    <w:rsid w:val="0DC21744"/>
    <w:rsid w:val="0DFA7935"/>
    <w:rsid w:val="0E4613E7"/>
    <w:rsid w:val="0E76520D"/>
    <w:rsid w:val="0E7945D7"/>
    <w:rsid w:val="0E8813E4"/>
    <w:rsid w:val="0E9733D5"/>
    <w:rsid w:val="0EDC52A9"/>
    <w:rsid w:val="0F041E04"/>
    <w:rsid w:val="0FB57FB7"/>
    <w:rsid w:val="0FDD5679"/>
    <w:rsid w:val="10030D22"/>
    <w:rsid w:val="10401F77"/>
    <w:rsid w:val="10881228"/>
    <w:rsid w:val="113E5D8A"/>
    <w:rsid w:val="1145536B"/>
    <w:rsid w:val="11560A0B"/>
    <w:rsid w:val="1170063A"/>
    <w:rsid w:val="11C52008"/>
    <w:rsid w:val="11D34725"/>
    <w:rsid w:val="11E12A75"/>
    <w:rsid w:val="11FE3E97"/>
    <w:rsid w:val="122C1F67"/>
    <w:rsid w:val="12335BF9"/>
    <w:rsid w:val="127E0B34"/>
    <w:rsid w:val="128844C8"/>
    <w:rsid w:val="128C0DC5"/>
    <w:rsid w:val="12947595"/>
    <w:rsid w:val="12970B27"/>
    <w:rsid w:val="12A12A5B"/>
    <w:rsid w:val="130152C1"/>
    <w:rsid w:val="132D1F38"/>
    <w:rsid w:val="136D1D01"/>
    <w:rsid w:val="13C26E27"/>
    <w:rsid w:val="13E15C2A"/>
    <w:rsid w:val="13E26EA1"/>
    <w:rsid w:val="13F866C4"/>
    <w:rsid w:val="1441006B"/>
    <w:rsid w:val="14531B4D"/>
    <w:rsid w:val="145558C5"/>
    <w:rsid w:val="145D2589"/>
    <w:rsid w:val="14E804E7"/>
    <w:rsid w:val="1559294C"/>
    <w:rsid w:val="15610299"/>
    <w:rsid w:val="15932B49"/>
    <w:rsid w:val="159348F7"/>
    <w:rsid w:val="159A3ED7"/>
    <w:rsid w:val="15C54CCC"/>
    <w:rsid w:val="15CE592F"/>
    <w:rsid w:val="1695469E"/>
    <w:rsid w:val="169F551D"/>
    <w:rsid w:val="16BF796D"/>
    <w:rsid w:val="173C2D6C"/>
    <w:rsid w:val="174A5489"/>
    <w:rsid w:val="174D6D27"/>
    <w:rsid w:val="1771739A"/>
    <w:rsid w:val="17E256C1"/>
    <w:rsid w:val="18187335"/>
    <w:rsid w:val="182C0486"/>
    <w:rsid w:val="18574301"/>
    <w:rsid w:val="18834A6A"/>
    <w:rsid w:val="18B54B84"/>
    <w:rsid w:val="192F0DDA"/>
    <w:rsid w:val="1A5959E3"/>
    <w:rsid w:val="1A7710BC"/>
    <w:rsid w:val="1A8426F3"/>
    <w:rsid w:val="1AB1581F"/>
    <w:rsid w:val="1AE12D73"/>
    <w:rsid w:val="1B5B3ABF"/>
    <w:rsid w:val="1B632FBD"/>
    <w:rsid w:val="1B6D251A"/>
    <w:rsid w:val="1BAA4748"/>
    <w:rsid w:val="1BC9461E"/>
    <w:rsid w:val="1C180F75"/>
    <w:rsid w:val="1C1B73F4"/>
    <w:rsid w:val="1C507C76"/>
    <w:rsid w:val="1CA76EDA"/>
    <w:rsid w:val="1CED1AC3"/>
    <w:rsid w:val="1CF244A5"/>
    <w:rsid w:val="1CF921AF"/>
    <w:rsid w:val="1D00104A"/>
    <w:rsid w:val="1D3F35B6"/>
    <w:rsid w:val="1D5D0275"/>
    <w:rsid w:val="1D7768AC"/>
    <w:rsid w:val="1DA22353"/>
    <w:rsid w:val="1DB35E0A"/>
    <w:rsid w:val="1DC341DF"/>
    <w:rsid w:val="1DEC6BA0"/>
    <w:rsid w:val="1E452429"/>
    <w:rsid w:val="1E9C3C00"/>
    <w:rsid w:val="1EC21DA9"/>
    <w:rsid w:val="1F5C75B1"/>
    <w:rsid w:val="1F642E60"/>
    <w:rsid w:val="1F7C63FB"/>
    <w:rsid w:val="1F974FE3"/>
    <w:rsid w:val="20D90987"/>
    <w:rsid w:val="210E4B7A"/>
    <w:rsid w:val="210E746C"/>
    <w:rsid w:val="217A2E0F"/>
    <w:rsid w:val="21AA36F4"/>
    <w:rsid w:val="21E14C3C"/>
    <w:rsid w:val="222217AB"/>
    <w:rsid w:val="22405DEE"/>
    <w:rsid w:val="23CE11F0"/>
    <w:rsid w:val="23DF33FD"/>
    <w:rsid w:val="23E44106"/>
    <w:rsid w:val="247C0775"/>
    <w:rsid w:val="24937873"/>
    <w:rsid w:val="249D12EE"/>
    <w:rsid w:val="24AF4B7D"/>
    <w:rsid w:val="255C5F02"/>
    <w:rsid w:val="25601DAB"/>
    <w:rsid w:val="259A582D"/>
    <w:rsid w:val="25AE3F06"/>
    <w:rsid w:val="25BF34E6"/>
    <w:rsid w:val="25DF1492"/>
    <w:rsid w:val="260B7449"/>
    <w:rsid w:val="262E69D2"/>
    <w:rsid w:val="263E265D"/>
    <w:rsid w:val="264834DB"/>
    <w:rsid w:val="268251CF"/>
    <w:rsid w:val="268A3DD6"/>
    <w:rsid w:val="26B66697"/>
    <w:rsid w:val="26C96D36"/>
    <w:rsid w:val="26D94133"/>
    <w:rsid w:val="272E0923"/>
    <w:rsid w:val="273B1194"/>
    <w:rsid w:val="276205CD"/>
    <w:rsid w:val="27631CA9"/>
    <w:rsid w:val="279B09AC"/>
    <w:rsid w:val="27B16E5E"/>
    <w:rsid w:val="27D47DEA"/>
    <w:rsid w:val="27D56FF1"/>
    <w:rsid w:val="2820567F"/>
    <w:rsid w:val="282F21DF"/>
    <w:rsid w:val="28926C90"/>
    <w:rsid w:val="28942A08"/>
    <w:rsid w:val="28B8489C"/>
    <w:rsid w:val="28BE7E3F"/>
    <w:rsid w:val="28D24D07"/>
    <w:rsid w:val="292358FF"/>
    <w:rsid w:val="294F692F"/>
    <w:rsid w:val="29BA65BF"/>
    <w:rsid w:val="29C9340C"/>
    <w:rsid w:val="29CC61D1"/>
    <w:rsid w:val="2A1060BE"/>
    <w:rsid w:val="2A1D4C7F"/>
    <w:rsid w:val="2A3D0E7D"/>
    <w:rsid w:val="2A4F2D00"/>
    <w:rsid w:val="2A506E02"/>
    <w:rsid w:val="2AED28A3"/>
    <w:rsid w:val="2B200583"/>
    <w:rsid w:val="2BA30264"/>
    <w:rsid w:val="2BC60AB2"/>
    <w:rsid w:val="2C2D6BBA"/>
    <w:rsid w:val="2C680433"/>
    <w:rsid w:val="2C932FD6"/>
    <w:rsid w:val="2CFC2D38"/>
    <w:rsid w:val="2D39592C"/>
    <w:rsid w:val="2DBF0527"/>
    <w:rsid w:val="2DC7118A"/>
    <w:rsid w:val="2E8D3859"/>
    <w:rsid w:val="2F2443BA"/>
    <w:rsid w:val="2F8F217B"/>
    <w:rsid w:val="2FDC6A42"/>
    <w:rsid w:val="2FEA78CD"/>
    <w:rsid w:val="2FF10740"/>
    <w:rsid w:val="2FF16992"/>
    <w:rsid w:val="2FF21E67"/>
    <w:rsid w:val="2FFE2E5D"/>
    <w:rsid w:val="300F6E18"/>
    <w:rsid w:val="30631342"/>
    <w:rsid w:val="308B72AB"/>
    <w:rsid w:val="30AC36A4"/>
    <w:rsid w:val="30DA5678"/>
    <w:rsid w:val="318D4498"/>
    <w:rsid w:val="31905D36"/>
    <w:rsid w:val="32907D64"/>
    <w:rsid w:val="330A1619"/>
    <w:rsid w:val="33174961"/>
    <w:rsid w:val="33E3358A"/>
    <w:rsid w:val="33F9355C"/>
    <w:rsid w:val="345E211C"/>
    <w:rsid w:val="34BF2BBB"/>
    <w:rsid w:val="34FA62E8"/>
    <w:rsid w:val="354457B6"/>
    <w:rsid w:val="35551771"/>
    <w:rsid w:val="36083ABE"/>
    <w:rsid w:val="361B6516"/>
    <w:rsid w:val="36527A5E"/>
    <w:rsid w:val="36625EF3"/>
    <w:rsid w:val="367774C5"/>
    <w:rsid w:val="367C5E20"/>
    <w:rsid w:val="36854EDB"/>
    <w:rsid w:val="36F668C1"/>
    <w:rsid w:val="370C2303"/>
    <w:rsid w:val="37271359"/>
    <w:rsid w:val="375D66BB"/>
    <w:rsid w:val="3791128C"/>
    <w:rsid w:val="37A87090"/>
    <w:rsid w:val="37C46192"/>
    <w:rsid w:val="37C82A9F"/>
    <w:rsid w:val="37E20AF7"/>
    <w:rsid w:val="380546C2"/>
    <w:rsid w:val="38092FA0"/>
    <w:rsid w:val="386B02D5"/>
    <w:rsid w:val="388E631A"/>
    <w:rsid w:val="388F3193"/>
    <w:rsid w:val="389E342F"/>
    <w:rsid w:val="38E74819"/>
    <w:rsid w:val="39225442"/>
    <w:rsid w:val="393F076E"/>
    <w:rsid w:val="399860D0"/>
    <w:rsid w:val="39AB195F"/>
    <w:rsid w:val="39C72511"/>
    <w:rsid w:val="39DC420F"/>
    <w:rsid w:val="39DC7D6B"/>
    <w:rsid w:val="39F93A40"/>
    <w:rsid w:val="3A102AB9"/>
    <w:rsid w:val="3A1A16BC"/>
    <w:rsid w:val="3A1E053A"/>
    <w:rsid w:val="3A1E255A"/>
    <w:rsid w:val="3A1F5EA9"/>
    <w:rsid w:val="3A2A4F7A"/>
    <w:rsid w:val="3A775CE5"/>
    <w:rsid w:val="3AB5482D"/>
    <w:rsid w:val="3B345984"/>
    <w:rsid w:val="3B65169E"/>
    <w:rsid w:val="3B8D4AB8"/>
    <w:rsid w:val="3BA046F2"/>
    <w:rsid w:val="3BB324FB"/>
    <w:rsid w:val="3BCD01B2"/>
    <w:rsid w:val="3BE253E0"/>
    <w:rsid w:val="3C122CC4"/>
    <w:rsid w:val="3C372D41"/>
    <w:rsid w:val="3C38353C"/>
    <w:rsid w:val="3C3D6ABB"/>
    <w:rsid w:val="3C8117C1"/>
    <w:rsid w:val="3CBD2D68"/>
    <w:rsid w:val="3CCE71EB"/>
    <w:rsid w:val="3CE82D7E"/>
    <w:rsid w:val="3D2D6B2F"/>
    <w:rsid w:val="3D6A38DF"/>
    <w:rsid w:val="3D9D42FB"/>
    <w:rsid w:val="3DFD6502"/>
    <w:rsid w:val="3DFF7EA5"/>
    <w:rsid w:val="3E0847CC"/>
    <w:rsid w:val="3E285C74"/>
    <w:rsid w:val="3E2F5CEF"/>
    <w:rsid w:val="3EDD2F57"/>
    <w:rsid w:val="3EF04B02"/>
    <w:rsid w:val="3F1B1335"/>
    <w:rsid w:val="3F214472"/>
    <w:rsid w:val="3F3E5024"/>
    <w:rsid w:val="3F5B5BD6"/>
    <w:rsid w:val="408616FF"/>
    <w:rsid w:val="41406E31"/>
    <w:rsid w:val="41530DC4"/>
    <w:rsid w:val="41AE658A"/>
    <w:rsid w:val="41CB1694"/>
    <w:rsid w:val="42293D69"/>
    <w:rsid w:val="4230334A"/>
    <w:rsid w:val="4236566E"/>
    <w:rsid w:val="42601DED"/>
    <w:rsid w:val="427A3577"/>
    <w:rsid w:val="42BD5202"/>
    <w:rsid w:val="42C76B3B"/>
    <w:rsid w:val="42DE5557"/>
    <w:rsid w:val="42E12896"/>
    <w:rsid w:val="42E93823"/>
    <w:rsid w:val="42FF4201"/>
    <w:rsid w:val="433E1A96"/>
    <w:rsid w:val="43543A6E"/>
    <w:rsid w:val="43A35D9D"/>
    <w:rsid w:val="43DB1D94"/>
    <w:rsid w:val="441A605F"/>
    <w:rsid w:val="44496945"/>
    <w:rsid w:val="446F2B25"/>
    <w:rsid w:val="44EC745C"/>
    <w:rsid w:val="44EE0CC8"/>
    <w:rsid w:val="451C7BB5"/>
    <w:rsid w:val="45336CAD"/>
    <w:rsid w:val="45554E75"/>
    <w:rsid w:val="45AB0C2C"/>
    <w:rsid w:val="45E32481"/>
    <w:rsid w:val="463F1DAD"/>
    <w:rsid w:val="465005E8"/>
    <w:rsid w:val="46B81B60"/>
    <w:rsid w:val="47064679"/>
    <w:rsid w:val="47211A40"/>
    <w:rsid w:val="472B0583"/>
    <w:rsid w:val="47546CBE"/>
    <w:rsid w:val="47C87B80"/>
    <w:rsid w:val="48376AB4"/>
    <w:rsid w:val="48594C7C"/>
    <w:rsid w:val="48BE57BF"/>
    <w:rsid w:val="48CD6ED5"/>
    <w:rsid w:val="490E5A67"/>
    <w:rsid w:val="4937506D"/>
    <w:rsid w:val="49675177"/>
    <w:rsid w:val="496C43A6"/>
    <w:rsid w:val="49C64593"/>
    <w:rsid w:val="4A345F75"/>
    <w:rsid w:val="4A7960A2"/>
    <w:rsid w:val="4A8065CB"/>
    <w:rsid w:val="4A8C758B"/>
    <w:rsid w:val="4AA46683"/>
    <w:rsid w:val="4ABB6AB5"/>
    <w:rsid w:val="4ACB63C8"/>
    <w:rsid w:val="4AE11405"/>
    <w:rsid w:val="4AEB2F95"/>
    <w:rsid w:val="4AF13892"/>
    <w:rsid w:val="4AF16EC1"/>
    <w:rsid w:val="4B5F683A"/>
    <w:rsid w:val="4BA601D9"/>
    <w:rsid w:val="4BD20495"/>
    <w:rsid w:val="4BDC3BFA"/>
    <w:rsid w:val="4C7402D7"/>
    <w:rsid w:val="4CBA03DF"/>
    <w:rsid w:val="4CD62D3F"/>
    <w:rsid w:val="4D1D271C"/>
    <w:rsid w:val="4D626381"/>
    <w:rsid w:val="4D635B00"/>
    <w:rsid w:val="4D856944"/>
    <w:rsid w:val="4DC84B01"/>
    <w:rsid w:val="4E13432C"/>
    <w:rsid w:val="4E3302BE"/>
    <w:rsid w:val="4E557C94"/>
    <w:rsid w:val="4E5A2209"/>
    <w:rsid w:val="4E647087"/>
    <w:rsid w:val="4EA92A0D"/>
    <w:rsid w:val="4EE5084A"/>
    <w:rsid w:val="4F9A62A6"/>
    <w:rsid w:val="4FAC4F65"/>
    <w:rsid w:val="4FC7696F"/>
    <w:rsid w:val="4FF75BBD"/>
    <w:rsid w:val="502532CB"/>
    <w:rsid w:val="50342257"/>
    <w:rsid w:val="50394DC8"/>
    <w:rsid w:val="50856B03"/>
    <w:rsid w:val="508F1A38"/>
    <w:rsid w:val="5099030C"/>
    <w:rsid w:val="51142088"/>
    <w:rsid w:val="511A58F1"/>
    <w:rsid w:val="514F4E6E"/>
    <w:rsid w:val="515661FD"/>
    <w:rsid w:val="517B5C63"/>
    <w:rsid w:val="51D84E64"/>
    <w:rsid w:val="51E865BA"/>
    <w:rsid w:val="51EF461F"/>
    <w:rsid w:val="52171E30"/>
    <w:rsid w:val="52295736"/>
    <w:rsid w:val="522A286E"/>
    <w:rsid w:val="522E0F28"/>
    <w:rsid w:val="524F15CA"/>
    <w:rsid w:val="527821A3"/>
    <w:rsid w:val="52CF41B2"/>
    <w:rsid w:val="52E74282"/>
    <w:rsid w:val="52FE6B4C"/>
    <w:rsid w:val="530879CB"/>
    <w:rsid w:val="53395B77"/>
    <w:rsid w:val="535D1AC5"/>
    <w:rsid w:val="53690469"/>
    <w:rsid w:val="537C3B79"/>
    <w:rsid w:val="5392793D"/>
    <w:rsid w:val="53C75190"/>
    <w:rsid w:val="54462559"/>
    <w:rsid w:val="54770964"/>
    <w:rsid w:val="548D4319"/>
    <w:rsid w:val="54A35F34"/>
    <w:rsid w:val="54ED70CD"/>
    <w:rsid w:val="551C775D"/>
    <w:rsid w:val="554C225B"/>
    <w:rsid w:val="55B54C32"/>
    <w:rsid w:val="560D1FB2"/>
    <w:rsid w:val="565076BF"/>
    <w:rsid w:val="56981066"/>
    <w:rsid w:val="56B063AF"/>
    <w:rsid w:val="57283811"/>
    <w:rsid w:val="57830D65"/>
    <w:rsid w:val="578B57E4"/>
    <w:rsid w:val="579132C9"/>
    <w:rsid w:val="57947A7F"/>
    <w:rsid w:val="57A37CC2"/>
    <w:rsid w:val="57B30A59"/>
    <w:rsid w:val="5814471C"/>
    <w:rsid w:val="58275558"/>
    <w:rsid w:val="5834677C"/>
    <w:rsid w:val="58613A3F"/>
    <w:rsid w:val="586236D9"/>
    <w:rsid w:val="586434BB"/>
    <w:rsid w:val="59090B79"/>
    <w:rsid w:val="5971678A"/>
    <w:rsid w:val="598C75F2"/>
    <w:rsid w:val="5999312B"/>
    <w:rsid w:val="599975CF"/>
    <w:rsid w:val="59BE5287"/>
    <w:rsid w:val="59C7413C"/>
    <w:rsid w:val="59E871F5"/>
    <w:rsid w:val="5A0A4674"/>
    <w:rsid w:val="5A1030D6"/>
    <w:rsid w:val="5A652C86"/>
    <w:rsid w:val="5A6C6A91"/>
    <w:rsid w:val="5A6F20DD"/>
    <w:rsid w:val="5A7F3119"/>
    <w:rsid w:val="5A981634"/>
    <w:rsid w:val="5AA224B3"/>
    <w:rsid w:val="5AB87F28"/>
    <w:rsid w:val="5B351579"/>
    <w:rsid w:val="5B470B3F"/>
    <w:rsid w:val="5B4B100D"/>
    <w:rsid w:val="5B4E6197"/>
    <w:rsid w:val="5BA67D81"/>
    <w:rsid w:val="5BEF0761"/>
    <w:rsid w:val="5BF154A0"/>
    <w:rsid w:val="5C08644E"/>
    <w:rsid w:val="5C151B7E"/>
    <w:rsid w:val="5C621EFA"/>
    <w:rsid w:val="5C6E01B4"/>
    <w:rsid w:val="5C865568"/>
    <w:rsid w:val="5CA21F59"/>
    <w:rsid w:val="5CA849A3"/>
    <w:rsid w:val="5CB44396"/>
    <w:rsid w:val="5CFC234E"/>
    <w:rsid w:val="5DBC1ADE"/>
    <w:rsid w:val="5DBC388C"/>
    <w:rsid w:val="5E0A646F"/>
    <w:rsid w:val="5E660D75"/>
    <w:rsid w:val="5E783C56"/>
    <w:rsid w:val="5E787040"/>
    <w:rsid w:val="5E8A5738"/>
    <w:rsid w:val="5EBA6AFD"/>
    <w:rsid w:val="5F3202A9"/>
    <w:rsid w:val="5F9677AA"/>
    <w:rsid w:val="5FA665A1"/>
    <w:rsid w:val="5FCC24AC"/>
    <w:rsid w:val="5FCF5AF8"/>
    <w:rsid w:val="5FDF0FD9"/>
    <w:rsid w:val="608D150F"/>
    <w:rsid w:val="60D4713E"/>
    <w:rsid w:val="610125B0"/>
    <w:rsid w:val="61124AC0"/>
    <w:rsid w:val="61507ED1"/>
    <w:rsid w:val="61AB5E42"/>
    <w:rsid w:val="61B76CE2"/>
    <w:rsid w:val="62022F83"/>
    <w:rsid w:val="620F6680"/>
    <w:rsid w:val="622B4AE7"/>
    <w:rsid w:val="626F08D2"/>
    <w:rsid w:val="62831EFA"/>
    <w:rsid w:val="628C7CD0"/>
    <w:rsid w:val="630261E5"/>
    <w:rsid w:val="639808F7"/>
    <w:rsid w:val="639A710C"/>
    <w:rsid w:val="63A252D2"/>
    <w:rsid w:val="63BA45E6"/>
    <w:rsid w:val="63C37681"/>
    <w:rsid w:val="63CA644B"/>
    <w:rsid w:val="63DF782F"/>
    <w:rsid w:val="64063AB3"/>
    <w:rsid w:val="64290F8A"/>
    <w:rsid w:val="64801EFA"/>
    <w:rsid w:val="648C16EE"/>
    <w:rsid w:val="64CA38F8"/>
    <w:rsid w:val="64E30C7E"/>
    <w:rsid w:val="6518584B"/>
    <w:rsid w:val="65384140"/>
    <w:rsid w:val="65532D27"/>
    <w:rsid w:val="6565085D"/>
    <w:rsid w:val="65F75DA9"/>
    <w:rsid w:val="664A237C"/>
    <w:rsid w:val="66882EA5"/>
    <w:rsid w:val="66AF21DF"/>
    <w:rsid w:val="66BD7716"/>
    <w:rsid w:val="66E47E72"/>
    <w:rsid w:val="671D23DD"/>
    <w:rsid w:val="672B33E0"/>
    <w:rsid w:val="674736B4"/>
    <w:rsid w:val="678216A2"/>
    <w:rsid w:val="67876CB8"/>
    <w:rsid w:val="67892A30"/>
    <w:rsid w:val="67B17439"/>
    <w:rsid w:val="680D067E"/>
    <w:rsid w:val="68A2073C"/>
    <w:rsid w:val="68CC1914"/>
    <w:rsid w:val="693F3A06"/>
    <w:rsid w:val="69611B20"/>
    <w:rsid w:val="69877444"/>
    <w:rsid w:val="698959FD"/>
    <w:rsid w:val="69B37820"/>
    <w:rsid w:val="69C86AD4"/>
    <w:rsid w:val="69D22107"/>
    <w:rsid w:val="6A0200F5"/>
    <w:rsid w:val="6A246A40"/>
    <w:rsid w:val="6A307F74"/>
    <w:rsid w:val="6A3D5D54"/>
    <w:rsid w:val="6AAE1263"/>
    <w:rsid w:val="6AC515A0"/>
    <w:rsid w:val="6AD617EC"/>
    <w:rsid w:val="6AE61F48"/>
    <w:rsid w:val="6BAB195B"/>
    <w:rsid w:val="6BCF0C2E"/>
    <w:rsid w:val="6BFC0447"/>
    <w:rsid w:val="6C26255D"/>
    <w:rsid w:val="6C75116C"/>
    <w:rsid w:val="6CF84761"/>
    <w:rsid w:val="6D071B4C"/>
    <w:rsid w:val="6D800726"/>
    <w:rsid w:val="6DD52978"/>
    <w:rsid w:val="6DD91CEB"/>
    <w:rsid w:val="6DFB216A"/>
    <w:rsid w:val="6E36784A"/>
    <w:rsid w:val="6EA55A38"/>
    <w:rsid w:val="6ED75F6B"/>
    <w:rsid w:val="6EDF1931"/>
    <w:rsid w:val="6F0532E4"/>
    <w:rsid w:val="6F3127DE"/>
    <w:rsid w:val="6F3F2FDE"/>
    <w:rsid w:val="6F685621"/>
    <w:rsid w:val="6F6B31F1"/>
    <w:rsid w:val="6F8B6142"/>
    <w:rsid w:val="6FAC7C04"/>
    <w:rsid w:val="6FDB5DF3"/>
    <w:rsid w:val="6FE244A4"/>
    <w:rsid w:val="6FFB6495"/>
    <w:rsid w:val="700B1339"/>
    <w:rsid w:val="70255B4F"/>
    <w:rsid w:val="70470505"/>
    <w:rsid w:val="705160B5"/>
    <w:rsid w:val="70B623BC"/>
    <w:rsid w:val="70D016D0"/>
    <w:rsid w:val="71D42415"/>
    <w:rsid w:val="720F162F"/>
    <w:rsid w:val="72134F3D"/>
    <w:rsid w:val="726245AA"/>
    <w:rsid w:val="729F57FE"/>
    <w:rsid w:val="729F75AC"/>
    <w:rsid w:val="72BC38A8"/>
    <w:rsid w:val="72F773E8"/>
    <w:rsid w:val="73031DBB"/>
    <w:rsid w:val="74035A68"/>
    <w:rsid w:val="74081181"/>
    <w:rsid w:val="7456445F"/>
    <w:rsid w:val="74624D35"/>
    <w:rsid w:val="74982505"/>
    <w:rsid w:val="75146C1A"/>
    <w:rsid w:val="752F33C9"/>
    <w:rsid w:val="7530126D"/>
    <w:rsid w:val="75671ED7"/>
    <w:rsid w:val="7577036C"/>
    <w:rsid w:val="75D344C9"/>
    <w:rsid w:val="75E44CC4"/>
    <w:rsid w:val="75F419BD"/>
    <w:rsid w:val="760342F6"/>
    <w:rsid w:val="764C29DE"/>
    <w:rsid w:val="765E6CCC"/>
    <w:rsid w:val="76B42928"/>
    <w:rsid w:val="76D10AB1"/>
    <w:rsid w:val="76D37824"/>
    <w:rsid w:val="773A5AF5"/>
    <w:rsid w:val="776D7DC2"/>
    <w:rsid w:val="778D7C68"/>
    <w:rsid w:val="77BA6C36"/>
    <w:rsid w:val="784A620C"/>
    <w:rsid w:val="78574485"/>
    <w:rsid w:val="7863107C"/>
    <w:rsid w:val="78836C5E"/>
    <w:rsid w:val="78D434A1"/>
    <w:rsid w:val="78DA2FE3"/>
    <w:rsid w:val="78EA4010"/>
    <w:rsid w:val="799A2BFC"/>
    <w:rsid w:val="799B65F3"/>
    <w:rsid w:val="79B41A4E"/>
    <w:rsid w:val="7A00596C"/>
    <w:rsid w:val="7A2D7B93"/>
    <w:rsid w:val="7A951295"/>
    <w:rsid w:val="7B5E053E"/>
    <w:rsid w:val="7B7E3E7D"/>
    <w:rsid w:val="7BAB0D70"/>
    <w:rsid w:val="7BB55986"/>
    <w:rsid w:val="7BD501E1"/>
    <w:rsid w:val="7BDE69C1"/>
    <w:rsid w:val="7C3E7E36"/>
    <w:rsid w:val="7C480CB4"/>
    <w:rsid w:val="7C52743D"/>
    <w:rsid w:val="7CA419F6"/>
    <w:rsid w:val="7D235320"/>
    <w:rsid w:val="7D63574E"/>
    <w:rsid w:val="7D7F0E43"/>
    <w:rsid w:val="7DA95783"/>
    <w:rsid w:val="7DD221BC"/>
    <w:rsid w:val="7DDC7237"/>
    <w:rsid w:val="7E1D1CCD"/>
    <w:rsid w:val="7E394D59"/>
    <w:rsid w:val="7E3F608B"/>
    <w:rsid w:val="7EA877E8"/>
    <w:rsid w:val="7EAA3118"/>
    <w:rsid w:val="7EAE64B1"/>
    <w:rsid w:val="7F764582"/>
    <w:rsid w:val="7F9E4914"/>
    <w:rsid w:val="7FA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100" w:after="100" w:line="415" w:lineRule="auto"/>
      <w:outlineLvl w:val="1"/>
    </w:pPr>
    <w:rPr>
      <w:rFonts w:ascii="Times New Roman" w:hAnsi="Times New Roman" w:eastAsia="宋体" w:cstheme="majorBidi"/>
      <w:b/>
      <w:bCs/>
      <w:sz w:val="32"/>
      <w:szCs w:val="32"/>
    </w:rPr>
  </w:style>
  <w:style w:type="paragraph" w:styleId="4">
    <w:name w:val="heading 3"/>
    <w:basedOn w:val="1"/>
    <w:next w:val="1"/>
    <w:qFormat/>
    <w:uiPriority w:val="0"/>
    <w:pPr>
      <w:keepNext/>
      <w:keepLines/>
      <w:spacing w:before="120" w:after="120"/>
      <w:outlineLvl w:val="2"/>
    </w:pPr>
    <w:rPr>
      <w:rFonts w:eastAsia="黑体"/>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25"/>
    <w:semiHidden/>
    <w:unhideWhenUsed/>
    <w:qFormat/>
    <w:uiPriority w:val="99"/>
    <w:pPr>
      <w:jc w:val="left"/>
    </w:pPr>
  </w:style>
  <w:style w:type="paragraph" w:styleId="7">
    <w:name w:val="Body Text"/>
    <w:basedOn w:val="1"/>
    <w:qFormat/>
    <w:uiPriority w:val="0"/>
    <w:pPr>
      <w:spacing w:after="120"/>
    </w:pPr>
  </w:style>
  <w:style w:type="paragraph" w:styleId="8">
    <w:name w:val="Body Text Indent"/>
    <w:basedOn w:val="1"/>
    <w:qFormat/>
    <w:uiPriority w:val="1624"/>
    <w:pPr>
      <w:spacing w:line="360" w:lineRule="auto"/>
      <w:ind w:firstLine="420"/>
    </w:pPr>
    <w:rPr>
      <w:sz w:val="24"/>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Balloon Text"/>
    <w:basedOn w:val="1"/>
    <w:link w:val="26"/>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页眉 字符"/>
    <w:basedOn w:val="17"/>
    <w:link w:val="12"/>
    <w:qFormat/>
    <w:uiPriority w:val="99"/>
    <w:rPr>
      <w:sz w:val="18"/>
      <w:szCs w:val="18"/>
    </w:rPr>
  </w:style>
  <w:style w:type="character" w:customStyle="1" w:styleId="24">
    <w:name w:val="页脚 字符"/>
    <w:basedOn w:val="17"/>
    <w:link w:val="11"/>
    <w:qFormat/>
    <w:uiPriority w:val="99"/>
    <w:rPr>
      <w:sz w:val="18"/>
      <w:szCs w:val="18"/>
    </w:rPr>
  </w:style>
  <w:style w:type="character" w:customStyle="1" w:styleId="25">
    <w:name w:val="批注文字 字符"/>
    <w:basedOn w:val="17"/>
    <w:link w:val="6"/>
    <w:semiHidden/>
    <w:qFormat/>
    <w:uiPriority w:val="99"/>
    <w:rPr>
      <w:rFonts w:asciiTheme="minorHAnsi" w:hAnsiTheme="minorHAnsi" w:eastAsiaTheme="minorEastAsia" w:cstheme="minorBidi"/>
      <w:kern w:val="2"/>
      <w:sz w:val="21"/>
      <w:szCs w:val="22"/>
    </w:rPr>
  </w:style>
  <w:style w:type="character" w:customStyle="1" w:styleId="26">
    <w:name w:val="批注框文本 字符"/>
    <w:basedOn w:val="17"/>
    <w:link w:val="10"/>
    <w:semiHidden/>
    <w:qFormat/>
    <w:uiPriority w:val="99"/>
    <w:rPr>
      <w:rFonts w:asciiTheme="minorHAnsi" w:hAnsiTheme="minorHAnsi" w:eastAsiaTheme="minorEastAsia" w:cstheme="minorBidi"/>
      <w:kern w:val="2"/>
      <w:sz w:val="18"/>
      <w:szCs w:val="18"/>
    </w:rPr>
  </w:style>
  <w:style w:type="character" w:customStyle="1" w:styleId="27">
    <w:name w:val="标题 1 字符"/>
    <w:basedOn w:val="17"/>
    <w:link w:val="2"/>
    <w:qFormat/>
    <w:uiPriority w:val="9"/>
    <w:rPr>
      <w:rFonts w:asciiTheme="minorHAnsi" w:hAnsiTheme="minorHAnsi" w:eastAsiaTheme="minorEastAsia" w:cstheme="minorBidi"/>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29">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2"/>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3"/>
    <w:basedOn w:val="1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4"/>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5"/>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6"/>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二级条标题"/>
    <w:basedOn w:val="36"/>
    <w:next w:val="21"/>
    <w:qFormat/>
    <w:uiPriority w:val="0"/>
    <w:pPr>
      <w:numPr>
        <w:ilvl w:val="3"/>
      </w:numPr>
      <w:outlineLvl w:val="3"/>
    </w:pPr>
  </w:style>
  <w:style w:type="paragraph" w:customStyle="1" w:styleId="36">
    <w:name w:val="一级条标题"/>
    <w:basedOn w:val="37"/>
    <w:next w:val="21"/>
    <w:qFormat/>
    <w:uiPriority w:val="0"/>
    <w:pPr>
      <w:numPr>
        <w:ilvl w:val="2"/>
      </w:numPr>
      <w:spacing w:before="0" w:beforeLines="0" w:after="0" w:afterLines="0"/>
      <w:outlineLvl w:val="2"/>
    </w:pPr>
  </w:style>
  <w:style w:type="paragraph" w:customStyle="1" w:styleId="37">
    <w:name w:val="章标题"/>
    <w:next w:val="2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8">
    <w:name w:val="正文首行缩进1"/>
    <w:basedOn w:val="7"/>
    <w:qFormat/>
    <w:uiPriority w:val="0"/>
    <w:pPr>
      <w:ind w:firstLine="420"/>
    </w:pPr>
    <w:rPr>
      <w:szCs w:val="20"/>
    </w:r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jpeg"/><Relationship Id="rId22" Type="http://schemas.openxmlformats.org/officeDocument/2006/relationships/chart" Target="charts/chart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3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350KA</a:t>
            </a:r>
            <a:r>
              <a:t>现场各测点实测平均值与模拟计算值</a:t>
            </a:r>
          </a:p>
        </c:rich>
      </c:tx>
      <c:layout>
        <c:manualLayout>
          <c:xMode val="edge"/>
          <c:yMode val="edge"/>
          <c:x val="0.136666666666667"/>
          <c:y val="0.0208333333333333"/>
        </c:manualLayout>
      </c:layout>
      <c:overlay val="0"/>
      <c:spPr>
        <a:noFill/>
        <a:ln>
          <a:noFill/>
        </a:ln>
        <a:effectLst/>
      </c:spPr>
    </c:title>
    <c:autoTitleDeleted val="0"/>
    <c:plotArea>
      <c:layout>
        <c:manualLayout>
          <c:layoutTarget val="inner"/>
          <c:xMode val="edge"/>
          <c:yMode val="edge"/>
          <c:x val="0.0622444722569879"/>
          <c:y val="0.183035714285714"/>
          <c:w val="0.907161729940203"/>
          <c:h val="0.599718045112782"/>
        </c:manualLayout>
      </c:layout>
      <c:lineChart>
        <c:grouping val="standard"/>
        <c:varyColors val="0"/>
        <c:ser>
          <c:idx val="0"/>
          <c:order val="0"/>
          <c:tx>
            <c:strRef>
              <c:f>[350.xlsx]Sheet1!$H$1</c:f>
              <c:strCache>
                <c:ptCount val="1"/>
                <c:pt idx="0">
                  <c:v>各测点实测平均值</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dLbls>
            <c:delete val="1"/>
          </c:dLbls>
          <c:val>
            <c:numRef>
              <c:f>[350.xlsx]Sheet1!$H$2:$H$31</c:f>
              <c:numCache>
                <c:formatCode>General</c:formatCode>
                <c:ptCount val="30"/>
                <c:pt idx="0">
                  <c:v>13</c:v>
                </c:pt>
                <c:pt idx="1">
                  <c:v>15.0333333333333</c:v>
                </c:pt>
                <c:pt idx="2">
                  <c:v>11.9166666666667</c:v>
                </c:pt>
                <c:pt idx="3">
                  <c:v>11.4833333333333</c:v>
                </c:pt>
                <c:pt idx="4">
                  <c:v>13.0666666666667</c:v>
                </c:pt>
                <c:pt idx="5">
                  <c:v>11.15</c:v>
                </c:pt>
                <c:pt idx="6">
                  <c:v>15.45</c:v>
                </c:pt>
                <c:pt idx="7">
                  <c:v>14.7166666666667</c:v>
                </c:pt>
                <c:pt idx="8">
                  <c:v>12.6</c:v>
                </c:pt>
                <c:pt idx="9">
                  <c:v>14.6166666666667</c:v>
                </c:pt>
                <c:pt idx="10">
                  <c:v>14.0833333333333</c:v>
                </c:pt>
                <c:pt idx="11">
                  <c:v>14.85</c:v>
                </c:pt>
                <c:pt idx="12">
                  <c:v>14.2666666666667</c:v>
                </c:pt>
                <c:pt idx="13">
                  <c:v>17.2666666666667</c:v>
                </c:pt>
                <c:pt idx="14">
                  <c:v>15.6833333333333</c:v>
                </c:pt>
                <c:pt idx="15">
                  <c:v>14.1</c:v>
                </c:pt>
                <c:pt idx="16">
                  <c:v>13.55</c:v>
                </c:pt>
                <c:pt idx="17">
                  <c:v>13.5833333333333</c:v>
                </c:pt>
                <c:pt idx="18">
                  <c:v>15.4333333333333</c:v>
                </c:pt>
                <c:pt idx="19">
                  <c:v>18.8833333333333</c:v>
                </c:pt>
                <c:pt idx="20">
                  <c:v>15.6833333333333</c:v>
                </c:pt>
                <c:pt idx="21">
                  <c:v>15.4833333333333</c:v>
                </c:pt>
                <c:pt idx="22">
                  <c:v>12.9</c:v>
                </c:pt>
                <c:pt idx="23">
                  <c:v>14.0833333333333</c:v>
                </c:pt>
                <c:pt idx="24">
                  <c:v>12.8666666666667</c:v>
                </c:pt>
                <c:pt idx="25">
                  <c:v>16.0166666666667</c:v>
                </c:pt>
                <c:pt idx="26">
                  <c:v>15.9833333333333</c:v>
                </c:pt>
                <c:pt idx="27">
                  <c:v>13.6333333333333</c:v>
                </c:pt>
                <c:pt idx="28">
                  <c:v>13.5166666666667</c:v>
                </c:pt>
                <c:pt idx="29">
                  <c:v>11.9833333333333</c:v>
                </c:pt>
              </c:numCache>
            </c:numRef>
          </c:val>
          <c:smooth val="0"/>
        </c:ser>
        <c:ser>
          <c:idx val="1"/>
          <c:order val="1"/>
          <c:tx>
            <c:strRef>
              <c:f>[350.xlsx]Sheet1!$I$1</c:f>
              <c:strCache>
                <c:ptCount val="1"/>
                <c:pt idx="0">
                  <c:v>350KA各测点模拟值</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dLbls>
            <c:delete val="1"/>
          </c:dLbls>
          <c:val>
            <c:numRef>
              <c:f>[350.xlsx]Sheet1!$I$2:$I$31</c:f>
              <c:numCache>
                <c:formatCode>General</c:formatCode>
                <c:ptCount val="30"/>
                <c:pt idx="0">
                  <c:v>16</c:v>
                </c:pt>
                <c:pt idx="1">
                  <c:v>17</c:v>
                </c:pt>
                <c:pt idx="2">
                  <c:v>18</c:v>
                </c:pt>
                <c:pt idx="3">
                  <c:v>12</c:v>
                </c:pt>
                <c:pt idx="4">
                  <c:v>9</c:v>
                </c:pt>
                <c:pt idx="5">
                  <c:v>12</c:v>
                </c:pt>
                <c:pt idx="6">
                  <c:v>10</c:v>
                </c:pt>
                <c:pt idx="7">
                  <c:v>17</c:v>
                </c:pt>
                <c:pt idx="8">
                  <c:v>19</c:v>
                </c:pt>
                <c:pt idx="9">
                  <c:v>17</c:v>
                </c:pt>
                <c:pt idx="10">
                  <c:v>8</c:v>
                </c:pt>
                <c:pt idx="11">
                  <c:v>15</c:v>
                </c:pt>
                <c:pt idx="12">
                  <c:v>24</c:v>
                </c:pt>
                <c:pt idx="13">
                  <c:v>15</c:v>
                </c:pt>
                <c:pt idx="14">
                  <c:v>16</c:v>
                </c:pt>
                <c:pt idx="15">
                  <c:v>18</c:v>
                </c:pt>
                <c:pt idx="16">
                  <c:v>13</c:v>
                </c:pt>
                <c:pt idx="17">
                  <c:v>16</c:v>
                </c:pt>
                <c:pt idx="18">
                  <c:v>15</c:v>
                </c:pt>
                <c:pt idx="19">
                  <c:v>25</c:v>
                </c:pt>
                <c:pt idx="20">
                  <c:v>19</c:v>
                </c:pt>
                <c:pt idx="21">
                  <c:v>16</c:v>
                </c:pt>
                <c:pt idx="22">
                  <c:v>12</c:v>
                </c:pt>
                <c:pt idx="23">
                  <c:v>13</c:v>
                </c:pt>
                <c:pt idx="24">
                  <c:v>16</c:v>
                </c:pt>
                <c:pt idx="25">
                  <c:v>10</c:v>
                </c:pt>
                <c:pt idx="26">
                  <c:v>12</c:v>
                </c:pt>
                <c:pt idx="27">
                  <c:v>20</c:v>
                </c:pt>
                <c:pt idx="28">
                  <c:v>18</c:v>
                </c:pt>
                <c:pt idx="29">
                  <c:v>15</c:v>
                </c:pt>
              </c:numCache>
            </c:numRef>
          </c:val>
          <c:smooth val="0"/>
        </c:ser>
        <c:dLbls>
          <c:showLegendKey val="0"/>
          <c:showVal val="0"/>
          <c:showCatName val="0"/>
          <c:showSerName val="0"/>
          <c:showPercent val="0"/>
          <c:showBubbleSize val="0"/>
        </c:dLbls>
        <c:marker val="1"/>
        <c:smooth val="0"/>
        <c:axId val="392091812"/>
        <c:axId val="33762469"/>
      </c:lineChart>
      <c:catAx>
        <c:axId val="39209181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3762469"/>
        <c:crosses val="autoZero"/>
        <c:auto val="1"/>
        <c:lblAlgn val="ctr"/>
        <c:lblOffset val="100"/>
        <c:noMultiLvlLbl val="0"/>
      </c:catAx>
      <c:valAx>
        <c:axId val="3376246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20918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8D4BE-1C2E-4E20-B7FB-E668F175D820}">
  <ds:schemaRefs/>
</ds:datastoreItem>
</file>

<file path=docProps/app.xml><?xml version="1.0" encoding="utf-8"?>
<Properties xmlns="http://schemas.openxmlformats.org/officeDocument/2006/extended-properties" xmlns:vt="http://schemas.openxmlformats.org/officeDocument/2006/docPropsVTypes">
  <Template>Normal</Template>
  <Pages>18</Pages>
  <Words>10562</Words>
  <Characters>14328</Characters>
  <Lines>251</Lines>
  <Paragraphs>70</Paragraphs>
  <TotalTime>2</TotalTime>
  <ScaleCrop>false</ScaleCrop>
  <LinksUpToDate>false</LinksUpToDate>
  <CharactersWithSpaces>14496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2020-08-09T06:07:00Z</dcterms:created>
  <dc:creator>孙 盛林</dc:creator>
  <cp:lastModifiedBy>阿珍爱上阿强</cp:lastModifiedBy>
  <cp:lastPrinted>2020-11-25T02:05:00Z</cp:lastPrinted>
  <dcterms:modified xsi:type="dcterms:W3CDTF">2023-10-11T11:42:54Z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0629908FEFA14DB1911A8DC3ABA1E405_13</vt:lpwstr>
  </property>
</Properties>
</file>