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olor w:val="auto"/>
          <w:sz w:val="32"/>
          <w:szCs w:val="32"/>
        </w:rPr>
      </w:pPr>
      <w:r>
        <w:rPr>
          <w:rFonts w:hint="eastAsia" w:ascii="黑体" w:hAnsi="黑体" w:eastAsia="黑体"/>
          <w:color w:val="auto"/>
          <w:sz w:val="32"/>
          <w:szCs w:val="32"/>
        </w:rPr>
        <w:t>《铜加工废水循环利用技术规范》行业标准</w:t>
      </w:r>
    </w:p>
    <w:p>
      <w:pPr>
        <w:jc w:val="center"/>
        <w:rPr>
          <w:rFonts w:hint="eastAsia" w:ascii="黑体" w:hAnsi="黑体" w:eastAsia="黑体"/>
          <w:color w:val="auto"/>
          <w:sz w:val="32"/>
          <w:szCs w:val="32"/>
        </w:rPr>
      </w:pPr>
      <w:r>
        <w:rPr>
          <w:rFonts w:hint="eastAsia" w:ascii="黑体" w:hAnsi="黑体" w:eastAsia="黑体"/>
          <w:color w:val="auto"/>
          <w:sz w:val="32"/>
          <w:szCs w:val="32"/>
        </w:rPr>
        <w:t>（</w:t>
      </w:r>
      <w:r>
        <w:rPr>
          <w:rFonts w:hint="eastAsia" w:ascii="黑体" w:hAnsi="黑体" w:eastAsia="黑体"/>
          <w:color w:val="auto"/>
          <w:sz w:val="32"/>
          <w:szCs w:val="32"/>
          <w:lang w:val="en-US" w:eastAsia="zh-CN"/>
        </w:rPr>
        <w:t>预审</w:t>
      </w:r>
      <w:r>
        <w:rPr>
          <w:rFonts w:hint="eastAsia" w:ascii="黑体" w:hAnsi="黑体" w:eastAsia="黑体"/>
          <w:color w:val="auto"/>
          <w:sz w:val="32"/>
          <w:szCs w:val="32"/>
        </w:rPr>
        <w:t>稿）编制说明</w:t>
      </w:r>
    </w:p>
    <w:p>
      <w:pPr>
        <w:spacing w:beforeLines="50" w:afterLines="50" w:line="440" w:lineRule="exact"/>
        <w:jc w:val="left"/>
        <w:rPr>
          <w:rFonts w:hint="eastAsia" w:ascii="宋体" w:hAnsi="宋体"/>
          <w:b/>
          <w:color w:val="auto"/>
          <w:szCs w:val="21"/>
        </w:rPr>
      </w:pPr>
      <w:r>
        <w:rPr>
          <w:rFonts w:hint="eastAsia" w:ascii="宋体" w:hAnsi="宋体"/>
          <w:b/>
          <w:bCs/>
          <w:color w:val="auto"/>
          <w:szCs w:val="21"/>
        </w:rPr>
        <w:t>一、工作简况</w:t>
      </w:r>
    </w:p>
    <w:p>
      <w:pPr>
        <w:pStyle w:val="3"/>
        <w:rPr>
          <w:rFonts w:hint="eastAsia" w:ascii="宋体" w:hAnsi="宋体" w:eastAsia="宋体"/>
          <w:color w:val="auto"/>
          <w:sz w:val="21"/>
          <w:szCs w:val="21"/>
        </w:rPr>
      </w:pPr>
      <w:bookmarkStart w:id="0" w:name="_Toc257711171"/>
      <w:bookmarkStart w:id="1" w:name="_Toc247694560"/>
      <w:bookmarkStart w:id="2" w:name="_Toc254963985"/>
      <w:bookmarkStart w:id="3" w:name="_Toc16715886"/>
      <w:bookmarkStart w:id="4" w:name="_Toc532905027"/>
      <w:r>
        <w:rPr>
          <w:rFonts w:hint="eastAsia" w:ascii="宋体" w:hAnsi="宋体" w:eastAsia="宋体"/>
          <w:color w:val="auto"/>
          <w:sz w:val="21"/>
          <w:szCs w:val="21"/>
        </w:rPr>
        <w:t>1</w:t>
      </w:r>
      <w:bookmarkEnd w:id="0"/>
      <w:bookmarkEnd w:id="1"/>
      <w:bookmarkEnd w:id="2"/>
      <w:r>
        <w:rPr>
          <w:rFonts w:hint="eastAsia" w:ascii="宋体" w:hAnsi="宋体" w:eastAsia="宋体"/>
          <w:color w:val="auto"/>
          <w:sz w:val="21"/>
          <w:szCs w:val="21"/>
        </w:rPr>
        <w:t>.1任务来源</w:t>
      </w:r>
      <w:bookmarkEnd w:id="3"/>
      <w:bookmarkEnd w:id="4"/>
    </w:p>
    <w:p>
      <w:pPr>
        <w:autoSpaceDE w:val="0"/>
        <w:autoSpaceDN w:val="0"/>
        <w:adjustRightInd w:val="0"/>
        <w:spacing w:line="360" w:lineRule="auto"/>
        <w:ind w:firstLine="420" w:firstLineChars="200"/>
        <w:jc w:val="left"/>
        <w:rPr>
          <w:rFonts w:hint="eastAsia" w:ascii="Times New Roman" w:hAnsi="Times New Roman"/>
          <w:color w:val="auto"/>
          <w:kern w:val="0"/>
          <w:szCs w:val="21"/>
        </w:rPr>
      </w:pPr>
      <w:r>
        <w:rPr>
          <w:rFonts w:hint="eastAsia" w:ascii="Times New Roman" w:hAnsi="Times New Roman"/>
          <w:color w:val="auto"/>
          <w:kern w:val="0"/>
          <w:szCs w:val="21"/>
        </w:rPr>
        <w:t>根据</w:t>
      </w:r>
      <w:r>
        <w:rPr>
          <w:rFonts w:hint="eastAsia" w:ascii="宋体" w:hAnsi="宋体" w:cs="宋体"/>
          <w:color w:val="auto"/>
          <w:szCs w:val="21"/>
        </w:rPr>
        <w:t>工信厅科函[2021]234号和</w:t>
      </w:r>
      <w:r>
        <w:rPr>
          <w:rFonts w:hint="eastAsia" w:ascii="宋体" w:hAnsi="宋体"/>
          <w:color w:val="auto"/>
          <w:kern w:val="0"/>
          <w:szCs w:val="21"/>
        </w:rPr>
        <w:t>有色标委[2023]22号</w:t>
      </w:r>
      <w:r>
        <w:rPr>
          <w:rFonts w:hint="eastAsia" w:ascii="Times New Roman" w:hAnsi="Times New Roman"/>
          <w:color w:val="auto"/>
          <w:kern w:val="0"/>
          <w:szCs w:val="21"/>
        </w:rPr>
        <w:t>《关于转发2023年第一批有色金属国家、行业、协会标准制（修）订项目计划的通知》，</w:t>
      </w:r>
      <w:r>
        <w:rPr>
          <w:rFonts w:hint="eastAsia" w:ascii="宋体" w:hAnsi="宋体" w:cs="宋体"/>
          <w:bCs/>
          <w:color w:val="auto"/>
          <w:szCs w:val="21"/>
        </w:rPr>
        <w:t>其中</w:t>
      </w:r>
      <w:r>
        <w:rPr>
          <w:rFonts w:hint="eastAsia" w:ascii="宋体" w:hAnsi="宋体" w:cs="宋体"/>
          <w:color w:val="auto"/>
          <w:szCs w:val="21"/>
        </w:rPr>
        <w:t>项目计划号“</w:t>
      </w:r>
      <w:r>
        <w:rPr>
          <w:rFonts w:ascii="宋体" w:hAnsi="宋体" w:cs="宋体"/>
          <w:color w:val="auto"/>
          <w:szCs w:val="21"/>
        </w:rPr>
        <w:t>20</w:t>
      </w:r>
      <w:r>
        <w:rPr>
          <w:rFonts w:hint="eastAsia" w:ascii="宋体" w:hAnsi="宋体" w:cs="宋体"/>
          <w:color w:val="auto"/>
          <w:szCs w:val="21"/>
        </w:rPr>
        <w:t>22</w:t>
      </w:r>
      <w:r>
        <w:rPr>
          <w:rFonts w:ascii="宋体" w:hAnsi="宋体" w:cs="宋体"/>
          <w:color w:val="auto"/>
          <w:szCs w:val="21"/>
        </w:rPr>
        <w:t>-</w:t>
      </w:r>
      <w:r>
        <w:rPr>
          <w:rFonts w:hint="eastAsia" w:ascii="宋体" w:hAnsi="宋体" w:cs="宋体"/>
          <w:color w:val="auto"/>
          <w:szCs w:val="21"/>
        </w:rPr>
        <w:t>1992</w:t>
      </w:r>
      <w:r>
        <w:rPr>
          <w:rFonts w:ascii="宋体" w:hAnsi="宋体" w:cs="宋体"/>
          <w:color w:val="auto"/>
          <w:szCs w:val="21"/>
        </w:rPr>
        <w:t>T-YS</w:t>
      </w:r>
      <w:r>
        <w:rPr>
          <w:rFonts w:hint="eastAsia" w:ascii="宋体" w:hAnsi="宋体" w:cs="宋体"/>
          <w:color w:val="auto"/>
          <w:szCs w:val="21"/>
        </w:rPr>
        <w:t>”</w:t>
      </w:r>
      <w:r>
        <w:rPr>
          <w:rFonts w:hint="eastAsia" w:ascii="Times New Roman" w:hAnsi="Times New Roman"/>
          <w:color w:val="auto"/>
          <w:kern w:val="0"/>
          <w:szCs w:val="21"/>
        </w:rPr>
        <w:t>《铜加工废水循环利用技术规范》</w:t>
      </w:r>
      <w:r>
        <w:rPr>
          <w:rFonts w:hint="eastAsia" w:ascii="宋体" w:hAnsi="宋体" w:cs="宋体"/>
          <w:color w:val="auto"/>
          <w:szCs w:val="21"/>
        </w:rPr>
        <w:t>行业标准由中铝洛阳铜加工有限公司、江西耐乐铜业有限公司、安徽鑫科铜业新材料股份有限公司，广东龙丰精密铜管有限公司、浙江海亮股份有限公司等单位负责起草，完成年限2024年12月。</w:t>
      </w:r>
    </w:p>
    <w:p>
      <w:pPr>
        <w:pStyle w:val="3"/>
        <w:rPr>
          <w:rFonts w:hint="eastAsia" w:ascii="宋体" w:hAnsi="宋体" w:eastAsia="宋体"/>
          <w:color w:val="auto"/>
          <w:sz w:val="21"/>
          <w:szCs w:val="21"/>
        </w:rPr>
      </w:pPr>
      <w:bookmarkStart w:id="5" w:name="_Toc16715887"/>
      <w:bookmarkStart w:id="6" w:name="_Toc532905028"/>
      <w:r>
        <w:rPr>
          <w:rFonts w:hint="eastAsia" w:ascii="宋体" w:hAnsi="宋体" w:eastAsia="宋体"/>
          <w:color w:val="auto"/>
          <w:sz w:val="21"/>
          <w:szCs w:val="21"/>
        </w:rPr>
        <w:t>1.2立项目的和意义</w:t>
      </w:r>
      <w:bookmarkEnd w:id="5"/>
      <w:bookmarkEnd w:id="6"/>
    </w:p>
    <w:p>
      <w:pPr>
        <w:spacing w:line="360" w:lineRule="auto"/>
        <w:ind w:firstLine="420" w:firstLineChars="200"/>
        <w:rPr>
          <w:rStyle w:val="43"/>
          <w:rFonts w:hint="eastAsia" w:ascii="宋体" w:hAnsi="宋体" w:cs="Arial"/>
          <w:color w:val="auto"/>
          <w:szCs w:val="21"/>
        </w:rPr>
      </w:pPr>
      <w:r>
        <w:rPr>
          <w:rStyle w:val="43"/>
          <w:rFonts w:hint="eastAsia" w:ascii="宋体" w:hAnsi="宋体" w:cs="Arial"/>
          <w:color w:val="auto"/>
          <w:szCs w:val="21"/>
        </w:rPr>
        <w:t>水是人类赖以生存和发展的重要物质基础，随着不断发展，对水资源的污染越来越严重，许多国家对废水的回用及其技术越来越重视。我国是水资源短缺国家，节水是我国国民经济与社会发展的重要目标。</w:t>
      </w:r>
      <w:r>
        <w:rPr>
          <w:rStyle w:val="43"/>
          <w:rFonts w:ascii="宋体" w:hAnsi="宋体" w:cs="Arial"/>
          <w:color w:val="auto"/>
          <w:szCs w:val="21"/>
        </w:rPr>
        <w:t>我国工业生产过程中需要使用大量的水资源，在全球经济一体化的背景下，最大限度提高工业废水</w:t>
      </w:r>
      <w:r>
        <w:rPr>
          <w:rStyle w:val="43"/>
          <w:rFonts w:hint="eastAsia" w:ascii="宋体" w:hAnsi="宋体" w:cs="Arial"/>
          <w:color w:val="auto"/>
          <w:szCs w:val="21"/>
        </w:rPr>
        <w:t>循环利用率</w:t>
      </w:r>
      <w:r>
        <w:rPr>
          <w:rStyle w:val="43"/>
          <w:rFonts w:ascii="宋体" w:hAnsi="宋体" w:cs="Arial"/>
          <w:color w:val="auto"/>
          <w:szCs w:val="21"/>
        </w:rPr>
        <w:t>，促进水资源的合理</w:t>
      </w:r>
      <w:r>
        <w:rPr>
          <w:rStyle w:val="43"/>
          <w:rFonts w:hint="eastAsia" w:ascii="宋体" w:hAnsi="宋体" w:cs="Arial"/>
          <w:color w:val="auto"/>
          <w:szCs w:val="21"/>
        </w:rPr>
        <w:t>利用是节水的有效途径之一。</w:t>
      </w:r>
    </w:p>
    <w:p>
      <w:pPr>
        <w:spacing w:line="360" w:lineRule="auto"/>
        <w:ind w:firstLine="420" w:firstLineChars="200"/>
        <w:rPr>
          <w:rFonts w:hint="eastAsia" w:ascii="宋体" w:hAnsi="宋体"/>
          <w:color w:val="auto"/>
          <w:szCs w:val="21"/>
        </w:rPr>
      </w:pPr>
      <w:r>
        <w:rPr>
          <w:rFonts w:hint="eastAsia"/>
          <w:color w:val="auto"/>
          <w:szCs w:val="21"/>
        </w:rPr>
        <w:t>我国水资源紧缺，工业废水资源化是实现节水和解决水资源不足的有效途径之一。</w:t>
      </w:r>
      <w:r>
        <w:rPr>
          <w:rFonts w:hint="eastAsia" w:ascii="宋体" w:hAnsi="宋体"/>
          <w:color w:val="auto"/>
          <w:szCs w:val="21"/>
        </w:rPr>
        <w:t>我国是世界上铜加工材生产和消费大国，铜及铜合金加工行业</w:t>
      </w:r>
      <w:r>
        <w:rPr>
          <w:rFonts w:ascii="宋体" w:hAnsi="宋体"/>
          <w:color w:val="auto"/>
          <w:szCs w:val="21"/>
        </w:rPr>
        <w:t>发展也伴随着</w:t>
      </w:r>
      <w:r>
        <w:rPr>
          <w:rFonts w:hint="eastAsia" w:ascii="宋体" w:hAnsi="宋体"/>
          <w:color w:val="auto"/>
          <w:szCs w:val="21"/>
        </w:rPr>
        <w:t>水资源消耗。我国是水资源短缺国家，节水是我国国民经济与社会发展的重要目标之一，要实现这一重要目标，规范重点行业的节水行为，制定相应的节水与循环利用标准显得尤为迫切，是重要的保障措施。我国大部分铜加工企业遵循清洁生产的要求，从工厂减少废水产生，并尽量做到清污分流，提高工业用水循环率，减少废水产生。</w:t>
      </w:r>
    </w:p>
    <w:p>
      <w:pPr>
        <w:spacing w:line="360" w:lineRule="auto"/>
        <w:ind w:firstLine="420" w:firstLineChars="200"/>
        <w:rPr>
          <w:rFonts w:hint="eastAsia" w:ascii="宋体" w:hAnsi="宋体"/>
          <w:color w:val="auto"/>
          <w:szCs w:val="21"/>
        </w:rPr>
      </w:pPr>
      <w:r>
        <w:rPr>
          <w:rFonts w:hint="eastAsia" w:ascii="宋体" w:hAnsi="宋体"/>
          <w:color w:val="auto"/>
          <w:szCs w:val="21"/>
        </w:rPr>
        <w:t>目前铜加工企业在废水回用时，因无标准规范可参考，企业需将废水中的污染物处理满足达标排放标准后才能回用或排放。根据用途对废水进行水质处理，实现分质用水和分级回用，有助于进一步提高铜加工过程的废水循环利用率，达到节约用水目的，同时将降低废水处理过程的资源和能源消耗，利于企业降低碳排放，促进</w:t>
      </w:r>
      <w:r>
        <w:rPr>
          <w:rFonts w:hint="eastAsia" w:ascii="Times New Roman" w:hAnsi="Times New Roman"/>
          <w:color w:val="auto"/>
          <w:kern w:val="0"/>
          <w:szCs w:val="21"/>
        </w:rPr>
        <w:t>企业的可持续发展。</w:t>
      </w:r>
    </w:p>
    <w:p>
      <w:pPr>
        <w:pStyle w:val="19"/>
        <w:shd w:val="clear" w:color="auto" w:fill="FFFFFF"/>
        <w:spacing w:before="0" w:beforeAutospacing="0" w:after="0" w:afterAutospacing="0" w:line="360" w:lineRule="auto"/>
        <w:ind w:firstLine="420" w:firstLineChars="200"/>
        <w:jc w:val="both"/>
        <w:rPr>
          <w:rFonts w:hint="eastAsia"/>
          <w:color w:val="auto"/>
          <w:sz w:val="21"/>
          <w:szCs w:val="21"/>
        </w:rPr>
      </w:pPr>
      <w:r>
        <w:rPr>
          <w:rFonts w:hint="eastAsia"/>
          <w:color w:val="auto"/>
          <w:sz w:val="21"/>
          <w:szCs w:val="21"/>
        </w:rPr>
        <w:t>本标准</w:t>
      </w:r>
      <w:r>
        <w:rPr>
          <w:color w:val="auto"/>
          <w:sz w:val="21"/>
          <w:szCs w:val="21"/>
        </w:rPr>
        <w:t>结合</w:t>
      </w:r>
      <w:r>
        <w:rPr>
          <w:rFonts w:hint="eastAsia"/>
          <w:color w:val="auto"/>
          <w:sz w:val="21"/>
          <w:szCs w:val="21"/>
        </w:rPr>
        <w:t>铜及铜合金加工工艺特点</w:t>
      </w:r>
      <w:r>
        <w:rPr>
          <w:color w:val="auto"/>
          <w:sz w:val="21"/>
          <w:szCs w:val="21"/>
        </w:rPr>
        <w:t>的特点，</w:t>
      </w:r>
      <w:r>
        <w:rPr>
          <w:rFonts w:hint="eastAsia"/>
          <w:color w:val="auto"/>
          <w:sz w:val="21"/>
          <w:szCs w:val="21"/>
        </w:rPr>
        <w:t>通过完成“废水处理与处理回用工艺、废水循环利用水质控制及技术要求、水质监测及废水循环利用管理”等内容</w:t>
      </w:r>
      <w:r>
        <w:rPr>
          <w:color w:val="auto"/>
          <w:sz w:val="21"/>
          <w:szCs w:val="21"/>
        </w:rPr>
        <w:t>，</w:t>
      </w:r>
      <w:r>
        <w:rPr>
          <w:rFonts w:hint="eastAsia"/>
          <w:color w:val="auto"/>
          <w:sz w:val="21"/>
          <w:szCs w:val="21"/>
        </w:rPr>
        <w:t>确定不同来源废水回用处理工艺和技术规范，对铜加工过程的水循环利用提供指导，为工程设计、环境管理和企业达达峰碳中和提供技术支撑。填补铜加工行业在水循环利用规范的空白。</w:t>
      </w:r>
    </w:p>
    <w:p>
      <w:pPr>
        <w:pStyle w:val="45"/>
        <w:spacing w:before="156" w:after="156" w:line="360" w:lineRule="exact"/>
        <w:outlineLvl w:val="9"/>
        <w:rPr>
          <w:rFonts w:hint="eastAsia" w:ascii="宋体" w:hAnsi="宋体" w:eastAsia="宋体" w:cs="黑体"/>
          <w:b/>
          <w:color w:val="auto"/>
          <w:szCs w:val="21"/>
        </w:rPr>
      </w:pPr>
      <w:bookmarkStart w:id="7" w:name="OLE_LINK4"/>
      <w:bookmarkStart w:id="8" w:name="OLE_LINK3"/>
      <w:r>
        <w:rPr>
          <w:rFonts w:hint="eastAsia" w:ascii="宋体" w:hAnsi="宋体" w:eastAsia="宋体" w:cs="黑体"/>
          <w:b/>
          <w:color w:val="auto"/>
          <w:szCs w:val="21"/>
        </w:rPr>
        <w:t>1.3</w:t>
      </w:r>
      <w:r>
        <w:rPr>
          <w:rFonts w:hint="eastAsia" w:ascii="宋体" w:hAnsi="宋体" w:eastAsia="宋体" w:cs="黑体"/>
          <w:b/>
          <w:color w:val="auto"/>
          <w:szCs w:val="21"/>
          <w:lang w:val="en-US" w:eastAsia="zh-CN"/>
        </w:rPr>
        <w:t>主要参加单位和工作成员所作的工作</w:t>
      </w:r>
    </w:p>
    <w:p>
      <w:pPr>
        <w:spacing w:line="360" w:lineRule="auto"/>
        <w:ind w:firstLine="420" w:firstLineChars="200"/>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1）项目编制组</w:t>
      </w:r>
    </w:p>
    <w:p>
      <w:pPr>
        <w:pStyle w:val="8"/>
        <w:spacing w:line="360" w:lineRule="auto"/>
        <w:ind w:firstLine="420" w:firstLineChars="200"/>
        <w:rPr>
          <w:rFonts w:hint="eastAsia" w:ascii="宋体" w:hAnsi="宋体" w:cs="宋体"/>
          <w:color w:val="auto"/>
          <w:szCs w:val="21"/>
        </w:rPr>
      </w:pPr>
      <w:r>
        <w:rPr>
          <w:rFonts w:hint="eastAsia" w:ascii="宋体" w:hAnsi="宋体" w:cs="宋体"/>
          <w:color w:val="auto"/>
          <w:szCs w:val="21"/>
        </w:rPr>
        <w:t>标准制订计划任务正式下达后，立即成立了标准编制组，并落实起草任务，确定标准的主要起草人，拟定该标准的工作计划。具体分工为：中铝洛阳铜加工有限公司总负责，市场和同行业信息收集、资料汇总及执笔；江西耐乐铜业有限公司、安徽鑫科铜业新材料股份有限公司，广东龙丰精密铜管有限公司、浙江海亮股份有限公司负责补充市场信息和标准数据的验证。编制组分工明确，紧密合作，共同完成标准的修订工作。</w:t>
      </w:r>
    </w:p>
    <w:bookmarkEnd w:id="7"/>
    <w:bookmarkEnd w:id="8"/>
    <w:p>
      <w:pPr>
        <w:spacing w:line="360" w:lineRule="auto"/>
        <w:ind w:firstLine="420" w:firstLineChars="200"/>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2）编制单位技术基础</w:t>
      </w:r>
    </w:p>
    <w:p>
      <w:pPr>
        <w:spacing w:line="360" w:lineRule="auto"/>
        <w:ind w:firstLine="420" w:firstLineChars="200"/>
        <w:rPr>
          <w:rFonts w:ascii="宋体" w:hAnsi="宋体" w:cs="宋体"/>
          <w:color w:val="auto"/>
          <w:szCs w:val="21"/>
        </w:rPr>
      </w:pPr>
      <w:r>
        <w:rPr>
          <w:rFonts w:hint="eastAsia" w:ascii="宋体" w:hAnsi="宋体" w:cs="宋体"/>
          <w:color w:val="auto"/>
          <w:szCs w:val="21"/>
        </w:rPr>
        <w:t>中铝洛阳铜加工有限公司是综合性有色金属加工企业，拥有铜及铜合金高精度电子带、大管大棒、弥散强化无氧铜、宽厚板等多条生产线，产品涉及铜及铜合金板、带、箔、管、棒、型材，广泛应用于电子信息通讯、新能源、汽车、海洋工程、轨道交通等领域。拥有国家级企业技术中心、国家实验室认证认可监督管理委员会认可的实验室、中国有色金属工业重金属加工材质检站、河南省铜镁材料和加工技术工程研究中心、中铝集团高性能铜板带加工技术重点实验室、有色行业铜及铜合金材料与加工工程技术研究中心。公司</w:t>
      </w:r>
      <w:r>
        <w:rPr>
          <w:rFonts w:ascii="宋体" w:hAnsi="宋体" w:cs="宋体"/>
          <w:color w:val="auto"/>
          <w:szCs w:val="21"/>
        </w:rPr>
        <w:t>先后从德国、美国、法国、日本、英国、意大利等十二个国家引进了</w:t>
      </w:r>
      <w:r>
        <w:rPr>
          <w:rFonts w:hint="eastAsia" w:ascii="宋体" w:hAnsi="宋体" w:cs="宋体"/>
          <w:color w:val="auto"/>
          <w:szCs w:val="21"/>
        </w:rPr>
        <w:t>10</w:t>
      </w:r>
      <w:r>
        <w:rPr>
          <w:rFonts w:ascii="宋体" w:hAnsi="宋体" w:cs="宋体"/>
          <w:color w:val="auto"/>
          <w:szCs w:val="21"/>
        </w:rPr>
        <w:t>0</w:t>
      </w:r>
      <w:r>
        <w:rPr>
          <w:rFonts w:hint="eastAsia" w:ascii="宋体" w:hAnsi="宋体" w:cs="宋体"/>
          <w:color w:val="auto"/>
          <w:szCs w:val="21"/>
        </w:rPr>
        <w:t>多</w:t>
      </w:r>
      <w:r>
        <w:rPr>
          <w:rFonts w:ascii="宋体" w:hAnsi="宋体" w:cs="宋体"/>
          <w:color w:val="auto"/>
          <w:szCs w:val="21"/>
        </w:rPr>
        <w:t>台(套)先进的</w:t>
      </w:r>
      <w:r>
        <w:rPr>
          <w:rFonts w:hint="eastAsia" w:ascii="宋体" w:hAnsi="宋体" w:cs="宋体"/>
          <w:color w:val="auto"/>
          <w:szCs w:val="21"/>
        </w:rPr>
        <w:t>无损探伤</w:t>
      </w:r>
      <w:r>
        <w:rPr>
          <w:rFonts w:ascii="宋体" w:hAnsi="宋体" w:cs="宋体"/>
          <w:color w:val="auto"/>
          <w:szCs w:val="21"/>
        </w:rPr>
        <w:t>和</w:t>
      </w:r>
      <w:r>
        <w:rPr>
          <w:rFonts w:hint="eastAsia" w:ascii="宋体" w:hAnsi="宋体" w:cs="宋体"/>
          <w:color w:val="auto"/>
          <w:szCs w:val="21"/>
        </w:rPr>
        <w:t>理化</w:t>
      </w:r>
      <w:r>
        <w:rPr>
          <w:rFonts w:ascii="宋体" w:hAnsi="宋体" w:cs="宋体"/>
          <w:color w:val="auto"/>
          <w:szCs w:val="21"/>
        </w:rPr>
        <w:t>检测</w:t>
      </w:r>
      <w:r>
        <w:rPr>
          <w:rFonts w:hint="eastAsia" w:ascii="宋体" w:hAnsi="宋体" w:cs="宋体"/>
          <w:color w:val="auto"/>
          <w:szCs w:val="21"/>
        </w:rPr>
        <w:t>设备</w:t>
      </w:r>
      <w:r>
        <w:rPr>
          <w:rFonts w:ascii="宋体" w:hAnsi="宋体" w:cs="宋体"/>
          <w:color w:val="auto"/>
          <w:szCs w:val="21"/>
        </w:rPr>
        <w:t>，为有色金属产品的研制和生产打下了坚实的基础。</w:t>
      </w:r>
      <w:r>
        <w:rPr>
          <w:rFonts w:hint="eastAsia" w:ascii="宋体" w:hAnsi="宋体" w:cs="宋体"/>
          <w:color w:val="auto"/>
          <w:szCs w:val="21"/>
        </w:rPr>
        <w:t>公司拥有一支高素质的科研技术研发队伍，具备丰富的生产技术经验、技术能力和标准编写能力。铜合金护套带材生产技术成熟，产品质量稳定、性能满足用户使用要求，有较好的技术基础和能力。</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江西耐乐铜业有限公司</w:t>
      </w:r>
    </w:p>
    <w:p>
      <w:pPr>
        <w:spacing w:line="360" w:lineRule="auto"/>
        <w:ind w:firstLine="420" w:firstLineChars="200"/>
        <w:rPr>
          <w:rFonts w:ascii="宋体" w:hAnsi="宋体" w:cs="宋体"/>
          <w:color w:val="auto"/>
          <w:szCs w:val="21"/>
        </w:rPr>
      </w:pPr>
      <w:r>
        <w:rPr>
          <w:rFonts w:hint="eastAsia" w:ascii="宋体" w:hAnsi="宋体" w:cs="宋体"/>
          <w:color w:val="auto"/>
          <w:szCs w:val="21"/>
        </w:rPr>
        <w:t>安徽楚江高精铜带有限公司系安徽楚江科技新材料股份有限公司全资子公司，专业从事铜板带箔材生产。安徽楚江科技新材料股份有限公司位列中国制造业企业500强、中国民营企业制造业500强，是国家技术创新示范企业。公司专注于材料的研发与制造，业务涵盖先进基础材料和军工新材料两大板块，在安徽、上海、广东、江苏和湖南设有生产和研发基地，产品包括精密铜带、铜导体材料、铜合金线材、精密特钢、碳纤维复合材料和高端热工装备六大产业。其中：精密铜带年产能超27万吨，2017年被中国有色金属加工工业协会授予“中国铜板带材十强企业第一名”。公司依托国家级企业技术中心、资源综合利用行业技术中心、院士工作站、博士后科研工作站、省级工程中心等研发平台，积极开展新产品、新工艺、新技术的研究和开发，并取得了一系列成果。截止至2021年底，公司拥有有效专利683件，其中发明专利206件，主导及参与国家、行业标准47项。同时专门设立了铜及铜合金材料理化实验室，且通过多年的建设，公司在铜及铜合金材料检测方面已经具备了较强的设备优势，为产品的各项检测提供保障。</w:t>
      </w:r>
    </w:p>
    <w:p>
      <w:pPr>
        <w:autoSpaceDE w:val="0"/>
        <w:autoSpaceDN w:val="0"/>
        <w:adjustRightInd w:val="0"/>
        <w:spacing w:line="360" w:lineRule="auto"/>
        <w:ind w:firstLine="420" w:firstLineChars="200"/>
        <w:rPr>
          <w:color w:val="auto"/>
          <w:szCs w:val="21"/>
        </w:rPr>
      </w:pPr>
      <w:r>
        <w:rPr>
          <w:rFonts w:hint="eastAsia" w:ascii="宋体" w:hAnsi="宋体" w:cs="宋体"/>
          <w:color w:val="auto"/>
          <w:szCs w:val="21"/>
        </w:rPr>
        <w:t>广东龙丰精密铜管有限公司</w:t>
      </w:r>
      <w:r>
        <w:rPr>
          <w:rFonts w:ascii="宋体" w:hAnsi="宋体"/>
          <w:color w:val="auto"/>
          <w:kern w:val="0"/>
          <w:szCs w:val="21"/>
        </w:rPr>
        <w:t>是国家级高新技术企业，拥有5条精密铜管生产线，年产能12万吨，是金龙精密铜管集团旗下最大的全资子公司。公司</w:t>
      </w:r>
      <w:r>
        <w:rPr>
          <w:rFonts w:hint="eastAsia" w:ascii="宋体" w:hAnsi="宋体"/>
          <w:color w:val="auto"/>
          <w:kern w:val="0"/>
          <w:szCs w:val="21"/>
        </w:rPr>
        <w:t>建有“广东省企业技术中心”、“</w:t>
      </w:r>
      <w:r>
        <w:rPr>
          <w:rFonts w:ascii="宋体" w:hAnsi="宋体"/>
          <w:color w:val="auto"/>
          <w:kern w:val="0"/>
          <w:szCs w:val="21"/>
        </w:rPr>
        <w:t>广东省精密铜管（龙丰）工程技术研究中心</w:t>
      </w:r>
      <w:r>
        <w:rPr>
          <w:rFonts w:hint="eastAsia" w:ascii="宋体" w:hAnsi="宋体"/>
          <w:color w:val="auto"/>
          <w:kern w:val="0"/>
          <w:szCs w:val="21"/>
        </w:rPr>
        <w:t>”、“</w:t>
      </w:r>
      <w:r>
        <w:rPr>
          <w:rFonts w:ascii="宋体" w:hAnsi="宋体"/>
          <w:color w:val="auto"/>
          <w:kern w:val="0"/>
          <w:szCs w:val="21"/>
        </w:rPr>
        <w:t>广东省精密铜管（高性能高精度铜及铜合金）院士工作站</w:t>
      </w:r>
      <w:r>
        <w:rPr>
          <w:rFonts w:hint="eastAsia" w:ascii="宋体" w:hAnsi="宋体"/>
          <w:color w:val="auto"/>
          <w:kern w:val="0"/>
          <w:szCs w:val="21"/>
        </w:rPr>
        <w:t>”、“</w:t>
      </w:r>
      <w:r>
        <w:rPr>
          <w:rFonts w:ascii="宋体" w:hAnsi="宋体"/>
          <w:color w:val="auto"/>
          <w:kern w:val="0"/>
          <w:szCs w:val="21"/>
        </w:rPr>
        <w:t>珠海市精密铜管工程技术开发中心</w:t>
      </w:r>
      <w:r>
        <w:rPr>
          <w:rFonts w:hint="eastAsia" w:ascii="宋体" w:hAnsi="宋体"/>
          <w:color w:val="auto"/>
          <w:kern w:val="0"/>
          <w:szCs w:val="21"/>
        </w:rPr>
        <w:t>”、“</w:t>
      </w:r>
      <w:r>
        <w:rPr>
          <w:rFonts w:ascii="宋体" w:hAnsi="宋体"/>
          <w:color w:val="auto"/>
          <w:kern w:val="0"/>
          <w:szCs w:val="21"/>
        </w:rPr>
        <w:t>珠海市市级重点企业技术中心</w:t>
      </w:r>
      <w:r>
        <w:rPr>
          <w:rFonts w:hint="eastAsia" w:ascii="宋体" w:hAnsi="宋体"/>
          <w:color w:val="auto"/>
          <w:kern w:val="0"/>
          <w:szCs w:val="21"/>
        </w:rPr>
        <w:t>”等研发机构</w:t>
      </w:r>
      <w:r>
        <w:rPr>
          <w:rFonts w:ascii="宋体" w:hAnsi="宋体"/>
          <w:color w:val="auto"/>
          <w:kern w:val="0"/>
          <w:szCs w:val="21"/>
        </w:rPr>
        <w:t>，企业</w:t>
      </w:r>
      <w:r>
        <w:rPr>
          <w:rFonts w:hint="eastAsia" w:ascii="宋体" w:hAnsi="宋体"/>
          <w:color w:val="auto"/>
          <w:kern w:val="0"/>
          <w:szCs w:val="21"/>
        </w:rPr>
        <w:t>通过“质量、环境、职业健康安全、能源四标一体化综合管理体系”、“两化融合管理体系”、“知识产权管理体系认证”六标管理体系运行管理，获得“</w:t>
      </w:r>
      <w:r>
        <w:rPr>
          <w:rFonts w:ascii="宋体" w:hAnsi="宋体"/>
          <w:color w:val="auto"/>
          <w:kern w:val="0"/>
          <w:szCs w:val="21"/>
        </w:rPr>
        <w:t>广东省创新型企业</w:t>
      </w:r>
      <w:r>
        <w:rPr>
          <w:rFonts w:hint="eastAsia" w:ascii="宋体" w:hAnsi="宋体"/>
          <w:color w:val="auto"/>
          <w:kern w:val="0"/>
          <w:szCs w:val="21"/>
        </w:rPr>
        <w:t>”</w:t>
      </w:r>
      <w:r>
        <w:rPr>
          <w:rFonts w:ascii="宋体" w:hAnsi="宋体"/>
          <w:color w:val="auto"/>
          <w:kern w:val="0"/>
          <w:szCs w:val="21"/>
        </w:rPr>
        <w:t xml:space="preserve"> 、</w:t>
      </w:r>
      <w:r>
        <w:rPr>
          <w:rFonts w:hint="eastAsia" w:ascii="宋体" w:hAnsi="宋体"/>
          <w:color w:val="auto"/>
          <w:kern w:val="0"/>
          <w:szCs w:val="21"/>
        </w:rPr>
        <w:t>“广东</w:t>
      </w:r>
      <w:r>
        <w:rPr>
          <w:rFonts w:ascii="宋体" w:hAnsi="宋体"/>
          <w:color w:val="auto"/>
          <w:kern w:val="0"/>
          <w:szCs w:val="21"/>
        </w:rPr>
        <w:t>省战略性新兴产业骨干企业</w:t>
      </w:r>
      <w:r>
        <w:rPr>
          <w:rFonts w:hint="eastAsia" w:ascii="宋体" w:hAnsi="宋体"/>
          <w:color w:val="auto"/>
          <w:kern w:val="0"/>
          <w:szCs w:val="21"/>
        </w:rPr>
        <w:t>”</w:t>
      </w:r>
      <w:r>
        <w:rPr>
          <w:rFonts w:ascii="宋体" w:hAnsi="宋体"/>
          <w:color w:val="auto"/>
          <w:kern w:val="0"/>
          <w:szCs w:val="21"/>
        </w:rPr>
        <w:t>、</w:t>
      </w:r>
      <w:r>
        <w:rPr>
          <w:rFonts w:hint="eastAsia" w:ascii="宋体" w:hAnsi="宋体"/>
          <w:color w:val="auto"/>
          <w:kern w:val="0"/>
          <w:szCs w:val="21"/>
        </w:rPr>
        <w:t>“广东省</w:t>
      </w:r>
      <w:r>
        <w:rPr>
          <w:rFonts w:ascii="宋体" w:hAnsi="宋体"/>
          <w:color w:val="auto"/>
          <w:kern w:val="0"/>
          <w:szCs w:val="21"/>
        </w:rPr>
        <w:t>清洁生产企业</w:t>
      </w:r>
      <w:r>
        <w:rPr>
          <w:rFonts w:hint="eastAsia" w:ascii="宋体" w:hAnsi="宋体"/>
          <w:color w:val="auto"/>
          <w:kern w:val="0"/>
          <w:szCs w:val="21"/>
        </w:rPr>
        <w:t>”、“</w:t>
      </w:r>
      <w:r>
        <w:rPr>
          <w:rFonts w:ascii="宋体" w:hAnsi="宋体"/>
          <w:color w:val="auto"/>
          <w:kern w:val="0"/>
          <w:szCs w:val="21"/>
        </w:rPr>
        <w:t>广东省知识产权示范企业</w:t>
      </w:r>
      <w:r>
        <w:rPr>
          <w:rFonts w:hint="eastAsia" w:ascii="宋体" w:hAnsi="宋体"/>
          <w:color w:val="auto"/>
          <w:kern w:val="0"/>
          <w:szCs w:val="21"/>
        </w:rPr>
        <w:t>”、“珠海市知识产权优势企业”等认定。</w:t>
      </w:r>
      <w:r>
        <w:rPr>
          <w:rFonts w:ascii="宋体" w:hAnsi="宋体"/>
          <w:color w:val="auto"/>
          <w:kern w:val="0"/>
          <w:szCs w:val="21"/>
        </w:rPr>
        <w:t>龙丰公司集高效传热用精度铜管材的研发、制造、销售、服务于一体，生产包括无缝内螺纹铜管、电缆用无缝铜管、高精度薄壁铜管、热管用铜及铜合金管、热交换器用无缝翅片管、铜及铜合金毛细管等管材产品</w:t>
      </w:r>
      <w:r>
        <w:rPr>
          <w:rFonts w:hint="eastAsia" w:ascii="宋体" w:hAnsi="宋体"/>
          <w:color w:val="auto"/>
          <w:kern w:val="0"/>
          <w:szCs w:val="21"/>
        </w:rPr>
        <w:t>，</w:t>
      </w:r>
      <w:r>
        <w:rPr>
          <w:rFonts w:ascii="宋体" w:hAnsi="宋体"/>
          <w:color w:val="auto"/>
          <w:kern w:val="0"/>
          <w:szCs w:val="21"/>
        </w:rPr>
        <w:t>产品</w:t>
      </w:r>
      <w:r>
        <w:rPr>
          <w:rFonts w:hint="eastAsia" w:ascii="宋体" w:hAnsi="宋体"/>
          <w:color w:val="auto"/>
          <w:kern w:val="0"/>
          <w:szCs w:val="21"/>
        </w:rPr>
        <w:t>主要</w:t>
      </w:r>
      <w:r>
        <w:rPr>
          <w:rFonts w:ascii="宋体" w:hAnsi="宋体"/>
          <w:color w:val="auto"/>
          <w:szCs w:val="21"/>
        </w:rPr>
        <w:t>应用于空调</w:t>
      </w:r>
      <w:r>
        <w:rPr>
          <w:rFonts w:hint="eastAsia" w:ascii="宋体" w:hAnsi="宋体"/>
          <w:color w:val="auto"/>
          <w:szCs w:val="21"/>
        </w:rPr>
        <w:t>与</w:t>
      </w:r>
      <w:r>
        <w:rPr>
          <w:rFonts w:ascii="宋体" w:hAnsi="宋体"/>
          <w:color w:val="auto"/>
          <w:szCs w:val="21"/>
        </w:rPr>
        <w:t>制冷设备、5G通信电子设备、</w:t>
      </w:r>
      <w:r>
        <w:rPr>
          <w:rFonts w:hint="eastAsia" w:ascii="宋体" w:hAnsi="宋体"/>
          <w:color w:val="auto"/>
          <w:szCs w:val="21"/>
        </w:rPr>
        <w:t>通讯电缆</w:t>
      </w:r>
      <w:r>
        <w:rPr>
          <w:rFonts w:ascii="宋体" w:hAnsi="宋体"/>
          <w:color w:val="auto"/>
          <w:szCs w:val="21"/>
        </w:rPr>
        <w:t>、航</w:t>
      </w:r>
      <w:r>
        <w:rPr>
          <w:rFonts w:hint="eastAsia" w:ascii="宋体" w:hAnsi="宋体"/>
          <w:color w:val="auto"/>
          <w:szCs w:val="21"/>
        </w:rPr>
        <w:t>空航天、装备制造、汽车工业等行业，</w:t>
      </w:r>
      <w:r>
        <w:rPr>
          <w:rFonts w:hint="eastAsia" w:ascii="宋体" w:hAnsi="宋体"/>
          <w:color w:val="auto"/>
          <w:kern w:val="0"/>
          <w:szCs w:val="21"/>
        </w:rPr>
        <w:t>公司无缝内螺纹</w:t>
      </w:r>
      <w:r>
        <w:rPr>
          <w:rFonts w:ascii="宋体" w:hAnsi="宋体"/>
          <w:color w:val="auto"/>
          <w:kern w:val="0"/>
          <w:szCs w:val="21"/>
        </w:rPr>
        <w:t>铜管产品的升级也为空调产品的</w:t>
      </w:r>
      <w:r>
        <w:rPr>
          <w:rFonts w:hint="eastAsia" w:ascii="宋体" w:hAnsi="宋体"/>
          <w:color w:val="auto"/>
          <w:kern w:val="0"/>
          <w:szCs w:val="21"/>
        </w:rPr>
        <w:t>能效</w:t>
      </w:r>
      <w:r>
        <w:rPr>
          <w:rFonts w:ascii="宋体" w:hAnsi="宋体"/>
          <w:color w:val="auto"/>
          <w:kern w:val="0"/>
          <w:szCs w:val="21"/>
        </w:rPr>
        <w:t>升级提供了重要保证。公司通过自主研发拥有铜管材加工领域核心专利42项，其中发明专利8项。</w:t>
      </w:r>
      <w:r>
        <w:rPr>
          <w:rFonts w:hint="eastAsia" w:ascii="宋体" w:hAnsi="宋体"/>
          <w:color w:val="auto"/>
          <w:kern w:val="0"/>
          <w:szCs w:val="21"/>
        </w:rPr>
        <w:t>公司近年来积极参与标准起草工作，已参与了多项国家和行业标准的制定。</w:t>
      </w:r>
    </w:p>
    <w:p>
      <w:pPr>
        <w:spacing w:line="440" w:lineRule="exact"/>
        <w:ind w:firstLine="420"/>
        <w:rPr>
          <w:rFonts w:hint="eastAsia" w:ascii="宋体" w:hAnsi="宋体"/>
          <w:color w:val="auto"/>
          <w:szCs w:val="21"/>
        </w:rPr>
      </w:pPr>
      <w:r>
        <w:rPr>
          <w:rFonts w:hint="eastAsia" w:ascii="宋体" w:hAnsi="宋体"/>
          <w:color w:val="auto"/>
          <w:szCs w:val="21"/>
        </w:rPr>
        <w:t>浙江海亮股份有限公司是海亮集团有限公司(中国企业500强第110位)控股的中外合资股份有限公司，成立于1989年，目前总资产154亿元，现有员工5300余名。公司现拥有浙江海亮、上海海亮、安徽海亮、越南海亮、广东海亮、中山海亮奥托、泰国海亮、重庆海亮、美国海亮等十个产地，下属浙江科宇金属材料有限公司、浙江铜加工研究院有限公司等10多家控股子公司。企业连续年荣获浙江省信用AAA级企业，公司是高新技术企业，全国企事业知识产权试点单位，国家级博士后科研工作站设站单位，省级创新型企业，省级三名示范企业、省级标准创新型企业，省绿色企业，省工业循环经济示范企业，拥有国家企业技术中心、浙江省首批省级企业研究院、省级高新技术研发中心、教育部重点实验室“海亮铜加工技术开发实验室”、省级重点创新团队。公司主要分为三大系列（铜管、铜棒和管件；铝型材；铜铝复合材）、八大主导产品（铜合金管、制冷用空调管、无缝铜水（气）管、精密铜棒、管件、微通道铝扁管、铝型材、铜铝复合材）。产品广泛用于核电、航空航天、舰船及海洋工程、海水淡化、空调和冰箱制冷、建筑水管、装备制造、汽车工业、电子信息等军工和民用行业。已牵头起草制定和计划起草制定的国家行业标准共44项，其中行业标准15项。</w:t>
      </w:r>
    </w:p>
    <w:p>
      <w:pPr>
        <w:keepNext w:val="0"/>
        <w:keepLines w:val="0"/>
        <w:widowControl/>
        <w:suppressLineNumbers w:val="0"/>
        <w:spacing w:line="360" w:lineRule="auto"/>
        <w:ind w:firstLine="422"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宁波金田铜业（集团）股份有限公司始（证券代码：601609）建于 1986 年 10 月，公司建立了国家级企业技术中心、国家级博士后科研工作站和国家认可实验室，拥有国内外先进的全谱等离子体发射光谱仪、超高矫顽力永磁测量仪等先进检测仪器设备。并聚焦重点应用领域关键材料与技术，研发高强、高导、高精度的新型高端铜合金新材料，推动产品升级，打造技术竞争力。目前已拥有授权发明专利 100 多项，主持、参与国家/行业标准制订 30 余项，获得国家级、省部级科技进步奖 10 余项。公司积极履行社会责任，长期恪守“生态重于生产”的环保理念，积极响应国家“碳达峰”、“碳中和”的战略目标，投入大量资金用于环境保护、节能降碳和生态建设，已成为行业内发展循环经济的典范，被授予国家循环经济试点单位、国家绿色示范工厂等荣誉。</w:t>
      </w:r>
      <w:bookmarkStart w:id="33" w:name="_GoBack"/>
      <w:bookmarkEnd w:id="33"/>
    </w:p>
    <w:p>
      <w:pPr>
        <w:spacing w:line="440" w:lineRule="exact"/>
        <w:ind w:firstLine="420"/>
        <w:rPr>
          <w:rFonts w:hint="default" w:ascii="宋体" w:hAnsi="宋体" w:eastAsia="宋体" w:cs="Times New Roman"/>
          <w:color w:val="auto"/>
          <w:szCs w:val="21"/>
          <w:lang w:val="en-US"/>
        </w:rPr>
      </w:pP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编制组成员及分工</w:t>
      </w:r>
    </w:p>
    <w:p>
      <w:pPr>
        <w:spacing w:line="440" w:lineRule="exact"/>
        <w:ind w:firstLine="420"/>
        <w:rPr>
          <w:rFonts w:hint="eastAsia"/>
          <w:color w:val="auto"/>
        </w:rPr>
      </w:pPr>
      <w:r>
        <w:rPr>
          <w:rFonts w:hint="eastAsia" w:ascii="宋体" w:hAnsi="宋体" w:eastAsia="宋体" w:cs="Times New Roman"/>
          <w:color w:val="auto"/>
          <w:szCs w:val="21"/>
        </w:rPr>
        <w:t>标准制订计划任务正式下达后，立即成立了标准编制组，并落实起草任务，确定标准的主要起草人（详见表1），拟定该标准的工作计划。</w:t>
      </w:r>
    </w:p>
    <w:p>
      <w:pPr>
        <w:spacing w:beforeLines="50" w:afterLines="50" w:line="360" w:lineRule="auto"/>
        <w:jc w:val="left"/>
        <w:rPr>
          <w:rFonts w:ascii="宋体" w:hAnsi="宋体" w:cs="宋体"/>
          <w:b/>
          <w:bCs/>
          <w:color w:val="auto"/>
          <w:szCs w:val="21"/>
        </w:rPr>
      </w:pPr>
      <w:r>
        <w:rPr>
          <w:rFonts w:hint="eastAsia" w:ascii="宋体" w:hAnsi="宋体" w:cs="宋体"/>
          <w:b/>
          <w:bCs/>
          <w:color w:val="auto"/>
          <w:szCs w:val="21"/>
        </w:rPr>
        <w:t>1.4主要工作过程</w:t>
      </w:r>
    </w:p>
    <w:p>
      <w:pPr>
        <w:pStyle w:val="9"/>
        <w:spacing w:beforeLines="50" w:line="360" w:lineRule="auto"/>
        <w:rPr>
          <w:rFonts w:hint="eastAsia" w:ascii="宋体" w:hAnsi="宋体" w:eastAsia="宋体" w:cs="黑体"/>
          <w:b/>
          <w:color w:val="auto"/>
          <w:szCs w:val="21"/>
          <w:lang w:val="en-US" w:eastAsia="zh-CN"/>
        </w:rPr>
      </w:pPr>
      <w:r>
        <w:rPr>
          <w:rFonts w:hint="eastAsia" w:ascii="宋体" w:hAnsi="宋体" w:eastAsia="宋体" w:cs="黑体"/>
          <w:b/>
          <w:color w:val="auto"/>
          <w:szCs w:val="21"/>
          <w:lang w:val="en-US" w:eastAsia="zh-CN"/>
        </w:rPr>
        <w:t>1.4.1 标准预研</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水是人类赖以生存和发展的重要物质基础，随着不断发展，对水资源的污染越来越严重，许多国家对废水的回用及其技术越来越重视。我国是水资源短缺国家，节水是我国国民经济与社会发展的重要目标。我国工业生产过程中需要使用大量的水资源，在全球经济一体化的背景下，最大限度提高工业废水循环利用率，促进水资源的合理利用是节水的有效途径之一。</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我国水资源紧缺，工业废水资源化是实现节水和解决水资源不足的有效途径之一。我国是世界上铜加工材生产和消费大国，铜及铜合金加工行业发展也伴随着水资源消耗。据调查，2020年单位铜加工材新水消耗约11吨/吨，2020年铜加工材产量1897万吨消耗新水约20867万吨。我国是水资源短缺国家，节水是我国国民经济与社会发展的重要目标之一，要实现这一重要目标，规范重点行业的节水行为，制定相应的节水与循环利用标准显得尤为迫切，是重要的保障措施。我国大部分铜加工企业遵循清洁生产的要求，从工厂减少废水产生，并尽量做到清污分流，提高工业用水循环率，减少废水产生。现在我国对污染物排放实施排污许可制，目前已出台《排污许可管理办法》、《污水综合排放标准》（GB 8978-1996）、《铜、镍、钴工业污染物排放标准》（GB 25467-2010）等文件和标准只是对废水中的污染物标准和达标排放提出标准和管理，无废水循环利用相关要求。因此铜加工企业在废水回用时，因无标准规范可参考，企业需将废水中的污染物处理满足达标排放标准后才能回用或排放。如果根据用途对废水进行水质处理，实现分质用水和分级回用，有助于进一步提高铜加工过程的废水循环利用率，达到节约用水目的，同时将降低废水处理过程的资源和能源消耗，利于企业降低碳排放，对于实现碳达峰具有促进作用。</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标准结合铜及铜合金加工工艺特点的特点，通过完成“废水处理与处理回用工艺、废水循环利用水质控制及技术要求、水质监测及废水循环利用管理”等内容，确定不同来源废水回用处理工艺和技术规范，对铜加工过程的水循环利用提供指导，为工程设计、环境管理和企业达达峰碳中和提供技术支撑。填补铜加工行业在水循环利用规范的空白。该标准符合《绿色制造标准体系建设指南》绿色工厂子体系-资源节约、废物利用的要求。</w:t>
      </w:r>
    </w:p>
    <w:p>
      <w:pPr>
        <w:pStyle w:val="9"/>
        <w:spacing w:beforeLines="50" w:line="360" w:lineRule="auto"/>
        <w:rPr>
          <w:rFonts w:ascii="宋体" w:hAnsi="宋体" w:cs="黑体"/>
          <w:b/>
          <w:color w:val="auto"/>
          <w:szCs w:val="21"/>
        </w:rPr>
      </w:pPr>
      <w:r>
        <w:rPr>
          <w:rFonts w:hint="eastAsia" w:ascii="宋体" w:hAnsi="宋体" w:cs="黑体"/>
          <w:b/>
          <w:color w:val="auto"/>
          <w:szCs w:val="21"/>
        </w:rPr>
        <w:t>1.4.</w:t>
      </w:r>
      <w:r>
        <w:rPr>
          <w:rFonts w:hint="eastAsia" w:ascii="宋体" w:hAnsi="宋体" w:cs="黑体"/>
          <w:b/>
          <w:color w:val="auto"/>
          <w:szCs w:val="21"/>
          <w:lang w:val="en-US" w:eastAsia="zh-CN"/>
        </w:rPr>
        <w:t>2</w:t>
      </w:r>
      <w:r>
        <w:rPr>
          <w:rFonts w:hint="eastAsia" w:ascii="宋体" w:hAnsi="宋体" w:cs="黑体"/>
          <w:b/>
          <w:color w:val="auto"/>
          <w:szCs w:val="21"/>
        </w:rPr>
        <w:t>标准立项</w:t>
      </w:r>
    </w:p>
    <w:p>
      <w:pPr>
        <w:spacing w:line="360" w:lineRule="auto"/>
        <w:ind w:firstLine="420" w:firstLineChars="200"/>
        <w:rPr>
          <w:rFonts w:ascii="宋体" w:hAnsi="宋体" w:cs="宋体"/>
          <w:color w:val="auto"/>
          <w:szCs w:val="21"/>
        </w:rPr>
      </w:pPr>
      <w:r>
        <w:rPr>
          <w:rFonts w:hint="eastAsia" w:ascii="宋体" w:hAnsi="宋体" w:cs="宋体"/>
          <w:color w:val="auto"/>
          <w:szCs w:val="21"/>
        </w:rPr>
        <w:t>根据工信厅科函[2021]234号和</w:t>
      </w:r>
      <w:r>
        <w:rPr>
          <w:rFonts w:hint="eastAsia" w:ascii="宋体" w:hAnsi="宋体"/>
          <w:color w:val="auto"/>
          <w:kern w:val="0"/>
          <w:szCs w:val="21"/>
        </w:rPr>
        <w:t>有色标委[2023]22号</w:t>
      </w:r>
      <w:r>
        <w:rPr>
          <w:rFonts w:hint="eastAsia" w:ascii="Times New Roman" w:hAnsi="Times New Roman"/>
          <w:color w:val="auto"/>
          <w:kern w:val="0"/>
          <w:szCs w:val="21"/>
        </w:rPr>
        <w:t>《关于转发2023年第一批有色金属国家、行业、协会标准制（修）订项目计划的通知》，《铜加工废水循环利用技术规范》</w:t>
      </w:r>
      <w:r>
        <w:rPr>
          <w:rFonts w:hint="eastAsia" w:ascii="宋体" w:hAnsi="宋体" w:cs="宋体"/>
          <w:color w:val="auto"/>
          <w:szCs w:val="21"/>
        </w:rPr>
        <w:t>行业标准获批立项，项目计划号“</w:t>
      </w:r>
      <w:r>
        <w:rPr>
          <w:rFonts w:ascii="宋体" w:hAnsi="宋体" w:cs="宋体"/>
          <w:color w:val="auto"/>
          <w:szCs w:val="21"/>
        </w:rPr>
        <w:t>20</w:t>
      </w:r>
      <w:r>
        <w:rPr>
          <w:rFonts w:hint="eastAsia" w:ascii="宋体" w:hAnsi="宋体" w:cs="宋体"/>
          <w:color w:val="auto"/>
          <w:szCs w:val="21"/>
        </w:rPr>
        <w:t>22</w:t>
      </w:r>
      <w:r>
        <w:rPr>
          <w:rFonts w:ascii="宋体" w:hAnsi="宋体" w:cs="宋体"/>
          <w:color w:val="auto"/>
          <w:szCs w:val="21"/>
        </w:rPr>
        <w:t>-</w:t>
      </w:r>
      <w:r>
        <w:rPr>
          <w:rFonts w:hint="eastAsia" w:ascii="宋体" w:hAnsi="宋体" w:cs="宋体"/>
          <w:color w:val="auto"/>
          <w:szCs w:val="21"/>
        </w:rPr>
        <w:t>1992</w:t>
      </w:r>
      <w:r>
        <w:rPr>
          <w:rFonts w:ascii="宋体" w:hAnsi="宋体" w:cs="宋体"/>
          <w:color w:val="auto"/>
          <w:szCs w:val="21"/>
        </w:rPr>
        <w:t>T-YS</w:t>
      </w:r>
      <w:r>
        <w:rPr>
          <w:rFonts w:hint="eastAsia" w:ascii="宋体" w:hAnsi="宋体" w:cs="宋体"/>
          <w:color w:val="auto"/>
          <w:szCs w:val="21"/>
        </w:rPr>
        <w:t>” 。</w:t>
      </w:r>
    </w:p>
    <w:p>
      <w:pPr>
        <w:pStyle w:val="9"/>
        <w:spacing w:beforeLines="50" w:line="360" w:lineRule="auto"/>
        <w:rPr>
          <w:rFonts w:hint="default" w:ascii="宋体" w:hAnsi="宋体" w:eastAsia="宋体" w:cs="黑体"/>
          <w:b/>
          <w:color w:val="auto"/>
          <w:szCs w:val="21"/>
          <w:lang w:val="en-US" w:eastAsia="zh-CN"/>
        </w:rPr>
      </w:pPr>
      <w:r>
        <w:rPr>
          <w:rFonts w:hint="eastAsia" w:ascii="宋体" w:hAnsi="宋体" w:cs="黑体"/>
          <w:b/>
          <w:color w:val="auto"/>
          <w:szCs w:val="21"/>
        </w:rPr>
        <w:t>1.4.</w:t>
      </w:r>
      <w:r>
        <w:rPr>
          <w:rFonts w:hint="eastAsia" w:ascii="宋体" w:hAnsi="宋体" w:cs="黑体"/>
          <w:b/>
          <w:color w:val="auto"/>
          <w:szCs w:val="21"/>
          <w:lang w:val="en-US" w:eastAsia="zh-CN"/>
        </w:rPr>
        <w:t>3标准起草阶段</w:t>
      </w:r>
    </w:p>
    <w:p>
      <w:pPr>
        <w:spacing w:line="360" w:lineRule="auto"/>
        <w:ind w:firstLine="420" w:firstLineChars="200"/>
        <w:rPr>
          <w:rFonts w:hint="eastAsia"/>
          <w:bCs/>
          <w:color w:val="auto"/>
          <w:szCs w:val="21"/>
        </w:rPr>
      </w:pPr>
      <w:r>
        <w:rPr>
          <w:rFonts w:hint="eastAsia" w:ascii="宋体" w:hAnsi="宋体"/>
          <w:color w:val="auto"/>
          <w:szCs w:val="21"/>
        </w:rPr>
        <w:t>我国是水资源短缺国家，节水是我国国民经济与社会发展的重要目标之一，要实现这一重要目标，规范重点行业的节水行为，制定相应的节水与循环利用标准显得尤为迫切，是重要的保障措施。我国大部分铜加工企业遵循清洁生产的要求，从工厂减少废水产生，并尽量做到清污分流，提高工业用水循环率，减少废水产生。</w:t>
      </w:r>
    </w:p>
    <w:p>
      <w:pPr>
        <w:pStyle w:val="19"/>
        <w:spacing w:before="0" w:beforeAutospacing="0" w:after="0" w:afterAutospacing="0" w:line="360" w:lineRule="auto"/>
        <w:ind w:firstLine="482"/>
        <w:rPr>
          <w:rFonts w:hint="eastAsia"/>
          <w:bCs/>
          <w:color w:val="auto"/>
          <w:sz w:val="21"/>
          <w:szCs w:val="21"/>
        </w:rPr>
      </w:pPr>
      <w:r>
        <w:rPr>
          <w:rFonts w:hint="eastAsia"/>
          <w:bCs/>
          <w:color w:val="auto"/>
          <w:sz w:val="21"/>
          <w:szCs w:val="21"/>
        </w:rPr>
        <w:t>在标准起草修订过程中，编制组查阅了国内废水循环利用相关信息和标准， 本标准适应发展和环境需要，根据使用要求和国内实际情况，结合我国</w:t>
      </w:r>
      <w:r>
        <w:rPr>
          <w:color w:val="auto"/>
          <w:sz w:val="21"/>
          <w:szCs w:val="21"/>
        </w:rPr>
        <w:t>结合</w:t>
      </w:r>
      <w:r>
        <w:rPr>
          <w:rFonts w:hint="eastAsia"/>
          <w:color w:val="auto"/>
          <w:sz w:val="21"/>
          <w:szCs w:val="21"/>
        </w:rPr>
        <w:t>铜及铜合金加工工艺特点</w:t>
      </w:r>
      <w:r>
        <w:rPr>
          <w:color w:val="auto"/>
          <w:sz w:val="21"/>
          <w:szCs w:val="21"/>
        </w:rPr>
        <w:t>的特点</w:t>
      </w:r>
      <w:r>
        <w:rPr>
          <w:rFonts w:hint="eastAsia"/>
          <w:bCs/>
          <w:color w:val="auto"/>
          <w:sz w:val="21"/>
          <w:szCs w:val="21"/>
        </w:rPr>
        <w:t>，</w:t>
      </w:r>
      <w:r>
        <w:rPr>
          <w:rFonts w:hint="eastAsia"/>
          <w:color w:val="auto"/>
          <w:sz w:val="21"/>
          <w:szCs w:val="21"/>
        </w:rPr>
        <w:t>确定不同来源废水回用处理工艺和技术规范，对铜加工过程的水循环利用提供指导，</w:t>
      </w:r>
      <w:r>
        <w:rPr>
          <w:rFonts w:hint="eastAsia"/>
          <w:bCs/>
          <w:color w:val="auto"/>
          <w:sz w:val="21"/>
          <w:szCs w:val="21"/>
        </w:rPr>
        <w:t>过充分讨论，2023年4月初形成了标准《讨论稿》及其编制说明。</w:t>
      </w:r>
    </w:p>
    <w:p>
      <w:pPr>
        <w:pStyle w:val="19"/>
        <w:spacing w:before="0" w:beforeAutospacing="0" w:after="0" w:afterAutospacing="0" w:line="360" w:lineRule="auto"/>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2023年</w:t>
      </w: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月2</w:t>
      </w: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日～27日由全国有色金属标准化技术委员会主持在</w:t>
      </w:r>
      <w:r>
        <w:rPr>
          <w:rFonts w:hint="eastAsia" w:ascii="宋体" w:hAnsi="宋体" w:eastAsia="宋体" w:cs="宋体"/>
          <w:bCs/>
          <w:color w:val="auto"/>
          <w:sz w:val="21"/>
          <w:szCs w:val="21"/>
          <w:lang w:val="en-US" w:eastAsia="zh-CN"/>
        </w:rPr>
        <w:t>湖北</w:t>
      </w:r>
      <w:r>
        <w:rPr>
          <w:rFonts w:hint="eastAsia" w:ascii="宋体" w:hAnsi="宋体" w:eastAsia="宋体" w:cs="宋体"/>
          <w:bCs/>
          <w:color w:val="auto"/>
          <w:sz w:val="21"/>
          <w:szCs w:val="21"/>
        </w:rPr>
        <w:t>省沈</w:t>
      </w:r>
      <w:r>
        <w:rPr>
          <w:rFonts w:hint="eastAsia" w:ascii="宋体" w:hAnsi="宋体" w:eastAsia="宋体" w:cs="宋体"/>
          <w:bCs/>
          <w:color w:val="auto"/>
          <w:sz w:val="21"/>
          <w:szCs w:val="21"/>
          <w:lang w:val="en-US" w:eastAsia="zh-CN"/>
        </w:rPr>
        <w:t>武汉市</w:t>
      </w:r>
      <w:r>
        <w:rPr>
          <w:rFonts w:hint="eastAsia" w:ascii="宋体" w:hAnsi="宋体" w:eastAsia="宋体" w:cs="宋体"/>
          <w:bCs/>
          <w:color w:val="auto"/>
          <w:sz w:val="21"/>
          <w:szCs w:val="21"/>
        </w:rPr>
        <w:t>召开该标准的</w:t>
      </w:r>
      <w:r>
        <w:rPr>
          <w:rFonts w:hint="eastAsia" w:ascii="宋体" w:hAnsi="宋体" w:eastAsia="宋体" w:cs="宋体"/>
          <w:bCs/>
          <w:color w:val="auto"/>
          <w:sz w:val="21"/>
          <w:szCs w:val="21"/>
          <w:lang w:val="en-US" w:eastAsia="zh-CN"/>
        </w:rPr>
        <w:t>讨论</w:t>
      </w:r>
      <w:r>
        <w:rPr>
          <w:rFonts w:hint="eastAsia" w:ascii="宋体" w:hAnsi="宋体" w:eastAsia="宋体" w:cs="宋体"/>
          <w:bCs/>
          <w:color w:val="auto"/>
          <w:sz w:val="21"/>
          <w:szCs w:val="21"/>
        </w:rPr>
        <w:t>会。编制组根据会议要求和专家意见，对标准进行修改和完善，形成了标准《征求意见稿》及《编制说明》。</w:t>
      </w:r>
    </w:p>
    <w:p>
      <w:pPr>
        <w:pStyle w:val="9"/>
        <w:spacing w:beforeLines="50" w:line="360" w:lineRule="auto"/>
        <w:rPr>
          <w:rFonts w:hint="eastAsia" w:ascii="宋体" w:hAnsi="宋体" w:eastAsia="宋体" w:cs="黑体"/>
          <w:b/>
          <w:color w:val="auto"/>
          <w:szCs w:val="21"/>
          <w:lang w:val="en-US" w:eastAsia="zh-CN"/>
        </w:rPr>
      </w:pPr>
      <w:r>
        <w:rPr>
          <w:rFonts w:hint="eastAsia" w:ascii="宋体" w:hAnsi="宋体" w:eastAsia="宋体" w:cs="黑体"/>
          <w:b/>
          <w:color w:val="auto"/>
          <w:szCs w:val="21"/>
          <w:lang w:val="en-US" w:eastAsia="zh-CN"/>
        </w:rPr>
        <w:t>1.4.4 征求意见阶段</w:t>
      </w:r>
    </w:p>
    <w:p>
      <w:pPr>
        <w:pStyle w:val="19"/>
        <w:spacing w:before="0" w:beforeAutospacing="0" w:after="0" w:afterAutospacing="0" w:line="360" w:lineRule="auto"/>
        <w:ind w:firstLine="482"/>
        <w:rPr>
          <w:rFonts w:hint="eastAsia"/>
          <w:bCs/>
          <w:color w:val="auto"/>
          <w:sz w:val="21"/>
          <w:szCs w:val="21"/>
        </w:rPr>
      </w:pPr>
      <w:r>
        <w:rPr>
          <w:rFonts w:hint="eastAsia" w:ascii="宋体" w:hAnsi="宋体" w:eastAsia="宋体" w:cs="宋体"/>
          <w:bCs/>
          <w:color w:val="auto"/>
          <w:sz w:val="21"/>
          <w:szCs w:val="21"/>
        </w:rPr>
        <w:t>本标准分别于2023年</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月</w:t>
      </w:r>
      <w:r>
        <w:rPr>
          <w:rFonts w:hint="eastAsia" w:ascii="宋体" w:hAnsi="宋体" w:eastAsia="宋体" w:cs="宋体"/>
          <w:bCs/>
          <w:color w:val="auto"/>
          <w:sz w:val="21"/>
          <w:szCs w:val="21"/>
          <w:lang w:val="en-US" w:eastAsia="zh-CN"/>
        </w:rPr>
        <w:t>16日</w:t>
      </w:r>
      <w:r>
        <w:rPr>
          <w:rFonts w:hint="eastAsia" w:ascii="宋体" w:hAnsi="宋体" w:eastAsia="宋体" w:cs="宋体"/>
          <w:bCs/>
          <w:color w:val="auto"/>
          <w:sz w:val="21"/>
          <w:szCs w:val="21"/>
        </w:rPr>
        <w:t>发送《征求意见稿》，回函并有建议或意见的单位</w:t>
      </w: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个，编制组根据会议专家意见和回函意见情况，对标准稿进行修改和完善，于2023年</w:t>
      </w:r>
      <w:r>
        <w:rPr>
          <w:rFonts w:hint="eastAsia" w:ascii="宋体" w:hAnsi="宋体" w:eastAsia="宋体" w:cs="宋体"/>
          <w:bCs/>
          <w:color w:val="auto"/>
          <w:sz w:val="21"/>
          <w:szCs w:val="21"/>
          <w:lang w:val="en-US" w:eastAsia="zh-CN"/>
        </w:rPr>
        <w:t>10</w:t>
      </w:r>
      <w:r>
        <w:rPr>
          <w:rFonts w:hint="eastAsia" w:ascii="宋体" w:hAnsi="宋体" w:eastAsia="宋体" w:cs="宋体"/>
          <w:bCs/>
          <w:color w:val="auto"/>
          <w:sz w:val="21"/>
          <w:szCs w:val="21"/>
        </w:rPr>
        <w:t>月形成本标准《</w:t>
      </w:r>
      <w:r>
        <w:rPr>
          <w:rFonts w:hint="eastAsia" w:ascii="宋体" w:hAnsi="宋体" w:eastAsia="宋体" w:cs="宋体"/>
          <w:bCs/>
          <w:color w:val="auto"/>
          <w:sz w:val="21"/>
          <w:szCs w:val="21"/>
          <w:lang w:val="en-US" w:eastAsia="zh-CN"/>
        </w:rPr>
        <w:t>预审</w:t>
      </w:r>
      <w:r>
        <w:rPr>
          <w:rFonts w:hint="eastAsia" w:ascii="宋体" w:hAnsi="宋体" w:eastAsia="宋体" w:cs="宋体"/>
          <w:bCs/>
          <w:color w:val="auto"/>
          <w:sz w:val="21"/>
          <w:szCs w:val="21"/>
        </w:rPr>
        <w:t>稿》及《编制说明》。</w:t>
      </w:r>
    </w:p>
    <w:p>
      <w:pPr>
        <w:pStyle w:val="9"/>
        <w:spacing w:beforeLines="50" w:line="360" w:lineRule="auto"/>
        <w:rPr>
          <w:rFonts w:hint="eastAsia" w:ascii="宋体" w:hAnsi="宋体" w:cs="黑体"/>
          <w:b/>
          <w:color w:val="auto"/>
          <w:szCs w:val="21"/>
        </w:rPr>
      </w:pPr>
      <w:r>
        <w:rPr>
          <w:rFonts w:hint="eastAsia" w:ascii="宋体" w:hAnsi="宋体" w:cs="黑体"/>
          <w:b/>
          <w:color w:val="auto"/>
          <w:szCs w:val="21"/>
        </w:rPr>
        <w:t>二、编制原则</w:t>
      </w:r>
    </w:p>
    <w:p>
      <w:pPr>
        <w:pStyle w:val="9"/>
        <w:spacing w:beforeLines="50" w:line="360" w:lineRule="auto"/>
        <w:rPr>
          <w:rFonts w:ascii="宋体" w:hAnsi="宋体" w:cs="黑体"/>
          <w:b/>
          <w:color w:val="auto"/>
          <w:szCs w:val="21"/>
        </w:rPr>
      </w:pPr>
      <w:r>
        <w:rPr>
          <w:rFonts w:hint="eastAsia" w:ascii="宋体" w:hAnsi="宋体" w:cs="黑体"/>
          <w:b/>
          <w:color w:val="auto"/>
          <w:szCs w:val="21"/>
        </w:rPr>
        <w:t>2.1编制原则</w:t>
      </w:r>
    </w:p>
    <w:p>
      <w:pPr>
        <w:spacing w:line="360" w:lineRule="auto"/>
        <w:ind w:firstLine="420" w:firstLineChars="200"/>
        <w:rPr>
          <w:rFonts w:ascii="宋体" w:hAnsi="宋体"/>
          <w:color w:val="auto"/>
          <w:kern w:val="0"/>
          <w:szCs w:val="21"/>
        </w:rPr>
      </w:pPr>
      <w:r>
        <w:rPr>
          <w:rFonts w:hint="eastAsia" w:ascii="宋体" w:hAnsi="宋体"/>
          <w:color w:val="auto"/>
          <w:szCs w:val="21"/>
        </w:rPr>
        <w:t>1）</w:t>
      </w:r>
      <w:r>
        <w:rPr>
          <w:rFonts w:hint="eastAsia" w:ascii="宋体" w:hAnsi="宋体"/>
          <w:color w:val="auto"/>
          <w:kern w:val="0"/>
          <w:szCs w:val="21"/>
        </w:rPr>
        <w:t>本标准按照</w:t>
      </w:r>
      <w:r>
        <w:rPr>
          <w:rFonts w:ascii="宋体" w:hAnsi="宋体"/>
          <w:color w:val="auto"/>
          <w:kern w:val="0"/>
          <w:szCs w:val="21"/>
        </w:rPr>
        <w:t>GB/T1.1-20</w:t>
      </w:r>
      <w:r>
        <w:rPr>
          <w:rFonts w:hint="eastAsia" w:ascii="宋体" w:hAnsi="宋体"/>
          <w:color w:val="auto"/>
          <w:kern w:val="0"/>
          <w:szCs w:val="21"/>
        </w:rPr>
        <w:t>20《标准化工作导则 第1部分：标准化文件的结构和起草规则》的规则进行起草，并符合</w:t>
      </w:r>
      <w:r>
        <w:rPr>
          <w:rFonts w:ascii="宋体" w:hAnsi="宋体"/>
          <w:color w:val="auto"/>
          <w:kern w:val="0"/>
          <w:szCs w:val="21"/>
        </w:rPr>
        <w:t>TCS2009</w:t>
      </w:r>
      <w:r>
        <w:rPr>
          <w:rFonts w:hint="eastAsia" w:ascii="宋体" w:hAnsi="宋体"/>
          <w:color w:val="auto"/>
          <w:kern w:val="0"/>
          <w:szCs w:val="21"/>
        </w:rPr>
        <w:t>《中国标准编写模板》国家标准的电子文本要求。</w:t>
      </w:r>
    </w:p>
    <w:p>
      <w:pPr>
        <w:spacing w:line="360" w:lineRule="auto"/>
        <w:ind w:firstLine="420" w:firstLineChars="200"/>
        <w:rPr>
          <w:rFonts w:ascii="宋体" w:hAnsi="宋体"/>
          <w:color w:val="auto"/>
          <w:szCs w:val="21"/>
        </w:rPr>
      </w:pPr>
      <w:r>
        <w:rPr>
          <w:rFonts w:hint="eastAsia" w:ascii="宋体" w:hAnsi="宋体"/>
          <w:color w:val="auto"/>
          <w:szCs w:val="21"/>
        </w:rPr>
        <w:t>2）查阅</w:t>
      </w:r>
      <w:r>
        <w:rPr>
          <w:rFonts w:hint="eastAsia"/>
          <w:bCs/>
          <w:color w:val="auto"/>
          <w:szCs w:val="21"/>
        </w:rPr>
        <w:t>国内废水循环利用相关信息和</w:t>
      </w:r>
      <w:r>
        <w:rPr>
          <w:rFonts w:hint="eastAsia" w:ascii="宋体" w:hAnsi="宋体"/>
          <w:color w:val="auto"/>
          <w:szCs w:val="21"/>
        </w:rPr>
        <w:t>相关标准要求；</w:t>
      </w:r>
    </w:p>
    <w:p>
      <w:pPr>
        <w:spacing w:line="360" w:lineRule="auto"/>
        <w:ind w:firstLine="420" w:firstLineChars="200"/>
        <w:rPr>
          <w:rFonts w:ascii="宋体" w:hAnsi="宋体"/>
          <w:color w:val="auto"/>
          <w:szCs w:val="21"/>
        </w:rPr>
      </w:pPr>
      <w:r>
        <w:rPr>
          <w:rFonts w:hint="eastAsia" w:ascii="宋体" w:hAnsi="宋体"/>
          <w:color w:val="auto"/>
          <w:szCs w:val="21"/>
        </w:rPr>
        <w:t>3）根据资源循环利用和环保理念，力求清污分流，提高工业用水循环率；</w:t>
      </w:r>
    </w:p>
    <w:p>
      <w:pPr>
        <w:spacing w:line="360" w:lineRule="auto"/>
        <w:ind w:firstLine="420" w:firstLineChars="200"/>
        <w:rPr>
          <w:rFonts w:hint="eastAsia"/>
          <w:color w:val="auto"/>
          <w:szCs w:val="21"/>
        </w:rPr>
      </w:pPr>
      <w:r>
        <w:rPr>
          <w:rFonts w:hint="eastAsia" w:ascii="宋体" w:hAnsi="宋体"/>
          <w:color w:val="auto"/>
          <w:szCs w:val="21"/>
        </w:rPr>
        <w:t>4）结合</w:t>
      </w:r>
      <w:r>
        <w:rPr>
          <w:rFonts w:hint="eastAsia"/>
          <w:bCs/>
          <w:color w:val="auto"/>
          <w:szCs w:val="21"/>
        </w:rPr>
        <w:t>我国</w:t>
      </w:r>
      <w:r>
        <w:rPr>
          <w:color w:val="auto"/>
          <w:szCs w:val="21"/>
        </w:rPr>
        <w:t>结合</w:t>
      </w:r>
      <w:r>
        <w:rPr>
          <w:rFonts w:hint="eastAsia"/>
          <w:color w:val="auto"/>
          <w:szCs w:val="21"/>
        </w:rPr>
        <w:t>铜及铜合金加工工艺特点</w:t>
      </w:r>
      <w:r>
        <w:rPr>
          <w:color w:val="auto"/>
          <w:szCs w:val="21"/>
        </w:rPr>
        <w:t>的特点</w:t>
      </w:r>
      <w:r>
        <w:rPr>
          <w:rFonts w:hint="eastAsia" w:ascii="宋体" w:hAnsi="宋体"/>
          <w:color w:val="auto"/>
          <w:szCs w:val="21"/>
        </w:rPr>
        <w:t>、技术发展水平确定技术指标。</w:t>
      </w:r>
    </w:p>
    <w:p>
      <w:pPr>
        <w:pStyle w:val="9"/>
        <w:spacing w:beforeLines="50" w:line="360" w:lineRule="auto"/>
        <w:rPr>
          <w:rFonts w:ascii="宋体" w:hAnsi="宋体" w:cs="黑体"/>
          <w:b/>
          <w:color w:val="auto"/>
          <w:szCs w:val="21"/>
        </w:rPr>
      </w:pPr>
      <w:bookmarkStart w:id="9" w:name="_Toc16715888"/>
      <w:r>
        <w:rPr>
          <w:rFonts w:hint="eastAsia" w:ascii="宋体" w:hAnsi="宋体" w:cs="黑体"/>
          <w:b/>
          <w:color w:val="auto"/>
          <w:szCs w:val="21"/>
        </w:rPr>
        <w:t>2.2、</w:t>
      </w:r>
      <w:r>
        <w:rPr>
          <w:rFonts w:ascii="宋体" w:hAnsi="宋体" w:cs="黑体"/>
          <w:b/>
          <w:color w:val="auto"/>
          <w:szCs w:val="21"/>
        </w:rPr>
        <w:t>编制依据</w:t>
      </w:r>
      <w:bookmarkEnd w:id="9"/>
    </w:p>
    <w:p>
      <w:pPr>
        <w:widowControl/>
        <w:spacing w:line="360" w:lineRule="auto"/>
        <w:ind w:firstLine="452" w:firstLineChars="200"/>
        <w:jc w:val="left"/>
        <w:rPr>
          <w:rFonts w:ascii="宋体" w:hAnsi="宋体"/>
          <w:color w:val="auto"/>
          <w:spacing w:val="8"/>
          <w:kern w:val="0"/>
          <w:szCs w:val="21"/>
        </w:rPr>
      </w:pPr>
      <w:bookmarkStart w:id="10" w:name="_Toc16715892"/>
      <w:bookmarkStart w:id="11" w:name="_Toc532905029"/>
      <w:r>
        <w:rPr>
          <w:rFonts w:ascii="宋体" w:hAnsi="宋体"/>
          <w:color w:val="auto"/>
          <w:spacing w:val="8"/>
          <w:kern w:val="0"/>
          <w:szCs w:val="21"/>
        </w:rPr>
        <w:t>GB/T</w:t>
      </w:r>
      <w:r>
        <w:rPr>
          <w:rFonts w:hint="eastAsia" w:ascii="宋体" w:hAnsi="宋体"/>
          <w:color w:val="auto"/>
          <w:spacing w:val="8"/>
          <w:kern w:val="0"/>
          <w:szCs w:val="21"/>
        </w:rPr>
        <w:t xml:space="preserve"> </w:t>
      </w:r>
      <w:r>
        <w:rPr>
          <w:rFonts w:ascii="宋体" w:hAnsi="宋体"/>
          <w:color w:val="auto"/>
          <w:spacing w:val="8"/>
          <w:kern w:val="0"/>
          <w:szCs w:val="21"/>
        </w:rPr>
        <w:t>6908</w:t>
      </w:r>
      <w:r>
        <w:rPr>
          <w:rFonts w:hint="eastAsia" w:ascii="宋体" w:hAnsi="宋体"/>
          <w:color w:val="auto"/>
          <w:spacing w:val="8"/>
          <w:kern w:val="0"/>
          <w:szCs w:val="21"/>
        </w:rPr>
        <w:t xml:space="preserve">  锅炉用水和冷却水分析方法 电导率的测定</w:t>
      </w:r>
    </w:p>
    <w:p>
      <w:pPr>
        <w:widowControl/>
        <w:spacing w:line="360" w:lineRule="auto"/>
        <w:ind w:firstLine="452" w:firstLineChars="200"/>
        <w:jc w:val="left"/>
        <w:rPr>
          <w:rFonts w:ascii="宋体" w:hAnsi="宋体"/>
          <w:color w:val="auto"/>
          <w:spacing w:val="8"/>
          <w:kern w:val="0"/>
          <w:szCs w:val="21"/>
        </w:rPr>
      </w:pPr>
      <w:r>
        <w:rPr>
          <w:rFonts w:hint="eastAsia" w:ascii="宋体" w:hAnsi="宋体"/>
          <w:color w:val="auto"/>
          <w:spacing w:val="8"/>
          <w:kern w:val="0"/>
          <w:szCs w:val="21"/>
        </w:rPr>
        <w:t xml:space="preserve">GB/T 6920 </w:t>
      </w:r>
      <w:r>
        <w:rPr>
          <w:rFonts w:ascii="宋体" w:hAnsi="宋体"/>
          <w:color w:val="auto"/>
          <w:spacing w:val="8"/>
          <w:kern w:val="0"/>
          <w:szCs w:val="21"/>
        </w:rPr>
        <w:t xml:space="preserve"> </w:t>
      </w:r>
      <w:r>
        <w:rPr>
          <w:rFonts w:hint="eastAsia" w:ascii="宋体" w:hAnsi="宋体"/>
          <w:color w:val="auto"/>
          <w:spacing w:val="8"/>
          <w:kern w:val="0"/>
          <w:szCs w:val="21"/>
        </w:rPr>
        <w:t>水质 pH值的测定 玻璃电极法</w:t>
      </w:r>
    </w:p>
    <w:p>
      <w:pPr>
        <w:widowControl/>
        <w:spacing w:line="360" w:lineRule="auto"/>
        <w:ind w:firstLine="452" w:firstLineChars="200"/>
        <w:jc w:val="left"/>
        <w:rPr>
          <w:rFonts w:ascii="宋体" w:hAnsi="宋体"/>
          <w:color w:val="auto"/>
          <w:spacing w:val="8"/>
          <w:kern w:val="0"/>
          <w:szCs w:val="21"/>
        </w:rPr>
      </w:pPr>
      <w:r>
        <w:rPr>
          <w:rFonts w:hint="eastAsia" w:ascii="宋体" w:hAnsi="宋体"/>
          <w:color w:val="auto"/>
          <w:spacing w:val="8"/>
          <w:kern w:val="0"/>
          <w:szCs w:val="21"/>
        </w:rPr>
        <w:t>GB/T 7468  水质 总汞的测定 冷原子吸收分光光度法</w:t>
      </w:r>
    </w:p>
    <w:p>
      <w:pPr>
        <w:widowControl/>
        <w:spacing w:line="360" w:lineRule="auto"/>
        <w:ind w:firstLine="452" w:firstLineChars="200"/>
        <w:jc w:val="left"/>
        <w:rPr>
          <w:rFonts w:ascii="宋体" w:hAnsi="宋体"/>
          <w:color w:val="auto"/>
          <w:spacing w:val="8"/>
          <w:kern w:val="0"/>
          <w:szCs w:val="21"/>
        </w:rPr>
      </w:pPr>
      <w:r>
        <w:rPr>
          <w:rFonts w:hint="eastAsia" w:ascii="宋体" w:hAnsi="宋体"/>
          <w:color w:val="auto"/>
          <w:spacing w:val="8"/>
          <w:kern w:val="0"/>
          <w:szCs w:val="21"/>
        </w:rPr>
        <w:t>GB/T 7475  水质 铜、锌、铅、镉的测定 原子吸收分光光</w:t>
      </w:r>
      <w:r>
        <w:rPr>
          <w:rFonts w:hint="eastAsia" w:ascii="宋体" w:hAnsi="宋体"/>
          <w:color w:val="auto"/>
          <w:spacing w:val="8"/>
          <w:kern w:val="0"/>
          <w:szCs w:val="21"/>
          <w:lang w:val="en-US" w:eastAsia="zh-CN"/>
        </w:rPr>
        <w:t>度</w:t>
      </w:r>
      <w:r>
        <w:rPr>
          <w:rFonts w:hint="eastAsia" w:ascii="宋体" w:hAnsi="宋体"/>
          <w:color w:val="auto"/>
          <w:spacing w:val="8"/>
          <w:kern w:val="0"/>
          <w:szCs w:val="21"/>
        </w:rPr>
        <w:t>法</w:t>
      </w:r>
    </w:p>
    <w:p>
      <w:pPr>
        <w:widowControl/>
        <w:spacing w:line="360" w:lineRule="auto"/>
        <w:ind w:firstLine="452" w:firstLineChars="200"/>
        <w:jc w:val="left"/>
        <w:rPr>
          <w:rFonts w:hint="eastAsia" w:ascii="宋体" w:hAnsi="宋体" w:eastAsia="宋体"/>
          <w:color w:val="auto"/>
          <w:spacing w:val="8"/>
          <w:kern w:val="0"/>
          <w:szCs w:val="21"/>
          <w:lang w:val="en-US" w:eastAsia="zh-CN"/>
        </w:rPr>
      </w:pPr>
      <w:r>
        <w:rPr>
          <w:rFonts w:hint="eastAsia" w:ascii="宋体" w:hAnsi="宋体"/>
          <w:color w:val="auto"/>
          <w:spacing w:val="8"/>
          <w:kern w:val="0"/>
          <w:szCs w:val="21"/>
        </w:rPr>
        <w:t xml:space="preserve">GB/T 7477 </w:t>
      </w:r>
      <w:r>
        <w:rPr>
          <w:rFonts w:ascii="宋体" w:hAnsi="宋体"/>
          <w:color w:val="auto"/>
          <w:spacing w:val="8"/>
          <w:kern w:val="0"/>
          <w:szCs w:val="21"/>
        </w:rPr>
        <w:t xml:space="preserve"> </w:t>
      </w:r>
      <w:r>
        <w:rPr>
          <w:rFonts w:hint="eastAsia" w:ascii="宋体" w:hAnsi="宋体"/>
          <w:color w:val="auto"/>
          <w:spacing w:val="8"/>
          <w:kern w:val="0"/>
          <w:szCs w:val="21"/>
        </w:rPr>
        <w:t>水质 钙和镁总量的测定</w:t>
      </w:r>
      <w:r>
        <w:rPr>
          <w:rFonts w:hint="eastAsia" w:ascii="宋体" w:hAnsi="宋体"/>
          <w:color w:val="auto"/>
          <w:spacing w:val="8"/>
          <w:kern w:val="0"/>
          <w:szCs w:val="21"/>
          <w:lang w:val="en-US" w:eastAsia="zh-CN"/>
        </w:rPr>
        <w:t xml:space="preserve"> </w:t>
      </w:r>
      <w:r>
        <w:rPr>
          <w:rFonts w:hint="default" w:ascii="宋体" w:hAnsi="宋体" w:eastAsia="宋体" w:cs="Times New Roman"/>
          <w:i w:val="0"/>
          <w:iCs w:val="0"/>
          <w:caps w:val="0"/>
          <w:color w:val="auto"/>
          <w:spacing w:val="8"/>
          <w:kern w:val="0"/>
          <w:sz w:val="21"/>
          <w:szCs w:val="21"/>
        </w:rPr>
        <w:t>EDTA滴定法</w:t>
      </w:r>
    </w:p>
    <w:p>
      <w:pPr>
        <w:widowControl/>
        <w:spacing w:line="360" w:lineRule="auto"/>
        <w:ind w:firstLine="452" w:firstLineChars="200"/>
        <w:jc w:val="left"/>
        <w:rPr>
          <w:rFonts w:ascii="宋体" w:hAnsi="宋体"/>
          <w:color w:val="auto"/>
          <w:spacing w:val="8"/>
          <w:kern w:val="0"/>
          <w:szCs w:val="21"/>
        </w:rPr>
      </w:pPr>
      <w:r>
        <w:rPr>
          <w:rFonts w:hint="eastAsia" w:ascii="宋体" w:hAnsi="宋体"/>
          <w:color w:val="auto"/>
          <w:spacing w:val="8"/>
          <w:kern w:val="0"/>
          <w:szCs w:val="21"/>
        </w:rPr>
        <w:t xml:space="preserve">GB/T 7484  水质 </w:t>
      </w:r>
      <w:r>
        <w:rPr>
          <w:rFonts w:ascii="宋体" w:hAnsi="宋体" w:eastAsia="宋体" w:cs="Times New Roman"/>
          <w:color w:val="auto"/>
          <w:spacing w:val="8"/>
          <w:kern w:val="0"/>
          <w:sz w:val="21"/>
          <w:szCs w:val="21"/>
          <w:lang w:val="en-US" w:eastAsia="zh-CN" w:bidi="ar"/>
        </w:rPr>
        <w:t>氟化物的测定 离子选择电极法</w:t>
      </w:r>
    </w:p>
    <w:p>
      <w:pPr>
        <w:widowControl/>
        <w:spacing w:line="360" w:lineRule="auto"/>
        <w:ind w:firstLine="452" w:firstLineChars="200"/>
        <w:jc w:val="left"/>
        <w:rPr>
          <w:rFonts w:ascii="宋体" w:hAnsi="宋体"/>
          <w:color w:val="auto"/>
          <w:spacing w:val="8"/>
          <w:kern w:val="0"/>
          <w:szCs w:val="21"/>
        </w:rPr>
      </w:pPr>
      <w:r>
        <w:rPr>
          <w:rFonts w:hint="eastAsia" w:ascii="宋体" w:hAnsi="宋体"/>
          <w:color w:val="auto"/>
          <w:spacing w:val="8"/>
          <w:kern w:val="0"/>
          <w:szCs w:val="21"/>
        </w:rPr>
        <w:t>G</w:t>
      </w:r>
      <w:r>
        <w:rPr>
          <w:rFonts w:ascii="宋体" w:hAnsi="宋体"/>
          <w:color w:val="auto"/>
          <w:spacing w:val="8"/>
          <w:kern w:val="0"/>
          <w:szCs w:val="21"/>
        </w:rPr>
        <w:t>B/T</w:t>
      </w:r>
      <w:r>
        <w:rPr>
          <w:rFonts w:hint="eastAsia" w:ascii="宋体" w:hAnsi="宋体"/>
          <w:color w:val="auto"/>
          <w:spacing w:val="8"/>
          <w:kern w:val="0"/>
          <w:szCs w:val="21"/>
        </w:rPr>
        <w:t xml:space="preserve"> </w:t>
      </w:r>
      <w:r>
        <w:rPr>
          <w:rFonts w:ascii="宋体" w:hAnsi="宋体"/>
          <w:color w:val="auto"/>
          <w:spacing w:val="8"/>
          <w:kern w:val="0"/>
          <w:szCs w:val="21"/>
        </w:rPr>
        <w:t xml:space="preserve">7485  </w:t>
      </w:r>
      <w:r>
        <w:rPr>
          <w:rFonts w:hint="eastAsia" w:ascii="宋体" w:hAnsi="宋体"/>
          <w:color w:val="auto"/>
          <w:spacing w:val="8"/>
          <w:kern w:val="0"/>
          <w:szCs w:val="21"/>
        </w:rPr>
        <w:t>水质 总砷的测定 二乙基二硫代氨基甲酸银分光光度法</w:t>
      </w:r>
    </w:p>
    <w:p>
      <w:pPr>
        <w:widowControl/>
        <w:spacing w:line="360" w:lineRule="auto"/>
        <w:ind w:firstLine="452" w:firstLineChars="200"/>
        <w:jc w:val="left"/>
        <w:rPr>
          <w:rFonts w:ascii="宋体" w:hAnsi="宋体"/>
          <w:color w:val="auto"/>
          <w:spacing w:val="8"/>
          <w:kern w:val="0"/>
          <w:szCs w:val="21"/>
        </w:rPr>
      </w:pPr>
      <w:r>
        <w:rPr>
          <w:rFonts w:hint="eastAsia" w:ascii="宋体" w:hAnsi="宋体"/>
          <w:color w:val="auto"/>
          <w:spacing w:val="8"/>
          <w:kern w:val="0"/>
          <w:szCs w:val="21"/>
        </w:rPr>
        <w:t>GB/T 11896 水质</w:t>
      </w:r>
      <w:r>
        <w:rPr>
          <w:rFonts w:hint="eastAsia" w:ascii="宋体" w:hAnsi="宋体"/>
          <w:color w:val="auto"/>
          <w:spacing w:val="8"/>
          <w:kern w:val="0"/>
          <w:szCs w:val="21"/>
          <w:lang w:val="en-US" w:eastAsia="zh-CN"/>
        </w:rPr>
        <w:t xml:space="preserve"> </w:t>
      </w:r>
      <w:r>
        <w:rPr>
          <w:rFonts w:hint="eastAsia" w:ascii="宋体" w:hAnsi="宋体"/>
          <w:color w:val="auto"/>
          <w:spacing w:val="8"/>
          <w:kern w:val="0"/>
          <w:szCs w:val="21"/>
        </w:rPr>
        <w:t>氯化物的测定 硝酸银滴定法</w:t>
      </w:r>
    </w:p>
    <w:p>
      <w:pPr>
        <w:widowControl/>
        <w:spacing w:line="360" w:lineRule="auto"/>
        <w:ind w:firstLine="450"/>
        <w:jc w:val="left"/>
        <w:rPr>
          <w:rFonts w:ascii="宋体" w:hAnsi="宋体"/>
          <w:color w:val="auto"/>
          <w:spacing w:val="8"/>
          <w:kern w:val="0"/>
          <w:szCs w:val="21"/>
        </w:rPr>
      </w:pPr>
      <w:r>
        <w:rPr>
          <w:rFonts w:hint="eastAsia" w:ascii="宋体" w:hAnsi="宋体"/>
          <w:color w:val="auto"/>
          <w:spacing w:val="8"/>
          <w:kern w:val="0"/>
          <w:szCs w:val="21"/>
        </w:rPr>
        <w:t>GB 11901  水质 悬浮物的测定 重量法</w:t>
      </w:r>
    </w:p>
    <w:p>
      <w:pPr>
        <w:widowControl/>
        <w:spacing w:line="360" w:lineRule="auto"/>
        <w:ind w:firstLine="450"/>
        <w:jc w:val="left"/>
        <w:rPr>
          <w:rFonts w:ascii="宋体" w:hAnsi="宋体"/>
          <w:color w:val="auto"/>
          <w:spacing w:val="8"/>
          <w:kern w:val="0"/>
          <w:szCs w:val="21"/>
        </w:rPr>
      </w:pPr>
      <w:r>
        <w:rPr>
          <w:rFonts w:hint="eastAsia" w:ascii="宋体" w:hAnsi="宋体"/>
          <w:color w:val="auto"/>
          <w:spacing w:val="8"/>
          <w:kern w:val="0"/>
          <w:szCs w:val="21"/>
        </w:rPr>
        <w:t xml:space="preserve">GB 11911 </w:t>
      </w:r>
      <w:r>
        <w:rPr>
          <w:rFonts w:ascii="宋体" w:hAnsi="宋体"/>
          <w:color w:val="auto"/>
          <w:spacing w:val="8"/>
          <w:kern w:val="0"/>
          <w:szCs w:val="21"/>
        </w:rPr>
        <w:t xml:space="preserve"> </w:t>
      </w:r>
      <w:r>
        <w:rPr>
          <w:rFonts w:hint="eastAsia" w:ascii="宋体" w:hAnsi="宋体"/>
          <w:color w:val="auto"/>
          <w:spacing w:val="8"/>
          <w:kern w:val="0"/>
          <w:szCs w:val="21"/>
        </w:rPr>
        <w:t>水质 铁、锰的测定 火焰原子吸收分光光度法</w:t>
      </w:r>
    </w:p>
    <w:p>
      <w:pPr>
        <w:widowControl/>
        <w:spacing w:line="360" w:lineRule="auto"/>
        <w:ind w:firstLine="452" w:firstLineChars="200"/>
        <w:jc w:val="left"/>
        <w:rPr>
          <w:rFonts w:ascii="宋体" w:hAnsi="宋体"/>
          <w:color w:val="auto"/>
          <w:spacing w:val="8"/>
          <w:kern w:val="0"/>
          <w:szCs w:val="21"/>
        </w:rPr>
      </w:pPr>
      <w:r>
        <w:rPr>
          <w:rFonts w:hint="eastAsia" w:ascii="宋体" w:hAnsi="宋体"/>
          <w:color w:val="auto"/>
          <w:spacing w:val="8"/>
          <w:kern w:val="0"/>
          <w:szCs w:val="21"/>
        </w:rPr>
        <w:t>GB/T 13200  水质 浊度的测定</w:t>
      </w:r>
    </w:p>
    <w:p>
      <w:pPr>
        <w:widowControl/>
        <w:spacing w:line="360" w:lineRule="auto"/>
        <w:ind w:firstLine="452" w:firstLineChars="200"/>
        <w:jc w:val="left"/>
        <w:rPr>
          <w:rFonts w:ascii="宋体" w:hAnsi="宋体"/>
          <w:color w:val="auto"/>
          <w:spacing w:val="8"/>
          <w:kern w:val="0"/>
          <w:szCs w:val="21"/>
        </w:rPr>
      </w:pPr>
      <w:r>
        <w:rPr>
          <w:rFonts w:hint="eastAsia" w:ascii="宋体" w:hAnsi="宋体"/>
          <w:color w:val="auto"/>
          <w:spacing w:val="8"/>
          <w:kern w:val="0"/>
          <w:szCs w:val="21"/>
        </w:rPr>
        <w:t xml:space="preserve">GB/T 16488  </w:t>
      </w:r>
      <w:r>
        <w:rPr>
          <w:rFonts w:hint="eastAsia" w:ascii="宋体" w:hAnsi="宋体"/>
          <w:color w:val="auto"/>
          <w:spacing w:val="8"/>
          <w:kern w:val="0"/>
          <w:szCs w:val="21"/>
          <w:lang w:val="en-US" w:eastAsia="zh-CN"/>
        </w:rPr>
        <w:t>水</w:t>
      </w:r>
      <w:r>
        <w:rPr>
          <w:rFonts w:hint="eastAsia" w:ascii="宋体" w:hAnsi="宋体"/>
          <w:color w:val="auto"/>
          <w:spacing w:val="8"/>
          <w:kern w:val="0"/>
          <w:szCs w:val="21"/>
        </w:rPr>
        <w:t>质</w:t>
      </w:r>
      <w:r>
        <w:rPr>
          <w:rFonts w:hint="eastAsia" w:ascii="宋体" w:hAnsi="宋体"/>
          <w:color w:val="auto"/>
          <w:spacing w:val="8"/>
          <w:kern w:val="0"/>
          <w:szCs w:val="21"/>
          <w:lang w:val="en-US" w:eastAsia="zh-CN"/>
        </w:rPr>
        <w:t xml:space="preserve"> </w:t>
      </w:r>
      <w:r>
        <w:rPr>
          <w:rFonts w:hint="eastAsia" w:ascii="宋体" w:hAnsi="宋体"/>
          <w:color w:val="auto"/>
          <w:spacing w:val="8"/>
          <w:kern w:val="0"/>
          <w:szCs w:val="21"/>
        </w:rPr>
        <w:t>石油类和动植物油的测定 红外光度法</w:t>
      </w:r>
    </w:p>
    <w:p>
      <w:pPr>
        <w:widowControl/>
        <w:spacing w:line="360" w:lineRule="auto"/>
        <w:ind w:firstLine="450"/>
        <w:jc w:val="left"/>
        <w:rPr>
          <w:rFonts w:ascii="宋体" w:hAnsi="宋体"/>
          <w:color w:val="auto"/>
          <w:spacing w:val="8"/>
          <w:kern w:val="0"/>
          <w:szCs w:val="21"/>
        </w:rPr>
      </w:pPr>
      <w:r>
        <w:rPr>
          <w:rFonts w:hint="eastAsia" w:ascii="宋体" w:hAnsi="宋体"/>
          <w:color w:val="auto"/>
          <w:spacing w:val="8"/>
          <w:kern w:val="0"/>
          <w:szCs w:val="21"/>
        </w:rPr>
        <w:t xml:space="preserve">GB/T 25467  </w:t>
      </w:r>
      <w:r>
        <w:rPr>
          <w:rFonts w:ascii="宋体" w:hAnsi="宋体"/>
          <w:color w:val="auto"/>
          <w:spacing w:val="8"/>
          <w:kern w:val="0"/>
          <w:szCs w:val="21"/>
        </w:rPr>
        <w:t>铜、镍、钴工业污染物排放标准</w:t>
      </w:r>
    </w:p>
    <w:p>
      <w:pPr>
        <w:widowControl/>
        <w:spacing w:line="360" w:lineRule="auto"/>
        <w:ind w:firstLine="452" w:firstLineChars="200"/>
        <w:jc w:val="left"/>
        <w:rPr>
          <w:rFonts w:ascii="宋体" w:hAnsi="宋体"/>
          <w:color w:val="auto"/>
          <w:spacing w:val="8"/>
          <w:kern w:val="0"/>
          <w:szCs w:val="21"/>
        </w:rPr>
      </w:pPr>
      <w:r>
        <w:rPr>
          <w:rFonts w:hint="eastAsia" w:ascii="宋体" w:hAnsi="宋体"/>
          <w:color w:val="auto"/>
          <w:spacing w:val="8"/>
          <w:kern w:val="0"/>
          <w:szCs w:val="21"/>
        </w:rPr>
        <w:t>GB/T 50050  工业循环冷却水处理设计规范</w:t>
      </w:r>
    </w:p>
    <w:p>
      <w:pPr>
        <w:widowControl/>
        <w:spacing w:line="360" w:lineRule="auto"/>
        <w:ind w:firstLine="452" w:firstLineChars="200"/>
        <w:jc w:val="left"/>
        <w:rPr>
          <w:rFonts w:ascii="宋体" w:hAnsi="宋体"/>
          <w:color w:val="auto"/>
          <w:spacing w:val="8"/>
          <w:kern w:val="0"/>
          <w:szCs w:val="21"/>
        </w:rPr>
      </w:pPr>
      <w:r>
        <w:rPr>
          <w:rFonts w:hint="eastAsia" w:ascii="宋体" w:hAnsi="宋体"/>
          <w:color w:val="auto"/>
          <w:spacing w:val="8"/>
          <w:kern w:val="0"/>
          <w:szCs w:val="21"/>
        </w:rPr>
        <w:t>HJ 485  水质 铜的测定 二乙基二硫代氨基甲酸钠分光</w:t>
      </w:r>
    </w:p>
    <w:p>
      <w:pPr>
        <w:widowControl/>
        <w:spacing w:line="360" w:lineRule="auto"/>
        <w:ind w:firstLine="452" w:firstLineChars="200"/>
        <w:jc w:val="left"/>
        <w:rPr>
          <w:rFonts w:ascii="宋体" w:hAnsi="宋体"/>
          <w:color w:val="auto"/>
          <w:spacing w:val="8"/>
          <w:kern w:val="0"/>
          <w:szCs w:val="21"/>
          <w:highlight w:val="none"/>
        </w:rPr>
      </w:pPr>
      <w:r>
        <w:rPr>
          <w:rFonts w:ascii="宋体" w:hAnsi="宋体"/>
          <w:color w:val="auto"/>
          <w:spacing w:val="8"/>
          <w:kern w:val="0"/>
          <w:szCs w:val="21"/>
          <w:highlight w:val="none"/>
        </w:rPr>
        <w:t>HJ 486</w:t>
      </w:r>
      <w:r>
        <w:rPr>
          <w:rFonts w:hint="eastAsia" w:ascii="宋体" w:hAnsi="宋体"/>
          <w:color w:val="auto"/>
          <w:spacing w:val="8"/>
          <w:kern w:val="0"/>
          <w:szCs w:val="21"/>
          <w:highlight w:val="none"/>
        </w:rPr>
        <w:t xml:space="preserve">  </w:t>
      </w:r>
      <w:r>
        <w:rPr>
          <w:rFonts w:ascii="宋体" w:hAnsi="宋体"/>
          <w:color w:val="auto"/>
          <w:spacing w:val="8"/>
          <w:kern w:val="0"/>
          <w:szCs w:val="21"/>
          <w:highlight w:val="none"/>
        </w:rPr>
        <w:t>水质 铜的测定 2,9-二甲基-1,10</w:t>
      </w:r>
      <w:r>
        <w:rPr>
          <w:rFonts w:hint="eastAsia" w:ascii="宋体" w:hAnsi="宋体"/>
          <w:color w:val="auto"/>
          <w:spacing w:val="8"/>
          <w:kern w:val="0"/>
          <w:szCs w:val="21"/>
          <w:highlight w:val="none"/>
          <w:lang w:val="en-US" w:eastAsia="zh-CN"/>
        </w:rPr>
        <w:t>-</w:t>
      </w:r>
      <w:r>
        <w:rPr>
          <w:rFonts w:ascii="宋体" w:hAnsi="宋体"/>
          <w:color w:val="auto"/>
          <w:spacing w:val="8"/>
          <w:kern w:val="0"/>
          <w:szCs w:val="21"/>
          <w:highlight w:val="none"/>
        </w:rPr>
        <w:t>菲</w:t>
      </w:r>
      <w:r>
        <w:rPr>
          <w:rFonts w:hint="eastAsia" w:ascii="宋体" w:hAnsi="宋体"/>
          <w:color w:val="auto"/>
          <w:spacing w:val="8"/>
          <w:kern w:val="0"/>
          <w:szCs w:val="21"/>
          <w:highlight w:val="none"/>
          <w:lang w:val="en-US" w:eastAsia="zh-CN"/>
        </w:rPr>
        <w:t>啰</w:t>
      </w:r>
      <w:r>
        <w:rPr>
          <w:rFonts w:ascii="宋体" w:hAnsi="宋体"/>
          <w:color w:val="auto"/>
          <w:spacing w:val="8"/>
          <w:kern w:val="0"/>
          <w:szCs w:val="21"/>
          <w:highlight w:val="none"/>
        </w:rPr>
        <w:t>啉分光光度法</w:t>
      </w:r>
    </w:p>
    <w:p>
      <w:pPr>
        <w:widowControl/>
        <w:spacing w:line="360" w:lineRule="auto"/>
        <w:ind w:firstLine="452" w:firstLineChars="200"/>
        <w:jc w:val="left"/>
        <w:rPr>
          <w:rFonts w:ascii="宋体" w:hAnsi="宋体"/>
          <w:color w:val="auto"/>
          <w:spacing w:val="8"/>
          <w:kern w:val="0"/>
          <w:szCs w:val="21"/>
        </w:rPr>
      </w:pPr>
      <w:r>
        <w:rPr>
          <w:rFonts w:hint="eastAsia" w:ascii="宋体" w:hAnsi="宋体"/>
          <w:color w:val="auto"/>
          <w:spacing w:val="8"/>
          <w:kern w:val="0"/>
          <w:szCs w:val="21"/>
        </w:rPr>
        <w:t>HJ 537  水质</w:t>
      </w:r>
      <w:r>
        <w:rPr>
          <w:rFonts w:hint="eastAsia" w:ascii="宋体" w:hAnsi="宋体"/>
          <w:color w:val="auto"/>
          <w:spacing w:val="8"/>
          <w:kern w:val="0"/>
          <w:szCs w:val="21"/>
          <w:lang w:val="en-US" w:eastAsia="zh-CN"/>
        </w:rPr>
        <w:t xml:space="preserve"> </w:t>
      </w:r>
      <w:r>
        <w:rPr>
          <w:rFonts w:hint="eastAsia" w:ascii="宋体" w:hAnsi="宋体"/>
          <w:color w:val="auto"/>
          <w:spacing w:val="8"/>
          <w:kern w:val="0"/>
          <w:szCs w:val="21"/>
        </w:rPr>
        <w:t>氨氮的测定</w:t>
      </w:r>
      <w:r>
        <w:rPr>
          <w:rFonts w:hint="eastAsia" w:ascii="宋体" w:hAnsi="宋体"/>
          <w:color w:val="auto"/>
          <w:spacing w:val="8"/>
          <w:kern w:val="0"/>
          <w:szCs w:val="21"/>
          <w:lang w:val="en-US" w:eastAsia="zh-CN"/>
        </w:rPr>
        <w:t xml:space="preserve"> </w:t>
      </w:r>
      <w:r>
        <w:rPr>
          <w:rFonts w:hint="eastAsia" w:ascii="宋体" w:hAnsi="宋体"/>
          <w:color w:val="auto"/>
          <w:spacing w:val="8"/>
          <w:kern w:val="0"/>
          <w:szCs w:val="21"/>
        </w:rPr>
        <w:t>蒸馏-中和滴定法</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宋体" w:hAnsi="宋体" w:eastAsia="宋体"/>
          <w:b/>
          <w:bCs/>
          <w:color w:val="auto"/>
          <w:sz w:val="21"/>
          <w:szCs w:val="21"/>
          <w:lang w:eastAsia="zh-CN"/>
        </w:rPr>
      </w:pPr>
      <w:r>
        <w:rPr>
          <w:rFonts w:hint="eastAsia" w:ascii="宋体" w:hAnsi="宋体" w:cs="黑体"/>
          <w:b/>
          <w:color w:val="auto"/>
          <w:szCs w:val="21"/>
        </w:rPr>
        <w:t>三、</w:t>
      </w:r>
      <w:r>
        <w:rPr>
          <w:rFonts w:ascii="宋体" w:hAnsi="宋体" w:cs="黑体"/>
          <w:b/>
          <w:color w:val="auto"/>
          <w:szCs w:val="21"/>
        </w:rPr>
        <w:t>行业概况</w:t>
      </w:r>
      <w:bookmarkEnd w:id="10"/>
      <w:bookmarkEnd w:id="11"/>
      <w:r>
        <w:rPr>
          <w:rFonts w:hint="eastAsia" w:ascii="宋体" w:hAnsi="宋体" w:cs="黑体"/>
          <w:b/>
          <w:color w:val="auto"/>
          <w:szCs w:val="21"/>
          <w:lang w:eastAsia="zh-CN"/>
        </w:rPr>
        <w:t>、</w:t>
      </w:r>
      <w:r>
        <w:rPr>
          <w:rFonts w:ascii="宋体" w:hAnsi="宋体" w:eastAsia="宋体"/>
          <w:b/>
          <w:bCs/>
          <w:color w:val="auto"/>
          <w:sz w:val="21"/>
          <w:szCs w:val="21"/>
        </w:rPr>
        <w:t>主要技术内容及说明</w:t>
      </w:r>
    </w:p>
    <w:p>
      <w:pPr>
        <w:pStyle w:val="9"/>
        <w:spacing w:beforeLines="50" w:line="360" w:lineRule="auto"/>
        <w:rPr>
          <w:rFonts w:hint="default" w:ascii="宋体" w:hAnsi="宋体" w:eastAsia="宋体" w:cs="黑体"/>
          <w:b/>
          <w:color w:val="auto"/>
          <w:szCs w:val="21"/>
          <w:lang w:val="en-US" w:eastAsia="zh-CN"/>
        </w:rPr>
      </w:pPr>
      <w:r>
        <w:rPr>
          <w:rFonts w:hint="eastAsia" w:ascii="宋体" w:hAnsi="宋体" w:cs="黑体"/>
          <w:b/>
          <w:color w:val="auto"/>
          <w:szCs w:val="21"/>
          <w:lang w:val="en-US" w:eastAsia="zh-CN"/>
        </w:rPr>
        <w:t>3.1  行业概况</w:t>
      </w:r>
    </w:p>
    <w:p>
      <w:pPr>
        <w:overflowPunct w:val="0"/>
        <w:spacing w:line="360" w:lineRule="auto"/>
        <w:ind w:firstLine="420" w:firstLineChars="200"/>
        <w:rPr>
          <w:rFonts w:hint="eastAsia" w:ascii="宋体" w:hAnsi="宋体"/>
          <w:color w:val="auto"/>
          <w:szCs w:val="21"/>
        </w:rPr>
      </w:pPr>
      <w:r>
        <w:rPr>
          <w:rFonts w:hint="eastAsia" w:ascii="宋体" w:hAnsi="宋体"/>
          <w:color w:val="auto"/>
          <w:szCs w:val="21"/>
        </w:rPr>
        <w:t>我国是世界上铜加工材生产和消费大国，铜及铜合金加工行业</w:t>
      </w:r>
      <w:r>
        <w:rPr>
          <w:rFonts w:ascii="宋体" w:hAnsi="宋体"/>
          <w:color w:val="auto"/>
          <w:szCs w:val="21"/>
        </w:rPr>
        <w:t>发展也伴随着</w:t>
      </w:r>
      <w:r>
        <w:rPr>
          <w:rFonts w:hint="eastAsia" w:ascii="宋体" w:hAnsi="宋体"/>
          <w:color w:val="auto"/>
          <w:szCs w:val="21"/>
        </w:rPr>
        <w:t>水资源消耗。根据中国有色加工协会数据，2020年铜加工材产量</w:t>
      </w:r>
      <w:r>
        <w:rPr>
          <w:rFonts w:ascii="宋体" w:hAnsi="宋体"/>
          <w:color w:val="auto"/>
          <w:szCs w:val="21"/>
          <w:shd w:val="clear" w:color="auto" w:fill="FFFFFF"/>
        </w:rPr>
        <w:t>1897万吨</w:t>
      </w:r>
      <w:r>
        <w:rPr>
          <w:rFonts w:hint="eastAsia" w:ascii="宋体" w:hAnsi="宋体"/>
          <w:color w:val="auto"/>
          <w:szCs w:val="21"/>
        </w:rPr>
        <w:t>万吨，2021年铜加工材产量</w:t>
      </w:r>
      <w:r>
        <w:rPr>
          <w:rFonts w:hint="eastAsia" w:ascii="宋体" w:hAnsi="宋体"/>
          <w:color w:val="auto"/>
          <w:spacing w:val="15"/>
          <w:szCs w:val="21"/>
        </w:rPr>
        <w:t>2025万吨，</w:t>
      </w:r>
      <w:r>
        <w:rPr>
          <w:rFonts w:hint="eastAsia" w:ascii="宋体" w:hAnsi="宋体"/>
          <w:color w:val="auto"/>
          <w:szCs w:val="21"/>
        </w:rPr>
        <w:t>增幅6.7%。</w:t>
      </w:r>
    </w:p>
    <w:p>
      <w:pPr>
        <w:tabs>
          <w:tab w:val="left" w:pos="720"/>
        </w:tabs>
        <w:overflowPunct w:val="0"/>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铜合金结构复杂、产品的制备难度大，工艺流程长，能院校好相对较高。随着环保要求越来越高，为减少污染排放和资源循环利用，企业不断进行环保节能技术、工艺及装备改进升级，增加了废水处理等设施和功能，达到资源循环利用，实现低碳绿色生产，助力实现双碳目标。</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color w:val="auto"/>
        </w:rPr>
      </w:pPr>
      <w:r>
        <w:rPr>
          <w:rFonts w:hint="eastAsia" w:ascii="Times New Roman" w:hAnsi="Times New Roman"/>
          <w:color w:val="auto"/>
          <w:szCs w:val="21"/>
        </w:rPr>
        <w:t>铜加工产品根据形状分为管、棒、型、线、板、带、箔等几大类，其加工工艺不相同，生产消耗的大量水资源</w:t>
      </w:r>
      <w:r>
        <w:rPr>
          <w:rFonts w:hint="eastAsia" w:ascii="Times New Roman" w:hAnsi="Times New Roman"/>
          <w:color w:val="auto"/>
          <w:szCs w:val="21"/>
          <w:lang w:eastAsia="zh-CN"/>
        </w:rPr>
        <w:t>。</w:t>
      </w:r>
      <w:r>
        <w:rPr>
          <w:rFonts w:hint="eastAsia" w:ascii="宋体" w:hAnsi="宋体"/>
          <w:color w:val="auto"/>
          <w:szCs w:val="21"/>
        </w:rPr>
        <w:t>据调查，2020年单位铜加工材新水消耗约11吨/吨，2020年铜加工材产量1897万吨消耗新水约20867万吨。铜加工行业作</w:t>
      </w:r>
      <w:r>
        <w:rPr>
          <w:rFonts w:ascii="宋体" w:hAnsi="宋体"/>
          <w:color w:val="auto"/>
          <w:szCs w:val="21"/>
        </w:rPr>
        <w:t>为</w:t>
      </w:r>
      <w:r>
        <w:rPr>
          <w:rFonts w:hint="eastAsia" w:ascii="宋体" w:hAnsi="宋体"/>
          <w:color w:val="auto"/>
          <w:szCs w:val="21"/>
        </w:rPr>
        <w:t>有色加工领域</w:t>
      </w:r>
      <w:r>
        <w:rPr>
          <w:rFonts w:ascii="宋体" w:hAnsi="宋体"/>
          <w:color w:val="auto"/>
          <w:szCs w:val="21"/>
        </w:rPr>
        <w:t>规模</w:t>
      </w:r>
      <w:r>
        <w:rPr>
          <w:rFonts w:hint="eastAsia" w:ascii="宋体" w:hAnsi="宋体"/>
          <w:color w:val="auto"/>
          <w:szCs w:val="21"/>
        </w:rPr>
        <w:t>较</w:t>
      </w:r>
      <w:r>
        <w:rPr>
          <w:rFonts w:ascii="宋体" w:hAnsi="宋体"/>
          <w:color w:val="auto"/>
          <w:szCs w:val="21"/>
        </w:rPr>
        <w:t>大、应用</w:t>
      </w:r>
      <w:r>
        <w:rPr>
          <w:rFonts w:hint="eastAsia" w:ascii="宋体" w:hAnsi="宋体"/>
          <w:color w:val="auto"/>
          <w:szCs w:val="21"/>
        </w:rPr>
        <w:t>广泛</w:t>
      </w:r>
      <w:r>
        <w:rPr>
          <w:rFonts w:ascii="宋体" w:hAnsi="宋体"/>
          <w:color w:val="auto"/>
          <w:szCs w:val="21"/>
        </w:rPr>
        <w:t>的原材料</w:t>
      </w:r>
      <w:r>
        <w:rPr>
          <w:rFonts w:hint="eastAsia" w:ascii="宋体" w:hAnsi="宋体"/>
          <w:color w:val="auto"/>
          <w:szCs w:val="21"/>
        </w:rPr>
        <w:t>加工行业</w:t>
      </w:r>
      <w:r>
        <w:rPr>
          <w:rFonts w:ascii="宋体" w:hAnsi="宋体"/>
          <w:color w:val="auto"/>
          <w:szCs w:val="21"/>
        </w:rPr>
        <w:t>，</w:t>
      </w:r>
      <w:r>
        <w:rPr>
          <w:rFonts w:hint="eastAsia" w:ascii="宋体" w:hAnsi="宋体"/>
          <w:color w:val="auto"/>
          <w:szCs w:val="21"/>
        </w:rPr>
        <w:t>根据实际生产工艺和用水情况，制定废水循环利用技术规范，</w:t>
      </w:r>
      <w:r>
        <w:rPr>
          <w:rFonts w:ascii="宋体" w:hAnsi="宋体"/>
          <w:color w:val="auto"/>
          <w:szCs w:val="21"/>
        </w:rPr>
        <w:t>引导和规范工厂</w:t>
      </w:r>
      <w:r>
        <w:rPr>
          <w:rFonts w:hint="eastAsia" w:ascii="宋体" w:hAnsi="宋体"/>
          <w:color w:val="auto"/>
          <w:szCs w:val="21"/>
        </w:rPr>
        <w:t>将废水重复用于生产，对降低我国的污水排放、缓解环境压力、节约用水具有重要意义。</w:t>
      </w:r>
    </w:p>
    <w:p>
      <w:pPr>
        <w:tabs>
          <w:tab w:val="left" w:pos="1120"/>
        </w:tabs>
        <w:spacing w:line="360" w:lineRule="auto"/>
        <w:rPr>
          <w:rFonts w:hint="eastAsia" w:ascii="宋体" w:hAnsi="宋体"/>
          <w:b/>
          <w:color w:val="auto"/>
          <w:szCs w:val="21"/>
        </w:rPr>
      </w:pPr>
      <w:r>
        <w:rPr>
          <w:rFonts w:hint="eastAsia" w:ascii="宋体" w:hAnsi="宋体"/>
          <w:b/>
          <w:color w:val="auto"/>
          <w:szCs w:val="21"/>
          <w:lang w:val="en-US" w:eastAsia="zh-CN"/>
        </w:rPr>
        <w:t xml:space="preserve">3.2 </w:t>
      </w:r>
      <w:r>
        <w:rPr>
          <w:rFonts w:hint="eastAsia" w:ascii="宋体" w:hAnsi="宋体"/>
          <w:b/>
          <w:color w:val="auto"/>
          <w:szCs w:val="21"/>
        </w:rPr>
        <w:t>铜加工废</w:t>
      </w:r>
      <w:r>
        <w:rPr>
          <w:rFonts w:ascii="宋体" w:hAnsi="宋体"/>
          <w:b/>
          <w:color w:val="auto"/>
          <w:szCs w:val="21"/>
        </w:rPr>
        <w:t>水来源</w:t>
      </w:r>
    </w:p>
    <w:p>
      <w:pPr>
        <w:tabs>
          <w:tab w:val="left" w:pos="1120"/>
        </w:tabs>
        <w:spacing w:line="360" w:lineRule="auto"/>
        <w:ind w:firstLine="420" w:firstLineChars="200"/>
        <w:rPr>
          <w:rFonts w:hint="eastAsia" w:ascii="宋体" w:hAnsi="宋体"/>
          <w:color w:val="auto"/>
          <w:szCs w:val="21"/>
        </w:rPr>
      </w:pPr>
      <w:r>
        <w:rPr>
          <w:rFonts w:hint="eastAsia" w:ascii="宋体" w:hAnsi="宋体"/>
          <w:color w:val="auto"/>
          <w:szCs w:val="21"/>
        </w:rPr>
        <w:t>（1）含重金属废水</w:t>
      </w:r>
    </w:p>
    <w:p>
      <w:pPr>
        <w:widowControl/>
        <w:wordWrap w:val="0"/>
        <w:spacing w:line="360" w:lineRule="auto"/>
        <w:ind w:firstLine="420" w:firstLineChars="200"/>
        <w:jc w:val="left"/>
        <w:rPr>
          <w:rFonts w:hint="eastAsia" w:ascii="宋体" w:hAnsi="宋体"/>
          <w:color w:val="auto"/>
          <w:szCs w:val="21"/>
        </w:rPr>
      </w:pPr>
      <w:r>
        <w:rPr>
          <w:rFonts w:hint="eastAsia" w:ascii="宋体" w:hAnsi="宋体"/>
          <w:color w:val="auto"/>
          <w:szCs w:val="21"/>
        </w:rPr>
        <w:t>该部分水为酸洗、气垫炉、酸碱洗废水及溢流水外排废水，</w:t>
      </w:r>
      <w:r>
        <w:rPr>
          <w:rFonts w:ascii="Times New Roman" w:hAnsi="Times New Roman"/>
          <w:color w:val="auto"/>
          <w:szCs w:val="21"/>
        </w:rPr>
        <w:t>废水中含有重金属离子</w:t>
      </w:r>
      <w:r>
        <w:rPr>
          <w:rFonts w:hint="eastAsia" w:ascii="Times New Roman" w:hAnsi="Times New Roman"/>
          <w:color w:val="auto"/>
          <w:szCs w:val="21"/>
        </w:rPr>
        <w:t>、</w:t>
      </w:r>
      <w:r>
        <w:rPr>
          <w:rFonts w:ascii="Times New Roman" w:hAnsi="Times New Roman"/>
          <w:color w:val="auto"/>
          <w:szCs w:val="21"/>
        </w:rPr>
        <w:t>酸和</w:t>
      </w:r>
      <w:r>
        <w:rPr>
          <w:rFonts w:hint="eastAsia" w:ascii="宋体" w:hAnsi="宋体"/>
          <w:color w:val="auto"/>
          <w:szCs w:val="21"/>
        </w:rPr>
        <w:t>悬浮物</w:t>
      </w:r>
      <w:r>
        <w:rPr>
          <w:rFonts w:hint="eastAsia" w:ascii="Times New Roman" w:hAnsi="Times New Roman"/>
          <w:color w:val="auto"/>
          <w:szCs w:val="21"/>
        </w:rPr>
        <w:t>。</w:t>
      </w:r>
    </w:p>
    <w:p>
      <w:pPr>
        <w:tabs>
          <w:tab w:val="left" w:pos="1120"/>
        </w:tabs>
        <w:spacing w:line="360" w:lineRule="auto"/>
        <w:ind w:firstLine="420" w:firstLineChars="200"/>
        <w:rPr>
          <w:rFonts w:hint="eastAsia" w:ascii="宋体" w:hAnsi="宋体"/>
          <w:color w:val="auto"/>
          <w:szCs w:val="21"/>
        </w:rPr>
      </w:pPr>
      <w:r>
        <w:rPr>
          <w:rFonts w:hint="eastAsia" w:ascii="宋体" w:hAnsi="宋体"/>
          <w:color w:val="auto"/>
          <w:szCs w:val="21"/>
        </w:rPr>
        <w:t>（2）废乳化液</w:t>
      </w:r>
    </w:p>
    <w:p>
      <w:pPr>
        <w:widowControl/>
        <w:wordWrap w:val="0"/>
        <w:spacing w:line="360" w:lineRule="auto"/>
        <w:ind w:firstLine="420" w:firstLineChars="200"/>
        <w:jc w:val="left"/>
        <w:rPr>
          <w:rFonts w:hint="eastAsia" w:ascii="宋体" w:hAnsi="宋体"/>
          <w:color w:val="auto"/>
          <w:szCs w:val="21"/>
        </w:rPr>
      </w:pPr>
      <w:r>
        <w:rPr>
          <w:rFonts w:hint="eastAsia" w:ascii="宋体" w:hAnsi="宋体"/>
          <w:color w:val="auto"/>
          <w:szCs w:val="21"/>
        </w:rPr>
        <w:t>该部分水为铜加工产品生产过程中产生的废乳液、废油水，</w:t>
      </w:r>
      <w:r>
        <w:rPr>
          <w:rFonts w:ascii="Times New Roman" w:hAnsi="Times New Roman"/>
          <w:color w:val="auto"/>
          <w:szCs w:val="21"/>
        </w:rPr>
        <w:t>废水中含有重金属和</w:t>
      </w:r>
      <w:r>
        <w:rPr>
          <w:rFonts w:hint="eastAsia" w:ascii="宋体" w:hAnsi="宋体"/>
          <w:color w:val="auto"/>
          <w:szCs w:val="21"/>
        </w:rPr>
        <w:t>悬浮物、油</w:t>
      </w:r>
      <w:r>
        <w:rPr>
          <w:rFonts w:ascii="Times New Roman" w:hAnsi="Times New Roman"/>
          <w:color w:val="auto"/>
          <w:szCs w:val="21"/>
        </w:rPr>
        <w:t>。</w:t>
      </w:r>
    </w:p>
    <w:p>
      <w:pPr>
        <w:tabs>
          <w:tab w:val="left" w:pos="1120"/>
        </w:tabs>
        <w:spacing w:line="360" w:lineRule="auto"/>
        <w:ind w:firstLine="420" w:firstLineChars="200"/>
        <w:rPr>
          <w:rFonts w:hint="eastAsia" w:ascii="宋体" w:hAnsi="宋体"/>
          <w:color w:val="auto"/>
          <w:szCs w:val="21"/>
        </w:rPr>
      </w:pPr>
      <w:r>
        <w:rPr>
          <w:rFonts w:hint="eastAsia" w:ascii="宋体" w:hAnsi="宋体"/>
          <w:color w:val="auto"/>
          <w:szCs w:val="21"/>
        </w:rPr>
        <w:t>（3）初期雨水</w:t>
      </w:r>
    </w:p>
    <w:p>
      <w:pPr>
        <w:tabs>
          <w:tab w:val="left" w:pos="1120"/>
        </w:tabs>
        <w:spacing w:line="360" w:lineRule="auto"/>
        <w:ind w:firstLine="420" w:firstLineChars="200"/>
        <w:rPr>
          <w:rFonts w:ascii="宋体" w:hAnsi="宋体"/>
          <w:b/>
          <w:bCs/>
          <w:color w:val="auto"/>
          <w:spacing w:val="8"/>
          <w:kern w:val="0"/>
          <w:szCs w:val="21"/>
        </w:rPr>
      </w:pPr>
      <w:r>
        <w:rPr>
          <w:rFonts w:hint="eastAsia" w:ascii="宋体" w:hAnsi="宋体"/>
          <w:color w:val="auto"/>
          <w:szCs w:val="21"/>
        </w:rPr>
        <w:t>铜加工厂区初期雨水。铜熔铸</w:t>
      </w:r>
      <w:r>
        <w:rPr>
          <w:rFonts w:ascii="宋体" w:hAnsi="宋体"/>
          <w:color w:val="auto"/>
          <w:szCs w:val="21"/>
        </w:rPr>
        <w:t>车间、</w:t>
      </w:r>
      <w:r>
        <w:rPr>
          <w:rFonts w:hint="eastAsia" w:ascii="宋体" w:hAnsi="宋体"/>
          <w:color w:val="auto"/>
          <w:szCs w:val="21"/>
        </w:rPr>
        <w:t>加工</w:t>
      </w:r>
      <w:r>
        <w:rPr>
          <w:rFonts w:ascii="宋体" w:hAnsi="宋体"/>
          <w:color w:val="auto"/>
          <w:szCs w:val="21"/>
        </w:rPr>
        <w:t>车间和其它生产工序中会产生含有</w:t>
      </w:r>
      <w:r>
        <w:rPr>
          <w:rFonts w:hint="eastAsia" w:ascii="宋体" w:hAnsi="宋体"/>
          <w:color w:val="auto"/>
          <w:szCs w:val="21"/>
        </w:rPr>
        <w:t>铜</w:t>
      </w:r>
      <w:r>
        <w:rPr>
          <w:rFonts w:ascii="宋体" w:hAnsi="宋体"/>
          <w:color w:val="auto"/>
          <w:szCs w:val="21"/>
        </w:rPr>
        <w:t>、锌金属的粉尘，含有</w:t>
      </w:r>
      <w:r>
        <w:rPr>
          <w:rFonts w:hint="eastAsia" w:ascii="宋体" w:hAnsi="宋体"/>
          <w:color w:val="auto"/>
          <w:szCs w:val="21"/>
        </w:rPr>
        <w:t>铜</w:t>
      </w:r>
      <w:r>
        <w:rPr>
          <w:rFonts w:ascii="宋体" w:hAnsi="宋体"/>
          <w:color w:val="auto"/>
          <w:szCs w:val="21"/>
        </w:rPr>
        <w:t>、锌金属的粉尘降落到地面，在降雨时随地面径流排出，存在环境污染隐患，一般对其前15mm雨水进行收集处理，该部分废水含有</w:t>
      </w:r>
      <w:r>
        <w:rPr>
          <w:rFonts w:hint="eastAsia" w:ascii="宋体" w:hAnsi="宋体"/>
          <w:color w:val="auto"/>
          <w:szCs w:val="21"/>
        </w:rPr>
        <w:t>悬浮物</w:t>
      </w:r>
      <w:r>
        <w:rPr>
          <w:rFonts w:ascii="宋体" w:hAnsi="宋体"/>
          <w:color w:val="auto"/>
          <w:szCs w:val="21"/>
        </w:rPr>
        <w:t>。</w:t>
      </w:r>
    </w:p>
    <w:p>
      <w:pPr>
        <w:tabs>
          <w:tab w:val="left" w:pos="1120"/>
        </w:tabs>
        <w:spacing w:line="360" w:lineRule="auto"/>
        <w:ind w:firstLine="420" w:firstLineChars="200"/>
        <w:rPr>
          <w:rFonts w:hint="eastAsia" w:ascii="宋体" w:hAnsi="宋体"/>
          <w:color w:val="auto"/>
          <w:szCs w:val="21"/>
        </w:rPr>
      </w:pPr>
      <w:r>
        <w:rPr>
          <w:rFonts w:hint="eastAsia" w:ascii="宋体" w:hAnsi="宋体"/>
          <w:color w:val="auto"/>
          <w:szCs w:val="21"/>
        </w:rPr>
        <w:t>（4）一般生产废水</w:t>
      </w:r>
    </w:p>
    <w:p>
      <w:pPr>
        <w:widowControl/>
        <w:wordWrap w:val="0"/>
        <w:spacing w:line="360" w:lineRule="auto"/>
        <w:ind w:firstLine="420" w:firstLineChars="200"/>
        <w:jc w:val="left"/>
        <w:rPr>
          <w:rFonts w:hint="eastAsia" w:ascii="Times New Roman" w:hAnsi="Times New Roman"/>
          <w:color w:val="auto"/>
          <w:szCs w:val="21"/>
        </w:rPr>
      </w:pPr>
      <w:r>
        <w:rPr>
          <w:rFonts w:hint="eastAsia" w:ascii="宋体" w:hAnsi="宋体"/>
          <w:color w:val="auto"/>
          <w:szCs w:val="21"/>
        </w:rPr>
        <w:t>该部分水为去离子水处理站排放的浓水、机修车间、</w:t>
      </w:r>
      <w:r>
        <w:rPr>
          <w:rFonts w:ascii="宋体" w:hAnsi="宋体"/>
          <w:color w:val="auto"/>
          <w:szCs w:val="21"/>
        </w:rPr>
        <w:t>空压站</w:t>
      </w:r>
      <w:r>
        <w:rPr>
          <w:rFonts w:hint="eastAsia" w:ascii="宋体" w:hAnsi="宋体"/>
          <w:color w:val="auto"/>
          <w:szCs w:val="21"/>
        </w:rPr>
        <w:t>等产生的废水、熔铸浇注水、铜产品加工喷淋及设备冷却水。</w:t>
      </w:r>
      <w:r>
        <w:rPr>
          <w:rFonts w:ascii="Times New Roman" w:hAnsi="Times New Roman"/>
          <w:color w:val="auto"/>
          <w:szCs w:val="21"/>
        </w:rPr>
        <w:t>废水中含有</w:t>
      </w:r>
      <w:r>
        <w:rPr>
          <w:rFonts w:hint="eastAsia" w:ascii="宋体" w:hAnsi="宋体"/>
          <w:color w:val="auto"/>
          <w:szCs w:val="21"/>
        </w:rPr>
        <w:t>重金属离子、悬浮物、油、酸等</w:t>
      </w:r>
      <w:r>
        <w:rPr>
          <w:rFonts w:ascii="Times New Roman" w:hAnsi="Times New Roman"/>
          <w:color w:val="auto"/>
          <w:szCs w:val="21"/>
        </w:rPr>
        <w:t>。</w:t>
      </w:r>
    </w:p>
    <w:p>
      <w:pPr>
        <w:pStyle w:val="9"/>
        <w:spacing w:beforeLines="50" w:line="360" w:lineRule="auto"/>
        <w:rPr>
          <w:rFonts w:hint="eastAsia" w:ascii="宋体" w:hAnsi="宋体"/>
          <w:b/>
          <w:color w:val="auto"/>
          <w:szCs w:val="21"/>
        </w:rPr>
      </w:pPr>
      <w:bookmarkStart w:id="12" w:name="_Toc16715900"/>
      <w:bookmarkStart w:id="13" w:name="_Toc278868474"/>
      <w:bookmarkStart w:id="14" w:name="_Toc463873679"/>
      <w:r>
        <w:rPr>
          <w:rFonts w:hint="eastAsia" w:ascii="宋体" w:hAnsi="宋体"/>
          <w:b/>
          <w:color w:val="auto"/>
          <w:szCs w:val="21"/>
          <w:lang w:val="en-US" w:eastAsia="zh-CN"/>
        </w:rPr>
        <w:t xml:space="preserve">3.3 </w:t>
      </w:r>
      <w:r>
        <w:rPr>
          <w:rFonts w:hint="eastAsia" w:ascii="宋体" w:hAnsi="宋体"/>
          <w:b/>
          <w:color w:val="auto"/>
          <w:szCs w:val="21"/>
        </w:rPr>
        <w:t>铜加工废水处理</w:t>
      </w:r>
      <w:r>
        <w:rPr>
          <w:rFonts w:hint="eastAsia" w:ascii="宋体" w:hAnsi="宋体" w:cs="黑体"/>
          <w:b/>
          <w:color w:val="auto"/>
          <w:szCs w:val="21"/>
        </w:rPr>
        <w:t>工艺</w:t>
      </w:r>
      <w:bookmarkEnd w:id="12"/>
    </w:p>
    <w:p>
      <w:pPr>
        <w:pStyle w:val="3"/>
        <w:spacing w:before="0" w:after="0" w:line="360" w:lineRule="auto"/>
        <w:rPr>
          <w:rFonts w:ascii="宋体" w:hAnsi="宋体" w:eastAsia="宋体"/>
          <w:b w:val="0"/>
          <w:color w:val="auto"/>
          <w:sz w:val="21"/>
          <w:szCs w:val="21"/>
        </w:rPr>
      </w:pPr>
      <w:bookmarkStart w:id="15" w:name="_Toc16715901"/>
      <w:bookmarkStart w:id="16" w:name="_Toc532905031"/>
      <w:r>
        <w:rPr>
          <w:rFonts w:hint="eastAsia" w:ascii="宋体" w:hAnsi="宋体" w:eastAsia="宋体"/>
          <w:b w:val="0"/>
          <w:bCs w:val="0"/>
          <w:color w:val="auto"/>
          <w:sz w:val="21"/>
          <w:szCs w:val="21"/>
          <w:lang w:val="en-US" w:eastAsia="zh-CN"/>
        </w:rPr>
        <w:t>3.3</w:t>
      </w:r>
      <w:r>
        <w:rPr>
          <w:rFonts w:ascii="宋体" w:hAnsi="宋体" w:eastAsia="宋体"/>
          <w:b w:val="0"/>
          <w:bCs w:val="0"/>
          <w:color w:val="auto"/>
          <w:sz w:val="21"/>
          <w:szCs w:val="21"/>
        </w:rPr>
        <w:t>.</w:t>
      </w:r>
      <w:r>
        <w:rPr>
          <w:rFonts w:hint="eastAsia" w:ascii="宋体" w:hAnsi="宋体" w:eastAsia="宋体"/>
          <w:b w:val="0"/>
          <w:bCs w:val="0"/>
          <w:color w:val="auto"/>
          <w:sz w:val="21"/>
          <w:szCs w:val="21"/>
        </w:rPr>
        <w:t>1</w:t>
      </w:r>
      <w:r>
        <w:rPr>
          <w:rFonts w:ascii="宋体" w:hAnsi="宋体" w:eastAsia="宋体"/>
          <w:b w:val="0"/>
          <w:bCs w:val="0"/>
          <w:color w:val="auto"/>
          <w:sz w:val="21"/>
          <w:szCs w:val="21"/>
        </w:rPr>
        <w:t>含</w:t>
      </w:r>
      <w:r>
        <w:rPr>
          <w:rFonts w:hint="eastAsia" w:ascii="宋体" w:hAnsi="宋体" w:eastAsia="宋体"/>
          <w:b w:val="0"/>
          <w:bCs w:val="0"/>
          <w:color w:val="auto"/>
          <w:sz w:val="21"/>
          <w:szCs w:val="21"/>
          <w:lang w:eastAsia="zh-CN"/>
        </w:rPr>
        <w:t>重金属</w:t>
      </w:r>
      <w:r>
        <w:rPr>
          <w:rFonts w:ascii="宋体" w:hAnsi="宋体" w:eastAsia="宋体"/>
          <w:b w:val="0"/>
          <w:bCs w:val="0"/>
          <w:color w:val="auto"/>
          <w:sz w:val="21"/>
          <w:szCs w:val="21"/>
        </w:rPr>
        <w:t>污水</w:t>
      </w:r>
      <w:r>
        <w:rPr>
          <w:rFonts w:hint="eastAsia" w:ascii="宋体" w:hAnsi="宋体" w:eastAsia="宋体"/>
          <w:b w:val="0"/>
          <w:color w:val="auto"/>
          <w:sz w:val="21"/>
          <w:szCs w:val="21"/>
        </w:rPr>
        <w:t>处理工艺</w:t>
      </w:r>
    </w:p>
    <w:p>
      <w:pPr>
        <w:spacing w:line="360" w:lineRule="auto"/>
        <w:ind w:firstLine="420" w:firstLineChars="200"/>
        <w:rPr>
          <w:rFonts w:ascii="宋体" w:hAnsi="宋体"/>
          <w:color w:val="auto"/>
          <w:szCs w:val="21"/>
        </w:rPr>
      </w:pPr>
      <w:r>
        <w:rPr>
          <w:rFonts w:hint="eastAsia" w:ascii="宋体" w:hAnsi="宋体"/>
          <w:color w:val="auto"/>
          <w:szCs w:val="21"/>
        </w:rPr>
        <w:t xml:space="preserve">酸性含重金属污水处理工艺宜选用均质调节、中和、一体化净化装置、污泥脱水等处理方法，处理后出水排放至循环水处理站进一步处理，处理工艺流程见图1。  </w:t>
      </w:r>
    </w:p>
    <w:bookmarkEnd w:id="13"/>
    <w:bookmarkEnd w:id="14"/>
    <w:bookmarkEnd w:id="15"/>
    <w:bookmarkEnd w:id="16"/>
    <w:p>
      <w:pPr>
        <w:tabs>
          <w:tab w:val="left" w:pos="1120"/>
        </w:tabs>
        <w:spacing w:line="360" w:lineRule="auto"/>
        <w:jc w:val="center"/>
        <w:rPr>
          <w:rFonts w:hint="eastAsia" w:ascii="Times New Roman" w:hAnsi="Times New Roman"/>
          <w:color w:val="auto"/>
          <w:sz w:val="24"/>
          <w:szCs w:val="24"/>
        </w:rPr>
      </w:pPr>
      <w:r>
        <w:rPr>
          <w:color w:val="auto"/>
        </w:rPr>
        <w:drawing>
          <wp:inline distT="0" distB="0" distL="114300" distR="114300">
            <wp:extent cx="5395595" cy="1886585"/>
            <wp:effectExtent l="0" t="0" r="0"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5"/>
                    <a:srcRect t="6464" b="5034"/>
                    <a:stretch>
                      <a:fillRect/>
                    </a:stretch>
                  </pic:blipFill>
                  <pic:spPr>
                    <a:xfrm>
                      <a:off x="0" y="0"/>
                      <a:ext cx="5395595" cy="1886585"/>
                    </a:xfrm>
                    <a:prstGeom prst="rect">
                      <a:avLst/>
                    </a:prstGeom>
                    <a:noFill/>
                    <a:ln>
                      <a:noFill/>
                    </a:ln>
                  </pic:spPr>
                </pic:pic>
              </a:graphicData>
            </a:graphic>
          </wp:inline>
        </w:drawing>
      </w:r>
    </w:p>
    <w:p>
      <w:pPr>
        <w:tabs>
          <w:tab w:val="left" w:pos="1120"/>
        </w:tabs>
        <w:spacing w:beforeLines="50" w:afterLines="50" w:line="360" w:lineRule="auto"/>
        <w:ind w:firstLine="420" w:firstLineChars="200"/>
        <w:jc w:val="center"/>
        <w:rPr>
          <w:rFonts w:ascii="宋体" w:hAnsi="宋体"/>
          <w:color w:val="auto"/>
          <w:sz w:val="21"/>
          <w:szCs w:val="21"/>
        </w:rPr>
      </w:pPr>
      <w:r>
        <w:rPr>
          <w:rFonts w:hint="eastAsia" w:ascii="宋体" w:hAnsi="宋体"/>
          <w:color w:val="auto"/>
          <w:sz w:val="21"/>
          <w:szCs w:val="21"/>
        </w:rPr>
        <w:t>图1</w:t>
      </w:r>
      <w:r>
        <w:rPr>
          <w:rFonts w:ascii="宋体" w:hAnsi="宋体"/>
          <w:color w:val="auto"/>
          <w:sz w:val="21"/>
          <w:szCs w:val="21"/>
        </w:rPr>
        <w:t xml:space="preserve">  </w:t>
      </w:r>
      <w:r>
        <w:rPr>
          <w:rFonts w:hint="eastAsia" w:ascii="宋体" w:hAnsi="宋体"/>
          <w:color w:val="auto"/>
          <w:sz w:val="21"/>
          <w:szCs w:val="21"/>
        </w:rPr>
        <w:t xml:space="preserve"> 酸性含铜污水处理工艺流程图</w:t>
      </w:r>
    </w:p>
    <w:p>
      <w:pPr>
        <w:pStyle w:val="3"/>
        <w:spacing w:before="0" w:after="0" w:line="360" w:lineRule="auto"/>
        <w:rPr>
          <w:rFonts w:ascii="宋体" w:hAnsi="宋体" w:eastAsia="宋体"/>
          <w:b w:val="0"/>
          <w:bCs w:val="0"/>
          <w:color w:val="auto"/>
          <w:sz w:val="21"/>
          <w:szCs w:val="21"/>
        </w:rPr>
      </w:pPr>
      <w:r>
        <w:rPr>
          <w:rFonts w:hint="eastAsia" w:ascii="宋体" w:hAnsi="宋体" w:eastAsia="宋体"/>
          <w:b w:val="0"/>
          <w:bCs w:val="0"/>
          <w:color w:val="auto"/>
          <w:sz w:val="21"/>
          <w:szCs w:val="21"/>
          <w:lang w:val="en-US" w:eastAsia="zh-CN"/>
        </w:rPr>
        <w:t>3.3</w:t>
      </w:r>
      <w:r>
        <w:rPr>
          <w:rFonts w:ascii="宋体" w:hAnsi="宋体" w:eastAsia="宋体"/>
          <w:b w:val="0"/>
          <w:bCs w:val="0"/>
          <w:color w:val="auto"/>
          <w:sz w:val="21"/>
          <w:szCs w:val="21"/>
        </w:rPr>
        <w:t>.2废乳液处理工艺</w:t>
      </w:r>
    </w:p>
    <w:p>
      <w:pPr>
        <w:spacing w:line="360" w:lineRule="auto"/>
        <w:ind w:firstLine="420" w:firstLineChars="200"/>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废乳液（主要污染物：油脂、有机杂质、无机盐等）处理工艺宜选用破乳、旋流除砂、超滤等处理方法，处理后的出水排放至循环水处理站进一步处理，并作为系统的补充用水。处理工艺流程见图</w:t>
      </w:r>
      <w:r>
        <w:rPr>
          <w:rFonts w:hint="eastAsia" w:ascii="宋体" w:hAnsi="宋体"/>
          <w:color w:val="auto"/>
          <w:szCs w:val="21"/>
          <w:lang w:val="en-US" w:eastAsia="zh-CN"/>
        </w:rPr>
        <w:t>2</w:t>
      </w:r>
      <w:r>
        <w:rPr>
          <w:rFonts w:hint="eastAsia" w:ascii="宋体" w:hAnsi="宋体"/>
          <w:color w:val="auto"/>
          <w:szCs w:val="21"/>
        </w:rPr>
        <w:t>。</w:t>
      </w:r>
    </w:p>
    <w:p>
      <w:pPr>
        <w:tabs>
          <w:tab w:val="left" w:pos="1120"/>
        </w:tabs>
        <w:spacing w:line="360" w:lineRule="auto"/>
        <w:jc w:val="center"/>
        <w:rPr>
          <w:rFonts w:hint="eastAsia" w:ascii="Times New Roman" w:hAnsi="Times New Roman"/>
          <w:color w:val="auto"/>
          <w:sz w:val="24"/>
          <w:szCs w:val="24"/>
        </w:rPr>
      </w:pPr>
      <w:r>
        <w:rPr>
          <w:color w:val="auto"/>
        </w:rPr>
        <w:drawing>
          <wp:inline distT="0" distB="0" distL="114300" distR="114300">
            <wp:extent cx="5240020" cy="1981835"/>
            <wp:effectExtent l="0" t="0" r="17780" b="1841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6"/>
                    <a:stretch>
                      <a:fillRect/>
                    </a:stretch>
                  </pic:blipFill>
                  <pic:spPr>
                    <a:xfrm>
                      <a:off x="0" y="0"/>
                      <a:ext cx="5240020" cy="1981835"/>
                    </a:xfrm>
                    <a:prstGeom prst="rect">
                      <a:avLst/>
                    </a:prstGeom>
                    <a:noFill/>
                    <a:ln>
                      <a:noFill/>
                    </a:ln>
                  </pic:spPr>
                </pic:pic>
              </a:graphicData>
            </a:graphic>
          </wp:inline>
        </w:drawing>
      </w:r>
    </w:p>
    <w:p>
      <w:pPr>
        <w:keepNext w:val="0"/>
        <w:keepLines w:val="0"/>
        <w:pageBreakBefore w:val="0"/>
        <w:widowControl w:val="0"/>
        <w:tabs>
          <w:tab w:val="left" w:pos="1120"/>
        </w:tabs>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color w:val="auto"/>
          <w:sz w:val="21"/>
          <w:szCs w:val="21"/>
        </w:rPr>
      </w:pPr>
      <w:r>
        <w:rPr>
          <w:rFonts w:hint="eastAsia" w:ascii="宋体" w:hAnsi="宋体"/>
          <w:color w:val="auto"/>
          <w:sz w:val="21"/>
          <w:szCs w:val="21"/>
        </w:rPr>
        <w:t>图</w:t>
      </w:r>
      <w:r>
        <w:rPr>
          <w:rFonts w:hint="eastAsia" w:ascii="宋体" w:hAnsi="宋体"/>
          <w:color w:val="auto"/>
          <w:sz w:val="21"/>
          <w:szCs w:val="21"/>
          <w:lang w:val="en-US" w:eastAsia="zh-CN"/>
        </w:rPr>
        <w:t>2</w:t>
      </w:r>
      <w:r>
        <w:rPr>
          <w:rFonts w:ascii="宋体" w:hAnsi="宋体"/>
          <w:color w:val="auto"/>
          <w:sz w:val="21"/>
          <w:szCs w:val="21"/>
        </w:rPr>
        <w:t xml:space="preserve"> </w:t>
      </w:r>
      <w:r>
        <w:rPr>
          <w:rFonts w:hint="eastAsia" w:ascii="宋体" w:hAnsi="宋体"/>
          <w:color w:val="auto"/>
          <w:sz w:val="21"/>
          <w:szCs w:val="21"/>
        </w:rPr>
        <w:t xml:space="preserve">  废乳化液处理流程图</w:t>
      </w:r>
    </w:p>
    <w:p>
      <w:pPr>
        <w:numPr>
          <w:ilvl w:val="0"/>
          <w:numId w:val="1"/>
        </w:numPr>
        <w:spacing w:line="360" w:lineRule="auto"/>
        <w:ind w:left="420" w:leftChars="200"/>
        <w:rPr>
          <w:rFonts w:hint="eastAsia"/>
        </w:rPr>
      </w:pPr>
      <w:r>
        <w:rPr>
          <w:rFonts w:hint="eastAsia"/>
        </w:rPr>
        <w:t>废乳</w:t>
      </w:r>
      <w:r>
        <w:rPr>
          <w:rFonts w:hint="eastAsia" w:asciiTheme="minorEastAsia" w:hAnsiTheme="minorEastAsia" w:eastAsiaTheme="minorEastAsia"/>
          <w:bCs/>
          <w:color w:val="FF0000"/>
          <w:szCs w:val="21"/>
        </w:rPr>
        <w:t>化</w:t>
      </w:r>
      <w:r>
        <w:rPr>
          <w:rFonts w:hint="eastAsia"/>
        </w:rPr>
        <w:t>液</w:t>
      </w:r>
      <w:r>
        <w:rPr>
          <w:rFonts w:hint="eastAsia" w:ascii="宋体" w:hAnsi="宋体" w:eastAsia="宋体" w:cs="宋体"/>
          <w:lang w:val="en-US" w:eastAsia="zh-CN"/>
        </w:rPr>
        <w:t>经低温蒸发</w:t>
      </w:r>
      <w:r>
        <w:rPr>
          <w:rFonts w:hint="eastAsia" w:ascii="宋体" w:hAnsi="宋体" w:eastAsia="宋体" w:cs="宋体"/>
        </w:rPr>
        <w:t>工</w:t>
      </w:r>
      <w:r>
        <w:rPr>
          <w:rFonts w:hint="eastAsia"/>
        </w:rPr>
        <w:t>艺处理后的出水用于补充冷却循环水等各生产用水单元。</w:t>
      </w:r>
    </w:p>
    <w:p>
      <w:pPr>
        <w:numPr>
          <w:ilvl w:val="0"/>
          <w:numId w:val="0"/>
        </w:numPr>
        <w:spacing w:line="360" w:lineRule="auto"/>
        <w:rPr>
          <w:rFonts w:hint="eastAsia"/>
        </w:rPr>
      </w:pPr>
      <w:r>
        <w:rPr>
          <w:rFonts w:hint="eastAsia"/>
        </w:rPr>
        <w:t>处理工艺及回用流程见图</w:t>
      </w:r>
      <w:r>
        <w:rPr>
          <w:rFonts w:hint="eastAsia"/>
          <w:lang w:val="en-US" w:eastAsia="zh-CN"/>
        </w:rPr>
        <w:t>3</w:t>
      </w:r>
      <w:r>
        <w:rPr>
          <w:rFonts w:hint="eastAsia"/>
        </w:rPr>
        <w:t>。</w:t>
      </w:r>
    </w:p>
    <w:p>
      <w:pPr>
        <w:pStyle w:val="3"/>
        <w:spacing w:before="0" w:after="0" w:line="360" w:lineRule="auto"/>
        <w:jc w:val="center"/>
        <w:rPr>
          <w:rFonts w:hint="eastAsia" w:ascii="宋体" w:hAnsi="宋体" w:eastAsia="宋体"/>
          <w:b w:val="0"/>
          <w:bCs w:val="0"/>
          <w:color w:val="auto"/>
          <w:sz w:val="21"/>
          <w:szCs w:val="21"/>
          <w:lang w:val="en-US" w:eastAsia="zh-CN"/>
        </w:rPr>
      </w:pPr>
      <w:r>
        <w:drawing>
          <wp:inline distT="0" distB="0" distL="114300" distR="114300">
            <wp:extent cx="5399405" cy="20961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rcRect t="7535"/>
                    <a:stretch>
                      <a:fillRect/>
                    </a:stretch>
                  </pic:blipFill>
                  <pic:spPr>
                    <a:xfrm>
                      <a:off x="0" y="0"/>
                      <a:ext cx="5399405" cy="2096135"/>
                    </a:xfrm>
                    <a:prstGeom prst="rect">
                      <a:avLst/>
                    </a:prstGeom>
                    <a:noFill/>
                    <a:ln>
                      <a:noFill/>
                    </a:ln>
                  </pic:spPr>
                </pic:pic>
              </a:graphicData>
            </a:graphic>
          </wp:inline>
        </w:drawing>
      </w:r>
    </w:p>
    <w:p>
      <w:pPr>
        <w:keepNext w:val="0"/>
        <w:keepLines w:val="0"/>
        <w:pageBreakBefore w:val="0"/>
        <w:widowControl w:val="0"/>
        <w:tabs>
          <w:tab w:val="left" w:pos="1120"/>
        </w:tabs>
        <w:kinsoku/>
        <w:wordWrap/>
        <w:overflowPunct/>
        <w:topLinePunct w:val="0"/>
        <w:autoSpaceDE/>
        <w:autoSpaceDN/>
        <w:bidi w:val="0"/>
        <w:adjustRightInd/>
        <w:snapToGrid/>
        <w:spacing w:beforeLines="100" w:afterLines="100"/>
        <w:ind w:firstLine="420" w:firstLineChars="200"/>
        <w:jc w:val="center"/>
        <w:textAlignment w:val="auto"/>
        <w:rPr>
          <w:rFonts w:hint="eastAsia" w:ascii="宋体" w:hAnsi="宋体" w:eastAsia="宋体" w:cs="宋体"/>
          <w:bCs/>
          <w:szCs w:val="21"/>
        </w:rPr>
      </w:pPr>
      <w:r>
        <w:rPr>
          <w:rFonts w:hint="eastAsia" w:ascii="宋体" w:hAnsi="宋体" w:eastAsia="宋体" w:cs="宋体"/>
          <w:szCs w:val="21"/>
        </w:rPr>
        <w:t>图</w:t>
      </w:r>
      <w:r>
        <w:rPr>
          <w:rFonts w:hint="eastAsia" w:ascii="宋体" w:hAnsi="宋体" w:eastAsia="宋体" w:cs="宋体"/>
          <w:szCs w:val="21"/>
          <w:lang w:val="en-US" w:eastAsia="zh-CN"/>
        </w:rPr>
        <w:t>3</w:t>
      </w:r>
      <w:r>
        <w:rPr>
          <w:rFonts w:hint="eastAsia" w:ascii="宋体" w:hAnsi="宋体" w:eastAsia="宋体" w:cs="宋体"/>
          <w:szCs w:val="21"/>
        </w:rPr>
        <w:t xml:space="preserve"> 废乳化液</w:t>
      </w:r>
      <w:r>
        <w:rPr>
          <w:rFonts w:hint="eastAsia" w:ascii="宋体" w:hAnsi="宋体" w:eastAsia="宋体" w:cs="宋体"/>
          <w:szCs w:val="21"/>
          <w:lang w:val="en-US" w:eastAsia="zh-CN"/>
        </w:rPr>
        <w:t>低温蒸发</w:t>
      </w:r>
      <w:r>
        <w:rPr>
          <w:rFonts w:hint="eastAsia" w:ascii="宋体" w:hAnsi="宋体" w:eastAsia="宋体" w:cs="宋体"/>
          <w:szCs w:val="21"/>
        </w:rPr>
        <w:t>处理及回用流程图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该处理工艺主要过程如下：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lang w:eastAsia="zh-CN"/>
        </w:rPr>
        <w:t>预热：本设备蒸发器自动进水，水泵运行产生真空，压缩机运行产生热量给蒸发罐内废水加热，在真空状态下，废水温度上升到</w:t>
      </w:r>
      <w:r>
        <w:rPr>
          <w:rFonts w:hint="eastAsia" w:ascii="宋体" w:hAnsi="宋体" w:eastAsia="宋体" w:cs="宋体"/>
          <w:szCs w:val="21"/>
          <w:lang w:val="en-US" w:eastAsia="zh-CN"/>
        </w:rPr>
        <w:t>规定温服</w:t>
      </w:r>
      <w:r>
        <w:rPr>
          <w:rFonts w:hint="eastAsia" w:ascii="宋体" w:hAnsi="宋体" w:eastAsia="宋体" w:cs="宋体"/>
          <w:szCs w:val="21"/>
          <w:lang w:eastAsia="zh-CN"/>
        </w:rPr>
        <w:t>，废水开始蒸发，预热完成。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lang w:eastAsia="zh-CN"/>
        </w:rPr>
        <w:t>蒸发浓缩过程：蒸发温度设定为37℃，压缩机压缩氟利昂产生热量，水分快速蒸发的同时，氟利昂通过膨胀阀气化后吸收热量制冷，蒸气上升与冷液热交换冷凝进入储水罐，氟利昂吸收了热量，通过压缩机压缩制热，给废水再加热。如果在蒸发的过程中有气泡上升，泡沫传感器检测到后，消泡剂自动入消泡，一个周期完成后，开始排出浓缩液（一个周期的时间可设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szCs w:val="21"/>
          <w:lang w:eastAsia="zh-CN"/>
        </w:rPr>
        <w:t>浓缩液排出：一个蒸发周期完成后，压缩机停止工作，浓缩液管路上气动阀打开，蒸发罐加压，将浓缩液排出浓缩罐内。</w:t>
      </w:r>
    </w:p>
    <w:p>
      <w:pPr>
        <w:pStyle w:val="3"/>
        <w:spacing w:before="0" w:after="0" w:line="360" w:lineRule="auto"/>
        <w:rPr>
          <w:rFonts w:ascii="宋体" w:hAnsi="宋体" w:eastAsia="宋体"/>
          <w:b w:val="0"/>
          <w:bCs w:val="0"/>
          <w:color w:val="auto"/>
          <w:sz w:val="21"/>
          <w:szCs w:val="21"/>
        </w:rPr>
      </w:pPr>
      <w:r>
        <w:rPr>
          <w:rFonts w:hint="eastAsia" w:ascii="宋体" w:hAnsi="宋体" w:eastAsia="宋体"/>
          <w:b w:val="0"/>
          <w:bCs w:val="0"/>
          <w:color w:val="auto"/>
          <w:sz w:val="21"/>
          <w:szCs w:val="21"/>
          <w:lang w:val="en-US" w:eastAsia="zh-CN"/>
        </w:rPr>
        <w:t>3.3</w:t>
      </w:r>
      <w:r>
        <w:rPr>
          <w:rFonts w:ascii="宋体" w:hAnsi="宋体" w:eastAsia="宋体"/>
          <w:b w:val="0"/>
          <w:bCs w:val="0"/>
          <w:color w:val="auto"/>
          <w:sz w:val="21"/>
          <w:szCs w:val="21"/>
        </w:rPr>
        <w:t>.</w:t>
      </w:r>
      <w:r>
        <w:rPr>
          <w:rFonts w:hint="eastAsia" w:ascii="宋体" w:hAnsi="宋体" w:eastAsia="宋体"/>
          <w:b w:val="0"/>
          <w:bCs w:val="0"/>
          <w:color w:val="auto"/>
          <w:sz w:val="21"/>
          <w:szCs w:val="21"/>
        </w:rPr>
        <w:t>3初期雨水</w:t>
      </w:r>
      <w:r>
        <w:rPr>
          <w:rFonts w:ascii="宋体" w:hAnsi="宋体" w:eastAsia="宋体"/>
          <w:b w:val="0"/>
          <w:bCs w:val="0"/>
          <w:color w:val="auto"/>
          <w:sz w:val="21"/>
          <w:szCs w:val="21"/>
        </w:rPr>
        <w:t>处理工艺</w:t>
      </w:r>
    </w:p>
    <w:p>
      <w:pPr>
        <w:tabs>
          <w:tab w:val="left" w:pos="7258"/>
        </w:tabs>
        <w:spacing w:line="360" w:lineRule="auto"/>
        <w:ind w:firstLine="420" w:firstLineChars="200"/>
        <w:rPr>
          <w:rFonts w:ascii="宋体" w:hAnsi="宋体"/>
          <w:color w:val="auto"/>
          <w:szCs w:val="21"/>
        </w:rPr>
      </w:pPr>
      <w:r>
        <w:rPr>
          <w:rFonts w:hint="eastAsia" w:ascii="宋体" w:hAnsi="宋体"/>
          <w:color w:val="auto"/>
          <w:szCs w:val="21"/>
        </w:rPr>
        <w:t>初期雨水经收集沉淀后进入综合废水处理站进一步处理。初期雨水处理及回用流程见图</w:t>
      </w:r>
      <w:r>
        <w:rPr>
          <w:rFonts w:hint="eastAsia" w:ascii="宋体" w:hAnsi="宋体"/>
          <w:color w:val="auto"/>
          <w:szCs w:val="21"/>
          <w:lang w:val="en-US" w:eastAsia="zh-CN"/>
        </w:rPr>
        <w:t>3</w:t>
      </w:r>
      <w:r>
        <w:rPr>
          <w:rFonts w:hint="eastAsia" w:ascii="宋体" w:hAnsi="宋体"/>
          <w:color w:val="auto"/>
          <w:szCs w:val="21"/>
        </w:rPr>
        <w:t>。</w:t>
      </w:r>
    </w:p>
    <w:p>
      <w:pPr>
        <w:tabs>
          <w:tab w:val="left" w:pos="1120"/>
        </w:tabs>
        <w:spacing w:line="360" w:lineRule="auto"/>
        <w:rPr>
          <w:rFonts w:hint="eastAsia" w:ascii="Times New Roman" w:hAnsi="Times New Roman"/>
          <w:color w:val="auto"/>
          <w:sz w:val="24"/>
          <w:szCs w:val="24"/>
        </w:rPr>
      </w:pPr>
      <w:r>
        <w:rPr>
          <w:rFonts w:hint="eastAsia" w:ascii="Times New Roman" w:hAnsi="Times New Roman"/>
          <w:color w:val="auto"/>
          <w:sz w:val="24"/>
          <w:szCs w:val="24"/>
        </w:rPr>
        <w:drawing>
          <wp:inline distT="0" distB="0" distL="0" distR="0">
            <wp:extent cx="5019675" cy="1104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srcRect l="28220" t="47148" r="29657" b="38101"/>
                    <a:stretch>
                      <a:fillRect/>
                    </a:stretch>
                  </pic:blipFill>
                  <pic:spPr>
                    <a:xfrm>
                      <a:off x="0" y="0"/>
                      <a:ext cx="5019675" cy="1104900"/>
                    </a:xfrm>
                    <a:prstGeom prst="rect">
                      <a:avLst/>
                    </a:prstGeom>
                    <a:noFill/>
                    <a:ln w="9525">
                      <a:noFill/>
                      <a:miter lim="800000"/>
                      <a:headEnd/>
                      <a:tailEnd/>
                    </a:ln>
                  </pic:spPr>
                </pic:pic>
              </a:graphicData>
            </a:graphic>
          </wp:inline>
        </w:drawing>
      </w:r>
    </w:p>
    <w:p>
      <w:pPr>
        <w:tabs>
          <w:tab w:val="left" w:pos="1120"/>
        </w:tabs>
        <w:spacing w:beforeLines="50" w:afterLines="50" w:line="360" w:lineRule="auto"/>
        <w:ind w:firstLine="420" w:firstLineChars="200"/>
        <w:jc w:val="center"/>
        <w:rPr>
          <w:rFonts w:hint="eastAsia" w:ascii="宋体" w:hAnsi="宋体"/>
          <w:color w:val="auto"/>
          <w:szCs w:val="21"/>
        </w:rPr>
      </w:pPr>
      <w:r>
        <w:rPr>
          <w:rFonts w:hint="eastAsia" w:ascii="宋体" w:hAnsi="宋体"/>
          <w:color w:val="auto"/>
          <w:szCs w:val="21"/>
        </w:rPr>
        <w:t>图</w:t>
      </w:r>
      <w:r>
        <w:rPr>
          <w:rFonts w:hint="eastAsia" w:ascii="宋体" w:hAnsi="宋体"/>
          <w:color w:val="auto"/>
          <w:szCs w:val="21"/>
          <w:lang w:val="en-US" w:eastAsia="zh-CN"/>
        </w:rPr>
        <w:t>3</w:t>
      </w:r>
      <w:r>
        <w:rPr>
          <w:rFonts w:ascii="宋体" w:hAnsi="宋体"/>
          <w:color w:val="auto"/>
          <w:szCs w:val="21"/>
        </w:rPr>
        <w:t xml:space="preserve"> </w:t>
      </w:r>
      <w:r>
        <w:rPr>
          <w:rFonts w:hint="eastAsia" w:ascii="宋体" w:hAnsi="宋体"/>
          <w:color w:val="auto"/>
          <w:szCs w:val="21"/>
        </w:rPr>
        <w:t xml:space="preserve">  初期雨水处理流程图</w:t>
      </w:r>
    </w:p>
    <w:p>
      <w:pPr>
        <w:pStyle w:val="3"/>
        <w:spacing w:before="0" w:after="0" w:line="360" w:lineRule="auto"/>
        <w:rPr>
          <w:rFonts w:hint="eastAsia" w:ascii="宋体" w:hAnsi="宋体" w:eastAsia="宋体"/>
          <w:bCs w:val="0"/>
          <w:color w:val="auto"/>
          <w:sz w:val="21"/>
          <w:szCs w:val="21"/>
        </w:rPr>
      </w:pPr>
      <w:r>
        <w:rPr>
          <w:rFonts w:hint="eastAsia" w:ascii="宋体" w:hAnsi="宋体" w:eastAsia="宋体"/>
          <w:b w:val="0"/>
          <w:bCs w:val="0"/>
          <w:color w:val="auto"/>
          <w:sz w:val="21"/>
          <w:szCs w:val="21"/>
          <w:lang w:val="en-US" w:eastAsia="zh-CN"/>
        </w:rPr>
        <w:t>3.3</w:t>
      </w:r>
      <w:r>
        <w:rPr>
          <w:rFonts w:ascii="宋体" w:hAnsi="宋体" w:eastAsia="宋体"/>
          <w:b w:val="0"/>
          <w:bCs w:val="0"/>
          <w:color w:val="auto"/>
          <w:sz w:val="21"/>
          <w:szCs w:val="21"/>
        </w:rPr>
        <w:t>.</w:t>
      </w:r>
      <w:r>
        <w:rPr>
          <w:rFonts w:hint="eastAsia" w:ascii="宋体" w:hAnsi="宋体" w:eastAsia="宋体"/>
          <w:b w:val="0"/>
          <w:bCs w:val="0"/>
          <w:color w:val="auto"/>
          <w:sz w:val="21"/>
          <w:szCs w:val="21"/>
        </w:rPr>
        <w:t>4一般生产废水</w:t>
      </w:r>
    </w:p>
    <w:p>
      <w:pPr>
        <w:tabs>
          <w:tab w:val="left" w:pos="7258"/>
        </w:tabs>
        <w:spacing w:line="360" w:lineRule="auto"/>
        <w:ind w:firstLine="420" w:firstLineChars="200"/>
        <w:rPr>
          <w:color w:val="auto"/>
          <w:sz w:val="21"/>
          <w:szCs w:val="21"/>
        </w:rPr>
      </w:pPr>
      <w:r>
        <w:rPr>
          <w:rFonts w:hint="eastAsia" w:ascii="宋体" w:hAnsi="宋体"/>
          <w:color w:val="auto"/>
          <w:sz w:val="21"/>
          <w:szCs w:val="21"/>
        </w:rPr>
        <w:t>去离子水处理站排放的浓水、机修车间、</w:t>
      </w:r>
      <w:r>
        <w:rPr>
          <w:rFonts w:ascii="宋体" w:hAnsi="宋体"/>
          <w:color w:val="auto"/>
          <w:sz w:val="21"/>
          <w:szCs w:val="21"/>
        </w:rPr>
        <w:t>空压站</w:t>
      </w:r>
      <w:r>
        <w:rPr>
          <w:rFonts w:hint="eastAsia" w:ascii="宋体" w:hAnsi="宋体"/>
          <w:color w:val="auto"/>
          <w:sz w:val="21"/>
          <w:szCs w:val="21"/>
        </w:rPr>
        <w:t>等产生的废水、熔铸</w:t>
      </w:r>
      <w:r>
        <w:rPr>
          <w:rFonts w:hint="eastAsia" w:ascii="宋体" w:hAnsi="宋体"/>
          <w:color w:val="auto"/>
          <w:sz w:val="21"/>
          <w:szCs w:val="21"/>
          <w:lang w:val="en-US" w:eastAsia="zh-CN"/>
        </w:rPr>
        <w:t>和</w:t>
      </w:r>
      <w:r>
        <w:rPr>
          <w:rFonts w:hint="eastAsia" w:ascii="宋体" w:hAnsi="宋体"/>
          <w:color w:val="auto"/>
          <w:sz w:val="21"/>
          <w:szCs w:val="21"/>
        </w:rPr>
        <w:t>加工</w:t>
      </w:r>
      <w:r>
        <w:rPr>
          <w:rFonts w:hint="eastAsia" w:ascii="宋体" w:hAnsi="宋体"/>
          <w:color w:val="auto"/>
          <w:sz w:val="21"/>
          <w:szCs w:val="21"/>
          <w:lang w:val="en-US" w:eastAsia="zh-CN"/>
        </w:rPr>
        <w:t>冷却</w:t>
      </w:r>
      <w:r>
        <w:rPr>
          <w:rFonts w:hint="eastAsia" w:ascii="宋体" w:hAnsi="宋体"/>
          <w:color w:val="auto"/>
          <w:sz w:val="21"/>
          <w:szCs w:val="21"/>
        </w:rPr>
        <w:t>及设备冷却</w:t>
      </w:r>
      <w:r>
        <w:rPr>
          <w:rFonts w:hint="eastAsia"/>
          <w:color w:val="auto"/>
          <w:sz w:val="21"/>
          <w:szCs w:val="21"/>
        </w:rPr>
        <w:t>等产生的废水不宜直接回用，均排入综合废水处理站统一处理。</w:t>
      </w:r>
    </w:p>
    <w:p>
      <w:pPr>
        <w:pStyle w:val="3"/>
        <w:spacing w:before="0" w:after="0" w:line="360" w:lineRule="auto"/>
        <w:rPr>
          <w:rFonts w:hint="eastAsia" w:ascii="宋体" w:hAnsi="宋体" w:eastAsia="宋体"/>
          <w:b w:val="0"/>
          <w:bCs w:val="0"/>
          <w:color w:val="auto"/>
          <w:sz w:val="21"/>
          <w:szCs w:val="21"/>
        </w:rPr>
      </w:pPr>
      <w:r>
        <w:rPr>
          <w:rFonts w:hint="eastAsia" w:ascii="宋体" w:hAnsi="宋体" w:eastAsia="宋体"/>
          <w:b w:val="0"/>
          <w:bCs w:val="0"/>
          <w:color w:val="auto"/>
          <w:sz w:val="21"/>
          <w:szCs w:val="21"/>
          <w:lang w:val="en-US" w:eastAsia="zh-CN"/>
        </w:rPr>
        <w:t>3.3</w:t>
      </w:r>
      <w:r>
        <w:rPr>
          <w:rFonts w:ascii="宋体" w:hAnsi="宋体" w:eastAsia="宋体"/>
          <w:b w:val="0"/>
          <w:bCs w:val="0"/>
          <w:color w:val="auto"/>
          <w:sz w:val="21"/>
          <w:szCs w:val="21"/>
        </w:rPr>
        <w:t xml:space="preserve">.5 </w:t>
      </w:r>
      <w:r>
        <w:rPr>
          <w:rFonts w:hint="eastAsia" w:ascii="宋体" w:hAnsi="宋体" w:eastAsia="宋体"/>
          <w:b w:val="0"/>
          <w:bCs w:val="0"/>
          <w:color w:val="auto"/>
          <w:sz w:val="21"/>
          <w:szCs w:val="21"/>
        </w:rPr>
        <w:t>综合废水</w:t>
      </w:r>
    </w:p>
    <w:p>
      <w:pPr>
        <w:spacing w:line="360" w:lineRule="auto"/>
        <w:ind w:firstLine="420" w:firstLineChars="200"/>
        <w:rPr>
          <w:rFonts w:hint="eastAsia" w:ascii="Times New Roman" w:hAnsi="Times New Roman"/>
          <w:color w:val="auto"/>
          <w:sz w:val="24"/>
          <w:szCs w:val="24"/>
        </w:rPr>
      </w:pPr>
      <w:r>
        <w:rPr>
          <w:rFonts w:hint="eastAsia"/>
          <w:color w:val="auto"/>
        </w:rPr>
        <w:t>酸性含铜废水处理后出水、废乳液处理后的出水、地面冲洗水、实验室废水、需再处理的初期雨水等统一排入循环水处理站进行处理，经深度处理后的出水回用于补充冷却循环水等各生产用水单元</w:t>
      </w:r>
      <w:r>
        <w:rPr>
          <w:rFonts w:hint="eastAsia" w:ascii="宋体" w:hAnsi="宋体"/>
          <w:color w:val="auto"/>
          <w:szCs w:val="21"/>
        </w:rPr>
        <w:t>。循环水处理站处理及回用流程见图</w:t>
      </w:r>
      <w:r>
        <w:rPr>
          <w:rFonts w:hint="eastAsia" w:ascii="宋体" w:hAnsi="宋体"/>
          <w:color w:val="auto"/>
          <w:szCs w:val="21"/>
          <w:lang w:val="en-US" w:eastAsia="zh-CN"/>
        </w:rPr>
        <w:t>4</w:t>
      </w:r>
      <w:r>
        <w:rPr>
          <w:rFonts w:hint="eastAsia" w:ascii="宋体" w:hAnsi="宋体"/>
          <w:color w:val="auto"/>
          <w:szCs w:val="21"/>
        </w:rPr>
        <w:t>。</w:t>
      </w:r>
    </w:p>
    <w:p>
      <w:pPr>
        <w:tabs>
          <w:tab w:val="left" w:pos="1120"/>
        </w:tabs>
        <w:spacing w:line="360" w:lineRule="auto"/>
        <w:jc w:val="center"/>
        <w:rPr>
          <w:rFonts w:hint="eastAsia" w:ascii="宋体" w:hAnsi="宋体"/>
          <w:color w:val="auto"/>
          <w:szCs w:val="21"/>
        </w:rPr>
      </w:pPr>
      <w:r>
        <w:rPr>
          <w:color w:val="auto"/>
        </w:rPr>
        <w:drawing>
          <wp:inline distT="0" distB="0" distL="114300" distR="114300">
            <wp:extent cx="5303520" cy="2564765"/>
            <wp:effectExtent l="0" t="0" r="11430" b="698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9"/>
                    <a:stretch>
                      <a:fillRect/>
                    </a:stretch>
                  </pic:blipFill>
                  <pic:spPr>
                    <a:xfrm>
                      <a:off x="0" y="0"/>
                      <a:ext cx="5303520" cy="2564765"/>
                    </a:xfrm>
                    <a:prstGeom prst="rect">
                      <a:avLst/>
                    </a:prstGeom>
                    <a:noFill/>
                    <a:ln>
                      <a:noFill/>
                    </a:ln>
                  </pic:spPr>
                </pic:pic>
              </a:graphicData>
            </a:graphic>
          </wp:inline>
        </w:drawing>
      </w:r>
      <w:r>
        <w:rPr>
          <w:rFonts w:hint="eastAsia" w:ascii="宋体" w:hAnsi="宋体"/>
          <w:color w:val="auto"/>
          <w:szCs w:val="21"/>
        </w:rPr>
        <w:t>图</w:t>
      </w:r>
      <w:r>
        <w:rPr>
          <w:rFonts w:hint="eastAsia" w:ascii="宋体" w:hAnsi="宋体"/>
          <w:color w:val="auto"/>
          <w:szCs w:val="21"/>
          <w:lang w:val="en-US" w:eastAsia="zh-CN"/>
        </w:rPr>
        <w:t>4</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综合废水处理站处理流程图</w:t>
      </w:r>
    </w:p>
    <w:p>
      <w:pPr>
        <w:pStyle w:val="3"/>
        <w:spacing w:before="120" w:after="120" w:line="360" w:lineRule="auto"/>
        <w:rPr>
          <w:rFonts w:hint="eastAsia" w:ascii="宋体" w:hAnsi="宋体" w:eastAsia="宋体"/>
          <w:color w:val="auto"/>
          <w:sz w:val="21"/>
          <w:szCs w:val="21"/>
          <w:lang w:eastAsia="zh-CN"/>
        </w:rPr>
      </w:pPr>
      <w:bookmarkStart w:id="17" w:name="_Toc16715911"/>
      <w:bookmarkStart w:id="18" w:name="_Toc532905035"/>
      <w:r>
        <w:rPr>
          <w:rFonts w:hint="eastAsia" w:ascii="宋体" w:hAnsi="宋体" w:eastAsia="宋体"/>
          <w:color w:val="auto"/>
          <w:sz w:val="21"/>
          <w:szCs w:val="21"/>
          <w:lang w:val="en-US" w:eastAsia="zh-CN"/>
        </w:rPr>
        <w:t>3.4 标准</w:t>
      </w:r>
      <w:r>
        <w:rPr>
          <w:rFonts w:hint="eastAsia" w:ascii="宋体" w:hAnsi="宋体" w:eastAsia="宋体"/>
          <w:color w:val="auto"/>
          <w:sz w:val="21"/>
          <w:szCs w:val="21"/>
        </w:rPr>
        <w:t>主要技术内容</w:t>
      </w:r>
      <w:bookmarkEnd w:id="17"/>
      <w:bookmarkStart w:id="19" w:name="_Toc16713130"/>
      <w:bookmarkStart w:id="20" w:name="_Toc16715912"/>
    </w:p>
    <w:bookmarkEnd w:id="19"/>
    <w:bookmarkEnd w:id="20"/>
    <w:p>
      <w:pPr>
        <w:pStyle w:val="3"/>
        <w:spacing w:before="120" w:after="120" w:line="360" w:lineRule="auto"/>
        <w:rPr>
          <w:rFonts w:hint="eastAsia" w:ascii="宋体" w:hAnsi="宋体" w:eastAsia="宋体"/>
          <w:color w:val="auto"/>
          <w:sz w:val="21"/>
          <w:szCs w:val="21"/>
          <w:lang w:eastAsia="zh-CN"/>
        </w:rPr>
      </w:pPr>
      <w:r>
        <w:rPr>
          <w:rFonts w:hint="eastAsia" w:ascii="宋体" w:hAnsi="宋体" w:eastAsia="宋体"/>
          <w:b w:val="0"/>
          <w:bCs w:val="0"/>
          <w:color w:val="auto"/>
          <w:sz w:val="21"/>
          <w:szCs w:val="21"/>
          <w:lang w:val="en-US" w:eastAsia="zh-CN"/>
        </w:rPr>
        <w:t>3.4</w:t>
      </w:r>
      <w:r>
        <w:rPr>
          <w:rFonts w:hint="eastAsia" w:ascii="宋体" w:hAnsi="宋体" w:eastAsia="宋体"/>
          <w:b w:val="0"/>
          <w:bCs w:val="0"/>
          <w:color w:val="auto"/>
          <w:sz w:val="21"/>
          <w:szCs w:val="21"/>
          <w:lang w:eastAsia="zh-CN"/>
        </w:rPr>
        <w:t>.1</w:t>
      </w:r>
      <w:r>
        <w:rPr>
          <w:rFonts w:ascii="宋体" w:hAnsi="宋体" w:eastAsia="宋体"/>
          <w:b w:val="0"/>
          <w:bCs w:val="0"/>
          <w:color w:val="auto"/>
          <w:sz w:val="21"/>
          <w:szCs w:val="21"/>
        </w:rPr>
        <w:t xml:space="preserve"> </w:t>
      </w:r>
      <w:r>
        <w:rPr>
          <w:rFonts w:hint="eastAsia" w:ascii="宋体" w:hAnsi="宋体" w:eastAsia="宋体"/>
          <w:b w:val="0"/>
          <w:bCs w:val="0"/>
          <w:color w:val="auto"/>
          <w:sz w:val="21"/>
          <w:szCs w:val="21"/>
        </w:rPr>
        <w:t>总体要求</w:t>
      </w:r>
    </w:p>
    <w:p>
      <w:pPr>
        <w:widowControl/>
        <w:wordWrap w:val="0"/>
        <w:spacing w:line="360" w:lineRule="auto"/>
        <w:ind w:firstLine="510"/>
        <w:jc w:val="left"/>
        <w:rPr>
          <w:rFonts w:hint="eastAsia" w:ascii="宋体" w:hAnsi="宋体"/>
          <w:color w:val="auto"/>
          <w:spacing w:val="8"/>
          <w:kern w:val="0"/>
          <w:szCs w:val="21"/>
        </w:rPr>
      </w:pPr>
      <w:r>
        <w:rPr>
          <w:rFonts w:hint="eastAsia" w:ascii="宋体" w:hAnsi="宋体"/>
          <w:color w:val="auto"/>
          <w:spacing w:val="8"/>
          <w:kern w:val="0"/>
          <w:szCs w:val="21"/>
        </w:rPr>
        <w:t>1）铜加工生产废水循环利用技术除应遵守本标准外，还应符合国家现行有关标准和规范的规定。</w:t>
      </w:r>
    </w:p>
    <w:p>
      <w:pPr>
        <w:widowControl/>
        <w:wordWrap w:val="0"/>
        <w:spacing w:line="360" w:lineRule="auto"/>
        <w:ind w:firstLine="510"/>
        <w:jc w:val="left"/>
        <w:rPr>
          <w:rFonts w:hint="eastAsia" w:ascii="宋体" w:hAnsi="宋体"/>
          <w:color w:val="auto"/>
          <w:spacing w:val="8"/>
          <w:kern w:val="0"/>
          <w:szCs w:val="21"/>
        </w:rPr>
      </w:pPr>
      <w:r>
        <w:rPr>
          <w:rFonts w:hint="eastAsia" w:ascii="宋体" w:hAnsi="宋体"/>
          <w:color w:val="auto"/>
          <w:spacing w:val="8"/>
          <w:kern w:val="0"/>
          <w:szCs w:val="21"/>
        </w:rPr>
        <w:t>1）铜加工废水循环利用技术应按清洁生产的原则，通过分类收集、分质处理、梯级回用，实现源头控制、过程管理，提高水的循环利用率，工业用水重复利用率应符合国内清洁生产先进水平。</w:t>
      </w:r>
    </w:p>
    <w:p>
      <w:pPr>
        <w:widowControl/>
        <w:wordWrap w:val="0"/>
        <w:spacing w:line="360" w:lineRule="auto"/>
        <w:ind w:firstLine="510"/>
        <w:jc w:val="left"/>
        <w:rPr>
          <w:rFonts w:hint="eastAsia" w:ascii="宋体" w:hAnsi="宋体"/>
          <w:color w:val="auto"/>
          <w:spacing w:val="8"/>
          <w:kern w:val="0"/>
          <w:szCs w:val="21"/>
        </w:rPr>
      </w:pPr>
      <w:r>
        <w:rPr>
          <w:rFonts w:hint="eastAsia" w:ascii="宋体" w:hAnsi="宋体"/>
          <w:color w:val="auto"/>
          <w:spacing w:val="8"/>
          <w:kern w:val="0"/>
          <w:szCs w:val="21"/>
        </w:rPr>
        <w:t>2）铜加工废水循环利用技术应与生产工艺合理配套，并采用先进适用、安全可靠的处理工艺，使铜加工废水处理后能够达到各回用工序的水质要求。</w:t>
      </w:r>
    </w:p>
    <w:p>
      <w:pPr>
        <w:widowControl/>
        <w:wordWrap w:val="0"/>
        <w:spacing w:line="360" w:lineRule="auto"/>
        <w:ind w:firstLine="510"/>
        <w:jc w:val="left"/>
        <w:rPr>
          <w:rFonts w:hint="eastAsia" w:ascii="宋体" w:hAnsi="宋体"/>
          <w:color w:val="auto"/>
          <w:spacing w:val="8"/>
          <w:kern w:val="0"/>
          <w:szCs w:val="21"/>
        </w:rPr>
      </w:pPr>
      <w:r>
        <w:rPr>
          <w:rFonts w:hint="eastAsia" w:ascii="宋体" w:hAnsi="宋体"/>
          <w:color w:val="auto"/>
          <w:spacing w:val="8"/>
          <w:kern w:val="0"/>
          <w:szCs w:val="21"/>
        </w:rPr>
        <w:t>3）铜加工企业应制定环境风险应急预案，配备事故池等完善的环境风险防范设施，储备充足的风险防范物质。</w:t>
      </w:r>
    </w:p>
    <w:p>
      <w:pPr>
        <w:widowControl/>
        <w:wordWrap w:val="0"/>
        <w:spacing w:line="360" w:lineRule="auto"/>
        <w:jc w:val="left"/>
        <w:rPr>
          <w:rFonts w:ascii="Times New Roman" w:hAnsi="Times New Roman"/>
          <w:color w:val="auto"/>
          <w:spacing w:val="8"/>
          <w:kern w:val="0"/>
          <w:szCs w:val="21"/>
        </w:rPr>
      </w:pPr>
      <w:bookmarkStart w:id="21" w:name="_Toc278868472"/>
      <w:bookmarkStart w:id="22" w:name="_Toc16715913"/>
      <w:r>
        <w:rPr>
          <w:rFonts w:hint="eastAsia" w:ascii="Times New Roman" w:hAnsi="Times New Roman"/>
          <w:color w:val="auto"/>
          <w:spacing w:val="8"/>
          <w:kern w:val="0"/>
          <w:szCs w:val="21"/>
          <w:lang w:val="en-US" w:eastAsia="zh-CN"/>
        </w:rPr>
        <w:t>3.4</w:t>
      </w:r>
      <w:r>
        <w:rPr>
          <w:rFonts w:hint="eastAsia" w:ascii="Times New Roman" w:hAnsi="Times New Roman"/>
          <w:color w:val="auto"/>
          <w:spacing w:val="8"/>
          <w:kern w:val="0"/>
          <w:szCs w:val="21"/>
        </w:rPr>
        <w:t>.2</w:t>
      </w:r>
      <w:r>
        <w:rPr>
          <w:color w:val="auto"/>
          <w:szCs w:val="21"/>
        </w:rPr>
        <w:t>废水</w:t>
      </w:r>
      <w:r>
        <w:rPr>
          <w:rFonts w:hint="eastAsia"/>
          <w:color w:val="auto"/>
          <w:szCs w:val="21"/>
        </w:rPr>
        <w:t>来源及</w:t>
      </w:r>
      <w:r>
        <w:rPr>
          <w:color w:val="auto"/>
          <w:szCs w:val="21"/>
        </w:rPr>
        <w:t>处理工艺</w:t>
      </w:r>
      <w:bookmarkEnd w:id="21"/>
      <w:bookmarkEnd w:id="22"/>
    </w:p>
    <w:p>
      <w:pPr>
        <w:tabs>
          <w:tab w:val="left" w:pos="1120"/>
        </w:tabs>
        <w:spacing w:line="360" w:lineRule="auto"/>
        <w:ind w:firstLine="452" w:firstLineChars="200"/>
        <w:rPr>
          <w:rFonts w:hint="eastAsia"/>
          <w:color w:val="auto"/>
          <w:szCs w:val="21"/>
        </w:rPr>
      </w:pPr>
      <w:bookmarkStart w:id="23" w:name="3_1"/>
      <w:bookmarkEnd w:id="23"/>
      <w:bookmarkStart w:id="24" w:name="3_2"/>
      <w:bookmarkEnd w:id="24"/>
      <w:r>
        <w:rPr>
          <w:rFonts w:hint="eastAsia" w:ascii="宋体" w:hAnsi="宋体" w:eastAsia="宋体" w:cs="Times New Roman"/>
          <w:color w:val="auto"/>
          <w:spacing w:val="8"/>
          <w:kern w:val="0"/>
          <w:szCs w:val="21"/>
        </w:rPr>
        <w:t>1）</w:t>
      </w:r>
      <w:r>
        <w:rPr>
          <w:rFonts w:hint="eastAsia"/>
          <w:color w:val="auto"/>
          <w:szCs w:val="21"/>
        </w:rPr>
        <w:t>铜加工企业应根据生产车间排放废水水质的特点，选择有利于回用水回用的处理工艺，铜加工废水来源、主要处理工艺及回用去向见表</w:t>
      </w:r>
      <w:r>
        <w:rPr>
          <w:rFonts w:hint="eastAsia"/>
          <w:color w:val="auto"/>
          <w:szCs w:val="21"/>
          <w:lang w:val="en-US" w:eastAsia="zh-CN"/>
        </w:rPr>
        <w:t>2。</w:t>
      </w:r>
    </w:p>
    <w:p>
      <w:pPr>
        <w:tabs>
          <w:tab w:val="left" w:pos="1120"/>
        </w:tabs>
        <w:spacing w:beforeLines="50" w:afterLines="50" w:line="360" w:lineRule="auto"/>
        <w:ind w:firstLine="420" w:firstLineChars="200"/>
        <w:jc w:val="center"/>
        <w:rPr>
          <w:rFonts w:hint="eastAsia" w:ascii="宋体" w:hAnsi="宋体"/>
          <w:color w:val="auto"/>
          <w:szCs w:val="21"/>
        </w:rPr>
      </w:pPr>
      <w:r>
        <w:rPr>
          <w:rFonts w:hint="eastAsia" w:ascii="宋体" w:hAnsi="宋体"/>
          <w:color w:val="auto"/>
          <w:szCs w:val="21"/>
        </w:rPr>
        <w:t>表</w:t>
      </w:r>
      <w:r>
        <w:rPr>
          <w:rFonts w:hint="eastAsia" w:ascii="宋体" w:hAnsi="宋体"/>
          <w:color w:val="auto"/>
          <w:szCs w:val="21"/>
          <w:lang w:val="en-US" w:eastAsia="zh-CN"/>
        </w:rPr>
        <w:t>2</w:t>
      </w:r>
      <w:r>
        <w:rPr>
          <w:rFonts w:hint="eastAsia" w:ascii="宋体" w:hAnsi="宋体"/>
          <w:color w:val="auto"/>
          <w:szCs w:val="21"/>
        </w:rPr>
        <w:t xml:space="preserve"> 铜加工废水主要来源、处理工艺及回用去向 </w:t>
      </w:r>
    </w:p>
    <w:tbl>
      <w:tblPr>
        <w:tblStyle w:val="22"/>
        <w:tblW w:w="522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05"/>
        <w:gridCol w:w="720"/>
        <w:gridCol w:w="2489"/>
        <w:gridCol w:w="1651"/>
        <w:gridCol w:w="1556"/>
        <w:gridCol w:w="22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22" w:type="pct"/>
            <w:tcBorders>
              <w:top w:val="single" w:color="auto" w:sz="8" w:space="0"/>
              <w:left w:val="single" w:color="auto" w:sz="8" w:space="0"/>
              <w:bottom w:val="single" w:color="auto" w:sz="8"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序号</w:t>
            </w:r>
          </w:p>
        </w:tc>
        <w:tc>
          <w:tcPr>
            <w:tcW w:w="395" w:type="pct"/>
            <w:tcBorders>
              <w:top w:val="single" w:color="auto" w:sz="8"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废水种类</w:t>
            </w:r>
          </w:p>
        </w:tc>
        <w:tc>
          <w:tcPr>
            <w:tcW w:w="1366" w:type="pct"/>
            <w:tcBorders>
              <w:top w:val="single" w:color="auto" w:sz="8"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来源</w:t>
            </w:r>
          </w:p>
        </w:tc>
        <w:tc>
          <w:tcPr>
            <w:tcW w:w="906" w:type="pct"/>
            <w:tcBorders>
              <w:top w:val="single" w:color="auto" w:sz="8"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处理工艺</w:t>
            </w:r>
          </w:p>
        </w:tc>
        <w:tc>
          <w:tcPr>
            <w:tcW w:w="854" w:type="pct"/>
            <w:tcBorders>
              <w:top w:val="single" w:color="auto" w:sz="8" w:space="0"/>
              <w:left w:val="single" w:color="auto" w:sz="4" w:space="0"/>
              <w:bottom w:val="single" w:color="auto" w:sz="8"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污染物种类</w:t>
            </w:r>
          </w:p>
        </w:tc>
        <w:tc>
          <w:tcPr>
            <w:tcW w:w="1253" w:type="pct"/>
            <w:tcBorders>
              <w:top w:val="single" w:color="auto" w:sz="8" w:space="0"/>
              <w:left w:val="single" w:color="auto" w:sz="4" w:space="0"/>
              <w:bottom w:val="single" w:color="auto" w:sz="8" w:space="0"/>
              <w:right w:val="single" w:color="auto" w:sz="8"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回用去向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22" w:type="pct"/>
            <w:tcBorders>
              <w:top w:val="single" w:color="auto" w:sz="8" w:space="0"/>
              <w:left w:val="single" w:color="auto" w:sz="8" w:space="0"/>
              <w:bottom w:val="single" w:color="auto" w:sz="8"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w:t>
            </w:r>
          </w:p>
        </w:tc>
        <w:tc>
          <w:tcPr>
            <w:tcW w:w="395" w:type="pct"/>
            <w:tcBorders>
              <w:top w:val="single" w:color="auto" w:sz="8"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olor w:val="auto"/>
                <w:sz w:val="18"/>
                <w:szCs w:val="18"/>
              </w:rPr>
            </w:pPr>
            <w:r>
              <w:rPr>
                <w:rFonts w:hint="eastAsia" w:ascii="宋体" w:hAnsi="宋体"/>
                <w:color w:val="auto"/>
                <w:sz w:val="18"/>
                <w:szCs w:val="18"/>
              </w:rPr>
              <w:t>含重金属废水</w:t>
            </w:r>
          </w:p>
        </w:tc>
        <w:tc>
          <w:tcPr>
            <w:tcW w:w="1366" w:type="pct"/>
            <w:tcBorders>
              <w:top w:val="single" w:color="auto" w:sz="8"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olor w:val="auto"/>
                <w:sz w:val="18"/>
                <w:szCs w:val="18"/>
              </w:rPr>
            </w:pPr>
            <w:r>
              <w:rPr>
                <w:rFonts w:hint="eastAsia" w:ascii="宋体" w:hAnsi="宋体"/>
                <w:color w:val="auto"/>
                <w:sz w:val="18"/>
                <w:szCs w:val="18"/>
              </w:rPr>
              <w:t>酸洗、气垫炉、酸碱洗废水及溢流水外排废水</w:t>
            </w:r>
          </w:p>
        </w:tc>
        <w:tc>
          <w:tcPr>
            <w:tcW w:w="906" w:type="pct"/>
            <w:tcBorders>
              <w:top w:val="single" w:color="auto" w:sz="8"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olor w:val="auto"/>
                <w:sz w:val="18"/>
                <w:szCs w:val="18"/>
              </w:rPr>
            </w:pPr>
            <w:r>
              <w:rPr>
                <w:rFonts w:hint="eastAsia" w:ascii="宋体" w:hAnsi="宋体"/>
                <w:color w:val="auto"/>
                <w:sz w:val="18"/>
                <w:szCs w:val="18"/>
              </w:rPr>
              <w:t>调节、加药、沉淀、分离、吸附、过滤、压滤</w:t>
            </w:r>
          </w:p>
        </w:tc>
        <w:tc>
          <w:tcPr>
            <w:tcW w:w="854"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olor w:val="auto"/>
                <w:sz w:val="18"/>
                <w:szCs w:val="18"/>
              </w:rPr>
            </w:pPr>
            <w:r>
              <w:rPr>
                <w:rFonts w:hint="eastAsia" w:ascii="宋体" w:hAnsi="宋体"/>
                <w:color w:val="auto"/>
                <w:sz w:val="18"/>
                <w:szCs w:val="18"/>
              </w:rPr>
              <w:t>重金属离子、酸、碱</w:t>
            </w:r>
            <w:r>
              <w:rPr>
                <w:rFonts w:hint="eastAsia" w:ascii="宋体" w:hAnsi="宋体"/>
                <w:color w:val="auto"/>
                <w:sz w:val="18"/>
                <w:szCs w:val="18"/>
                <w:lang w:eastAsia="zh-CN"/>
              </w:rPr>
              <w:t>、</w:t>
            </w:r>
            <w:r>
              <w:rPr>
                <w:rFonts w:hint="eastAsia" w:ascii="宋体" w:hAnsi="宋体"/>
                <w:color w:val="auto"/>
                <w:sz w:val="18"/>
                <w:szCs w:val="18"/>
              </w:rPr>
              <w:t>悬浮物和</w:t>
            </w:r>
            <w:r>
              <w:rPr>
                <w:rFonts w:hint="eastAsia" w:ascii="宋体" w:hAnsi="宋体" w:eastAsia="宋体"/>
                <w:bCs w:val="0"/>
                <w:color w:val="auto"/>
                <w:sz w:val="18"/>
                <w:szCs w:val="18"/>
              </w:rPr>
              <w:t>油</w:t>
            </w:r>
            <w:r>
              <w:rPr>
                <w:rFonts w:hint="eastAsia" w:ascii="宋体" w:hAnsi="宋体"/>
                <w:bCs w:val="0"/>
                <w:color w:val="auto"/>
                <w:sz w:val="18"/>
                <w:szCs w:val="18"/>
                <w:lang w:val="en-US" w:eastAsia="zh-CN"/>
              </w:rPr>
              <w:t>等</w:t>
            </w:r>
          </w:p>
        </w:tc>
        <w:tc>
          <w:tcPr>
            <w:tcW w:w="1253" w:type="pct"/>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olor w:val="auto"/>
                <w:sz w:val="18"/>
                <w:szCs w:val="18"/>
              </w:rPr>
            </w:pPr>
            <w:r>
              <w:rPr>
                <w:rFonts w:hint="eastAsia" w:ascii="宋体" w:hAnsi="宋体"/>
                <w:color w:val="auto"/>
                <w:sz w:val="18"/>
                <w:szCs w:val="18"/>
              </w:rPr>
              <w:t>处理后</w:t>
            </w:r>
            <w:r>
              <w:rPr>
                <w:rFonts w:ascii="宋体" w:hAnsi="宋体"/>
                <w:color w:val="auto"/>
                <w:sz w:val="18"/>
                <w:szCs w:val="18"/>
              </w:rPr>
              <w:t>可用于</w:t>
            </w:r>
            <w:r>
              <w:rPr>
                <w:rFonts w:hint="eastAsia" w:ascii="宋体" w:hAnsi="宋体"/>
                <w:color w:val="auto"/>
                <w:sz w:val="18"/>
                <w:szCs w:val="18"/>
              </w:rPr>
              <w:t>除</w:t>
            </w:r>
            <w:r>
              <w:rPr>
                <w:rFonts w:ascii="宋体" w:hAnsi="宋体"/>
                <w:color w:val="auto"/>
                <w:sz w:val="18"/>
                <w:szCs w:val="18"/>
              </w:rPr>
              <w:t>尘</w:t>
            </w:r>
            <w:r>
              <w:rPr>
                <w:rFonts w:hint="eastAsia" w:ascii="宋体" w:hAnsi="宋体"/>
                <w:color w:val="auto"/>
                <w:sz w:val="18"/>
                <w:szCs w:val="18"/>
                <w:lang w:val="en-US" w:eastAsia="zh-CN"/>
              </w:rPr>
              <w:t>和地面冲洗</w:t>
            </w:r>
            <w:r>
              <w:rPr>
                <w:rFonts w:ascii="宋体" w:hAnsi="宋体"/>
                <w:color w:val="auto"/>
                <w:sz w:val="18"/>
                <w:szCs w:val="18"/>
              </w:rPr>
              <w:t>，</w:t>
            </w:r>
            <w:r>
              <w:rPr>
                <w:rFonts w:hint="eastAsia" w:ascii="宋体" w:hAnsi="宋体"/>
                <w:color w:val="auto"/>
                <w:sz w:val="18"/>
                <w:szCs w:val="18"/>
                <w:lang w:val="en-US" w:eastAsia="zh-CN"/>
              </w:rPr>
              <w:t>或</w:t>
            </w:r>
            <w:r>
              <w:rPr>
                <w:rFonts w:hint="eastAsia" w:ascii="宋体" w:hAnsi="宋体"/>
                <w:color w:val="auto"/>
                <w:sz w:val="18"/>
                <w:szCs w:val="18"/>
              </w:rPr>
              <w:t>排放至综合废水处理站进一步处理后回用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22" w:type="pct"/>
            <w:tcBorders>
              <w:top w:val="single" w:color="auto" w:sz="8" w:space="0"/>
              <w:left w:val="single" w:color="auto" w:sz="8" w:space="0"/>
              <w:bottom w:val="single" w:color="auto" w:sz="8" w:space="0"/>
              <w:right w:val="single" w:color="auto" w:sz="4" w:space="0"/>
            </w:tcBorders>
            <w:vAlign w:val="center"/>
          </w:tcPr>
          <w:p>
            <w:pPr>
              <w:spacing w:line="280" w:lineRule="exact"/>
              <w:jc w:val="center"/>
              <w:rPr>
                <w:rFonts w:ascii="宋体" w:hAnsi="宋体"/>
                <w:color w:val="auto"/>
                <w:sz w:val="18"/>
                <w:szCs w:val="18"/>
              </w:rPr>
            </w:pPr>
            <w:r>
              <w:rPr>
                <w:rFonts w:ascii="宋体" w:hAnsi="宋体"/>
                <w:color w:val="auto"/>
                <w:sz w:val="18"/>
                <w:szCs w:val="18"/>
              </w:rPr>
              <w:t>2</w:t>
            </w:r>
          </w:p>
        </w:tc>
        <w:tc>
          <w:tcPr>
            <w:tcW w:w="395" w:type="pct"/>
            <w:tcBorders>
              <w:top w:val="single" w:color="auto" w:sz="8"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olor w:val="auto"/>
                <w:sz w:val="18"/>
                <w:szCs w:val="18"/>
              </w:rPr>
            </w:pPr>
            <w:r>
              <w:rPr>
                <w:rFonts w:hint="eastAsia" w:ascii="宋体" w:hAnsi="宋体"/>
                <w:color w:val="auto"/>
                <w:sz w:val="18"/>
                <w:szCs w:val="18"/>
              </w:rPr>
              <w:t>废乳化液</w:t>
            </w:r>
          </w:p>
        </w:tc>
        <w:tc>
          <w:tcPr>
            <w:tcW w:w="1366" w:type="pct"/>
            <w:tcBorders>
              <w:top w:val="single" w:color="auto" w:sz="8"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olor w:val="auto"/>
                <w:sz w:val="18"/>
                <w:szCs w:val="18"/>
              </w:rPr>
            </w:pPr>
            <w:r>
              <w:rPr>
                <w:rFonts w:hint="eastAsia" w:ascii="宋体" w:hAnsi="宋体"/>
                <w:color w:val="auto"/>
                <w:sz w:val="18"/>
                <w:szCs w:val="18"/>
              </w:rPr>
              <w:t>铜加工产品生产过程中产生的废乳液、含油废水</w:t>
            </w:r>
          </w:p>
        </w:tc>
        <w:tc>
          <w:tcPr>
            <w:tcW w:w="906" w:type="pct"/>
            <w:tcBorders>
              <w:top w:val="single" w:color="auto" w:sz="8"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olor w:val="auto"/>
                <w:sz w:val="18"/>
                <w:szCs w:val="18"/>
              </w:rPr>
            </w:pPr>
            <w:r>
              <w:rPr>
                <w:rFonts w:hint="eastAsia" w:ascii="宋体" w:hAnsi="宋体"/>
                <w:color w:val="auto"/>
                <w:sz w:val="18"/>
                <w:szCs w:val="18"/>
              </w:rPr>
              <w:t>加热、沉淀、分离、过滤</w:t>
            </w:r>
            <w:r>
              <w:rPr>
                <w:rFonts w:hint="eastAsia" w:ascii="宋体" w:hAnsi="宋体"/>
                <w:color w:val="auto"/>
                <w:sz w:val="18"/>
                <w:szCs w:val="18"/>
                <w:lang w:eastAsia="zh-CN"/>
              </w:rPr>
              <w:t>、</w:t>
            </w:r>
          </w:p>
        </w:tc>
        <w:tc>
          <w:tcPr>
            <w:tcW w:w="854"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olor w:val="auto"/>
                <w:sz w:val="18"/>
                <w:szCs w:val="18"/>
              </w:rPr>
            </w:pPr>
            <w:r>
              <w:rPr>
                <w:rFonts w:hint="eastAsia" w:ascii="宋体" w:hAnsi="宋体"/>
                <w:color w:val="auto"/>
                <w:sz w:val="18"/>
                <w:szCs w:val="18"/>
              </w:rPr>
              <w:t>悬浮物、油等</w:t>
            </w:r>
          </w:p>
        </w:tc>
        <w:tc>
          <w:tcPr>
            <w:tcW w:w="1253" w:type="pct"/>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olor w:val="auto"/>
                <w:sz w:val="18"/>
                <w:szCs w:val="18"/>
              </w:rPr>
            </w:pPr>
            <w:r>
              <w:rPr>
                <w:rFonts w:hint="eastAsia" w:ascii="宋体" w:hAnsi="宋体"/>
                <w:color w:val="auto"/>
                <w:sz w:val="18"/>
                <w:szCs w:val="18"/>
              </w:rPr>
              <w:t>处理后</w:t>
            </w:r>
            <w:r>
              <w:rPr>
                <w:rFonts w:ascii="宋体" w:hAnsi="宋体"/>
                <w:color w:val="auto"/>
                <w:sz w:val="18"/>
                <w:szCs w:val="18"/>
              </w:rPr>
              <w:t>可用于</w:t>
            </w:r>
            <w:r>
              <w:rPr>
                <w:rFonts w:hint="eastAsia" w:ascii="宋体" w:hAnsi="宋体"/>
                <w:color w:val="auto"/>
                <w:sz w:val="18"/>
                <w:szCs w:val="18"/>
              </w:rPr>
              <w:t>除</w:t>
            </w:r>
            <w:r>
              <w:rPr>
                <w:rFonts w:ascii="宋体" w:hAnsi="宋体"/>
                <w:color w:val="auto"/>
                <w:sz w:val="18"/>
                <w:szCs w:val="18"/>
              </w:rPr>
              <w:t>尘</w:t>
            </w:r>
            <w:r>
              <w:rPr>
                <w:rFonts w:hint="eastAsia" w:ascii="宋体" w:hAnsi="宋体"/>
                <w:color w:val="auto"/>
                <w:sz w:val="18"/>
                <w:szCs w:val="18"/>
                <w:lang w:val="en-US" w:eastAsia="zh-CN"/>
              </w:rPr>
              <w:t>和地面冲洗</w:t>
            </w:r>
            <w:r>
              <w:rPr>
                <w:rFonts w:ascii="宋体" w:hAnsi="宋体"/>
                <w:color w:val="auto"/>
                <w:sz w:val="18"/>
                <w:szCs w:val="18"/>
              </w:rPr>
              <w:t>，</w:t>
            </w:r>
            <w:r>
              <w:rPr>
                <w:rFonts w:hint="eastAsia" w:ascii="宋体" w:hAnsi="宋体"/>
                <w:color w:val="auto"/>
                <w:sz w:val="18"/>
                <w:szCs w:val="18"/>
                <w:lang w:val="en-US" w:eastAsia="zh-CN"/>
              </w:rPr>
              <w:t>或</w:t>
            </w:r>
            <w:r>
              <w:rPr>
                <w:rFonts w:hint="eastAsia" w:ascii="宋体" w:hAnsi="宋体"/>
                <w:color w:val="auto"/>
                <w:sz w:val="18"/>
                <w:szCs w:val="18"/>
              </w:rPr>
              <w:t>排放至综合废水处理站进一步处理后回用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22" w:type="pct"/>
            <w:tcBorders>
              <w:top w:val="single" w:color="auto" w:sz="8" w:space="0"/>
              <w:left w:val="single" w:color="auto" w:sz="8" w:space="0"/>
              <w:bottom w:val="single" w:color="auto" w:sz="8" w:space="0"/>
              <w:right w:val="single" w:color="auto" w:sz="4" w:space="0"/>
            </w:tcBorders>
            <w:vAlign w:val="center"/>
          </w:tcPr>
          <w:p>
            <w:pPr>
              <w:spacing w:line="280" w:lineRule="exact"/>
              <w:jc w:val="center"/>
              <w:rPr>
                <w:rFonts w:ascii="宋体" w:hAnsi="宋体"/>
                <w:color w:val="auto"/>
                <w:sz w:val="18"/>
                <w:szCs w:val="18"/>
              </w:rPr>
            </w:pPr>
            <w:r>
              <w:rPr>
                <w:rFonts w:ascii="宋体" w:hAnsi="宋体"/>
                <w:color w:val="auto"/>
                <w:sz w:val="18"/>
                <w:szCs w:val="18"/>
              </w:rPr>
              <w:t>3</w:t>
            </w:r>
          </w:p>
        </w:tc>
        <w:tc>
          <w:tcPr>
            <w:tcW w:w="395" w:type="pct"/>
            <w:tcBorders>
              <w:top w:val="single" w:color="auto" w:sz="8"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olor w:val="auto"/>
                <w:sz w:val="18"/>
                <w:szCs w:val="18"/>
              </w:rPr>
            </w:pPr>
            <w:r>
              <w:rPr>
                <w:rFonts w:hint="eastAsia" w:ascii="宋体" w:hAnsi="宋体"/>
                <w:color w:val="auto"/>
                <w:sz w:val="18"/>
                <w:szCs w:val="18"/>
              </w:rPr>
              <w:t>初期雨水</w:t>
            </w:r>
          </w:p>
        </w:tc>
        <w:tc>
          <w:tcPr>
            <w:tcW w:w="1366" w:type="pct"/>
            <w:tcBorders>
              <w:top w:val="single" w:color="auto" w:sz="8"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olor w:val="auto"/>
                <w:sz w:val="18"/>
                <w:szCs w:val="18"/>
              </w:rPr>
            </w:pPr>
            <w:r>
              <w:rPr>
                <w:rFonts w:hint="eastAsia" w:ascii="宋体" w:hAnsi="宋体"/>
                <w:color w:val="auto"/>
                <w:sz w:val="18"/>
                <w:szCs w:val="18"/>
              </w:rPr>
              <w:t>铜加工厂区初期雨水</w:t>
            </w:r>
          </w:p>
        </w:tc>
        <w:tc>
          <w:tcPr>
            <w:tcW w:w="906" w:type="pct"/>
            <w:tcBorders>
              <w:top w:val="single" w:color="auto" w:sz="8"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olor w:val="auto"/>
                <w:sz w:val="18"/>
                <w:szCs w:val="18"/>
              </w:rPr>
            </w:pPr>
            <w:r>
              <w:rPr>
                <w:rFonts w:hint="eastAsia" w:ascii="宋体" w:hAnsi="宋体"/>
                <w:color w:val="auto"/>
                <w:sz w:val="18"/>
                <w:szCs w:val="18"/>
              </w:rPr>
              <w:t>收集、沉淀</w:t>
            </w:r>
          </w:p>
        </w:tc>
        <w:tc>
          <w:tcPr>
            <w:tcW w:w="854"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olor w:val="auto"/>
                <w:sz w:val="18"/>
                <w:szCs w:val="18"/>
              </w:rPr>
            </w:pPr>
            <w:r>
              <w:rPr>
                <w:rFonts w:hint="eastAsia" w:ascii="宋体" w:hAnsi="宋体"/>
                <w:color w:val="auto"/>
                <w:sz w:val="18"/>
                <w:szCs w:val="18"/>
              </w:rPr>
              <w:t>悬浮物、油等</w:t>
            </w:r>
          </w:p>
        </w:tc>
        <w:tc>
          <w:tcPr>
            <w:tcW w:w="1253" w:type="pct"/>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olor w:val="auto"/>
                <w:sz w:val="18"/>
                <w:szCs w:val="18"/>
              </w:rPr>
            </w:pPr>
            <w:r>
              <w:rPr>
                <w:rFonts w:ascii="宋体" w:hAnsi="宋体"/>
                <w:color w:val="auto"/>
                <w:sz w:val="18"/>
                <w:szCs w:val="18"/>
              </w:rPr>
              <w:t>处理</w:t>
            </w:r>
            <w:r>
              <w:rPr>
                <w:rFonts w:hint="eastAsia" w:ascii="宋体" w:hAnsi="宋体"/>
                <w:color w:val="auto"/>
                <w:sz w:val="18"/>
                <w:szCs w:val="18"/>
              </w:rPr>
              <w:t>后</w:t>
            </w:r>
            <w:r>
              <w:rPr>
                <w:rFonts w:ascii="宋体" w:hAnsi="宋体"/>
                <w:color w:val="auto"/>
                <w:sz w:val="18"/>
                <w:szCs w:val="18"/>
              </w:rPr>
              <w:t>可用于</w:t>
            </w:r>
            <w:r>
              <w:rPr>
                <w:rFonts w:hint="eastAsia" w:ascii="宋体" w:hAnsi="宋体"/>
                <w:color w:val="auto"/>
                <w:sz w:val="18"/>
                <w:szCs w:val="18"/>
              </w:rPr>
              <w:t>除</w:t>
            </w:r>
            <w:r>
              <w:rPr>
                <w:rFonts w:ascii="宋体" w:hAnsi="宋体"/>
                <w:color w:val="auto"/>
                <w:sz w:val="18"/>
                <w:szCs w:val="18"/>
              </w:rPr>
              <w:t>尘</w:t>
            </w:r>
            <w:r>
              <w:rPr>
                <w:rFonts w:hint="eastAsia" w:ascii="宋体" w:hAnsi="宋体"/>
                <w:color w:val="auto"/>
                <w:sz w:val="18"/>
                <w:szCs w:val="18"/>
                <w:lang w:val="en-US" w:eastAsia="zh-CN"/>
              </w:rPr>
              <w:t>和地面冲洗，或排放至</w:t>
            </w:r>
            <w:r>
              <w:rPr>
                <w:rFonts w:ascii="宋体" w:hAnsi="宋体"/>
                <w:color w:val="auto"/>
                <w:sz w:val="18"/>
                <w:szCs w:val="18"/>
              </w:rPr>
              <w:t>综合废水处理站</w:t>
            </w:r>
            <w:r>
              <w:rPr>
                <w:rFonts w:hint="eastAsia" w:ascii="宋体" w:hAnsi="宋体"/>
                <w:color w:val="auto"/>
                <w:sz w:val="18"/>
                <w:szCs w:val="18"/>
              </w:rPr>
              <w:t>进一步处理后回用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22" w:type="pct"/>
            <w:tcBorders>
              <w:top w:val="single" w:color="auto" w:sz="8" w:space="0"/>
              <w:left w:val="single" w:color="auto" w:sz="8" w:space="0"/>
              <w:bottom w:val="single" w:color="auto" w:sz="8"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395" w:type="pct"/>
            <w:tcBorders>
              <w:top w:val="single" w:color="auto" w:sz="8"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olor w:val="auto"/>
                <w:sz w:val="18"/>
                <w:szCs w:val="18"/>
              </w:rPr>
            </w:pPr>
            <w:r>
              <w:rPr>
                <w:rFonts w:hint="eastAsia" w:ascii="宋体" w:hAnsi="宋体"/>
                <w:color w:val="auto"/>
                <w:sz w:val="18"/>
                <w:szCs w:val="18"/>
              </w:rPr>
              <w:t>一般生产废水</w:t>
            </w:r>
          </w:p>
        </w:tc>
        <w:tc>
          <w:tcPr>
            <w:tcW w:w="1366" w:type="pct"/>
            <w:tcBorders>
              <w:top w:val="single" w:color="auto" w:sz="8"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olor w:val="auto"/>
                <w:sz w:val="18"/>
                <w:szCs w:val="18"/>
              </w:rPr>
            </w:pPr>
            <w:r>
              <w:rPr>
                <w:rFonts w:hint="eastAsia" w:ascii="宋体" w:hAnsi="宋体"/>
                <w:color w:val="auto"/>
                <w:sz w:val="18"/>
                <w:szCs w:val="18"/>
              </w:rPr>
              <w:t>去离子水处理站排放的浓水、机修车间、</w:t>
            </w:r>
            <w:r>
              <w:rPr>
                <w:rFonts w:ascii="宋体" w:hAnsi="宋体"/>
                <w:color w:val="auto"/>
                <w:sz w:val="18"/>
                <w:szCs w:val="18"/>
              </w:rPr>
              <w:t>空压站</w:t>
            </w:r>
            <w:r>
              <w:rPr>
                <w:rFonts w:hint="eastAsia" w:ascii="宋体" w:hAnsi="宋体"/>
                <w:color w:val="auto"/>
                <w:sz w:val="18"/>
                <w:szCs w:val="18"/>
              </w:rPr>
              <w:t>等产生的废水、熔铸</w:t>
            </w:r>
            <w:r>
              <w:rPr>
                <w:rFonts w:hint="eastAsia" w:ascii="宋体" w:hAnsi="宋体"/>
                <w:color w:val="auto"/>
                <w:sz w:val="18"/>
                <w:szCs w:val="18"/>
                <w:lang w:val="en-US" w:eastAsia="zh-CN"/>
              </w:rPr>
              <w:t>浇注水</w:t>
            </w:r>
            <w:r>
              <w:rPr>
                <w:rFonts w:hint="eastAsia" w:ascii="宋体" w:hAnsi="宋体"/>
                <w:color w:val="auto"/>
                <w:sz w:val="18"/>
                <w:szCs w:val="18"/>
              </w:rPr>
              <w:t>、</w:t>
            </w:r>
            <w:r>
              <w:rPr>
                <w:rFonts w:hint="eastAsia" w:ascii="宋体" w:hAnsi="宋体"/>
                <w:color w:val="auto"/>
                <w:sz w:val="18"/>
                <w:szCs w:val="18"/>
                <w:lang w:val="en-US" w:eastAsia="zh-CN"/>
              </w:rPr>
              <w:t>产品热加工冷却水</w:t>
            </w:r>
            <w:r>
              <w:rPr>
                <w:rFonts w:hint="eastAsia" w:ascii="宋体" w:hAnsi="宋体"/>
                <w:color w:val="auto"/>
                <w:sz w:val="18"/>
                <w:szCs w:val="18"/>
              </w:rPr>
              <w:t>及设备冷却水</w:t>
            </w:r>
            <w:r>
              <w:rPr>
                <w:rFonts w:hint="eastAsia" w:ascii="宋体" w:hAnsi="宋体"/>
                <w:color w:val="auto"/>
                <w:sz w:val="18"/>
                <w:szCs w:val="18"/>
                <w:lang w:val="en-US" w:eastAsia="zh-CN"/>
              </w:rPr>
              <w:t>等</w:t>
            </w:r>
            <w:r>
              <w:rPr>
                <w:rFonts w:hint="eastAsia" w:ascii="宋体" w:hAnsi="宋体"/>
                <w:color w:val="auto"/>
                <w:sz w:val="18"/>
                <w:szCs w:val="18"/>
              </w:rPr>
              <w:t>。</w:t>
            </w:r>
          </w:p>
        </w:tc>
        <w:tc>
          <w:tcPr>
            <w:tcW w:w="906" w:type="pct"/>
            <w:tcBorders>
              <w:top w:val="single" w:color="auto" w:sz="8"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olor w:val="auto"/>
                <w:sz w:val="18"/>
                <w:szCs w:val="18"/>
              </w:rPr>
            </w:pPr>
            <w:r>
              <w:rPr>
                <w:rFonts w:hint="eastAsia" w:ascii="宋体" w:hAnsi="宋体"/>
                <w:color w:val="auto"/>
                <w:sz w:val="18"/>
                <w:szCs w:val="18"/>
              </w:rPr>
              <w:t>初沉、冷却、隔油、过滤、气浮、絮凝、刮渣</w:t>
            </w:r>
          </w:p>
        </w:tc>
        <w:tc>
          <w:tcPr>
            <w:tcW w:w="854"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olor w:val="auto"/>
                <w:sz w:val="18"/>
                <w:szCs w:val="18"/>
              </w:rPr>
            </w:pPr>
            <w:r>
              <w:rPr>
                <w:rFonts w:hint="eastAsia" w:ascii="宋体" w:hAnsi="宋体"/>
                <w:color w:val="auto"/>
                <w:sz w:val="18"/>
                <w:szCs w:val="18"/>
              </w:rPr>
              <w:t>悬浮物、油、酸、重金属离子等</w:t>
            </w:r>
          </w:p>
        </w:tc>
        <w:tc>
          <w:tcPr>
            <w:tcW w:w="1253" w:type="pct"/>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olor w:val="auto"/>
                <w:sz w:val="18"/>
                <w:szCs w:val="18"/>
              </w:rPr>
            </w:pPr>
            <w:r>
              <w:rPr>
                <w:rFonts w:ascii="宋体" w:hAnsi="宋体"/>
                <w:color w:val="auto"/>
                <w:sz w:val="18"/>
                <w:szCs w:val="18"/>
              </w:rPr>
              <w:t>处理</w:t>
            </w:r>
            <w:r>
              <w:rPr>
                <w:rFonts w:hint="eastAsia" w:ascii="宋体" w:hAnsi="宋体"/>
                <w:color w:val="auto"/>
                <w:sz w:val="18"/>
                <w:szCs w:val="18"/>
              </w:rPr>
              <w:t>后回各生产用水单元</w:t>
            </w:r>
          </w:p>
        </w:tc>
      </w:tr>
    </w:tbl>
    <w:p>
      <w:pPr>
        <w:keepNext w:val="0"/>
        <w:keepLines w:val="0"/>
        <w:pageBreakBefore w:val="0"/>
        <w:widowControl/>
        <w:kinsoku/>
        <w:wordWrap w:val="0"/>
        <w:overflowPunct/>
        <w:topLinePunct w:val="0"/>
        <w:autoSpaceDE/>
        <w:autoSpaceDN/>
        <w:bidi w:val="0"/>
        <w:adjustRightInd/>
        <w:snapToGrid/>
        <w:spacing w:before="157" w:beforeLines="50" w:line="360" w:lineRule="auto"/>
        <w:ind w:firstLine="452" w:firstLineChars="200"/>
        <w:jc w:val="left"/>
        <w:textAlignment w:val="auto"/>
        <w:rPr>
          <w:rFonts w:hint="eastAsia" w:ascii="宋体" w:hAnsi="宋体"/>
          <w:color w:val="auto"/>
          <w:szCs w:val="21"/>
        </w:rPr>
      </w:pPr>
      <w:r>
        <w:rPr>
          <w:rFonts w:hint="eastAsia" w:ascii="宋体" w:hAnsi="宋体" w:eastAsia="宋体" w:cs="Times New Roman"/>
          <w:color w:val="auto"/>
          <w:spacing w:val="8"/>
          <w:kern w:val="0"/>
          <w:szCs w:val="21"/>
          <w:lang w:val="en-US" w:eastAsia="zh-CN"/>
        </w:rPr>
        <w:t>2）</w:t>
      </w:r>
      <w:r>
        <w:rPr>
          <w:rFonts w:hint="eastAsia" w:ascii="宋体" w:hAnsi="宋体"/>
          <w:color w:val="auto"/>
          <w:szCs w:val="21"/>
        </w:rPr>
        <w:t>铜加工各工序产生的废水应遵循综合利用的原则，形成完整的节水型废水循环利用系统。铜加工企业生产废水循环利用总体流程见图</w:t>
      </w:r>
      <w:r>
        <w:rPr>
          <w:rFonts w:hint="eastAsia" w:ascii="宋体" w:hAnsi="宋体"/>
          <w:color w:val="auto"/>
          <w:szCs w:val="21"/>
          <w:lang w:val="en-US" w:eastAsia="zh-CN"/>
        </w:rPr>
        <w:t>5</w:t>
      </w:r>
      <w:r>
        <w:rPr>
          <w:rFonts w:hint="eastAsia" w:ascii="宋体" w:hAnsi="宋体"/>
          <w:color w:val="auto"/>
          <w:szCs w:val="21"/>
        </w:rPr>
        <w:t>。</w:t>
      </w:r>
    </w:p>
    <w:p>
      <w:pPr>
        <w:widowControl/>
        <w:wordWrap w:val="0"/>
        <w:spacing w:line="360" w:lineRule="auto"/>
        <w:ind w:firstLine="510"/>
        <w:jc w:val="center"/>
        <w:rPr>
          <w:rFonts w:hint="eastAsia" w:ascii="Times New Roman" w:hAnsi="Times New Roman"/>
          <w:color w:val="auto"/>
          <w:spacing w:val="8"/>
          <w:kern w:val="0"/>
          <w:szCs w:val="21"/>
        </w:rPr>
      </w:pPr>
      <w:r>
        <w:rPr>
          <w:color w:val="auto"/>
        </w:rPr>
        <w:drawing>
          <wp:inline distT="0" distB="0" distL="114300" distR="114300">
            <wp:extent cx="4600575" cy="3620135"/>
            <wp:effectExtent l="0" t="0" r="9525" b="1841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0"/>
                    <a:srcRect l="4802" t="1980"/>
                    <a:stretch>
                      <a:fillRect/>
                    </a:stretch>
                  </pic:blipFill>
                  <pic:spPr>
                    <a:xfrm>
                      <a:off x="0" y="0"/>
                      <a:ext cx="4600575" cy="3620135"/>
                    </a:xfrm>
                    <a:prstGeom prst="rect">
                      <a:avLst/>
                    </a:prstGeom>
                    <a:noFill/>
                    <a:ln>
                      <a:noFill/>
                    </a:ln>
                  </pic:spPr>
                </pic:pic>
              </a:graphicData>
            </a:graphic>
          </wp:inline>
        </w:drawing>
      </w:r>
    </w:p>
    <w:p>
      <w:pPr>
        <w:tabs>
          <w:tab w:val="left" w:pos="1120"/>
        </w:tabs>
        <w:spacing w:beforeLines="50" w:afterLines="50" w:line="360" w:lineRule="auto"/>
        <w:ind w:firstLine="420" w:firstLineChars="200"/>
        <w:jc w:val="center"/>
        <w:rPr>
          <w:rFonts w:ascii="宋体" w:hAnsi="宋体"/>
          <w:color w:val="auto"/>
          <w:szCs w:val="21"/>
        </w:rPr>
      </w:pPr>
      <w:r>
        <w:rPr>
          <w:rFonts w:hint="eastAsia" w:ascii="宋体" w:hAnsi="宋体"/>
          <w:color w:val="auto"/>
          <w:szCs w:val="21"/>
        </w:rPr>
        <w:t>图</w:t>
      </w:r>
      <w:r>
        <w:rPr>
          <w:rFonts w:hint="eastAsia" w:ascii="宋体" w:hAnsi="宋体"/>
          <w:color w:val="auto"/>
          <w:szCs w:val="21"/>
          <w:lang w:val="en-US" w:eastAsia="zh-CN"/>
        </w:rPr>
        <w:t>5</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铜加工企业生产废水循环利用总体流程图</w:t>
      </w:r>
    </w:p>
    <w:p>
      <w:pPr>
        <w:spacing w:beforeLines="50" w:afterLines="50" w:line="360" w:lineRule="auto"/>
        <w:ind w:firstLine="452" w:firstLineChars="200"/>
        <w:rPr>
          <w:rFonts w:hint="eastAsia"/>
          <w:color w:val="auto"/>
          <w:szCs w:val="21"/>
        </w:rPr>
      </w:pPr>
      <w:r>
        <w:rPr>
          <w:rFonts w:hint="eastAsia" w:ascii="宋体" w:hAnsi="宋体" w:eastAsia="宋体" w:cs="Times New Roman"/>
          <w:color w:val="auto"/>
          <w:spacing w:val="8"/>
          <w:kern w:val="0"/>
          <w:szCs w:val="21"/>
          <w:lang w:val="en-US" w:eastAsia="zh-CN"/>
        </w:rPr>
        <w:t>3）</w:t>
      </w:r>
      <w:r>
        <w:rPr>
          <w:rFonts w:hint="eastAsia" w:ascii="宋体" w:hAnsi="宋体"/>
          <w:color w:val="auto"/>
          <w:szCs w:val="21"/>
        </w:rPr>
        <w:t>废水经处理后应采用分质回用方式循环利用，以提高废水循环利用率，</w:t>
      </w:r>
      <w:r>
        <w:rPr>
          <w:rFonts w:hint="eastAsia" w:ascii="宋体" w:hAnsi="宋体"/>
          <w:bCs/>
          <w:color w:val="auto"/>
          <w:szCs w:val="21"/>
        </w:rPr>
        <w:t>不能实现全部回收利用需外排的，应符合GB25467和相关地方排放标准的规定，</w:t>
      </w:r>
      <w:r>
        <w:rPr>
          <w:rFonts w:hint="eastAsia" w:ascii="宋体" w:hAnsi="宋体"/>
          <w:color w:val="auto"/>
          <w:szCs w:val="21"/>
        </w:rPr>
        <w:t>废水经处理后，作为不同类别工业用水水源时，其水质基本控制指标限值应满足表</w:t>
      </w:r>
      <w:r>
        <w:rPr>
          <w:rFonts w:hint="eastAsia" w:ascii="宋体" w:hAnsi="宋体"/>
          <w:color w:val="auto"/>
          <w:szCs w:val="21"/>
          <w:lang w:val="en-US" w:eastAsia="zh-CN"/>
        </w:rPr>
        <w:t>3</w:t>
      </w:r>
      <w:r>
        <w:rPr>
          <w:rFonts w:hint="eastAsia" w:ascii="宋体" w:hAnsi="宋体"/>
          <w:color w:val="auto"/>
          <w:szCs w:val="21"/>
        </w:rPr>
        <w:t>要求。</w:t>
      </w:r>
    </w:p>
    <w:p>
      <w:pPr>
        <w:spacing w:beforeLines="50" w:afterLines="50" w:line="360" w:lineRule="auto"/>
        <w:ind w:firstLine="448"/>
        <w:jc w:val="center"/>
        <w:rPr>
          <w:rFonts w:hint="eastAsia" w:ascii="宋体" w:hAnsi="宋体"/>
          <w:color w:val="auto"/>
          <w:szCs w:val="21"/>
        </w:rPr>
      </w:pPr>
      <w:bookmarkStart w:id="25" w:name="_Toc16715914"/>
      <w:r>
        <w:rPr>
          <w:rFonts w:hint="eastAsia" w:ascii="宋体" w:hAnsi="宋体"/>
          <w:color w:val="auto"/>
          <w:szCs w:val="21"/>
        </w:rPr>
        <w:t>表</w:t>
      </w:r>
      <w:r>
        <w:rPr>
          <w:rFonts w:hint="eastAsia" w:ascii="宋体" w:hAnsi="宋体"/>
          <w:color w:val="auto"/>
          <w:szCs w:val="21"/>
          <w:lang w:val="en-US" w:eastAsia="zh-CN"/>
        </w:rPr>
        <w:t xml:space="preserve">3 </w:t>
      </w:r>
      <w:r>
        <w:rPr>
          <w:rFonts w:hint="eastAsia" w:ascii="宋体" w:hAnsi="宋体"/>
          <w:color w:val="auto"/>
          <w:szCs w:val="21"/>
        </w:rPr>
        <w:t>工业废水水质指标限值</w:t>
      </w:r>
    </w:p>
    <w:tbl>
      <w:tblPr>
        <w:tblStyle w:val="22"/>
        <w:tblW w:w="4754"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19"/>
        <w:gridCol w:w="2862"/>
        <w:gridCol w:w="1099"/>
        <w:gridCol w:w="1237"/>
        <w:gridCol w:w="1237"/>
        <w:gridCol w:w="123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373" w:type="pct"/>
            <w:tcBorders>
              <w:top w:val="single" w:color="auto" w:sz="8" w:space="0"/>
              <w:bottom w:val="single" w:color="auto" w:sz="8" w:space="0"/>
            </w:tcBorders>
            <w:shd w:val="clear" w:color="auto" w:fill="auto"/>
          </w:tcPr>
          <w:p>
            <w:pPr>
              <w:rPr>
                <w:rFonts w:ascii="宋体" w:hAnsi="宋体"/>
                <w:color w:val="auto"/>
                <w:sz w:val="18"/>
                <w:szCs w:val="18"/>
              </w:rPr>
            </w:pPr>
            <w:r>
              <w:rPr>
                <w:rFonts w:hint="eastAsia" w:ascii="宋体" w:hAnsi="宋体"/>
                <w:color w:val="auto"/>
                <w:sz w:val="18"/>
                <w:szCs w:val="18"/>
              </w:rPr>
              <w:t>序号</w:t>
            </w:r>
          </w:p>
        </w:tc>
        <w:tc>
          <w:tcPr>
            <w:tcW w:w="1726" w:type="pct"/>
            <w:tcBorders>
              <w:top w:val="single" w:color="auto" w:sz="8" w:space="0"/>
              <w:bottom w:val="single" w:color="auto" w:sz="8" w:space="0"/>
            </w:tcBorders>
            <w:shd w:val="clear" w:color="auto" w:fill="auto"/>
          </w:tcPr>
          <w:p>
            <w:pPr>
              <w:rPr>
                <w:rFonts w:ascii="宋体" w:hAnsi="宋体"/>
                <w:color w:val="auto"/>
                <w:sz w:val="18"/>
                <w:szCs w:val="18"/>
              </w:rPr>
            </w:pPr>
            <w:r>
              <w:rPr>
                <w:rFonts w:hint="eastAsia" w:ascii="宋体" w:hAnsi="宋体"/>
                <w:color w:val="auto"/>
                <w:sz w:val="18"/>
                <w:szCs w:val="18"/>
              </w:rPr>
              <w:t>控制项目</w:t>
            </w:r>
          </w:p>
        </w:tc>
        <w:tc>
          <w:tcPr>
            <w:tcW w:w="663" w:type="pct"/>
            <w:tcBorders>
              <w:top w:val="single" w:color="auto" w:sz="8" w:space="0"/>
              <w:bottom w:val="single" w:color="auto" w:sz="8" w:space="0"/>
            </w:tcBorders>
          </w:tcPr>
          <w:p>
            <w:pPr>
              <w:jc w:val="center"/>
              <w:rPr>
                <w:rFonts w:ascii="宋体" w:hAnsi="宋体"/>
                <w:color w:val="auto"/>
                <w:sz w:val="18"/>
                <w:szCs w:val="18"/>
              </w:rPr>
            </w:pPr>
            <w:r>
              <w:rPr>
                <w:rFonts w:hint="eastAsia" w:ascii="宋体" w:hAnsi="宋体"/>
                <w:color w:val="auto"/>
                <w:sz w:val="18"/>
                <w:szCs w:val="18"/>
              </w:rPr>
              <w:t>清洗水</w:t>
            </w:r>
          </w:p>
        </w:tc>
        <w:tc>
          <w:tcPr>
            <w:tcW w:w="746" w:type="pct"/>
            <w:tcBorders>
              <w:top w:val="single" w:color="auto" w:sz="8" w:space="0"/>
              <w:bottom w:val="single" w:color="auto" w:sz="8" w:space="0"/>
            </w:tcBorders>
          </w:tcPr>
          <w:p>
            <w:pPr>
              <w:jc w:val="center"/>
              <w:rPr>
                <w:rFonts w:ascii="宋体" w:hAnsi="宋体"/>
                <w:color w:val="auto"/>
                <w:sz w:val="18"/>
                <w:szCs w:val="18"/>
              </w:rPr>
            </w:pPr>
            <w:r>
              <w:rPr>
                <w:rFonts w:hint="eastAsia" w:ascii="宋体" w:hAnsi="宋体"/>
                <w:color w:val="auto"/>
                <w:sz w:val="18"/>
                <w:szCs w:val="18"/>
              </w:rPr>
              <w:t>设备冷却水</w:t>
            </w:r>
          </w:p>
        </w:tc>
        <w:tc>
          <w:tcPr>
            <w:tcW w:w="746" w:type="pct"/>
            <w:tcBorders>
              <w:top w:val="single" w:color="auto" w:sz="8" w:space="0"/>
              <w:bottom w:val="single" w:color="auto" w:sz="8" w:space="0"/>
            </w:tcBorders>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hint="eastAsia" w:ascii="宋体" w:hAnsi="宋体"/>
                <w:color w:val="auto"/>
                <w:sz w:val="18"/>
                <w:szCs w:val="18"/>
                <w:lang w:val="en-US" w:eastAsia="zh-CN"/>
              </w:rPr>
              <w:t>熔铸浇注和热加工</w:t>
            </w:r>
            <w:r>
              <w:rPr>
                <w:rFonts w:hint="eastAsia" w:ascii="宋体" w:hAnsi="宋体"/>
                <w:color w:val="auto"/>
                <w:sz w:val="18"/>
                <w:szCs w:val="18"/>
              </w:rPr>
              <w:t>冷却水</w:t>
            </w:r>
          </w:p>
        </w:tc>
        <w:tc>
          <w:tcPr>
            <w:tcW w:w="746" w:type="pct"/>
            <w:tcBorders>
              <w:top w:val="single" w:color="auto" w:sz="8" w:space="0"/>
              <w:bottom w:val="single" w:color="auto" w:sz="8" w:space="0"/>
            </w:tcBorders>
          </w:tcPr>
          <w:p>
            <w:pPr>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 xml:space="preserve">GB 8978 </w:t>
            </w:r>
            <w:r>
              <w:rPr>
                <w:rFonts w:hint="eastAsia" w:ascii="宋体" w:hAnsi="宋体"/>
                <w:color w:val="auto"/>
                <w:sz w:val="18"/>
                <w:szCs w:val="18"/>
              </w:rPr>
              <w:t>三级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73" w:type="pct"/>
            <w:tcBorders>
              <w:top w:val="single" w:color="auto" w:sz="8" w:space="0"/>
              <w:bottom w:val="single" w:color="auto" w:sz="4" w:space="0"/>
              <w:right w:val="single" w:color="auto" w:sz="4" w:space="0"/>
            </w:tcBorders>
            <w:shd w:val="clear" w:color="auto" w:fill="auto"/>
          </w:tcPr>
          <w:p>
            <w:pPr>
              <w:numPr>
                <w:ilvl w:val="0"/>
                <w:numId w:val="2"/>
              </w:numPr>
              <w:rPr>
                <w:rFonts w:ascii="宋体" w:hAnsi="宋体"/>
                <w:color w:val="auto"/>
                <w:sz w:val="18"/>
                <w:szCs w:val="18"/>
              </w:rPr>
            </w:pPr>
          </w:p>
        </w:tc>
        <w:tc>
          <w:tcPr>
            <w:tcW w:w="1726" w:type="pct"/>
            <w:tcBorders>
              <w:top w:val="single" w:color="auto" w:sz="8" w:space="0"/>
              <w:left w:val="single" w:color="auto" w:sz="4" w:space="0"/>
              <w:bottom w:val="single" w:color="auto" w:sz="4" w:space="0"/>
              <w:right w:val="single" w:color="auto" w:sz="4" w:space="0"/>
            </w:tcBorders>
            <w:shd w:val="clear" w:color="auto" w:fill="auto"/>
          </w:tcPr>
          <w:p>
            <w:pPr>
              <w:rPr>
                <w:rFonts w:ascii="宋体" w:hAnsi="宋体"/>
                <w:color w:val="auto"/>
                <w:sz w:val="18"/>
                <w:szCs w:val="18"/>
              </w:rPr>
            </w:pPr>
            <w:r>
              <w:rPr>
                <w:rFonts w:hint="eastAsia" w:ascii="宋体" w:hAnsi="宋体"/>
                <w:color w:val="auto"/>
                <w:sz w:val="18"/>
                <w:szCs w:val="18"/>
              </w:rPr>
              <w:t>pH值</w:t>
            </w:r>
          </w:p>
        </w:tc>
        <w:tc>
          <w:tcPr>
            <w:tcW w:w="663" w:type="pct"/>
            <w:tcBorders>
              <w:top w:val="single" w:color="auto" w:sz="8" w:space="0"/>
              <w:left w:val="single" w:color="auto" w:sz="4" w:space="0"/>
              <w:bottom w:val="single" w:color="auto" w:sz="4" w:space="0"/>
              <w:right w:val="single" w:color="auto" w:sz="4" w:space="0"/>
            </w:tcBorders>
          </w:tcPr>
          <w:p>
            <w:pPr>
              <w:jc w:val="center"/>
              <w:rPr>
                <w:rFonts w:hint="eastAsia" w:ascii="宋体" w:hAnsi="宋体" w:eastAsia="宋体"/>
                <w:color w:val="auto"/>
                <w:sz w:val="18"/>
                <w:szCs w:val="18"/>
                <w:lang w:eastAsia="zh-CN"/>
              </w:rPr>
            </w:pPr>
            <w:r>
              <w:rPr>
                <w:rFonts w:hint="eastAsia" w:ascii="宋体" w:hAnsi="宋体"/>
                <w:color w:val="auto"/>
                <w:sz w:val="18"/>
                <w:szCs w:val="18"/>
              </w:rPr>
              <w:t>6.0～8.0</w:t>
            </w:r>
          </w:p>
        </w:tc>
        <w:tc>
          <w:tcPr>
            <w:tcW w:w="746" w:type="pct"/>
            <w:tcBorders>
              <w:top w:val="single" w:color="auto" w:sz="8"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6.0～8</w:t>
            </w:r>
            <w:r>
              <w:rPr>
                <w:rFonts w:ascii="宋体" w:hAnsi="宋体"/>
                <w:color w:val="auto"/>
                <w:sz w:val="18"/>
                <w:szCs w:val="18"/>
              </w:rPr>
              <w:t>.0</w:t>
            </w:r>
          </w:p>
        </w:tc>
        <w:tc>
          <w:tcPr>
            <w:tcW w:w="746" w:type="pct"/>
            <w:tcBorders>
              <w:top w:val="single" w:color="auto" w:sz="8"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6.0～9</w:t>
            </w:r>
            <w:r>
              <w:rPr>
                <w:rFonts w:ascii="宋体" w:hAnsi="宋体"/>
                <w:color w:val="auto"/>
                <w:sz w:val="18"/>
                <w:szCs w:val="18"/>
              </w:rPr>
              <w:t>.0</w:t>
            </w:r>
          </w:p>
        </w:tc>
        <w:tc>
          <w:tcPr>
            <w:tcW w:w="746" w:type="pct"/>
            <w:tcBorders>
              <w:top w:val="single" w:color="auto" w:sz="8"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6.0～9</w:t>
            </w:r>
            <w:r>
              <w:rPr>
                <w:rFonts w:ascii="宋体" w:hAnsi="宋体"/>
                <w:color w:val="auto"/>
                <w:sz w:val="18"/>
                <w:szCs w:val="18"/>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73" w:type="pct"/>
            <w:tcBorders>
              <w:top w:val="single" w:color="auto" w:sz="8" w:space="0"/>
              <w:bottom w:val="single" w:color="auto" w:sz="4" w:space="0"/>
              <w:right w:val="single" w:color="auto" w:sz="4" w:space="0"/>
            </w:tcBorders>
            <w:shd w:val="clear" w:color="auto" w:fill="auto"/>
          </w:tcPr>
          <w:p>
            <w:pPr>
              <w:numPr>
                <w:ilvl w:val="0"/>
                <w:numId w:val="2"/>
              </w:numPr>
              <w:rPr>
                <w:rFonts w:ascii="宋体" w:hAnsi="宋体"/>
                <w:color w:val="auto"/>
                <w:sz w:val="18"/>
                <w:szCs w:val="18"/>
              </w:rPr>
            </w:pPr>
          </w:p>
        </w:tc>
        <w:tc>
          <w:tcPr>
            <w:tcW w:w="1726" w:type="pct"/>
            <w:tcBorders>
              <w:top w:val="single" w:color="auto" w:sz="8" w:space="0"/>
              <w:left w:val="single" w:color="auto" w:sz="4" w:space="0"/>
              <w:bottom w:val="single" w:color="auto" w:sz="4" w:space="0"/>
              <w:right w:val="single" w:color="auto" w:sz="4" w:space="0"/>
            </w:tcBorders>
            <w:shd w:val="clear" w:color="auto" w:fill="auto"/>
          </w:tcPr>
          <w:p>
            <w:pPr>
              <w:rPr>
                <w:rFonts w:ascii="宋体" w:hAnsi="宋体"/>
                <w:color w:val="auto"/>
                <w:sz w:val="18"/>
                <w:szCs w:val="18"/>
              </w:rPr>
            </w:pPr>
            <w:r>
              <w:rPr>
                <w:rFonts w:hint="eastAsia" w:ascii="宋体" w:hAnsi="宋体"/>
                <w:color w:val="auto"/>
                <w:sz w:val="18"/>
                <w:szCs w:val="18"/>
              </w:rPr>
              <w:t>浊度/（NTU），不大于</w:t>
            </w:r>
          </w:p>
        </w:tc>
        <w:tc>
          <w:tcPr>
            <w:tcW w:w="663" w:type="pct"/>
            <w:tcBorders>
              <w:top w:val="single" w:color="auto" w:sz="8"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55</w:t>
            </w:r>
          </w:p>
        </w:tc>
        <w:tc>
          <w:tcPr>
            <w:tcW w:w="746" w:type="pct"/>
            <w:tcBorders>
              <w:top w:val="single" w:color="auto" w:sz="8"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w:t>
            </w:r>
          </w:p>
        </w:tc>
        <w:tc>
          <w:tcPr>
            <w:tcW w:w="746" w:type="pct"/>
            <w:tcBorders>
              <w:top w:val="single" w:color="auto" w:sz="8"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45</w:t>
            </w:r>
          </w:p>
        </w:tc>
        <w:tc>
          <w:tcPr>
            <w:tcW w:w="746" w:type="pct"/>
            <w:tcBorders>
              <w:top w:val="single" w:color="auto" w:sz="8"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373" w:type="pct"/>
            <w:tcBorders>
              <w:top w:val="single" w:color="auto" w:sz="4" w:space="0"/>
              <w:bottom w:val="single" w:color="auto" w:sz="4" w:space="0"/>
              <w:right w:val="single" w:color="auto" w:sz="4" w:space="0"/>
            </w:tcBorders>
            <w:shd w:val="clear" w:color="auto" w:fill="auto"/>
          </w:tcPr>
          <w:p>
            <w:pPr>
              <w:numPr>
                <w:ilvl w:val="0"/>
                <w:numId w:val="2"/>
              </w:numPr>
              <w:rPr>
                <w:rFonts w:ascii="宋体" w:hAnsi="宋体"/>
                <w:color w:val="auto"/>
                <w:sz w:val="18"/>
                <w:szCs w:val="18"/>
              </w:rPr>
            </w:pPr>
          </w:p>
        </w:tc>
        <w:tc>
          <w:tcPr>
            <w:tcW w:w="1726" w:type="pct"/>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olor w:val="auto"/>
                <w:sz w:val="18"/>
                <w:szCs w:val="18"/>
              </w:rPr>
            </w:pPr>
            <w:r>
              <w:rPr>
                <w:rFonts w:hint="eastAsia" w:ascii="宋体" w:hAnsi="宋体"/>
                <w:color w:val="auto"/>
                <w:sz w:val="18"/>
                <w:szCs w:val="18"/>
              </w:rPr>
              <w:t>化学需氧量</w:t>
            </w:r>
          </w:p>
        </w:tc>
        <w:tc>
          <w:tcPr>
            <w:tcW w:w="663"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5</w:t>
            </w:r>
            <w:r>
              <w:rPr>
                <w:rFonts w:ascii="宋体" w:hAnsi="宋体"/>
                <w:color w:val="auto"/>
                <w:sz w:val="18"/>
                <w:szCs w:val="18"/>
              </w:rPr>
              <w:t>00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5</w:t>
            </w:r>
            <w:r>
              <w:rPr>
                <w:rFonts w:ascii="宋体" w:hAnsi="宋体"/>
                <w:color w:val="auto"/>
                <w:sz w:val="18"/>
                <w:szCs w:val="18"/>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73" w:type="pct"/>
            <w:tcBorders>
              <w:top w:val="single" w:color="auto" w:sz="4" w:space="0"/>
              <w:bottom w:val="single" w:color="auto" w:sz="4" w:space="0"/>
              <w:right w:val="single" w:color="auto" w:sz="4" w:space="0"/>
            </w:tcBorders>
            <w:shd w:val="clear" w:color="auto" w:fill="auto"/>
          </w:tcPr>
          <w:p>
            <w:pPr>
              <w:numPr>
                <w:ilvl w:val="0"/>
                <w:numId w:val="2"/>
              </w:numPr>
              <w:rPr>
                <w:rFonts w:ascii="宋体" w:hAnsi="宋体"/>
                <w:color w:val="auto"/>
                <w:sz w:val="18"/>
                <w:szCs w:val="18"/>
              </w:rPr>
            </w:pPr>
          </w:p>
        </w:tc>
        <w:tc>
          <w:tcPr>
            <w:tcW w:w="1726" w:type="pct"/>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olor w:val="auto"/>
                <w:sz w:val="18"/>
                <w:szCs w:val="18"/>
              </w:rPr>
            </w:pPr>
            <w:r>
              <w:rPr>
                <w:rFonts w:hint="eastAsia" w:ascii="宋体" w:hAnsi="宋体"/>
                <w:color w:val="auto"/>
                <w:sz w:val="18"/>
                <w:szCs w:val="18"/>
              </w:rPr>
              <w:t>氨氮/（以N计，</w:t>
            </w:r>
            <w:r>
              <w:rPr>
                <w:rFonts w:ascii="宋体" w:hAnsi="宋体"/>
                <w:color w:val="auto"/>
                <w:sz w:val="18"/>
                <w:szCs w:val="18"/>
              </w:rPr>
              <w:t>mg/L</w:t>
            </w:r>
            <w:r>
              <w:rPr>
                <w:rFonts w:hint="eastAsia" w:ascii="宋体" w:hAnsi="宋体"/>
                <w:color w:val="auto"/>
                <w:sz w:val="18"/>
                <w:szCs w:val="18"/>
              </w:rPr>
              <w:t>），不大于</w:t>
            </w:r>
          </w:p>
        </w:tc>
        <w:tc>
          <w:tcPr>
            <w:tcW w:w="663"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8.0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8.0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73" w:type="pct"/>
            <w:tcBorders>
              <w:top w:val="single" w:color="auto" w:sz="4" w:space="0"/>
              <w:bottom w:val="single" w:color="auto" w:sz="4" w:space="0"/>
              <w:right w:val="single" w:color="auto" w:sz="4" w:space="0"/>
            </w:tcBorders>
            <w:shd w:val="clear" w:color="auto" w:fill="auto"/>
          </w:tcPr>
          <w:p>
            <w:pPr>
              <w:numPr>
                <w:ilvl w:val="0"/>
                <w:numId w:val="2"/>
              </w:numPr>
              <w:rPr>
                <w:rFonts w:ascii="宋体" w:hAnsi="宋体"/>
                <w:color w:val="auto"/>
                <w:sz w:val="18"/>
                <w:szCs w:val="18"/>
              </w:rPr>
            </w:pPr>
          </w:p>
        </w:tc>
        <w:tc>
          <w:tcPr>
            <w:tcW w:w="1726" w:type="pct"/>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olor w:val="auto"/>
                <w:sz w:val="18"/>
                <w:szCs w:val="18"/>
              </w:rPr>
            </w:pPr>
            <w:r>
              <w:rPr>
                <w:rFonts w:hint="eastAsia" w:ascii="宋体" w:hAnsi="宋体"/>
                <w:color w:val="auto"/>
                <w:sz w:val="18"/>
                <w:szCs w:val="18"/>
              </w:rPr>
              <w:t>悬浮物/（</w:t>
            </w:r>
            <w:r>
              <w:rPr>
                <w:rFonts w:ascii="宋体" w:hAnsi="宋体"/>
                <w:color w:val="auto"/>
                <w:sz w:val="18"/>
                <w:szCs w:val="18"/>
              </w:rPr>
              <w:t>mg/L</w:t>
            </w:r>
            <w:r>
              <w:rPr>
                <w:rFonts w:hint="eastAsia" w:ascii="宋体" w:hAnsi="宋体"/>
                <w:color w:val="auto"/>
                <w:sz w:val="18"/>
                <w:szCs w:val="18"/>
              </w:rPr>
              <w:t>），不大于</w:t>
            </w:r>
          </w:p>
        </w:tc>
        <w:tc>
          <w:tcPr>
            <w:tcW w:w="663"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100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50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400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373" w:type="pct"/>
            <w:tcBorders>
              <w:top w:val="single" w:color="auto" w:sz="4" w:space="0"/>
              <w:bottom w:val="single" w:color="auto" w:sz="4" w:space="0"/>
              <w:right w:val="single" w:color="auto" w:sz="4" w:space="0"/>
            </w:tcBorders>
            <w:shd w:val="clear" w:color="auto" w:fill="auto"/>
          </w:tcPr>
          <w:p>
            <w:pPr>
              <w:numPr>
                <w:ilvl w:val="0"/>
                <w:numId w:val="2"/>
              </w:numPr>
              <w:rPr>
                <w:rFonts w:ascii="宋体" w:hAnsi="宋体"/>
                <w:color w:val="auto"/>
                <w:sz w:val="18"/>
                <w:szCs w:val="18"/>
              </w:rPr>
            </w:pPr>
          </w:p>
        </w:tc>
        <w:tc>
          <w:tcPr>
            <w:tcW w:w="1726" w:type="pct"/>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olor w:val="auto"/>
                <w:sz w:val="18"/>
                <w:szCs w:val="18"/>
              </w:rPr>
            </w:pPr>
            <w:r>
              <w:rPr>
                <w:rFonts w:hint="eastAsia" w:ascii="宋体" w:hAnsi="宋体"/>
                <w:color w:val="auto"/>
                <w:sz w:val="18"/>
                <w:szCs w:val="18"/>
              </w:rPr>
              <w:t>石油类/（</w:t>
            </w:r>
            <w:r>
              <w:rPr>
                <w:rFonts w:ascii="宋体" w:hAnsi="宋体"/>
                <w:color w:val="auto"/>
                <w:sz w:val="18"/>
                <w:szCs w:val="18"/>
              </w:rPr>
              <w:t>mg/L</w:t>
            </w:r>
            <w:r>
              <w:rPr>
                <w:rFonts w:hint="eastAsia" w:ascii="宋体" w:hAnsi="宋体"/>
                <w:color w:val="auto"/>
                <w:sz w:val="18"/>
                <w:szCs w:val="18"/>
              </w:rPr>
              <w:t>），不大于</w:t>
            </w:r>
          </w:p>
        </w:tc>
        <w:tc>
          <w:tcPr>
            <w:tcW w:w="663"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1.0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1.0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30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373" w:type="pct"/>
            <w:tcBorders>
              <w:top w:val="single" w:color="auto" w:sz="4" w:space="0"/>
              <w:bottom w:val="single" w:color="auto" w:sz="4" w:space="0"/>
              <w:right w:val="single" w:color="auto" w:sz="4" w:space="0"/>
            </w:tcBorders>
            <w:shd w:val="clear" w:color="auto" w:fill="auto"/>
          </w:tcPr>
          <w:p>
            <w:pPr>
              <w:numPr>
                <w:ilvl w:val="0"/>
                <w:numId w:val="2"/>
              </w:numPr>
              <w:rPr>
                <w:rFonts w:ascii="宋体" w:hAnsi="宋体"/>
                <w:color w:val="auto"/>
                <w:sz w:val="18"/>
                <w:szCs w:val="18"/>
              </w:rPr>
            </w:pPr>
          </w:p>
        </w:tc>
        <w:tc>
          <w:tcPr>
            <w:tcW w:w="1726" w:type="pct"/>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olor w:val="auto"/>
                <w:sz w:val="18"/>
                <w:szCs w:val="18"/>
              </w:rPr>
            </w:pPr>
            <w:r>
              <w:rPr>
                <w:rFonts w:hint="eastAsia" w:ascii="宋体" w:hAnsi="宋体"/>
                <w:color w:val="auto"/>
                <w:sz w:val="18"/>
                <w:szCs w:val="18"/>
              </w:rPr>
              <w:t>Cl</w:t>
            </w:r>
            <w:r>
              <w:rPr>
                <w:rFonts w:hint="eastAsia" w:ascii="宋体" w:hAnsi="宋体"/>
                <w:color w:val="auto"/>
                <w:sz w:val="18"/>
                <w:szCs w:val="18"/>
                <w:vertAlign w:val="superscript"/>
              </w:rPr>
              <w:t>-</w:t>
            </w:r>
            <w:r>
              <w:rPr>
                <w:rFonts w:hint="eastAsia" w:ascii="宋体" w:hAnsi="宋体"/>
                <w:color w:val="auto"/>
                <w:sz w:val="18"/>
                <w:szCs w:val="18"/>
              </w:rPr>
              <w:t>/（</w:t>
            </w:r>
            <w:r>
              <w:rPr>
                <w:rFonts w:ascii="宋体" w:hAnsi="宋体"/>
                <w:color w:val="auto"/>
                <w:sz w:val="18"/>
                <w:szCs w:val="18"/>
              </w:rPr>
              <w:t>mg/L</w:t>
            </w:r>
            <w:r>
              <w:rPr>
                <w:rFonts w:hint="eastAsia" w:ascii="宋体" w:hAnsi="宋体"/>
                <w:color w:val="auto"/>
                <w:sz w:val="18"/>
                <w:szCs w:val="18"/>
              </w:rPr>
              <w:t>）</w:t>
            </w:r>
          </w:p>
        </w:tc>
        <w:tc>
          <w:tcPr>
            <w:tcW w:w="663"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100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100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100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73" w:type="pct"/>
            <w:tcBorders>
              <w:top w:val="single" w:color="auto" w:sz="4" w:space="0"/>
              <w:bottom w:val="single" w:color="auto" w:sz="4" w:space="0"/>
              <w:right w:val="single" w:color="auto" w:sz="4" w:space="0"/>
            </w:tcBorders>
            <w:shd w:val="clear" w:color="auto" w:fill="auto"/>
          </w:tcPr>
          <w:p>
            <w:pPr>
              <w:numPr>
                <w:ilvl w:val="0"/>
                <w:numId w:val="2"/>
              </w:numPr>
              <w:rPr>
                <w:rFonts w:ascii="宋体" w:hAnsi="宋体"/>
                <w:color w:val="auto"/>
                <w:sz w:val="18"/>
                <w:szCs w:val="18"/>
              </w:rPr>
            </w:pPr>
          </w:p>
        </w:tc>
        <w:tc>
          <w:tcPr>
            <w:tcW w:w="1726" w:type="pct"/>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olor w:val="auto"/>
                <w:sz w:val="18"/>
                <w:szCs w:val="18"/>
              </w:rPr>
            </w:pPr>
            <w:r>
              <w:rPr>
                <w:rFonts w:hint="eastAsia" w:ascii="宋体" w:hAnsi="宋体"/>
                <w:color w:val="auto"/>
                <w:sz w:val="18"/>
                <w:szCs w:val="18"/>
              </w:rPr>
              <w:t>总铜（</w:t>
            </w:r>
            <w:r>
              <w:rPr>
                <w:rFonts w:ascii="宋体" w:hAnsi="宋体"/>
                <w:color w:val="auto"/>
                <w:sz w:val="18"/>
                <w:szCs w:val="18"/>
              </w:rPr>
              <w:t>mg/L</w:t>
            </w:r>
            <w:r>
              <w:rPr>
                <w:rFonts w:hint="eastAsia" w:ascii="宋体" w:hAnsi="宋体"/>
                <w:color w:val="auto"/>
                <w:sz w:val="18"/>
                <w:szCs w:val="18"/>
              </w:rPr>
              <w:t>）</w:t>
            </w:r>
          </w:p>
        </w:tc>
        <w:tc>
          <w:tcPr>
            <w:tcW w:w="663"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1.0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1.0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73" w:type="pct"/>
            <w:tcBorders>
              <w:top w:val="single" w:color="auto" w:sz="4" w:space="0"/>
              <w:bottom w:val="single" w:color="auto" w:sz="4" w:space="0"/>
              <w:right w:val="single" w:color="auto" w:sz="4" w:space="0"/>
            </w:tcBorders>
            <w:shd w:val="clear" w:color="auto" w:fill="auto"/>
          </w:tcPr>
          <w:p>
            <w:pPr>
              <w:numPr>
                <w:ilvl w:val="0"/>
                <w:numId w:val="2"/>
              </w:numPr>
              <w:rPr>
                <w:rFonts w:ascii="宋体" w:hAnsi="宋体"/>
                <w:color w:val="auto"/>
                <w:sz w:val="18"/>
                <w:szCs w:val="18"/>
              </w:rPr>
            </w:pPr>
          </w:p>
        </w:tc>
        <w:tc>
          <w:tcPr>
            <w:tcW w:w="1726" w:type="pct"/>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olor w:val="auto"/>
                <w:sz w:val="18"/>
                <w:szCs w:val="18"/>
              </w:rPr>
            </w:pPr>
            <w:r>
              <w:rPr>
                <w:rFonts w:hint="eastAsia" w:ascii="宋体" w:hAnsi="宋体"/>
                <w:color w:val="auto"/>
                <w:sz w:val="18"/>
                <w:szCs w:val="18"/>
              </w:rPr>
              <w:t>总锌（</w:t>
            </w:r>
            <w:r>
              <w:rPr>
                <w:rFonts w:ascii="宋体" w:hAnsi="宋体"/>
                <w:color w:val="auto"/>
                <w:sz w:val="18"/>
                <w:szCs w:val="18"/>
              </w:rPr>
              <w:t>mg/L</w:t>
            </w:r>
            <w:r>
              <w:rPr>
                <w:rFonts w:hint="eastAsia" w:ascii="宋体" w:hAnsi="宋体"/>
                <w:color w:val="auto"/>
                <w:sz w:val="18"/>
                <w:szCs w:val="18"/>
              </w:rPr>
              <w:t>）</w:t>
            </w:r>
          </w:p>
        </w:tc>
        <w:tc>
          <w:tcPr>
            <w:tcW w:w="663"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5.0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73" w:type="pct"/>
            <w:tcBorders>
              <w:top w:val="single" w:color="auto" w:sz="4" w:space="0"/>
              <w:bottom w:val="single" w:color="auto" w:sz="4" w:space="0"/>
              <w:right w:val="single" w:color="auto" w:sz="4" w:space="0"/>
            </w:tcBorders>
            <w:shd w:val="clear" w:color="auto" w:fill="auto"/>
          </w:tcPr>
          <w:p>
            <w:pPr>
              <w:numPr>
                <w:ilvl w:val="0"/>
                <w:numId w:val="2"/>
              </w:numPr>
              <w:rPr>
                <w:rFonts w:ascii="宋体" w:hAnsi="宋体"/>
                <w:color w:val="auto"/>
                <w:sz w:val="18"/>
                <w:szCs w:val="18"/>
              </w:rPr>
            </w:pPr>
          </w:p>
        </w:tc>
        <w:tc>
          <w:tcPr>
            <w:tcW w:w="1726" w:type="pct"/>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olor w:val="auto"/>
                <w:sz w:val="18"/>
                <w:szCs w:val="18"/>
              </w:rPr>
            </w:pPr>
            <w:r>
              <w:rPr>
                <w:rFonts w:hint="eastAsia" w:ascii="宋体" w:hAnsi="宋体"/>
                <w:color w:val="auto"/>
                <w:sz w:val="18"/>
                <w:szCs w:val="18"/>
              </w:rPr>
              <w:t>硬度/（dH），不大于</w:t>
            </w:r>
          </w:p>
        </w:tc>
        <w:tc>
          <w:tcPr>
            <w:tcW w:w="663"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18</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18</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w:t>
            </w:r>
          </w:p>
        </w:tc>
      </w:tr>
    </w:tbl>
    <w:p>
      <w:pPr>
        <w:pStyle w:val="3"/>
        <w:spacing w:before="240" w:after="120" w:line="360" w:lineRule="auto"/>
        <w:rPr>
          <w:rFonts w:ascii="宋体" w:hAnsi="宋体" w:eastAsia="宋体"/>
          <w:color w:val="auto"/>
          <w:sz w:val="21"/>
          <w:szCs w:val="21"/>
        </w:rPr>
      </w:pPr>
      <w:r>
        <w:rPr>
          <w:rFonts w:hint="eastAsia" w:ascii="宋体" w:hAnsi="宋体" w:eastAsia="宋体"/>
          <w:color w:val="auto"/>
          <w:sz w:val="21"/>
          <w:szCs w:val="21"/>
          <w:lang w:val="en-US" w:eastAsia="zh-CN"/>
        </w:rPr>
        <w:t>4</w:t>
      </w:r>
      <w:r>
        <w:rPr>
          <w:rFonts w:hint="eastAsia" w:ascii="宋体" w:hAnsi="宋体" w:eastAsia="宋体"/>
          <w:color w:val="auto"/>
          <w:sz w:val="21"/>
          <w:szCs w:val="21"/>
        </w:rPr>
        <w:t>.</w:t>
      </w:r>
      <w:r>
        <w:rPr>
          <w:rFonts w:hint="eastAsia" w:ascii="宋体" w:hAnsi="宋体" w:eastAsia="宋体"/>
          <w:color w:val="auto"/>
          <w:sz w:val="21"/>
          <w:szCs w:val="21"/>
          <w:lang w:val="en-US" w:eastAsia="zh-CN"/>
        </w:rPr>
        <w:t>4</w:t>
      </w:r>
      <w:r>
        <w:rPr>
          <w:rFonts w:hint="eastAsia" w:ascii="宋体" w:hAnsi="宋体" w:eastAsia="宋体"/>
          <w:color w:val="auto"/>
          <w:sz w:val="21"/>
          <w:szCs w:val="21"/>
        </w:rPr>
        <w:t>相关说明</w:t>
      </w:r>
      <w:bookmarkEnd w:id="25"/>
    </w:p>
    <w:p>
      <w:pPr>
        <w:spacing w:line="360" w:lineRule="auto"/>
        <w:ind w:firstLine="420" w:firstLineChars="200"/>
        <w:rPr>
          <w:rFonts w:ascii="宋体" w:hAnsi="宋体"/>
          <w:color w:val="auto"/>
          <w:szCs w:val="21"/>
        </w:rPr>
      </w:pPr>
      <w:r>
        <w:rPr>
          <w:rFonts w:hint="eastAsia" w:ascii="宋体" w:hAnsi="宋体"/>
          <w:color w:val="auto"/>
          <w:szCs w:val="21"/>
        </w:rPr>
        <w:t>（1）pH值：循环冷却水的pH值，由补充水水质、浓缩倍数以及药剂配方等因素确定，加酸调节PH值低限不宜低于6.0；不加酸运行的自然pH值上限般不高于8.</w:t>
      </w:r>
      <w:r>
        <w:rPr>
          <w:rFonts w:ascii="宋体" w:hAnsi="宋体"/>
          <w:color w:val="auto"/>
          <w:szCs w:val="21"/>
        </w:rPr>
        <w:t>0</w:t>
      </w:r>
      <w:r>
        <w:rPr>
          <w:rFonts w:hint="eastAsia" w:ascii="宋体" w:hAnsi="宋体"/>
          <w:color w:val="auto"/>
          <w:szCs w:val="21"/>
        </w:rPr>
        <w:t>。</w:t>
      </w:r>
    </w:p>
    <w:p>
      <w:pPr>
        <w:tabs>
          <w:tab w:val="left" w:pos="1120"/>
        </w:tabs>
        <w:spacing w:line="360" w:lineRule="auto"/>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浊度：循环冷却水的浊度对换热设备的污垢热阻和腐蚀速率影响很大，所以要求越低越好</w:t>
      </w:r>
      <w:r>
        <w:rPr>
          <w:rFonts w:hint="eastAsia" w:ascii="宋体" w:hAnsi="宋体"/>
          <w:color w:val="auto"/>
          <w:szCs w:val="21"/>
        </w:rPr>
        <w:t>。根据企业的运行经验，铸锭冷却水45以下NTU，清洗水和锅炉补给水浊度55 NTU以下。</w:t>
      </w:r>
    </w:p>
    <w:p>
      <w:pPr>
        <w:spacing w:line="360" w:lineRule="auto"/>
        <w:ind w:firstLine="420" w:firstLineChars="200"/>
        <w:rPr>
          <w:rFonts w:ascii="宋体" w:hAnsi="宋体"/>
          <w:color w:val="auto"/>
          <w:szCs w:val="21"/>
        </w:rPr>
      </w:pPr>
      <w:r>
        <w:rPr>
          <w:rFonts w:hint="eastAsia" w:ascii="宋体" w:hAnsi="宋体"/>
          <w:color w:val="auto"/>
          <w:szCs w:val="21"/>
        </w:rPr>
        <w:t>（3）Cl</w:t>
      </w:r>
      <w:r>
        <w:rPr>
          <w:rFonts w:hint="eastAsia" w:ascii="宋体" w:hAnsi="宋体"/>
          <w:color w:val="auto"/>
          <w:szCs w:val="21"/>
          <w:vertAlign w:val="superscript"/>
        </w:rPr>
        <w:t>-</w:t>
      </w:r>
      <w:r>
        <w:rPr>
          <w:rFonts w:hint="eastAsia" w:ascii="宋体" w:hAnsi="宋体"/>
          <w:color w:val="auto"/>
          <w:szCs w:val="21"/>
        </w:rPr>
        <w:t>：国内有关循环冷却水处理试验和工厂调查表明，Cl</w:t>
      </w:r>
      <w:r>
        <w:rPr>
          <w:rFonts w:hint="eastAsia" w:ascii="宋体" w:hAnsi="宋体"/>
          <w:color w:val="auto"/>
          <w:szCs w:val="21"/>
          <w:vertAlign w:val="superscript"/>
        </w:rPr>
        <w:t>-</w:t>
      </w:r>
      <w:r>
        <w:rPr>
          <w:rFonts w:hint="eastAsia" w:ascii="宋体" w:hAnsi="宋体"/>
          <w:color w:val="auto"/>
          <w:szCs w:val="21"/>
        </w:rPr>
        <w:t>对不锈钢的腐蚀有影响，但不是唯一因素。不锈钢设备在循环冷却水中的腐蚀与设备的结构形式、应力情况、使用温度，水的流速、污垢沉积等有密切关系，Cl</w:t>
      </w:r>
      <w:r>
        <w:rPr>
          <w:rFonts w:hint="eastAsia" w:ascii="宋体" w:hAnsi="宋体"/>
          <w:color w:val="auto"/>
          <w:szCs w:val="21"/>
          <w:vertAlign w:val="superscript"/>
        </w:rPr>
        <w:t>-</w:t>
      </w:r>
      <w:r>
        <w:rPr>
          <w:rFonts w:hint="eastAsia" w:ascii="宋体" w:hAnsi="宋体"/>
          <w:color w:val="auto"/>
          <w:szCs w:val="21"/>
        </w:rPr>
        <w:t>只是在一定条件下起催化作用。不锈钢设备的腐蚀损坏首先是由于设备本身存在一些缺陷，冷却水中的Cl</w:t>
      </w:r>
      <w:r>
        <w:rPr>
          <w:rFonts w:hint="eastAsia" w:ascii="宋体" w:hAnsi="宋体"/>
          <w:color w:val="auto"/>
          <w:szCs w:val="21"/>
          <w:vertAlign w:val="superscript"/>
        </w:rPr>
        <w:t>-</w:t>
      </w:r>
      <w:r>
        <w:rPr>
          <w:rFonts w:hint="eastAsia" w:ascii="宋体" w:hAnsi="宋体"/>
          <w:color w:val="auto"/>
          <w:szCs w:val="21"/>
        </w:rPr>
        <w:t>在缺陷部位富集，导致设备的损坏。根据企业运行经验，冷却水中的氯离子浓度不宜大于100mg/L。</w:t>
      </w:r>
    </w:p>
    <w:p>
      <w:pPr>
        <w:spacing w:line="360" w:lineRule="auto"/>
        <w:ind w:firstLine="420" w:firstLineChars="200"/>
        <w:rPr>
          <w:rFonts w:ascii="宋体" w:hAnsi="宋体"/>
          <w:color w:val="auto"/>
          <w:szCs w:val="21"/>
        </w:rPr>
      </w:pPr>
      <w:r>
        <w:rPr>
          <w:rFonts w:hint="eastAsia" w:ascii="宋体" w:hAnsi="宋体"/>
          <w:color w:val="auto"/>
          <w:szCs w:val="21"/>
        </w:rPr>
        <w:t>（4）其他重金属指标主要依据行业水质标准及相关再生水循环利用标准并结合企业运行经验确定。</w:t>
      </w:r>
    </w:p>
    <w:bookmarkEnd w:id="18"/>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宋体" w:hAnsi="宋体" w:eastAsia="宋体" w:cs="宋体"/>
          <w:bCs/>
          <w:color w:val="auto"/>
          <w:sz w:val="21"/>
          <w:szCs w:val="21"/>
          <w:lang w:val="en-US" w:eastAsia="zh-CN"/>
        </w:rPr>
      </w:pPr>
      <w:bookmarkStart w:id="26" w:name="_Toc532905036"/>
      <w:bookmarkStart w:id="27" w:name="_Toc16715915"/>
      <w:r>
        <w:rPr>
          <w:rFonts w:hint="eastAsia" w:ascii="宋体" w:hAnsi="宋体" w:eastAsia="宋体" w:cs="宋体"/>
          <w:bCs/>
          <w:color w:val="auto"/>
          <w:sz w:val="21"/>
          <w:szCs w:val="21"/>
          <w:lang w:val="en-US" w:eastAsia="zh-CN"/>
        </w:rPr>
        <w:t>五、标准中涉及专利的情况</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本标准不涉及专利问题。</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六、预期达到的社会效益等情况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6.1 项目的必要性</w:t>
      </w:r>
    </w:p>
    <w:p>
      <w:pPr>
        <w:spacing w:line="360" w:lineRule="auto"/>
        <w:ind w:firstLine="420" w:firstLineChars="200"/>
        <w:rPr>
          <w:rStyle w:val="43"/>
          <w:rFonts w:hint="eastAsia" w:ascii="宋体" w:hAnsi="宋体" w:eastAsia="宋体" w:cs="宋体"/>
          <w:color w:val="auto"/>
          <w:sz w:val="21"/>
          <w:szCs w:val="21"/>
        </w:rPr>
      </w:pPr>
      <w:r>
        <w:rPr>
          <w:rStyle w:val="43"/>
          <w:rFonts w:hint="eastAsia" w:ascii="宋体" w:hAnsi="宋体" w:eastAsia="宋体" w:cs="宋体"/>
          <w:color w:val="auto"/>
          <w:sz w:val="21"/>
          <w:szCs w:val="21"/>
        </w:rPr>
        <w:t>水是人类赖以生存和发展的重要物质基础，随着不断发展，对水资源的污染越来越严重，许多国家对废水的回用及其技术越来越重视。我国是水资源短缺国家，节水是我国国民经济与社会发展的重要目标。</w:t>
      </w:r>
    </w:p>
    <w:p>
      <w:pPr>
        <w:spacing w:line="360" w:lineRule="auto"/>
        <w:ind w:firstLine="420" w:firstLineChars="200"/>
        <w:rPr>
          <w:rStyle w:val="43"/>
          <w:rFonts w:hint="eastAsia" w:ascii="宋体" w:hAnsi="宋体" w:eastAsia="宋体" w:cs="宋体"/>
          <w:color w:val="auto"/>
          <w:sz w:val="21"/>
          <w:szCs w:val="21"/>
        </w:rPr>
      </w:pPr>
      <w:r>
        <w:rPr>
          <w:rFonts w:hint="eastAsia" w:ascii="宋体" w:hAnsi="宋体" w:eastAsia="宋体" w:cs="宋体"/>
          <w:color w:val="auto"/>
          <w:kern w:val="0"/>
          <w:sz w:val="21"/>
          <w:szCs w:val="21"/>
        </w:rPr>
        <w:t>为加快推进污水资源化利用，促进解决水资源短缺、水环境污染、水生态损害问题，推动高质量发展、可持续发展，2021年1月</w:t>
      </w:r>
      <w:r>
        <w:rPr>
          <w:rFonts w:hint="eastAsia" w:ascii="宋体" w:hAnsi="宋体" w:eastAsia="宋体" w:cs="宋体"/>
          <w:bCs/>
          <w:color w:val="auto"/>
          <w:kern w:val="36"/>
          <w:sz w:val="21"/>
          <w:szCs w:val="21"/>
        </w:rPr>
        <w:t>生态环境部等十部门共同印发了</w:t>
      </w:r>
      <w:r>
        <w:rPr>
          <w:rStyle w:val="43"/>
          <w:rFonts w:hint="eastAsia" w:ascii="宋体" w:hAnsi="宋体" w:eastAsia="宋体" w:cs="宋体"/>
          <w:color w:val="auto"/>
          <w:sz w:val="21"/>
          <w:szCs w:val="21"/>
        </w:rPr>
        <w:t>《</w:t>
      </w:r>
      <w:r>
        <w:rPr>
          <w:rFonts w:hint="eastAsia" w:ascii="宋体" w:hAnsi="宋体" w:eastAsia="宋体" w:cs="宋体"/>
          <w:bCs/>
          <w:color w:val="auto"/>
          <w:kern w:val="0"/>
          <w:sz w:val="21"/>
          <w:szCs w:val="21"/>
        </w:rPr>
        <w:t>关于推进污水资源化利用的指导意见》（</w:t>
      </w:r>
      <w:r>
        <w:rPr>
          <w:rFonts w:hint="eastAsia" w:ascii="宋体" w:hAnsi="宋体" w:eastAsia="宋体" w:cs="宋体"/>
          <w:color w:val="auto"/>
          <w:kern w:val="0"/>
          <w:sz w:val="21"/>
          <w:szCs w:val="21"/>
        </w:rPr>
        <w:t>发改环资〔2021〕13号</w:t>
      </w:r>
      <w:r>
        <w:rPr>
          <w:rFonts w:hint="eastAsia" w:ascii="宋体" w:hAnsi="宋体" w:eastAsia="宋体" w:cs="宋体"/>
          <w:bCs/>
          <w:color w:val="auto"/>
          <w:kern w:val="0"/>
          <w:sz w:val="21"/>
          <w:szCs w:val="21"/>
        </w:rPr>
        <w:t>）提出</w:t>
      </w:r>
      <w:r>
        <w:rPr>
          <w:rFonts w:hint="eastAsia" w:ascii="宋体" w:hAnsi="宋体" w:eastAsia="宋体" w:cs="宋体"/>
          <w:color w:val="auto"/>
          <w:kern w:val="0"/>
          <w:sz w:val="21"/>
          <w:szCs w:val="21"/>
        </w:rPr>
        <w:t>“</w:t>
      </w:r>
      <w:r>
        <w:rPr>
          <w:rFonts w:hint="eastAsia" w:ascii="宋体" w:hAnsi="宋体" w:eastAsia="宋体" w:cs="宋体"/>
          <w:bCs/>
          <w:color w:val="auto"/>
          <w:kern w:val="0"/>
          <w:sz w:val="21"/>
          <w:szCs w:val="21"/>
        </w:rPr>
        <w:t>节水优先、统筹推进”，</w:t>
      </w:r>
      <w:r>
        <w:rPr>
          <w:rFonts w:hint="eastAsia" w:ascii="宋体" w:hAnsi="宋体" w:eastAsia="宋体" w:cs="宋体"/>
          <w:color w:val="auto"/>
          <w:kern w:val="0"/>
          <w:sz w:val="21"/>
          <w:szCs w:val="21"/>
        </w:rPr>
        <w:t>将污水资源化利用作为节水开源的重要内容，全面系统推进污水资源化利用工作；提出到2025年，全国污水收集效能显著提升，全国地级及以上缺水城市再生水利用率达到25%以上；到2035年，形成系统、安全、环保、经济的污水资源化利用格局的总体目标。</w:t>
      </w:r>
      <w:r>
        <w:rPr>
          <w:rFonts w:hint="eastAsia" w:ascii="宋体" w:hAnsi="宋体" w:eastAsia="宋体" w:cs="宋体"/>
          <w:bCs/>
          <w:color w:val="auto"/>
          <w:kern w:val="0"/>
          <w:sz w:val="21"/>
          <w:szCs w:val="21"/>
        </w:rPr>
        <w:t>积极推动工业废水资源化利用，</w:t>
      </w:r>
      <w:r>
        <w:rPr>
          <w:rFonts w:hint="eastAsia" w:ascii="宋体" w:hAnsi="宋体" w:eastAsia="宋体" w:cs="宋体"/>
          <w:color w:val="auto"/>
          <w:kern w:val="0"/>
          <w:sz w:val="21"/>
          <w:szCs w:val="21"/>
        </w:rPr>
        <w:t>推进企业内部工业用水循环利用，提高重复利用率。完善工业企业污水处理设施建设，提高运营管理水平，确保工业废水达标排放。</w:t>
      </w:r>
      <w:r>
        <w:rPr>
          <w:rFonts w:hint="eastAsia" w:ascii="宋体" w:hAnsi="宋体" w:eastAsia="宋体" w:cs="宋体"/>
          <w:bCs/>
          <w:color w:val="auto"/>
          <w:kern w:val="0"/>
          <w:sz w:val="21"/>
          <w:szCs w:val="21"/>
        </w:rPr>
        <w:t>实施工业废水循环利用工程，</w:t>
      </w:r>
      <w:r>
        <w:rPr>
          <w:rFonts w:hint="eastAsia" w:ascii="宋体" w:hAnsi="宋体" w:eastAsia="宋体" w:cs="宋体"/>
          <w:color w:val="auto"/>
          <w:kern w:val="0"/>
          <w:sz w:val="21"/>
          <w:szCs w:val="21"/>
        </w:rPr>
        <w:t>重点围绕火电、石化、钢铁、有色、造纸、印染等高耗水行业，组织开展企业内部废水利用，创建一批工业废水循环利用示范企业，通过典型示范带动企业用水效率提升。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6.2 项目的可行性</w:t>
      </w:r>
    </w:p>
    <w:p>
      <w:pPr>
        <w:spacing w:line="360" w:lineRule="auto"/>
        <w:ind w:firstLine="420" w:firstLineChars="200"/>
        <w:rPr>
          <w:rStyle w:val="43"/>
          <w:rFonts w:hint="eastAsia" w:ascii="宋体" w:hAnsi="宋体" w:eastAsia="宋体" w:cs="宋体"/>
          <w:color w:val="auto"/>
          <w:sz w:val="21"/>
          <w:szCs w:val="21"/>
        </w:rPr>
      </w:pPr>
      <w:r>
        <w:rPr>
          <w:rStyle w:val="43"/>
          <w:rFonts w:hint="eastAsia" w:ascii="宋体" w:hAnsi="宋体" w:eastAsia="宋体" w:cs="宋体"/>
          <w:color w:val="auto"/>
          <w:sz w:val="21"/>
          <w:szCs w:val="21"/>
        </w:rPr>
        <w:t>《中国制造2025》提出，到2025年我国制造业主要目标中单位工业增加值用水量比2015年下降41%，全面推进钢铁、有色、化工、建材等传统制造业绿色改造，大力研发推广水循环利用、重金属污染减量化、有毒有害原料替代等绿色工艺技术装备；推进资源高效循环利用，构建绿色制造体系，实现绿色制造。</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国水资源紧缺，工业废水资源化是实现节水和解决水资源不足的有效途径之一。我国是世界上铜加工材生产和消费大国，铜及铜合金加工行业发展也伴随着水资源消耗。现在我国对污染物排放实施排污许可制，目前已出台《排污许可管理办法》、《污水综合排放标准》（GB 8978-1996）、《铜、镍、钴工业污染物排放标准》（GB 25467-2010）等文件和标准只是对废水中的污染物标准和达标排放提出标准和管理，无废水循环利用相关要求。因此铜加工企业在废水回用时，因无标准规范可参考，企业需将废水中的污染物处理满足达标排放标准后才能回用或排放。如果根据用途对废水进行水质处理，实现分质用水和分级回用，有助于进一步提高铜加工过程的废水循环利用率，达到节约用水目的，同时将降低废水处理过程的资源和能源消耗，利于企业降低碳排放，对于实现碳达峰具有促进作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6.3 标准的先进性、创新性、标准实施后预期产生的经济效益和社会效益</w:t>
      </w:r>
    </w:p>
    <w:p>
      <w:pPr>
        <w:pStyle w:val="19"/>
        <w:spacing w:before="0" w:beforeAutospacing="0" w:after="0" w:afterAutospacing="0" w:line="360" w:lineRule="auto"/>
        <w:ind w:firstLine="482"/>
        <w:rPr>
          <w:rFonts w:hint="eastAsia" w:ascii="宋体" w:hAnsi="宋体" w:eastAsia="宋体" w:cs="宋体"/>
          <w:color w:val="auto"/>
          <w:sz w:val="21"/>
          <w:szCs w:val="21"/>
        </w:rPr>
      </w:pPr>
      <w:r>
        <w:rPr>
          <w:rFonts w:hint="eastAsia" w:ascii="宋体" w:hAnsi="宋体" w:eastAsia="宋体" w:cs="宋体"/>
          <w:color w:val="auto"/>
          <w:sz w:val="21"/>
          <w:szCs w:val="21"/>
        </w:rPr>
        <w:t>铜及铜合金加工行业作为有色加工领域规模较大、应用广泛的原材料加工行业，制定废水循环利用技术规范，</w:t>
      </w:r>
      <w:r>
        <w:rPr>
          <w:rFonts w:hint="eastAsia" w:ascii="宋体" w:hAnsi="宋体" w:eastAsia="宋体" w:cs="宋体"/>
          <w:color w:val="auto"/>
          <w:sz w:val="21"/>
          <w:szCs w:val="21"/>
          <w:lang w:val="en-US" w:eastAsia="zh-CN"/>
        </w:rPr>
        <w:t>可以</w:t>
      </w:r>
      <w:r>
        <w:rPr>
          <w:rFonts w:hint="eastAsia" w:ascii="宋体" w:hAnsi="宋体" w:eastAsia="宋体" w:cs="宋体"/>
          <w:color w:val="auto"/>
          <w:sz w:val="21"/>
          <w:szCs w:val="21"/>
        </w:rPr>
        <w:t>引导和规范工厂将废水重复用于生产，</w:t>
      </w:r>
      <w:r>
        <w:rPr>
          <w:rFonts w:hint="eastAsia" w:ascii="宋体" w:hAnsi="宋体" w:eastAsia="宋体" w:cs="宋体"/>
          <w:color w:val="auto"/>
          <w:sz w:val="21"/>
          <w:szCs w:val="21"/>
          <w:shd w:val="clear" w:color="auto" w:fill="FFFFFF"/>
        </w:rPr>
        <w:t>降低我国的污水排放、缓解环境压力、节约用水。</w:t>
      </w:r>
      <w:r>
        <w:rPr>
          <w:rFonts w:hint="eastAsia" w:ascii="宋体" w:hAnsi="宋体" w:eastAsia="宋体" w:cs="宋体"/>
          <w:color w:val="auto"/>
          <w:sz w:val="21"/>
          <w:szCs w:val="21"/>
        </w:rPr>
        <w:t>据调查，2020年单位铜加工材新水消耗约11吨/吨，2020年铜加工材产量1897万吨消耗新水约20867万吨。我国是水资源短缺国家，节水是我国国民经济与社会发展的重要目标之一，要实现这一重要目标，规范重点行业的节水行为，制定相应的节水与循环利用标准显得尤为迫切，是重要的保障措施。我国大部分铜加工企业遵循清洁生产的要求，从工厂减少废水产生，并尽量做到清污分流，提高工业用水循环率，减少废水产生。</w:t>
      </w:r>
    </w:p>
    <w:p>
      <w:pPr>
        <w:pStyle w:val="19"/>
        <w:shd w:val="clear" w:color="auto" w:fill="FFFFFF"/>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本标准结合铜及铜合金加工工艺特点的特点，通过完成“废水处理与处理回用工艺、废水循环利用水质控制及技术要求、水质监测及废水循环利用管理”等内容，确定不同来源废水回用处理工艺和技术规范，对铜加工过程的水循环利用提供指导，为工程设计、环境管理和企业达达峰碳中和提供技术支撑。填补铜加工行业在水循环利用规范的空白。</w:t>
      </w:r>
    </w:p>
    <w:p>
      <w:pPr>
        <w:pStyle w:val="20"/>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rPr>
        <w:t>该标准制定可引导和规范铜加工企业实施节水和</w:t>
      </w:r>
      <w:r>
        <w:rPr>
          <w:rFonts w:hint="eastAsia" w:ascii="宋体" w:hAnsi="宋体" w:eastAsia="宋体" w:cs="宋体"/>
          <w:color w:val="auto"/>
          <w:spacing w:val="8"/>
          <w:sz w:val="21"/>
          <w:szCs w:val="21"/>
        </w:rPr>
        <w:t>废水循环利用，调配企业生产用水，</w:t>
      </w:r>
      <w:r>
        <w:rPr>
          <w:rFonts w:hint="eastAsia" w:ascii="宋体" w:hAnsi="宋体" w:eastAsia="宋体" w:cs="宋体"/>
          <w:bCs/>
          <w:color w:val="auto"/>
          <w:sz w:val="21"/>
          <w:szCs w:val="21"/>
        </w:rPr>
        <w:t>积极推动工业废水资源化利用，</w:t>
      </w:r>
      <w:r>
        <w:rPr>
          <w:rFonts w:hint="eastAsia" w:ascii="宋体" w:hAnsi="宋体" w:eastAsia="宋体" w:cs="宋体"/>
          <w:color w:val="auto"/>
          <w:sz w:val="21"/>
          <w:szCs w:val="21"/>
        </w:rPr>
        <w:t>推进企业内部生产用水循环利用，提高重复利用率</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rPr>
        <w:t>同时对促进铜加工绿色转型升级、推动我国污水资源化利用和碳达峰碳中和实现高质量发展具有重要意义。</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七、采用国际标准和国外先进标准的情况</w:t>
      </w:r>
    </w:p>
    <w:p>
      <w:pPr>
        <w:spacing w:before="156" w:beforeLines="5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各国政府对污水处理工作极为重视，国外工业废水回用技术得到广泛应用，节水效果显著，大大了缓解水资源短缺问题。美国是世界上污水处理和回用的国家之一，上世纪50年代开始研究，70年代回用，美国环保局1992年推出了再生水回用建议指导书。日本1962年开始，70年代初已见规模，90年代节水已见成效；俄罗斯、波兰、以色列、墨西哥等废水回用也很普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b w:val="0"/>
          <w:bCs w:val="0"/>
          <w:color w:val="auto"/>
          <w:sz w:val="21"/>
          <w:szCs w:val="21"/>
          <w:shd w:val="clear" w:color="auto" w:fill="FFFFFF"/>
          <w:lang w:val="en-US" w:eastAsia="zh-CN"/>
        </w:rPr>
        <w:t>目前，</w:t>
      </w:r>
      <w:r>
        <w:rPr>
          <w:rFonts w:hint="eastAsia" w:ascii="宋体" w:hAnsi="宋体" w:eastAsia="宋体" w:cs="宋体"/>
          <w:b w:val="0"/>
          <w:bCs w:val="0"/>
          <w:color w:val="auto"/>
          <w:sz w:val="21"/>
          <w:szCs w:val="21"/>
          <w:shd w:val="clear" w:color="auto" w:fill="FFFFFF"/>
        </w:rPr>
        <w:t>我国在工业节水与循环利用方面已的标准规范， GB/T 27678-2011 《湿法炼锌企业废水循环利用技术规范》、GB/T 29773-2013《铜选矿废水回收利用规范》、HJ 2019-2012《钢铁工业废水治理及回用工程技术规范》、YS/T 1404-2020《铅冶炼废水循环利用技术规范》、YS/T 1405-2020《铅锌选矿废水处理与回用技术规范》、YS/T 1169-2017《再生铅生产废水处理回用技术规范》等标准分别规定了湿法炼锌、钢铁、铜选矿、铅锌冶炼、再生铅等行业的废水处理和循环利用技术规范。</w:t>
      </w:r>
      <w:r>
        <w:rPr>
          <w:rFonts w:hint="eastAsia" w:ascii="宋体" w:hAnsi="宋体" w:eastAsia="宋体" w:cs="宋体"/>
          <w:b w:val="0"/>
          <w:bCs w:val="0"/>
          <w:color w:val="auto"/>
          <w:sz w:val="21"/>
          <w:szCs w:val="21"/>
        </w:rPr>
        <w:t>铜加工制定废水循环利用技术规范，引导和规范工厂将废水重复用于生产，</w:t>
      </w:r>
      <w:r>
        <w:rPr>
          <w:rFonts w:hint="eastAsia" w:ascii="宋体" w:hAnsi="宋体" w:eastAsia="宋体" w:cs="宋体"/>
          <w:b w:val="0"/>
          <w:bCs w:val="0"/>
          <w:color w:val="auto"/>
          <w:sz w:val="21"/>
          <w:szCs w:val="21"/>
          <w:shd w:val="clear" w:color="auto" w:fill="FFFFFF"/>
        </w:rPr>
        <w:t>降低我国的污水排放、缓解环境压力、节约用水。</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七、与现行法律、法规、强制性国家标准及相关标准协调配套情况</w:t>
      </w:r>
    </w:p>
    <w:p>
      <w:pPr>
        <w:pStyle w:val="19"/>
        <w:shd w:val="clear" w:color="auto" w:fill="FFFFFF"/>
        <w:spacing w:before="0" w:beforeAutospacing="0" w:after="0" w:afterAutospacing="0" w:line="360" w:lineRule="auto"/>
        <w:ind w:firstLine="420" w:firstLineChars="200"/>
        <w:jc w:val="both"/>
        <w:rPr>
          <w:color w:val="auto"/>
          <w:sz w:val="21"/>
          <w:szCs w:val="21"/>
        </w:rPr>
      </w:pPr>
      <w:r>
        <w:rPr>
          <w:rFonts w:hint="eastAsia"/>
          <w:color w:val="auto"/>
          <w:sz w:val="21"/>
          <w:szCs w:val="21"/>
        </w:rPr>
        <w:t>本标准</w:t>
      </w:r>
      <w:r>
        <w:rPr>
          <w:color w:val="auto"/>
          <w:sz w:val="21"/>
          <w:szCs w:val="21"/>
        </w:rPr>
        <w:t>结合</w:t>
      </w:r>
      <w:r>
        <w:rPr>
          <w:rFonts w:hint="eastAsia"/>
          <w:color w:val="auto"/>
          <w:sz w:val="21"/>
          <w:szCs w:val="21"/>
        </w:rPr>
        <w:t>铜及铜合金加工工艺特点</w:t>
      </w:r>
      <w:r>
        <w:rPr>
          <w:color w:val="auto"/>
          <w:sz w:val="21"/>
          <w:szCs w:val="21"/>
        </w:rPr>
        <w:t>的特点，</w:t>
      </w:r>
      <w:r>
        <w:rPr>
          <w:rFonts w:hint="eastAsia"/>
          <w:color w:val="auto"/>
          <w:sz w:val="21"/>
          <w:szCs w:val="21"/>
        </w:rPr>
        <w:t>通过完成“</w:t>
      </w:r>
      <w:r>
        <w:rPr>
          <w:color w:val="auto"/>
          <w:sz w:val="21"/>
          <w:szCs w:val="21"/>
        </w:rPr>
        <w:t>废水</w:t>
      </w:r>
      <w:r>
        <w:rPr>
          <w:rFonts w:hint="eastAsia"/>
          <w:color w:val="auto"/>
          <w:sz w:val="21"/>
          <w:szCs w:val="21"/>
        </w:rPr>
        <w:t>来源及</w:t>
      </w:r>
      <w:r>
        <w:rPr>
          <w:color w:val="auto"/>
          <w:sz w:val="21"/>
          <w:szCs w:val="21"/>
        </w:rPr>
        <w:t>处理工艺</w:t>
      </w:r>
      <w:r>
        <w:rPr>
          <w:rFonts w:hint="eastAsia"/>
          <w:color w:val="auto"/>
          <w:sz w:val="21"/>
          <w:szCs w:val="21"/>
        </w:rPr>
        <w:t>、废水循环利用水质控制及技术要求、取样与监测</w:t>
      </w:r>
      <w:r>
        <w:rPr>
          <w:rFonts w:hint="eastAsia"/>
          <w:color w:val="auto"/>
          <w:sz w:val="21"/>
          <w:szCs w:val="21"/>
          <w:lang w:eastAsia="zh-CN"/>
        </w:rPr>
        <w:t>、</w:t>
      </w:r>
      <w:r>
        <w:rPr>
          <w:rFonts w:hint="eastAsia"/>
          <w:color w:val="auto"/>
          <w:sz w:val="21"/>
          <w:szCs w:val="21"/>
        </w:rPr>
        <w:t>废水循环利用管理”等内容</w:t>
      </w:r>
      <w:r>
        <w:rPr>
          <w:color w:val="auto"/>
          <w:sz w:val="21"/>
          <w:szCs w:val="21"/>
        </w:rPr>
        <w:t>，</w:t>
      </w:r>
      <w:r>
        <w:rPr>
          <w:rFonts w:hint="eastAsia"/>
          <w:color w:val="auto"/>
          <w:sz w:val="21"/>
          <w:szCs w:val="21"/>
        </w:rPr>
        <w:t>确定不同来源废水回用处理工艺和技术规范，对铜加工</w:t>
      </w:r>
      <w:r>
        <w:rPr>
          <w:rFonts w:hint="eastAsia"/>
          <w:color w:val="auto"/>
          <w:sz w:val="21"/>
          <w:szCs w:val="21"/>
          <w:lang w:val="en-US" w:eastAsia="zh-CN"/>
        </w:rPr>
        <w:t>废</w:t>
      </w:r>
      <w:r>
        <w:rPr>
          <w:rFonts w:hint="eastAsia"/>
          <w:color w:val="auto"/>
          <w:sz w:val="21"/>
          <w:szCs w:val="21"/>
        </w:rPr>
        <w:t>水循环利用提供指导，为工程设计、环境管理和企业达达峰碳中和提供技术支撑。</w:t>
      </w:r>
      <w:r>
        <w:rPr>
          <w:color w:val="auto"/>
          <w:sz w:val="21"/>
          <w:szCs w:val="21"/>
        </w:rPr>
        <w:t>该标准符合《绿色制造标准体系建设指南》绿色</w:t>
      </w:r>
      <w:r>
        <w:rPr>
          <w:rFonts w:hint="eastAsia"/>
          <w:color w:val="auto"/>
          <w:sz w:val="21"/>
          <w:szCs w:val="21"/>
        </w:rPr>
        <w:t>工厂</w:t>
      </w:r>
      <w:r>
        <w:rPr>
          <w:color w:val="auto"/>
          <w:sz w:val="21"/>
          <w:szCs w:val="21"/>
        </w:rPr>
        <w:t>子体系-</w:t>
      </w:r>
      <w:r>
        <w:rPr>
          <w:rFonts w:hint="eastAsia"/>
          <w:color w:val="auto"/>
          <w:sz w:val="21"/>
          <w:szCs w:val="21"/>
        </w:rPr>
        <w:t>资源节约、废物利用的要求</w:t>
      </w:r>
      <w:r>
        <w:rPr>
          <w:color w:val="auto"/>
          <w:sz w:val="21"/>
          <w:szCs w:val="21"/>
        </w:rPr>
        <w:t>。</w:t>
      </w:r>
    </w:p>
    <w:p>
      <w:pPr>
        <w:spacing w:line="360" w:lineRule="auto"/>
        <w:ind w:firstLine="420" w:firstLineChars="200"/>
        <w:rPr>
          <w:rFonts w:ascii="宋体" w:hAnsi="宋体"/>
          <w:color w:val="auto"/>
          <w:szCs w:val="21"/>
        </w:rPr>
      </w:pPr>
      <w:r>
        <w:rPr>
          <w:rFonts w:hint="eastAsia" w:ascii="宋体" w:hAnsi="宋体"/>
          <w:color w:val="auto"/>
          <w:sz w:val="21"/>
          <w:szCs w:val="21"/>
        </w:rPr>
        <w:t>本标准符合现行法律、法规的要求，并与其他同类国家标准、国家J用标准、行业标准</w:t>
      </w:r>
      <w:r>
        <w:rPr>
          <w:rFonts w:hint="eastAsia" w:ascii="宋体" w:hAnsi="宋体"/>
          <w:color w:val="auto"/>
          <w:szCs w:val="21"/>
        </w:rPr>
        <w:t>无冲突、重叠和不协调之处。</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黑体" w:hAnsi="宋体" w:eastAsia="黑体" w:cs="宋体"/>
          <w:bCs/>
          <w:color w:val="auto"/>
          <w:sz w:val="21"/>
          <w:szCs w:val="21"/>
          <w:lang w:val="en-US" w:eastAsia="zh-CN"/>
        </w:rPr>
      </w:pPr>
      <w:bookmarkStart w:id="28" w:name="_Toc32100"/>
      <w:r>
        <w:rPr>
          <w:rFonts w:hint="eastAsia" w:ascii="黑体" w:hAnsi="宋体" w:eastAsia="黑体" w:cs="宋体"/>
          <w:bCs/>
          <w:color w:val="auto"/>
          <w:sz w:val="21"/>
          <w:szCs w:val="21"/>
          <w:lang w:val="en-US" w:eastAsia="zh-CN"/>
        </w:rPr>
        <w:t>八、重大分歧意见的处理经过和依据</w:t>
      </w:r>
      <w:bookmarkEnd w:id="28"/>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暂无。</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黑体" w:hAnsi="宋体" w:eastAsia="黑体" w:cs="宋体"/>
          <w:bCs/>
          <w:color w:val="auto"/>
          <w:sz w:val="21"/>
          <w:szCs w:val="21"/>
          <w:lang w:val="en-US" w:eastAsia="zh-CN"/>
        </w:rPr>
      </w:pPr>
      <w:bookmarkStart w:id="29" w:name="_Toc15989"/>
      <w:r>
        <w:rPr>
          <w:rFonts w:hint="eastAsia" w:ascii="黑体" w:hAnsi="宋体" w:eastAsia="黑体" w:cs="宋体"/>
          <w:bCs/>
          <w:color w:val="auto"/>
          <w:sz w:val="21"/>
          <w:szCs w:val="21"/>
          <w:lang w:val="en-US" w:eastAsia="zh-CN"/>
        </w:rPr>
        <w:t>九、作为强制性或推荐性国家标准的建议</w:t>
      </w:r>
      <w:bookmarkEnd w:id="29"/>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rPr>
        <w:t>本标准建议不作为强制性标准，而建议作为推荐性</w:t>
      </w:r>
      <w:bookmarkStart w:id="30" w:name="_Toc15588"/>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黑体" w:hAnsi="宋体" w:eastAsia="黑体" w:cs="宋体"/>
          <w:bCs/>
          <w:color w:val="auto"/>
          <w:sz w:val="21"/>
          <w:szCs w:val="21"/>
          <w:lang w:val="en-US" w:eastAsia="zh-CN"/>
        </w:rPr>
      </w:pPr>
      <w:r>
        <w:rPr>
          <w:rFonts w:hint="eastAsia" w:ascii="黑体" w:hAnsi="宋体" w:eastAsia="黑体" w:cs="宋体"/>
          <w:bCs/>
          <w:color w:val="auto"/>
          <w:sz w:val="21"/>
          <w:szCs w:val="21"/>
          <w:lang w:val="en-US" w:eastAsia="zh-CN"/>
        </w:rPr>
        <w:t>十、贯彻标准的要求和措施建议</w:t>
      </w:r>
      <w:bookmarkEnd w:id="30"/>
    </w:p>
    <w:p>
      <w:pPr>
        <w:widowControl/>
        <w:tabs>
          <w:tab w:val="left" w:pos="6096"/>
        </w:tabs>
        <w:wordWrap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pacing w:val="8"/>
          <w:kern w:val="0"/>
          <w:sz w:val="21"/>
          <w:szCs w:val="21"/>
          <w:highlight w:val="none"/>
        </w:rPr>
        <w:t>规定了铜加工企业废水循环利用的术语和定义、总体要求、废水来源与处理回用工艺、废水循环利用水质控制与技术要求、</w:t>
      </w:r>
      <w:r>
        <w:rPr>
          <w:rFonts w:hint="eastAsia" w:ascii="宋体" w:hAnsi="宋体" w:eastAsia="宋体" w:cs="宋体"/>
          <w:color w:val="auto"/>
          <w:sz w:val="21"/>
          <w:szCs w:val="21"/>
          <w:highlight w:val="none"/>
        </w:rPr>
        <w:t>取样与监测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8"/>
          <w:kern w:val="0"/>
          <w:sz w:val="21"/>
          <w:szCs w:val="21"/>
          <w:highlight w:val="none"/>
        </w:rPr>
        <w:t>废水循环利用管理。</w:t>
      </w:r>
      <w:r>
        <w:rPr>
          <w:rFonts w:hint="eastAsia" w:ascii="宋体" w:hAnsi="宋体" w:eastAsia="宋体" w:cs="宋体"/>
          <w:color w:val="auto"/>
          <w:kern w:val="2"/>
          <w:sz w:val="21"/>
          <w:szCs w:val="21"/>
          <w:highlight w:val="none"/>
        </w:rPr>
        <w:t>建议相关单位组织专项标准宣贯会进行系统学习。本标准发布后，各企业应积极宣传和贯彻，</w:t>
      </w:r>
      <w:r>
        <w:rPr>
          <w:rFonts w:hint="eastAsia" w:ascii="宋体" w:hAnsi="宋体" w:eastAsia="宋体" w:cs="宋体"/>
          <w:color w:val="auto"/>
          <w:sz w:val="21"/>
          <w:szCs w:val="21"/>
        </w:rPr>
        <w:t>引导和规范工厂将废水重复用于生产</w:t>
      </w:r>
      <w:r>
        <w:rPr>
          <w:rFonts w:hint="eastAsia" w:ascii="宋体" w:hAnsi="宋体" w:eastAsia="宋体" w:cs="宋体"/>
          <w:color w:val="auto"/>
          <w:kern w:val="2"/>
          <w:sz w:val="21"/>
          <w:szCs w:val="21"/>
          <w:highlight w:val="none"/>
        </w:rPr>
        <w:t>，</w:t>
      </w:r>
      <w:r>
        <w:rPr>
          <w:rFonts w:hint="eastAsia" w:ascii="宋体" w:hAnsi="宋体" w:eastAsia="宋体" w:cs="宋体"/>
          <w:b w:val="0"/>
          <w:bCs w:val="0"/>
          <w:color w:val="auto"/>
          <w:sz w:val="21"/>
          <w:szCs w:val="21"/>
          <w:shd w:val="clear" w:color="auto" w:fill="FFFFFF"/>
        </w:rPr>
        <w:t>降低我国的污水排放、缓解环境压力、节约用水。</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黑体" w:hAnsi="宋体" w:eastAsia="黑体" w:cs="宋体"/>
          <w:bCs/>
          <w:color w:val="auto"/>
          <w:sz w:val="21"/>
          <w:szCs w:val="21"/>
          <w:lang w:val="en-US" w:eastAsia="zh-CN"/>
        </w:rPr>
      </w:pPr>
      <w:bookmarkStart w:id="31" w:name="_Toc7802"/>
      <w:r>
        <w:rPr>
          <w:rFonts w:hint="eastAsia" w:ascii="黑体" w:hAnsi="宋体" w:eastAsia="黑体" w:cs="宋体"/>
          <w:bCs/>
          <w:color w:val="auto"/>
          <w:sz w:val="21"/>
          <w:szCs w:val="21"/>
          <w:lang w:val="en-US" w:eastAsia="zh-CN"/>
        </w:rPr>
        <w:t>十一、废止现行有关标准的建议</w:t>
      </w:r>
      <w:bookmarkEnd w:id="31"/>
    </w:p>
    <w:p>
      <w:pPr>
        <w:spacing w:line="360" w:lineRule="auto"/>
        <w:rPr>
          <w:rFonts w:ascii="宋体" w:hAnsi="宋体" w:cs="宋体"/>
          <w:color w:val="auto"/>
          <w:sz w:val="24"/>
        </w:rPr>
      </w:pPr>
      <w:bookmarkStart w:id="32" w:name="_Toc22451"/>
      <w:r>
        <w:rPr>
          <w:rFonts w:hint="eastAsia" w:ascii="宋体" w:hAnsi="宋体" w:cs="宋体"/>
          <w:color w:val="auto"/>
          <w:sz w:val="24"/>
        </w:rPr>
        <w:t xml:space="preserve">     无。</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黑体" w:hAnsi="宋体" w:eastAsia="黑体" w:cs="宋体"/>
          <w:bCs/>
          <w:color w:val="auto"/>
          <w:sz w:val="21"/>
          <w:szCs w:val="21"/>
          <w:lang w:val="en-US" w:eastAsia="zh-CN"/>
        </w:rPr>
      </w:pPr>
      <w:r>
        <w:rPr>
          <w:rFonts w:hint="eastAsia" w:ascii="黑体" w:hAnsi="宋体" w:eastAsia="黑体" w:cs="宋体"/>
          <w:bCs/>
          <w:color w:val="auto"/>
          <w:sz w:val="21"/>
          <w:szCs w:val="21"/>
          <w:lang w:val="en-US" w:eastAsia="zh-CN"/>
        </w:rPr>
        <w:t>十二、其他主要内容的解释和其他需要说明的事项</w:t>
      </w:r>
      <w:bookmarkEnd w:id="32"/>
    </w:p>
    <w:p>
      <w:pPr>
        <w:pStyle w:val="48"/>
        <w:spacing w:line="360" w:lineRule="auto"/>
        <w:ind w:firstLine="480"/>
        <w:rPr>
          <w:rFonts w:hint="eastAsia" w:ascii="宋体" w:hAnsi="宋体"/>
          <w:color w:val="auto"/>
          <w:kern w:val="0"/>
          <w:szCs w:val="21"/>
        </w:rPr>
      </w:pPr>
      <w:r>
        <w:rPr>
          <w:rFonts w:hint="eastAsia"/>
          <w:color w:val="auto"/>
          <w:sz w:val="21"/>
          <w:szCs w:val="21"/>
          <w:highlight w:val="none"/>
        </w:rPr>
        <w:t>本标准</w:t>
      </w:r>
      <w:r>
        <w:rPr>
          <w:color w:val="auto"/>
          <w:sz w:val="21"/>
          <w:szCs w:val="21"/>
          <w:highlight w:val="none"/>
        </w:rPr>
        <w:t>结合</w:t>
      </w:r>
      <w:r>
        <w:rPr>
          <w:rFonts w:hint="eastAsia"/>
          <w:color w:val="auto"/>
          <w:sz w:val="21"/>
          <w:szCs w:val="21"/>
          <w:highlight w:val="none"/>
        </w:rPr>
        <w:t>铜及铜合金加工工艺特点</w:t>
      </w:r>
      <w:r>
        <w:rPr>
          <w:color w:val="auto"/>
          <w:sz w:val="21"/>
          <w:szCs w:val="21"/>
          <w:highlight w:val="none"/>
        </w:rPr>
        <w:t>的特点</w:t>
      </w:r>
      <w:r>
        <w:rPr>
          <w:rFonts w:hint="eastAsia"/>
          <w:color w:val="auto"/>
          <w:sz w:val="21"/>
          <w:szCs w:val="21"/>
          <w:highlight w:val="none"/>
          <w:lang w:val="en-US" w:eastAsia="zh-CN"/>
        </w:rPr>
        <w:t>进行制定</w:t>
      </w:r>
      <w:r>
        <w:rPr>
          <w:color w:val="auto"/>
          <w:sz w:val="21"/>
          <w:szCs w:val="21"/>
          <w:highlight w:val="none"/>
        </w:rPr>
        <w:t>，</w:t>
      </w:r>
      <w:r>
        <w:rPr>
          <w:rFonts w:hint="eastAsia"/>
          <w:color w:val="auto"/>
          <w:sz w:val="21"/>
          <w:szCs w:val="21"/>
          <w:highlight w:val="none"/>
        </w:rPr>
        <w:t>适用于</w:t>
      </w:r>
      <w:r>
        <w:rPr>
          <w:rFonts w:hint="eastAsia"/>
          <w:color w:val="auto"/>
          <w:sz w:val="21"/>
          <w:szCs w:val="21"/>
          <w:highlight w:val="none"/>
          <w:lang w:val="en-US" w:eastAsia="zh-CN"/>
        </w:rPr>
        <w:t>使用</w:t>
      </w:r>
      <w:r>
        <w:rPr>
          <w:rFonts w:hint="eastAsia"/>
          <w:color w:val="auto"/>
          <w:sz w:val="21"/>
          <w:szCs w:val="21"/>
          <w:highlight w:val="none"/>
        </w:rPr>
        <w:t>电解铜或铜</w:t>
      </w:r>
      <w:r>
        <w:rPr>
          <w:rFonts w:hint="eastAsia"/>
          <w:color w:val="auto"/>
          <w:sz w:val="21"/>
          <w:szCs w:val="21"/>
          <w:highlight w:val="none"/>
          <w:lang w:val="en-US" w:eastAsia="zh-CN"/>
        </w:rPr>
        <w:t>为</w:t>
      </w:r>
      <w:r>
        <w:rPr>
          <w:rFonts w:hint="eastAsia"/>
          <w:color w:val="auto"/>
          <w:sz w:val="21"/>
          <w:szCs w:val="21"/>
          <w:highlight w:val="none"/>
        </w:rPr>
        <w:t>原料的铜加工企业</w:t>
      </w:r>
      <w:r>
        <w:rPr>
          <w:rFonts w:hint="eastAsia"/>
          <w:color w:val="auto"/>
          <w:spacing w:val="8"/>
          <w:kern w:val="0"/>
          <w:sz w:val="21"/>
          <w:szCs w:val="21"/>
          <w:highlight w:val="none"/>
        </w:rPr>
        <w:t>。不适用于</w:t>
      </w:r>
      <w:r>
        <w:rPr>
          <w:rFonts w:hint="eastAsia"/>
          <w:color w:val="auto"/>
          <w:spacing w:val="8"/>
          <w:kern w:val="0"/>
          <w:sz w:val="21"/>
          <w:szCs w:val="21"/>
          <w:highlight w:val="none"/>
          <w:lang w:val="en-US" w:eastAsia="zh-CN"/>
        </w:rPr>
        <w:t>使用</w:t>
      </w:r>
      <w:r>
        <w:rPr>
          <w:rFonts w:hint="eastAsia"/>
          <w:color w:val="auto"/>
          <w:spacing w:val="8"/>
          <w:kern w:val="0"/>
          <w:sz w:val="21"/>
          <w:szCs w:val="21"/>
          <w:highlight w:val="none"/>
        </w:rPr>
        <w:t>再生原料的铜加工企业。</w:t>
      </w:r>
      <w:r>
        <w:rPr>
          <w:rFonts w:hint="eastAsia" w:hAnsi="宋体" w:cs="宋体"/>
          <w:color w:val="auto"/>
          <w:kern w:val="2"/>
          <w:sz w:val="21"/>
          <w:szCs w:val="21"/>
        </w:rPr>
        <w:t>考虑随着</w:t>
      </w:r>
      <w:r>
        <w:rPr>
          <w:rFonts w:hint="eastAsia" w:hAnsi="宋体" w:cs="宋体"/>
          <w:color w:val="auto"/>
          <w:kern w:val="2"/>
          <w:sz w:val="21"/>
          <w:szCs w:val="21"/>
          <w:lang w:val="en-US" w:eastAsia="zh-CN"/>
        </w:rPr>
        <w:t>新技术</w:t>
      </w:r>
      <w:r>
        <w:rPr>
          <w:rFonts w:hint="eastAsia" w:hAnsi="宋体" w:cs="宋体"/>
          <w:color w:val="auto"/>
          <w:kern w:val="2"/>
          <w:sz w:val="21"/>
          <w:szCs w:val="21"/>
        </w:rPr>
        <w:t>使用和生产装备的更新，如果以后有其</w:t>
      </w:r>
      <w:r>
        <w:rPr>
          <w:rFonts w:hint="eastAsia" w:hAnsi="宋体" w:cs="宋体"/>
          <w:color w:val="auto"/>
          <w:kern w:val="2"/>
          <w:sz w:val="21"/>
          <w:szCs w:val="21"/>
          <w:lang w:val="en-US" w:eastAsia="zh-CN"/>
        </w:rPr>
        <w:t>技术和规范</w:t>
      </w:r>
      <w:r>
        <w:rPr>
          <w:rFonts w:hint="eastAsia" w:hAnsi="宋体" w:cs="宋体"/>
          <w:color w:val="auto"/>
          <w:kern w:val="2"/>
          <w:sz w:val="21"/>
          <w:szCs w:val="21"/>
        </w:rPr>
        <w:t>需求可在下一版中进行补充修订。</w:t>
      </w:r>
      <w:bookmarkEnd w:id="26"/>
      <w:bookmarkEnd w:id="27"/>
    </w:p>
    <w:p>
      <w:pPr>
        <w:widowControl/>
        <w:spacing w:line="360" w:lineRule="auto"/>
        <w:ind w:firstLine="420" w:firstLineChars="200"/>
        <w:jc w:val="left"/>
        <w:rPr>
          <w:rFonts w:hint="eastAsia" w:ascii="宋体" w:hAnsi="宋体"/>
          <w:color w:val="auto"/>
          <w:kern w:val="0"/>
          <w:szCs w:val="21"/>
        </w:rPr>
      </w:pPr>
    </w:p>
    <w:p>
      <w:pPr>
        <w:widowControl/>
        <w:spacing w:line="360" w:lineRule="auto"/>
        <w:ind w:firstLine="420" w:firstLineChars="200"/>
        <w:jc w:val="left"/>
        <w:rPr>
          <w:rFonts w:hint="eastAsia" w:ascii="宋体" w:hAnsi="宋体"/>
          <w:color w:val="auto"/>
          <w:kern w:val="0"/>
          <w:szCs w:val="21"/>
        </w:rPr>
      </w:pPr>
    </w:p>
    <w:p>
      <w:pPr>
        <w:widowControl/>
        <w:spacing w:line="360" w:lineRule="auto"/>
        <w:ind w:firstLine="420" w:firstLineChars="200"/>
        <w:jc w:val="left"/>
        <w:rPr>
          <w:rFonts w:hint="eastAsia" w:ascii="宋体" w:hAnsi="宋体"/>
          <w:color w:val="auto"/>
          <w:kern w:val="0"/>
          <w:szCs w:val="21"/>
        </w:rPr>
      </w:pPr>
    </w:p>
    <w:p>
      <w:pPr>
        <w:widowControl/>
        <w:spacing w:line="360" w:lineRule="auto"/>
        <w:ind w:firstLine="420" w:firstLineChars="200"/>
        <w:jc w:val="left"/>
        <w:rPr>
          <w:rFonts w:hint="eastAsia" w:ascii="宋体" w:hAnsi="宋体"/>
          <w:color w:val="auto"/>
          <w:kern w:val="0"/>
          <w:szCs w:val="21"/>
        </w:rPr>
      </w:pPr>
      <w:r>
        <w:rPr>
          <w:rFonts w:hint="eastAsia" w:ascii="宋体" w:hAnsi="宋体"/>
          <w:color w:val="auto"/>
          <w:kern w:val="0"/>
          <w:szCs w:val="21"/>
        </w:rPr>
        <w:t xml:space="preserve">                      《铜加工废水循环利用技术规范》行业标准编制组</w:t>
      </w:r>
    </w:p>
    <w:p>
      <w:pPr>
        <w:spacing w:line="360" w:lineRule="auto"/>
        <w:ind w:firstLine="4095" w:firstLineChars="1950"/>
        <w:rPr>
          <w:rFonts w:ascii="宋体" w:hAnsi="宋体"/>
          <w:color w:val="auto"/>
          <w:kern w:val="0"/>
          <w:szCs w:val="21"/>
        </w:rPr>
      </w:pPr>
      <w:r>
        <w:rPr>
          <w:rFonts w:hint="eastAsia" w:ascii="宋体" w:hAnsi="宋体"/>
          <w:color w:val="auto"/>
          <w:szCs w:val="21"/>
        </w:rPr>
        <w:t>2023年</w:t>
      </w:r>
      <w:r>
        <w:rPr>
          <w:rFonts w:hint="eastAsia" w:ascii="宋体" w:hAnsi="宋体"/>
          <w:color w:val="auto"/>
          <w:szCs w:val="21"/>
          <w:lang w:val="en-US" w:eastAsia="zh-CN"/>
        </w:rPr>
        <w:t>10</w:t>
      </w:r>
      <w:r>
        <w:rPr>
          <w:rFonts w:hint="eastAsia" w:ascii="宋体" w:hAnsi="宋体"/>
          <w:color w:val="auto"/>
          <w:szCs w:val="21"/>
        </w:rPr>
        <w:t>月1</w:t>
      </w:r>
      <w:r>
        <w:rPr>
          <w:rFonts w:hint="eastAsia" w:ascii="宋体" w:hAnsi="宋体"/>
          <w:color w:val="auto"/>
          <w:szCs w:val="21"/>
          <w:lang w:val="en-US" w:eastAsia="zh-CN"/>
        </w:rPr>
        <w:t>6</w:t>
      </w:r>
      <w:r>
        <w:rPr>
          <w:rFonts w:hint="eastAsia" w:ascii="宋体" w:hAnsi="宋体"/>
          <w:color w:val="auto"/>
          <w:szCs w:val="21"/>
        </w:rPr>
        <w:t>日</w:t>
      </w:r>
    </w:p>
    <w:sectPr>
      <w:footerReference r:id="rId3" w:type="default"/>
      <w:pgSz w:w="11906" w:h="16838"/>
      <w:pgMar w:top="1440" w:right="1701" w:bottom="1440"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11</w:t>
    </w:r>
    <w:r>
      <w:rPr>
        <w:lang w:val="zh-CN"/>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79762"/>
    <w:multiLevelType w:val="singleLevel"/>
    <w:tmpl w:val="EF779762"/>
    <w:lvl w:ilvl="0" w:tentative="0">
      <w:start w:val="2"/>
      <w:numFmt w:val="decimal"/>
      <w:suff w:val="nothing"/>
      <w:lvlText w:val="（%1）"/>
      <w:lvlJc w:val="left"/>
    </w:lvl>
  </w:abstractNum>
  <w:abstractNum w:abstractNumId="1">
    <w:nsid w:val="66B92623"/>
    <w:multiLevelType w:val="multilevel"/>
    <w:tmpl w:val="66B9262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liNmM5YzJkZDc1MzliMmM2MWJiZmYxOTI5NTU0YWMifQ=="/>
  </w:docVars>
  <w:rsids>
    <w:rsidRoot w:val="00397DC7"/>
    <w:rsid w:val="0001481B"/>
    <w:rsid w:val="00021550"/>
    <w:rsid w:val="00031E55"/>
    <w:rsid w:val="00056B2F"/>
    <w:rsid w:val="00084234"/>
    <w:rsid w:val="000B12C4"/>
    <w:rsid w:val="000C3E1B"/>
    <w:rsid w:val="000E393C"/>
    <w:rsid w:val="001159AB"/>
    <w:rsid w:val="0013735C"/>
    <w:rsid w:val="00140AC8"/>
    <w:rsid w:val="00167079"/>
    <w:rsid w:val="00187414"/>
    <w:rsid w:val="00197F32"/>
    <w:rsid w:val="001C2CA8"/>
    <w:rsid w:val="001C3E2E"/>
    <w:rsid w:val="001C60B1"/>
    <w:rsid w:val="001F521C"/>
    <w:rsid w:val="00254B7C"/>
    <w:rsid w:val="00255DC4"/>
    <w:rsid w:val="00290B87"/>
    <w:rsid w:val="0029320E"/>
    <w:rsid w:val="002A67E1"/>
    <w:rsid w:val="002C7194"/>
    <w:rsid w:val="002F0716"/>
    <w:rsid w:val="0031523B"/>
    <w:rsid w:val="003501DC"/>
    <w:rsid w:val="00350F4D"/>
    <w:rsid w:val="003617FC"/>
    <w:rsid w:val="0036226C"/>
    <w:rsid w:val="0036244A"/>
    <w:rsid w:val="00363A1C"/>
    <w:rsid w:val="003970E5"/>
    <w:rsid w:val="00397DC7"/>
    <w:rsid w:val="003C4F13"/>
    <w:rsid w:val="003D78ED"/>
    <w:rsid w:val="003F08F3"/>
    <w:rsid w:val="003F458D"/>
    <w:rsid w:val="00406A6B"/>
    <w:rsid w:val="00414FE0"/>
    <w:rsid w:val="00421853"/>
    <w:rsid w:val="00463D88"/>
    <w:rsid w:val="00476F6C"/>
    <w:rsid w:val="00477373"/>
    <w:rsid w:val="00485DC3"/>
    <w:rsid w:val="00492D90"/>
    <w:rsid w:val="004B085C"/>
    <w:rsid w:val="004B1809"/>
    <w:rsid w:val="004C1C1A"/>
    <w:rsid w:val="004D0543"/>
    <w:rsid w:val="00534493"/>
    <w:rsid w:val="00547119"/>
    <w:rsid w:val="005503DC"/>
    <w:rsid w:val="00556EA1"/>
    <w:rsid w:val="005622A1"/>
    <w:rsid w:val="00575298"/>
    <w:rsid w:val="005813EF"/>
    <w:rsid w:val="005A55C4"/>
    <w:rsid w:val="005B7F9C"/>
    <w:rsid w:val="00620FA5"/>
    <w:rsid w:val="006236DA"/>
    <w:rsid w:val="00641369"/>
    <w:rsid w:val="00647319"/>
    <w:rsid w:val="006529BA"/>
    <w:rsid w:val="0066146B"/>
    <w:rsid w:val="00680E7E"/>
    <w:rsid w:val="00682BA4"/>
    <w:rsid w:val="00684181"/>
    <w:rsid w:val="00696489"/>
    <w:rsid w:val="006A25D3"/>
    <w:rsid w:val="006C101A"/>
    <w:rsid w:val="006E538A"/>
    <w:rsid w:val="006F6D24"/>
    <w:rsid w:val="007242AF"/>
    <w:rsid w:val="00724956"/>
    <w:rsid w:val="00732240"/>
    <w:rsid w:val="00772EB5"/>
    <w:rsid w:val="007C3883"/>
    <w:rsid w:val="007C3E00"/>
    <w:rsid w:val="00824886"/>
    <w:rsid w:val="0082552C"/>
    <w:rsid w:val="008350E9"/>
    <w:rsid w:val="00861A83"/>
    <w:rsid w:val="00867A6F"/>
    <w:rsid w:val="00897F9C"/>
    <w:rsid w:val="008B6DAB"/>
    <w:rsid w:val="008D582D"/>
    <w:rsid w:val="008E1114"/>
    <w:rsid w:val="00902954"/>
    <w:rsid w:val="0090546D"/>
    <w:rsid w:val="00944DAC"/>
    <w:rsid w:val="009450D3"/>
    <w:rsid w:val="00952CB3"/>
    <w:rsid w:val="00960FE0"/>
    <w:rsid w:val="00963E7B"/>
    <w:rsid w:val="009A1A4A"/>
    <w:rsid w:val="009B40FA"/>
    <w:rsid w:val="009C05D6"/>
    <w:rsid w:val="009C186B"/>
    <w:rsid w:val="009D12AF"/>
    <w:rsid w:val="009D6CFD"/>
    <w:rsid w:val="009E56DD"/>
    <w:rsid w:val="00A03043"/>
    <w:rsid w:val="00A033CD"/>
    <w:rsid w:val="00A22BDE"/>
    <w:rsid w:val="00A231E4"/>
    <w:rsid w:val="00A30F72"/>
    <w:rsid w:val="00A50FFB"/>
    <w:rsid w:val="00A53035"/>
    <w:rsid w:val="00A55A37"/>
    <w:rsid w:val="00AC0785"/>
    <w:rsid w:val="00AC14D6"/>
    <w:rsid w:val="00AD5AC7"/>
    <w:rsid w:val="00B075E4"/>
    <w:rsid w:val="00B6304D"/>
    <w:rsid w:val="00B648E2"/>
    <w:rsid w:val="00B70172"/>
    <w:rsid w:val="00B95AAB"/>
    <w:rsid w:val="00BD4CC3"/>
    <w:rsid w:val="00C54856"/>
    <w:rsid w:val="00C82E36"/>
    <w:rsid w:val="00C8724B"/>
    <w:rsid w:val="00CD0EEE"/>
    <w:rsid w:val="00CE48CD"/>
    <w:rsid w:val="00D071E7"/>
    <w:rsid w:val="00D32A84"/>
    <w:rsid w:val="00D35CD4"/>
    <w:rsid w:val="00D46FC6"/>
    <w:rsid w:val="00D621E0"/>
    <w:rsid w:val="00D872BF"/>
    <w:rsid w:val="00DA00DF"/>
    <w:rsid w:val="00DE6693"/>
    <w:rsid w:val="00DF0735"/>
    <w:rsid w:val="00E12ACB"/>
    <w:rsid w:val="00E228F3"/>
    <w:rsid w:val="00E337D5"/>
    <w:rsid w:val="00E34DC1"/>
    <w:rsid w:val="00E579A5"/>
    <w:rsid w:val="00E6570B"/>
    <w:rsid w:val="00E71309"/>
    <w:rsid w:val="00E97D3E"/>
    <w:rsid w:val="00EA48A1"/>
    <w:rsid w:val="00EB4189"/>
    <w:rsid w:val="00EC41C9"/>
    <w:rsid w:val="00EE0CE5"/>
    <w:rsid w:val="00EE263A"/>
    <w:rsid w:val="00F106E1"/>
    <w:rsid w:val="00F34B4A"/>
    <w:rsid w:val="00F843B6"/>
    <w:rsid w:val="00F87052"/>
    <w:rsid w:val="00FB226F"/>
    <w:rsid w:val="00FE3687"/>
    <w:rsid w:val="01941DB6"/>
    <w:rsid w:val="03BA6E82"/>
    <w:rsid w:val="049E170D"/>
    <w:rsid w:val="04C47F6E"/>
    <w:rsid w:val="0BA01BC1"/>
    <w:rsid w:val="0F782203"/>
    <w:rsid w:val="13692E53"/>
    <w:rsid w:val="17653680"/>
    <w:rsid w:val="176A7955"/>
    <w:rsid w:val="235933B9"/>
    <w:rsid w:val="269B185D"/>
    <w:rsid w:val="2C552AD4"/>
    <w:rsid w:val="3C81109D"/>
    <w:rsid w:val="3EB40815"/>
    <w:rsid w:val="414D76D2"/>
    <w:rsid w:val="43942EC4"/>
    <w:rsid w:val="45784AB9"/>
    <w:rsid w:val="46E41355"/>
    <w:rsid w:val="4904060E"/>
    <w:rsid w:val="4DC41886"/>
    <w:rsid w:val="4DE444B2"/>
    <w:rsid w:val="57D55A2A"/>
    <w:rsid w:val="65A43146"/>
    <w:rsid w:val="65DA28B2"/>
    <w:rsid w:val="69763414"/>
    <w:rsid w:val="6EB34C6C"/>
    <w:rsid w:val="770D4521"/>
    <w:rsid w:val="7A6F3D08"/>
    <w:rsid w:val="7D7C08D7"/>
    <w:rsid w:val="7EDA0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sz w:val="30"/>
      <w:szCs w:val="32"/>
    </w:rPr>
  </w:style>
  <w:style w:type="paragraph" w:styleId="4">
    <w:name w:val="heading 3"/>
    <w:basedOn w:val="1"/>
    <w:next w:val="1"/>
    <w:link w:val="30"/>
    <w:qFormat/>
    <w:uiPriority w:val="0"/>
    <w:pPr>
      <w:keepNext/>
      <w:keepLines/>
      <w:spacing w:before="260" w:after="260" w:line="416" w:lineRule="auto"/>
      <w:outlineLvl w:val="2"/>
    </w:pPr>
    <w:rPr>
      <w:b/>
      <w:bCs/>
      <w:sz w:val="30"/>
      <w:szCs w:val="32"/>
    </w:rPr>
  </w:style>
  <w:style w:type="paragraph" w:styleId="5">
    <w:name w:val="heading 4"/>
    <w:basedOn w:val="1"/>
    <w:next w:val="1"/>
    <w:link w:val="3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sz w:val="28"/>
      <w:szCs w:val="24"/>
    </w:rPr>
  </w:style>
  <w:style w:type="paragraph" w:styleId="7">
    <w:name w:val="Document Map"/>
    <w:basedOn w:val="1"/>
    <w:link w:val="35"/>
    <w:semiHidden/>
    <w:unhideWhenUsed/>
    <w:qFormat/>
    <w:uiPriority w:val="99"/>
    <w:rPr>
      <w:rFonts w:ascii="宋体"/>
      <w:sz w:val="18"/>
      <w:szCs w:val="18"/>
    </w:rPr>
  </w:style>
  <w:style w:type="paragraph" w:styleId="8">
    <w:name w:val="annotation text"/>
    <w:basedOn w:val="1"/>
    <w:link w:val="44"/>
    <w:qFormat/>
    <w:uiPriority w:val="0"/>
    <w:pPr>
      <w:jc w:val="left"/>
    </w:pPr>
    <w:rPr>
      <w:rFonts w:ascii="Times New Roman" w:hAnsi="Times New Roman"/>
      <w:szCs w:val="24"/>
    </w:rPr>
  </w:style>
  <w:style w:type="paragraph" w:styleId="9">
    <w:name w:val="Body Text"/>
    <w:basedOn w:val="1"/>
    <w:link w:val="46"/>
    <w:qFormat/>
    <w:uiPriority w:val="0"/>
    <w:pPr>
      <w:spacing w:after="120"/>
    </w:pPr>
    <w:rPr>
      <w:rFonts w:ascii="Times New Roman" w:hAnsi="Times New Roman"/>
      <w:szCs w:val="24"/>
    </w:rPr>
  </w:style>
  <w:style w:type="paragraph" w:styleId="10">
    <w:name w:val="Body Text Indent"/>
    <w:basedOn w:val="1"/>
    <w:link w:val="32"/>
    <w:semiHidden/>
    <w:unhideWhenUsed/>
    <w:qFormat/>
    <w:uiPriority w:val="99"/>
    <w:pPr>
      <w:spacing w:after="120"/>
      <w:ind w:left="420" w:leftChars="200"/>
    </w:pPr>
  </w:style>
  <w:style w:type="paragraph" w:styleId="11">
    <w:name w:val="toc 3"/>
    <w:basedOn w:val="1"/>
    <w:next w:val="1"/>
    <w:unhideWhenUsed/>
    <w:qFormat/>
    <w:uiPriority w:val="39"/>
    <w:pPr>
      <w:ind w:left="840" w:leftChars="400"/>
    </w:pPr>
  </w:style>
  <w:style w:type="paragraph" w:styleId="12">
    <w:name w:val="Date"/>
    <w:basedOn w:val="1"/>
    <w:next w:val="1"/>
    <w:link w:val="47"/>
    <w:semiHidden/>
    <w:unhideWhenUsed/>
    <w:qFormat/>
    <w:uiPriority w:val="99"/>
    <w:pPr>
      <w:ind w:left="100" w:leftChars="2500"/>
    </w:pPr>
  </w:style>
  <w:style w:type="paragraph" w:styleId="13">
    <w:name w:val="Body Text Indent 2"/>
    <w:basedOn w:val="1"/>
    <w:link w:val="34"/>
    <w:qFormat/>
    <w:uiPriority w:val="0"/>
    <w:pPr>
      <w:spacing w:after="120" w:line="480" w:lineRule="auto"/>
      <w:ind w:left="420" w:leftChars="200"/>
    </w:pPr>
    <w:rPr>
      <w:rFonts w:ascii="Times New Roman" w:hAnsi="Times New Roman"/>
      <w:szCs w:val="24"/>
    </w:rPr>
  </w:style>
  <w:style w:type="paragraph" w:styleId="14">
    <w:name w:val="Balloon Text"/>
    <w:basedOn w:val="1"/>
    <w:semiHidden/>
    <w:qFormat/>
    <w:uiPriority w:val="0"/>
    <w:rPr>
      <w:sz w:val="18"/>
      <w:szCs w:val="18"/>
    </w:rPr>
  </w:style>
  <w:style w:type="paragraph" w:styleId="15">
    <w:name w:val="footer"/>
    <w:basedOn w:val="1"/>
    <w:link w:val="28"/>
    <w:unhideWhenUsed/>
    <w:qFormat/>
    <w:uiPriority w:val="99"/>
    <w:pPr>
      <w:tabs>
        <w:tab w:val="center" w:pos="4153"/>
        <w:tab w:val="right" w:pos="8306"/>
      </w:tabs>
      <w:snapToGrid w:val="0"/>
      <w:jc w:val="left"/>
    </w:pPr>
    <w:rPr>
      <w:kern w:val="0"/>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0">
    <w:name w:val="Body Text First Indent"/>
    <w:basedOn w:val="9"/>
    <w:qFormat/>
    <w:uiPriority w:val="0"/>
    <w:pPr>
      <w:tabs>
        <w:tab w:val="left" w:pos="2400"/>
      </w:tabs>
      <w:adjustRightInd w:val="0"/>
      <w:spacing w:after="0"/>
    </w:pPr>
    <w:rPr>
      <w:kern w:val="0"/>
      <w:szCs w:val="21"/>
    </w:rPr>
  </w:style>
  <w:style w:type="paragraph" w:styleId="21">
    <w:name w:val="Body Text First Indent 2"/>
    <w:basedOn w:val="10"/>
    <w:link w:val="33"/>
    <w:qFormat/>
    <w:uiPriority w:val="0"/>
    <w:pPr>
      <w:ind w:firstLine="420" w:firstLineChars="200"/>
    </w:pPr>
    <w:rPr>
      <w:rFonts w:ascii="Times New Roman" w:hAnsi="Times New Roman"/>
      <w:szCs w:val="24"/>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Emphasis"/>
    <w:qFormat/>
    <w:uiPriority w:val="20"/>
    <w:rPr>
      <w:color w:val="CC0000"/>
    </w:rPr>
  </w:style>
  <w:style w:type="character" w:styleId="26">
    <w:name w:val="Hyperlink"/>
    <w:unhideWhenUsed/>
    <w:qFormat/>
    <w:uiPriority w:val="99"/>
    <w:rPr>
      <w:color w:val="0000FF"/>
      <w:u w:val="single"/>
    </w:rPr>
  </w:style>
  <w:style w:type="character" w:customStyle="1" w:styleId="27">
    <w:name w:val="页眉 Char"/>
    <w:link w:val="16"/>
    <w:qFormat/>
    <w:uiPriority w:val="99"/>
    <w:rPr>
      <w:sz w:val="18"/>
      <w:szCs w:val="18"/>
    </w:rPr>
  </w:style>
  <w:style w:type="character" w:customStyle="1" w:styleId="28">
    <w:name w:val="页脚 Char"/>
    <w:link w:val="15"/>
    <w:qFormat/>
    <w:uiPriority w:val="99"/>
    <w:rPr>
      <w:sz w:val="18"/>
      <w:szCs w:val="18"/>
    </w:rPr>
  </w:style>
  <w:style w:type="character" w:customStyle="1" w:styleId="29">
    <w:name w:val="标题 2 Char"/>
    <w:link w:val="3"/>
    <w:qFormat/>
    <w:uiPriority w:val="0"/>
    <w:rPr>
      <w:rFonts w:ascii="Arial" w:hAnsi="Arial" w:eastAsia="黑体"/>
      <w:b/>
      <w:bCs/>
      <w:kern w:val="2"/>
      <w:sz w:val="30"/>
      <w:szCs w:val="32"/>
    </w:rPr>
  </w:style>
  <w:style w:type="character" w:customStyle="1" w:styleId="30">
    <w:name w:val="标题 3 Char"/>
    <w:link w:val="4"/>
    <w:qFormat/>
    <w:uiPriority w:val="0"/>
    <w:rPr>
      <w:b/>
      <w:bCs/>
      <w:kern w:val="2"/>
      <w:sz w:val="30"/>
      <w:szCs w:val="32"/>
    </w:rPr>
  </w:style>
  <w:style w:type="character" w:customStyle="1" w:styleId="31">
    <w:name w:val="标题 4 Char"/>
    <w:link w:val="5"/>
    <w:qFormat/>
    <w:uiPriority w:val="0"/>
    <w:rPr>
      <w:rFonts w:ascii="Arial" w:hAnsi="Arial" w:eastAsia="黑体"/>
      <w:b/>
      <w:bCs/>
      <w:kern w:val="2"/>
      <w:sz w:val="28"/>
      <w:szCs w:val="28"/>
    </w:rPr>
  </w:style>
  <w:style w:type="character" w:customStyle="1" w:styleId="32">
    <w:name w:val="正文文本缩进 Char"/>
    <w:link w:val="10"/>
    <w:semiHidden/>
    <w:qFormat/>
    <w:uiPriority w:val="99"/>
    <w:rPr>
      <w:kern w:val="2"/>
      <w:sz w:val="21"/>
      <w:szCs w:val="22"/>
    </w:rPr>
  </w:style>
  <w:style w:type="character" w:customStyle="1" w:styleId="33">
    <w:name w:val="正文首行缩进 2 Char"/>
    <w:link w:val="21"/>
    <w:qFormat/>
    <w:uiPriority w:val="0"/>
    <w:rPr>
      <w:rFonts w:ascii="Times New Roman" w:hAnsi="Times New Roman"/>
      <w:kern w:val="2"/>
      <w:sz w:val="21"/>
      <w:szCs w:val="24"/>
    </w:rPr>
  </w:style>
  <w:style w:type="character" w:customStyle="1" w:styleId="34">
    <w:name w:val="正文文本缩进 2 Char"/>
    <w:link w:val="13"/>
    <w:qFormat/>
    <w:uiPriority w:val="0"/>
    <w:rPr>
      <w:rFonts w:ascii="Times New Roman" w:hAnsi="Times New Roman"/>
      <w:kern w:val="2"/>
      <w:sz w:val="21"/>
      <w:szCs w:val="24"/>
    </w:rPr>
  </w:style>
  <w:style w:type="character" w:customStyle="1" w:styleId="35">
    <w:name w:val="文档结构图 Char"/>
    <w:link w:val="7"/>
    <w:semiHidden/>
    <w:qFormat/>
    <w:uiPriority w:val="99"/>
    <w:rPr>
      <w:rFonts w:ascii="宋体"/>
      <w:kern w:val="2"/>
      <w:sz w:val="18"/>
      <w:szCs w:val="18"/>
    </w:rPr>
  </w:style>
  <w:style w:type="character" w:customStyle="1" w:styleId="36">
    <w:name w:val="标题 1 Char"/>
    <w:link w:val="2"/>
    <w:qFormat/>
    <w:uiPriority w:val="9"/>
    <w:rPr>
      <w:b/>
      <w:bCs/>
      <w:kern w:val="44"/>
      <w:sz w:val="44"/>
      <w:szCs w:val="44"/>
    </w:rPr>
  </w:style>
  <w:style w:type="paragraph" w:customStyle="1" w:styleId="37">
    <w:name w:val="正文+小四"/>
    <w:basedOn w:val="1"/>
    <w:qFormat/>
    <w:uiPriority w:val="0"/>
    <w:pPr>
      <w:spacing w:line="300" w:lineRule="auto"/>
      <w:ind w:firstLine="397"/>
    </w:pPr>
    <w:rPr>
      <w:rFonts w:ascii="宋体" w:hAnsi="宋体" w:cs="宋体"/>
      <w:kern w:val="0"/>
      <w:sz w:val="24"/>
      <w:szCs w:val="20"/>
    </w:rPr>
  </w:style>
  <w:style w:type="paragraph" w:customStyle="1" w:styleId="38">
    <w:name w:val="TOC Heading"/>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9">
    <w:name w:val="z_正文 Char"/>
    <w:link w:val="40"/>
    <w:qFormat/>
    <w:uiPriority w:val="0"/>
    <w:rPr>
      <w:sz w:val="24"/>
      <w:szCs w:val="24"/>
    </w:rPr>
  </w:style>
  <w:style w:type="paragraph" w:customStyle="1" w:styleId="40">
    <w:name w:val="z_正文"/>
    <w:basedOn w:val="1"/>
    <w:link w:val="39"/>
    <w:qFormat/>
    <w:uiPriority w:val="0"/>
    <w:pPr>
      <w:spacing w:line="360" w:lineRule="auto"/>
      <w:ind w:firstLine="480" w:firstLineChars="200"/>
    </w:pPr>
    <w:rPr>
      <w:kern w:val="0"/>
      <w:sz w:val="24"/>
      <w:szCs w:val="24"/>
    </w:rPr>
  </w:style>
  <w:style w:type="table" w:customStyle="1" w:styleId="41">
    <w:name w:val="网格型1"/>
    <w:basedOn w:val="2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2">
    <w:name w:val=" Char Char Char Char Char Char Char"/>
    <w:basedOn w:val="1"/>
    <w:qFormat/>
    <w:uiPriority w:val="0"/>
    <w:rPr>
      <w:rFonts w:ascii="Times New Roman" w:hAnsi="Times New Roman"/>
      <w:szCs w:val="24"/>
    </w:rPr>
  </w:style>
  <w:style w:type="character" w:customStyle="1" w:styleId="43">
    <w:name w:val="bjh-p"/>
    <w:basedOn w:val="24"/>
    <w:qFormat/>
    <w:uiPriority w:val="0"/>
  </w:style>
  <w:style w:type="character" w:customStyle="1" w:styleId="44">
    <w:name w:val="批注文字 Char"/>
    <w:basedOn w:val="24"/>
    <w:link w:val="8"/>
    <w:qFormat/>
    <w:uiPriority w:val="0"/>
    <w:rPr>
      <w:rFonts w:ascii="Times New Roman" w:hAnsi="Times New Roman"/>
      <w:kern w:val="2"/>
      <w:sz w:val="21"/>
      <w:szCs w:val="24"/>
    </w:rPr>
  </w:style>
  <w:style w:type="paragraph" w:customStyle="1" w:styleId="45">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46">
    <w:name w:val="正文文本 Char"/>
    <w:basedOn w:val="24"/>
    <w:link w:val="9"/>
    <w:qFormat/>
    <w:uiPriority w:val="0"/>
    <w:rPr>
      <w:rFonts w:ascii="Times New Roman" w:hAnsi="Times New Roman"/>
      <w:kern w:val="2"/>
      <w:sz w:val="21"/>
      <w:szCs w:val="24"/>
    </w:rPr>
  </w:style>
  <w:style w:type="character" w:customStyle="1" w:styleId="47">
    <w:name w:val="日期 Char"/>
    <w:basedOn w:val="24"/>
    <w:link w:val="12"/>
    <w:semiHidden/>
    <w:qFormat/>
    <w:uiPriority w:val="99"/>
    <w:rPr>
      <w:kern w:val="2"/>
      <w:sz w:val="21"/>
      <w:szCs w:val="22"/>
    </w:rPr>
  </w:style>
  <w:style w:type="paragraph" w:customStyle="1" w:styleId="4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685F4-286A-437B-89F4-50B0FE80E5AF}">
  <ds:schemaRefs/>
</ds:datastoreItem>
</file>

<file path=docProps/app.xml><?xml version="1.0" encoding="utf-8"?>
<Properties xmlns="http://schemas.openxmlformats.org/officeDocument/2006/extended-properties" xmlns:vt="http://schemas.openxmlformats.org/officeDocument/2006/docPropsVTypes">
  <Template>Normal</Template>
  <Company>ThinkPad</Company>
  <Pages>12</Pages>
  <Words>1149</Words>
  <Characters>6551</Characters>
  <Lines>54</Lines>
  <Paragraphs>15</Paragraphs>
  <TotalTime>5</TotalTime>
  <ScaleCrop>false</ScaleCrop>
  <LinksUpToDate>false</LinksUpToDate>
  <CharactersWithSpaces>7685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2023-05-16T06:44:00Z</dcterms:created>
  <dc:creator>IBM</dc:creator>
  <cp:lastModifiedBy>HUAWEI</cp:lastModifiedBy>
  <cp:lastPrinted>2023-04-23T03:53:00Z</cp:lastPrinted>
  <dcterms:modified xsi:type="dcterms:W3CDTF">2023-10-25T01:43:33Z</dcterms:modified>
  <dc:title>铅冶炼行业节水技术规范和回水利用技术指南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3D07AAEE9A3347A58EF560636A34D022_12</vt:lpwstr>
  </property>
</Properties>
</file>