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ins w:id="0" w:author="林若虚" w:date="2023-10-15T08:16:39Z"/>
          <w:rFonts w:hint="eastAsia" w:eastAsia="黑体"/>
          <w:sz w:val="28"/>
          <w:szCs w:val="28"/>
        </w:rPr>
      </w:pPr>
      <w:r>
        <w:rPr>
          <w:rFonts w:hint="eastAsia" w:eastAsia="黑体"/>
          <w:sz w:val="28"/>
          <w:szCs w:val="28"/>
        </w:rPr>
        <w:t>有色金属矿井提升机智能控制系统技术规范</w:t>
      </w:r>
    </w:p>
    <w:p>
      <w:pPr>
        <w:jc w:val="center"/>
        <w:rPr>
          <w:ins w:id="1" w:author="林若虚" w:date="2023-10-15T08:16:33Z"/>
          <w:rFonts w:hint="eastAsia" w:eastAsia="黑体"/>
          <w:sz w:val="28"/>
          <w:szCs w:val="28"/>
        </w:rPr>
      </w:pPr>
      <w:del w:id="2" w:author="林若虚" w:date="2023-10-15T08:16:39Z">
        <w:bookmarkStart w:id="10" w:name="_GoBack"/>
        <w:bookmarkEnd w:id="10"/>
        <w:r>
          <w:rPr>
            <w:rFonts w:hint="eastAsia" w:eastAsia="黑体"/>
            <w:sz w:val="28"/>
            <w:szCs w:val="28"/>
          </w:rPr>
          <w:delText>送审稿—</w:delText>
        </w:r>
      </w:del>
      <w:r>
        <w:rPr>
          <w:rFonts w:hint="eastAsia" w:eastAsia="黑体"/>
          <w:sz w:val="28"/>
          <w:szCs w:val="28"/>
        </w:rPr>
        <w:t>编制说明</w:t>
      </w:r>
    </w:p>
    <w:p>
      <w:pPr>
        <w:jc w:val="center"/>
        <w:rPr>
          <w:rFonts w:ascii="宋体"/>
          <w:sz w:val="28"/>
          <w:szCs w:val="28"/>
          <w:lang w:val="de-DE"/>
        </w:rPr>
      </w:pPr>
      <w:r>
        <w:rPr>
          <w:rFonts w:hint="eastAsia" w:eastAsia="黑体"/>
          <w:sz w:val="28"/>
          <w:szCs w:val="28"/>
        </w:rPr>
        <w:t>（送审稿）</w:t>
      </w:r>
    </w:p>
    <w:p>
      <w:pPr>
        <w:pStyle w:val="8"/>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一、工作简况</w:t>
      </w:r>
    </w:p>
    <w:p>
      <w:pPr>
        <w:pStyle w:val="8"/>
        <w:spacing w:before="0" w:beforeAutospacing="0" w:after="0" w:afterAutospacing="0" w:line="360" w:lineRule="auto"/>
        <w:jc w:val="both"/>
        <w:rPr>
          <w:rFonts w:ascii="黑体" w:eastAsia="黑体" w:cs="Arial"/>
          <w:sz w:val="21"/>
          <w:szCs w:val="21"/>
        </w:rPr>
      </w:pPr>
      <w:r>
        <w:rPr>
          <w:rFonts w:hint="eastAsia" w:ascii="黑体" w:eastAsia="黑体" w:cs="Arial"/>
          <w:sz w:val="21"/>
          <w:szCs w:val="21"/>
        </w:rPr>
        <w:t>1.1任务来源</w:t>
      </w:r>
    </w:p>
    <w:p>
      <w:pPr>
        <w:pStyle w:val="18"/>
        <w:numPr>
          <w:ilvl w:val="0"/>
          <w:numId w:val="1"/>
        </w:numPr>
        <w:spacing w:line="360" w:lineRule="auto"/>
        <w:ind w:firstLineChars="0"/>
        <w:rPr>
          <w:rFonts w:ascii="宋体" w:hAnsi="宋体"/>
          <w:szCs w:val="21"/>
        </w:rPr>
      </w:pPr>
      <w:r>
        <w:rPr>
          <w:rFonts w:hint="eastAsia" w:ascii="宋体" w:hAnsi="宋体"/>
          <w:szCs w:val="21"/>
        </w:rPr>
        <w:t>计划批准文件名称：</w:t>
      </w:r>
      <w:r>
        <w:rPr>
          <w:rFonts w:hint="eastAsia" w:ascii="宋体" w:hAnsi="宋体" w:eastAsia="宋体" w:cs="宋体"/>
          <w:szCs w:val="21"/>
        </w:rPr>
        <w:t>有色金属矿井提升机智能控制系统技术规范；</w:t>
      </w:r>
    </w:p>
    <w:p>
      <w:pPr>
        <w:pStyle w:val="18"/>
        <w:numPr>
          <w:ilvl w:val="0"/>
          <w:numId w:val="1"/>
        </w:numPr>
        <w:spacing w:line="360" w:lineRule="auto"/>
        <w:ind w:firstLineChars="0"/>
        <w:rPr>
          <w:rFonts w:ascii="宋体" w:hAnsi="宋体"/>
          <w:szCs w:val="21"/>
        </w:rPr>
      </w:pPr>
      <w:r>
        <w:rPr>
          <w:rFonts w:hint="eastAsia" w:ascii="宋体" w:hAnsi="宋体"/>
          <w:szCs w:val="21"/>
        </w:rPr>
        <w:t>文号及项目编号：中色协科字</w:t>
      </w:r>
      <w:r>
        <w:rPr>
          <w:rFonts w:hint="eastAsia" w:asciiTheme="minorEastAsia" w:hAnsiTheme="minorEastAsia"/>
          <w:szCs w:val="21"/>
        </w:rPr>
        <w:t>[</w:t>
      </w:r>
      <w:r>
        <w:rPr>
          <w:rFonts w:ascii="宋体" w:hAnsi="宋体" w:eastAsia="宋体"/>
          <w:szCs w:val="21"/>
        </w:rPr>
        <w:t>2022</w:t>
      </w:r>
      <w:r>
        <w:rPr>
          <w:rFonts w:hint="eastAsia" w:ascii="宋体" w:hAnsi="宋体" w:eastAsia="宋体"/>
          <w:szCs w:val="21"/>
        </w:rPr>
        <w:t>]</w:t>
      </w:r>
      <w:r>
        <w:rPr>
          <w:rFonts w:ascii="宋体" w:hAnsi="宋体" w:eastAsia="宋体"/>
          <w:szCs w:val="21"/>
        </w:rPr>
        <w:t>85</w:t>
      </w:r>
      <w:r>
        <w:rPr>
          <w:rFonts w:hint="eastAsia" w:ascii="宋体" w:hAnsi="宋体" w:eastAsia="宋体"/>
          <w:szCs w:val="21"/>
        </w:rPr>
        <w:t>号2</w:t>
      </w:r>
      <w:r>
        <w:rPr>
          <w:rFonts w:ascii="宋体" w:hAnsi="宋体" w:eastAsia="宋体"/>
          <w:szCs w:val="21"/>
        </w:rPr>
        <w:t>022-044-T</w:t>
      </w:r>
      <w:r>
        <w:rPr>
          <w:rFonts w:hint="eastAsia" w:ascii="宋体" w:hAnsi="宋体" w:eastAsia="宋体"/>
          <w:szCs w:val="21"/>
        </w:rPr>
        <w:t>/</w:t>
      </w:r>
      <w:r>
        <w:rPr>
          <w:rFonts w:ascii="宋体" w:hAnsi="宋体" w:eastAsia="宋体"/>
          <w:szCs w:val="21"/>
        </w:rPr>
        <w:t>CNIA</w:t>
      </w:r>
    </w:p>
    <w:p>
      <w:pPr>
        <w:pStyle w:val="18"/>
        <w:numPr>
          <w:ilvl w:val="0"/>
          <w:numId w:val="1"/>
        </w:numPr>
        <w:spacing w:line="360" w:lineRule="auto"/>
        <w:ind w:firstLineChars="0"/>
        <w:rPr>
          <w:rFonts w:ascii="宋体" w:hAnsi="宋体"/>
          <w:szCs w:val="21"/>
        </w:rPr>
      </w:pPr>
      <w:r>
        <w:rPr>
          <w:rFonts w:hint="eastAsia" w:ascii="宋体" w:hAnsi="宋体"/>
          <w:szCs w:val="21"/>
        </w:rPr>
        <w:t>项目名称：</w:t>
      </w:r>
      <w:r>
        <w:rPr>
          <w:rFonts w:hint="eastAsia" w:ascii="宋体" w:hAnsi="宋体" w:eastAsia="宋体" w:cs="宋体"/>
          <w:szCs w:val="21"/>
        </w:rPr>
        <w:t>有色金属矿井提升机智能控制系统技术规范；</w:t>
      </w:r>
    </w:p>
    <w:p>
      <w:pPr>
        <w:pStyle w:val="18"/>
        <w:numPr>
          <w:ilvl w:val="0"/>
          <w:numId w:val="1"/>
        </w:numPr>
        <w:spacing w:line="360" w:lineRule="auto"/>
        <w:ind w:firstLineChars="0"/>
        <w:rPr>
          <w:rFonts w:ascii="宋体" w:hAnsi="宋体"/>
          <w:szCs w:val="21"/>
        </w:rPr>
      </w:pPr>
      <w:r>
        <w:rPr>
          <w:rFonts w:hint="eastAsia" w:ascii="宋体" w:hAnsi="宋体"/>
          <w:szCs w:val="21"/>
        </w:rPr>
        <w:t>计划完成年限：2</w:t>
      </w:r>
      <w:r>
        <w:rPr>
          <w:rFonts w:ascii="宋体" w:hAnsi="宋体"/>
          <w:szCs w:val="21"/>
        </w:rPr>
        <w:t>023</w:t>
      </w:r>
      <w:r>
        <w:rPr>
          <w:rFonts w:hint="eastAsia" w:ascii="宋体" w:hAnsi="宋体"/>
          <w:szCs w:val="21"/>
        </w:rPr>
        <w:t>年1</w:t>
      </w:r>
      <w:r>
        <w:rPr>
          <w:rFonts w:ascii="宋体" w:hAnsi="宋体"/>
          <w:szCs w:val="21"/>
        </w:rPr>
        <w:t>2</w:t>
      </w:r>
      <w:r>
        <w:rPr>
          <w:rFonts w:hint="eastAsia" w:ascii="宋体" w:hAnsi="宋体"/>
          <w:szCs w:val="21"/>
        </w:rPr>
        <w:t>月3</w:t>
      </w:r>
      <w:r>
        <w:rPr>
          <w:rFonts w:ascii="宋体" w:hAnsi="宋体"/>
          <w:szCs w:val="21"/>
        </w:rPr>
        <w:t>1</w:t>
      </w:r>
      <w:r>
        <w:rPr>
          <w:rFonts w:hint="eastAsia" w:ascii="宋体" w:hAnsi="宋体"/>
          <w:szCs w:val="21"/>
        </w:rPr>
        <w:t>日；</w:t>
      </w:r>
    </w:p>
    <w:p>
      <w:pPr>
        <w:pStyle w:val="18"/>
        <w:numPr>
          <w:ilvl w:val="0"/>
          <w:numId w:val="1"/>
        </w:numPr>
        <w:spacing w:line="360" w:lineRule="auto"/>
        <w:ind w:left="426" w:firstLine="0" w:firstLineChars="0"/>
        <w:rPr>
          <w:rFonts w:ascii="宋体" w:hAnsi="宋体"/>
          <w:szCs w:val="21"/>
        </w:rPr>
      </w:pPr>
      <w:r>
        <w:rPr>
          <w:rFonts w:hint="eastAsia" w:ascii="宋体" w:hAnsi="宋体"/>
          <w:szCs w:val="21"/>
        </w:rPr>
        <w:t>编制组成员（单位）：在标准项目建议书阶段，计划参编单位有</w:t>
      </w:r>
      <w:r>
        <w:rPr>
          <w:rFonts w:hint="eastAsia" w:ascii="宋体" w:hAnsi="宋体" w:eastAsia="宋体" w:cs="宋体"/>
          <w:szCs w:val="21"/>
        </w:rPr>
        <w:t>昆明有色冶金设计研究院股份公司、长沙有色冶金设计研究院股份公司、中国信息通讯研究院、玉溪大红山矿业有限公司、云南锡业股份有限公司老厂分公司、云南锡业股份有限公司卡房分公司、凉山矿业股份有限公司、玉溪矿业有限公司、昆明科汇电气有限公司、中兴通讯股份有限公司、深圳英威腾电气股份有限公司、东芝三菱电机工业系统（中国）有限公司共计1</w:t>
      </w:r>
      <w:r>
        <w:rPr>
          <w:rFonts w:ascii="宋体" w:hAnsi="宋体" w:eastAsia="宋体" w:cs="宋体"/>
          <w:szCs w:val="21"/>
        </w:rPr>
        <w:t>2</w:t>
      </w:r>
      <w:r>
        <w:rPr>
          <w:rFonts w:hint="eastAsia" w:ascii="宋体" w:hAnsi="宋体" w:eastAsia="宋体" w:cs="宋体"/>
          <w:szCs w:val="21"/>
        </w:rPr>
        <w:t>家单位。在讨论稿形成前，中国信息通讯研究院、中兴通讯股份有限公司确定不再参加本项目的编制工作</w:t>
      </w:r>
      <w:ins w:id="3" w:author="傅博" w:date="2023-10-09T09:58:00Z">
        <w:r>
          <w:rPr>
            <w:rFonts w:hint="eastAsia" w:ascii="宋体" w:hAnsi="宋体" w:eastAsia="宋体" w:cs="宋体"/>
            <w:szCs w:val="21"/>
          </w:rPr>
          <w:t>。</w:t>
        </w:r>
      </w:ins>
      <w:del w:id="4" w:author="傅博" w:date="2023-10-09T09:58:00Z">
        <w:r>
          <w:rPr>
            <w:rFonts w:hint="eastAsia" w:ascii="宋体" w:hAnsi="宋体" w:eastAsia="宋体" w:cs="宋体"/>
            <w:szCs w:val="21"/>
          </w:rPr>
          <w:delText>，</w:delText>
        </w:r>
      </w:del>
      <w:r>
        <w:rPr>
          <w:rFonts w:hint="eastAsia" w:ascii="宋体" w:hAnsi="宋体" w:eastAsia="宋体" w:cs="宋体"/>
          <w:szCs w:val="21"/>
        </w:rPr>
        <w:t>预审稿形成前，云南锡业股份有限公司老厂分公司及云南锡业股份有限公司卡房分公司合并为云南锡业股份有限公司参编</w:t>
      </w:r>
      <w:ins w:id="5" w:author="傅博" w:date="2023-10-09T09:58:00Z">
        <w:r>
          <w:rPr>
            <w:rFonts w:hint="eastAsia" w:ascii="宋体" w:hAnsi="宋体" w:eastAsia="宋体" w:cs="宋体"/>
            <w:szCs w:val="21"/>
          </w:rPr>
          <w:t>。</w:t>
        </w:r>
      </w:ins>
      <w:del w:id="6" w:author="傅博" w:date="2023-10-09T09:58:00Z">
        <w:r>
          <w:rPr>
            <w:rFonts w:hint="eastAsia" w:ascii="宋体" w:hAnsi="宋体" w:eastAsia="宋体" w:cs="宋体"/>
            <w:szCs w:val="21"/>
          </w:rPr>
          <w:delText>，</w:delText>
        </w:r>
      </w:del>
      <w:ins w:id="7" w:author="傅博" w:date="2023-10-09T09:57:00Z">
        <w:r>
          <w:rPr>
            <w:rFonts w:hint="eastAsia" w:ascii="宋体" w:hAnsi="宋体" w:eastAsia="宋体" w:cs="宋体"/>
            <w:szCs w:val="21"/>
          </w:rPr>
          <w:t>送审稿前</w:t>
        </w:r>
      </w:ins>
      <w:ins w:id="8" w:author="傅博" w:date="2023-10-09T09:58:00Z">
        <w:r>
          <w:rPr>
            <w:rFonts w:hint="eastAsia" w:ascii="宋体" w:hAnsi="宋体" w:eastAsia="宋体" w:cs="宋体"/>
            <w:szCs w:val="21"/>
          </w:rPr>
          <w:t>，深圳英威腾电气股份有限公司确定不再参加</w:t>
        </w:r>
      </w:ins>
      <w:ins w:id="9" w:author="傅博" w:date="2023-10-09T09:59:00Z">
        <w:r>
          <w:rPr>
            <w:rFonts w:hint="eastAsia" w:ascii="宋体" w:hAnsi="宋体" w:eastAsia="宋体" w:cs="宋体"/>
            <w:szCs w:val="21"/>
          </w:rPr>
          <w:t>编制</w:t>
        </w:r>
      </w:ins>
      <w:ins w:id="10" w:author="傅博" w:date="2023-10-09T09:58:00Z">
        <w:r>
          <w:rPr>
            <w:rFonts w:hint="eastAsia" w:ascii="宋体" w:hAnsi="宋体" w:eastAsia="宋体" w:cs="宋体"/>
            <w:szCs w:val="21"/>
          </w:rPr>
          <w:t>，</w:t>
        </w:r>
      </w:ins>
      <w:r>
        <w:rPr>
          <w:rFonts w:hint="eastAsia" w:ascii="宋体" w:hAnsi="宋体" w:eastAsia="宋体" w:cs="宋体"/>
          <w:szCs w:val="21"/>
        </w:rPr>
        <w:t>最终参编单位共</w:t>
      </w:r>
      <w:del w:id="11" w:author="傅博" w:date="2023-10-09T09:58:00Z">
        <w:r>
          <w:rPr>
            <w:rFonts w:hint="eastAsia" w:ascii="宋体" w:hAnsi="宋体" w:eastAsia="宋体" w:cs="宋体"/>
            <w:szCs w:val="21"/>
          </w:rPr>
          <w:delText>9</w:delText>
        </w:r>
      </w:del>
      <w:ins w:id="12" w:author="傅博" w:date="2023-10-09T09:58:00Z">
        <w:r>
          <w:rPr>
            <w:rFonts w:ascii="宋体" w:hAnsi="宋体" w:eastAsia="宋体" w:cs="宋体"/>
            <w:szCs w:val="21"/>
          </w:rPr>
          <w:t>8</w:t>
        </w:r>
      </w:ins>
      <w:r>
        <w:rPr>
          <w:rFonts w:hint="eastAsia" w:ascii="宋体" w:hAnsi="宋体" w:eastAsia="宋体" w:cs="宋体"/>
          <w:szCs w:val="21"/>
        </w:rPr>
        <w:t>家。</w:t>
      </w:r>
    </w:p>
    <w:p>
      <w:pPr>
        <w:pStyle w:val="15"/>
        <w:spacing w:beforeLines="0" w:afterLines="0" w:line="360" w:lineRule="auto"/>
        <w:outlineLvl w:val="9"/>
        <w:rPr>
          <w:rFonts w:hAnsi="黑体" w:cs="黑体"/>
          <w:szCs w:val="21"/>
        </w:rPr>
      </w:pPr>
      <w:r>
        <w:rPr>
          <w:rFonts w:hint="eastAsia" w:hAnsi="黑体" w:cs="黑体"/>
          <w:szCs w:val="21"/>
        </w:rPr>
        <w:t>1.2立项目的和意义</w:t>
      </w:r>
    </w:p>
    <w:p>
      <w:pPr>
        <w:ind w:firstLine="420" w:firstLineChars="200"/>
      </w:pPr>
      <w:r>
        <w:rPr>
          <w:rFonts w:hint="eastAsia"/>
        </w:rPr>
        <w:t>简要介绍。</w:t>
      </w:r>
    </w:p>
    <w:p>
      <w:pPr>
        <w:pStyle w:val="18"/>
        <w:numPr>
          <w:ilvl w:val="0"/>
          <w:numId w:val="2"/>
        </w:numPr>
        <w:spacing w:line="360" w:lineRule="auto"/>
        <w:ind w:firstLineChars="0"/>
      </w:pPr>
      <w:r>
        <w:rPr>
          <w:rFonts w:hint="eastAsia" w:hAnsi="黑体" w:cs="黑体"/>
          <w:szCs w:val="21"/>
        </w:rPr>
        <w:t>目的</w:t>
      </w:r>
    </w:p>
    <w:p>
      <w:pPr>
        <w:pStyle w:val="18"/>
        <w:spacing w:line="360" w:lineRule="auto"/>
        <w:ind w:left="426" w:firstLine="281" w:firstLineChars="134"/>
        <w:rPr>
          <w:rFonts w:ascii="宋体" w:hAnsi="宋体" w:eastAsia="宋体" w:cs="宋体"/>
          <w:szCs w:val="21"/>
        </w:rPr>
      </w:pPr>
      <w:r>
        <w:rPr>
          <w:rFonts w:hint="eastAsia" w:ascii="宋体" w:hAnsi="宋体" w:eastAsia="宋体" w:cs="宋体"/>
          <w:szCs w:val="21"/>
        </w:rPr>
        <w:t>有色金属矿井提升机是矿山重要的生产固定设施，其控制系统是保证设备运转安全、提高矿山本质安全水平的重要系统。根据《中国制造2025》、《德国工业4.0》、《美国工业互联网》等工业战略计划，为达到推进有色金属矿山智能升级先进装备、先进技术的目的。使提升机通过提升机智能控制系统具备可无人值守的无人化运行功能、远程智能监控与预维护功能，以及能源管理功能，保证“提升机系统”设备安全性，降低系统维护工作量，减少生产故障导致的停车时间，从而提高“提升机系统”的工作效率。降低系统部署及运维成本。本项目的目的是提出有色金属矿井提升机智能控制系统的</w:t>
      </w:r>
      <w:r>
        <w:rPr>
          <w:rFonts w:hint="eastAsia" w:ascii="宋体" w:hAnsi="宋体" w:eastAsia="宋体" w:cs="宋体"/>
          <w:szCs w:val="21"/>
          <w:lang w:eastAsia="zh-Hans"/>
        </w:rPr>
        <w:t>技术</w:t>
      </w:r>
      <w:r>
        <w:rPr>
          <w:rFonts w:hint="eastAsia" w:ascii="宋体" w:hAnsi="宋体" w:eastAsia="宋体" w:cs="宋体"/>
          <w:szCs w:val="21"/>
        </w:rPr>
        <w:t>要求。</w:t>
      </w:r>
    </w:p>
    <w:p>
      <w:pPr>
        <w:pStyle w:val="18"/>
        <w:numPr>
          <w:ilvl w:val="0"/>
          <w:numId w:val="2"/>
        </w:numPr>
        <w:spacing w:line="360" w:lineRule="auto"/>
        <w:ind w:firstLineChars="0"/>
      </w:pPr>
      <w:r>
        <w:rPr>
          <w:rFonts w:hint="eastAsia"/>
        </w:rPr>
        <w:t>意义</w:t>
      </w:r>
    </w:p>
    <w:p>
      <w:pPr>
        <w:pStyle w:val="18"/>
        <w:spacing w:line="360" w:lineRule="auto"/>
        <w:ind w:left="426" w:firstLine="281" w:firstLineChars="134"/>
        <w:rPr>
          <w:rFonts w:ascii="宋体" w:hAnsi="宋体" w:eastAsia="宋体" w:cs="宋体"/>
          <w:szCs w:val="21"/>
        </w:rPr>
      </w:pPr>
      <w:r>
        <w:rPr>
          <w:rFonts w:hint="eastAsia" w:ascii="宋体" w:hAnsi="宋体" w:eastAsia="宋体" w:cs="宋体"/>
          <w:szCs w:val="21"/>
        </w:rPr>
        <w:t>本项目将指引、推动有色金属矿井提升机系统的智能制造建设及发展。其意义主要表现在以下几个方面：</w:t>
      </w:r>
    </w:p>
    <w:p>
      <w:pPr>
        <w:pStyle w:val="18"/>
        <w:numPr>
          <w:ilvl w:val="0"/>
          <w:numId w:val="3"/>
        </w:numPr>
        <w:spacing w:line="360" w:lineRule="auto"/>
        <w:ind w:left="426" w:firstLine="0" w:firstLineChars="0"/>
      </w:pPr>
      <w:r>
        <w:t>提高有色金属</w:t>
      </w:r>
      <w:r>
        <w:rPr>
          <w:rFonts w:hint="eastAsia"/>
        </w:rPr>
        <w:t>矿山</w:t>
      </w:r>
      <w:r>
        <w:t>生产的安全性。矿井提升机是有色</w:t>
      </w:r>
      <w:r>
        <w:rPr>
          <w:rFonts w:hint="eastAsia"/>
        </w:rPr>
        <w:t>金属矿山</w:t>
      </w:r>
      <w:r>
        <w:t>生产中最为危险的设备之一，其安全稳定运行对有色金属</w:t>
      </w:r>
      <w:r>
        <w:rPr>
          <w:rFonts w:hint="eastAsia"/>
        </w:rPr>
        <w:t>矿山</w:t>
      </w:r>
      <w:r>
        <w:t>生产的保障具有重要意义。矿井提升机</w:t>
      </w:r>
      <w:r>
        <w:rPr>
          <w:rFonts w:hint="eastAsia"/>
        </w:rPr>
        <w:t>智能</w:t>
      </w:r>
      <w:r>
        <w:t>控制系统技术规范的编制可以规范矿井提升机的安全运行</w:t>
      </w:r>
      <w:r>
        <w:rPr>
          <w:rFonts w:hint="eastAsia"/>
        </w:rPr>
        <w:t>要求</w:t>
      </w:r>
      <w:r>
        <w:t>，提高有色金属</w:t>
      </w:r>
      <w:r>
        <w:rPr>
          <w:rFonts w:hint="eastAsia"/>
        </w:rPr>
        <w:t>矿山</w:t>
      </w:r>
      <w:r>
        <w:t>生产的安全性。</w:t>
      </w:r>
    </w:p>
    <w:p>
      <w:pPr>
        <w:pStyle w:val="18"/>
        <w:numPr>
          <w:ilvl w:val="0"/>
          <w:numId w:val="3"/>
        </w:numPr>
        <w:spacing w:line="360" w:lineRule="auto"/>
        <w:ind w:left="426" w:firstLine="0" w:firstLineChars="0"/>
      </w:pPr>
      <w:r>
        <w:t>提高矿井提升机的运行效率。矿井提升机是有色金属</w:t>
      </w:r>
      <w:r>
        <w:rPr>
          <w:rFonts w:hint="eastAsia"/>
        </w:rPr>
        <w:t>矿山最主要的生产</w:t>
      </w:r>
      <w:r>
        <w:t>设备之一，其运行效率直接影响到有色金属</w:t>
      </w:r>
      <w:r>
        <w:rPr>
          <w:rFonts w:hint="eastAsia"/>
        </w:rPr>
        <w:t>矿山</w:t>
      </w:r>
      <w:r>
        <w:t>生产的效益。</w:t>
      </w:r>
      <w:r>
        <w:rPr>
          <w:rFonts w:hint="eastAsia"/>
        </w:rPr>
        <w:t>有色金属矿山</w:t>
      </w:r>
      <w:r>
        <w:t>矿井提升机智能控制系统技术规范的编制可以规范矿井提升机的运行方式，从而提高矿井提升机的运行效率，降低生产成本。</w:t>
      </w:r>
    </w:p>
    <w:p>
      <w:pPr>
        <w:pStyle w:val="18"/>
        <w:numPr>
          <w:ilvl w:val="0"/>
          <w:numId w:val="3"/>
        </w:numPr>
        <w:spacing w:line="360" w:lineRule="auto"/>
        <w:ind w:left="426" w:firstLine="0" w:firstLineChars="0"/>
      </w:pPr>
      <w:r>
        <w:t>促进矿井提升机</w:t>
      </w:r>
      <w:r>
        <w:rPr>
          <w:rFonts w:hint="eastAsia"/>
        </w:rPr>
        <w:t>智能</w:t>
      </w:r>
      <w:r>
        <w:t>制造企业的发展。矿井提升机智能控制系统技术规范的编制可以规范矿井提升机</w:t>
      </w:r>
      <w:r>
        <w:rPr>
          <w:rFonts w:hint="eastAsia"/>
        </w:rPr>
        <w:t>智能制造</w:t>
      </w:r>
      <w:r>
        <w:t>企业的生产和制造，提高其产品的质量和竞争力，促进企业的发展。</w:t>
      </w:r>
    </w:p>
    <w:p>
      <w:pPr>
        <w:pStyle w:val="18"/>
        <w:numPr>
          <w:ilvl w:val="0"/>
          <w:numId w:val="3"/>
        </w:numPr>
        <w:spacing w:line="360" w:lineRule="auto"/>
        <w:ind w:left="426" w:firstLine="0" w:firstLineChars="0"/>
        <w:rPr>
          <w:del w:id="13" w:author="傅博" w:date="2023-10-09T10:12:00Z"/>
          <w:rFonts w:ascii="宋体" w:hAnsi="宋体" w:eastAsia="宋体" w:cs="宋体"/>
          <w:szCs w:val="21"/>
        </w:rPr>
      </w:pPr>
      <w:del w:id="14" w:author="傅博" w:date="2023-10-09T10:12:00Z">
        <w:r>
          <w:rPr/>
          <w:delText>提高行业的国际竞争力。矿井提升机智能控制系统技术规范的编制可以提高</w:delText>
        </w:r>
      </w:del>
      <w:del w:id="15" w:author="傅博" w:date="2023-10-09T10:12:00Z">
        <w:r>
          <w:rPr>
            <w:rFonts w:hint="eastAsia"/>
          </w:rPr>
          <w:delText>有色金属</w:delText>
        </w:r>
      </w:del>
      <w:del w:id="16" w:author="傅博" w:date="2023-10-09T10:12:00Z">
        <w:r>
          <w:rPr/>
          <w:delText>行业的技术水平和国际竞争力，推动</w:delText>
        </w:r>
      </w:del>
      <w:del w:id="17" w:author="傅博" w:date="2023-10-09T10:12:00Z">
        <w:r>
          <w:rPr>
            <w:rFonts w:hint="eastAsia"/>
          </w:rPr>
          <w:delText>有色</w:delText>
        </w:r>
      </w:del>
      <w:del w:id="18" w:author="傅博" w:date="2023-10-09T10:12:00Z">
        <w:r>
          <w:rPr/>
          <w:delText>行业的国际化发展。</w:delText>
        </w:r>
      </w:del>
    </w:p>
    <w:p>
      <w:pPr>
        <w:pStyle w:val="15"/>
        <w:spacing w:beforeLines="0" w:afterLines="0" w:line="440" w:lineRule="exact"/>
        <w:outlineLvl w:val="9"/>
        <w:rPr>
          <w:rFonts w:hAnsi="黑体" w:cs="黑体"/>
          <w:szCs w:val="21"/>
        </w:rPr>
      </w:pPr>
      <w:r>
        <w:rPr>
          <w:rFonts w:hint="eastAsia" w:hAnsi="黑体" w:cs="黑体"/>
          <w:szCs w:val="21"/>
        </w:rPr>
        <w:t>1.3主要参加单位和工作成员所作的工作</w:t>
      </w:r>
    </w:p>
    <w:p>
      <w:pPr>
        <w:ind w:firstLine="420" w:firstLineChars="200"/>
        <w:rPr>
          <w:rFonts w:hAnsi="黑体" w:cs="黑体"/>
          <w:szCs w:val="21"/>
        </w:rPr>
      </w:pPr>
      <w:r>
        <w:rPr>
          <w:rFonts w:hint="eastAsia" w:hAnsi="黑体" w:cs="黑体"/>
          <w:szCs w:val="21"/>
        </w:rPr>
        <w:t>——标准项目编制单位（每个单位都写，切勿写成企业广告）、起草人及其所作的工作（列表）</w:t>
      </w:r>
    </w:p>
    <w:p>
      <w:pPr>
        <w:pStyle w:val="2"/>
        <w:ind w:firstLine="420"/>
        <w:rPr>
          <w:rFonts w:hAnsi="黑体" w:cs="黑体"/>
          <w:szCs w:val="21"/>
        </w:rPr>
      </w:pPr>
      <w:r>
        <w:rPr>
          <w:rFonts w:hint="eastAsia" w:hAnsi="黑体" w:cs="黑体"/>
          <w:szCs w:val="21"/>
        </w:rPr>
        <w:t>【编制组成员单位在该产品（或方法）研发方面的实力与经验简介。主要起草人姓名及其负责的工作（如方案制定、资料手机、产品生产和使用情况的调研、协助产品试验、技术参数的确定以及标准条款的编写等工作）介绍】</w:t>
      </w:r>
    </w:p>
    <w:tbl>
      <w:tblPr>
        <w:tblStyle w:val="9"/>
        <w:tblW w:w="9493" w:type="dxa"/>
        <w:jc w:val="center"/>
        <w:tblLayout w:type="autofit"/>
        <w:tblCellMar>
          <w:top w:w="0" w:type="dxa"/>
          <w:left w:w="108" w:type="dxa"/>
          <w:bottom w:w="0" w:type="dxa"/>
          <w:right w:w="108" w:type="dxa"/>
        </w:tblCellMar>
      </w:tblPr>
      <w:tblGrid>
        <w:gridCol w:w="595"/>
        <w:gridCol w:w="3520"/>
        <w:gridCol w:w="2968"/>
        <w:gridCol w:w="2410"/>
      </w:tblGrid>
      <w:tr>
        <w:trPr>
          <w:trHeight w:val="285" w:hRule="atLeast"/>
          <w:jc w:val="center"/>
        </w:trPr>
        <w:tc>
          <w:tcPr>
            <w:tcW w:w="5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35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参编单位名称</w:t>
            </w:r>
          </w:p>
        </w:tc>
        <w:tc>
          <w:tcPr>
            <w:tcW w:w="29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参编单位主要业务</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项目中完成的主要工作</w:t>
            </w:r>
          </w:p>
        </w:tc>
      </w:tr>
      <w:tr>
        <w:trPr>
          <w:trHeight w:val="285" w:hRule="atLeast"/>
          <w:jc w:val="center"/>
        </w:trPr>
        <w:tc>
          <w:tcPr>
            <w:tcW w:w="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352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昆明有色冶金设计研究院股份公司</w:t>
            </w:r>
          </w:p>
        </w:tc>
        <w:tc>
          <w:tcPr>
            <w:tcW w:w="296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工程设计</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根据工程设计经验，总体编制</w:t>
            </w:r>
          </w:p>
        </w:tc>
      </w:tr>
      <w:tr>
        <w:trPr>
          <w:trHeight w:val="285" w:hRule="atLeast"/>
          <w:jc w:val="center"/>
        </w:trPr>
        <w:tc>
          <w:tcPr>
            <w:tcW w:w="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352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长沙有色冶金设计研究院股份公司</w:t>
            </w:r>
          </w:p>
        </w:tc>
        <w:tc>
          <w:tcPr>
            <w:tcW w:w="296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工程设计</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根据工程设计经验，部分编制</w:t>
            </w:r>
          </w:p>
        </w:tc>
      </w:tr>
      <w:tr>
        <w:trPr>
          <w:trHeight w:val="285" w:hRule="atLeast"/>
          <w:jc w:val="center"/>
        </w:trPr>
        <w:tc>
          <w:tcPr>
            <w:tcW w:w="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c>
          <w:tcPr>
            <w:tcW w:w="352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宝武玉溪大红山矿业有限公司</w:t>
            </w:r>
          </w:p>
        </w:tc>
        <w:tc>
          <w:tcPr>
            <w:tcW w:w="296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铁矿生产业主</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结合生产，给出控制操作等技术要求</w:t>
            </w:r>
          </w:p>
        </w:tc>
      </w:tr>
      <w:tr>
        <w:trPr>
          <w:trHeight w:val="285" w:hRule="atLeast"/>
          <w:jc w:val="center"/>
        </w:trPr>
        <w:tc>
          <w:tcPr>
            <w:tcW w:w="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c>
          <w:tcPr>
            <w:tcW w:w="352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中铜玉溪矿业有限公司</w:t>
            </w:r>
          </w:p>
        </w:tc>
        <w:tc>
          <w:tcPr>
            <w:tcW w:w="296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铜矿生产业主</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结合生产，给出控制操作等技术要求</w:t>
            </w:r>
          </w:p>
        </w:tc>
      </w:tr>
      <w:tr>
        <w:trPr>
          <w:trHeight w:val="285" w:hRule="atLeast"/>
          <w:jc w:val="center"/>
        </w:trPr>
        <w:tc>
          <w:tcPr>
            <w:tcW w:w="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w:t>
            </w:r>
          </w:p>
        </w:tc>
        <w:tc>
          <w:tcPr>
            <w:tcW w:w="352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中铜凉山矿业股份有限公司</w:t>
            </w:r>
          </w:p>
        </w:tc>
        <w:tc>
          <w:tcPr>
            <w:tcW w:w="296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铜矿生产业主</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结合生产，给出控制操作等技术要求</w:t>
            </w:r>
          </w:p>
        </w:tc>
      </w:tr>
      <w:tr>
        <w:trPr>
          <w:trHeight w:val="285" w:hRule="atLeast"/>
          <w:jc w:val="center"/>
        </w:trPr>
        <w:tc>
          <w:tcPr>
            <w:tcW w:w="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c>
          <w:tcPr>
            <w:tcW w:w="352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云南锡业股份有限公司老厂分公司</w:t>
            </w:r>
          </w:p>
        </w:tc>
        <w:tc>
          <w:tcPr>
            <w:tcW w:w="296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锡矿生产业主</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结合生产，给出控制操作等技术要求</w:t>
            </w:r>
          </w:p>
        </w:tc>
      </w:tr>
      <w:tr>
        <w:trPr>
          <w:trHeight w:val="285" w:hRule="atLeast"/>
          <w:jc w:val="center"/>
        </w:trPr>
        <w:tc>
          <w:tcPr>
            <w:tcW w:w="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w:t>
            </w:r>
          </w:p>
        </w:tc>
        <w:tc>
          <w:tcPr>
            <w:tcW w:w="352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云南锡业股份有限公司卡房分公司</w:t>
            </w:r>
          </w:p>
        </w:tc>
        <w:tc>
          <w:tcPr>
            <w:tcW w:w="296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锡矿生产业主</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结合生产，给出控制操作等技术要求</w:t>
            </w:r>
          </w:p>
        </w:tc>
      </w:tr>
      <w:tr>
        <w:trPr>
          <w:trHeight w:val="285" w:hRule="atLeast"/>
          <w:jc w:val="center"/>
          <w:del w:id="19" w:author="傅博" w:date="2023-10-09T10:11:00Z"/>
        </w:trPr>
        <w:tc>
          <w:tcPr>
            <w:tcW w:w="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del w:id="20" w:author="傅博" w:date="2023-10-09T10:11:00Z"/>
                <w:rFonts w:ascii="等线" w:hAnsi="等线" w:eastAsia="等线" w:cs="宋体"/>
                <w:color w:val="000000"/>
                <w:kern w:val="0"/>
                <w:sz w:val="22"/>
              </w:rPr>
            </w:pPr>
            <w:del w:id="21" w:author="傅博" w:date="2023-10-09T10:11:00Z">
              <w:r>
                <w:rPr>
                  <w:rFonts w:hint="eastAsia" w:ascii="等线" w:hAnsi="等线" w:eastAsia="等线" w:cs="宋体"/>
                  <w:color w:val="000000"/>
                  <w:kern w:val="0"/>
                  <w:sz w:val="22"/>
                </w:rPr>
                <w:delText>8</w:delText>
              </w:r>
            </w:del>
          </w:p>
        </w:tc>
        <w:tc>
          <w:tcPr>
            <w:tcW w:w="3520" w:type="dxa"/>
            <w:tcBorders>
              <w:top w:val="nil"/>
              <w:left w:val="nil"/>
              <w:bottom w:val="single" w:color="auto" w:sz="4" w:space="0"/>
              <w:right w:val="single" w:color="auto" w:sz="4" w:space="0"/>
            </w:tcBorders>
            <w:shd w:val="clear" w:color="auto" w:fill="auto"/>
            <w:noWrap/>
            <w:vAlign w:val="center"/>
          </w:tcPr>
          <w:p>
            <w:pPr>
              <w:widowControl/>
              <w:jc w:val="left"/>
              <w:rPr>
                <w:del w:id="22" w:author="傅博" w:date="2023-10-09T10:11:00Z"/>
                <w:rFonts w:ascii="等线" w:hAnsi="等线" w:eastAsia="等线" w:cs="宋体"/>
                <w:color w:val="000000"/>
                <w:kern w:val="0"/>
                <w:sz w:val="22"/>
              </w:rPr>
            </w:pPr>
            <w:del w:id="23" w:author="傅博" w:date="2023-10-09T10:11:00Z">
              <w:r>
                <w:rPr>
                  <w:rFonts w:hint="eastAsia" w:ascii="等线" w:hAnsi="等线" w:eastAsia="等线" w:cs="宋体"/>
                  <w:color w:val="000000"/>
                  <w:kern w:val="0"/>
                  <w:sz w:val="22"/>
                </w:rPr>
                <w:delText>深圳英威腾电气股份有限公司</w:delText>
              </w:r>
            </w:del>
          </w:p>
        </w:tc>
        <w:tc>
          <w:tcPr>
            <w:tcW w:w="2968" w:type="dxa"/>
            <w:tcBorders>
              <w:top w:val="nil"/>
              <w:left w:val="nil"/>
              <w:bottom w:val="single" w:color="auto" w:sz="4" w:space="0"/>
              <w:right w:val="single" w:color="auto" w:sz="4" w:space="0"/>
            </w:tcBorders>
            <w:shd w:val="clear" w:color="auto" w:fill="auto"/>
            <w:noWrap/>
            <w:vAlign w:val="center"/>
          </w:tcPr>
          <w:p>
            <w:pPr>
              <w:widowControl/>
              <w:jc w:val="center"/>
              <w:rPr>
                <w:del w:id="24" w:author="傅博" w:date="2023-10-09T10:11:00Z"/>
                <w:rFonts w:ascii="等线" w:hAnsi="等线" w:eastAsia="等线" w:cs="宋体"/>
                <w:color w:val="000000"/>
                <w:kern w:val="0"/>
                <w:sz w:val="22"/>
              </w:rPr>
            </w:pPr>
            <w:del w:id="25" w:author="傅博" w:date="2023-10-09T10:11:00Z">
              <w:r>
                <w:rPr>
                  <w:rFonts w:hint="eastAsia" w:ascii="等线" w:hAnsi="等线" w:eastAsia="等线" w:cs="宋体"/>
                  <w:color w:val="000000"/>
                  <w:kern w:val="0"/>
                  <w:sz w:val="22"/>
                </w:rPr>
                <w:delText>国内变频器生产</w:delText>
              </w:r>
            </w:del>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del w:id="26" w:author="傅博" w:date="2023-10-09T10:11:00Z"/>
                <w:rFonts w:ascii="等线" w:hAnsi="等线" w:eastAsia="等线" w:cs="宋体"/>
                <w:color w:val="000000"/>
                <w:kern w:val="0"/>
                <w:sz w:val="22"/>
              </w:rPr>
            </w:pPr>
            <w:del w:id="27" w:author="傅博" w:date="2023-10-09T10:11:00Z">
              <w:r>
                <w:rPr>
                  <w:rFonts w:hint="eastAsia" w:ascii="等线" w:hAnsi="等线" w:eastAsia="等线" w:cs="宋体"/>
                  <w:color w:val="000000"/>
                  <w:kern w:val="0"/>
                  <w:sz w:val="22"/>
                </w:rPr>
                <w:delText>给出满足矿井提升机变频器要求</w:delText>
              </w:r>
            </w:del>
          </w:p>
        </w:tc>
      </w:tr>
      <w:tr>
        <w:trPr>
          <w:trHeight w:val="570" w:hRule="atLeast"/>
          <w:jc w:val="center"/>
        </w:trPr>
        <w:tc>
          <w:tcPr>
            <w:tcW w:w="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del w:id="28" w:author="傅博" w:date="2023-10-09T10:11:00Z">
              <w:r>
                <w:rPr>
                  <w:rFonts w:hint="eastAsia" w:ascii="等线" w:hAnsi="等线" w:eastAsia="等线" w:cs="宋体"/>
                  <w:color w:val="000000"/>
                  <w:kern w:val="0"/>
                  <w:sz w:val="22"/>
                </w:rPr>
                <w:delText>9</w:delText>
              </w:r>
            </w:del>
            <w:ins w:id="29" w:author="傅博" w:date="2023-10-09T10:11:00Z">
              <w:r>
                <w:rPr>
                  <w:rFonts w:ascii="等线" w:hAnsi="等线" w:eastAsia="等线" w:cs="宋体"/>
                  <w:color w:val="000000"/>
                  <w:kern w:val="0"/>
                  <w:sz w:val="22"/>
                </w:rPr>
                <w:t>8</w:t>
              </w:r>
            </w:ins>
          </w:p>
        </w:tc>
        <w:tc>
          <w:tcPr>
            <w:tcW w:w="352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东芝三菱电机工业系统（中国）有限公司</w:t>
            </w:r>
          </w:p>
        </w:tc>
        <w:tc>
          <w:tcPr>
            <w:tcW w:w="296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国外变频器生产</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给出满足矿井提升机变频器要求</w:t>
            </w:r>
          </w:p>
        </w:tc>
      </w:tr>
      <w:tr>
        <w:trPr>
          <w:trHeight w:val="285" w:hRule="atLeast"/>
          <w:jc w:val="center"/>
        </w:trPr>
        <w:tc>
          <w:tcPr>
            <w:tcW w:w="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del w:id="30" w:author="傅博" w:date="2023-10-09T10:11:00Z">
              <w:r>
                <w:rPr>
                  <w:rFonts w:hint="eastAsia" w:ascii="等线" w:hAnsi="等线" w:eastAsia="等线" w:cs="宋体"/>
                  <w:color w:val="000000"/>
                  <w:kern w:val="0"/>
                  <w:sz w:val="22"/>
                </w:rPr>
                <w:delText>10</w:delText>
              </w:r>
            </w:del>
            <w:ins w:id="31" w:author="傅博" w:date="2023-10-09T10:11:00Z">
              <w:r>
                <w:rPr>
                  <w:rFonts w:ascii="等线" w:hAnsi="等线" w:eastAsia="等线" w:cs="宋体"/>
                  <w:color w:val="000000"/>
                  <w:kern w:val="0"/>
                  <w:sz w:val="22"/>
                </w:rPr>
                <w:t>9</w:t>
              </w:r>
            </w:ins>
          </w:p>
        </w:tc>
        <w:tc>
          <w:tcPr>
            <w:tcW w:w="352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昆明科汇电气有限公司</w:t>
            </w:r>
          </w:p>
        </w:tc>
        <w:tc>
          <w:tcPr>
            <w:tcW w:w="296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矿井提升机控制系统集成商</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根据系统集成经验，给出控制系统相关 </w:t>
            </w:r>
            <w:r>
              <w:rPr>
                <w:rFonts w:ascii="等线" w:hAnsi="等线" w:eastAsia="等线" w:cs="宋体"/>
                <w:color w:val="000000"/>
                <w:kern w:val="0"/>
                <w:sz w:val="22"/>
              </w:rPr>
              <w:t xml:space="preserve"> </w:t>
            </w:r>
            <w:r>
              <w:rPr>
                <w:rFonts w:hint="eastAsia" w:ascii="等线" w:hAnsi="等线" w:eastAsia="等线" w:cs="宋体"/>
                <w:color w:val="000000"/>
                <w:kern w:val="0"/>
                <w:sz w:val="22"/>
              </w:rPr>
              <w:t>技术要求</w:t>
            </w:r>
          </w:p>
        </w:tc>
      </w:tr>
    </w:tbl>
    <w:p>
      <w:pPr>
        <w:ind w:firstLine="420" w:firstLineChars="200"/>
        <w:rPr>
          <w:rFonts w:hAnsi="黑体" w:cs="黑体"/>
          <w:szCs w:val="21"/>
        </w:rPr>
      </w:pPr>
      <w:r>
        <w:rPr>
          <w:rFonts w:hint="eastAsia" w:hAnsi="黑体" w:cs="黑体"/>
          <w:szCs w:val="21"/>
        </w:rPr>
        <w:t>以上参编单位中，昆明有色冶金设计研究院股份公司及长沙有色冶金设计研究院股份公司是工程咨询设计单位，对有色金属矿山工程矿井提升机</w:t>
      </w:r>
      <w:ins w:id="32" w:author="傅博" w:date="2023-10-09T10:01:00Z">
        <w:r>
          <w:rPr>
            <w:rFonts w:hint="eastAsia" w:hAnsi="黑体" w:cs="黑体"/>
            <w:szCs w:val="21"/>
          </w:rPr>
          <w:t>控制系统</w:t>
        </w:r>
      </w:ins>
      <w:r>
        <w:rPr>
          <w:rFonts w:hint="eastAsia" w:hAnsi="黑体" w:cs="黑体"/>
          <w:szCs w:val="21"/>
        </w:rPr>
        <w:t>相关设计规范较为熟悉，昆明有色冶金设计研究院股份公司负责总体编制及方案确定。</w:t>
      </w:r>
    </w:p>
    <w:p>
      <w:pPr>
        <w:ind w:firstLine="420" w:firstLineChars="200"/>
        <w:rPr>
          <w:rFonts w:hAnsi="黑体" w:cs="黑体"/>
          <w:szCs w:val="21"/>
        </w:rPr>
      </w:pPr>
      <w:r>
        <w:rPr>
          <w:rFonts w:hint="eastAsia" w:hAnsi="黑体" w:cs="黑体"/>
          <w:szCs w:val="21"/>
        </w:rPr>
        <w:t>宝武玉溪大红山矿业有限公司、中铜玉溪矿业有限公司、中铜凉山矿业股份有限公司、云南锡业股份有限公司老厂分公司云南锡业股份有限公司卡房分公司均是央企和省属重点矿山矿石生产企业，在大量使用矿井提升机，传动系统从老的直流传动到目前变频传动均有使用，控制方式从手动、半自动到全自动均有应用，对控制系统有大量的使用经验，对矿山安全规程也很熟悉，在本次编制工作中，结合生产，给出了控制操作等技术要求。</w:t>
      </w:r>
    </w:p>
    <w:p>
      <w:pPr>
        <w:ind w:firstLine="420" w:firstLineChars="200"/>
        <w:rPr>
          <w:rFonts w:hAnsi="黑体" w:cs="黑体"/>
          <w:szCs w:val="21"/>
        </w:rPr>
      </w:pPr>
      <w:del w:id="33" w:author="傅博" w:date="2023-10-14T15:53:00Z">
        <w:r>
          <w:rPr>
            <w:rFonts w:hint="eastAsia" w:hAnsi="黑体" w:cs="黑体"/>
            <w:szCs w:val="21"/>
          </w:rPr>
          <w:delText>深圳英威腾电气股份有限公司、</w:delText>
        </w:r>
      </w:del>
      <w:r>
        <w:rPr>
          <w:rFonts w:hint="eastAsia" w:hAnsi="黑体" w:cs="黑体"/>
          <w:szCs w:val="21"/>
        </w:rPr>
        <w:t>东芝三菱电机工业系统（中国）有限公司</w:t>
      </w:r>
      <w:del w:id="34" w:author="傅博" w:date="2023-10-14T15:53:00Z">
        <w:r>
          <w:rPr>
            <w:rFonts w:hint="eastAsia" w:hAnsi="黑体" w:cs="黑体"/>
            <w:szCs w:val="21"/>
          </w:rPr>
          <w:delText>分属国内及</w:delText>
        </w:r>
      </w:del>
      <w:ins w:id="35" w:author="傅博" w:date="2023-10-14T15:53:00Z">
        <w:r>
          <w:rPr>
            <w:rFonts w:hint="eastAsia" w:hAnsi="黑体" w:cs="黑体"/>
            <w:szCs w:val="21"/>
          </w:rPr>
          <w:t>为</w:t>
        </w:r>
      </w:ins>
      <w:r>
        <w:rPr>
          <w:rFonts w:hint="eastAsia" w:hAnsi="黑体" w:cs="黑体"/>
          <w:szCs w:val="21"/>
        </w:rPr>
        <w:t>国外品牌变频器制造商，产品系列很齐全，也有较多在矿井提升机应用业绩，在本次编制工作中，提出了满足矿井提升机变频器的技术要求。</w:t>
      </w:r>
    </w:p>
    <w:p>
      <w:pPr>
        <w:ind w:firstLine="420" w:firstLineChars="200"/>
        <w:rPr>
          <w:rFonts w:hAnsi="黑体" w:cs="黑体"/>
          <w:szCs w:val="21"/>
        </w:rPr>
      </w:pPr>
      <w:r>
        <w:rPr>
          <w:rFonts w:hint="eastAsia" w:hAnsi="黑体" w:cs="黑体"/>
          <w:szCs w:val="21"/>
        </w:rPr>
        <w:t>昆明科汇电气有限公司是昆明有色冶金设计研究院股份公司全资子公司，长期从事矿山自动化系统研发、制造，近年来开始在智能矿山领域特别是矿井提升机智能控制系统取得突破，其开发的无人矿井提升机控制系统也在推广应用。在本次编制工作中，提出了满足矿井提升机控制系统的技术要求。</w:t>
      </w:r>
    </w:p>
    <w:p>
      <w:pPr>
        <w:pStyle w:val="15"/>
        <w:spacing w:beforeLines="0" w:afterLines="0" w:line="440" w:lineRule="exact"/>
        <w:outlineLvl w:val="9"/>
        <w:rPr>
          <w:rFonts w:hAnsi="黑体" w:cs="黑体"/>
          <w:szCs w:val="21"/>
        </w:rPr>
      </w:pPr>
      <w:r>
        <w:rPr>
          <w:rFonts w:hint="eastAsia" w:hAnsi="黑体" w:cs="黑体"/>
          <w:szCs w:val="21"/>
        </w:rPr>
        <w:t>1.4 主要工作过程</w:t>
      </w:r>
    </w:p>
    <w:p>
      <w:pPr>
        <w:rPr>
          <w:color w:val="C00000"/>
        </w:rPr>
      </w:pPr>
      <w:r>
        <w:rPr>
          <w:rFonts w:hint="eastAsia" w:hAnsi="黑体" w:cs="黑体"/>
          <w:szCs w:val="21"/>
        </w:rPr>
        <w:t>【指的是从项目开始预研，直至完成标准报批稿期间的所有工作，应体现出编制工作组的工作量和征求意见的充分程度。</w:t>
      </w:r>
      <w:r>
        <w:rPr>
          <w:rFonts w:hint="eastAsia" w:hAnsi="黑体" w:cs="黑体"/>
          <w:color w:val="0000FF"/>
          <w:szCs w:val="21"/>
        </w:rPr>
        <w:t>以下条款固定，不应随意更改</w:t>
      </w:r>
      <w:r>
        <w:rPr>
          <w:rFonts w:hint="eastAsia" w:hAnsi="黑体" w:cs="黑体"/>
          <w:szCs w:val="21"/>
        </w:rPr>
        <w:t>】</w:t>
      </w:r>
      <w:r>
        <w:rPr>
          <w:rFonts w:hint="eastAsia" w:hAnsi="黑体" w:cs="黑体"/>
          <w:color w:val="C00000"/>
          <w:szCs w:val="21"/>
        </w:rPr>
        <w:t>【不同阶段未到的可以先空着，条款保留。】</w:t>
      </w:r>
    </w:p>
    <w:p>
      <w:pPr>
        <w:rPr>
          <w:rFonts w:ascii="黑体" w:hAnsi="黑体" w:eastAsia="黑体" w:cs="黑体"/>
          <w:kern w:val="0"/>
          <w:szCs w:val="21"/>
        </w:rPr>
      </w:pPr>
      <w:r>
        <w:rPr>
          <w:rFonts w:hint="eastAsia" w:ascii="黑体" w:hAnsi="黑体" w:eastAsia="黑体" w:cs="黑体"/>
          <w:kern w:val="0"/>
          <w:szCs w:val="21"/>
        </w:rPr>
        <w:t>1.4.1预研阶段</w:t>
      </w:r>
    </w:p>
    <w:p>
      <w:pPr>
        <w:ind w:firstLine="420" w:firstLineChars="200"/>
        <w:rPr>
          <w:rFonts w:hAnsi="黑体" w:cs="黑体"/>
          <w:szCs w:val="21"/>
        </w:rPr>
      </w:pPr>
      <w:r>
        <w:rPr>
          <w:rFonts w:hint="eastAsia" w:hAnsi="黑体" w:cs="黑体"/>
          <w:szCs w:val="21"/>
        </w:rPr>
        <w:t>前期调研与试验工作简介。</w:t>
      </w:r>
    </w:p>
    <w:p>
      <w:pPr>
        <w:ind w:firstLine="420" w:firstLineChars="200"/>
        <w:rPr>
          <w:rFonts w:hAnsi="黑体" w:cs="黑体"/>
          <w:szCs w:val="21"/>
        </w:rPr>
      </w:pPr>
      <w:r>
        <w:rPr>
          <w:rFonts w:hint="eastAsia" w:hAnsi="黑体" w:cs="黑体"/>
          <w:szCs w:val="21"/>
        </w:rPr>
        <w:t>昆明有色冶金设计研究院股份公司作为建院近7</w:t>
      </w:r>
      <w:r>
        <w:rPr>
          <w:rFonts w:hAnsi="黑体" w:cs="黑体"/>
          <w:szCs w:val="21"/>
        </w:rPr>
        <w:t>0</w:t>
      </w:r>
      <w:r>
        <w:rPr>
          <w:rFonts w:hint="eastAsia" w:hAnsi="黑体" w:cs="黑体"/>
          <w:szCs w:val="21"/>
        </w:rPr>
        <w:t>年的工程咨询设计单位，长期为有色金属企业服务，设计了很多有色金属矿山矿井提升机，下属子公司昆明科汇电气有限公司长期从事矿井提升机电控系统的研究，经历了矿井提升机技术发展的各个阶段，对最新控制技术很熟悉，2</w:t>
      </w:r>
      <w:r>
        <w:rPr>
          <w:rFonts w:hAnsi="黑体" w:cs="黑体"/>
          <w:szCs w:val="21"/>
        </w:rPr>
        <w:t>021</w:t>
      </w:r>
      <w:r>
        <w:rPr>
          <w:rFonts w:hint="eastAsia" w:hAnsi="黑体" w:cs="黑体"/>
          <w:szCs w:val="21"/>
        </w:rPr>
        <w:t>年完成了院矿井提升机无人化系统科研申报，也有矿井提升机无人化项目的业绩，并开始对</w:t>
      </w:r>
      <w:r>
        <w:rPr>
          <w:rFonts w:hint="eastAsia" w:ascii="宋体" w:hAnsi="宋体" w:eastAsia="宋体" w:cs="宋体"/>
          <w:szCs w:val="21"/>
        </w:rPr>
        <w:t>《有色金属矿井提升机智能控制系统技术规范》进行研究。</w:t>
      </w:r>
    </w:p>
    <w:p>
      <w:pPr>
        <w:rPr>
          <w:rFonts w:ascii="黑体" w:hAnsi="黑体" w:eastAsia="黑体" w:cs="黑体"/>
          <w:kern w:val="0"/>
          <w:szCs w:val="21"/>
        </w:rPr>
      </w:pPr>
      <w:r>
        <w:rPr>
          <w:rFonts w:hint="eastAsia" w:ascii="黑体" w:hAnsi="黑体" w:eastAsia="黑体" w:cs="黑体"/>
          <w:kern w:val="0"/>
          <w:szCs w:val="21"/>
        </w:rPr>
        <w:t>1.4.2标准立项</w:t>
      </w:r>
    </w:p>
    <w:p>
      <w:pPr>
        <w:ind w:firstLine="420" w:firstLineChars="200"/>
        <w:rPr>
          <w:rFonts w:hAnsi="黑体" w:cs="黑体"/>
          <w:szCs w:val="21"/>
        </w:rPr>
      </w:pPr>
      <w:r>
        <w:rPr>
          <w:rFonts w:hint="eastAsia" w:hAnsi="黑体" w:cs="黑体"/>
          <w:szCs w:val="21"/>
        </w:rPr>
        <w:t>标准项目提交全体委员会议讨论、申请立项以及标准计划批准的过程及时间节点。</w:t>
      </w:r>
    </w:p>
    <w:p>
      <w:pPr>
        <w:ind w:firstLine="420" w:firstLineChars="200"/>
        <w:rPr>
          <w:rFonts w:hAnsi="黑体" w:cs="黑体"/>
          <w:szCs w:val="21"/>
        </w:rPr>
      </w:pPr>
      <w:r>
        <w:rPr>
          <w:rFonts w:hAnsi="黑体" w:cs="黑体"/>
          <w:szCs w:val="21"/>
        </w:rPr>
        <w:t>2022</w:t>
      </w:r>
      <w:r>
        <w:rPr>
          <w:rFonts w:hint="eastAsia" w:hAnsi="黑体" w:cs="黑体"/>
          <w:szCs w:val="21"/>
        </w:rPr>
        <w:t>年</w:t>
      </w:r>
      <w:r>
        <w:rPr>
          <w:rFonts w:hAnsi="黑体" w:cs="黑体"/>
          <w:szCs w:val="21"/>
        </w:rPr>
        <w:t>3</w:t>
      </w:r>
      <w:r>
        <w:rPr>
          <w:rFonts w:hint="eastAsia" w:hAnsi="黑体" w:cs="黑体"/>
          <w:szCs w:val="21"/>
        </w:rPr>
        <w:t>月底向中国有色金属标准化技术委员会，提交了行业标准立项报告、行业标准项目建议书、规范草案。在4月2</w:t>
      </w:r>
      <w:r>
        <w:rPr>
          <w:rFonts w:hAnsi="黑体" w:cs="黑体"/>
          <w:szCs w:val="21"/>
        </w:rPr>
        <w:t>1</w:t>
      </w:r>
      <w:r>
        <w:rPr>
          <w:rFonts w:hint="eastAsia" w:hAnsi="黑体" w:cs="黑体"/>
          <w:szCs w:val="21"/>
        </w:rPr>
        <w:t>项目论证会上，未同意我院行业标准的申请，建议改为团体标准。2</w:t>
      </w:r>
      <w:r>
        <w:rPr>
          <w:rFonts w:hAnsi="黑体" w:cs="黑体"/>
          <w:szCs w:val="21"/>
        </w:rPr>
        <w:t>022</w:t>
      </w:r>
      <w:r>
        <w:rPr>
          <w:rFonts w:hint="eastAsia" w:hAnsi="黑体" w:cs="黑体"/>
          <w:szCs w:val="21"/>
        </w:rPr>
        <w:t>年8月8日正式收到中国有色金属工业协会“关于下达2</w:t>
      </w:r>
      <w:r>
        <w:rPr>
          <w:rFonts w:hAnsi="黑体" w:cs="黑体"/>
          <w:szCs w:val="21"/>
        </w:rPr>
        <w:t>022</w:t>
      </w:r>
      <w:r>
        <w:rPr>
          <w:rFonts w:hint="eastAsia" w:hAnsi="黑体" w:cs="黑体"/>
          <w:szCs w:val="21"/>
        </w:rPr>
        <w:t>年第三批协会标准制修订计划的通知”，将本项目列入了协会标准计划项目，完成年限为2</w:t>
      </w:r>
      <w:r>
        <w:rPr>
          <w:rFonts w:hAnsi="黑体" w:cs="黑体"/>
          <w:szCs w:val="21"/>
        </w:rPr>
        <w:t>023</w:t>
      </w:r>
      <w:r>
        <w:rPr>
          <w:rFonts w:hint="eastAsia" w:hAnsi="黑体" w:cs="黑体"/>
          <w:szCs w:val="21"/>
        </w:rPr>
        <w:t>年。</w:t>
      </w:r>
    </w:p>
    <w:p>
      <w:pPr>
        <w:pStyle w:val="2"/>
        <w:rPr>
          <w:rFonts w:ascii="黑体" w:hAnsi="黑体" w:eastAsia="黑体" w:cs="黑体"/>
          <w:kern w:val="0"/>
          <w:szCs w:val="21"/>
        </w:rPr>
      </w:pPr>
      <w:r>
        <w:rPr>
          <w:rFonts w:hint="eastAsia" w:ascii="黑体" w:hAnsi="黑体" w:eastAsia="黑体" w:cs="黑体"/>
          <w:kern w:val="0"/>
          <w:szCs w:val="21"/>
        </w:rPr>
        <w:t>1.4.3起草阶段</w:t>
      </w:r>
    </w:p>
    <w:p>
      <w:pPr>
        <w:pStyle w:val="2"/>
        <w:ind w:firstLine="420" w:firstLineChars="200"/>
        <w:rPr>
          <w:rFonts w:hAnsi="黑体" w:cs="黑体"/>
          <w:szCs w:val="21"/>
        </w:rPr>
      </w:pPr>
      <w:r>
        <w:rPr>
          <w:rFonts w:hint="eastAsia" w:hAnsi="黑体" w:cs="黑体"/>
          <w:szCs w:val="21"/>
        </w:rPr>
        <w:t>召开工作会议（草案讨论会、预审会均成为工作会议，按第一次工作会议、第二次工作会议的方式描述，对应标准稿统称为征求意见1稿、征求意见2稿）的时间、地点和会议情况。</w:t>
      </w:r>
    </w:p>
    <w:p>
      <w:pPr>
        <w:ind w:firstLine="420" w:firstLineChars="200"/>
        <w:rPr>
          <w:rFonts w:hAnsi="黑体" w:cs="黑体"/>
          <w:szCs w:val="21"/>
        </w:rPr>
      </w:pPr>
      <w:r>
        <w:rPr>
          <w:rFonts w:hint="eastAsia" w:hAnsi="黑体" w:cs="黑体"/>
          <w:szCs w:val="21"/>
        </w:rPr>
        <w:t>在2</w:t>
      </w:r>
      <w:r>
        <w:rPr>
          <w:rFonts w:hAnsi="黑体" w:cs="黑体"/>
          <w:szCs w:val="21"/>
        </w:rPr>
        <w:t>022</w:t>
      </w:r>
      <w:r>
        <w:rPr>
          <w:rFonts w:hint="eastAsia" w:hAnsi="黑体" w:cs="黑体"/>
          <w:szCs w:val="21"/>
        </w:rPr>
        <w:t>年本项目正式列入协会标准计划项目后，主编单位昆明有色冶金设计研究院股份公司开始与各参编单位进行起草阶段工作，并于</w:t>
      </w:r>
      <w:r>
        <w:rPr>
          <w:rFonts w:hAnsi="黑体" w:cs="黑体"/>
          <w:szCs w:val="21"/>
        </w:rPr>
        <w:t>2023年2月14日</w:t>
      </w:r>
      <w:r>
        <w:rPr>
          <w:rFonts w:hint="eastAsia" w:hAnsi="黑体" w:cs="黑体"/>
          <w:szCs w:val="21"/>
        </w:rPr>
        <w:t>完成了最终草案稿。2</w:t>
      </w:r>
      <w:r>
        <w:rPr>
          <w:rFonts w:hAnsi="黑体" w:cs="黑体"/>
          <w:szCs w:val="21"/>
        </w:rPr>
        <w:t>023</w:t>
      </w:r>
      <w:r>
        <w:rPr>
          <w:rFonts w:hint="eastAsia" w:hAnsi="黑体" w:cs="黑体"/>
          <w:szCs w:val="21"/>
        </w:rPr>
        <w:t>年2月2</w:t>
      </w:r>
      <w:r>
        <w:rPr>
          <w:rFonts w:hAnsi="黑体" w:cs="黑体"/>
          <w:szCs w:val="21"/>
        </w:rPr>
        <w:t>2</w:t>
      </w:r>
      <w:r>
        <w:rPr>
          <w:rFonts w:hint="eastAsia" w:hAnsi="黑体" w:cs="黑体"/>
          <w:szCs w:val="21"/>
        </w:rPr>
        <w:t>日在佛山第一次会议上对本项目草案进行了讨论，并形成了会议纪要，提出了以下修改意见：</w:t>
      </w:r>
    </w:p>
    <w:p>
      <w:pPr>
        <w:pStyle w:val="18"/>
        <w:numPr>
          <w:ilvl w:val="0"/>
          <w:numId w:val="4"/>
        </w:numPr>
        <w:ind w:left="0" w:firstLine="424" w:firstLineChars="202"/>
        <w:rPr>
          <w:rFonts w:hAnsi="黑体" w:cs="黑体"/>
          <w:szCs w:val="21"/>
        </w:rPr>
      </w:pPr>
      <w:r>
        <w:rPr>
          <w:rFonts w:hint="eastAsia" w:hAnsi="黑体" w:cs="黑体"/>
          <w:szCs w:val="21"/>
        </w:rPr>
        <w:t>应增加系统智能化相关内容，如故障预测，故障预警预报等功能，基于此的智能检修排班，实现企业管理系统的联动；</w:t>
      </w:r>
    </w:p>
    <w:p>
      <w:pPr>
        <w:pStyle w:val="18"/>
        <w:numPr>
          <w:ilvl w:val="0"/>
          <w:numId w:val="4"/>
        </w:numPr>
        <w:ind w:left="0" w:firstLine="424" w:firstLineChars="202"/>
        <w:rPr>
          <w:rFonts w:hAnsi="黑体" w:cs="黑体"/>
          <w:szCs w:val="21"/>
        </w:rPr>
      </w:pPr>
      <w:r>
        <w:rPr>
          <w:rFonts w:hint="eastAsia" w:hAnsi="黑体" w:cs="黑体"/>
          <w:szCs w:val="21"/>
        </w:rPr>
        <w:t>基于视频系统的机器视觉赋能：如电子围栏、设备异常检测、人员行为检测等；</w:t>
      </w:r>
    </w:p>
    <w:p>
      <w:pPr>
        <w:pStyle w:val="18"/>
        <w:numPr>
          <w:ilvl w:val="0"/>
          <w:numId w:val="4"/>
        </w:numPr>
        <w:ind w:left="0" w:firstLine="424" w:firstLineChars="202"/>
        <w:rPr>
          <w:rFonts w:hAnsi="黑体" w:cs="黑体"/>
          <w:szCs w:val="21"/>
        </w:rPr>
      </w:pPr>
      <w:r>
        <w:rPr>
          <w:rFonts w:hAnsi="黑体" w:cs="黑体"/>
          <w:szCs w:val="21"/>
        </w:rPr>
        <w:t>4.1“供电系统</w:t>
      </w:r>
      <w:r>
        <w:rPr>
          <w:rFonts w:hint="eastAsia" w:hAnsi="黑体" w:cs="黑体"/>
          <w:szCs w:val="21"/>
        </w:rPr>
        <w:t>”引用其它标准部分取消，只保留其它标准中没有内容；</w:t>
      </w:r>
    </w:p>
    <w:p>
      <w:pPr>
        <w:pStyle w:val="18"/>
        <w:numPr>
          <w:ilvl w:val="0"/>
          <w:numId w:val="4"/>
        </w:numPr>
        <w:ind w:left="0" w:firstLine="424" w:firstLineChars="202"/>
        <w:rPr>
          <w:rFonts w:hAnsi="黑体" w:cs="黑体"/>
          <w:szCs w:val="21"/>
        </w:rPr>
      </w:pPr>
      <w:r>
        <w:rPr>
          <w:rFonts w:hAnsi="黑体" w:cs="黑体"/>
          <w:szCs w:val="21"/>
        </w:rPr>
        <w:t>4.2“</w:t>
      </w:r>
      <w:r>
        <w:rPr>
          <w:rFonts w:hint="eastAsia" w:hAnsi="黑体" w:cs="黑体"/>
          <w:szCs w:val="21"/>
        </w:rPr>
        <w:t>传动</w:t>
      </w:r>
      <w:r>
        <w:rPr>
          <w:rFonts w:hAnsi="黑体" w:cs="黑体"/>
          <w:szCs w:val="21"/>
        </w:rPr>
        <w:t>系统</w:t>
      </w:r>
      <w:r>
        <w:rPr>
          <w:rFonts w:hint="eastAsia" w:hAnsi="黑体" w:cs="黑体"/>
          <w:szCs w:val="21"/>
        </w:rPr>
        <w:t>”引用其它标准部分取消，只保留其它标准中没有内容；</w:t>
      </w:r>
    </w:p>
    <w:p>
      <w:pPr>
        <w:pStyle w:val="18"/>
        <w:numPr>
          <w:ilvl w:val="0"/>
          <w:numId w:val="4"/>
        </w:numPr>
        <w:ind w:left="0" w:firstLine="424" w:firstLineChars="202"/>
        <w:rPr>
          <w:rFonts w:hAnsi="黑体" w:cs="黑体"/>
          <w:szCs w:val="21"/>
        </w:rPr>
      </w:pPr>
      <w:r>
        <w:rPr>
          <w:rFonts w:hAnsi="黑体" w:cs="黑体"/>
          <w:szCs w:val="21"/>
        </w:rPr>
        <w:t xml:space="preserve"> </w:t>
      </w:r>
      <w:r>
        <w:rPr>
          <w:rFonts w:hint="eastAsia" w:hAnsi="黑体" w:cs="黑体"/>
          <w:szCs w:val="21"/>
        </w:rPr>
        <w:t>智能罐笼中</w:t>
      </w:r>
      <w:r>
        <w:rPr>
          <w:rFonts w:hAnsi="黑体" w:cs="黑体"/>
          <w:szCs w:val="21"/>
        </w:rPr>
        <w:t>视频摄像头</w:t>
      </w:r>
      <w:r>
        <w:rPr>
          <w:rFonts w:hint="eastAsia" w:hAnsi="黑体" w:cs="黑体"/>
          <w:szCs w:val="21"/>
        </w:rPr>
        <w:t>和电话内容统一归入通信系统；</w:t>
      </w:r>
    </w:p>
    <w:p>
      <w:pPr>
        <w:pStyle w:val="18"/>
        <w:numPr>
          <w:ilvl w:val="0"/>
          <w:numId w:val="4"/>
        </w:numPr>
        <w:ind w:left="0" w:firstLine="424" w:firstLineChars="202"/>
        <w:rPr>
          <w:rFonts w:hAnsi="黑体" w:cs="黑体"/>
          <w:szCs w:val="21"/>
        </w:rPr>
      </w:pPr>
      <w:r>
        <w:rPr>
          <w:rFonts w:hint="eastAsia" w:hAnsi="黑体" w:cs="黑体"/>
          <w:szCs w:val="21"/>
        </w:rPr>
        <w:t>通信方式增加</w:t>
      </w:r>
      <w:r>
        <w:rPr>
          <w:rFonts w:hAnsi="黑体" w:cs="黑体"/>
          <w:szCs w:val="21"/>
        </w:rPr>
        <w:t>WIFI</w:t>
      </w:r>
      <w:r>
        <w:rPr>
          <w:rFonts w:hint="eastAsia" w:hAnsi="黑体" w:cs="黑体"/>
          <w:szCs w:val="21"/>
        </w:rPr>
        <w:t>、</w:t>
      </w:r>
      <w:r>
        <w:rPr>
          <w:rFonts w:hAnsi="黑体" w:cs="黑体"/>
          <w:szCs w:val="21"/>
        </w:rPr>
        <w:t>5G</w:t>
      </w:r>
      <w:r>
        <w:rPr>
          <w:rFonts w:hint="eastAsia" w:hAnsi="黑体" w:cs="黑体"/>
          <w:szCs w:val="21"/>
        </w:rPr>
        <w:t>，通信设备应冗余；</w:t>
      </w:r>
    </w:p>
    <w:p>
      <w:pPr>
        <w:pStyle w:val="18"/>
        <w:numPr>
          <w:ilvl w:val="0"/>
          <w:numId w:val="4"/>
        </w:numPr>
        <w:ind w:left="0" w:firstLine="424" w:firstLineChars="202"/>
        <w:rPr>
          <w:rFonts w:hAnsi="黑体" w:cs="黑体"/>
          <w:szCs w:val="21"/>
        </w:rPr>
      </w:pPr>
      <w:r>
        <w:rPr>
          <w:rFonts w:hint="eastAsia" w:hAnsi="黑体" w:cs="黑体"/>
          <w:szCs w:val="21"/>
        </w:rPr>
        <w:t>“</w:t>
      </w:r>
      <w:r>
        <w:rPr>
          <w:rFonts w:hAnsi="黑体" w:cs="黑体"/>
          <w:szCs w:val="21"/>
        </w:rPr>
        <w:t>5</w:t>
      </w:r>
      <w:r>
        <w:rPr>
          <w:rFonts w:hint="eastAsia" w:hAnsi="黑体" w:cs="黑体"/>
          <w:szCs w:val="21"/>
        </w:rPr>
        <w:t>数据及网络安全”部分取消。</w:t>
      </w:r>
    </w:p>
    <w:p>
      <w:pPr>
        <w:ind w:firstLine="420" w:firstLineChars="200"/>
      </w:pPr>
      <w:r>
        <w:rPr>
          <w:rFonts w:hint="eastAsia"/>
        </w:rPr>
        <w:t>根据以上修改意见，在2</w:t>
      </w:r>
      <w:r>
        <w:t>023</w:t>
      </w:r>
      <w:r>
        <w:rPr>
          <w:rFonts w:hint="eastAsia"/>
        </w:rPr>
        <w:t>年4月4日完成本项目的预审稿。</w:t>
      </w:r>
    </w:p>
    <w:p>
      <w:pPr>
        <w:ind w:firstLine="420" w:firstLineChars="200"/>
        <w:rPr>
          <w:rFonts w:hAnsi="黑体" w:cs="黑体"/>
          <w:szCs w:val="21"/>
        </w:rPr>
      </w:pPr>
      <w:r>
        <w:rPr>
          <w:rFonts w:hint="eastAsia" w:hAnsi="黑体" w:cs="黑体"/>
          <w:szCs w:val="21"/>
        </w:rPr>
        <w:t>2</w:t>
      </w:r>
      <w:r>
        <w:rPr>
          <w:rFonts w:hAnsi="黑体" w:cs="黑体"/>
          <w:szCs w:val="21"/>
        </w:rPr>
        <w:t>023</w:t>
      </w:r>
      <w:r>
        <w:rPr>
          <w:rFonts w:hint="eastAsia" w:hAnsi="黑体" w:cs="黑体"/>
          <w:szCs w:val="21"/>
        </w:rPr>
        <w:t>年</w:t>
      </w:r>
      <w:r>
        <w:rPr>
          <w:rFonts w:hAnsi="黑体" w:cs="黑体"/>
          <w:szCs w:val="21"/>
        </w:rPr>
        <w:t>4</w:t>
      </w:r>
      <w:r>
        <w:rPr>
          <w:rFonts w:hint="eastAsia" w:hAnsi="黑体" w:cs="黑体"/>
          <w:szCs w:val="21"/>
        </w:rPr>
        <w:t>月</w:t>
      </w:r>
      <w:r>
        <w:rPr>
          <w:rFonts w:hAnsi="黑体" w:cs="黑体"/>
          <w:szCs w:val="21"/>
        </w:rPr>
        <w:t>13</w:t>
      </w:r>
      <w:r>
        <w:rPr>
          <w:rFonts w:hint="eastAsia" w:hAnsi="黑体" w:cs="黑体"/>
          <w:szCs w:val="21"/>
        </w:rPr>
        <w:t>日至4月1</w:t>
      </w:r>
      <w:r>
        <w:rPr>
          <w:rFonts w:hAnsi="黑体" w:cs="黑体"/>
          <w:szCs w:val="21"/>
        </w:rPr>
        <w:t>4</w:t>
      </w:r>
      <w:r>
        <w:rPr>
          <w:rFonts w:hint="eastAsia" w:hAnsi="黑体" w:cs="黑体"/>
          <w:szCs w:val="21"/>
        </w:rPr>
        <w:t>日在佛山南宁第二次会议上对本项目预审稿进行了讨论，并形成了会议纪要，提出了以下修改意见：</w:t>
      </w:r>
    </w:p>
    <w:p>
      <w:pPr>
        <w:pStyle w:val="18"/>
        <w:numPr>
          <w:ilvl w:val="0"/>
          <w:numId w:val="5"/>
        </w:numPr>
        <w:ind w:left="0" w:firstLine="424" w:firstLineChars="202"/>
        <w:rPr>
          <w:rFonts w:hAnsi="黑体" w:cs="黑体"/>
          <w:szCs w:val="21"/>
        </w:rPr>
      </w:pPr>
      <w:r>
        <w:rPr>
          <w:rFonts w:hint="eastAsia" w:hAnsi="黑体" w:cs="黑体"/>
          <w:szCs w:val="21"/>
        </w:rPr>
        <w:t>在第一章范围内，要求的主要内容就是把核心的标题写进去，基本上就可以了。</w:t>
      </w:r>
    </w:p>
    <w:p>
      <w:pPr>
        <w:pStyle w:val="18"/>
        <w:numPr>
          <w:ilvl w:val="0"/>
          <w:numId w:val="5"/>
        </w:numPr>
        <w:ind w:left="0" w:firstLine="424" w:firstLineChars="202"/>
        <w:rPr>
          <w:rFonts w:hAnsi="黑体" w:cs="黑体"/>
          <w:szCs w:val="21"/>
        </w:rPr>
      </w:pPr>
      <w:r>
        <w:rPr>
          <w:rFonts w:hAnsi="黑体" w:cs="黑体"/>
          <w:szCs w:val="21"/>
        </w:rPr>
        <w:t>3.1</w:t>
      </w:r>
      <w:r>
        <w:rPr>
          <w:rFonts w:hint="eastAsia" w:hAnsi="黑体" w:cs="黑体"/>
          <w:szCs w:val="21"/>
        </w:rPr>
        <w:t>无线通讯不仅仅是</w:t>
      </w:r>
      <w:r>
        <w:rPr>
          <w:rFonts w:hAnsi="黑体" w:cs="黑体"/>
          <w:szCs w:val="21"/>
        </w:rPr>
        <w:t>WIFI</w:t>
      </w:r>
      <w:r>
        <w:rPr>
          <w:rFonts w:hint="eastAsia" w:hAnsi="黑体" w:cs="黑体"/>
          <w:szCs w:val="21"/>
        </w:rPr>
        <w:t>，还应该包含更多的方式，需要修改。</w:t>
      </w:r>
    </w:p>
    <w:p>
      <w:pPr>
        <w:pStyle w:val="18"/>
        <w:numPr>
          <w:ilvl w:val="0"/>
          <w:numId w:val="5"/>
        </w:numPr>
        <w:ind w:left="0" w:firstLine="424" w:firstLineChars="202"/>
        <w:rPr>
          <w:rFonts w:hAnsi="黑体" w:cs="黑体"/>
          <w:szCs w:val="21"/>
        </w:rPr>
      </w:pPr>
      <w:r>
        <w:rPr>
          <w:rFonts w:hAnsi="黑体" w:cs="黑体"/>
          <w:szCs w:val="21"/>
        </w:rPr>
        <w:t>3.2</w:t>
      </w:r>
      <w:r>
        <w:rPr>
          <w:rFonts w:hint="eastAsia" w:hAnsi="黑体" w:cs="黑体"/>
          <w:szCs w:val="21"/>
        </w:rPr>
        <w:t>把定义和功能清楚和完善的描述，按着写标准的套路写术语。智能是本标准的核心，所以要突出智能这个中心词。</w:t>
      </w:r>
    </w:p>
    <w:p>
      <w:pPr>
        <w:pStyle w:val="18"/>
        <w:numPr>
          <w:ilvl w:val="0"/>
          <w:numId w:val="5"/>
        </w:numPr>
        <w:ind w:left="0" w:firstLine="424" w:firstLineChars="202"/>
        <w:rPr>
          <w:rFonts w:hAnsi="黑体" w:cs="黑体"/>
          <w:szCs w:val="21"/>
        </w:rPr>
      </w:pPr>
      <w:r>
        <w:rPr>
          <w:rFonts w:hAnsi="黑体" w:cs="黑体"/>
          <w:szCs w:val="21"/>
        </w:rPr>
        <w:t>3.3</w:t>
      </w:r>
      <w:r>
        <w:rPr>
          <w:rFonts w:hint="eastAsia" w:hAnsi="黑体" w:cs="黑体"/>
          <w:szCs w:val="21"/>
        </w:rPr>
        <w:t>通讯系统的功能，不包含远程监测和控制，这是通过通讯实现的功能，不是通讯本身的功能</w:t>
      </w:r>
    </w:p>
    <w:p>
      <w:pPr>
        <w:pStyle w:val="18"/>
        <w:numPr>
          <w:ilvl w:val="0"/>
          <w:numId w:val="5"/>
        </w:numPr>
        <w:ind w:left="0" w:firstLine="424" w:firstLineChars="202"/>
        <w:rPr>
          <w:rFonts w:hAnsi="黑体" w:cs="黑体"/>
          <w:szCs w:val="21"/>
        </w:rPr>
      </w:pPr>
      <w:r>
        <w:rPr>
          <w:rFonts w:hAnsi="黑体" w:cs="黑体"/>
          <w:szCs w:val="21"/>
        </w:rPr>
        <w:t>3.4</w:t>
      </w:r>
      <w:r>
        <w:rPr>
          <w:rFonts w:hint="eastAsia" w:hAnsi="黑体" w:cs="黑体"/>
          <w:szCs w:val="21"/>
        </w:rPr>
        <w:t>，检测和分析，识别和故障定位，逻辑上要好好考虑一下。并且故障诊断，是一个功能，不会产生歧义，可以考虑本条款不要。</w:t>
      </w:r>
    </w:p>
    <w:p>
      <w:pPr>
        <w:pStyle w:val="18"/>
        <w:numPr>
          <w:ilvl w:val="0"/>
          <w:numId w:val="5"/>
        </w:numPr>
        <w:ind w:left="0" w:firstLine="424" w:firstLineChars="202"/>
        <w:rPr>
          <w:rFonts w:hAnsi="黑体" w:cs="黑体"/>
          <w:szCs w:val="21"/>
        </w:rPr>
      </w:pPr>
      <w:r>
        <w:rPr>
          <w:rFonts w:hint="eastAsia" w:hAnsi="黑体" w:cs="黑体"/>
          <w:szCs w:val="21"/>
        </w:rPr>
        <w:t>人机交互界面，可以修改人机交互系统，人机交互系统包含更广，包含屏幕显示，灯光显示，视频，音频等，交互还包含按钮，触摸屏，开关，操作手柄等。</w:t>
      </w:r>
    </w:p>
    <w:p>
      <w:pPr>
        <w:pStyle w:val="18"/>
        <w:numPr>
          <w:ilvl w:val="0"/>
          <w:numId w:val="5"/>
        </w:numPr>
        <w:ind w:left="0" w:firstLine="424" w:firstLineChars="202"/>
        <w:rPr>
          <w:rFonts w:hAnsi="黑体" w:cs="黑体"/>
          <w:szCs w:val="21"/>
        </w:rPr>
      </w:pPr>
      <w:r>
        <w:rPr>
          <w:rFonts w:hint="eastAsia" w:hAnsi="黑体" w:cs="黑体"/>
          <w:szCs w:val="21"/>
        </w:rPr>
        <w:t>系统构成的拓扑结构图，需要重新规划。视频系统是否可以改为音视频系统，并且要把这个系统中智能的部分也要描述清楚，对人的不安全行为和物的不安全状态的监视。这个结构可以借鉴一下其他行业的有关标准的结构。</w:t>
      </w:r>
    </w:p>
    <w:p>
      <w:pPr>
        <w:pStyle w:val="18"/>
        <w:numPr>
          <w:ilvl w:val="0"/>
          <w:numId w:val="5"/>
        </w:numPr>
        <w:ind w:left="0" w:firstLine="424" w:firstLineChars="202"/>
        <w:rPr>
          <w:rFonts w:hAnsi="黑体" w:cs="黑体"/>
          <w:szCs w:val="21"/>
        </w:rPr>
      </w:pPr>
      <w:r>
        <w:rPr>
          <w:rFonts w:hint="eastAsia" w:hAnsi="黑体" w:cs="黑体"/>
          <w:szCs w:val="21"/>
        </w:rPr>
        <w:t>电气传动系统这里，建议把</w:t>
      </w:r>
      <w:r>
        <w:rPr>
          <w:rFonts w:hAnsi="黑体" w:cs="黑体"/>
          <w:szCs w:val="21"/>
        </w:rPr>
        <w:t>5.5</w:t>
      </w:r>
      <w:r>
        <w:rPr>
          <w:rFonts w:hint="eastAsia" w:hAnsi="黑体" w:cs="黑体"/>
          <w:szCs w:val="21"/>
        </w:rPr>
        <w:t>去掉，也要重点介绍智能的内容。</w:t>
      </w:r>
    </w:p>
    <w:p>
      <w:pPr>
        <w:pStyle w:val="18"/>
        <w:numPr>
          <w:ilvl w:val="0"/>
          <w:numId w:val="5"/>
        </w:numPr>
        <w:ind w:left="0" w:firstLine="424" w:firstLineChars="202"/>
        <w:rPr>
          <w:rFonts w:hAnsi="黑体" w:cs="黑体"/>
          <w:szCs w:val="21"/>
        </w:rPr>
      </w:pPr>
      <w:r>
        <w:rPr>
          <w:rFonts w:hAnsi="黑体" w:cs="黑体"/>
          <w:szCs w:val="21"/>
        </w:rPr>
        <w:t>6.2</w:t>
      </w:r>
      <w:r>
        <w:rPr>
          <w:rFonts w:hint="eastAsia" w:hAnsi="黑体" w:cs="黑体"/>
          <w:szCs w:val="21"/>
        </w:rPr>
        <w:t>电源无需提</w:t>
      </w:r>
    </w:p>
    <w:p>
      <w:pPr>
        <w:pStyle w:val="18"/>
        <w:numPr>
          <w:ilvl w:val="0"/>
          <w:numId w:val="5"/>
        </w:numPr>
        <w:ind w:left="707" w:leftChars="203" w:hanging="281" w:hangingChars="134"/>
        <w:rPr>
          <w:rFonts w:hAnsi="黑体" w:cs="黑体"/>
          <w:szCs w:val="21"/>
        </w:rPr>
      </w:pPr>
      <w:r>
        <w:rPr>
          <w:rFonts w:hAnsi="黑体" w:cs="黑体"/>
          <w:szCs w:val="21"/>
        </w:rPr>
        <w:t>7.1A</w:t>
      </w:r>
      <w:r>
        <w:rPr>
          <w:rFonts w:hint="eastAsia" w:hAnsi="黑体" w:cs="黑体"/>
          <w:szCs w:val="21"/>
        </w:rPr>
        <w:t>，配置不用详细要求，满足存储和算力要求即可。</w:t>
      </w:r>
    </w:p>
    <w:p>
      <w:pPr>
        <w:pStyle w:val="18"/>
        <w:numPr>
          <w:ilvl w:val="0"/>
          <w:numId w:val="5"/>
        </w:numPr>
        <w:ind w:left="0" w:firstLine="424" w:firstLineChars="202"/>
        <w:rPr>
          <w:rFonts w:hAnsi="黑体" w:cs="黑体"/>
          <w:szCs w:val="21"/>
        </w:rPr>
      </w:pPr>
      <w:r>
        <w:rPr>
          <w:rFonts w:hAnsi="黑体" w:cs="黑体"/>
          <w:szCs w:val="21"/>
        </w:rPr>
        <w:t>7.2</w:t>
      </w:r>
      <w:r>
        <w:rPr>
          <w:rFonts w:hint="eastAsia" w:hAnsi="黑体" w:cs="黑体"/>
          <w:szCs w:val="21"/>
        </w:rPr>
        <w:t>建议增加无人值守的内容。</w:t>
      </w:r>
    </w:p>
    <w:p>
      <w:pPr>
        <w:pStyle w:val="18"/>
        <w:numPr>
          <w:ilvl w:val="0"/>
          <w:numId w:val="5"/>
        </w:numPr>
        <w:ind w:left="0" w:firstLine="424" w:firstLineChars="202"/>
        <w:rPr>
          <w:rFonts w:hAnsi="黑体" w:cs="黑体"/>
          <w:szCs w:val="21"/>
        </w:rPr>
      </w:pPr>
      <w:r>
        <w:rPr>
          <w:rFonts w:hint="eastAsia" w:hAnsi="黑体" w:cs="黑体"/>
          <w:szCs w:val="21"/>
        </w:rPr>
        <w:t>编制说明需要丰富一下，解释条款的来源原因。</w:t>
      </w:r>
    </w:p>
    <w:p>
      <w:pPr>
        <w:ind w:firstLine="420" w:firstLineChars="200"/>
        <w:rPr>
          <w:rFonts w:hAnsi="黑体" w:cs="黑体"/>
          <w:szCs w:val="21"/>
        </w:rPr>
      </w:pPr>
      <w:r>
        <w:rPr>
          <w:rFonts w:hint="eastAsia" w:hAnsi="黑体" w:cs="黑体"/>
          <w:szCs w:val="21"/>
        </w:rPr>
        <w:t>主编单位，根据以上会议纪要要求作出修改，并进一步完善了，智能化内容。</w:t>
      </w:r>
      <w:r>
        <w:rPr>
          <w:rFonts w:hAnsi="黑体" w:cs="黑体"/>
          <w:szCs w:val="21"/>
        </w:rPr>
        <w:t>2023</w:t>
      </w:r>
      <w:r>
        <w:rPr>
          <w:rFonts w:hint="eastAsia" w:hAnsi="黑体" w:cs="黑体"/>
          <w:szCs w:val="21"/>
        </w:rPr>
        <w:t>年7月中旬完成了征求意见稿。</w:t>
      </w:r>
    </w:p>
    <w:p>
      <w:pPr>
        <w:pStyle w:val="2"/>
        <w:rPr>
          <w:rFonts w:asciiTheme="minorEastAsia" w:hAnsiTheme="minorEastAsia" w:eastAsiaTheme="minorEastAsia"/>
          <w:bCs/>
          <w:szCs w:val="21"/>
        </w:rPr>
      </w:pPr>
      <w:r>
        <w:rPr>
          <w:rFonts w:hint="eastAsia" w:asciiTheme="minorEastAsia" w:hAnsiTheme="minorEastAsia"/>
          <w:bCs/>
          <w:szCs w:val="21"/>
        </w:rPr>
        <w:t>【最终形成了征求意见稿】</w:t>
      </w:r>
    </w:p>
    <w:p>
      <w:pPr>
        <w:pStyle w:val="2"/>
        <w:rPr>
          <w:rFonts w:ascii="黑体" w:hAnsi="黑体" w:eastAsia="黑体" w:cs="黑体"/>
          <w:kern w:val="0"/>
          <w:szCs w:val="21"/>
        </w:rPr>
      </w:pPr>
      <w:r>
        <w:rPr>
          <w:rFonts w:hint="eastAsia" w:ascii="黑体" w:hAnsi="黑体" w:eastAsia="黑体" w:cs="黑体"/>
          <w:kern w:val="0"/>
          <w:szCs w:val="21"/>
        </w:rPr>
        <w:t>1.4.4征求意见阶段</w:t>
      </w:r>
    </w:p>
    <w:p>
      <w:pPr>
        <w:pStyle w:val="2"/>
        <w:ind w:firstLine="420" w:firstLineChars="200"/>
        <w:rPr>
          <w:rFonts w:hAnsi="黑体" w:cs="黑体"/>
          <w:szCs w:val="21"/>
        </w:rPr>
      </w:pPr>
      <w:r>
        <w:rPr>
          <w:rFonts w:hint="eastAsia" w:hAnsi="黑体" w:cs="黑体"/>
          <w:szCs w:val="21"/>
        </w:rPr>
        <w:t>征求意见稿发送（包括工作会议发送和函送、电话、微信等）的单位（需阐述发放单位总数、回函情况及其中的用户、科研、其他单位所占比例）。详细内容见《标准征求意见稿意见处理汇总表》。</w:t>
      </w:r>
    </w:p>
    <w:p>
      <w:pPr>
        <w:pStyle w:val="2"/>
        <w:ind w:firstLine="420" w:firstLineChars="200"/>
        <w:rPr>
          <w:rFonts w:hAnsi="黑体" w:cs="黑体"/>
          <w:szCs w:val="21"/>
        </w:rPr>
      </w:pPr>
      <w:r>
        <w:rPr>
          <w:rFonts w:hint="eastAsia" w:hAnsi="黑体" w:cs="黑体"/>
          <w:szCs w:val="21"/>
        </w:rPr>
        <w:t>送审稿完成日期</w:t>
      </w:r>
      <w:r>
        <w:rPr>
          <w:rFonts w:hint="eastAsia" w:hAnsi="黑体" w:cs="黑体"/>
          <w:color w:val="C00000"/>
          <w:szCs w:val="21"/>
        </w:rPr>
        <w:t>【不应早于征求意见汇总处理表填表日期，迟于审定会日期】</w:t>
      </w:r>
    </w:p>
    <w:p>
      <w:pPr>
        <w:spacing w:line="440" w:lineRule="exact"/>
        <w:rPr>
          <w:rFonts w:hAnsi="黑体" w:cs="黑体"/>
          <w:color w:val="C00000"/>
          <w:szCs w:val="21"/>
        </w:rPr>
      </w:pPr>
      <w:r>
        <w:rPr>
          <w:rFonts w:hint="eastAsia" w:hAnsi="黑体" w:cs="黑体"/>
          <w:color w:val="C00000"/>
          <w:szCs w:val="21"/>
        </w:rPr>
        <w:t>【征求意见的通用写法】</w:t>
      </w:r>
    </w:p>
    <w:p>
      <w:pPr>
        <w:spacing w:line="440" w:lineRule="exact"/>
        <w:rPr>
          <w:rFonts w:asciiTheme="minorEastAsia" w:hAnsiTheme="minorEastAsia"/>
          <w:bCs/>
          <w:szCs w:val="21"/>
        </w:rPr>
      </w:pPr>
      <w:r>
        <w:rPr>
          <w:rFonts w:hint="eastAsia" w:ascii="宋体" w:hAnsi="宋体"/>
          <w:szCs w:val="21"/>
        </w:rPr>
        <w:t>编制组</w:t>
      </w:r>
      <w:r>
        <w:rPr>
          <w:rFonts w:hint="eastAsia" w:ascii="宋体" w:hAnsi="宋体"/>
          <w:bCs/>
          <w:szCs w:val="21"/>
        </w:rPr>
        <w:t>根据</w:t>
      </w:r>
      <w:r>
        <w:rPr>
          <w:rFonts w:hint="eastAsia" w:ascii="宋体" w:hAnsi="宋体"/>
          <w:szCs w:val="21"/>
        </w:rPr>
        <w:t>意见，对标准进行修改和完善</w:t>
      </w:r>
      <w:r>
        <w:rPr>
          <w:rFonts w:hint="eastAsia" w:ascii="宋体" w:hAnsi="宋体"/>
          <w:bCs/>
          <w:szCs w:val="21"/>
        </w:rPr>
        <w:t>，形成了标准</w:t>
      </w:r>
      <w:bookmarkStart w:id="0" w:name="OLE_LINK3"/>
      <w:r>
        <w:rPr>
          <w:rFonts w:hint="eastAsia" w:ascii="宋体" w:hAnsi="宋体"/>
          <w:bCs/>
          <w:szCs w:val="21"/>
        </w:rPr>
        <w:t>《送审稿》</w:t>
      </w:r>
      <w:r>
        <w:rPr>
          <w:rFonts w:hint="eastAsia" w:asciiTheme="minorEastAsia" w:hAnsiTheme="minorEastAsia"/>
          <w:bCs/>
          <w:szCs w:val="21"/>
        </w:rPr>
        <w:t>及《编制说明》</w:t>
      </w:r>
      <w:bookmarkEnd w:id="0"/>
      <w:r>
        <w:rPr>
          <w:rFonts w:hint="eastAsia" w:asciiTheme="minorEastAsia" w:hAnsiTheme="minorEastAsia"/>
          <w:bCs/>
          <w:szCs w:val="21"/>
        </w:rPr>
        <w:t>。</w:t>
      </w:r>
    </w:p>
    <w:p>
      <w:pPr>
        <w:pStyle w:val="2"/>
        <w:rPr>
          <w:rFonts w:hAnsi="黑体" w:cs="黑体"/>
          <w:color w:val="C00000"/>
          <w:szCs w:val="21"/>
        </w:rPr>
      </w:pPr>
    </w:p>
    <w:p>
      <w:pPr>
        <w:pStyle w:val="2"/>
        <w:rPr>
          <w:rFonts w:ascii="黑体" w:hAnsi="黑体" w:eastAsia="黑体" w:cs="黑体"/>
          <w:kern w:val="0"/>
          <w:szCs w:val="21"/>
        </w:rPr>
      </w:pPr>
      <w:r>
        <w:rPr>
          <w:rFonts w:hint="eastAsia" w:ascii="黑体" w:hAnsi="黑体" w:eastAsia="黑体" w:cs="黑体"/>
          <w:kern w:val="0"/>
          <w:szCs w:val="21"/>
        </w:rPr>
        <w:t>1.4.5审查阶段</w:t>
      </w:r>
    </w:p>
    <w:p>
      <w:pPr>
        <w:pStyle w:val="2"/>
        <w:numPr>
          <w:ilvl w:val="0"/>
          <w:numId w:val="6"/>
        </w:numPr>
        <w:rPr>
          <w:rFonts w:ascii="宋体" w:hAnsi="宋体" w:eastAsiaTheme="minorEastAsia"/>
          <w:szCs w:val="21"/>
        </w:rPr>
      </w:pPr>
      <w:r>
        <w:rPr>
          <w:rFonts w:hint="eastAsia" w:ascii="宋体" w:hAnsi="宋体" w:eastAsiaTheme="minorEastAsia"/>
          <w:szCs w:val="21"/>
        </w:rPr>
        <w:t>技术专家审查</w:t>
      </w:r>
    </w:p>
    <w:p>
      <w:pPr>
        <w:pStyle w:val="2"/>
        <w:ind w:firstLine="420" w:firstLineChars="200"/>
        <w:rPr>
          <w:rFonts w:ascii="宋体" w:hAnsi="宋体" w:eastAsiaTheme="minorEastAsia"/>
          <w:szCs w:val="21"/>
        </w:rPr>
      </w:pPr>
      <w:bookmarkStart w:id="1" w:name="OLE_LINK5"/>
      <w:r>
        <w:rPr>
          <w:rFonts w:hint="eastAsia" w:ascii="宋体" w:hAnsi="宋体" w:eastAsiaTheme="minorEastAsia"/>
          <w:color w:val="C00000"/>
          <w:szCs w:val="21"/>
        </w:rPr>
        <w:t>2022年X月XX～XX日在XX省XX市</w:t>
      </w:r>
      <w:r>
        <w:rPr>
          <w:rFonts w:hint="eastAsia" w:ascii="宋体" w:hAnsi="宋体" w:eastAsiaTheme="minorEastAsia"/>
          <w:szCs w:val="21"/>
        </w:rPr>
        <w:t>，由全国有色金属标准化技术委员会主持，召开了</w:t>
      </w:r>
      <w:r>
        <w:rPr>
          <w:rFonts w:hint="eastAsia" w:ascii="宋体" w:hAnsi="宋体" w:eastAsiaTheme="minorEastAsia"/>
          <w:color w:val="C00000"/>
          <w:szCs w:val="21"/>
        </w:rPr>
        <w:t>《XXX》</w:t>
      </w:r>
      <w:r>
        <w:rPr>
          <w:rFonts w:hint="eastAsia" w:ascii="宋体" w:hAnsi="宋体" w:eastAsiaTheme="minorEastAsia"/>
          <w:szCs w:val="21"/>
        </w:rPr>
        <w:t>标准审定会，共有</w:t>
      </w:r>
      <w:r>
        <w:rPr>
          <w:rFonts w:hint="eastAsia" w:ascii="宋体" w:hAnsi="宋体" w:eastAsiaTheme="minorEastAsia"/>
          <w:color w:val="C00000"/>
          <w:szCs w:val="21"/>
        </w:rPr>
        <w:t>xx</w:t>
      </w:r>
      <w:r>
        <w:rPr>
          <w:rFonts w:hint="eastAsia" w:ascii="宋体" w:hAnsi="宋体" w:eastAsiaTheme="minorEastAsia"/>
          <w:szCs w:val="21"/>
        </w:rPr>
        <w:t>个单位的</w:t>
      </w:r>
      <w:r>
        <w:rPr>
          <w:rFonts w:hint="eastAsia" w:ascii="宋体" w:hAnsi="宋体" w:eastAsiaTheme="minorEastAsia"/>
          <w:color w:val="C00000"/>
          <w:szCs w:val="21"/>
        </w:rPr>
        <w:t>xx</w:t>
      </w:r>
      <w:r>
        <w:rPr>
          <w:rFonts w:hint="eastAsia" w:ascii="宋体" w:hAnsi="宋体" w:eastAsiaTheme="minorEastAsia"/>
          <w:szCs w:val="21"/>
        </w:rPr>
        <w:t>名专家（</w:t>
      </w:r>
      <w:r>
        <w:rPr>
          <w:rFonts w:hint="eastAsia" w:ascii="宋体" w:hAnsi="宋体" w:eastAsiaTheme="minorEastAsia"/>
          <w:color w:val="C00000"/>
          <w:szCs w:val="21"/>
        </w:rPr>
        <w:t>详见有色金属标准审定会专家签名表</w:t>
      </w:r>
      <w:r>
        <w:rPr>
          <w:rFonts w:hint="eastAsia" w:ascii="宋体" w:hAnsi="宋体" w:eastAsiaTheme="minorEastAsia"/>
          <w:szCs w:val="21"/>
        </w:rPr>
        <w:t>）参加了会议。</w:t>
      </w:r>
    </w:p>
    <w:p>
      <w:pPr>
        <w:pStyle w:val="2"/>
        <w:ind w:firstLine="420" w:firstLineChars="200"/>
        <w:rPr>
          <w:rFonts w:ascii="宋体" w:hAnsi="宋体" w:eastAsiaTheme="minorEastAsia"/>
          <w:szCs w:val="21"/>
        </w:rPr>
      </w:pPr>
      <w:r>
        <w:rPr>
          <w:rFonts w:hint="eastAsia" w:ascii="宋体" w:hAnsi="宋体" w:eastAsiaTheme="minorEastAsia"/>
          <w:szCs w:val="21"/>
        </w:rPr>
        <w:t xml:space="preserve">与会专家对 </w:t>
      </w:r>
      <w:bookmarkStart w:id="2" w:name="OLE_LINK4"/>
      <w:r>
        <w:rPr>
          <w:rFonts w:hint="eastAsia" w:ascii="宋体" w:hAnsi="宋体" w:eastAsiaTheme="minorEastAsia"/>
          <w:color w:val="C00000"/>
          <w:szCs w:val="21"/>
        </w:rPr>
        <w:t>《XXXX》</w:t>
      </w:r>
      <w:bookmarkEnd w:id="2"/>
      <w:r>
        <w:rPr>
          <w:rFonts w:hint="eastAsia" w:ascii="宋体" w:hAnsi="宋体" w:eastAsiaTheme="minorEastAsia"/>
          <w:szCs w:val="21"/>
        </w:rPr>
        <w:t>标准的送审稿进行了认真审定，提出了</w:t>
      </w:r>
      <w:r>
        <w:rPr>
          <w:rFonts w:hint="eastAsia" w:ascii="宋体" w:hAnsi="宋体" w:eastAsiaTheme="minorEastAsia"/>
          <w:color w:val="C00000"/>
          <w:szCs w:val="21"/>
        </w:rPr>
        <w:t>xx</w:t>
      </w:r>
      <w:r>
        <w:rPr>
          <w:rFonts w:hint="eastAsia" w:ascii="宋体" w:hAnsi="宋体" w:eastAsiaTheme="minorEastAsia"/>
          <w:szCs w:val="21"/>
        </w:rPr>
        <w:t>条修改意见，编制小组会后按照专家的修改意见进行了修改，完善了《送审稿》及《送审稿编制说明》。</w:t>
      </w:r>
    </w:p>
    <w:bookmarkEnd w:id="1"/>
    <w:p>
      <w:pPr>
        <w:pStyle w:val="2"/>
        <w:numPr>
          <w:ilvl w:val="0"/>
          <w:numId w:val="6"/>
        </w:numPr>
        <w:rPr>
          <w:rFonts w:ascii="宋体" w:hAnsi="宋体" w:eastAsiaTheme="minorEastAsia"/>
          <w:szCs w:val="21"/>
        </w:rPr>
      </w:pPr>
      <w:r>
        <w:rPr>
          <w:rFonts w:hint="eastAsia" w:ascii="宋体" w:hAnsi="宋体" w:eastAsiaTheme="minorEastAsia"/>
          <w:szCs w:val="21"/>
        </w:rPr>
        <w:t>委员审查</w:t>
      </w:r>
    </w:p>
    <w:p>
      <w:pPr>
        <w:pStyle w:val="8"/>
        <w:shd w:val="clear" w:color="auto" w:fill="FFFFFF"/>
        <w:spacing w:before="0" w:beforeAutospacing="0" w:after="0" w:afterAutospacing="0" w:line="380" w:lineRule="exact"/>
        <w:ind w:firstLine="420" w:firstLineChars="200"/>
        <w:rPr>
          <w:rFonts w:eastAsiaTheme="minorEastAsia" w:cstheme="minorBidi"/>
          <w:kern w:val="2"/>
          <w:sz w:val="21"/>
          <w:szCs w:val="21"/>
        </w:rPr>
      </w:pPr>
      <w:r>
        <w:rPr>
          <w:rFonts w:hint="eastAsia" w:eastAsiaTheme="minorEastAsia" w:cstheme="minorBidi"/>
          <w:kern w:val="2"/>
          <w:sz w:val="21"/>
          <w:szCs w:val="21"/>
        </w:rPr>
        <w:t>20xx年xx月xx日，全国有色金属标准化技术委员会在XX省XX市召开了全体委员会议。全国有色金属标准化技术委员会重金属分技术委员会（SAC/TC243/SC2）全体委员共计 66名，实际参与投票工作 XX名。会议经过认真的讨论，对《xxxx》标准制修订程序、征求意见的过程以及技术内容的确定等多方面进行了仔细审查。与会XX名委员全体投票通过，同意该标准《送审稿》及和《送审稿编制说明》通过审查，无修改意见，表决通过率为100%。</w:t>
      </w:r>
    </w:p>
    <w:p>
      <w:pPr>
        <w:pStyle w:val="2"/>
        <w:rPr>
          <w:rFonts w:ascii="黑体" w:hAnsi="黑体" w:eastAsia="黑体" w:cs="黑体"/>
          <w:kern w:val="0"/>
          <w:szCs w:val="21"/>
        </w:rPr>
      </w:pPr>
      <w:r>
        <w:rPr>
          <w:rFonts w:hint="eastAsia" w:ascii="黑体" w:hAnsi="黑体" w:eastAsia="黑体" w:cs="黑体"/>
          <w:kern w:val="0"/>
          <w:szCs w:val="21"/>
        </w:rPr>
        <w:t>1.4.6报批阶段</w:t>
      </w:r>
    </w:p>
    <w:p>
      <w:pPr>
        <w:spacing w:line="380" w:lineRule="exact"/>
        <w:ind w:firstLine="420" w:firstLineChars="200"/>
        <w:rPr>
          <w:rFonts w:ascii="宋体" w:hAnsi="宋体"/>
          <w:szCs w:val="21"/>
        </w:rPr>
      </w:pPr>
      <w:bookmarkStart w:id="3" w:name="OLE_LINK6"/>
      <w:r>
        <w:rPr>
          <w:rFonts w:hint="eastAsia" w:ascii="宋体" w:hAnsi="宋体"/>
          <w:szCs w:val="21"/>
        </w:rPr>
        <w:t>标准编制组对标准文本和编制说明进行完善，形成标准报批稿报送至全国有色金属标准化技术委员会（SAC/TC243）秘书处，上报至</w:t>
      </w:r>
      <w:r>
        <w:rPr>
          <w:rFonts w:hint="eastAsia" w:ascii="宋体" w:hAnsi="宋体"/>
          <w:color w:val="C00000"/>
          <w:szCs w:val="21"/>
        </w:rPr>
        <w:t>国家标准化管理委员会【行标为：工业和信息化部、团标为：中国有色金属工业协会】</w:t>
      </w:r>
      <w:r>
        <w:rPr>
          <w:rFonts w:hint="eastAsia" w:ascii="宋体" w:hAnsi="宋体"/>
          <w:szCs w:val="21"/>
        </w:rPr>
        <w:t>审批、发布。</w:t>
      </w:r>
    </w:p>
    <w:bookmarkEnd w:id="3"/>
    <w:p>
      <w:pPr>
        <w:pStyle w:val="2"/>
        <w:rPr>
          <w:rFonts w:hAnsi="黑体" w:cs="黑体"/>
          <w:color w:val="C00000"/>
          <w:szCs w:val="21"/>
        </w:rPr>
      </w:pPr>
    </w:p>
    <w:p>
      <w:pPr>
        <w:pStyle w:val="8"/>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二、编制原则</w:t>
      </w:r>
    </w:p>
    <w:p>
      <w:pPr>
        <w:spacing w:line="440" w:lineRule="exact"/>
        <w:ind w:firstLine="420" w:firstLineChars="200"/>
        <w:rPr>
          <w:rFonts w:ascii="宋体" w:hAnsi="宋体"/>
          <w:szCs w:val="21"/>
        </w:rPr>
      </w:pPr>
      <w:bookmarkStart w:id="4" w:name="OLE_LINK7"/>
      <w:r>
        <w:rPr>
          <w:rFonts w:hint="eastAsia"/>
          <w:szCs w:val="21"/>
        </w:rPr>
        <w:t>标准研究的预期目标及主要技术路线</w:t>
      </w:r>
      <w:r>
        <w:rPr>
          <w:rFonts w:hint="eastAsia" w:ascii="宋体" w:hAnsi="宋体"/>
          <w:szCs w:val="21"/>
        </w:rPr>
        <w:t>。</w:t>
      </w:r>
      <w:bookmarkEnd w:id="4"/>
    </w:p>
    <w:p>
      <w:pPr>
        <w:pStyle w:val="2"/>
        <w:rPr>
          <w:rFonts w:ascii="宋体" w:hAnsi="宋体" w:eastAsiaTheme="minorEastAsia"/>
          <w:szCs w:val="21"/>
        </w:rPr>
      </w:pPr>
      <w:r>
        <w:rPr>
          <w:rFonts w:hint="eastAsia" w:ascii="宋体" w:hAnsi="宋体"/>
          <w:szCs w:val="21"/>
        </w:rPr>
        <w:t xml:space="preserve">   </w:t>
      </w:r>
      <w:r>
        <w:rPr>
          <w:rFonts w:hint="eastAsia" w:ascii="宋体" w:hAnsi="宋体" w:eastAsiaTheme="minorEastAsia"/>
          <w:szCs w:val="21"/>
        </w:rPr>
        <w:t xml:space="preserve"> 例如细化产品类型、融入最新的绿色环保和节能减排技术、规定原材料质量验收内容等方面的路线。</w:t>
      </w:r>
    </w:p>
    <w:p>
      <w:pPr>
        <w:ind w:firstLine="420" w:firstLineChars="200"/>
        <w:rPr>
          <w:rFonts w:ascii="宋体" w:hAnsi="宋体" w:eastAsia="宋体" w:cs="宋体"/>
          <w:szCs w:val="21"/>
        </w:rPr>
      </w:pPr>
      <w:r>
        <w:rPr>
          <w:rFonts w:hint="eastAsia" w:ascii="宋体" w:hAnsi="宋体" w:eastAsia="宋体" w:cs="宋体"/>
          <w:szCs w:val="21"/>
        </w:rPr>
        <w:t>本项目提出矿井提升机智能控制系统的</w:t>
      </w:r>
      <w:r>
        <w:rPr>
          <w:rFonts w:hint="eastAsia" w:ascii="宋体" w:hAnsi="宋体" w:eastAsia="宋体" w:cs="宋体"/>
          <w:szCs w:val="21"/>
          <w:lang w:eastAsia="zh-Hans"/>
        </w:rPr>
        <w:t>技术</w:t>
      </w:r>
      <w:r>
        <w:rPr>
          <w:rFonts w:hint="eastAsia" w:ascii="宋体" w:hAnsi="宋体" w:eastAsia="宋体" w:cs="宋体"/>
          <w:szCs w:val="21"/>
        </w:rPr>
        <w:t>要求，将指引、推动有色金属矿井提升机系统的智能制造建设及发展。主要目标是：</w:t>
      </w:r>
    </w:p>
    <w:p>
      <w:pPr>
        <w:pStyle w:val="18"/>
        <w:numPr>
          <w:ilvl w:val="0"/>
          <w:numId w:val="7"/>
        </w:numPr>
        <w:spacing w:line="360" w:lineRule="auto"/>
        <w:ind w:left="426" w:firstLine="0" w:firstLineChars="0"/>
      </w:pPr>
      <w:r>
        <w:t>提高有色金属</w:t>
      </w:r>
      <w:r>
        <w:rPr>
          <w:rFonts w:hint="eastAsia"/>
        </w:rPr>
        <w:t>矿山</w:t>
      </w:r>
      <w:r>
        <w:t>生产的安全性。矿井提升机是有色</w:t>
      </w:r>
      <w:r>
        <w:rPr>
          <w:rFonts w:hint="eastAsia"/>
        </w:rPr>
        <w:t>金属矿山</w:t>
      </w:r>
      <w:r>
        <w:t>生产中最为危险的设备之一，其安全稳定运行对有色金属</w:t>
      </w:r>
      <w:r>
        <w:rPr>
          <w:rFonts w:hint="eastAsia"/>
        </w:rPr>
        <w:t>矿山</w:t>
      </w:r>
      <w:r>
        <w:t>生产的保障具有重要意义。矿井提升机</w:t>
      </w:r>
      <w:r>
        <w:rPr>
          <w:rFonts w:hint="eastAsia"/>
        </w:rPr>
        <w:t>智能</w:t>
      </w:r>
      <w:r>
        <w:t>控制系统技术规范的编制可以规范矿井提升机的安全运行</w:t>
      </w:r>
      <w:r>
        <w:rPr>
          <w:rFonts w:hint="eastAsia"/>
        </w:rPr>
        <w:t>要求</w:t>
      </w:r>
      <w:r>
        <w:t>，提高有色金属</w:t>
      </w:r>
      <w:r>
        <w:rPr>
          <w:rFonts w:hint="eastAsia"/>
        </w:rPr>
        <w:t>矿山</w:t>
      </w:r>
      <w:r>
        <w:t>生产的安全性。</w:t>
      </w:r>
    </w:p>
    <w:p>
      <w:pPr>
        <w:pStyle w:val="18"/>
        <w:numPr>
          <w:ilvl w:val="0"/>
          <w:numId w:val="7"/>
        </w:numPr>
        <w:spacing w:line="360" w:lineRule="auto"/>
        <w:ind w:left="426" w:firstLine="0" w:firstLineChars="0"/>
      </w:pPr>
      <w:r>
        <w:t>提高矿井提升机的运行效率。矿井提升机是有色金属</w:t>
      </w:r>
      <w:r>
        <w:rPr>
          <w:rFonts w:hint="eastAsia"/>
        </w:rPr>
        <w:t>矿山最主要的生产</w:t>
      </w:r>
      <w:r>
        <w:t>设备之一，其运行效率直接影响到有色金属</w:t>
      </w:r>
      <w:r>
        <w:rPr>
          <w:rFonts w:hint="eastAsia"/>
        </w:rPr>
        <w:t>矿山</w:t>
      </w:r>
      <w:r>
        <w:t>生产的效益。矿井提升机智能控制系统技术规范的编制可以规范矿井提升机的运行方式，从而提高矿井提升机的运行效率，降低生产成本。</w:t>
      </w:r>
    </w:p>
    <w:p>
      <w:pPr>
        <w:pStyle w:val="18"/>
        <w:numPr>
          <w:ilvl w:val="0"/>
          <w:numId w:val="7"/>
        </w:numPr>
        <w:spacing w:line="360" w:lineRule="auto"/>
        <w:ind w:left="426" w:firstLine="0" w:firstLineChars="0"/>
      </w:pPr>
      <w:r>
        <w:t>促进矿井提升机</w:t>
      </w:r>
      <w:r>
        <w:rPr>
          <w:rFonts w:hint="eastAsia"/>
        </w:rPr>
        <w:t>智能</w:t>
      </w:r>
      <w:r>
        <w:t>制造企业的发展。矿井提升机智能控制系统技术规范的编制可以规范矿井提升机</w:t>
      </w:r>
      <w:r>
        <w:rPr>
          <w:rFonts w:hint="eastAsia"/>
        </w:rPr>
        <w:t>智能制造</w:t>
      </w:r>
      <w:r>
        <w:t>企业的生产和制造，提高其产品的质量和竞争力，促进企业的发展。</w:t>
      </w:r>
    </w:p>
    <w:p>
      <w:pPr>
        <w:pStyle w:val="2"/>
      </w:pPr>
    </w:p>
    <w:p>
      <w:pPr>
        <w:pStyle w:val="8"/>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三、标准主要技术内容的确定依据及主要试验和验证情况分析</w:t>
      </w:r>
    </w:p>
    <w:p>
      <w:pPr>
        <w:spacing w:line="440" w:lineRule="exact"/>
        <w:ind w:firstLine="420"/>
        <w:rPr>
          <w:rFonts w:ascii="宋体" w:hAnsi="宋体" w:cs="宋体"/>
          <w:szCs w:val="21"/>
        </w:rPr>
      </w:pPr>
      <w:r>
        <w:rPr>
          <w:rFonts w:hint="eastAsia" w:ascii="宋体" w:hAnsi="宋体" w:cs="宋体"/>
          <w:szCs w:val="21"/>
        </w:rPr>
        <w:t>【与相应标准稿内容必须一致！】</w:t>
      </w:r>
    </w:p>
    <w:p>
      <w:pPr>
        <w:pStyle w:val="2"/>
        <w:ind w:firstLine="420" w:firstLineChars="200"/>
        <w:rPr>
          <w:rFonts w:ascii="宋体" w:hAnsi="宋体" w:eastAsiaTheme="minorEastAsia"/>
          <w:szCs w:val="21"/>
        </w:rPr>
      </w:pPr>
      <w:r>
        <w:rPr>
          <w:rFonts w:hint="eastAsia" w:ascii="宋体" w:hAnsi="宋体" w:eastAsiaTheme="minorEastAsia"/>
          <w:szCs w:val="21"/>
        </w:rPr>
        <w:t>点出针对的内容主题或章条号即可，严禁将标准正文直接抄过来充数！文字严谨、内容丰富、条理清晰。具体介绍标准各条款内容的确定依据【要求、试验方法、检验判定等均要有！】说明试验结果对技术指标或实验方法的支撑情况，分析报告和综述性报告宜作为附件。产品标准各指标的确定至少有来自不同单位的一百组数据进行分析。</w:t>
      </w:r>
    </w:p>
    <w:p>
      <w:pPr>
        <w:pStyle w:val="2"/>
        <w:ind w:firstLine="420" w:firstLineChars="200"/>
        <w:rPr>
          <w:rFonts w:ascii="宋体" w:hAnsi="宋体" w:eastAsiaTheme="minorEastAsia"/>
          <w:szCs w:val="21"/>
        </w:rPr>
      </w:pPr>
      <w:r>
        <w:rPr>
          <w:rFonts w:hint="eastAsia" w:ascii="宋体" w:hAnsi="宋体" w:eastAsiaTheme="minorEastAsia"/>
          <w:szCs w:val="21"/>
        </w:rPr>
        <w:t>修订标准，应详细说明对原有技术指标或试验方法进行修改的依据，并列出新旧标准水平对比表。</w:t>
      </w:r>
    </w:p>
    <w:p>
      <w:pPr>
        <w:pStyle w:val="2"/>
        <w:rPr>
          <w:rFonts w:ascii="宋体" w:hAnsi="宋体" w:eastAsiaTheme="minorEastAsia"/>
          <w:szCs w:val="21"/>
        </w:rPr>
      </w:pPr>
      <w:r>
        <w:rPr>
          <w:rFonts w:ascii="宋体" w:hAnsi="宋体" w:eastAsiaTheme="minorEastAsia"/>
          <w:szCs w:val="21"/>
        </w:rPr>
        <w:t>3</w:t>
      </w:r>
      <w:r>
        <w:rPr>
          <w:rFonts w:hint="eastAsia" w:ascii="宋体" w:hAnsi="宋体" w:eastAsiaTheme="minorEastAsia"/>
          <w:szCs w:val="21"/>
        </w:rPr>
        <w:t>术语</w:t>
      </w:r>
    </w:p>
    <w:p>
      <w:pPr>
        <w:pStyle w:val="2"/>
        <w:rPr>
          <w:rFonts w:ascii="宋体" w:hAnsi="宋体" w:eastAsiaTheme="minorEastAsia"/>
          <w:szCs w:val="21"/>
        </w:rPr>
      </w:pPr>
      <w:r>
        <w:rPr>
          <w:rFonts w:ascii="宋体" w:hAnsi="宋体" w:eastAsiaTheme="minorEastAsia"/>
          <w:szCs w:val="21"/>
        </w:rPr>
        <w:t>3.1</w:t>
      </w:r>
      <w:r>
        <w:rPr>
          <w:rFonts w:hint="eastAsia" w:ascii="宋体" w:hAnsi="宋体" w:eastAsiaTheme="minorEastAsia"/>
          <w:szCs w:val="21"/>
        </w:rPr>
        <w:t>智能控制系统</w:t>
      </w:r>
    </w:p>
    <w:p>
      <w:pPr>
        <w:pStyle w:val="2"/>
        <w:ind w:firstLine="424" w:firstLineChars="202"/>
        <w:rPr>
          <w:rFonts w:ascii="宋体" w:hAnsi="宋体" w:eastAsiaTheme="minorEastAsia"/>
          <w:szCs w:val="21"/>
        </w:rPr>
      </w:pPr>
      <w:r>
        <w:rPr>
          <w:rFonts w:hint="eastAsia" w:ascii="宋体" w:hAnsi="宋体" w:eastAsiaTheme="minorEastAsia"/>
          <w:szCs w:val="21"/>
        </w:rPr>
        <w:t>国内有色金属矿井提升机控制系统经过改革开放四十多年的发展，从传统的继电器手动操作到高性能高可靠性的无人操作，已经逐渐稳定成熟，下一步发展的方向就是智能控制系统，除具有无人操作的特征外，还具有智能控制和管理的特征，</w:t>
      </w:r>
      <w:ins w:id="36" w:author="傅博" w:date="2023-10-09T10:24:00Z">
        <w:r>
          <w:rPr>
            <w:rFonts w:hint="eastAsia" w:ascii="宋体" w:hAnsi="宋体" w:eastAsiaTheme="minorEastAsia"/>
            <w:szCs w:val="21"/>
          </w:rPr>
          <w:t>针对矿井提升机的智能控制系统</w:t>
        </w:r>
      </w:ins>
      <w:del w:id="37" w:author="傅博" w:date="2023-10-09T10:24:00Z">
        <w:r>
          <w:rPr>
            <w:rFonts w:hint="eastAsia" w:ascii="宋体" w:hAnsi="宋体" w:eastAsiaTheme="minorEastAsia"/>
            <w:szCs w:val="21"/>
          </w:rPr>
          <w:delText>它</w:delText>
        </w:r>
      </w:del>
      <w:r>
        <w:rPr>
          <w:rFonts w:hint="eastAsia" w:ascii="宋体" w:hAnsi="宋体" w:eastAsiaTheme="minorEastAsia"/>
          <w:szCs w:val="21"/>
        </w:rPr>
        <w:t>是集成了信息化、自动控制和通讯等技术，能够实现对矿井提升机的智能控制和管理的控制系统。</w:t>
      </w:r>
    </w:p>
    <w:p>
      <w:pPr>
        <w:pStyle w:val="2"/>
        <w:rPr>
          <w:del w:id="38" w:author="傅博" w:date="2023-10-14T14:31:00Z"/>
          <w:rFonts w:ascii="宋体" w:hAnsi="宋体" w:eastAsiaTheme="minorEastAsia"/>
          <w:szCs w:val="21"/>
        </w:rPr>
      </w:pPr>
      <w:del w:id="39" w:author="傅博" w:date="2023-10-14T14:31:00Z">
        <w:r>
          <w:rPr>
            <w:rFonts w:ascii="宋体" w:hAnsi="宋体" w:eastAsiaTheme="minorEastAsia"/>
            <w:szCs w:val="21"/>
          </w:rPr>
          <w:delText>3.2</w:delText>
        </w:r>
      </w:del>
      <w:del w:id="40" w:author="傅博" w:date="2023-10-14T14:31:00Z">
        <w:r>
          <w:rPr>
            <w:rFonts w:hint="eastAsia" w:ascii="宋体" w:hAnsi="宋体" w:eastAsiaTheme="minorEastAsia"/>
            <w:szCs w:val="21"/>
          </w:rPr>
          <w:delText>边缘计算</w:delText>
        </w:r>
      </w:del>
    </w:p>
    <w:p>
      <w:pPr>
        <w:pStyle w:val="2"/>
        <w:ind w:firstLine="424" w:firstLineChars="202"/>
        <w:rPr>
          <w:del w:id="41" w:author="傅博" w:date="2023-10-14T14:31:00Z"/>
          <w:rFonts w:ascii="宋体" w:hAnsi="宋体" w:eastAsiaTheme="minorEastAsia"/>
          <w:szCs w:val="21"/>
        </w:rPr>
      </w:pPr>
      <w:del w:id="42" w:author="傅博" w:date="2023-10-14T14:31:00Z">
        <w:r>
          <w:rPr>
            <w:rFonts w:hint="eastAsia" w:ascii="宋体" w:hAnsi="宋体" w:eastAsiaTheme="minorEastAsia"/>
            <w:szCs w:val="21"/>
          </w:rPr>
          <w:delText>边缘计算是一种分布式计算模型，其目的是将计算、存储和网络资源放置在离数据源或终端设备更靠近的位置，以提供更低的延迟和更高的性能。</w:delText>
        </w:r>
      </w:del>
    </w:p>
    <w:p>
      <w:pPr>
        <w:pStyle w:val="2"/>
        <w:ind w:firstLine="424" w:firstLineChars="202"/>
        <w:rPr>
          <w:del w:id="43" w:author="傅博" w:date="2023-10-14T14:31:00Z"/>
          <w:rFonts w:ascii="宋体" w:hAnsi="宋体" w:eastAsiaTheme="minorEastAsia"/>
          <w:szCs w:val="21"/>
        </w:rPr>
      </w:pPr>
      <w:del w:id="44" w:author="傅博" w:date="2023-10-14T14:31:00Z">
        <w:r>
          <w:rPr>
            <w:rFonts w:hint="eastAsia" w:ascii="宋体" w:hAnsi="宋体" w:eastAsiaTheme="minorEastAsia"/>
            <w:szCs w:val="21"/>
          </w:rPr>
          <w:delText>为实现以上要求，边缘计算设置在提升机房的信息化系统。</w:delText>
        </w:r>
      </w:del>
    </w:p>
    <w:p>
      <w:pPr>
        <w:pStyle w:val="2"/>
        <w:rPr>
          <w:rFonts w:ascii="宋体" w:hAnsi="宋体" w:eastAsiaTheme="minorEastAsia"/>
          <w:szCs w:val="21"/>
        </w:rPr>
      </w:pPr>
      <w:r>
        <w:rPr>
          <w:rFonts w:ascii="宋体" w:hAnsi="宋体" w:eastAsiaTheme="minorEastAsia"/>
          <w:szCs w:val="21"/>
        </w:rPr>
        <w:t>5.</w:t>
      </w:r>
      <w:r>
        <w:rPr>
          <w:rFonts w:hint="eastAsia" w:ascii="宋体" w:hAnsi="宋体" w:eastAsiaTheme="minorEastAsia"/>
          <w:szCs w:val="21"/>
        </w:rPr>
        <w:t>电气传动系统</w:t>
      </w:r>
    </w:p>
    <w:p>
      <w:pPr>
        <w:pStyle w:val="2"/>
        <w:ind w:firstLine="424" w:firstLineChars="202"/>
        <w:rPr>
          <w:rFonts w:ascii="宋体" w:hAnsi="宋体" w:eastAsiaTheme="minorEastAsia"/>
          <w:szCs w:val="21"/>
        </w:rPr>
      </w:pPr>
      <w:r>
        <w:rPr>
          <w:rFonts w:hint="eastAsia" w:ascii="宋体" w:hAnsi="宋体" w:eastAsiaTheme="minorEastAsia"/>
          <w:szCs w:val="21"/>
        </w:rPr>
        <w:t>本规范的电气传动系统主要是指驱动电动机运行的系统装置。本规范的重点内容是智能控制系统，本部分内容就相对较简单。</w:t>
      </w:r>
    </w:p>
    <w:p>
      <w:pPr>
        <w:pStyle w:val="2"/>
        <w:rPr>
          <w:rFonts w:ascii="宋体" w:hAnsi="宋体" w:eastAsiaTheme="minorEastAsia"/>
          <w:szCs w:val="21"/>
        </w:rPr>
      </w:pPr>
      <w:r>
        <w:rPr>
          <w:rFonts w:ascii="宋体" w:hAnsi="宋体" w:eastAsiaTheme="minorEastAsia"/>
          <w:szCs w:val="21"/>
        </w:rPr>
        <w:t>5.1</w:t>
      </w:r>
      <w:r>
        <w:rPr>
          <w:rFonts w:hint="eastAsia" w:ascii="宋体" w:hAnsi="宋体" w:eastAsiaTheme="minorEastAsia"/>
          <w:szCs w:val="21"/>
        </w:rPr>
        <w:t>目前交流变频传动系统已经十分成熟并广泛使用。</w:t>
      </w:r>
      <w:ins w:id="45" w:author="傅博" w:date="2023-10-14T15:56:00Z">
        <w:r>
          <w:rPr>
            <w:rFonts w:hint="eastAsia" w:ascii="宋体" w:hAnsi="宋体" w:eastAsiaTheme="minorEastAsia" w:cstheme="minorBidi"/>
            <w:sz w:val="21"/>
            <w:szCs w:val="21"/>
            <w:rPrChange w:id="46" w:author="傅博" w:date="2023-10-14T15:56:00Z">
              <w:rPr>
                <w:rFonts w:hint="eastAsia" w:ascii="Cambria Math" w:hAnsi="Cambria Math" w:cs="Times New Roman"/>
                <w:sz w:val="20"/>
                <w:szCs w:val="20"/>
              </w:rPr>
            </w:rPrChange>
          </w:rPr>
          <w:t>高压级联交流拖动存在系统元器件数量太多，转矩响应慢、低速性能差、超调大、加减速时间长等问题。</w:t>
        </w:r>
      </w:ins>
      <w:ins w:id="47" w:author="傅博" w:date="2023-10-14T15:57:00Z">
        <w:r>
          <w:rPr>
            <w:rFonts w:hint="eastAsia" w:ascii="宋体" w:hAnsi="宋体" w:eastAsiaTheme="minorEastAsia"/>
            <w:szCs w:val="21"/>
          </w:rPr>
          <w:t>故本规范提出</w:t>
        </w:r>
      </w:ins>
      <w:ins w:id="48" w:author="傅博" w:date="2023-10-14T15:57:00Z">
        <w:r>
          <w:rPr>
            <w:rFonts w:hint="eastAsia" w:ascii="宋体" w:hAnsi="宋体" w:eastAsiaTheme="minorEastAsia" w:cstheme="minorBidi"/>
            <w:sz w:val="21"/>
            <w:szCs w:val="21"/>
            <w:rPrChange w:id="49" w:author="傅博" w:date="2023-10-14T15:57:00Z">
              <w:rPr>
                <w:rFonts w:hint="eastAsia" w:ascii="Cambria Math" w:hAnsi="Cambria Math" w:cs="Times New Roman"/>
                <w:sz w:val="20"/>
                <w:szCs w:val="20"/>
              </w:rPr>
            </w:rPrChange>
          </w:rPr>
          <w:t>宜采用高可靠交流变频传动系统。</w:t>
        </w:r>
      </w:ins>
    </w:p>
    <w:p>
      <w:pPr>
        <w:pStyle w:val="2"/>
        <w:rPr>
          <w:del w:id="50" w:author="傅博" w:date="2023-10-14T16:00:00Z"/>
          <w:rFonts w:ascii="宋体" w:hAnsi="宋体" w:eastAsiaTheme="minorEastAsia"/>
          <w:szCs w:val="21"/>
        </w:rPr>
      </w:pPr>
      <w:r>
        <w:rPr>
          <w:rFonts w:ascii="宋体" w:hAnsi="宋体" w:eastAsiaTheme="minorEastAsia"/>
          <w:szCs w:val="21"/>
        </w:rPr>
        <w:t>5.2</w:t>
      </w:r>
      <w:r>
        <w:rPr>
          <w:rFonts w:hint="eastAsia" w:ascii="宋体" w:hAnsi="宋体" w:eastAsiaTheme="minorEastAsia"/>
          <w:szCs w:val="21"/>
        </w:rPr>
        <w:t>由于矿井提升机是恒转矩负载，</w:t>
      </w:r>
      <w:ins w:id="51" w:author="傅博" w:date="2023-10-14T16:00:00Z">
        <w:r>
          <w:rPr>
            <w:rFonts w:hint="eastAsia" w:ascii="宋体" w:hAnsi="宋体" w:eastAsiaTheme="minorEastAsia" w:cstheme="minorBidi"/>
            <w:sz w:val="21"/>
            <w:szCs w:val="21"/>
            <w:rPrChange w:id="52" w:author="傅博" w:date="2023-10-14T16:00:00Z">
              <w:rPr>
                <w:rFonts w:hint="eastAsia" w:ascii="Cambria Math" w:hAnsi="Cambria Math" w:cs="Times New Roman"/>
                <w:sz w:val="20"/>
                <w:szCs w:val="20"/>
              </w:rPr>
            </w:rPrChange>
          </w:rPr>
          <w:t>变频器调速采用有速度传感器的矢量控制或直接转矩控制。</w:t>
        </w:r>
      </w:ins>
      <w:del w:id="53" w:author="傅博" w:date="2023-10-14T15:58:00Z">
        <w:r>
          <w:rPr>
            <w:rFonts w:hint="eastAsia" w:ascii="宋体" w:hAnsi="宋体" w:eastAsiaTheme="minorEastAsia"/>
            <w:szCs w:val="21"/>
          </w:rPr>
          <w:delText>故</w:delText>
        </w:r>
      </w:del>
      <w:del w:id="54" w:author="傅博" w:date="2023-10-14T15:58:00Z">
        <w:r>
          <w:rPr>
            <w:rFonts w:ascii="宋体" w:hAnsi="宋体" w:eastAsiaTheme="minorEastAsia"/>
            <w:szCs w:val="21"/>
          </w:rPr>
          <w:delText>变频器调速</w:delText>
        </w:r>
      </w:del>
      <w:del w:id="55" w:author="傅博" w:date="2023-10-14T15:58:00Z">
        <w:r>
          <w:rPr>
            <w:rFonts w:hint="eastAsia" w:ascii="宋体" w:hAnsi="宋体" w:eastAsiaTheme="minorEastAsia"/>
            <w:szCs w:val="21"/>
          </w:rPr>
          <w:delText>应</w:delText>
        </w:r>
      </w:del>
      <w:del w:id="56" w:author="傅博" w:date="2023-10-14T15:58:00Z">
        <w:r>
          <w:rPr>
            <w:rFonts w:ascii="宋体" w:hAnsi="宋体" w:eastAsiaTheme="minorEastAsia"/>
            <w:szCs w:val="21"/>
          </w:rPr>
          <w:delText>采用直接转矩</w:delText>
        </w:r>
      </w:del>
      <w:del w:id="57" w:author="傅博" w:date="2023-10-14T15:58:00Z">
        <w:r>
          <w:rPr>
            <w:rFonts w:hint="eastAsia" w:ascii="宋体" w:hAnsi="宋体" w:eastAsiaTheme="minorEastAsia"/>
            <w:szCs w:val="21"/>
          </w:rPr>
          <w:delText>控制</w:delText>
        </w:r>
      </w:del>
      <w:del w:id="58" w:author="傅博" w:date="2023-10-14T15:58:00Z">
        <w:r>
          <w:rPr>
            <w:rFonts w:ascii="宋体" w:hAnsi="宋体" w:eastAsiaTheme="minorEastAsia"/>
            <w:szCs w:val="21"/>
          </w:rPr>
          <w:delText>或矢量控制。</w:delText>
        </w:r>
      </w:del>
    </w:p>
    <w:p>
      <w:pPr>
        <w:pStyle w:val="2"/>
        <w:rPr>
          <w:rFonts w:ascii="宋体" w:hAnsi="宋体" w:eastAsiaTheme="minorEastAsia"/>
          <w:szCs w:val="21"/>
        </w:rPr>
      </w:pPr>
      <w:r>
        <w:rPr>
          <w:rFonts w:ascii="宋体" w:hAnsi="宋体" w:eastAsiaTheme="minorEastAsia"/>
          <w:szCs w:val="21"/>
        </w:rPr>
        <w:t xml:space="preserve">5.3 </w:t>
      </w:r>
      <w:r>
        <w:rPr>
          <w:rFonts w:hint="eastAsia" w:ascii="宋体" w:hAnsi="宋体" w:eastAsiaTheme="minorEastAsia"/>
          <w:szCs w:val="21"/>
        </w:rPr>
        <w:t>为了保证控制系统能从变频器采集更多数据，实现智能化，要求变频器具备现场控制总线、以太网等多种</w:t>
      </w:r>
      <w:r>
        <w:rPr>
          <w:rFonts w:ascii="宋体" w:hAnsi="宋体" w:eastAsiaTheme="minorEastAsia"/>
          <w:szCs w:val="21"/>
        </w:rPr>
        <w:t>通讯协议</w:t>
      </w:r>
      <w:r>
        <w:rPr>
          <w:rFonts w:hint="eastAsia" w:ascii="宋体" w:hAnsi="宋体" w:eastAsiaTheme="minorEastAsia"/>
          <w:szCs w:val="21"/>
        </w:rPr>
        <w:t>，具备更多故障检测、诊断功能。</w:t>
      </w:r>
    </w:p>
    <w:p>
      <w:pPr>
        <w:pStyle w:val="2"/>
        <w:rPr>
          <w:rFonts w:ascii="宋体" w:hAnsi="宋体" w:eastAsiaTheme="minorEastAsia"/>
          <w:szCs w:val="21"/>
        </w:rPr>
      </w:pPr>
      <w:r>
        <w:rPr>
          <w:rFonts w:ascii="宋体" w:hAnsi="宋体" w:eastAsiaTheme="minorEastAsia"/>
          <w:szCs w:val="21"/>
        </w:rPr>
        <w:t xml:space="preserve">5.5 </w:t>
      </w:r>
      <w:r>
        <w:rPr>
          <w:rFonts w:hint="eastAsia" w:ascii="宋体" w:hAnsi="宋体" w:eastAsiaTheme="minorEastAsia"/>
          <w:szCs w:val="21"/>
        </w:rPr>
        <w:t>斜井及竖井提升机速度及加减速度在</w:t>
      </w:r>
      <w:r>
        <w:rPr>
          <w:rFonts w:hint="eastAsia" w:hAnsi="宋体"/>
          <w:szCs w:val="21"/>
        </w:rPr>
        <w:t>《</w:t>
      </w:r>
      <w:r>
        <w:rPr>
          <w:rFonts w:hint="eastAsia" w:asciiTheme="minorEastAsia" w:hAnsiTheme="minorEastAsia" w:eastAsiaTheme="minorEastAsia"/>
          <w:szCs w:val="21"/>
        </w:rPr>
        <w:t>GB 16423-2020  金属非金属矿山安全规程</w:t>
      </w:r>
      <w:r>
        <w:rPr>
          <w:rFonts w:hint="eastAsia" w:hAnsi="宋体"/>
          <w:szCs w:val="21"/>
        </w:rPr>
        <w:t>》</w:t>
      </w:r>
      <w:r>
        <w:rPr>
          <w:rFonts w:hint="eastAsia" w:ascii="宋体" w:hAnsi="宋体" w:eastAsiaTheme="minorEastAsia"/>
          <w:szCs w:val="21"/>
        </w:rPr>
        <w:t>中有详细规定，本规范不再给出。</w:t>
      </w:r>
    </w:p>
    <w:p>
      <w:pPr>
        <w:pStyle w:val="2"/>
        <w:rPr>
          <w:rFonts w:ascii="宋体" w:hAnsi="宋体" w:eastAsiaTheme="minorEastAsia"/>
          <w:szCs w:val="21"/>
        </w:rPr>
      </w:pPr>
      <w:r>
        <w:rPr>
          <w:rFonts w:ascii="宋体" w:hAnsi="宋体" w:eastAsiaTheme="minorEastAsia"/>
          <w:szCs w:val="21"/>
        </w:rPr>
        <w:t>6.</w:t>
      </w:r>
      <w:r>
        <w:rPr>
          <w:rFonts w:hint="eastAsia" w:ascii="宋体" w:hAnsi="宋体" w:eastAsiaTheme="minorEastAsia"/>
          <w:szCs w:val="21"/>
        </w:rPr>
        <w:t>主控制系统</w:t>
      </w:r>
    </w:p>
    <w:p>
      <w:pPr>
        <w:pStyle w:val="2"/>
        <w:rPr>
          <w:rFonts w:ascii="宋体" w:hAnsi="宋体" w:eastAsiaTheme="minorEastAsia"/>
          <w:szCs w:val="21"/>
        </w:rPr>
      </w:pPr>
      <w:r>
        <w:rPr>
          <w:rFonts w:ascii="宋体" w:hAnsi="宋体" w:eastAsiaTheme="minorEastAsia"/>
          <w:szCs w:val="21"/>
        </w:rPr>
        <w:t>6.2</w:t>
      </w:r>
      <w:r>
        <w:rPr>
          <w:rFonts w:hint="eastAsia" w:ascii="宋体" w:hAnsi="宋体" w:eastAsiaTheme="minorEastAsia"/>
          <w:szCs w:val="21"/>
        </w:rPr>
        <w:t>提升机控制系统要求高速响应、高可靠性，为</w:t>
      </w:r>
      <w:r>
        <w:rPr>
          <w:rFonts w:ascii="宋体" w:hAnsi="宋体" w:eastAsiaTheme="minorEastAsia"/>
          <w:szCs w:val="21"/>
        </w:rPr>
        <w:t>了确保提升机系统的</w:t>
      </w:r>
      <w:r>
        <w:rPr>
          <w:rFonts w:hint="eastAsia" w:ascii="宋体" w:hAnsi="宋体" w:eastAsiaTheme="minorEastAsia"/>
          <w:szCs w:val="21"/>
        </w:rPr>
        <w:t>安全</w:t>
      </w:r>
      <w:r>
        <w:rPr>
          <w:rFonts w:ascii="宋体" w:hAnsi="宋体" w:eastAsiaTheme="minorEastAsia"/>
          <w:szCs w:val="21"/>
        </w:rPr>
        <w:t>、可靠、自动运行</w:t>
      </w:r>
      <w:r>
        <w:rPr>
          <w:rFonts w:hint="eastAsia" w:ascii="宋体" w:hAnsi="宋体" w:eastAsiaTheme="minorEastAsia"/>
          <w:szCs w:val="21"/>
        </w:rPr>
        <w:t>，推荐采用</w:t>
      </w:r>
      <w:r>
        <w:rPr>
          <w:rFonts w:ascii="宋体" w:hAnsi="宋体" w:eastAsiaTheme="minorEastAsia"/>
          <w:szCs w:val="21"/>
        </w:rPr>
        <w:t>PLC</w:t>
      </w:r>
      <w:r>
        <w:rPr>
          <w:rFonts w:hint="eastAsia" w:ascii="宋体" w:hAnsi="宋体" w:eastAsiaTheme="minorEastAsia"/>
          <w:szCs w:val="21"/>
        </w:rPr>
        <w:t>控制系统（D</w:t>
      </w:r>
      <w:r>
        <w:rPr>
          <w:rFonts w:ascii="宋体" w:hAnsi="宋体" w:eastAsiaTheme="minorEastAsia"/>
          <w:szCs w:val="21"/>
        </w:rPr>
        <w:t>CS</w:t>
      </w:r>
      <w:r>
        <w:rPr>
          <w:rFonts w:hint="eastAsia" w:ascii="宋体" w:hAnsi="宋体" w:eastAsiaTheme="minorEastAsia"/>
          <w:szCs w:val="21"/>
        </w:rPr>
        <w:t>更适合在过程控制中采用）。为了提高C</w:t>
      </w:r>
      <w:r>
        <w:rPr>
          <w:rFonts w:ascii="宋体" w:hAnsi="宋体" w:eastAsiaTheme="minorEastAsia"/>
          <w:szCs w:val="21"/>
        </w:rPr>
        <w:t>PU</w:t>
      </w:r>
      <w:r>
        <w:rPr>
          <w:rFonts w:hint="eastAsia" w:ascii="宋体" w:hAnsi="宋体" w:eastAsiaTheme="minorEastAsia"/>
          <w:szCs w:val="21"/>
        </w:rPr>
        <w:t>可靠性，</w:t>
      </w:r>
      <w:del w:id="59" w:author="傅博" w:date="2023-10-14T16:01:00Z">
        <w:r>
          <w:rPr>
            <w:rFonts w:hint="eastAsia" w:ascii="宋体" w:hAnsi="宋体" w:eastAsiaTheme="minorEastAsia"/>
            <w:szCs w:val="21"/>
          </w:rPr>
          <w:delText>推荐</w:delText>
        </w:r>
      </w:del>
      <w:ins w:id="60" w:author="傅博" w:date="2023-10-14T16:01:00Z">
        <w:r>
          <w:rPr>
            <w:rFonts w:hint="eastAsia" w:ascii="宋体" w:hAnsi="宋体" w:eastAsiaTheme="minorEastAsia"/>
            <w:szCs w:val="21"/>
          </w:rPr>
          <w:t>应</w:t>
        </w:r>
      </w:ins>
      <w:r>
        <w:rPr>
          <w:rFonts w:hint="eastAsia" w:ascii="宋体" w:hAnsi="宋体" w:eastAsiaTheme="minorEastAsia"/>
          <w:szCs w:val="21"/>
        </w:rPr>
        <w:t>采用</w:t>
      </w:r>
      <w:del w:id="61" w:author="傅博" w:date="2023-10-14T16:01:00Z">
        <w:r>
          <w:rPr>
            <w:rFonts w:hint="eastAsia" w:ascii="宋体" w:hAnsi="宋体" w:eastAsiaTheme="minorEastAsia"/>
            <w:szCs w:val="21"/>
          </w:rPr>
          <w:delText>双</w:delText>
        </w:r>
      </w:del>
      <w:ins w:id="62" w:author="傅博" w:date="2023-10-14T16:01:00Z">
        <w:r>
          <w:rPr>
            <w:rFonts w:hint="eastAsia" w:ascii="宋体" w:hAnsi="宋体" w:eastAsiaTheme="minorEastAsia"/>
            <w:szCs w:val="21"/>
          </w:rPr>
          <w:t>冗余</w:t>
        </w:r>
      </w:ins>
      <w:r>
        <w:rPr>
          <w:rFonts w:hint="eastAsia" w:ascii="宋体" w:hAnsi="宋体" w:eastAsiaTheme="minorEastAsia"/>
          <w:szCs w:val="21"/>
        </w:rPr>
        <w:t>C</w:t>
      </w:r>
      <w:r>
        <w:rPr>
          <w:rFonts w:ascii="宋体" w:hAnsi="宋体" w:eastAsiaTheme="minorEastAsia"/>
          <w:szCs w:val="21"/>
        </w:rPr>
        <w:t>PU</w:t>
      </w:r>
      <w:r>
        <w:rPr>
          <w:rFonts w:hint="eastAsia" w:ascii="宋体" w:hAnsi="宋体" w:eastAsiaTheme="minorEastAsia"/>
          <w:szCs w:val="21"/>
        </w:rPr>
        <w:t>。</w:t>
      </w:r>
      <w:ins w:id="63" w:author="傅博" w:date="2023-10-14T16:01:00Z">
        <w:r>
          <w:rPr>
            <w:rFonts w:hint="eastAsia" w:ascii="宋体" w:hAnsi="宋体" w:eastAsiaTheme="minorEastAsia"/>
            <w:szCs w:val="21"/>
          </w:rPr>
          <w:t>由于C</w:t>
        </w:r>
      </w:ins>
      <w:ins w:id="64" w:author="傅博" w:date="2023-10-14T16:01:00Z">
        <w:r>
          <w:rPr>
            <w:rFonts w:ascii="宋体" w:hAnsi="宋体" w:eastAsiaTheme="minorEastAsia"/>
            <w:szCs w:val="21"/>
          </w:rPr>
          <w:t>PU</w:t>
        </w:r>
      </w:ins>
      <w:ins w:id="65" w:author="傅博" w:date="2023-10-14T16:01:00Z">
        <w:r>
          <w:rPr>
            <w:rFonts w:hint="eastAsia" w:ascii="宋体" w:hAnsi="宋体" w:eastAsiaTheme="minorEastAsia"/>
            <w:szCs w:val="21"/>
          </w:rPr>
          <w:t>及存储器</w:t>
        </w:r>
      </w:ins>
      <w:ins w:id="66" w:author="傅博" w:date="2023-10-14T16:02:00Z">
        <w:r>
          <w:rPr>
            <w:rFonts w:hint="eastAsia" w:ascii="宋体" w:hAnsi="宋体" w:eastAsiaTheme="minorEastAsia"/>
            <w:szCs w:val="21"/>
          </w:rPr>
          <w:t>等</w:t>
        </w:r>
      </w:ins>
      <w:ins w:id="67" w:author="傅博" w:date="2023-10-14T16:01:00Z">
        <w:r>
          <w:rPr>
            <w:rFonts w:hint="eastAsia" w:ascii="宋体" w:hAnsi="宋体" w:eastAsiaTheme="minorEastAsia" w:cstheme="minorBidi"/>
            <w:sz w:val="21"/>
            <w:szCs w:val="21"/>
            <w:rPrChange w:id="68" w:author="傅博" w:date="2023-10-14T16:01:00Z">
              <w:rPr>
                <w:rFonts w:hint="eastAsia" w:ascii="Times New Roman" w:hAnsi="Times New Roman" w:cs="Times New Roman"/>
                <w:sz w:val="20"/>
                <w:szCs w:val="20"/>
              </w:rPr>
            </w:rPrChange>
          </w:rPr>
          <w:t>硬件更新发展速度较快，不宜量化</w:t>
        </w:r>
      </w:ins>
      <w:ins w:id="69" w:author="傅博" w:date="2023-10-14T16:02:00Z">
        <w:r>
          <w:rPr>
            <w:rFonts w:hint="eastAsia" w:ascii="宋体" w:hAnsi="宋体" w:eastAsiaTheme="minorEastAsia"/>
            <w:szCs w:val="21"/>
          </w:rPr>
          <w:t>，本规范未给出具体技术指标。</w:t>
        </w:r>
      </w:ins>
    </w:p>
    <w:p>
      <w:pPr>
        <w:pStyle w:val="2"/>
        <w:rPr>
          <w:rFonts w:ascii="宋体" w:hAnsi="宋体" w:eastAsiaTheme="minorEastAsia"/>
          <w:szCs w:val="21"/>
        </w:rPr>
      </w:pPr>
      <w:r>
        <w:rPr>
          <w:rFonts w:ascii="宋体" w:hAnsi="宋体" w:eastAsiaTheme="minorEastAsia"/>
          <w:szCs w:val="21"/>
        </w:rPr>
        <w:t xml:space="preserve">6.4 </w:t>
      </w:r>
      <w:r>
        <w:rPr>
          <w:rFonts w:hint="eastAsia" w:ascii="宋体" w:hAnsi="宋体" w:eastAsiaTheme="minorEastAsia"/>
          <w:szCs w:val="21"/>
        </w:rPr>
        <w:t>罐笼（提人的竖井提升机）内无法像民用电梯采用拖曳电缆供电，推荐在罐笼内采用锂电池、铅酸电池供电，但应设置电源管理系统，</w:t>
      </w:r>
      <w:ins w:id="70" w:author="傅博" w:date="2023-10-14T16:02:00Z">
        <w:r>
          <w:rPr>
            <w:rFonts w:hint="eastAsia" w:ascii="宋体" w:hAnsi="宋体" w:eastAsiaTheme="minorEastAsia"/>
            <w:szCs w:val="21"/>
          </w:rPr>
          <w:t xml:space="preserve"> </w:t>
        </w:r>
      </w:ins>
      <w:del w:id="71" w:author="傅博" w:date="2023-10-14T16:02:00Z">
        <w:r>
          <w:rPr>
            <w:rFonts w:hint="eastAsia" w:ascii="宋体" w:hAnsi="宋体" w:eastAsiaTheme="minorEastAsia"/>
            <w:szCs w:val="21"/>
          </w:rPr>
          <w:delText>对充电电流也有要求</w:delText>
        </w:r>
      </w:del>
      <w:ins w:id="72" w:author="傅博" w:date="2023-10-14T16:02:00Z">
        <w:r>
          <w:rPr>
            <w:rFonts w:hint="eastAsia" w:ascii="宋体" w:hAnsi="宋体" w:eastAsiaTheme="minorEastAsia"/>
            <w:szCs w:val="21"/>
          </w:rPr>
          <w:t>并与主控制系统通讯</w:t>
        </w:r>
      </w:ins>
      <w:del w:id="73" w:author="傅博" w:date="2023-10-14T16:02:00Z">
        <w:r>
          <w:rPr>
            <w:rFonts w:hint="eastAsia" w:ascii="宋体" w:hAnsi="宋体" w:eastAsiaTheme="minorEastAsia"/>
            <w:szCs w:val="21"/>
          </w:rPr>
          <w:delText>。</w:delText>
        </w:r>
      </w:del>
    </w:p>
    <w:p>
      <w:pPr>
        <w:pStyle w:val="2"/>
        <w:rPr>
          <w:rFonts w:ascii="宋体" w:hAnsi="宋体" w:eastAsiaTheme="minorEastAsia"/>
          <w:szCs w:val="21"/>
        </w:rPr>
      </w:pPr>
      <w:r>
        <w:rPr>
          <w:rFonts w:ascii="宋体" w:hAnsi="宋体" w:eastAsiaTheme="minorEastAsia"/>
          <w:szCs w:val="21"/>
        </w:rPr>
        <w:t xml:space="preserve">6.5 </w:t>
      </w:r>
      <w:r>
        <w:rPr>
          <w:rFonts w:hint="eastAsia" w:ascii="宋体" w:hAnsi="宋体" w:eastAsiaTheme="minorEastAsia"/>
          <w:szCs w:val="21"/>
        </w:rPr>
        <w:t>控制系统按《</w:t>
      </w:r>
      <w:r>
        <w:rPr>
          <w:rFonts w:ascii="宋体" w:hAnsi="宋体" w:eastAsiaTheme="minorEastAsia"/>
          <w:szCs w:val="21"/>
        </w:rPr>
        <w:t xml:space="preserve">GB 50070-2020  </w:t>
      </w:r>
      <w:r>
        <w:rPr>
          <w:rFonts w:hint="eastAsia" w:ascii="宋体" w:hAnsi="宋体" w:eastAsiaTheme="minorEastAsia"/>
          <w:szCs w:val="21"/>
        </w:rPr>
        <w:t>矿山电力设计标准》和《</w:t>
      </w:r>
      <w:r>
        <w:rPr>
          <w:rFonts w:ascii="宋体" w:hAnsi="宋体" w:eastAsiaTheme="minorEastAsia"/>
          <w:szCs w:val="21"/>
        </w:rPr>
        <w:t xml:space="preserve">GB 16423-2020  </w:t>
      </w:r>
      <w:r>
        <w:rPr>
          <w:rFonts w:hint="eastAsia" w:ascii="宋体" w:hAnsi="宋体" w:eastAsiaTheme="minorEastAsia"/>
          <w:szCs w:val="21"/>
        </w:rPr>
        <w:t>金属非金属矿山安全规程》应设置很多保护功能和闭锁要求，本规范不再给出。</w:t>
      </w:r>
    </w:p>
    <w:p>
      <w:pPr>
        <w:pStyle w:val="2"/>
        <w:rPr>
          <w:rFonts w:ascii="宋体" w:hAnsi="宋体" w:eastAsiaTheme="minorEastAsia"/>
          <w:szCs w:val="21"/>
        </w:rPr>
      </w:pPr>
      <w:r>
        <w:rPr>
          <w:rFonts w:ascii="宋体" w:hAnsi="宋体" w:eastAsiaTheme="minorEastAsia"/>
          <w:szCs w:val="21"/>
        </w:rPr>
        <w:t>7</w:t>
      </w:r>
      <w:r>
        <w:rPr>
          <w:rFonts w:hint="eastAsia" w:ascii="宋体" w:hAnsi="宋体" w:eastAsiaTheme="minorEastAsia"/>
          <w:szCs w:val="21"/>
        </w:rPr>
        <w:t>.信息化系统</w:t>
      </w:r>
    </w:p>
    <w:p>
      <w:pPr>
        <w:pStyle w:val="2"/>
        <w:ind w:firstLine="424" w:firstLineChars="202"/>
        <w:rPr>
          <w:rFonts w:ascii="宋体" w:hAnsi="宋体" w:eastAsiaTheme="minorEastAsia"/>
          <w:szCs w:val="21"/>
        </w:rPr>
      </w:pPr>
      <w:r>
        <w:rPr>
          <w:rFonts w:hint="eastAsia" w:ascii="宋体" w:hAnsi="宋体" w:eastAsiaTheme="minorEastAsia"/>
          <w:szCs w:val="21"/>
        </w:rPr>
        <w:t>信息化系统是矿井提升机实现智能控制的不可缺少部分，它负责从主控制系统采集数据、存储、分析等任务。传统的矿井提升机自动控制系统只设置P</w:t>
      </w:r>
      <w:r>
        <w:rPr>
          <w:rFonts w:ascii="宋体" w:hAnsi="宋体" w:eastAsiaTheme="minorEastAsia"/>
          <w:szCs w:val="21"/>
        </w:rPr>
        <w:t>LC</w:t>
      </w:r>
      <w:r>
        <w:rPr>
          <w:rFonts w:hint="eastAsia" w:ascii="宋体" w:hAnsi="宋体" w:eastAsiaTheme="minorEastAsia"/>
          <w:szCs w:val="21"/>
        </w:rPr>
        <w:t>控制系统，不具备智能控制系统的一些核心要素及功能。</w:t>
      </w:r>
    </w:p>
    <w:p>
      <w:pPr>
        <w:pStyle w:val="19"/>
        <w:spacing w:line="360" w:lineRule="auto"/>
        <w:ind w:firstLine="0" w:firstLineChars="0"/>
      </w:pPr>
      <w:r>
        <w:rPr>
          <w:rFonts w:hAnsi="宋体" w:eastAsiaTheme="minorEastAsia"/>
          <w:szCs w:val="21"/>
        </w:rPr>
        <w:t>7.2 a)</w:t>
      </w:r>
      <w:r>
        <w:rPr>
          <w:rFonts w:hint="eastAsia" w:hAnsi="宋体" w:eastAsiaTheme="minorEastAsia"/>
          <w:szCs w:val="21"/>
        </w:rPr>
        <w:t>监控包括了监测、控制、报警等功能</w:t>
      </w:r>
      <w:r>
        <w:rPr>
          <w:rFonts w:hint="eastAsia"/>
        </w:rPr>
        <w:t>。</w:t>
      </w:r>
    </w:p>
    <w:p>
      <w:pPr>
        <w:pStyle w:val="19"/>
        <w:spacing w:line="360" w:lineRule="auto"/>
        <w:ind w:firstLine="0" w:firstLineChars="0"/>
      </w:pPr>
      <w:r>
        <w:rPr>
          <w:rFonts w:hAnsi="宋体" w:eastAsiaTheme="minorEastAsia"/>
          <w:szCs w:val="21"/>
        </w:rPr>
        <w:t>7.2 b)</w:t>
      </w:r>
      <w:r>
        <w:rPr>
          <w:rFonts w:hint="eastAsia" w:hAnsi="宋体" w:eastAsiaTheme="minorEastAsia"/>
          <w:szCs w:val="21"/>
        </w:rPr>
        <w:t>主控制系统已有提升机运行的各种实时数据，信息化系统直接通过通讯系统采集数据。</w:t>
      </w:r>
    </w:p>
    <w:p>
      <w:pPr>
        <w:pStyle w:val="19"/>
        <w:spacing w:line="360" w:lineRule="auto"/>
        <w:ind w:firstLine="0" w:firstLineChars="0"/>
      </w:pPr>
      <w:r>
        <w:rPr>
          <w:rFonts w:hAnsi="宋体" w:eastAsiaTheme="minorEastAsia"/>
          <w:szCs w:val="21"/>
        </w:rPr>
        <w:t>7.2 c)</w:t>
      </w:r>
      <w:r>
        <w:rPr>
          <w:rFonts w:hint="eastAsia" w:hAnsi="宋体" w:eastAsiaTheme="minorEastAsia"/>
          <w:szCs w:val="21"/>
        </w:rPr>
        <w:t>数据存储功能是通过数据存储，对提升机的各种数据进行存储、分类和管理。</w:t>
      </w:r>
      <w:r>
        <w:rPr>
          <w:rFonts w:hint="eastAsia"/>
        </w:rPr>
        <w:t>数据存储的可靠性是数据存储功能的关键。在设计数据存储功能时，需要考虑到数据存储的可靠性，以便保证数据的完整性和不可篡改性。数据查询的灵活性是数据存储功能的重要方面。在设计数据存储功能时，需要考虑到数据查询的灵活性，以便满足不同用户的需求。包括了运行数据、故障信息数据、工作时间数据、维护数据等存储。</w:t>
      </w:r>
      <w:ins w:id="74" w:author="傅博" w:date="2023-10-14T16:05:00Z">
        <w:r>
          <w:rPr>
            <w:rFonts w:hint="eastAsia"/>
          </w:rPr>
          <w:t>各类数据用途各不相同，</w:t>
        </w:r>
      </w:ins>
      <w:ins w:id="75" w:author="傅博" w:date="2023-10-14T16:06:00Z">
        <w:r>
          <w:rPr>
            <w:rFonts w:hint="eastAsia"/>
          </w:rPr>
          <w:t>要求也不尽相同，为</w:t>
        </w:r>
      </w:ins>
      <w:ins w:id="76" w:author="傅博" w:date="2023-10-14T16:07:00Z">
        <w:r>
          <w:rPr>
            <w:rFonts w:hint="eastAsia"/>
          </w:rPr>
          <w:t>保持一致，故将存储时间统一为不少于半年。</w:t>
        </w:r>
      </w:ins>
    </w:p>
    <w:p>
      <w:pPr>
        <w:pStyle w:val="19"/>
        <w:spacing w:line="360" w:lineRule="auto"/>
        <w:ind w:firstLine="0" w:firstLineChars="0"/>
      </w:pPr>
      <w:r>
        <w:rPr>
          <w:rFonts w:hAnsi="宋体" w:eastAsiaTheme="minorEastAsia"/>
          <w:szCs w:val="21"/>
        </w:rPr>
        <w:t>7.2 d)</w:t>
      </w:r>
      <w:r>
        <w:rPr>
          <w:rFonts w:hint="eastAsia"/>
        </w:rPr>
        <w:t>数据分析是矿井提升机智能控制系统的核心内容。通过数据分析，可以对矿井提升机的运行状态、运输量、负载、传动系统、控制系统、传感器等信息进行分析，发现其中的规律和趋势，以提供准确的运行状态和故障诊断信息。在数据分析过程中，可以使用多种算法和模型，如决策树、神经网络等，以分析矿井提升机的运行状态。同时，还可以使用数据可视化技术，将分析结果以图表等形式呈现，便于用户进行直观的理解和分析。</w:t>
      </w:r>
    </w:p>
    <w:p>
      <w:pPr>
        <w:pStyle w:val="19"/>
        <w:spacing w:line="360" w:lineRule="auto"/>
        <w:ind w:firstLine="0" w:firstLineChars="0"/>
      </w:pPr>
      <w:r>
        <w:rPr>
          <w:rFonts w:hAnsi="宋体" w:eastAsiaTheme="minorEastAsia"/>
          <w:szCs w:val="21"/>
        </w:rPr>
        <w:t>7.2 e)</w:t>
      </w:r>
      <w:r>
        <w:rPr>
          <w:rFonts w:hint="eastAsia" w:hAnsi="宋体" w:eastAsiaTheme="minorEastAsia"/>
          <w:szCs w:val="21"/>
        </w:rPr>
        <w:t>数据应用</w:t>
      </w:r>
      <w:r>
        <w:rPr>
          <w:rFonts w:hint="eastAsia"/>
        </w:rPr>
        <w:t>是设置信息化系统的最主要目的。包括了故障诊断、设备健康状况预测、能源管理、维护及维护计划、人员安全预警、排班等应用。</w:t>
      </w:r>
    </w:p>
    <w:p>
      <w:pPr>
        <w:pStyle w:val="2"/>
        <w:rPr>
          <w:rFonts w:ascii="宋体" w:hAnsi="宋体" w:eastAsiaTheme="minorEastAsia"/>
          <w:szCs w:val="21"/>
        </w:rPr>
      </w:pPr>
      <w:r>
        <w:rPr>
          <w:rFonts w:ascii="宋体" w:hAnsi="宋体" w:eastAsiaTheme="minorEastAsia"/>
          <w:szCs w:val="21"/>
        </w:rPr>
        <w:t>8</w:t>
      </w:r>
      <w:r>
        <w:rPr>
          <w:rFonts w:hint="eastAsia" w:ascii="宋体" w:hAnsi="宋体" w:eastAsiaTheme="minorEastAsia"/>
          <w:szCs w:val="21"/>
        </w:rPr>
        <w:t>.人机交互界面</w:t>
      </w:r>
    </w:p>
    <w:p>
      <w:pPr>
        <w:pStyle w:val="19"/>
        <w:spacing w:line="360" w:lineRule="auto"/>
        <w:ind w:firstLine="0" w:firstLineChars="0"/>
      </w:pPr>
      <w:r>
        <w:rPr>
          <w:rFonts w:hAnsi="宋体" w:eastAsiaTheme="minorEastAsia"/>
          <w:szCs w:val="21"/>
        </w:rPr>
        <w:t>8.1</w:t>
      </w:r>
      <w:del w:id="77" w:author="傅博" w:date="2023-10-14T16:08:00Z">
        <w:r>
          <w:rPr>
            <w:rFonts w:hAnsi="宋体" w:eastAsiaTheme="minorEastAsia"/>
            <w:szCs w:val="21"/>
          </w:rPr>
          <w:delText xml:space="preserve"> a)</w:delText>
        </w:r>
      </w:del>
      <w:del w:id="78" w:author="傅博" w:date="2023-10-14T16:14:00Z">
        <w:r>
          <w:rPr>
            <w:rFonts w:hint="eastAsia" w:hAnsi="宋体" w:eastAsiaTheme="minorEastAsia"/>
            <w:szCs w:val="21"/>
          </w:rPr>
          <w:delText>操作显示界面</w:delText>
        </w:r>
      </w:del>
      <w:del w:id="79" w:author="傅博" w:date="2023-10-14T16:14:00Z">
        <w:r>
          <w:rPr>
            <w:rFonts w:hint="eastAsia"/>
          </w:rPr>
          <w:delText>应具备简洁明了、易于操作和易于理解的特点，以便操作者能够快速准确地掌握提升机的运行状态。包括控制操作显示、故障诊断结果显示、历史数据查询、报警及处理显示、用户管理等功能。</w:delText>
        </w:r>
      </w:del>
      <w:ins w:id="80" w:author="傅博" w:date="2023-10-14T16:10:00Z">
        <w:r>
          <w:rPr>
            <w:rFonts w:hint="eastAsia"/>
          </w:rPr>
          <w:t>从提升机的运行</w:t>
        </w:r>
      </w:ins>
      <w:ins w:id="81" w:author="傅博" w:date="2023-10-14T16:11:00Z">
        <w:r>
          <w:rPr>
            <w:rFonts w:hint="eastAsia"/>
          </w:rPr>
          <w:t>管理要求来看，希望系统能提供提升机更加</w:t>
        </w:r>
      </w:ins>
      <w:ins w:id="82" w:author="傅博" w:date="2023-10-14T16:12:00Z">
        <w:r>
          <w:rPr>
            <w:rFonts w:hint="eastAsia"/>
          </w:rPr>
          <w:t>详尽的信息</w:t>
        </w:r>
      </w:ins>
      <w:ins w:id="83" w:author="傅博" w:date="2023-10-14T16:13:00Z">
        <w:r>
          <w:rPr>
            <w:rFonts w:hint="eastAsia"/>
          </w:rPr>
          <w:t>，但对于操作人员来说，希望界面</w:t>
        </w:r>
      </w:ins>
      <w:ins w:id="84" w:author="傅博" w:date="2023-10-14T16:14:00Z">
        <w:r>
          <w:rPr>
            <w:rFonts w:hint="eastAsia"/>
          </w:rPr>
          <w:t>尽量简洁</w:t>
        </w:r>
      </w:ins>
      <w:ins w:id="85" w:author="傅博" w:date="2023-10-14T16:15:00Z">
        <w:r>
          <w:rPr>
            <w:rFonts w:hint="eastAsia"/>
          </w:rPr>
          <w:t>，</w:t>
        </w:r>
      </w:ins>
      <w:ins w:id="86" w:author="傅博" w:date="2023-10-14T16:14:00Z">
        <w:r>
          <w:rPr>
            <w:rFonts w:hint="eastAsia"/>
          </w:rPr>
          <w:t>以便操作者能够快速准确地掌握提升机的运行状态。包括控制操作显示、故障诊断结果显示、历史数据查询、报警及处理显示、用户管理等功能。</w:t>
        </w:r>
      </w:ins>
    </w:p>
    <w:p>
      <w:pPr>
        <w:pStyle w:val="19"/>
        <w:spacing w:line="360" w:lineRule="auto"/>
        <w:ind w:firstLine="0" w:firstLineChars="0"/>
      </w:pPr>
      <w:r>
        <w:rPr>
          <w:rFonts w:hAnsi="宋体" w:eastAsiaTheme="minorEastAsia"/>
          <w:szCs w:val="21"/>
        </w:rPr>
        <w:t>9</w:t>
      </w:r>
      <w:r>
        <w:rPr>
          <w:rFonts w:hint="eastAsia" w:hAnsi="宋体" w:eastAsiaTheme="minorEastAsia"/>
          <w:szCs w:val="21"/>
        </w:rPr>
        <w:t>.通讯系统</w:t>
      </w:r>
    </w:p>
    <w:p>
      <w:pPr>
        <w:pStyle w:val="19"/>
        <w:spacing w:line="360" w:lineRule="auto"/>
        <w:ind w:firstLine="0" w:firstLineChars="0"/>
        <w:rPr>
          <w:rFonts w:hAnsi="宋体"/>
          <w:color w:val="333333"/>
          <w:szCs w:val="21"/>
          <w:shd w:val="clear" w:color="auto" w:fill="FFFFFF"/>
        </w:rPr>
      </w:pPr>
      <w:r>
        <w:t xml:space="preserve">9.2 </w:t>
      </w:r>
      <w:r>
        <w:rPr>
          <w:rFonts w:hint="eastAsia" w:hAnsi="宋体"/>
          <w:color w:val="333333"/>
          <w:szCs w:val="21"/>
          <w:shd w:val="clear" w:color="auto" w:fill="FFFFFF"/>
        </w:rPr>
        <w:t>为提高通讯系统的可靠性，通讯模块、交换机等通讯设备应冗余设置。</w:t>
      </w:r>
      <w:del w:id="87" w:author="傅博" w:date="2023-10-14T16:15:00Z">
        <w:r>
          <w:rPr>
            <w:rFonts w:hint="eastAsia" w:hAnsi="宋体"/>
            <w:color w:val="333333"/>
            <w:szCs w:val="21"/>
            <w:shd w:val="clear" w:color="auto" w:fill="FFFFFF"/>
          </w:rPr>
          <w:delText>这里的通讯模块是指P</w:delText>
        </w:r>
      </w:del>
      <w:del w:id="88" w:author="傅博" w:date="2023-10-14T16:15:00Z">
        <w:r>
          <w:rPr>
            <w:rFonts w:hAnsi="宋体"/>
            <w:color w:val="333333"/>
            <w:szCs w:val="21"/>
            <w:shd w:val="clear" w:color="auto" w:fill="FFFFFF"/>
          </w:rPr>
          <w:delText>LC</w:delText>
        </w:r>
      </w:del>
      <w:del w:id="89" w:author="傅博" w:date="2023-10-14T16:15:00Z">
        <w:r>
          <w:rPr>
            <w:rFonts w:hint="eastAsia" w:hAnsi="宋体"/>
            <w:color w:val="333333"/>
            <w:szCs w:val="21"/>
            <w:shd w:val="clear" w:color="auto" w:fill="FFFFFF"/>
          </w:rPr>
          <w:delText>控制系统的通讯模块。</w:delText>
        </w:r>
      </w:del>
    </w:p>
    <w:p>
      <w:pPr>
        <w:pStyle w:val="19"/>
        <w:spacing w:line="360" w:lineRule="auto"/>
        <w:ind w:firstLine="0" w:firstLineChars="0"/>
        <w:rPr>
          <w:rFonts w:hAnsi="宋体"/>
          <w:color w:val="333333"/>
          <w:szCs w:val="21"/>
          <w:shd w:val="clear" w:color="auto" w:fill="FFFFFF"/>
        </w:rPr>
      </w:pPr>
      <w:r>
        <w:rPr>
          <w:rFonts w:hint="eastAsia" w:hAnsi="宋体"/>
          <w:color w:val="333333"/>
          <w:szCs w:val="21"/>
          <w:shd w:val="clear" w:color="auto" w:fill="FFFFFF"/>
        </w:rPr>
        <w:t>9</w:t>
      </w:r>
      <w:r>
        <w:rPr>
          <w:rFonts w:hAnsi="宋体"/>
          <w:color w:val="333333"/>
          <w:szCs w:val="21"/>
          <w:shd w:val="clear" w:color="auto" w:fill="FFFFFF"/>
        </w:rPr>
        <w:t>.4</w:t>
      </w:r>
      <w:r>
        <w:rPr>
          <w:rFonts w:hint="eastAsia" w:hAnsi="宋体"/>
          <w:color w:val="333333"/>
          <w:szCs w:val="21"/>
          <w:shd w:val="clear" w:color="auto" w:fill="FFFFFF"/>
        </w:rPr>
        <w:t>由于矿井提升机罐笼的特殊性，</w:t>
      </w:r>
      <w:del w:id="90" w:author="傅博" w:date="2023-10-14T16:15:00Z">
        <w:r>
          <w:rPr>
            <w:rFonts w:hint="eastAsia" w:hAnsi="宋体"/>
            <w:color w:val="333333"/>
            <w:szCs w:val="21"/>
            <w:shd w:val="clear" w:color="auto" w:fill="FFFFFF"/>
          </w:rPr>
          <w:delText>应</w:delText>
        </w:r>
      </w:del>
      <w:ins w:id="91" w:author="傅博" w:date="2023-10-14T16:15:00Z">
        <w:r>
          <w:rPr>
            <w:rFonts w:hint="eastAsia" w:hAnsi="宋体"/>
            <w:color w:val="333333"/>
            <w:szCs w:val="21"/>
            <w:shd w:val="clear" w:color="auto" w:fill="FFFFFF"/>
          </w:rPr>
          <w:t>宜</w:t>
        </w:r>
      </w:ins>
      <w:r>
        <w:rPr>
          <w:rFonts w:hint="eastAsia" w:hAnsi="宋体"/>
          <w:color w:val="333333"/>
          <w:szCs w:val="21"/>
          <w:shd w:val="clear" w:color="auto" w:fill="FFFFFF"/>
        </w:rPr>
        <w:t>采用无线通讯。</w:t>
      </w:r>
    </w:p>
    <w:p>
      <w:pPr>
        <w:pStyle w:val="19"/>
        <w:spacing w:line="360" w:lineRule="auto"/>
        <w:ind w:firstLine="0" w:firstLineChars="0"/>
      </w:pPr>
      <w:r>
        <w:rPr>
          <w:rFonts w:hAnsi="宋体" w:eastAsiaTheme="minorEastAsia"/>
          <w:szCs w:val="21"/>
        </w:rPr>
        <w:t>10</w:t>
      </w:r>
      <w:r>
        <w:rPr>
          <w:rFonts w:hint="eastAsia" w:hAnsi="宋体" w:eastAsiaTheme="minorEastAsia"/>
          <w:szCs w:val="21"/>
        </w:rPr>
        <w:t>.</w:t>
      </w:r>
      <w:del w:id="92" w:author="傅博" w:date="2023-10-14T16:15:00Z">
        <w:r>
          <w:rPr>
            <w:rFonts w:hint="eastAsia" w:hAnsi="宋体" w:eastAsiaTheme="minorEastAsia"/>
            <w:szCs w:val="21"/>
          </w:rPr>
          <w:delText>视频</w:delText>
        </w:r>
      </w:del>
      <w:ins w:id="93" w:author="傅博" w:date="2023-10-14T16:15:00Z">
        <w:r>
          <w:rPr>
            <w:rFonts w:hint="eastAsia" w:hAnsi="宋体" w:eastAsiaTheme="minorEastAsia"/>
            <w:szCs w:val="21"/>
          </w:rPr>
          <w:t>音视频</w:t>
        </w:r>
      </w:ins>
      <w:r>
        <w:rPr>
          <w:rFonts w:hint="eastAsia" w:hAnsi="宋体" w:eastAsiaTheme="minorEastAsia"/>
          <w:szCs w:val="21"/>
        </w:rPr>
        <w:t>系统</w:t>
      </w:r>
    </w:p>
    <w:p>
      <w:pPr>
        <w:pStyle w:val="19"/>
        <w:spacing w:line="360" w:lineRule="auto"/>
        <w:ind w:firstLine="0" w:firstLineChars="0"/>
        <w:rPr>
          <w:rFonts w:hint="eastAsia" w:hAnsi="宋体" w:eastAsiaTheme="minorEastAsia"/>
          <w:szCs w:val="21"/>
        </w:rPr>
      </w:pPr>
      <w:r>
        <w:rPr>
          <w:rFonts w:hAnsi="宋体" w:eastAsiaTheme="minorEastAsia"/>
          <w:szCs w:val="21"/>
        </w:rPr>
        <w:t xml:space="preserve">10.1 </w:t>
      </w:r>
      <w:r>
        <w:rPr>
          <w:rFonts w:hint="eastAsia" w:hAnsi="宋体" w:eastAsiaTheme="minorEastAsia"/>
          <w:szCs w:val="21"/>
        </w:rPr>
        <w:t>规定了视频监控的主要位置及</w:t>
      </w:r>
      <w:del w:id="94" w:author="傅博" w:date="2023-10-14T16:16:00Z">
        <w:r>
          <w:rPr>
            <w:rFonts w:hint="eastAsia" w:hAnsi="宋体" w:eastAsiaTheme="minorEastAsia"/>
            <w:szCs w:val="21"/>
          </w:rPr>
          <w:delText>数量</w:delText>
        </w:r>
      </w:del>
      <w:ins w:id="95" w:author="傅博" w:date="2023-10-14T16:16:00Z">
        <w:r>
          <w:rPr>
            <w:rFonts w:hint="eastAsia" w:hAnsi="宋体" w:eastAsiaTheme="minorEastAsia"/>
            <w:szCs w:val="21"/>
          </w:rPr>
          <w:t>功能</w:t>
        </w:r>
      </w:ins>
      <w:r>
        <w:rPr>
          <w:rFonts w:hint="eastAsia" w:hAnsi="宋体" w:eastAsiaTheme="minorEastAsia"/>
          <w:szCs w:val="21"/>
        </w:rPr>
        <w:t>。</w:t>
      </w:r>
      <w:ins w:id="96" w:author="傅博" w:date="2023-10-14T16:18:00Z">
        <w:r>
          <w:rPr>
            <w:rFonts w:hint="eastAsia" w:hAnsi="宋体" w:eastAsiaTheme="minorEastAsia"/>
            <w:szCs w:val="21"/>
          </w:rPr>
          <w:t>针对不同的</w:t>
        </w:r>
      </w:ins>
      <w:ins w:id="97" w:author="傅博" w:date="2023-10-14T16:19:00Z">
        <w:r>
          <w:rPr>
            <w:rFonts w:hint="eastAsia" w:hAnsi="宋体" w:eastAsiaTheme="minorEastAsia"/>
            <w:szCs w:val="21"/>
          </w:rPr>
          <w:t>位置要求不尽相同，总的目的是具备</w:t>
        </w:r>
      </w:ins>
      <w:ins w:id="98" w:author="傅博" w:date="2023-10-14T16:20:00Z">
        <w:r>
          <w:rPr>
            <w:rFonts w:hint="eastAsia" w:hAnsi="宋体" w:eastAsiaTheme="minorEastAsia"/>
            <w:szCs w:val="21"/>
          </w:rPr>
          <w:t>设备运行异常及人员A</w:t>
        </w:r>
      </w:ins>
      <w:ins w:id="99" w:author="傅博" w:date="2023-10-14T16:20:00Z">
        <w:r>
          <w:rPr>
            <w:rFonts w:hAnsi="宋体" w:eastAsiaTheme="minorEastAsia"/>
            <w:szCs w:val="21"/>
          </w:rPr>
          <w:t>I</w:t>
        </w:r>
      </w:ins>
      <w:ins w:id="100" w:author="傅博" w:date="2023-10-14T16:20:00Z">
        <w:r>
          <w:rPr>
            <w:rFonts w:hint="eastAsia" w:hAnsi="宋体" w:eastAsiaTheme="minorEastAsia"/>
            <w:szCs w:val="21"/>
          </w:rPr>
          <w:t>识别功能，实现与提升机控制联锁及报警。</w:t>
        </w:r>
      </w:ins>
    </w:p>
    <w:p>
      <w:pPr>
        <w:pStyle w:val="19"/>
        <w:spacing w:line="360" w:lineRule="auto"/>
        <w:ind w:firstLine="0" w:firstLineChars="0"/>
        <w:rPr>
          <w:rFonts w:hAnsi="宋体" w:eastAsiaTheme="minorEastAsia"/>
          <w:szCs w:val="21"/>
        </w:rPr>
      </w:pPr>
      <w:r>
        <w:rPr>
          <w:rFonts w:hAnsi="宋体" w:eastAsiaTheme="minorEastAsia"/>
          <w:szCs w:val="21"/>
        </w:rPr>
        <w:t xml:space="preserve">10.2 </w:t>
      </w:r>
      <w:r>
        <w:rPr>
          <w:rFonts w:hint="eastAsia" w:hAnsi="宋体" w:eastAsiaTheme="minorEastAsia"/>
          <w:szCs w:val="21"/>
        </w:rPr>
        <w:t>规定了摄像头的规格。井下各中段由于光线较暗，推荐采用星光级摄像头。</w:t>
      </w:r>
      <w:ins w:id="101" w:author="傅博" w:date="2023-10-14T16:16:00Z">
        <w:r>
          <w:rPr>
            <w:rFonts w:hint="eastAsia" w:hAnsi="宋体" w:eastAsiaTheme="minorEastAsia"/>
            <w:szCs w:val="21"/>
          </w:rPr>
          <w:t>为</w:t>
        </w:r>
      </w:ins>
      <w:ins w:id="102" w:author="傅博" w:date="2023-10-14T16:17:00Z">
        <w:r>
          <w:rPr>
            <w:rFonts w:hint="eastAsia" w:hAnsi="宋体" w:eastAsiaTheme="minorEastAsia"/>
            <w:szCs w:val="21"/>
          </w:rPr>
          <w:t>减轻视频监控系统的负担，</w:t>
        </w:r>
      </w:ins>
      <w:ins w:id="103" w:author="傅博" w:date="2023-10-14T16:18:00Z">
        <w:r>
          <w:rPr>
            <w:rFonts w:hint="eastAsia" w:hAnsi="宋体" w:eastAsiaTheme="minorEastAsia"/>
            <w:szCs w:val="21"/>
          </w:rPr>
          <w:t>摄像头宜具备边缘计算能力。</w:t>
        </w:r>
      </w:ins>
    </w:p>
    <w:p>
      <w:pPr>
        <w:pStyle w:val="19"/>
        <w:spacing w:line="360" w:lineRule="auto"/>
        <w:ind w:firstLine="0" w:firstLineChars="0"/>
        <w:rPr>
          <w:rFonts w:hAnsi="宋体" w:eastAsiaTheme="minorEastAsia"/>
          <w:szCs w:val="21"/>
        </w:rPr>
      </w:pPr>
      <w:r>
        <w:rPr>
          <w:rFonts w:hAnsi="宋体" w:eastAsiaTheme="minorEastAsia"/>
          <w:szCs w:val="21"/>
        </w:rPr>
        <w:t xml:space="preserve">10.3 </w:t>
      </w:r>
      <w:r>
        <w:rPr>
          <w:rFonts w:hint="eastAsia" w:hAnsi="宋体" w:eastAsiaTheme="minorEastAsia"/>
          <w:szCs w:val="21"/>
        </w:rPr>
        <w:t>规定了摄像头的传输介质。</w:t>
      </w:r>
    </w:p>
    <w:p>
      <w:pPr>
        <w:pStyle w:val="19"/>
        <w:spacing w:line="360" w:lineRule="auto"/>
        <w:ind w:firstLine="0" w:firstLineChars="0"/>
        <w:rPr>
          <w:del w:id="104" w:author="傅博" w:date="2023-10-14T16:16:00Z"/>
        </w:rPr>
      </w:pPr>
      <w:del w:id="105" w:author="傅博" w:date="2023-10-14T16:16:00Z">
        <w:r>
          <w:rPr>
            <w:rFonts w:hAnsi="宋体" w:eastAsiaTheme="minorEastAsia"/>
            <w:szCs w:val="21"/>
          </w:rPr>
          <w:delText xml:space="preserve">10.4 </w:delText>
        </w:r>
      </w:del>
      <w:del w:id="106" w:author="傅博" w:date="2023-10-14T16:16:00Z">
        <w:r>
          <w:rPr>
            <w:rFonts w:hint="eastAsia"/>
          </w:rPr>
          <w:delText>利用机器视觉，实现对矿井提升机各中段及井口设备的工作情况进行监视。同时可以对人员的行为进行实时监控，及时发现人员的不安全行为，如进入不安全区域、跨越电子围栏等，进行预警和提醒，保障人员的安全。</w:delText>
        </w:r>
      </w:del>
      <w:del w:id="107" w:author="傅博" w:date="2023-10-14T16:16:00Z">
        <w:r>
          <w:rPr/>
          <w:delText xml:space="preserve">11 </w:delText>
        </w:r>
      </w:del>
      <w:del w:id="108" w:author="傅博" w:date="2023-10-14T16:16:00Z">
        <w:r>
          <w:rPr>
            <w:rFonts w:hint="eastAsia"/>
          </w:rPr>
          <w:delText>其它</w:delText>
        </w:r>
      </w:del>
    </w:p>
    <w:p>
      <w:pPr>
        <w:pStyle w:val="2"/>
        <w:ind w:firstLine="424" w:firstLineChars="202"/>
        <w:rPr>
          <w:del w:id="109" w:author="傅博" w:date="2023-10-14T16:16:00Z"/>
          <w:rFonts w:ascii="宋体" w:hAnsi="宋体" w:eastAsiaTheme="minorEastAsia"/>
          <w:szCs w:val="21"/>
        </w:rPr>
      </w:pPr>
      <w:del w:id="110" w:author="傅博" w:date="2023-10-14T16:16:00Z">
        <w:r>
          <w:rPr>
            <w:rFonts w:hint="eastAsia" w:ascii="宋体" w:hAnsi="宋体" w:eastAsiaTheme="minorEastAsia"/>
            <w:szCs w:val="21"/>
          </w:rPr>
          <w:delText>过卷保护和减速保护是矿井提升机控制系统最重要的保护，本规范要求冗余设置。冗余设置能够实现双重检测，即两个传感器同时检测同一参数，并在检测结果不一致时发出警报信号，确保系统的可靠性和安全性。</w:delText>
        </w:r>
      </w:del>
    </w:p>
    <w:p>
      <w:p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四、标准中涉及专利的情况</w:t>
      </w:r>
    </w:p>
    <w:p>
      <w:pPr>
        <w:pStyle w:val="2"/>
        <w:ind w:firstLine="420" w:firstLineChars="200"/>
        <w:rPr>
          <w:rFonts w:ascii="宋体" w:hAnsi="宋体" w:eastAsiaTheme="minorEastAsia"/>
          <w:szCs w:val="21"/>
        </w:rPr>
      </w:pPr>
      <w:r>
        <w:rPr>
          <w:rFonts w:hint="eastAsia" w:ascii="宋体" w:hAnsi="宋体" w:eastAsiaTheme="minorEastAsia"/>
          <w:szCs w:val="21"/>
        </w:rPr>
        <w:t>本标准不涉及专利问题。（若标准中涉及专利，需要在附件中提供必要专利信息披露表、已披露的专利清单、必要专利实施许可声明表等材料。）</w:t>
      </w:r>
    </w:p>
    <w:p>
      <w:pPr>
        <w:numPr>
          <w:ilvl w:val="0"/>
          <w:numId w:val="8"/>
        </w:num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预期达到的社会效益等情况</w:t>
      </w:r>
    </w:p>
    <w:p>
      <w:pPr>
        <w:pStyle w:val="2"/>
        <w:numPr>
          <w:ilvl w:val="0"/>
          <w:numId w:val="9"/>
        </w:numPr>
        <w:rPr>
          <w:rFonts w:ascii="黑体" w:hAnsi="宋体" w:eastAsia="黑体" w:cs="宋体"/>
          <w:bCs/>
          <w:szCs w:val="21"/>
        </w:rPr>
      </w:pPr>
      <w:r>
        <w:rPr>
          <w:rFonts w:hint="eastAsia" w:ascii="黑体" w:hAnsi="宋体" w:eastAsia="黑体" w:cs="宋体"/>
          <w:bCs/>
          <w:szCs w:val="21"/>
        </w:rPr>
        <w:t>项目的必要性阐述</w:t>
      </w:r>
    </w:p>
    <w:p>
      <w:pPr>
        <w:pStyle w:val="2"/>
        <w:ind w:firstLine="420" w:firstLineChars="200"/>
        <w:rPr>
          <w:rFonts w:ascii="宋体" w:hAnsi="宋体" w:eastAsiaTheme="minorEastAsia"/>
          <w:szCs w:val="21"/>
        </w:rPr>
      </w:pPr>
      <w:r>
        <w:rPr>
          <w:rFonts w:hint="eastAsia" w:ascii="宋体" w:hAnsi="宋体" w:eastAsiaTheme="minorEastAsia"/>
          <w:szCs w:val="21"/>
        </w:rPr>
        <w:t>是否为国家产业政策、规划、专项等国家重点支持发展的标准项目，重大科技成果转化项目，拟主导制定国际标准的标准项目，社会广泛关注的热点标准项目，以及具有显著社会效益和经济效益的标准项目。属于国家专项重点支持发展的标准项目时应注明：已列入XXXX年XXXX专项《XXXX》中，项目编号XXXX；属于国家产业政策、规划重点支持发展的标准项目时应注明：属于《XX》XXXX号文“XXXX”中的“XXXX”。</w:t>
      </w:r>
    </w:p>
    <w:p>
      <w:pPr>
        <w:ind w:firstLine="420" w:firstLineChars="200"/>
        <w:rPr>
          <w:rFonts w:ascii="宋体" w:hAnsi="宋体" w:eastAsia="宋体" w:cs="宋体"/>
          <w:szCs w:val="21"/>
        </w:rPr>
      </w:pPr>
      <w:r>
        <w:rPr>
          <w:rFonts w:hint="eastAsia" w:ascii="宋体" w:hAnsi="宋体" w:eastAsia="宋体" w:cs="宋体"/>
          <w:szCs w:val="21"/>
        </w:rPr>
        <w:t>矿井提升机是矿山重要的生产固定设施，其自动控制系统是保证设备运转安全、提高矿山本质安全水平的重要系统。为推进有色金属矿山智能升级先进装备、先进信息技术，通过智能制造实施方案实现矿井提升机无人值守自动化，国内新建有色金属矿井提升机智能控制系统技术上已基本具备实现无人值守自动化能力，原有有色金属矿井提升机自动控制系统也面临升级改造。基于以上现状分析</w:t>
      </w:r>
      <w:ins w:id="111" w:author="傅博" w:date="2023-10-09T10:56:00Z">
        <w:r>
          <w:rPr>
            <w:rFonts w:hint="eastAsia" w:ascii="宋体" w:hAnsi="宋体" w:eastAsia="宋体" w:cs="宋体"/>
            <w:szCs w:val="21"/>
          </w:rPr>
          <w:t>及</w:t>
        </w:r>
      </w:ins>
      <w:ins w:id="112" w:author="傅博" w:date="2023-10-09T10:57:00Z">
        <w:r>
          <w:rPr>
            <w:rFonts w:hint="eastAsia" w:ascii="宋体" w:hAnsi="宋体" w:eastAsia="宋体" w:cs="宋体"/>
            <w:szCs w:val="21"/>
          </w:rPr>
          <w:t>国家《有色金属行业智能矿山建设指南》相关要求，</w:t>
        </w:r>
      </w:ins>
      <w:del w:id="113" w:author="傅博" w:date="2023-10-09T10:58:00Z">
        <w:r>
          <w:rPr>
            <w:rFonts w:hint="eastAsia" w:ascii="宋体" w:hAnsi="宋体" w:eastAsia="宋体" w:cs="宋体"/>
            <w:szCs w:val="21"/>
          </w:rPr>
          <w:delText>，</w:delText>
        </w:r>
      </w:del>
      <w:del w:id="114" w:author="傅博" w:date="2023-10-09T10:57:00Z">
        <w:r>
          <w:rPr>
            <w:rFonts w:hint="eastAsia" w:ascii="宋体" w:hAnsi="宋体" w:eastAsia="宋体" w:cs="宋体"/>
            <w:szCs w:val="21"/>
          </w:rPr>
          <w:delText>且市场是巨大的，</w:delText>
        </w:r>
      </w:del>
      <w:ins w:id="115" w:author="傅博" w:date="2023-10-09T10:57:00Z">
        <w:r>
          <w:rPr>
            <w:rFonts w:hint="eastAsia" w:ascii="宋体" w:hAnsi="宋体" w:eastAsia="宋体" w:cs="宋体"/>
            <w:szCs w:val="21"/>
          </w:rPr>
          <w:t>因此</w:t>
        </w:r>
      </w:ins>
      <w:r>
        <w:rPr>
          <w:rFonts w:hint="eastAsia" w:ascii="宋体" w:hAnsi="宋体" w:eastAsia="宋体" w:cs="宋体"/>
          <w:szCs w:val="21"/>
        </w:rPr>
        <w:t>迫切需要编制</w:t>
      </w:r>
      <w:ins w:id="116" w:author="傅博" w:date="2023-10-09T10:58:00Z">
        <w:r>
          <w:rPr>
            <w:rFonts w:hint="eastAsia" w:ascii="宋体" w:hAnsi="宋体" w:eastAsia="宋体" w:cs="宋体"/>
            <w:szCs w:val="21"/>
          </w:rPr>
          <w:t>《有色金属矿井提升机智能控制系统技术规范》</w:t>
        </w:r>
      </w:ins>
      <w:del w:id="117" w:author="傅博" w:date="2023-10-09T10:56:00Z">
        <w:r>
          <w:rPr>
            <w:rFonts w:hint="eastAsia" w:ascii="宋体" w:hAnsi="宋体" w:eastAsia="宋体" w:cs="宋体"/>
            <w:szCs w:val="21"/>
          </w:rPr>
          <w:delText>《有色金属矿井提升机智能控制系统技术规范》</w:delText>
        </w:r>
      </w:del>
      <w:r>
        <w:rPr>
          <w:rFonts w:hint="eastAsia" w:ascii="宋体" w:hAnsi="宋体" w:eastAsia="宋体" w:cs="宋体"/>
          <w:szCs w:val="21"/>
        </w:rPr>
        <w:t>来指导有色金属矿山矿井提升机智能控制系统的建设。</w:t>
      </w:r>
      <w:del w:id="118" w:author="傅博" w:date="2023-10-09T10:58:00Z">
        <w:r>
          <w:rPr>
            <w:rFonts w:hint="eastAsia" w:ascii="宋体" w:hAnsi="宋体" w:eastAsia="宋体" w:cs="宋体"/>
            <w:szCs w:val="21"/>
          </w:rPr>
          <w:delText>同时根据国家</w:delText>
        </w:r>
      </w:del>
      <w:del w:id="119" w:author="傅博" w:date="2023-10-09T10:57:00Z">
        <w:r>
          <w:rPr>
            <w:rFonts w:hint="eastAsia" w:ascii="宋体" w:hAnsi="宋体" w:eastAsia="宋体" w:cs="宋体"/>
            <w:szCs w:val="21"/>
          </w:rPr>
          <w:delText>《有色金属行业智能矿山建设指南》</w:delText>
        </w:r>
      </w:del>
      <w:del w:id="120" w:author="傅博" w:date="2023-10-09T10:58:00Z">
        <w:r>
          <w:rPr>
            <w:rFonts w:hint="eastAsia" w:ascii="宋体" w:hAnsi="宋体" w:eastAsia="宋体" w:cs="宋体"/>
            <w:szCs w:val="21"/>
          </w:rPr>
          <w:delText>也有明确要求。</w:delText>
        </w:r>
      </w:del>
    </w:p>
    <w:p>
      <w:pPr>
        <w:ind w:firstLine="420" w:firstLineChars="200"/>
        <w:rPr>
          <w:rFonts w:ascii="宋体" w:hAnsi="宋体" w:eastAsia="宋体" w:cs="宋体"/>
          <w:szCs w:val="21"/>
        </w:rPr>
      </w:pPr>
      <w:r>
        <w:rPr>
          <w:rFonts w:hint="eastAsia" w:ascii="宋体" w:hAnsi="宋体" w:eastAsia="宋体" w:cs="宋体"/>
          <w:szCs w:val="21"/>
        </w:rPr>
        <w:t>综上简述，编制《有色金属矿井提升机智能控制系统技术规范》是必要的。</w:t>
      </w:r>
    </w:p>
    <w:p>
      <w:pPr>
        <w:pStyle w:val="2"/>
        <w:numPr>
          <w:ilvl w:val="0"/>
          <w:numId w:val="9"/>
        </w:numPr>
        <w:rPr>
          <w:rFonts w:ascii="黑体" w:hAnsi="宋体" w:eastAsia="黑体" w:cs="宋体"/>
          <w:bCs/>
          <w:szCs w:val="21"/>
        </w:rPr>
      </w:pPr>
      <w:r>
        <w:rPr>
          <w:rFonts w:hint="eastAsia" w:ascii="黑体" w:hAnsi="宋体" w:eastAsia="黑体" w:cs="宋体"/>
          <w:bCs/>
          <w:szCs w:val="21"/>
        </w:rPr>
        <w:t>项目的可行性阐述</w:t>
      </w:r>
    </w:p>
    <w:p>
      <w:pPr>
        <w:pStyle w:val="2"/>
        <w:ind w:firstLine="420" w:firstLineChars="200"/>
        <w:rPr>
          <w:rFonts w:ascii="宋体" w:hAnsi="宋体" w:eastAsiaTheme="minorEastAsia"/>
          <w:szCs w:val="21"/>
        </w:rPr>
      </w:pPr>
      <w:r>
        <w:rPr>
          <w:rFonts w:hint="eastAsia" w:ascii="宋体" w:hAnsi="宋体" w:eastAsiaTheme="minorEastAsia"/>
          <w:szCs w:val="21"/>
        </w:rPr>
        <w:t>——企业技术储备与技术水平、产业化情况、满足用户需求情况、市场规模；</w:t>
      </w:r>
    </w:p>
    <w:p>
      <w:pPr>
        <w:pStyle w:val="2"/>
        <w:ind w:firstLine="420" w:firstLineChars="200"/>
        <w:rPr>
          <w:rFonts w:ascii="宋体" w:hAnsi="宋体" w:eastAsiaTheme="minorEastAsia"/>
          <w:szCs w:val="21"/>
        </w:rPr>
      </w:pPr>
      <w:r>
        <w:rPr>
          <w:rFonts w:hint="eastAsia" w:ascii="宋体" w:hAnsi="宋体" w:eastAsiaTheme="minorEastAsia"/>
          <w:szCs w:val="21"/>
        </w:rPr>
        <w:t>——拟要解决的主要问题，相关标准情况，存在的问题，研制标准的意义。</w:t>
      </w:r>
    </w:p>
    <w:p>
      <w:pPr>
        <w:ind w:firstLine="420" w:firstLineChars="200"/>
        <w:rPr>
          <w:rFonts w:ascii="宋体" w:hAnsi="宋体"/>
          <w:szCs w:val="21"/>
        </w:rPr>
      </w:pPr>
      <w:r>
        <w:rPr>
          <w:rFonts w:hint="eastAsia" w:ascii="宋体" w:hAnsi="宋体" w:eastAsia="宋体" w:cs="宋体"/>
          <w:szCs w:val="21"/>
        </w:rPr>
        <w:t>国内有色金属矿山矿井提升机自动控制系统技术水平随着自动化技术和自动化设备水平的提升，近年来在不断提升，已具备全面实现无人值守自动化的技术能力，</w:t>
      </w:r>
      <w:r>
        <w:rPr>
          <w:rFonts w:hint="eastAsia" w:ascii="宋体" w:hAnsi="宋体"/>
          <w:szCs w:val="21"/>
        </w:rPr>
        <w:t>下一步发展的方向就是智能控制系统，除具有无人操作的特征外，还具有智能控制和管理的特征，它是集成了信息化、自动控制和通讯等技术，能够实现对矿井提升机的智能控制和管理的控制系统。</w:t>
      </w:r>
    </w:p>
    <w:p>
      <w:pPr>
        <w:pStyle w:val="2"/>
        <w:numPr>
          <w:ilvl w:val="0"/>
          <w:numId w:val="9"/>
        </w:numPr>
        <w:rPr>
          <w:rFonts w:ascii="黑体" w:hAnsi="宋体" w:eastAsia="黑体" w:cs="宋体"/>
          <w:bCs/>
          <w:szCs w:val="21"/>
        </w:rPr>
      </w:pPr>
      <w:r>
        <w:rPr>
          <w:rFonts w:hint="eastAsia" w:ascii="宋体" w:hAnsi="宋体" w:eastAsiaTheme="minorEastAsia"/>
          <w:szCs w:val="21"/>
        </w:rPr>
        <w:t>信息化系统是矿井提升机实现智能控制的不可缺少部分，它负责从主控制系统采集数据、存储、分析等任务。传统的矿井提升机自动控制系统只设置P</w:t>
      </w:r>
      <w:r>
        <w:rPr>
          <w:rFonts w:ascii="宋体" w:hAnsi="宋体" w:eastAsiaTheme="minorEastAsia"/>
          <w:szCs w:val="21"/>
        </w:rPr>
        <w:t>LC</w:t>
      </w:r>
      <w:r>
        <w:rPr>
          <w:rFonts w:hint="eastAsia" w:ascii="宋体" w:hAnsi="宋体" w:eastAsiaTheme="minorEastAsia"/>
          <w:szCs w:val="21"/>
        </w:rPr>
        <w:t>控制系统，不具备智能控制系统的一些核心要素及功能。信息化系统在各行各业均已普遍应用，而在提升机上主要挖掘其数据分析及数据应用的能力，实现故障诊断、设备健康状况预测、能源管理、维护及维护计划、人员安全预警、排班排产等应用。有了前端自动化系统较完善数据的支撑，信息化系统实现这些功能是可行的。</w:t>
      </w:r>
      <w:r>
        <w:rPr>
          <w:rFonts w:hint="eastAsia" w:ascii="黑体" w:hAnsi="宋体" w:eastAsia="黑体" w:cs="宋体"/>
          <w:bCs/>
          <w:szCs w:val="21"/>
        </w:rPr>
        <w:t>标准的先进性、创新性、标准实施后预期产生的经济效益和社会效益</w:t>
      </w:r>
    </w:p>
    <w:p>
      <w:pPr>
        <w:pStyle w:val="2"/>
        <w:ind w:firstLine="420" w:firstLineChars="200"/>
        <w:rPr>
          <w:rFonts w:ascii="宋体" w:hAnsi="宋体" w:eastAsiaTheme="minorEastAsia"/>
          <w:szCs w:val="21"/>
        </w:rPr>
      </w:pPr>
      <w:r>
        <w:rPr>
          <w:rFonts w:hint="eastAsia" w:ascii="宋体" w:hAnsi="宋体" w:eastAsiaTheme="minorEastAsia"/>
          <w:szCs w:val="21"/>
        </w:rPr>
        <w:t>概述标准的先进性和创新性，并针对第一条“立项目的”预期标准实施后对国家产业政策和规划的支撑作用（对促进质量提升，替代XXX领域产品进口，满足高端制造业对基础原材料的需求，消化国内有色金属部分过剩产能，促进XXX产业健康发展和规范XXXX市场秩序所发挥的所用），还应对标准实施后预期产生的经济效益进行分析。如果对节能减排、环境保护等方面有预期作用和效益的，还应对节能量、减排量、环境贡献等重点进行阐述。</w:t>
      </w:r>
    </w:p>
    <w:p>
      <w:pPr>
        <w:pStyle w:val="18"/>
        <w:numPr>
          <w:ilvl w:val="0"/>
          <w:numId w:val="10"/>
        </w:numPr>
        <w:spacing w:line="360" w:lineRule="auto"/>
        <w:ind w:left="426" w:firstLine="0" w:firstLineChars="0"/>
      </w:pPr>
      <w:r>
        <w:t>提高有色金属</w:t>
      </w:r>
      <w:r>
        <w:rPr>
          <w:rFonts w:hint="eastAsia"/>
        </w:rPr>
        <w:t>矿山</w:t>
      </w:r>
      <w:r>
        <w:t>生产的安全性。矿井提升机是有色</w:t>
      </w:r>
      <w:r>
        <w:rPr>
          <w:rFonts w:hint="eastAsia"/>
        </w:rPr>
        <w:t>金属矿山</w:t>
      </w:r>
      <w:r>
        <w:t>生产中最为危险的设备之一，其安全稳定运行对有色金属</w:t>
      </w:r>
      <w:r>
        <w:rPr>
          <w:rFonts w:hint="eastAsia"/>
        </w:rPr>
        <w:t>矿山</w:t>
      </w:r>
      <w:r>
        <w:t>生产的保障具有重要意义。矿井提升机</w:t>
      </w:r>
      <w:r>
        <w:rPr>
          <w:rFonts w:hint="eastAsia"/>
        </w:rPr>
        <w:t>智能</w:t>
      </w:r>
      <w:r>
        <w:t>控制系统技术规范的编制可以规范矿井提升机</w:t>
      </w:r>
      <w:r>
        <w:rPr>
          <w:rFonts w:hint="eastAsia"/>
        </w:rPr>
        <w:t>智能控制系统要求</w:t>
      </w:r>
      <w:r>
        <w:t>，</w:t>
      </w:r>
      <w:r>
        <w:rPr>
          <w:rFonts w:hint="eastAsia"/>
        </w:rPr>
        <w:t>提升矿井提升机运行本质安全性，</w:t>
      </w:r>
      <w:r>
        <w:t>提高有色金属</w:t>
      </w:r>
      <w:r>
        <w:rPr>
          <w:rFonts w:hint="eastAsia"/>
        </w:rPr>
        <w:t>矿山</w:t>
      </w:r>
      <w:r>
        <w:t>生产的安全性。</w:t>
      </w:r>
    </w:p>
    <w:p>
      <w:pPr>
        <w:pStyle w:val="18"/>
        <w:numPr>
          <w:ilvl w:val="0"/>
          <w:numId w:val="10"/>
        </w:numPr>
        <w:spacing w:line="360" w:lineRule="auto"/>
        <w:ind w:left="426" w:firstLine="0" w:firstLineChars="0"/>
      </w:pPr>
      <w:r>
        <w:t>提高矿井提升机的运行效率。矿井提升机是有色金属</w:t>
      </w:r>
      <w:r>
        <w:rPr>
          <w:rFonts w:hint="eastAsia"/>
        </w:rPr>
        <w:t>矿山最主要的生产</w:t>
      </w:r>
      <w:r>
        <w:t>设备之一，其运行效率直接影响到有色金属</w:t>
      </w:r>
      <w:r>
        <w:rPr>
          <w:rFonts w:hint="eastAsia"/>
        </w:rPr>
        <w:t>矿山</w:t>
      </w:r>
      <w:r>
        <w:t>生产的效益。矿井提升机智能控制系统技术规范的编制可以规范矿井提升机的运行方式，从而提高矿井提升机的运行效率，降低生产成本。</w:t>
      </w:r>
    </w:p>
    <w:p>
      <w:pPr>
        <w:pStyle w:val="18"/>
        <w:numPr>
          <w:ilvl w:val="0"/>
          <w:numId w:val="10"/>
        </w:numPr>
        <w:spacing w:line="360" w:lineRule="auto"/>
        <w:ind w:left="426" w:firstLine="0" w:firstLineChars="0"/>
      </w:pPr>
      <w:r>
        <w:t>促进矿井提升机</w:t>
      </w:r>
      <w:r>
        <w:rPr>
          <w:rFonts w:hint="eastAsia"/>
        </w:rPr>
        <w:t>智能</w:t>
      </w:r>
      <w:r>
        <w:t>制造企业的发展。矿井提升机智能控制系统技术规范的编制可以规范矿井提升机</w:t>
      </w:r>
      <w:r>
        <w:rPr>
          <w:rFonts w:hint="eastAsia"/>
        </w:rPr>
        <w:t>智能制造</w:t>
      </w:r>
      <w:r>
        <w:t>企业的生产和制造，提高其产品的质量和竞争力，促进企业的发展。</w:t>
      </w:r>
    </w:p>
    <w:p>
      <w:pPr>
        <w:pStyle w:val="2"/>
        <w:ind w:firstLine="420" w:firstLineChars="200"/>
        <w:rPr>
          <w:rFonts w:ascii="宋体" w:hAnsi="宋体" w:eastAsiaTheme="minorEastAsia"/>
          <w:szCs w:val="21"/>
        </w:rPr>
      </w:pPr>
    </w:p>
    <w:p>
      <w:pPr>
        <w:numPr>
          <w:ilvl w:val="0"/>
          <w:numId w:val="8"/>
        </w:num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采用国际标准和国外先进标准的情况</w:t>
      </w:r>
    </w:p>
    <w:p>
      <w:pPr>
        <w:pStyle w:val="2"/>
      </w:pPr>
      <w:r>
        <w:rPr>
          <w:rFonts w:hint="eastAsia"/>
        </w:rPr>
        <w:t>——是否采用国际或国外先进标准，及采用国际标准和国外先进标准的程度（IDT或MOD或NEQ）；</w:t>
      </w:r>
    </w:p>
    <w:p>
      <w:pPr>
        <w:pStyle w:val="2"/>
      </w:pPr>
      <w:r>
        <w:rPr>
          <w:rFonts w:hint="eastAsia"/>
        </w:rPr>
        <w:t>——查阅到国际同类标准的情况，及标准水平的对比分析（宜以表格形式出现）；</w:t>
      </w:r>
    </w:p>
    <w:p>
      <w:pPr>
        <w:pStyle w:val="2"/>
      </w:pPr>
      <w:r>
        <w:rPr>
          <w:rFonts w:hint="eastAsia"/>
        </w:rPr>
        <w:t>——与测试的国外样品、样机的有关数据对比情况。</w:t>
      </w:r>
    </w:p>
    <w:p>
      <w:pPr>
        <w:numPr>
          <w:ilvl w:val="0"/>
          <w:numId w:val="8"/>
        </w:num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与现行法律、法规、强制性国家标准及相关标准协调配套情况</w:t>
      </w:r>
    </w:p>
    <w:p>
      <w:pPr>
        <w:pStyle w:val="3"/>
        <w:spacing w:line="440" w:lineRule="exact"/>
        <w:ind w:firstLine="420" w:firstLineChars="200"/>
        <w:rPr>
          <w:szCs w:val="21"/>
        </w:rPr>
      </w:pPr>
      <w:r>
        <w:rPr>
          <w:rFonts w:hint="eastAsia"/>
          <w:szCs w:val="21"/>
        </w:rPr>
        <w:t>【与现行标准的配套情况】</w:t>
      </w:r>
    </w:p>
    <w:p>
      <w:pPr>
        <w:spacing w:line="440" w:lineRule="exact"/>
        <w:ind w:firstLine="420" w:firstLineChars="200"/>
        <w:rPr>
          <w:rFonts w:ascii="宋体" w:hAnsi="宋体"/>
          <w:szCs w:val="21"/>
        </w:rPr>
      </w:pPr>
      <w:r>
        <w:rPr>
          <w:rFonts w:hint="eastAsia" w:ascii="宋体" w:hAnsi="宋体"/>
          <w:szCs w:val="21"/>
        </w:rPr>
        <w:t>本标准符合现行法律、法规的要求，并与其他同类国家标准、国家J用标准、行业标准无冲突、重叠和不协调之处。</w:t>
      </w:r>
    </w:p>
    <w:p>
      <w:pPr>
        <w:spacing w:before="156" w:beforeLines="50" w:after="156" w:afterLines="50" w:line="440" w:lineRule="exact"/>
        <w:rPr>
          <w:rFonts w:ascii="黑体" w:hAnsi="宋体" w:eastAsia="黑体" w:cs="宋体"/>
          <w:bCs/>
          <w:szCs w:val="21"/>
        </w:rPr>
      </w:pPr>
      <w:bookmarkStart w:id="5" w:name="_Toc32100"/>
      <w:r>
        <w:rPr>
          <w:rFonts w:hint="eastAsia" w:ascii="黑体" w:hAnsi="宋体" w:eastAsia="黑体" w:cs="宋体"/>
          <w:bCs/>
          <w:szCs w:val="21"/>
        </w:rPr>
        <w:t>八、重大分歧意见的处理经过和依据</w:t>
      </w:r>
      <w:bookmarkEnd w:id="5"/>
    </w:p>
    <w:p>
      <w:pPr>
        <w:spacing w:line="440" w:lineRule="exact"/>
        <w:ind w:firstLine="420" w:firstLineChars="200"/>
        <w:rPr>
          <w:rFonts w:ascii="宋体" w:hAnsi="宋体"/>
          <w:szCs w:val="21"/>
        </w:rPr>
      </w:pPr>
      <w:r>
        <w:rPr>
          <w:rFonts w:hint="eastAsia" w:ascii="宋体" w:hAnsi="宋体"/>
          <w:szCs w:val="21"/>
        </w:rPr>
        <w:t>暂无。【如起草过程中有重大分歧，或是会议讨论未能达成统一意见】</w:t>
      </w:r>
    </w:p>
    <w:p>
      <w:pPr>
        <w:spacing w:before="156" w:beforeLines="50" w:after="156" w:afterLines="50" w:line="440" w:lineRule="exact"/>
        <w:rPr>
          <w:rFonts w:ascii="黑体" w:hAnsi="宋体" w:eastAsia="黑体" w:cs="宋体"/>
          <w:bCs/>
          <w:szCs w:val="21"/>
        </w:rPr>
      </w:pPr>
      <w:bookmarkStart w:id="6" w:name="_Toc15989"/>
      <w:r>
        <w:rPr>
          <w:rFonts w:hint="eastAsia" w:ascii="黑体" w:hAnsi="宋体" w:eastAsia="黑体" w:cs="宋体"/>
          <w:bCs/>
          <w:szCs w:val="21"/>
        </w:rPr>
        <w:t>九、作为强制性或推荐性国家标准的建议</w:t>
      </w:r>
      <w:bookmarkEnd w:id="6"/>
    </w:p>
    <w:p>
      <w:pPr>
        <w:spacing w:line="440" w:lineRule="exact"/>
        <w:ind w:firstLine="420" w:firstLineChars="200"/>
        <w:rPr>
          <w:rFonts w:ascii="宋体" w:hAnsi="宋体"/>
          <w:szCs w:val="21"/>
        </w:rPr>
      </w:pPr>
      <w:r>
        <w:rPr>
          <w:rFonts w:hint="eastAsia" w:ascii="宋体" w:hAnsi="宋体" w:eastAsia="宋体" w:cs="宋体"/>
          <w:szCs w:val="21"/>
        </w:rPr>
        <w:t>本标准建议作为</w:t>
      </w:r>
      <w:r>
        <w:rPr>
          <w:rFonts w:hint="eastAsia" w:ascii="宋体" w:hAnsi="宋体" w:eastAsia="宋体" w:cs="宋体"/>
          <w:color w:val="C00000"/>
          <w:szCs w:val="21"/>
        </w:rPr>
        <w:t>推荐性</w:t>
      </w:r>
      <w:del w:id="121" w:author="傅博" w:date="2023-10-14T15:52:00Z">
        <w:r>
          <w:rPr>
            <w:rFonts w:hint="eastAsia" w:ascii="宋体" w:hAnsi="宋体" w:eastAsia="宋体" w:cs="宋体"/>
            <w:szCs w:val="21"/>
          </w:rPr>
          <w:delText>行业</w:delText>
        </w:r>
      </w:del>
      <w:ins w:id="122" w:author="傅博" w:date="2023-10-14T15:52:00Z">
        <w:r>
          <w:rPr>
            <w:rFonts w:hint="eastAsia" w:ascii="宋体" w:hAnsi="宋体" w:eastAsia="宋体" w:cs="宋体"/>
            <w:szCs w:val="21"/>
          </w:rPr>
          <w:t>团体</w:t>
        </w:r>
      </w:ins>
      <w:r>
        <w:rPr>
          <w:rFonts w:hint="eastAsia" w:ascii="宋体" w:hAnsi="宋体" w:eastAsia="宋体" w:cs="宋体"/>
          <w:szCs w:val="21"/>
        </w:rPr>
        <w:t>标准【国家标准、</w:t>
      </w:r>
      <w:del w:id="123" w:author="傅博" w:date="2023-10-14T15:52:00Z">
        <w:r>
          <w:rPr>
            <w:rFonts w:hint="eastAsia" w:ascii="宋体" w:hAnsi="宋体" w:eastAsia="宋体" w:cs="宋体"/>
            <w:szCs w:val="21"/>
          </w:rPr>
          <w:delText>团体</w:delText>
        </w:r>
      </w:del>
      <w:ins w:id="124" w:author="傅博" w:date="2023-10-14T15:52:00Z">
        <w:r>
          <w:rPr>
            <w:rFonts w:hint="eastAsia" w:ascii="宋体" w:hAnsi="宋体" w:eastAsia="宋体" w:cs="宋体"/>
            <w:szCs w:val="21"/>
          </w:rPr>
          <w:t>行业</w:t>
        </w:r>
      </w:ins>
      <w:r>
        <w:rPr>
          <w:rFonts w:hint="eastAsia" w:ascii="宋体" w:hAnsi="宋体" w:eastAsia="宋体" w:cs="宋体"/>
          <w:szCs w:val="21"/>
        </w:rPr>
        <w:t>标准】发布。</w:t>
      </w:r>
    </w:p>
    <w:p>
      <w:pPr>
        <w:spacing w:before="156" w:beforeLines="50" w:after="156" w:afterLines="50" w:line="440" w:lineRule="exact"/>
        <w:rPr>
          <w:rFonts w:ascii="黑体" w:hAnsi="宋体" w:eastAsia="黑体" w:cs="宋体"/>
          <w:bCs/>
          <w:szCs w:val="21"/>
        </w:rPr>
      </w:pPr>
      <w:bookmarkStart w:id="7" w:name="_Toc15588"/>
      <w:r>
        <w:rPr>
          <w:rFonts w:hint="eastAsia" w:ascii="黑体" w:hAnsi="宋体" w:eastAsia="黑体" w:cs="宋体"/>
          <w:bCs/>
          <w:szCs w:val="21"/>
        </w:rPr>
        <w:t>十、贯彻标准的要求和措施建议</w:t>
      </w:r>
      <w:bookmarkEnd w:id="7"/>
    </w:p>
    <w:p>
      <w:pPr>
        <w:pStyle w:val="19"/>
        <w:spacing w:line="440" w:lineRule="exact"/>
        <w:ind w:firstLine="420"/>
        <w:rPr>
          <w:rFonts w:hAnsi="宋体" w:cs="宋体"/>
          <w:szCs w:val="21"/>
        </w:rPr>
      </w:pPr>
      <w:r>
        <w:rPr>
          <w:rFonts w:hint="eastAsia" w:hAnsi="宋体" w:cs="宋体"/>
          <w:szCs w:val="21"/>
        </w:rPr>
        <w:t>——组织措施</w:t>
      </w:r>
    </w:p>
    <w:p>
      <w:pPr>
        <w:pStyle w:val="19"/>
        <w:spacing w:line="440" w:lineRule="exact"/>
        <w:ind w:firstLine="420"/>
        <w:rPr>
          <w:rFonts w:hAnsi="宋体" w:cs="宋体"/>
          <w:szCs w:val="21"/>
        </w:rPr>
      </w:pPr>
      <w:r>
        <w:rPr>
          <w:rFonts w:hint="eastAsia" w:hAnsi="宋体" w:cs="宋体"/>
          <w:szCs w:val="21"/>
        </w:rPr>
        <w:t>——技术措施</w:t>
      </w:r>
    </w:p>
    <w:p>
      <w:pPr>
        <w:pStyle w:val="19"/>
        <w:spacing w:line="440" w:lineRule="exact"/>
        <w:ind w:firstLine="420"/>
        <w:rPr>
          <w:rFonts w:hAnsi="宋体" w:cs="宋体"/>
          <w:szCs w:val="21"/>
        </w:rPr>
      </w:pPr>
      <w:r>
        <w:rPr>
          <w:rFonts w:hint="eastAsia" w:hAnsi="宋体" w:cs="宋体"/>
          <w:szCs w:val="21"/>
        </w:rPr>
        <w:t>——过度办法【现在一般情况下，国标、团标没有缓冲期了，发布即实施】</w:t>
      </w:r>
    </w:p>
    <w:p>
      <w:pPr>
        <w:spacing w:before="156" w:beforeLines="50" w:after="156" w:afterLines="50" w:line="440" w:lineRule="exact"/>
        <w:rPr>
          <w:rFonts w:ascii="黑体" w:hAnsi="宋体" w:eastAsia="黑体" w:cs="宋体"/>
          <w:bCs/>
          <w:szCs w:val="21"/>
        </w:rPr>
      </w:pPr>
      <w:bookmarkStart w:id="8" w:name="_Toc7802"/>
      <w:r>
        <w:rPr>
          <w:rFonts w:hint="eastAsia" w:ascii="黑体" w:hAnsi="宋体" w:eastAsia="黑体" w:cs="宋体"/>
          <w:bCs/>
          <w:szCs w:val="21"/>
        </w:rPr>
        <w:t>十一、废止现行有关标准的建议</w:t>
      </w:r>
      <w:bookmarkEnd w:id="8"/>
    </w:p>
    <w:p>
      <w:pPr>
        <w:spacing w:line="440" w:lineRule="exact"/>
        <w:ind w:firstLine="420" w:firstLineChars="200"/>
        <w:rPr>
          <w:rFonts w:ascii="宋体" w:hAnsi="宋体" w:cs="宋体"/>
          <w:szCs w:val="21"/>
        </w:rPr>
      </w:pPr>
      <w:r>
        <w:rPr>
          <w:rFonts w:hint="eastAsia" w:ascii="宋体" w:hAnsi="宋体" w:cs="宋体"/>
          <w:szCs w:val="21"/>
        </w:rPr>
        <w:t>无。【修订标准：本标准发布实施之日起，代替GB/Txxxx《原标准名称》，YS\CNIA 】</w:t>
      </w:r>
    </w:p>
    <w:p>
      <w:pPr>
        <w:spacing w:before="156" w:beforeLines="50" w:after="156" w:afterLines="50" w:line="440" w:lineRule="exact"/>
        <w:rPr>
          <w:rFonts w:ascii="黑体" w:hAnsi="宋体" w:eastAsia="黑体" w:cs="宋体"/>
          <w:bCs/>
          <w:szCs w:val="21"/>
        </w:rPr>
      </w:pPr>
      <w:bookmarkStart w:id="9" w:name="_Toc22451"/>
      <w:r>
        <w:rPr>
          <w:rFonts w:hint="eastAsia" w:ascii="黑体" w:hAnsi="宋体" w:eastAsia="黑体" w:cs="宋体"/>
          <w:bCs/>
          <w:szCs w:val="21"/>
        </w:rPr>
        <w:t>十二、其他主要内容的解释和其他需要说明的事项。</w:t>
      </w:r>
      <w:bookmarkEnd w:id="9"/>
    </w:p>
    <w:p>
      <w:pPr>
        <w:spacing w:line="440" w:lineRule="exact"/>
        <w:ind w:firstLine="420" w:firstLineChars="200"/>
        <w:rPr>
          <w:rFonts w:ascii="宋体" w:hAnsi="宋体" w:cs="宋体"/>
          <w:szCs w:val="21"/>
        </w:rPr>
      </w:pPr>
      <w:r>
        <w:rPr>
          <w:rFonts w:hint="eastAsia" w:ascii="宋体" w:hAnsi="宋体" w:cs="宋体"/>
          <w:szCs w:val="21"/>
        </w:rPr>
        <w:t>无。</w:t>
      </w:r>
    </w:p>
    <w:p>
      <w:pPr>
        <w:spacing w:line="440" w:lineRule="exact"/>
        <w:jc w:val="right"/>
        <w:rPr>
          <w:rFonts w:ascii="宋体" w:hAnsi="宋体" w:eastAsia="宋体"/>
          <w:szCs w:val="21"/>
        </w:rPr>
      </w:pPr>
      <w:r>
        <w:rPr>
          <w:rFonts w:hint="eastAsia"/>
          <w:szCs w:val="21"/>
        </w:rPr>
        <w:t xml:space="preserve">                             《</w:t>
      </w:r>
      <w:r>
        <w:rPr>
          <w:rFonts w:hint="eastAsia" w:ascii="宋体" w:hAnsi="宋体" w:eastAsia="宋体"/>
          <w:szCs w:val="21"/>
        </w:rPr>
        <w:t>xxxx</w:t>
      </w:r>
      <w:r>
        <w:rPr>
          <w:rFonts w:hint="eastAsia"/>
          <w:szCs w:val="21"/>
        </w:rPr>
        <w:t>》</w:t>
      </w:r>
      <w:r>
        <w:rPr>
          <w:rFonts w:hint="eastAsia" w:ascii="宋体" w:hAnsi="宋体" w:eastAsia="宋体"/>
          <w:szCs w:val="21"/>
        </w:rPr>
        <w:t>编制组</w:t>
      </w:r>
    </w:p>
    <w:p>
      <w:pPr>
        <w:spacing w:before="312" w:beforeLines="100" w:line="440" w:lineRule="exact"/>
        <w:jc w:val="right"/>
        <w:rPr>
          <w:rFonts w:ascii="宋体" w:hAnsi="宋体" w:eastAsia="宋体"/>
          <w:szCs w:val="21"/>
        </w:rPr>
      </w:pPr>
      <w:r>
        <w:rPr>
          <w:rFonts w:hint="eastAsia" w:ascii="宋体" w:hAnsi="宋体" w:eastAsia="宋体"/>
          <w:szCs w:val="21"/>
        </w:rPr>
        <w:t xml:space="preserve">                             20xx年x月xx日【报批稿形成之日】</w:t>
      </w:r>
    </w:p>
    <w:sectPr>
      <w:pgSz w:w="11906" w:h="16838"/>
      <w:pgMar w:top="1440" w:right="1780" w:bottom="1440" w:left="17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Arial">
    <w:panose1 w:val="020B0604020202090204"/>
    <w:charset w:val="00"/>
    <w:family w:val="swiss"/>
    <w:pitch w:val="default"/>
    <w:sig w:usb0="E0000AFF" w:usb1="00007843" w:usb2="00000001" w:usb3="00000000" w:csb0="400001BF" w:csb1="DFF70000"/>
  </w:font>
  <w:font w:name="等线">
    <w:altName w:val="汉仪中等线KW"/>
    <w:panose1 w:val="02010600030101010101"/>
    <w:charset w:val="86"/>
    <w:family w:val="auto"/>
    <w:pitch w:val="default"/>
    <w:sig w:usb0="00000000" w:usb1="00000000" w:usb2="00000016" w:usb3="00000000" w:csb0="0004000F" w:csb1="00000000"/>
  </w:font>
  <w:font w:name="Cambria Math">
    <w:altName w:val="Kingsoft Math"/>
    <w:panose1 w:val="02040503050406030204"/>
    <w:charset w:val="00"/>
    <w:family w:val="roman"/>
    <w:pitch w:val="default"/>
    <w:sig w:usb0="00000000" w:usb1="00000000" w:usb2="02000000"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 w:name="Kingsoft Math">
    <w:panose1 w:val="02040503050406030204"/>
    <w:charset w:val="00"/>
    <w:family w:val="auto"/>
    <w:pitch w:val="default"/>
    <w:sig w:usb0="80000087" w:usb1="00002068"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F0784"/>
    <w:multiLevelType w:val="singleLevel"/>
    <w:tmpl w:val="DA9F0784"/>
    <w:lvl w:ilvl="0" w:tentative="0">
      <w:start w:val="5"/>
      <w:numFmt w:val="chineseCounting"/>
      <w:suff w:val="nothing"/>
      <w:lvlText w:val="%1、"/>
      <w:lvlJc w:val="left"/>
      <w:rPr>
        <w:rFonts w:hint="eastAsia"/>
      </w:rPr>
    </w:lvl>
  </w:abstractNum>
  <w:abstractNum w:abstractNumId="1">
    <w:nsid w:val="F116BB8D"/>
    <w:multiLevelType w:val="singleLevel"/>
    <w:tmpl w:val="F116BB8D"/>
    <w:lvl w:ilvl="0" w:tentative="0">
      <w:start w:val="1"/>
      <w:numFmt w:val="chineseCounting"/>
      <w:suff w:val="nothing"/>
      <w:lvlText w:val="（%1）"/>
      <w:lvlJc w:val="left"/>
      <w:rPr>
        <w:rFonts w:hint="eastAsia"/>
      </w:rPr>
    </w:lvl>
  </w:abstractNum>
  <w:abstractNum w:abstractNumId="2">
    <w:nsid w:val="05281000"/>
    <w:multiLevelType w:val="multilevel"/>
    <w:tmpl w:val="0528100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E2B40FB"/>
    <w:multiLevelType w:val="singleLevel"/>
    <w:tmpl w:val="0E2B40FB"/>
    <w:lvl w:ilvl="0" w:tentative="0">
      <w:start w:val="1"/>
      <w:numFmt w:val="upperLetter"/>
      <w:lvlText w:val="%1."/>
      <w:lvlJc w:val="left"/>
      <w:pPr>
        <w:tabs>
          <w:tab w:val="left" w:pos="312"/>
        </w:tabs>
      </w:pPr>
    </w:lvl>
  </w:abstractNum>
  <w:abstractNum w:abstractNumId="4">
    <w:nsid w:val="15CA253D"/>
    <w:multiLevelType w:val="multilevel"/>
    <w:tmpl w:val="15CA253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6F273D0"/>
    <w:multiLevelType w:val="multilevel"/>
    <w:tmpl w:val="16F273D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F7E3B17"/>
    <w:multiLevelType w:val="multilevel"/>
    <w:tmpl w:val="2F7E3B1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05319C8"/>
    <w:multiLevelType w:val="multilevel"/>
    <w:tmpl w:val="305319C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11523E1"/>
    <w:multiLevelType w:val="multilevel"/>
    <w:tmpl w:val="311523E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446161E"/>
    <w:multiLevelType w:val="multilevel"/>
    <w:tmpl w:val="3446161E"/>
    <w:lvl w:ilvl="0" w:tentative="0">
      <w:start w:val="1"/>
      <w:numFmt w:val="decimal"/>
      <w:lvlText w:val="%1）"/>
      <w:lvlJc w:val="left"/>
      <w:pPr>
        <w:ind w:left="1067" w:hanging="360"/>
      </w:pPr>
      <w:rPr>
        <w:rFonts w:hint="default"/>
      </w:rPr>
    </w:lvl>
    <w:lvl w:ilvl="1" w:tentative="0">
      <w:start w:val="1"/>
      <w:numFmt w:val="lowerLetter"/>
      <w:lvlText w:val="%2)"/>
      <w:lvlJc w:val="left"/>
      <w:pPr>
        <w:ind w:left="1547" w:hanging="420"/>
      </w:pPr>
    </w:lvl>
    <w:lvl w:ilvl="2" w:tentative="0">
      <w:start w:val="1"/>
      <w:numFmt w:val="lowerRoman"/>
      <w:lvlText w:val="%3."/>
      <w:lvlJc w:val="right"/>
      <w:pPr>
        <w:ind w:left="1967" w:hanging="420"/>
      </w:pPr>
    </w:lvl>
    <w:lvl w:ilvl="3" w:tentative="0">
      <w:start w:val="1"/>
      <w:numFmt w:val="decimal"/>
      <w:lvlText w:val="%4."/>
      <w:lvlJc w:val="left"/>
      <w:pPr>
        <w:ind w:left="2387" w:hanging="420"/>
      </w:pPr>
    </w:lvl>
    <w:lvl w:ilvl="4" w:tentative="0">
      <w:start w:val="1"/>
      <w:numFmt w:val="lowerLetter"/>
      <w:lvlText w:val="%5)"/>
      <w:lvlJc w:val="left"/>
      <w:pPr>
        <w:ind w:left="2807" w:hanging="420"/>
      </w:pPr>
    </w:lvl>
    <w:lvl w:ilvl="5" w:tentative="0">
      <w:start w:val="1"/>
      <w:numFmt w:val="lowerRoman"/>
      <w:lvlText w:val="%6."/>
      <w:lvlJc w:val="right"/>
      <w:pPr>
        <w:ind w:left="3227" w:hanging="420"/>
      </w:pPr>
    </w:lvl>
    <w:lvl w:ilvl="6" w:tentative="0">
      <w:start w:val="1"/>
      <w:numFmt w:val="decimal"/>
      <w:lvlText w:val="%7."/>
      <w:lvlJc w:val="left"/>
      <w:pPr>
        <w:ind w:left="3647" w:hanging="420"/>
      </w:pPr>
    </w:lvl>
    <w:lvl w:ilvl="7" w:tentative="0">
      <w:start w:val="1"/>
      <w:numFmt w:val="lowerLetter"/>
      <w:lvlText w:val="%8)"/>
      <w:lvlJc w:val="left"/>
      <w:pPr>
        <w:ind w:left="4067" w:hanging="420"/>
      </w:pPr>
    </w:lvl>
    <w:lvl w:ilvl="8" w:tentative="0">
      <w:start w:val="1"/>
      <w:numFmt w:val="lowerRoman"/>
      <w:lvlText w:val="%9."/>
      <w:lvlJc w:val="right"/>
      <w:pPr>
        <w:ind w:left="4487" w:hanging="420"/>
      </w:pPr>
    </w:lvl>
  </w:abstractNum>
  <w:num w:numId="1">
    <w:abstractNumId w:val="2"/>
  </w:num>
  <w:num w:numId="2">
    <w:abstractNumId w:val="8"/>
  </w:num>
  <w:num w:numId="3">
    <w:abstractNumId w:val="9"/>
  </w:num>
  <w:num w:numId="4">
    <w:abstractNumId w:val="6"/>
  </w:num>
  <w:num w:numId="5">
    <w:abstractNumId w:val="7"/>
  </w:num>
  <w:num w:numId="6">
    <w:abstractNumId w:val="3"/>
  </w:num>
  <w:num w:numId="7">
    <w:abstractNumId w:val="5"/>
  </w:num>
  <w:num w:numId="8">
    <w:abstractNumId w:val="0"/>
  </w:num>
  <w:num w:numId="9">
    <w:abstractNumId w:val="1"/>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傅博">
    <w15:presenceInfo w15:providerId="None" w15:userId="傅博"/>
  </w15:person>
  <w15:person w15:author="林若虚">
    <w15:presenceInfo w15:providerId="WPS Office" w15:userId="7098326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lOWFjMjJlZWIzYzBmOGUzYjU3MmRhYTY0OGQ4YzM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725"/>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087"/>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748A"/>
    <w:rsid w:val="00087579"/>
    <w:rsid w:val="00090932"/>
    <w:rsid w:val="000909F8"/>
    <w:rsid w:val="00091C42"/>
    <w:rsid w:val="0009564E"/>
    <w:rsid w:val="000956AA"/>
    <w:rsid w:val="00095716"/>
    <w:rsid w:val="00095B00"/>
    <w:rsid w:val="000968E7"/>
    <w:rsid w:val="000A25DA"/>
    <w:rsid w:val="000A2674"/>
    <w:rsid w:val="000A46E3"/>
    <w:rsid w:val="000A68B0"/>
    <w:rsid w:val="000A68DC"/>
    <w:rsid w:val="000B0288"/>
    <w:rsid w:val="000B12AD"/>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0EB9"/>
    <w:rsid w:val="0013566C"/>
    <w:rsid w:val="001360C1"/>
    <w:rsid w:val="001421CF"/>
    <w:rsid w:val="00142C75"/>
    <w:rsid w:val="00143A39"/>
    <w:rsid w:val="0014468B"/>
    <w:rsid w:val="00144F28"/>
    <w:rsid w:val="00145147"/>
    <w:rsid w:val="00145188"/>
    <w:rsid w:val="001455A0"/>
    <w:rsid w:val="0014704F"/>
    <w:rsid w:val="00147858"/>
    <w:rsid w:val="001502D3"/>
    <w:rsid w:val="0015114D"/>
    <w:rsid w:val="001517E4"/>
    <w:rsid w:val="00151DFA"/>
    <w:rsid w:val="00152A50"/>
    <w:rsid w:val="00152CEE"/>
    <w:rsid w:val="00152F27"/>
    <w:rsid w:val="001531DA"/>
    <w:rsid w:val="0016143F"/>
    <w:rsid w:val="00161FB3"/>
    <w:rsid w:val="00162C00"/>
    <w:rsid w:val="00162FCD"/>
    <w:rsid w:val="00164041"/>
    <w:rsid w:val="00164320"/>
    <w:rsid w:val="0016453D"/>
    <w:rsid w:val="00165B11"/>
    <w:rsid w:val="00167FF7"/>
    <w:rsid w:val="001710BE"/>
    <w:rsid w:val="001728AD"/>
    <w:rsid w:val="00173330"/>
    <w:rsid w:val="00173FCF"/>
    <w:rsid w:val="00175F20"/>
    <w:rsid w:val="0017788A"/>
    <w:rsid w:val="00180F34"/>
    <w:rsid w:val="00181FDF"/>
    <w:rsid w:val="00183DBE"/>
    <w:rsid w:val="00183F8C"/>
    <w:rsid w:val="00184A11"/>
    <w:rsid w:val="00185294"/>
    <w:rsid w:val="00186327"/>
    <w:rsid w:val="001866BE"/>
    <w:rsid w:val="001868B2"/>
    <w:rsid w:val="0019074F"/>
    <w:rsid w:val="001908C6"/>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4434"/>
    <w:rsid w:val="001A577D"/>
    <w:rsid w:val="001B030C"/>
    <w:rsid w:val="001B1F37"/>
    <w:rsid w:val="001B2EA2"/>
    <w:rsid w:val="001B548E"/>
    <w:rsid w:val="001B6C1B"/>
    <w:rsid w:val="001B7E54"/>
    <w:rsid w:val="001C010F"/>
    <w:rsid w:val="001C1800"/>
    <w:rsid w:val="001C18DF"/>
    <w:rsid w:val="001C1A61"/>
    <w:rsid w:val="001C1C7F"/>
    <w:rsid w:val="001C3BD9"/>
    <w:rsid w:val="001C3C44"/>
    <w:rsid w:val="001C4684"/>
    <w:rsid w:val="001C5F5B"/>
    <w:rsid w:val="001C63FA"/>
    <w:rsid w:val="001C6400"/>
    <w:rsid w:val="001C64E2"/>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05CED"/>
    <w:rsid w:val="00210806"/>
    <w:rsid w:val="00210D97"/>
    <w:rsid w:val="00211DAA"/>
    <w:rsid w:val="00212C2F"/>
    <w:rsid w:val="00213C05"/>
    <w:rsid w:val="00213CB8"/>
    <w:rsid w:val="002149D3"/>
    <w:rsid w:val="00215CF2"/>
    <w:rsid w:val="00217EB2"/>
    <w:rsid w:val="00221A02"/>
    <w:rsid w:val="00221D88"/>
    <w:rsid w:val="0022398D"/>
    <w:rsid w:val="002252C9"/>
    <w:rsid w:val="00230C35"/>
    <w:rsid w:val="00231422"/>
    <w:rsid w:val="00231A79"/>
    <w:rsid w:val="00232045"/>
    <w:rsid w:val="002320C8"/>
    <w:rsid w:val="00233226"/>
    <w:rsid w:val="00233A1C"/>
    <w:rsid w:val="0023455B"/>
    <w:rsid w:val="00234F74"/>
    <w:rsid w:val="00234FE4"/>
    <w:rsid w:val="00235328"/>
    <w:rsid w:val="002356F0"/>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80742"/>
    <w:rsid w:val="002809E4"/>
    <w:rsid w:val="00281A43"/>
    <w:rsid w:val="00282DC8"/>
    <w:rsid w:val="00283772"/>
    <w:rsid w:val="002870F4"/>
    <w:rsid w:val="00287C9A"/>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6308"/>
    <w:rsid w:val="002C7E20"/>
    <w:rsid w:val="002D16DB"/>
    <w:rsid w:val="002D29B7"/>
    <w:rsid w:val="002D6F42"/>
    <w:rsid w:val="002D75D7"/>
    <w:rsid w:val="002E22A3"/>
    <w:rsid w:val="002E34A8"/>
    <w:rsid w:val="002E3C9C"/>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0641A"/>
    <w:rsid w:val="00306F42"/>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FD6"/>
    <w:rsid w:val="003357C3"/>
    <w:rsid w:val="0033778F"/>
    <w:rsid w:val="00337C4B"/>
    <w:rsid w:val="00340915"/>
    <w:rsid w:val="00340C08"/>
    <w:rsid w:val="00340C89"/>
    <w:rsid w:val="0034101B"/>
    <w:rsid w:val="00341EAD"/>
    <w:rsid w:val="0034335F"/>
    <w:rsid w:val="0034452B"/>
    <w:rsid w:val="0034462D"/>
    <w:rsid w:val="00344AA8"/>
    <w:rsid w:val="00345E08"/>
    <w:rsid w:val="00350386"/>
    <w:rsid w:val="003509E0"/>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2D9F"/>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0E0A"/>
    <w:rsid w:val="003C1DF8"/>
    <w:rsid w:val="003C259D"/>
    <w:rsid w:val="003C4551"/>
    <w:rsid w:val="003C45CD"/>
    <w:rsid w:val="003C5329"/>
    <w:rsid w:val="003D00B3"/>
    <w:rsid w:val="003D078B"/>
    <w:rsid w:val="003D23D7"/>
    <w:rsid w:val="003D2D50"/>
    <w:rsid w:val="003D2E34"/>
    <w:rsid w:val="003D3021"/>
    <w:rsid w:val="003D3613"/>
    <w:rsid w:val="003D3815"/>
    <w:rsid w:val="003D6715"/>
    <w:rsid w:val="003D697A"/>
    <w:rsid w:val="003D70CD"/>
    <w:rsid w:val="003D763B"/>
    <w:rsid w:val="003D77DA"/>
    <w:rsid w:val="003E0B81"/>
    <w:rsid w:val="003E1850"/>
    <w:rsid w:val="003E28B7"/>
    <w:rsid w:val="003E29D5"/>
    <w:rsid w:val="003E57D1"/>
    <w:rsid w:val="003E6ADF"/>
    <w:rsid w:val="003E6EF7"/>
    <w:rsid w:val="003F49C6"/>
    <w:rsid w:val="003F555E"/>
    <w:rsid w:val="003F614E"/>
    <w:rsid w:val="003F7502"/>
    <w:rsid w:val="003F7BA1"/>
    <w:rsid w:val="00406567"/>
    <w:rsid w:val="0040765C"/>
    <w:rsid w:val="004076E2"/>
    <w:rsid w:val="0040773D"/>
    <w:rsid w:val="00407C11"/>
    <w:rsid w:val="00410088"/>
    <w:rsid w:val="004116FB"/>
    <w:rsid w:val="00411848"/>
    <w:rsid w:val="00412931"/>
    <w:rsid w:val="00414A7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3EB9"/>
    <w:rsid w:val="00435E7B"/>
    <w:rsid w:val="0043627F"/>
    <w:rsid w:val="0043704E"/>
    <w:rsid w:val="00440278"/>
    <w:rsid w:val="004405DE"/>
    <w:rsid w:val="0044264F"/>
    <w:rsid w:val="00442AA5"/>
    <w:rsid w:val="0044332E"/>
    <w:rsid w:val="00444E84"/>
    <w:rsid w:val="0044625A"/>
    <w:rsid w:val="0044667C"/>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720CB"/>
    <w:rsid w:val="004728DF"/>
    <w:rsid w:val="00473AA0"/>
    <w:rsid w:val="0047455F"/>
    <w:rsid w:val="00474C54"/>
    <w:rsid w:val="004765D1"/>
    <w:rsid w:val="004767A9"/>
    <w:rsid w:val="00476BD5"/>
    <w:rsid w:val="00480137"/>
    <w:rsid w:val="00480F80"/>
    <w:rsid w:val="00480FD3"/>
    <w:rsid w:val="00481581"/>
    <w:rsid w:val="0048184E"/>
    <w:rsid w:val="004826F1"/>
    <w:rsid w:val="00482782"/>
    <w:rsid w:val="004840FC"/>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C0CF7"/>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4F7960"/>
    <w:rsid w:val="00500130"/>
    <w:rsid w:val="00504978"/>
    <w:rsid w:val="00505CF6"/>
    <w:rsid w:val="0050730B"/>
    <w:rsid w:val="00511BD6"/>
    <w:rsid w:val="0051428E"/>
    <w:rsid w:val="005147F3"/>
    <w:rsid w:val="00515D70"/>
    <w:rsid w:val="00517579"/>
    <w:rsid w:val="005176CE"/>
    <w:rsid w:val="005200E9"/>
    <w:rsid w:val="00522BD3"/>
    <w:rsid w:val="00523E5C"/>
    <w:rsid w:val="00524C16"/>
    <w:rsid w:val="00524EEA"/>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409E"/>
    <w:rsid w:val="005562D8"/>
    <w:rsid w:val="00557088"/>
    <w:rsid w:val="00561B33"/>
    <w:rsid w:val="00563071"/>
    <w:rsid w:val="005652D7"/>
    <w:rsid w:val="00573390"/>
    <w:rsid w:val="005757B3"/>
    <w:rsid w:val="0057757C"/>
    <w:rsid w:val="0058145D"/>
    <w:rsid w:val="00582510"/>
    <w:rsid w:val="00582834"/>
    <w:rsid w:val="005829BF"/>
    <w:rsid w:val="00582B53"/>
    <w:rsid w:val="00582FD9"/>
    <w:rsid w:val="00583048"/>
    <w:rsid w:val="00583845"/>
    <w:rsid w:val="00583960"/>
    <w:rsid w:val="005849A6"/>
    <w:rsid w:val="00585478"/>
    <w:rsid w:val="005859AF"/>
    <w:rsid w:val="00590E7B"/>
    <w:rsid w:val="00591422"/>
    <w:rsid w:val="005932FF"/>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B7DB7"/>
    <w:rsid w:val="005C0088"/>
    <w:rsid w:val="005C0357"/>
    <w:rsid w:val="005C0611"/>
    <w:rsid w:val="005C0980"/>
    <w:rsid w:val="005C0D65"/>
    <w:rsid w:val="005C0DB6"/>
    <w:rsid w:val="005C0EE2"/>
    <w:rsid w:val="005C14A3"/>
    <w:rsid w:val="005C153A"/>
    <w:rsid w:val="005C1E43"/>
    <w:rsid w:val="005C302A"/>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5F727C"/>
    <w:rsid w:val="00600538"/>
    <w:rsid w:val="00602226"/>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35D1"/>
    <w:rsid w:val="00624E56"/>
    <w:rsid w:val="00625A71"/>
    <w:rsid w:val="00627441"/>
    <w:rsid w:val="006276A1"/>
    <w:rsid w:val="006316F9"/>
    <w:rsid w:val="0063208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9B9"/>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3B68"/>
    <w:rsid w:val="00673DCE"/>
    <w:rsid w:val="006749E5"/>
    <w:rsid w:val="00675C9D"/>
    <w:rsid w:val="00675DA5"/>
    <w:rsid w:val="00676165"/>
    <w:rsid w:val="00676CB1"/>
    <w:rsid w:val="00686291"/>
    <w:rsid w:val="00686FA4"/>
    <w:rsid w:val="006907DF"/>
    <w:rsid w:val="00690972"/>
    <w:rsid w:val="00691E65"/>
    <w:rsid w:val="00691EA1"/>
    <w:rsid w:val="00693886"/>
    <w:rsid w:val="00694BE9"/>
    <w:rsid w:val="0069576C"/>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BA4"/>
    <w:rsid w:val="006C2DB2"/>
    <w:rsid w:val="006C43B5"/>
    <w:rsid w:val="006C5E78"/>
    <w:rsid w:val="006C615F"/>
    <w:rsid w:val="006C6E2E"/>
    <w:rsid w:val="006C773D"/>
    <w:rsid w:val="006D28A5"/>
    <w:rsid w:val="006D2F81"/>
    <w:rsid w:val="006D3518"/>
    <w:rsid w:val="006D3F0C"/>
    <w:rsid w:val="006D4494"/>
    <w:rsid w:val="006D4AFF"/>
    <w:rsid w:val="006D53AA"/>
    <w:rsid w:val="006D53EB"/>
    <w:rsid w:val="006D67E7"/>
    <w:rsid w:val="006D6A30"/>
    <w:rsid w:val="006D76DB"/>
    <w:rsid w:val="006E01E1"/>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31B0F"/>
    <w:rsid w:val="00732460"/>
    <w:rsid w:val="00733D7B"/>
    <w:rsid w:val="00735881"/>
    <w:rsid w:val="00735F13"/>
    <w:rsid w:val="007364A0"/>
    <w:rsid w:val="007408D5"/>
    <w:rsid w:val="0074154C"/>
    <w:rsid w:val="00741FDE"/>
    <w:rsid w:val="00742757"/>
    <w:rsid w:val="007427E5"/>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71DC"/>
    <w:rsid w:val="00777F89"/>
    <w:rsid w:val="00782574"/>
    <w:rsid w:val="00782D76"/>
    <w:rsid w:val="007831CE"/>
    <w:rsid w:val="0078347B"/>
    <w:rsid w:val="00784F06"/>
    <w:rsid w:val="007860CA"/>
    <w:rsid w:val="00790B45"/>
    <w:rsid w:val="0079220D"/>
    <w:rsid w:val="00792719"/>
    <w:rsid w:val="00792749"/>
    <w:rsid w:val="007928CE"/>
    <w:rsid w:val="00792ADA"/>
    <w:rsid w:val="00793ECE"/>
    <w:rsid w:val="00796E22"/>
    <w:rsid w:val="0079778C"/>
    <w:rsid w:val="00797E1A"/>
    <w:rsid w:val="007A35C4"/>
    <w:rsid w:val="007A3CC4"/>
    <w:rsid w:val="007A4418"/>
    <w:rsid w:val="007A45F1"/>
    <w:rsid w:val="007A56FF"/>
    <w:rsid w:val="007A5B54"/>
    <w:rsid w:val="007A766F"/>
    <w:rsid w:val="007B1B31"/>
    <w:rsid w:val="007B2921"/>
    <w:rsid w:val="007B38F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01A"/>
    <w:rsid w:val="007F2366"/>
    <w:rsid w:val="007F2A06"/>
    <w:rsid w:val="007F4B97"/>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1546"/>
    <w:rsid w:val="0082207A"/>
    <w:rsid w:val="00823429"/>
    <w:rsid w:val="008309E3"/>
    <w:rsid w:val="008314BA"/>
    <w:rsid w:val="00832337"/>
    <w:rsid w:val="00832B7B"/>
    <w:rsid w:val="00832FFA"/>
    <w:rsid w:val="008347F7"/>
    <w:rsid w:val="008353FC"/>
    <w:rsid w:val="00837C2E"/>
    <w:rsid w:val="00837D16"/>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1208"/>
    <w:rsid w:val="00884FC6"/>
    <w:rsid w:val="00886C5B"/>
    <w:rsid w:val="00887659"/>
    <w:rsid w:val="0089080C"/>
    <w:rsid w:val="00890C8E"/>
    <w:rsid w:val="00895D8D"/>
    <w:rsid w:val="008A172E"/>
    <w:rsid w:val="008A1F51"/>
    <w:rsid w:val="008A2695"/>
    <w:rsid w:val="008A33D5"/>
    <w:rsid w:val="008A45E8"/>
    <w:rsid w:val="008A5A5A"/>
    <w:rsid w:val="008A5D75"/>
    <w:rsid w:val="008A7719"/>
    <w:rsid w:val="008A7A9A"/>
    <w:rsid w:val="008B0AFD"/>
    <w:rsid w:val="008B3B41"/>
    <w:rsid w:val="008B44DA"/>
    <w:rsid w:val="008B4D42"/>
    <w:rsid w:val="008B5BE3"/>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47C0"/>
    <w:rsid w:val="009155A6"/>
    <w:rsid w:val="00915CF0"/>
    <w:rsid w:val="00916FAC"/>
    <w:rsid w:val="009175F1"/>
    <w:rsid w:val="00920DC1"/>
    <w:rsid w:val="00920F09"/>
    <w:rsid w:val="00922FA5"/>
    <w:rsid w:val="00923B5B"/>
    <w:rsid w:val="00923DD8"/>
    <w:rsid w:val="00924FEC"/>
    <w:rsid w:val="0092506F"/>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56EB"/>
    <w:rsid w:val="00946AB1"/>
    <w:rsid w:val="009504B8"/>
    <w:rsid w:val="009517F6"/>
    <w:rsid w:val="00953281"/>
    <w:rsid w:val="00953B8E"/>
    <w:rsid w:val="00956565"/>
    <w:rsid w:val="00957FDC"/>
    <w:rsid w:val="00960032"/>
    <w:rsid w:val="009601AB"/>
    <w:rsid w:val="00960D92"/>
    <w:rsid w:val="00961947"/>
    <w:rsid w:val="00962C7C"/>
    <w:rsid w:val="00962F2C"/>
    <w:rsid w:val="0096331D"/>
    <w:rsid w:val="00963579"/>
    <w:rsid w:val="00963C26"/>
    <w:rsid w:val="00963D08"/>
    <w:rsid w:val="00963E4F"/>
    <w:rsid w:val="00965CA7"/>
    <w:rsid w:val="00966160"/>
    <w:rsid w:val="009672AC"/>
    <w:rsid w:val="00967EDD"/>
    <w:rsid w:val="00971910"/>
    <w:rsid w:val="00972B8E"/>
    <w:rsid w:val="00973A55"/>
    <w:rsid w:val="00974C45"/>
    <w:rsid w:val="00975A1E"/>
    <w:rsid w:val="00975C75"/>
    <w:rsid w:val="00980B13"/>
    <w:rsid w:val="00980F6D"/>
    <w:rsid w:val="00982E2D"/>
    <w:rsid w:val="00982F94"/>
    <w:rsid w:val="00983EDA"/>
    <w:rsid w:val="00985422"/>
    <w:rsid w:val="009867CF"/>
    <w:rsid w:val="00986DCF"/>
    <w:rsid w:val="00991021"/>
    <w:rsid w:val="00992A6C"/>
    <w:rsid w:val="00992B39"/>
    <w:rsid w:val="00996DF4"/>
    <w:rsid w:val="009A02E4"/>
    <w:rsid w:val="009A0A3D"/>
    <w:rsid w:val="009A1442"/>
    <w:rsid w:val="009A1C7C"/>
    <w:rsid w:val="009A2D3A"/>
    <w:rsid w:val="009A3F87"/>
    <w:rsid w:val="009A4F82"/>
    <w:rsid w:val="009A5325"/>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E5D7B"/>
    <w:rsid w:val="009F0361"/>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46A8"/>
    <w:rsid w:val="00A2660D"/>
    <w:rsid w:val="00A2730C"/>
    <w:rsid w:val="00A27CF3"/>
    <w:rsid w:val="00A30B9A"/>
    <w:rsid w:val="00A30BC4"/>
    <w:rsid w:val="00A30C4E"/>
    <w:rsid w:val="00A32843"/>
    <w:rsid w:val="00A33131"/>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824D5"/>
    <w:rsid w:val="00A8270A"/>
    <w:rsid w:val="00A86745"/>
    <w:rsid w:val="00A928A8"/>
    <w:rsid w:val="00A93F20"/>
    <w:rsid w:val="00A94AAE"/>
    <w:rsid w:val="00A94C7E"/>
    <w:rsid w:val="00A9692C"/>
    <w:rsid w:val="00A97F66"/>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1910"/>
    <w:rsid w:val="00AD258F"/>
    <w:rsid w:val="00AD3BBA"/>
    <w:rsid w:val="00AD3C09"/>
    <w:rsid w:val="00AD3C7F"/>
    <w:rsid w:val="00AD48C6"/>
    <w:rsid w:val="00AD4B16"/>
    <w:rsid w:val="00AD528D"/>
    <w:rsid w:val="00AD6C53"/>
    <w:rsid w:val="00AD7CA8"/>
    <w:rsid w:val="00AE0A28"/>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18E4"/>
    <w:rsid w:val="00B239A7"/>
    <w:rsid w:val="00B245DB"/>
    <w:rsid w:val="00B26620"/>
    <w:rsid w:val="00B27045"/>
    <w:rsid w:val="00B27C98"/>
    <w:rsid w:val="00B300F4"/>
    <w:rsid w:val="00B30765"/>
    <w:rsid w:val="00B31DD6"/>
    <w:rsid w:val="00B31FF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2744"/>
    <w:rsid w:val="00B63650"/>
    <w:rsid w:val="00B6558E"/>
    <w:rsid w:val="00B67193"/>
    <w:rsid w:val="00B67D35"/>
    <w:rsid w:val="00B67E9F"/>
    <w:rsid w:val="00B70F4B"/>
    <w:rsid w:val="00B718C4"/>
    <w:rsid w:val="00B71B75"/>
    <w:rsid w:val="00B72B7D"/>
    <w:rsid w:val="00B74F18"/>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876"/>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451"/>
    <w:rsid w:val="00C15DA6"/>
    <w:rsid w:val="00C165DE"/>
    <w:rsid w:val="00C214C2"/>
    <w:rsid w:val="00C21AFE"/>
    <w:rsid w:val="00C25ED7"/>
    <w:rsid w:val="00C26002"/>
    <w:rsid w:val="00C26983"/>
    <w:rsid w:val="00C274C9"/>
    <w:rsid w:val="00C30622"/>
    <w:rsid w:val="00C31586"/>
    <w:rsid w:val="00C31ADD"/>
    <w:rsid w:val="00C31CD1"/>
    <w:rsid w:val="00C3339F"/>
    <w:rsid w:val="00C33751"/>
    <w:rsid w:val="00C34EA3"/>
    <w:rsid w:val="00C3551D"/>
    <w:rsid w:val="00C35FC9"/>
    <w:rsid w:val="00C3704C"/>
    <w:rsid w:val="00C377C5"/>
    <w:rsid w:val="00C43BE1"/>
    <w:rsid w:val="00C44DBD"/>
    <w:rsid w:val="00C461DC"/>
    <w:rsid w:val="00C46671"/>
    <w:rsid w:val="00C46E46"/>
    <w:rsid w:val="00C502C6"/>
    <w:rsid w:val="00C50BA4"/>
    <w:rsid w:val="00C52F3F"/>
    <w:rsid w:val="00C55615"/>
    <w:rsid w:val="00C57805"/>
    <w:rsid w:val="00C57FA6"/>
    <w:rsid w:val="00C60DFE"/>
    <w:rsid w:val="00C60E01"/>
    <w:rsid w:val="00C611F1"/>
    <w:rsid w:val="00C616EE"/>
    <w:rsid w:val="00C63123"/>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198C"/>
    <w:rsid w:val="00CA3BD2"/>
    <w:rsid w:val="00CA429B"/>
    <w:rsid w:val="00CA6B0F"/>
    <w:rsid w:val="00CA7768"/>
    <w:rsid w:val="00CA792E"/>
    <w:rsid w:val="00CA7EF2"/>
    <w:rsid w:val="00CB162D"/>
    <w:rsid w:val="00CB1736"/>
    <w:rsid w:val="00CB5EF9"/>
    <w:rsid w:val="00CB77E9"/>
    <w:rsid w:val="00CC0327"/>
    <w:rsid w:val="00CC1E9D"/>
    <w:rsid w:val="00CC3C57"/>
    <w:rsid w:val="00CC4B1B"/>
    <w:rsid w:val="00CC4EE1"/>
    <w:rsid w:val="00CC6124"/>
    <w:rsid w:val="00CC671A"/>
    <w:rsid w:val="00CC72F2"/>
    <w:rsid w:val="00CC76BC"/>
    <w:rsid w:val="00CC78A9"/>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25C"/>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6DE"/>
    <w:rsid w:val="00D26994"/>
    <w:rsid w:val="00D320AC"/>
    <w:rsid w:val="00D32A66"/>
    <w:rsid w:val="00D3304B"/>
    <w:rsid w:val="00D359BF"/>
    <w:rsid w:val="00D36DB4"/>
    <w:rsid w:val="00D371D3"/>
    <w:rsid w:val="00D37299"/>
    <w:rsid w:val="00D4083C"/>
    <w:rsid w:val="00D41655"/>
    <w:rsid w:val="00D42141"/>
    <w:rsid w:val="00D42448"/>
    <w:rsid w:val="00D42D11"/>
    <w:rsid w:val="00D430A0"/>
    <w:rsid w:val="00D44EEB"/>
    <w:rsid w:val="00D45141"/>
    <w:rsid w:val="00D4564B"/>
    <w:rsid w:val="00D47251"/>
    <w:rsid w:val="00D50008"/>
    <w:rsid w:val="00D50B05"/>
    <w:rsid w:val="00D513C2"/>
    <w:rsid w:val="00D51EB8"/>
    <w:rsid w:val="00D52EDE"/>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77980"/>
    <w:rsid w:val="00D830F3"/>
    <w:rsid w:val="00D84245"/>
    <w:rsid w:val="00D84264"/>
    <w:rsid w:val="00D85B2B"/>
    <w:rsid w:val="00D86727"/>
    <w:rsid w:val="00D86756"/>
    <w:rsid w:val="00D8685C"/>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0C5"/>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0E6D"/>
    <w:rsid w:val="00E1281A"/>
    <w:rsid w:val="00E14896"/>
    <w:rsid w:val="00E1628E"/>
    <w:rsid w:val="00E208B5"/>
    <w:rsid w:val="00E20BEE"/>
    <w:rsid w:val="00E21947"/>
    <w:rsid w:val="00E21C42"/>
    <w:rsid w:val="00E225FB"/>
    <w:rsid w:val="00E22E25"/>
    <w:rsid w:val="00E22F70"/>
    <w:rsid w:val="00E25E71"/>
    <w:rsid w:val="00E2645E"/>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76B40"/>
    <w:rsid w:val="00E76EAF"/>
    <w:rsid w:val="00E81BCB"/>
    <w:rsid w:val="00E82AD6"/>
    <w:rsid w:val="00E82E2C"/>
    <w:rsid w:val="00E8477B"/>
    <w:rsid w:val="00E84C73"/>
    <w:rsid w:val="00E91F16"/>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6179"/>
    <w:rsid w:val="00F17F04"/>
    <w:rsid w:val="00F20246"/>
    <w:rsid w:val="00F22756"/>
    <w:rsid w:val="00F233D8"/>
    <w:rsid w:val="00F247C0"/>
    <w:rsid w:val="00F25618"/>
    <w:rsid w:val="00F2761F"/>
    <w:rsid w:val="00F312FC"/>
    <w:rsid w:val="00F31D7C"/>
    <w:rsid w:val="00F31EB6"/>
    <w:rsid w:val="00F34DC7"/>
    <w:rsid w:val="00F358A8"/>
    <w:rsid w:val="00F363B9"/>
    <w:rsid w:val="00F40BFC"/>
    <w:rsid w:val="00F41101"/>
    <w:rsid w:val="00F42C31"/>
    <w:rsid w:val="00F432B1"/>
    <w:rsid w:val="00F4350A"/>
    <w:rsid w:val="00F44A8B"/>
    <w:rsid w:val="00F45328"/>
    <w:rsid w:val="00F4747F"/>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809"/>
    <w:rsid w:val="00F86DAF"/>
    <w:rsid w:val="00F905C1"/>
    <w:rsid w:val="00F90F78"/>
    <w:rsid w:val="00F92C1F"/>
    <w:rsid w:val="00F93877"/>
    <w:rsid w:val="00F93EB8"/>
    <w:rsid w:val="00F93EF3"/>
    <w:rsid w:val="00F945CD"/>
    <w:rsid w:val="00F96986"/>
    <w:rsid w:val="00F974AB"/>
    <w:rsid w:val="00FA0100"/>
    <w:rsid w:val="00FA1A51"/>
    <w:rsid w:val="00FA27DF"/>
    <w:rsid w:val="00FA33A5"/>
    <w:rsid w:val="00FA4826"/>
    <w:rsid w:val="00FA4EE7"/>
    <w:rsid w:val="00FA74C7"/>
    <w:rsid w:val="00FA7CC4"/>
    <w:rsid w:val="00FB3C03"/>
    <w:rsid w:val="00FB4A80"/>
    <w:rsid w:val="00FB5939"/>
    <w:rsid w:val="00FB65AE"/>
    <w:rsid w:val="00FC060E"/>
    <w:rsid w:val="00FC159E"/>
    <w:rsid w:val="00FC1EFA"/>
    <w:rsid w:val="00FC2813"/>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E7C9F"/>
    <w:rsid w:val="00FF1726"/>
    <w:rsid w:val="00FF34B2"/>
    <w:rsid w:val="00FF42EE"/>
    <w:rsid w:val="00FF5BB4"/>
    <w:rsid w:val="016E044A"/>
    <w:rsid w:val="0C482343"/>
    <w:rsid w:val="16D05547"/>
    <w:rsid w:val="18704CB4"/>
    <w:rsid w:val="192E28F8"/>
    <w:rsid w:val="1A0827AE"/>
    <w:rsid w:val="22C80A1D"/>
    <w:rsid w:val="28E92B74"/>
    <w:rsid w:val="2CF17ED9"/>
    <w:rsid w:val="2D491F9E"/>
    <w:rsid w:val="2DD6396D"/>
    <w:rsid w:val="2F20599A"/>
    <w:rsid w:val="2FE50BA9"/>
    <w:rsid w:val="317F0BCA"/>
    <w:rsid w:val="32832A04"/>
    <w:rsid w:val="391C28EE"/>
    <w:rsid w:val="392E09A2"/>
    <w:rsid w:val="3A6C3919"/>
    <w:rsid w:val="3B7A0F58"/>
    <w:rsid w:val="3C672EE2"/>
    <w:rsid w:val="40DF4D01"/>
    <w:rsid w:val="48960B41"/>
    <w:rsid w:val="493733B5"/>
    <w:rsid w:val="4C4C62F7"/>
    <w:rsid w:val="50CE10DD"/>
    <w:rsid w:val="5E7168E6"/>
    <w:rsid w:val="6B3E697D"/>
    <w:rsid w:val="6E3C6504"/>
    <w:rsid w:val="6F3335BA"/>
    <w:rsid w:val="76A76695"/>
    <w:rsid w:val="76E521D9"/>
    <w:rsid w:val="7A241826"/>
    <w:rsid w:val="DEDF5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eastAsia="仿宋_GB2312"/>
    </w:rPr>
  </w:style>
  <w:style w:type="paragraph" w:styleId="3">
    <w:name w:val="annotation text"/>
    <w:basedOn w:val="1"/>
    <w:link w:val="17"/>
    <w:qFormat/>
    <w:uiPriority w:val="0"/>
    <w:pPr>
      <w:spacing w:line="360" w:lineRule="auto"/>
      <w:jc w:val="left"/>
    </w:pPr>
    <w:rPr>
      <w:rFonts w:ascii="宋体" w:hAnsi="宋体" w:eastAsia="宋体" w:cs="Times New Roman"/>
      <w:szCs w:val="24"/>
    </w:rPr>
  </w:style>
  <w:style w:type="paragraph" w:styleId="4">
    <w:name w:val="Body Text Indent"/>
    <w:basedOn w:val="1"/>
    <w:link w:val="16"/>
    <w:qFormat/>
    <w:uiPriority w:val="0"/>
    <w:pPr>
      <w:ind w:firstLine="420"/>
    </w:pPr>
    <w:rPr>
      <w:rFonts w:ascii="Times New Roman" w:hAnsi="Times New Roman" w:eastAsia="宋体" w:cs="Times New Roman"/>
      <w:sz w:val="24"/>
      <w:szCs w:val="24"/>
    </w:rPr>
  </w:style>
  <w:style w:type="paragraph" w:styleId="5">
    <w:name w:val="Balloon Text"/>
    <w:basedOn w:val="1"/>
    <w:link w:val="12"/>
    <w:semiHidden/>
    <w:unhideWhenUsed/>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批注框文本 字符"/>
    <w:basedOn w:val="11"/>
    <w:link w:val="5"/>
    <w:semiHidden/>
    <w:qFormat/>
    <w:uiPriority w:val="99"/>
    <w:rPr>
      <w:sz w:val="18"/>
      <w:szCs w:val="18"/>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paragraph" w:customStyle="1" w:styleId="15">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16">
    <w:name w:val="正文文本缩进 字符"/>
    <w:basedOn w:val="11"/>
    <w:link w:val="4"/>
    <w:qFormat/>
    <w:uiPriority w:val="0"/>
    <w:rPr>
      <w:rFonts w:ascii="Times New Roman" w:hAnsi="Times New Roman" w:eastAsia="宋体" w:cs="Times New Roman"/>
      <w:sz w:val="24"/>
      <w:szCs w:val="24"/>
    </w:rPr>
  </w:style>
  <w:style w:type="character" w:customStyle="1" w:styleId="17">
    <w:name w:val="批注文字 字符"/>
    <w:basedOn w:val="11"/>
    <w:link w:val="3"/>
    <w:qFormat/>
    <w:uiPriority w:val="0"/>
    <w:rPr>
      <w:rFonts w:ascii="宋体" w:hAnsi="宋体" w:eastAsia="宋体" w:cs="Times New Roman"/>
      <w:szCs w:val="24"/>
    </w:rPr>
  </w:style>
  <w:style w:type="paragraph" w:styleId="18">
    <w:name w:val="List Paragraph"/>
    <w:basedOn w:val="1"/>
    <w:qFormat/>
    <w:uiPriority w:val="34"/>
    <w:pPr>
      <w:ind w:firstLine="420" w:firstLineChars="200"/>
    </w:pPr>
  </w:style>
  <w:style w:type="paragraph" w:customStyle="1" w:styleId="19">
    <w:name w:val="段"/>
    <w:link w:val="20"/>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20">
    <w:name w:val="段 Char"/>
    <w:link w:val="19"/>
    <w:qFormat/>
    <w:uiPriority w:val="0"/>
    <w:rPr>
      <w:rFonts w:ascii="宋体" w:hAnsi="Times New Roman" w:eastAsia="宋体" w:cs="Times New Roman"/>
      <w:kern w:val="0"/>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1477</Words>
  <Characters>8421</Characters>
  <Lines>70</Lines>
  <Paragraphs>19</Paragraphs>
  <TotalTime>25</TotalTime>
  <ScaleCrop>false</ScaleCrop>
  <LinksUpToDate>false</LinksUpToDate>
  <CharactersWithSpaces>9879</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2023-10-14T15:50:00Z</dcterms:created>
  <dc:creator>Sky123.Org</dc:creator>
  <cp:lastModifiedBy>林若虚</cp:lastModifiedBy>
  <dcterms:modified xsi:type="dcterms:W3CDTF">2023-10-15T08:24:07Z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F6AA343D151543FFA65C3B37EB50CAA8</vt:lpwstr>
  </property>
</Properties>
</file>