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pPr>
      <w:r>
        <w:rPr>
          <w:rFonts w:hint="eastAsia"/>
        </w:rPr>
        <w:t>ICS</w:t>
      </w:r>
      <w:r>
        <w:rPr>
          <w:rFonts w:hint="eastAsia" w:ascii="MS Gothic" w:hAnsi="MS Gothic" w:eastAsia="MS Gothic" w:cs="MS Gothic"/>
        </w:rPr>
        <w:t> </w:t>
      </w:r>
      <w:r>
        <w:rPr>
          <w:rFonts w:hint="eastAsia"/>
        </w:rPr>
        <w:t>77.040</w:t>
      </w:r>
    </w:p>
    <w:p>
      <w:pPr>
        <w:pStyle w:val="122"/>
        <w:framePr w:wrap="around"/>
      </w:pPr>
      <w:r>
        <w:t xml:space="preserve">CCS </w:t>
      </w:r>
      <w:r>
        <w:rPr>
          <w:rFonts w:hint="eastAsia"/>
        </w:rPr>
        <w:t>H 21</w:t>
      </w:r>
    </w:p>
    <w:p>
      <w:pPr>
        <w:pStyle w:val="65"/>
        <w:framePr w:wrap="around"/>
      </w:pPr>
      <w:r>
        <w:drawing>
          <wp:inline distT="0" distB="0" distL="0" distR="0">
            <wp:extent cx="1435100" cy="71755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8"/>
                    <a:srcRect/>
                    <a:stretch>
                      <a:fillRect/>
                    </a:stretch>
                  </pic:blipFill>
                  <pic:spPr>
                    <a:xfrm>
                      <a:off x="0" y="0"/>
                      <a:ext cx="1435100" cy="717550"/>
                    </a:xfrm>
                    <a:prstGeom prst="rect">
                      <a:avLst/>
                    </a:prstGeom>
                    <a:noFill/>
                    <a:ln w="9525">
                      <a:noFill/>
                      <a:miter lim="800000"/>
                      <a:headEnd/>
                      <a:tailEnd/>
                    </a:ln>
                  </pic:spPr>
                </pic:pic>
              </a:graphicData>
            </a:graphic>
          </wp:inline>
        </w:drawing>
      </w:r>
    </w:p>
    <w:p>
      <w:pPr>
        <w:pStyle w:val="66"/>
        <w:framePr w:wrap="around"/>
      </w:pPr>
      <w:r>
        <w:rPr>
          <w:rFonts w:hint="eastAsia"/>
        </w:rPr>
        <w:t>中华人民共和国国家标准</w:t>
      </w:r>
    </w:p>
    <w:p>
      <w:pPr>
        <w:pStyle w:val="46"/>
        <w:framePr w:wrap="around"/>
        <w:rPr>
          <w:lang w:val="de-DE"/>
        </w:rPr>
      </w:pPr>
      <w:r>
        <w:rPr>
          <w:rFonts w:ascii="Times New Roman"/>
          <w:lang w:val="de-DE"/>
        </w:rPr>
        <w:t xml:space="preserve">GB/T </w:t>
      </w:r>
      <w:r>
        <w:fldChar w:fldCharType="begin">
          <w:ffData>
            <w:name w:val="StdNo1"/>
            <w:enabled/>
            <w:calcOnExit w:val="0"/>
            <w:textInput>
              <w:default w:val="XXXXX"/>
            </w:textInput>
          </w:ffData>
        </w:fldChar>
      </w:r>
      <w:bookmarkStart w:id="0" w:name="StdNo1"/>
      <w:r>
        <w:instrText xml:space="preserve"> FORMTEXT </w:instrText>
      </w:r>
      <w:r>
        <w:fldChar w:fldCharType="separate"/>
      </w:r>
      <w:r>
        <w:t>XXXXX</w:t>
      </w:r>
      <w:r>
        <w:fldChar w:fldCharType="end"/>
      </w:r>
      <w:bookmarkEnd w:id="0"/>
      <w:r>
        <w:rPr>
          <w:lang w:val="de-DE"/>
        </w:rPr>
        <w:t>—</w:t>
      </w:r>
      <w:bookmarkStart w:id="1" w:name="StdNo2"/>
      <w:r>
        <w:fldChar w:fldCharType="begin">
          <w:ffData>
            <w:name w:val="StdNo2"/>
            <w:enabled/>
            <w:calcOnExit w:val="0"/>
            <w:textInput>
              <w:default w:val="XXXX"/>
              <w:maxLength w:val="4"/>
            </w:textInput>
          </w:ffData>
        </w:fldChar>
      </w:r>
      <w:r>
        <w:rPr>
          <w:lang w:val="de-DE"/>
        </w:rPr>
        <w:instrText xml:space="preserve"> FORMTEXT </w:instrText>
      </w:r>
      <w:r>
        <w:fldChar w:fldCharType="separate"/>
      </w:r>
      <w:r>
        <w:rPr>
          <w:lang w:val="de-DE"/>
        </w:rPr>
        <w:t>XXXX</w:t>
      </w:r>
      <w: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9"/>
        <w:gridCol w:w="4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9" w:type="dxa"/>
            <w:tcBorders>
              <w:top w:val="nil"/>
              <w:left w:val="nil"/>
              <w:bottom w:val="nil"/>
              <w:right w:val="nil"/>
            </w:tcBorders>
            <w:shd w:val="clear" w:color="auto" w:fill="auto"/>
          </w:tcPr>
          <w:p>
            <w:pPr>
              <w:pStyle w:val="75"/>
              <w:framePr w:wrap="around"/>
              <w:ind w:right="420"/>
              <w:jc w:val="both"/>
            </w:pPr>
            <w:bookmarkStart w:id="2" w:name="DT"/>
            <w:r>
              <w:pict>
                <v:rect id="DT" o:spid="_x0000_s1032" o:spt="1" style="position:absolute;left:0pt;margin-left:372.8pt;margin-top:119.8pt;height:18pt;width:90pt;z-index:-251649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">
                  <v:path/>
                  <v:fill focussize="0,0"/>
                  <v:stroke on="f"/>
                  <v:imagedata o:title=""/>
                  <o:lock v:ext="edit"/>
                </v:rect>
              </w:pict>
            </w:r>
            <w:bookmarkEnd w:id="2"/>
          </w:p>
        </w:tc>
        <w:tc>
          <w:tcPr>
            <w:tcW w:w="4461" w:type="dxa"/>
            <w:tcBorders>
              <w:top w:val="nil"/>
              <w:left w:val="nil"/>
              <w:bottom w:val="nil"/>
              <w:right w:val="nil"/>
            </w:tcBorders>
          </w:tcPr>
          <w:p>
            <w:pPr>
              <w:pStyle w:val="75"/>
              <w:framePr w:wrap="around"/>
              <w:ind w:right="420"/>
              <w:jc w:val="both"/>
            </w:pPr>
          </w:p>
        </w:tc>
      </w:tr>
    </w:tbl>
    <w:p>
      <w:pPr>
        <w:pStyle w:val="46"/>
        <w:framePr w:wrap="around"/>
      </w:pPr>
    </w:p>
    <w:p>
      <w:pPr>
        <w:pStyle w:val="46"/>
        <w:framePr w:wrap="around"/>
      </w:pPr>
    </w:p>
    <w:p>
      <w:pPr>
        <w:pStyle w:val="77"/>
        <w:framePr w:wrap="around" w:x="1480" w:y="6015"/>
      </w:pPr>
      <w:r>
        <w:rPr>
          <w:rFonts w:ascii="Arial" w:hAnsi="Arial" w:cs="Arial"/>
          <w:szCs w:val="21"/>
          <w:shd w:val="clear" w:color="auto" w:fill="FFFFFF"/>
        </w:rPr>
        <w:t>III族氮化物半导体材料中</w:t>
      </w:r>
      <w:r>
        <w:rPr>
          <w:rFonts w:hint="eastAsia" w:ascii="Arial" w:hAnsi="Arial" w:cs="Arial"/>
          <w:szCs w:val="21"/>
          <w:shd w:val="clear" w:color="auto" w:fill="FFFFFF"/>
        </w:rPr>
        <w:t>位错成像的测试</w:t>
      </w:r>
      <w:r>
        <w:rPr>
          <w:rFonts w:ascii="Arial" w:hAnsi="Arial" w:cs="Arial"/>
          <w:szCs w:val="21"/>
          <w:shd w:val="clear" w:color="auto" w:fill="FFFFFF"/>
        </w:rPr>
        <w:t>透射</w:t>
      </w:r>
      <w:r>
        <w:rPr>
          <w:rFonts w:hint="eastAsia" w:ascii="Arial" w:hAnsi="Arial" w:cs="Arial"/>
          <w:szCs w:val="21"/>
          <w:shd w:val="clear" w:color="auto" w:fill="FFFFFF"/>
        </w:rPr>
        <w:t>电子显微镜</w:t>
      </w:r>
      <w:r>
        <w:rPr>
          <w:rFonts w:ascii="Arial" w:hAnsi="Arial" w:cs="Arial"/>
          <w:szCs w:val="21"/>
          <w:shd w:val="clear" w:color="auto" w:fill="FFFFFF"/>
        </w:rPr>
        <w:t>法</w:t>
      </w:r>
    </w:p>
    <w:p>
      <w:pPr>
        <w:pStyle w:val="79"/>
        <w:framePr w:wrap="around" w:x="1480" w:y="6015"/>
      </w:pPr>
      <w:bookmarkStart w:id="3" w:name="YZBS"/>
      <w:r>
        <w:rPr>
          <w:rFonts w:ascii="Times New Roman"/>
          <w:szCs w:val="20"/>
        </w:rPr>
        <w:t xml:space="preserve">Test method for dislocation imaging </w:t>
      </w:r>
      <w:r>
        <w:rPr>
          <w:rFonts w:hint="eastAsia" w:ascii="Times New Roman"/>
          <w:szCs w:val="20"/>
        </w:rPr>
        <w:t>in</w:t>
      </w:r>
      <w:r>
        <w:rPr>
          <w:rFonts w:ascii="Times New Roman"/>
          <w:szCs w:val="20"/>
        </w:rPr>
        <w:t xml:space="preserve"> III-nitride semiconductor materials</w:t>
      </w:r>
      <w:r>
        <w:rPr>
          <w:rFonts w:hint="eastAsia" w:ascii="Times New Roman"/>
          <w:szCs w:val="20"/>
        </w:rPr>
        <w:t>—</w:t>
      </w:r>
      <w:r>
        <w:rPr>
          <w:rFonts w:ascii="Times New Roman"/>
          <w:szCs w:val="20"/>
        </w:rPr>
        <w:t>Transmission electron microscopy</w:t>
      </w:r>
      <w:bookmarkEnd w:id="3"/>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x="1480" w:y="6015"/>
            </w:pPr>
            <w:r>
              <w:rPr>
                <w:rFonts w:hint="eastAsia"/>
              </w:rPr>
              <w:t>（</w:t>
            </w:r>
            <w:r>
              <w:rPr>
                <w:rFonts w:hint="eastAsia"/>
                <w:lang w:val="en-US" w:eastAsia="zh-CN"/>
              </w:rPr>
              <w:t>征求意见</w:t>
            </w:r>
            <w:r>
              <w:rPr>
                <w:rFonts w:hint="eastAsia"/>
              </w:rPr>
              <w:t>稿</w:t>
            </w:r>
            <w:r>
              <w:pict>
                <v:rect id="Rectangle 20" o:spid="_x0000_s1031" o:spt="1" style="position:absolute;left:0pt;margin-left:173.3pt;margin-top:337.15pt;height:20pt;width:150pt;z-index:-25165004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v:path/>
                  <v:fill focussize="0,0"/>
                  <v:stroke on="f"/>
                  <v:imagedata o:title=""/>
                  <o:lock v:ext="edit"/>
                  <w10:anchorlock/>
                </v:rect>
              </w:pict>
            </w:r>
            <w:r>
              <w:pict>
                <v:rect id="Rectangle 19" o:spid="_x0000_s1030" o:spt="1" style="position:absolute;left:0pt;margin-left:193.3pt;margin-top:312.15pt;height:24pt;width:100pt;z-index:-25165004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">
                  <v:path/>
                  <v:fill focussize="0,0"/>
                  <v:stroke on="f"/>
                  <v:imagedata o:title=""/>
                  <o:lock v:ext="edit"/>
                </v:rect>
              </w:pict>
            </w:r>
            <w:r>
              <w:rPr>
                <w:rFonts w:hint="eastAsia"/>
              </w:rPr>
              <w:t>）</w:t>
            </w:r>
            <w:r>
              <w:pict>
                <v:rect id="RQ" o:spid="_x0000_s1029" o:spt="1" style="position:absolute;left:0pt;margin-left:173.3pt;margin-top:337.15pt;height:20pt;width:150pt;z-index:-2516510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v:path/>
                  <v:fill focussize="0,0"/>
                  <v:stroke on="f"/>
                  <v:imagedata o:title=""/>
                  <o:lock v:ext="edit"/>
                  <w10:anchorlock/>
                </v:rect>
              </w:pict>
            </w:r>
            <w:r>
              <w:pict>
                <v:rect id="LB" o:spid="_x0000_s1028" o:spt="1" style="position:absolute;left:0pt;margin-left:193.3pt;margin-top:312.15pt;height:24pt;width:100pt;z-index:-2516520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&#1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x="1480" w:y="6015"/>
            </w:pPr>
          </w:p>
        </w:tc>
      </w:tr>
    </w:tbl>
    <w:p>
      <w:pPr>
        <w:pStyle w:val="129"/>
        <w:framePr w:wrap="around" w:vAnchor="page" w:hAnchor="page" w:x="1717" w:y="14070"/>
      </w:pPr>
      <w:bookmarkStart w:id="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4"/>
      <w:r>
        <w:rPr>
          <w:rFonts w:ascii="黑体"/>
        </w:rPr>
        <w:t>-</w:t>
      </w:r>
      <w:bookmarkStart w:id="5"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ascii="黑体"/>
        </w:rPr>
        <w:t>-</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w:pict>
          <v:line id="Line 10" o:spid="_x0000_s1027" o:spt="20" style="position:absolute;left:0pt;margin-left:-0.05pt;margin-top:728.5pt;height:0.05pt;width:472.35pt;mso-position-vertical-relative:page;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v:path arrowok="t"/>
            <v:fill on="f" focussize="0,0"/>
            <v:stroke color="#000000"/>
            <v:imagedata o:title=""/>
            <o:lock v:ext="edit" aspectratio="f"/>
            <w10:anchorlock/>
          </v:line>
        </w:pict>
      </w:r>
    </w:p>
    <w:p>
      <w:pPr>
        <w:pStyle w:val="130"/>
        <w:framePr w:wrap="around" w:vAnchor="page" w:hAnchor="page" w:x="7196"/>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202X</w:t>
      </w:r>
      <w:r>
        <w:rPr>
          <w:rFonts w:ascii="黑体"/>
        </w:rPr>
        <w:fldChar w:fldCharType="end"/>
      </w:r>
      <w:bookmarkEnd w:id="7"/>
      <w:r>
        <w:rPr>
          <w:rFonts w:ascii="黑体"/>
        </w:rPr>
        <w:t>-</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22"/>
        <w:sectPr>
          <w:headerReference r:id="rId3" w:type="even"/>
          <w:footerReference r:id="rId4" w:type="even"/>
          <w:pgSz w:w="11906" w:h="16838"/>
          <w:pgMar w:top="567" w:right="1134" w:bottom="1134" w:left="1418" w:header="0" w:footer="0" w:gutter="0"/>
          <w:pgNumType w:fmt="upperRoman" w:start="1"/>
          <w:cols w:space="425" w:num="1"/>
          <w:docGrid w:type="lines" w:linePitch="312" w:charSpace="0"/>
        </w:sectPr>
      </w:pPr>
      <w:r>
        <w:drawing>
          <wp:anchor distT="0" distB="0" distL="114300" distR="114300" simplePos="0" relativeHeight="251668480" behindDoc="0" locked="0" layoutInCell="1" allowOverlap="1">
            <wp:simplePos x="0" y="0"/>
            <wp:positionH relativeFrom="margin">
              <wp:posOffset>1313180</wp:posOffset>
            </wp:positionH>
            <wp:positionV relativeFrom="paragraph">
              <wp:posOffset>8967470</wp:posOffset>
            </wp:positionV>
            <wp:extent cx="3296285" cy="791845"/>
            <wp:effectExtent l="19050" t="0" r="0" b="0"/>
            <wp:wrapNone/>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noChangeArrowheads="1"/>
                    </pic:cNvPicPr>
                  </pic:nvPicPr>
                  <pic:blipFill>
                    <a:blip r:embed="rId9"/>
                    <a:srcRect/>
                    <a:stretch>
                      <a:fillRect/>
                    </a:stretch>
                  </pic:blipFill>
                  <pic:spPr>
                    <a:xfrm>
                      <a:off x="0" y="0"/>
                      <a:ext cx="3296285" cy="791845"/>
                    </a:xfrm>
                    <a:prstGeom prst="rect">
                      <a:avLst/>
                    </a:prstGeom>
                    <a:noFill/>
                    <a:ln w="9525">
                      <a:noFill/>
                      <a:miter lim="800000"/>
                      <a:headEnd/>
                      <a:tailEnd/>
                    </a:ln>
                  </pic:spPr>
                </pic:pic>
              </a:graphicData>
            </a:graphic>
          </wp:anchor>
        </w:drawing>
      </w:r>
      <w:r>
        <w:pict>
          <v:line id="Line 11" o:spid="_x0000_s1026" o:spt="20" style="position:absolute;left:0pt;margin-left:-0.05pt;margin-top:184.25pt;height:0pt;width:481.9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v:path arrowok="t"/>
            <v:fill focussize="0,0"/>
            <v:stroke/>
            <v:imagedata o:title=""/>
            <o:lock v:ext="edit"/>
          </v:line>
        </w:pict>
      </w:r>
    </w:p>
    <w:p>
      <w:pPr>
        <w:pStyle w:val="111"/>
      </w:pPr>
      <w:r>
        <w:rPr>
          <w:rFonts w:hint="eastAsia"/>
        </w:rPr>
        <w:t>前</w:t>
      </w:r>
      <w:bookmarkStart w:id="10" w:name="BKQY"/>
      <w:r>
        <w:t>  </w:t>
      </w:r>
      <w:r>
        <w:rPr>
          <w:rFonts w:hint="eastAsia"/>
        </w:rPr>
        <w:t>言</w:t>
      </w:r>
      <w:bookmarkEnd w:id="10"/>
    </w:p>
    <w:p>
      <w:pPr>
        <w:pStyle w:val="22"/>
        <w:spacing w:before="156" w:after="156"/>
        <w:rPr>
          <w:rFonts w:hint="eastAsia" w:hAnsi="宋体"/>
          <w:szCs w:val="21"/>
        </w:rPr>
      </w:pPr>
      <w:bookmarkStart w:id="11" w:name="_Hlk63086478"/>
      <w:r>
        <w:rPr>
          <w:rFonts w:hint="eastAsia" w:hAnsi="宋体"/>
          <w:szCs w:val="21"/>
        </w:rPr>
        <w:t>本文件按照GB/T 1.1—2020《标准化工作导则  第1部分：标准化文件的结构和起草规则》的规定起草。</w:t>
      </w:r>
    </w:p>
    <w:p>
      <w:pPr>
        <w:ind w:firstLine="420" w:firstLineChars="200"/>
        <w:rPr>
          <w:rFonts w:hint="eastAsia" w:ascii="宋体" w:hAnsi="宋体"/>
          <w:szCs w:val="21"/>
        </w:rPr>
      </w:pPr>
      <w:r>
        <w:rPr>
          <w:rFonts w:hint="eastAsia" w:ascii="宋体" w:hAnsi="宋体"/>
          <w:szCs w:val="21"/>
        </w:rPr>
        <w:t>本文件由全国半导体设备和材料标准化技术委员会（SAC/TC203）与全国半导体设备和材料标准化技术委员会材料分技术委员会（SAC/TC203/SC2）共同提出并归口。</w:t>
      </w:r>
    </w:p>
    <w:bookmarkEnd w:id="11"/>
    <w:p>
      <w:pPr>
        <w:widowControl/>
        <w:autoSpaceDE w:val="0"/>
        <w:autoSpaceDN w:val="0"/>
        <w:ind w:firstLine="420" w:firstLineChars="200"/>
      </w:pPr>
      <w:r>
        <w:rPr>
          <w:rFonts w:hint="eastAsia" w:ascii="宋体"/>
          <w:color w:val="000000" w:themeColor="text1"/>
          <w:kern w:val="0"/>
          <w:szCs w:val="21"/>
        </w:rPr>
        <w:t>本文件起草单位：</w:t>
      </w:r>
      <w:r>
        <w:rPr>
          <w:rFonts w:hint="eastAsia" w:ascii="Arial" w:hAnsi="Arial" w:cs="Arial"/>
          <w:kern w:val="0"/>
          <w:szCs w:val="21"/>
        </w:rPr>
        <w:t>中国科学院苏州纳米技术与纳米仿生研究所</w:t>
      </w:r>
      <w:r>
        <w:rPr>
          <w:rFonts w:hint="eastAsia" w:ascii="Arial" w:hAnsi="Arial" w:cs="Arial"/>
          <w:kern w:val="0"/>
          <w:szCs w:val="21"/>
          <w:lang w:val="en-US" w:eastAsia="zh-CN"/>
        </w:rPr>
        <w:t>等</w:t>
      </w:r>
      <w:r>
        <w:rPr>
          <w:rFonts w:hint="eastAsia"/>
        </w:rPr>
        <w:t>。</w:t>
      </w:r>
    </w:p>
    <w:p>
      <w:pPr>
        <w:ind w:firstLine="420" w:firstLineChars="200"/>
        <w:rPr>
          <w:szCs w:val="21"/>
        </w:rPr>
      </w:pPr>
      <w:r>
        <w:rPr>
          <w:rFonts w:hint="eastAsia"/>
          <w:szCs w:val="21"/>
        </w:rPr>
        <w:t>本文件主要起草人：曾雄辉</w:t>
      </w:r>
      <w:r>
        <w:rPr>
          <w:rFonts w:hint="eastAsia"/>
          <w:szCs w:val="21"/>
          <w:lang w:val="en-US" w:eastAsia="zh-CN"/>
        </w:rPr>
        <w:t>等</w:t>
      </w:r>
      <w:r>
        <w:rPr>
          <w:rFonts w:hint="eastAsia"/>
          <w:szCs w:val="21"/>
        </w:rPr>
        <w:t>。</w:t>
      </w:r>
    </w:p>
    <w:p>
      <w:pPr>
        <w:ind w:firstLine="420" w:firstLineChars="200"/>
        <w:rPr>
          <w:szCs w:val="21"/>
        </w:rPr>
      </w:pPr>
    </w:p>
    <w:p>
      <w:pPr>
        <w:pStyle w:val="139"/>
        <w:numPr>
          <w:ilvl w:val="0"/>
          <w:numId w:val="0"/>
        </w:numPr>
        <w:spacing w:before="312" w:after="312"/>
        <w:ind w:left="426"/>
        <w:rPr>
          <w:bCs/>
          <w:sz w:val="32"/>
          <w:szCs w:val="32"/>
        </w:rPr>
      </w:pPr>
      <w:bookmarkStart w:id="12" w:name="_Toc308696418"/>
      <w:bookmarkStart w:id="13" w:name="_Toc308599304"/>
      <w:bookmarkStart w:id="14" w:name="_Toc308696270"/>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rPr>
          <w:bCs/>
          <w:sz w:val="32"/>
          <w:szCs w:val="32"/>
        </w:rPr>
      </w:pPr>
    </w:p>
    <w:p>
      <w:pPr>
        <w:pStyle w:val="139"/>
        <w:numPr>
          <w:ilvl w:val="0"/>
          <w:numId w:val="0"/>
        </w:numPr>
        <w:spacing w:before="312" w:after="312"/>
        <w:ind w:left="426"/>
      </w:pPr>
      <w:r>
        <w:rPr>
          <w:rFonts w:hint="eastAsia"/>
          <w:bCs/>
          <w:sz w:val="32"/>
          <w:szCs w:val="32"/>
        </w:rPr>
        <w:t>III族氮化物半导体材料中位错成像的测试  透射电子显微镜法</w:t>
      </w:r>
    </w:p>
    <w:p>
      <w:pPr>
        <w:pStyle w:val="139"/>
        <w:spacing w:before="312" w:after="312"/>
        <w:ind w:left="0"/>
      </w:pPr>
      <w:r>
        <w:rPr>
          <w:rFonts w:hint="eastAsia"/>
        </w:rPr>
        <w:t>范围</w:t>
      </w:r>
      <w:bookmarkEnd w:id="12"/>
      <w:bookmarkEnd w:id="13"/>
      <w:bookmarkEnd w:id="14"/>
    </w:p>
    <w:p>
      <w:pPr>
        <w:pStyle w:val="22"/>
        <w:rPr>
          <w:color w:val="000000" w:themeColor="text1"/>
        </w:rPr>
      </w:pPr>
      <w:bookmarkStart w:id="15" w:name="_Toc200508879"/>
      <w:bookmarkStart w:id="16" w:name="_Toc236466156"/>
      <w:r>
        <w:rPr>
          <w:rFonts w:hint="eastAsia"/>
          <w:color w:val="000000" w:themeColor="text1"/>
        </w:rPr>
        <w:t>本文件描述了用透射电子显微镜来进行I</w:t>
      </w:r>
      <w:r>
        <w:rPr>
          <w:color w:val="000000" w:themeColor="text1"/>
        </w:rPr>
        <w:t>II</w:t>
      </w:r>
      <w:r>
        <w:rPr>
          <w:rFonts w:hint="eastAsia"/>
          <w:color w:val="000000" w:themeColor="text1"/>
        </w:rPr>
        <w:t>族氮化物半导体材料中位错成像的测试方法。</w:t>
      </w:r>
    </w:p>
    <w:p>
      <w:pPr>
        <w:pStyle w:val="22"/>
        <w:rPr>
          <w:color w:val="0070C0"/>
        </w:rPr>
      </w:pPr>
      <w:r>
        <w:rPr>
          <w:rFonts w:hint="eastAsia"/>
        </w:rPr>
        <w:t>本文件适用于I</w:t>
      </w:r>
      <w:r>
        <w:t>II</w:t>
      </w:r>
      <w:r>
        <w:rPr>
          <w:rFonts w:hint="eastAsia"/>
        </w:rPr>
        <w:t>族氮化物半导体的薄膜或体单晶中位错的成像测试，该I</w:t>
      </w:r>
      <w:r>
        <w:t>II</w:t>
      </w:r>
      <w:r>
        <w:rPr>
          <w:rFonts w:hint="eastAsia"/>
        </w:rPr>
        <w:t>族氮化物半导体属于六方晶系。</w:t>
      </w:r>
      <w:bookmarkEnd w:id="15"/>
      <w:bookmarkEnd w:id="16"/>
    </w:p>
    <w:p>
      <w:pPr>
        <w:pStyle w:val="44"/>
        <w:spacing w:before="312" w:after="312"/>
        <w:ind w:left="0"/>
      </w:pPr>
      <w:bookmarkStart w:id="17" w:name="_Toc308599305"/>
      <w:bookmarkStart w:id="18" w:name="_Toc308696271"/>
      <w:bookmarkStart w:id="19" w:name="_Toc308696419"/>
      <w:r>
        <w:rPr>
          <w:rFonts w:hint="eastAsia"/>
        </w:rPr>
        <w:t>规范性引用文件</w:t>
      </w:r>
      <w:bookmarkEnd w:id="17"/>
      <w:bookmarkEnd w:id="18"/>
      <w:bookmarkEnd w:id="19"/>
    </w:p>
    <w:p>
      <w:pPr>
        <w:pStyle w:val="22"/>
      </w:pPr>
      <w:bookmarkStart w:id="20" w:name="OLE_LINK2"/>
      <w:bookmarkStart w:id="21" w:name="OLE_LINK1"/>
      <w:bookmarkStart w:id="22" w:name="_Toc308696272"/>
      <w:bookmarkStart w:id="23" w:name="_Toc308696420"/>
      <w:bookmarkStart w:id="24" w:name="_Toc308599306"/>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bCs/>
        </w:rPr>
      </w:pPr>
      <w:r>
        <w:rPr>
          <w:rFonts w:hint="eastAsia"/>
          <w:bCs/>
        </w:rPr>
        <w:t>GB/T 14264  半导体材料术语</w:t>
      </w:r>
    </w:p>
    <w:bookmarkEnd w:id="20"/>
    <w:bookmarkEnd w:id="21"/>
    <w:p>
      <w:pPr>
        <w:pStyle w:val="44"/>
        <w:spacing w:before="312" w:after="312"/>
        <w:ind w:left="0"/>
      </w:pPr>
      <w:r>
        <w:rPr>
          <w:rFonts w:hint="eastAsia"/>
        </w:rPr>
        <w:t>术语</w:t>
      </w:r>
      <w:bookmarkEnd w:id="22"/>
      <w:bookmarkEnd w:id="23"/>
      <w:bookmarkEnd w:id="24"/>
      <w:r>
        <w:rPr>
          <w:rFonts w:hint="eastAsia"/>
        </w:rPr>
        <w:t>和定义</w:t>
      </w:r>
    </w:p>
    <w:p>
      <w:pPr>
        <w:pStyle w:val="22"/>
        <w:rPr>
          <w:color w:val="FF0000"/>
        </w:rPr>
      </w:pPr>
      <w:r>
        <w:rPr>
          <w:rFonts w:hint="eastAsia"/>
          <w:bCs/>
        </w:rPr>
        <w:t>GB/T 14264界定的以及</w:t>
      </w:r>
      <w:r>
        <w:rPr>
          <w:rFonts w:hint="eastAsia"/>
        </w:rPr>
        <w:t>下列术语和定义适用于本文件。</w:t>
      </w:r>
    </w:p>
    <w:p>
      <w:pPr>
        <w:pStyle w:val="145"/>
        <w:spacing w:before="156" w:after="156"/>
      </w:pPr>
    </w:p>
    <w:p>
      <w:pPr>
        <w:pStyle w:val="145"/>
        <w:numPr>
          <w:ilvl w:val="0"/>
          <w:numId w:val="0"/>
        </w:numPr>
        <w:spacing w:beforeLines="0" w:afterLines="0"/>
        <w:ind w:firstLine="420" w:firstLineChars="200"/>
      </w:pPr>
      <w:r>
        <w:rPr>
          <w:rFonts w:hint="eastAsia"/>
        </w:rPr>
        <w:t>伯格斯矢量</w:t>
      </w:r>
      <w:r>
        <w:t>Burgers Vector</w:t>
      </w:r>
    </w:p>
    <w:p>
      <w:pPr>
        <w:pStyle w:val="145"/>
        <w:numPr>
          <w:ilvl w:val="0"/>
          <w:numId w:val="0"/>
        </w:numPr>
        <w:spacing w:beforeLines="0" w:afterLines="0"/>
        <w:ind w:firstLine="420" w:firstLineChars="200"/>
        <w:rPr>
          <w:rFonts w:ascii="Times New Roman"/>
          <w:i/>
          <w:iCs/>
        </w:rPr>
      </w:pPr>
      <w:r>
        <w:rPr>
          <w:rFonts w:ascii="Times New Roman"/>
          <w:i/>
          <w:iCs/>
        </w:rPr>
        <w:t>b</w:t>
      </w:r>
    </w:p>
    <w:p>
      <w:pPr>
        <w:pStyle w:val="22"/>
        <w:rPr>
          <w:bCs/>
        </w:rPr>
      </w:pPr>
      <w:r>
        <w:rPr>
          <w:rFonts w:hint="eastAsia"/>
          <w:bCs/>
        </w:rPr>
        <w:t>位错的基本几何特性是它的伯格斯矢量。得出伯格斯矢量的方法是：用平移矢量组成一个会在理想点阵中封闭的回路，把这个回路搬到位错线周围，它会断开。为了使回路两端封闭起来添加的平移矢量被称为位错的伯格斯矢量。</w:t>
      </w:r>
    </w:p>
    <w:p>
      <w:pPr>
        <w:pStyle w:val="145"/>
        <w:spacing w:before="156" w:after="156"/>
      </w:pPr>
    </w:p>
    <w:p>
      <w:pPr>
        <w:pStyle w:val="145"/>
        <w:numPr>
          <w:ilvl w:val="0"/>
          <w:numId w:val="0"/>
        </w:numPr>
        <w:spacing w:beforeLines="0" w:afterLines="0"/>
        <w:ind w:firstLine="420" w:firstLineChars="200"/>
      </w:pPr>
      <w:r>
        <w:rPr>
          <w:rFonts w:hint="eastAsia"/>
        </w:rPr>
        <w:t>刃型位错e</w:t>
      </w:r>
      <w:r>
        <w:t>dge dislocation</w:t>
      </w:r>
    </w:p>
    <w:p>
      <w:pPr>
        <w:pStyle w:val="22"/>
      </w:pPr>
      <w:r>
        <w:rPr>
          <w:rFonts w:hint="eastAsia"/>
        </w:rPr>
        <w:t>位错线的方向矢量和位错的B</w:t>
      </w:r>
      <w:r>
        <w:t>urgers</w:t>
      </w:r>
      <w:r>
        <w:rPr>
          <w:rFonts w:hint="eastAsia"/>
        </w:rPr>
        <w:t>矢量的夹角为90°。</w:t>
      </w:r>
    </w:p>
    <w:p>
      <w:pPr>
        <w:pStyle w:val="145"/>
        <w:spacing w:before="156" w:after="156"/>
      </w:pPr>
    </w:p>
    <w:p>
      <w:pPr>
        <w:pStyle w:val="145"/>
        <w:numPr>
          <w:ilvl w:val="0"/>
          <w:numId w:val="0"/>
        </w:numPr>
        <w:spacing w:beforeLines="0" w:afterLines="0"/>
        <w:ind w:firstLine="420" w:firstLineChars="200"/>
      </w:pPr>
      <w:r>
        <w:rPr>
          <w:rFonts w:hint="eastAsia"/>
        </w:rPr>
        <w:t>螺型位错s</w:t>
      </w:r>
      <w:r>
        <w:t>crew dislocation</w:t>
      </w:r>
    </w:p>
    <w:p>
      <w:pPr>
        <w:pStyle w:val="22"/>
      </w:pPr>
      <w:r>
        <w:rPr>
          <w:rFonts w:hint="eastAsia"/>
        </w:rPr>
        <w:t>位错线的方向矢量和位错的B</w:t>
      </w:r>
      <w:r>
        <w:t>urgers</w:t>
      </w:r>
      <w:r>
        <w:rPr>
          <w:rFonts w:hint="eastAsia"/>
        </w:rPr>
        <w:t>矢量的夹角为0°。</w:t>
      </w:r>
    </w:p>
    <w:p>
      <w:pPr>
        <w:pStyle w:val="145"/>
        <w:spacing w:before="156" w:after="156"/>
      </w:pPr>
    </w:p>
    <w:p>
      <w:pPr>
        <w:pStyle w:val="145"/>
        <w:numPr>
          <w:ilvl w:val="0"/>
          <w:numId w:val="0"/>
        </w:numPr>
        <w:spacing w:before="156" w:after="156"/>
        <w:ind w:firstLine="420"/>
      </w:pPr>
      <w:r>
        <w:rPr>
          <w:rFonts w:hint="eastAsia"/>
        </w:rPr>
        <w:t>混合位错 mix</w:t>
      </w:r>
      <w:r>
        <w:t xml:space="preserve"> dislocation</w:t>
      </w:r>
    </w:p>
    <w:p>
      <w:pPr>
        <w:pStyle w:val="22"/>
      </w:pPr>
      <w:r>
        <w:rPr>
          <w:rFonts w:hint="eastAsia"/>
        </w:rPr>
        <w:t>位错线的方向矢量和位错的B</w:t>
      </w:r>
      <w:r>
        <w:t>urgers</w:t>
      </w:r>
      <w:r>
        <w:rPr>
          <w:rFonts w:hint="eastAsia"/>
        </w:rPr>
        <w:t>矢量既不平行也不垂直。</w:t>
      </w:r>
    </w:p>
    <w:p>
      <w:pPr>
        <w:pStyle w:val="41"/>
        <w:numPr>
          <w:ilvl w:val="0"/>
          <w:numId w:val="0"/>
        </w:numPr>
        <w:spacing w:before="156" w:after="156"/>
      </w:pPr>
      <w:r>
        <w:t>3.6</w:t>
      </w:r>
    </w:p>
    <w:p>
      <w:pPr>
        <w:pStyle w:val="145"/>
        <w:numPr>
          <w:ilvl w:val="0"/>
          <w:numId w:val="0"/>
        </w:numPr>
        <w:spacing w:before="156" w:after="156"/>
        <w:ind w:firstLine="420" w:firstLineChars="200"/>
      </w:pPr>
      <w:r>
        <w:rPr>
          <w:rFonts w:hint="eastAsia"/>
        </w:rPr>
        <w:t xml:space="preserve">衍射衬度 </w:t>
      </w:r>
      <w:r>
        <w:t xml:space="preserve"> diffraction contrast</w:t>
      </w:r>
    </w:p>
    <w:p>
      <w:pPr>
        <w:pStyle w:val="22"/>
      </w:pPr>
      <w:r>
        <w:rPr>
          <w:rFonts w:hint="eastAsia"/>
        </w:rPr>
        <w:t>晶体试样在进行电镜观察时，由于各处晶体取向不同和晶体结构不同，从而满足布拉格条件的程度也不同，使得对应试样的下表面有不同的衍射效果，导致在下表面形成随位置而异的衍射振幅分布，即与此相应的强度分布，这样形成的衬度，称为衍射衬度。</w:t>
      </w:r>
    </w:p>
    <w:p>
      <w:pPr>
        <w:pStyle w:val="22"/>
        <w:spacing w:beforeLines="50" w:afterLines="50"/>
        <w:ind w:firstLine="0" w:firstLineChars="0"/>
        <w:rPr>
          <w:rFonts w:ascii="黑体" w:hAnsi="黑体" w:eastAsia="黑体"/>
        </w:rPr>
      </w:pPr>
      <w:r>
        <w:rPr>
          <w:rFonts w:hint="eastAsia" w:ascii="黑体" w:hAnsi="黑体" w:eastAsia="黑体"/>
        </w:rPr>
        <w:t>3</w:t>
      </w:r>
      <w:r>
        <w:rPr>
          <w:rFonts w:ascii="黑体" w:hAnsi="黑体" w:eastAsia="黑体"/>
        </w:rPr>
        <w:t>.7</w:t>
      </w:r>
    </w:p>
    <w:p>
      <w:pPr>
        <w:pStyle w:val="145"/>
        <w:numPr>
          <w:ilvl w:val="0"/>
          <w:numId w:val="0"/>
        </w:numPr>
        <w:spacing w:beforeLines="0" w:afterLines="0"/>
        <w:ind w:firstLine="420" w:firstLineChars="200"/>
      </w:pPr>
      <w:r>
        <w:rPr>
          <w:rFonts w:hint="eastAsia"/>
        </w:rPr>
        <w:t xml:space="preserve">衍射矢量 </w:t>
      </w:r>
    </w:p>
    <w:p>
      <w:pPr>
        <w:pStyle w:val="145"/>
        <w:numPr>
          <w:ilvl w:val="0"/>
          <w:numId w:val="0"/>
        </w:numPr>
        <w:spacing w:beforeLines="0" w:afterLines="0"/>
        <w:ind w:firstLine="420" w:firstLineChars="200"/>
        <w:rPr>
          <w:rFonts w:ascii="Cambria Math" w:hAnsi="Cambria Math"/>
        </w:rPr>
      </w:pPr>
      <w:r>
        <w:rPr>
          <w:rFonts w:hint="eastAsia" w:ascii="Cambria Math" w:hAnsi="Cambria Math"/>
        </w:rPr>
        <w:t>g</w:t>
      </w:r>
    </w:p>
    <w:p>
      <w:pPr>
        <w:pStyle w:val="22"/>
      </w:pPr>
      <w:r>
        <w:rPr>
          <w:rFonts w:hint="eastAsia"/>
        </w:rPr>
        <w:t>衍射谱中由中心斑0</w:t>
      </w:r>
      <w:r>
        <w:t>000</w:t>
      </w:r>
      <w:r>
        <w:rPr>
          <w:rFonts w:hint="eastAsia"/>
        </w:rPr>
        <w:t>（原点）到衍射斑点（h</w:t>
      </w:r>
      <w:r>
        <w:t>kil</w:t>
      </w:r>
      <w:r>
        <w:rPr>
          <w:rFonts w:hint="eastAsia"/>
        </w:rPr>
        <w:t>）的坐标矢量。</w:t>
      </w:r>
    </w:p>
    <w:p>
      <w:pPr>
        <w:pStyle w:val="139"/>
        <w:spacing w:before="312" w:after="312"/>
        <w:ind w:left="0"/>
      </w:pPr>
      <w:bookmarkStart w:id="25" w:name="_Toc308696273"/>
      <w:bookmarkStart w:id="26" w:name="_Toc308599307"/>
      <w:bookmarkStart w:id="27" w:name="_Toc308696421"/>
      <w:r>
        <w:rPr>
          <w:rFonts w:hint="eastAsia"/>
        </w:rPr>
        <w:t>方法原理</w:t>
      </w:r>
    </w:p>
    <w:p>
      <w:pPr>
        <w:pStyle w:val="22"/>
      </w:pPr>
      <w:r>
        <w:rPr>
          <w:rFonts w:hint="eastAsia"/>
        </w:rPr>
        <w:t>通常，待测样品在透射电子显微镜中电子束的作用下，会产生三种成像衬度：质厚衬度、相位衬度、衍射衬度。在本方法中，我们利用衍射衬度来成像。位错的衍射衬度像直接由</w:t>
      </w:r>
      <m:oMath>
        <m:r>
          <m:rPr/>
          <w:rPr>
            <w:rFonts w:ascii="Cambria Math" w:hAnsi="Cambria Math"/>
          </w:rPr>
          <m:t>g</m:t>
        </m:r>
        <m:r>
          <m:rPr/>
          <w:rPr>
            <w:rFonts w:ascii="Cambria Math" w:hAnsi="Cambria Math" w:eastAsia="MS Gothic"/>
          </w:rPr>
          <m:t>⋅</m:t>
        </m:r>
        <m:r>
          <m:rPr/>
          <w:rPr>
            <w:rFonts w:ascii="Cambria Math" w:hAnsi="Cambria Math"/>
          </w:rPr>
          <m:t>b</m:t>
        </m:r>
      </m:oMath>
      <w:r>
        <w:rPr>
          <w:rFonts w:ascii="Times New Roman"/>
        </w:rPr>
        <w:t>的值决定。当</w:t>
      </w:r>
      <m:oMath>
        <m:r>
          <m:rPr/>
          <w:rPr>
            <w:rFonts w:ascii="Cambria Math" w:hAnsi="Cambria Math"/>
          </w:rPr>
          <m:t>g⋅b=0</m:t>
        </m:r>
      </m:oMath>
      <w:r>
        <w:rPr>
          <w:rFonts w:ascii="Times New Roman"/>
        </w:rPr>
        <w:t>时，</w:t>
      </w:r>
      <w:r>
        <w:rPr>
          <w:rFonts w:hint="eastAsia" w:ascii="Times New Roman"/>
        </w:rPr>
        <w:t>位错线的衬度都会消失，</w:t>
      </w:r>
      <w:r>
        <w:rPr>
          <w:rFonts w:ascii="Times New Roman"/>
        </w:rPr>
        <w:t>这被称作</w:t>
      </w:r>
      <w:r>
        <w:rPr>
          <w:rFonts w:hint="eastAsia" w:ascii="Times New Roman"/>
        </w:rPr>
        <w:t>位错消像。因此，</w:t>
      </w:r>
      <m:oMath>
        <m:r>
          <m:rPr/>
          <w:rPr>
            <w:rFonts w:ascii="Cambria Math"/>
          </w:rPr>
          <m:t>g</m:t>
        </m:r>
        <m:r>
          <m:rPr/>
          <w:rPr>
            <w:rFonts w:hint="eastAsia" w:ascii="Cambria Math" w:hAnsi="Cambria Math" w:eastAsia="MS Gothic" w:cs="MS Gothic"/>
          </w:rPr>
          <m:t>⋅</m:t>
        </m:r>
        <m:r>
          <m:rPr/>
          <w:rPr>
            <w:rFonts w:ascii="Cambria Math"/>
          </w:rPr>
          <m:t>b=0</m:t>
        </m:r>
      </m:oMath>
      <w:r>
        <w:rPr>
          <w:rFonts w:hint="eastAsia" w:ascii="Times New Roman"/>
        </w:rPr>
        <w:t>被称作位错消像判据。</w:t>
      </w:r>
      <w:r>
        <w:rPr>
          <w:rFonts w:hint="eastAsia"/>
        </w:rPr>
        <w:t>Ⅲ族氮化物半导体材料的晶体结构属于密排六方结构。它所具有的典型简单位错的伯格斯矢量分为三种：1/</w:t>
      </w:r>
      <w:r>
        <w:t>3</w:t>
      </w:r>
      <w:r>
        <w:rPr>
          <w:rFonts w:hint="eastAsia"/>
        </w:rPr>
        <w:t>&lt;</w:t>
      </w:r>
      <w:r>
        <w:t>11-20&gt;</w:t>
      </w:r>
      <w:r>
        <w:rPr>
          <w:rFonts w:hint="eastAsia"/>
        </w:rPr>
        <w:t>（即刃型位错）、</w:t>
      </w:r>
      <w:r>
        <w:t>[0001]</w:t>
      </w:r>
      <w:r>
        <w:rPr>
          <w:rFonts w:hint="eastAsia"/>
        </w:rPr>
        <w:t>（即螺型位错）和1/</w:t>
      </w:r>
      <w:r>
        <w:t>3&lt;11-23&gt;</w:t>
      </w:r>
      <w:r>
        <w:rPr>
          <w:rFonts w:hint="eastAsia"/>
        </w:rPr>
        <w:t>（即混合型位错）。</w:t>
      </w:r>
      <w:r>
        <w:rPr>
          <w:rFonts w:hint="eastAsia" w:ascii="Times New Roman"/>
        </w:rPr>
        <w:t>在透射电子显微镜中，利用位错消像判据，通过选择合适的衍射矢量</w:t>
      </w:r>
      <w:r>
        <w:rPr>
          <w:rFonts w:hint="eastAsia"/>
        </w:rPr>
        <w:t>，可以对特定类型位错进行成像。考虑到暗场成像具有比明场成像更高的衬度，因此在本标准中均采用暗场成像。</w:t>
      </w:r>
    </w:p>
    <w:p>
      <w:pPr>
        <w:pStyle w:val="139"/>
        <w:spacing w:before="312" w:after="312"/>
        <w:ind w:left="0"/>
      </w:pPr>
      <w:r>
        <w:rPr>
          <w:rFonts w:hint="eastAsia"/>
        </w:rPr>
        <w:t>干扰因素</w:t>
      </w:r>
    </w:p>
    <w:p>
      <w:pPr>
        <w:pStyle w:val="139"/>
        <w:numPr>
          <w:ilvl w:val="0"/>
          <w:numId w:val="0"/>
        </w:numPr>
        <w:spacing w:beforeLines="0" w:afterLines="0"/>
        <w:rPr>
          <w:rFonts w:ascii="宋体" w:hAnsi="宋体" w:eastAsia="宋体"/>
        </w:rPr>
      </w:pPr>
      <w:r>
        <w:rPr>
          <w:rFonts w:hint="eastAsia"/>
        </w:rPr>
        <w:t>5.</w:t>
      </w:r>
      <w:r>
        <w:t xml:space="preserve">1 </w:t>
      </w:r>
      <w:r>
        <w:rPr>
          <w:rFonts w:hint="eastAsia" w:ascii="宋体" w:eastAsia="宋体"/>
        </w:rPr>
        <w:t>在制样过程中引入的划痕可能会影响对位错的判断。</w:t>
      </w:r>
    </w:p>
    <w:p>
      <w:pPr>
        <w:pStyle w:val="22"/>
        <w:ind w:firstLine="0" w:firstLineChars="0"/>
      </w:pPr>
      <w:r>
        <w:rPr>
          <w:rFonts w:ascii="黑体" w:hAnsi="黑体" w:eastAsia="黑体"/>
        </w:rPr>
        <w:t>5.2</w:t>
      </w:r>
      <w:r>
        <w:rPr>
          <w:rFonts w:hint="eastAsia"/>
        </w:rPr>
        <w:t>在离子减薄过程中离子束加工引入的沟渠可能会影响对位错的判断。</w:t>
      </w:r>
    </w:p>
    <w:p>
      <w:pPr>
        <w:pStyle w:val="139"/>
        <w:spacing w:before="312" w:after="312"/>
        <w:ind w:left="0"/>
      </w:pPr>
      <w:r>
        <w:rPr>
          <w:rFonts w:hint="eastAsia"/>
        </w:rPr>
        <w:t>试剂</w:t>
      </w:r>
    </w:p>
    <w:p>
      <w:pPr>
        <w:pStyle w:val="41"/>
        <w:spacing w:beforeLines="0" w:afterLines="0"/>
        <w:rPr>
          <w:rFonts w:ascii="宋体" w:hAnsi="宋体" w:eastAsia="宋体"/>
        </w:rPr>
      </w:pPr>
      <w:r>
        <w:rPr>
          <w:rFonts w:hint="eastAsia" w:ascii="宋体" w:hAnsi="宋体" w:eastAsia="宋体"/>
        </w:rPr>
        <w:t>乙醇（</w:t>
      </w:r>
      <w:r>
        <w:rPr>
          <w:rFonts w:ascii="宋体" w:hAnsi="宋体" w:eastAsia="宋体"/>
        </w:rPr>
        <w:t>ρ</w:t>
      </w:r>
      <w:r>
        <w:rPr>
          <w:rFonts w:hint="eastAsia" w:ascii="宋体" w:hAnsi="宋体" w:eastAsia="宋体"/>
        </w:rPr>
        <w:t xml:space="preserve"> 0.789 g/mL），浓度99.8%，分析纯。</w:t>
      </w:r>
    </w:p>
    <w:p>
      <w:pPr>
        <w:pStyle w:val="41"/>
        <w:spacing w:beforeLines="0" w:afterLines="0"/>
        <w:rPr>
          <w:rFonts w:ascii="宋体" w:hAnsi="宋体" w:eastAsia="宋体"/>
        </w:rPr>
      </w:pPr>
      <w:r>
        <w:rPr>
          <w:rFonts w:hint="eastAsia" w:ascii="宋体" w:hAnsi="宋体" w:eastAsia="宋体"/>
        </w:rPr>
        <w:t>丙酮（</w:t>
      </w:r>
      <w:r>
        <w:rPr>
          <w:rFonts w:ascii="宋体" w:hAnsi="宋体" w:eastAsia="宋体"/>
        </w:rPr>
        <w:t>ρ</w:t>
      </w:r>
      <w:r>
        <w:rPr>
          <w:rFonts w:hint="eastAsia" w:ascii="宋体" w:hAnsi="宋体" w:eastAsia="宋体"/>
        </w:rPr>
        <w:t xml:space="preserve"> 0.792 g/mL），浓度99.8%，分析纯。</w:t>
      </w:r>
    </w:p>
    <w:p>
      <w:pPr>
        <w:pStyle w:val="41"/>
        <w:spacing w:beforeLines="0" w:afterLines="0"/>
        <w:rPr>
          <w:rFonts w:ascii="宋体" w:hAnsi="宋体" w:eastAsia="宋体"/>
        </w:rPr>
      </w:pPr>
      <w:r>
        <w:rPr>
          <w:rFonts w:hint="eastAsia" w:ascii="宋体" w:hAnsi="宋体" w:eastAsia="宋体"/>
        </w:rPr>
        <w:t>去离子水，电阻率大于</w:t>
      </w:r>
      <w:r>
        <w:rPr>
          <w:rFonts w:hint="eastAsia" w:ascii="宋体" w:hAnsi="宋体" w:eastAsia="宋体"/>
          <w:color w:val="000000" w:themeColor="text1"/>
        </w:rPr>
        <w:t>1</w:t>
      </w:r>
      <w:r>
        <w:rPr>
          <w:rFonts w:ascii="宋体" w:hAnsi="宋体" w:eastAsia="宋体"/>
          <w:color w:val="000000" w:themeColor="text1"/>
        </w:rPr>
        <w:t>8</w:t>
      </w:r>
      <w:r>
        <w:rPr>
          <w:rFonts w:hint="eastAsia" w:ascii="宋体" w:hAnsi="宋体" w:eastAsia="宋体"/>
        </w:rPr>
        <w:t>M</w:t>
      </w:r>
      <w:r>
        <w:rPr>
          <w:rFonts w:ascii="宋体" w:hAnsi="宋体" w:eastAsia="宋体"/>
        </w:rPr>
        <w:t>Ω</w:t>
      </w:r>
      <w:r>
        <w:rPr>
          <w:rFonts w:hint="eastAsia" w:ascii="宋体" w:hAnsi="宋体" w:eastAsia="宋体"/>
        </w:rPr>
        <w:t>·cm。</w:t>
      </w:r>
    </w:p>
    <w:p>
      <w:pPr>
        <w:pStyle w:val="41"/>
        <w:spacing w:beforeLines="0" w:afterLines="0"/>
        <w:rPr>
          <w:rFonts w:ascii="宋体" w:hAnsi="宋体" w:eastAsia="宋体"/>
        </w:rPr>
      </w:pPr>
      <w:r>
        <w:rPr>
          <w:rFonts w:hint="eastAsia" w:ascii="宋体" w:hAnsi="宋体" w:eastAsia="宋体"/>
        </w:rPr>
        <w:t>氮气，</w:t>
      </w:r>
      <w:r>
        <w:rPr>
          <w:rFonts w:hint="eastAsia" w:ascii="宋体" w:hAnsi="宋体" w:eastAsia="宋体"/>
          <w:color w:val="000000" w:themeColor="text1"/>
        </w:rPr>
        <w:t>纯度为99.999%。</w:t>
      </w:r>
    </w:p>
    <w:p>
      <w:pPr>
        <w:pStyle w:val="139"/>
        <w:spacing w:before="312" w:after="312"/>
        <w:ind w:left="0"/>
      </w:pPr>
      <w:r>
        <w:rPr>
          <w:rFonts w:hint="eastAsia"/>
        </w:rPr>
        <w:t>仪器设备</w:t>
      </w:r>
    </w:p>
    <w:p>
      <w:pPr>
        <w:pStyle w:val="22"/>
      </w:pPr>
      <w:r>
        <w:rPr>
          <w:rFonts w:hint="eastAsia"/>
        </w:rPr>
        <w:t>透射电子显微镜，通常工作电压为200k</w:t>
      </w:r>
      <w:r>
        <w:t>V</w:t>
      </w:r>
      <w:r>
        <w:rPr>
          <w:rFonts w:hint="eastAsia"/>
        </w:rPr>
        <w:t>或300kV。</w:t>
      </w:r>
    </w:p>
    <w:p>
      <w:pPr>
        <w:pStyle w:val="139"/>
        <w:spacing w:before="312" w:after="312"/>
        <w:ind w:left="0"/>
      </w:pPr>
      <w:r>
        <w:rPr>
          <w:rFonts w:hint="eastAsia"/>
        </w:rPr>
        <w:t>样品</w:t>
      </w:r>
    </w:p>
    <w:p>
      <w:pPr>
        <w:pStyle w:val="22"/>
        <w:ind w:firstLine="0" w:firstLineChars="0"/>
        <w:rPr>
          <w:rFonts w:ascii="黑体" w:hAnsi="黑体" w:eastAsia="黑体"/>
        </w:rPr>
      </w:pPr>
      <w:r>
        <w:rPr>
          <w:rFonts w:hint="eastAsia" w:ascii="黑体" w:hAnsi="黑体" w:eastAsia="黑体"/>
        </w:rPr>
        <w:t>8</w:t>
      </w:r>
      <w:r>
        <w:rPr>
          <w:rFonts w:ascii="黑体" w:hAnsi="黑体" w:eastAsia="黑体"/>
        </w:rPr>
        <w:t>.1 手工切磨抛结合离子减薄</w:t>
      </w:r>
      <w:r>
        <w:rPr>
          <w:rFonts w:hint="eastAsia" w:ascii="黑体" w:hAnsi="黑体" w:eastAsia="黑体"/>
        </w:rPr>
        <w:t>制备样品</w:t>
      </w:r>
    </w:p>
    <w:p>
      <w:pPr>
        <w:pStyle w:val="22"/>
        <w:ind w:firstLine="0" w:firstLineChars="0"/>
      </w:pPr>
      <w:r>
        <w:rPr>
          <w:rFonts w:ascii="黑体" w:hAnsi="黑体" w:eastAsia="黑体"/>
        </w:rPr>
        <w:t>8.1</w:t>
      </w:r>
      <w:r>
        <w:rPr>
          <w:rFonts w:hint="eastAsia" w:ascii="黑体" w:hAnsi="黑体" w:eastAsia="黑体"/>
        </w:rPr>
        <w:t>.</w:t>
      </w:r>
      <w:r>
        <w:rPr>
          <w:rFonts w:ascii="黑体" w:hAnsi="黑体" w:eastAsia="黑体"/>
        </w:rPr>
        <w:t>1</w:t>
      </w:r>
      <w:r>
        <w:rPr>
          <w:rFonts w:hint="eastAsia"/>
        </w:rPr>
        <w:t>切割样品。切割前先用X射线定向仪对样品进行定向，确保切割面为所需要的晶体平面，然后用显微镜选取感兴趣或表面平整的区域，采用金刚石砂轮或者线锯把样品切成小块，长</w:t>
      </w:r>
      <w:r>
        <w:t>2.5mm，</w:t>
      </w:r>
      <w:r>
        <w:rPr>
          <w:rFonts w:hint="eastAsia"/>
        </w:rPr>
        <w:t>宽1mm</w:t>
      </w:r>
      <w:r>
        <w:t>。</w:t>
      </w:r>
    </w:p>
    <w:p>
      <w:pPr>
        <w:pStyle w:val="22"/>
        <w:ind w:firstLine="0" w:firstLineChars="0"/>
      </w:pPr>
      <w:r>
        <w:rPr>
          <w:rFonts w:ascii="黑体" w:hAnsi="黑体" w:eastAsia="黑体"/>
        </w:rPr>
        <w:t>8.1.2</w:t>
      </w:r>
      <w:r>
        <w:rPr>
          <w:rFonts w:hint="eastAsia"/>
        </w:rPr>
        <w:t>对粘样品。对于截面样品，用乙醇和丙酮1：1体积比的溶液将切好后的样品进行超声清洗，然后将切割好的样品衬底朝外通过A</w:t>
      </w:r>
      <w:r>
        <w:t>B</w:t>
      </w:r>
      <w:r>
        <w:rPr>
          <w:rFonts w:hint="eastAsia"/>
        </w:rPr>
        <w:t>胶粘在一起。对于[</w:t>
      </w:r>
      <w:r>
        <w:t>0001]</w:t>
      </w:r>
      <w:r>
        <w:rPr>
          <w:rFonts w:hint="eastAsia"/>
        </w:rPr>
        <w:t>方向平面样品则无需对粘。</w:t>
      </w:r>
    </w:p>
    <w:p>
      <w:pPr>
        <w:pStyle w:val="22"/>
        <w:ind w:firstLine="0" w:firstLineChars="0"/>
        <w:rPr>
          <w:rFonts w:ascii="Times New Roman" w:eastAsia="仿宋"/>
          <w:szCs w:val="21"/>
        </w:rPr>
      </w:pPr>
      <w:r>
        <w:rPr>
          <w:rFonts w:ascii="黑体" w:hAnsi="黑体" w:eastAsia="黑体"/>
        </w:rPr>
        <w:t>8.1.3</w:t>
      </w:r>
      <w:r>
        <w:rPr>
          <w:rFonts w:hint="eastAsia"/>
        </w:rPr>
        <w:t>抛光样品。用不同颗粒尺寸（30</w:t>
      </w:r>
      <w:r>
        <w:rPr>
          <w:rFonts w:ascii="Times New Roman" w:eastAsia="仿宋"/>
          <w:szCs w:val="21"/>
        </w:rPr>
        <w:t>μ</w:t>
      </w:r>
      <w:r>
        <w:rPr>
          <w:rFonts w:hint="eastAsia" w:ascii="Times New Roman" w:eastAsia="仿宋"/>
          <w:szCs w:val="21"/>
        </w:rPr>
        <w:t>m</w:t>
      </w:r>
      <w:r>
        <w:rPr>
          <w:rFonts w:hint="eastAsia"/>
        </w:rPr>
        <w:t>、15</w:t>
      </w:r>
      <w:r>
        <w:rPr>
          <w:rFonts w:ascii="Times New Roman" w:eastAsia="仿宋"/>
          <w:szCs w:val="21"/>
        </w:rPr>
        <w:t>μ</w:t>
      </w:r>
      <w:r>
        <w:rPr>
          <w:rFonts w:hint="eastAsia" w:ascii="Times New Roman" w:eastAsia="仿宋"/>
          <w:szCs w:val="21"/>
        </w:rPr>
        <w:t>m</w:t>
      </w:r>
      <w:r>
        <w:rPr>
          <w:rFonts w:hint="eastAsia"/>
        </w:rPr>
        <w:t>、 9</w:t>
      </w:r>
      <w:r>
        <w:rPr>
          <w:rFonts w:ascii="Times New Roman" w:eastAsia="仿宋"/>
          <w:szCs w:val="21"/>
        </w:rPr>
        <w:t>μ</w:t>
      </w:r>
      <w:r>
        <w:rPr>
          <w:rFonts w:hint="eastAsia" w:ascii="Times New Roman" w:eastAsia="仿宋"/>
          <w:szCs w:val="21"/>
        </w:rPr>
        <w:t>m</w:t>
      </w:r>
      <w:r>
        <w:rPr>
          <w:rFonts w:hint="eastAsia"/>
        </w:rPr>
        <w:t>、6</w:t>
      </w:r>
      <w:r>
        <w:rPr>
          <w:rFonts w:ascii="Times New Roman" w:eastAsia="仿宋"/>
          <w:szCs w:val="21"/>
        </w:rPr>
        <w:t>μ</w:t>
      </w:r>
      <w:r>
        <w:rPr>
          <w:rFonts w:hint="eastAsia" w:ascii="Times New Roman" w:eastAsia="仿宋"/>
          <w:szCs w:val="21"/>
        </w:rPr>
        <w:t>m</w:t>
      </w:r>
      <w:r>
        <w:rPr>
          <w:rFonts w:hint="eastAsia"/>
        </w:rPr>
        <w:t>、3</w:t>
      </w:r>
      <w:r>
        <w:rPr>
          <w:rFonts w:ascii="Times New Roman" w:eastAsia="仿宋"/>
          <w:szCs w:val="21"/>
        </w:rPr>
        <w:t>μ</w:t>
      </w:r>
      <w:r>
        <w:rPr>
          <w:rFonts w:hint="eastAsia" w:ascii="Times New Roman" w:eastAsia="仿宋"/>
          <w:szCs w:val="21"/>
        </w:rPr>
        <w:t>m</w:t>
      </w:r>
      <w:r>
        <w:rPr>
          <w:rFonts w:hint="eastAsia"/>
        </w:rPr>
        <w:t>、1</w:t>
      </w:r>
      <w:r>
        <w:rPr>
          <w:rFonts w:ascii="Times New Roman" w:eastAsia="仿宋"/>
          <w:szCs w:val="21"/>
        </w:rPr>
        <w:t>μ</w:t>
      </w:r>
      <w:r>
        <w:rPr>
          <w:rFonts w:hint="eastAsia" w:ascii="Times New Roman" w:eastAsia="仿宋"/>
          <w:szCs w:val="21"/>
        </w:rPr>
        <w:t>m</w:t>
      </w:r>
      <w:r>
        <w:rPr>
          <w:rFonts w:hint="eastAsia"/>
        </w:rPr>
        <w:t>、0.5</w:t>
      </w:r>
      <w:r>
        <w:rPr>
          <w:rFonts w:ascii="Times New Roman" w:eastAsia="仿宋"/>
          <w:szCs w:val="21"/>
        </w:rPr>
        <w:t>μ</w:t>
      </w:r>
      <w:r>
        <w:rPr>
          <w:rFonts w:hint="eastAsia" w:ascii="Times New Roman" w:eastAsia="仿宋"/>
          <w:szCs w:val="21"/>
        </w:rPr>
        <w:t>m）</w:t>
      </w:r>
      <w:r>
        <w:rPr>
          <w:rFonts w:hint="eastAsia"/>
        </w:rPr>
        <w:t>的金刚石砂纸对样品的第一面进行抛光，在200倍显微镜下观察不到明显划痕后即可开始抛光第二面。采用上述颗粒尺寸的金刚石砂纸对第二面进行抛光，抛光至样品厚度为15</w:t>
      </w:r>
      <w:r>
        <w:rPr>
          <w:rFonts w:ascii="Times New Roman" w:eastAsia="仿宋"/>
          <w:szCs w:val="21"/>
        </w:rPr>
        <w:t>μ</w:t>
      </w:r>
      <w:r>
        <w:rPr>
          <w:rFonts w:hint="eastAsia" w:ascii="Times New Roman" w:eastAsia="仿宋"/>
          <w:szCs w:val="21"/>
        </w:rPr>
        <w:t>m</w:t>
      </w:r>
      <w:r>
        <w:rPr>
          <w:rFonts w:hint="eastAsia"/>
        </w:rPr>
        <w:t>以下。</w:t>
      </w:r>
    </w:p>
    <w:p>
      <w:pPr>
        <w:pStyle w:val="22"/>
        <w:ind w:firstLine="0" w:firstLineChars="0"/>
      </w:pPr>
      <w:r>
        <w:rPr>
          <w:rFonts w:ascii="黑体" w:hAnsi="黑体" w:eastAsia="黑体"/>
        </w:rPr>
        <w:t>8.1.4</w:t>
      </w:r>
      <w:r>
        <w:rPr>
          <w:rFonts w:hint="eastAsia"/>
        </w:rPr>
        <w:t>离子减薄。采用A</w:t>
      </w:r>
      <w:r>
        <w:t>r</w:t>
      </w:r>
      <w:r>
        <w:rPr>
          <w:rFonts w:hint="eastAsia"/>
        </w:rPr>
        <w:t>离子束对样品进行减薄，在对粘缝处出现样品穿孔，且可以观察到彩色条纹。</w:t>
      </w:r>
    </w:p>
    <w:p>
      <w:pPr>
        <w:pStyle w:val="22"/>
        <w:ind w:firstLine="0" w:firstLineChars="0"/>
      </w:pPr>
    </w:p>
    <w:p>
      <w:pPr>
        <w:pStyle w:val="22"/>
        <w:ind w:firstLine="0" w:firstLineChars="0"/>
        <w:rPr>
          <w:rFonts w:ascii="黑体" w:hAnsi="黑体" w:eastAsia="黑体"/>
        </w:rPr>
      </w:pPr>
      <w:r>
        <w:rPr>
          <w:rFonts w:hint="eastAsia" w:ascii="黑体" w:hAnsi="黑体" w:eastAsia="黑体"/>
        </w:rPr>
        <w:t>8</w:t>
      </w:r>
      <w:r>
        <w:rPr>
          <w:rFonts w:ascii="黑体" w:hAnsi="黑体" w:eastAsia="黑体"/>
        </w:rPr>
        <w:t>.2 聚焦离子束方法制备样品</w:t>
      </w:r>
    </w:p>
    <w:p>
      <w:pPr>
        <w:pStyle w:val="22"/>
        <w:ind w:firstLine="0" w:firstLineChars="0"/>
        <w:rPr>
          <w:rFonts w:ascii="黑体" w:hAnsi="黑体" w:eastAsia="黑体"/>
        </w:rPr>
      </w:pPr>
    </w:p>
    <w:p>
      <w:pPr>
        <w:pStyle w:val="22"/>
        <w:ind w:firstLine="0" w:firstLineChars="0"/>
      </w:pPr>
      <w:r>
        <w:t>随着现代科学技术的发展，越来越多的透射电镜样品采用聚焦离子束方法来制备。聚焦离子束方法制备透射电镜样品的基本过程和</w:t>
      </w:r>
      <w:r>
        <w:rPr>
          <w:rFonts w:hint="eastAsia"/>
        </w:rPr>
        <w:t>8</w:t>
      </w:r>
      <w:r>
        <w:t>.1中所描述的的过程有很多相似点，不同之处是</w:t>
      </w:r>
      <w:r>
        <w:rPr>
          <w:rFonts w:hint="eastAsia"/>
        </w:rPr>
        <w:t>全程采用离子束对样品进行切割和减薄，</w:t>
      </w:r>
      <w:r>
        <w:t>具有自动化程度高和效率高等优点，但制样价格昂贵。此外，该方法的不足之处是制备的透射电镜样品薄区较小，不利于获得大面积薄区样品。</w:t>
      </w:r>
    </w:p>
    <w:p>
      <w:pPr>
        <w:pStyle w:val="44"/>
        <w:spacing w:before="312" w:after="312"/>
        <w:ind w:left="0"/>
      </w:pPr>
      <w:r>
        <w:rPr>
          <w:rFonts w:hint="eastAsia"/>
        </w:rPr>
        <w:t>测试环境</w:t>
      </w:r>
    </w:p>
    <w:p>
      <w:pPr>
        <w:pStyle w:val="22"/>
      </w:pPr>
      <w:r>
        <w:rPr>
          <w:rFonts w:hint="eastAsia"/>
        </w:rPr>
        <w:t>除另有规定外，应在下列环境中进行测试：</w:t>
      </w:r>
    </w:p>
    <w:p>
      <w:pPr>
        <w:pStyle w:val="145"/>
        <w:numPr>
          <w:ilvl w:val="0"/>
          <w:numId w:val="18"/>
        </w:numPr>
        <w:spacing w:beforeLines="0" w:afterLines="0"/>
        <w:ind w:left="760" w:hanging="357"/>
        <w:rPr>
          <w:rFonts w:ascii="宋体" w:hAnsi="宋体"/>
        </w:rPr>
      </w:pPr>
      <w:r>
        <w:rPr>
          <w:rFonts w:hint="eastAsia" w:ascii="宋体" w:hAnsi="宋体" w:eastAsia="宋体"/>
        </w:rPr>
        <w:t>温度：15</w:t>
      </w:r>
      <w:r>
        <w:rPr>
          <w:rFonts w:hint="eastAsia" w:hAnsi="宋体"/>
        </w:rPr>
        <w:t>℃</w:t>
      </w:r>
      <w:r>
        <w:rPr>
          <w:rFonts w:hint="eastAsia" w:ascii="宋体" w:hAnsi="宋体"/>
        </w:rPr>
        <w:t>～25</w:t>
      </w:r>
      <w:r>
        <w:rPr>
          <w:rFonts w:hint="eastAsia" w:hAnsi="宋体"/>
        </w:rPr>
        <w:t>℃；</w:t>
      </w:r>
    </w:p>
    <w:p>
      <w:pPr>
        <w:pStyle w:val="145"/>
        <w:numPr>
          <w:ilvl w:val="0"/>
          <w:numId w:val="18"/>
        </w:numPr>
        <w:spacing w:beforeLines="0" w:afterLines="0"/>
        <w:ind w:left="760" w:hanging="357"/>
        <w:rPr>
          <w:rFonts w:ascii="宋体" w:hAnsi="宋体" w:eastAsia="宋体"/>
        </w:rPr>
      </w:pPr>
      <w:r>
        <w:rPr>
          <w:rFonts w:hint="eastAsia" w:ascii="宋体" w:hAnsi="宋体" w:eastAsia="宋体"/>
        </w:rPr>
        <w:t>湿度：不大于70%。</w:t>
      </w:r>
    </w:p>
    <w:p>
      <w:pPr>
        <w:pStyle w:val="139"/>
        <w:spacing w:before="312" w:after="312"/>
        <w:ind w:left="0"/>
        <w:rPr>
          <w:b/>
          <w:bCs/>
        </w:rPr>
      </w:pPr>
      <w:r>
        <w:rPr>
          <w:rFonts w:hint="eastAsia"/>
        </w:rPr>
        <w:t>测试步骤</w:t>
      </w:r>
    </w:p>
    <w:p>
      <w:pPr>
        <w:pStyle w:val="145"/>
        <w:numPr>
          <w:ilvl w:val="0"/>
          <w:numId w:val="0"/>
        </w:numPr>
        <w:spacing w:before="156" w:after="156"/>
      </w:pPr>
      <w:r>
        <w:drawing>
          <wp:anchor distT="0" distB="0" distL="114300" distR="114300" simplePos="0" relativeHeight="251661312" behindDoc="0" locked="0" layoutInCell="1" allowOverlap="1">
            <wp:simplePos x="0" y="0"/>
            <wp:positionH relativeFrom="column">
              <wp:posOffset>1009650</wp:posOffset>
            </wp:positionH>
            <wp:positionV relativeFrom="paragraph">
              <wp:posOffset>659765</wp:posOffset>
            </wp:positionV>
            <wp:extent cx="4100195" cy="2365375"/>
            <wp:effectExtent l="0" t="0" r="0" b="0"/>
            <wp:wrapNone/>
            <wp:docPr id="4" name="图片 3" descr="[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100].jpg"/>
                    <pic:cNvPicPr>
                      <a:picLocks noChangeAspect="1"/>
                    </pic:cNvPicPr>
                  </pic:nvPicPr>
                  <pic:blipFill>
                    <a:blip r:embed="rId10"/>
                    <a:stretch>
                      <a:fillRect/>
                    </a:stretch>
                  </pic:blipFill>
                  <pic:spPr>
                    <a:xfrm>
                      <a:off x="0" y="0"/>
                      <a:ext cx="4100400" cy="2365200"/>
                    </a:xfrm>
                    <a:prstGeom prst="rect">
                      <a:avLst/>
                    </a:prstGeom>
                  </pic:spPr>
                </pic:pic>
              </a:graphicData>
            </a:graphic>
          </wp:anchor>
        </w:drawing>
      </w:r>
      <w:r>
        <w:t>10.1</w:t>
      </w:r>
      <w:r>
        <w:rPr>
          <w:rFonts w:hint="eastAsia" w:ascii="宋体" w:hAnsi="宋体" w:eastAsia="宋体"/>
        </w:rPr>
        <w:t>转正样品晶带轴到&lt;</w:t>
      </w:r>
      <w:r>
        <w:rPr>
          <w:rFonts w:ascii="宋体" w:hAnsi="宋体" w:eastAsia="宋体"/>
        </w:rPr>
        <w:t>1-100</w:t>
      </w:r>
      <w:r>
        <w:rPr>
          <w:rFonts w:hint="eastAsia" w:ascii="宋体" w:hAnsi="宋体" w:eastAsia="宋体"/>
        </w:rPr>
        <w:t>&gt;方向(即M方向)。将样品装入透射电镜双倾杆，在透射电镜下找到待测区域。然后通过会聚光束，切换到衍射模式，通过调节样品杆的</w:t>
      </w:r>
      <w:r>
        <w:rPr>
          <w:rFonts w:ascii="宋体" w:hAnsi="宋体" w:eastAsia="宋体"/>
        </w:rPr>
        <w:t>ɑ</w:t>
      </w:r>
      <w:r>
        <w:rPr>
          <w:rFonts w:hint="eastAsia" w:ascii="宋体" w:hAnsi="宋体" w:eastAsia="宋体"/>
        </w:rPr>
        <w:t>和</w:t>
      </w:r>
      <w:r>
        <w:rPr>
          <w:rFonts w:hint="eastAsia"/>
        </w:rPr>
        <w:t>β</w:t>
      </w:r>
      <w:r>
        <w:rPr>
          <w:rFonts w:hint="eastAsia" w:ascii="宋体" w:hAnsi="宋体" w:eastAsia="宋体"/>
        </w:rPr>
        <w:t>角，将&lt;1-1</w:t>
      </w:r>
      <w:r>
        <w:rPr>
          <w:rFonts w:ascii="宋体" w:hAnsi="宋体" w:eastAsia="宋体"/>
        </w:rPr>
        <w:t>0</w:t>
      </w:r>
      <w:r>
        <w:rPr>
          <w:rFonts w:hint="eastAsia" w:ascii="宋体" w:hAnsi="宋体" w:eastAsia="宋体"/>
        </w:rPr>
        <w:t>0&gt;菊池极调整到屏幕中心。然后散开光束至满屏，在选区衍射下得到如图1所示的电子衍射谱。</w:t>
      </w: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pPr>
    </w:p>
    <w:p>
      <w:pPr>
        <w:pStyle w:val="145"/>
        <w:numPr>
          <w:ilvl w:val="0"/>
          <w:numId w:val="0"/>
        </w:numPr>
        <w:spacing w:before="156" w:after="156"/>
        <w:jc w:val="center"/>
      </w:pPr>
      <w:r>
        <w:rPr>
          <w:rFonts w:hint="eastAsia"/>
        </w:rPr>
        <w:t>图1六方晶系的〈</w:t>
      </w:r>
      <w:r>
        <w:t>1-1</w:t>
      </w:r>
      <w:r>
        <w:rPr>
          <w:rFonts w:hint="eastAsia"/>
        </w:rPr>
        <w:t>0</w:t>
      </w:r>
      <w:r>
        <w:t>0</w:t>
      </w:r>
      <w:r>
        <w:rPr>
          <w:rFonts w:hint="eastAsia"/>
        </w:rPr>
        <w:t>〉电子衍射谱</w:t>
      </w:r>
    </w:p>
    <w:p>
      <w:pPr>
        <w:pStyle w:val="22"/>
        <w:ind w:firstLine="0" w:firstLineChars="0"/>
      </w:pPr>
      <w:r>
        <w:rPr>
          <w:rFonts w:ascii="黑体" w:hAnsi="黑体" w:eastAsia="黑体"/>
        </w:rPr>
        <w:t>10.2</w:t>
      </w:r>
      <w:r>
        <w:t>首先</w:t>
      </w:r>
      <w:r>
        <w:rPr>
          <w:rFonts w:hint="eastAsia"/>
        </w:rPr>
        <w:t>倾转样品到{</w:t>
      </w:r>
      <w:r>
        <w:t>11-2</w:t>
      </w:r>
      <w:r>
        <w:rPr>
          <w:rFonts w:hint="eastAsia"/>
        </w:rPr>
        <w:t>0}衍射斑和透射斑的强度相当(如附录图</w:t>
      </w:r>
      <w:r>
        <w:t>1</w:t>
      </w:r>
      <w:r>
        <w:rPr>
          <w:rFonts w:hint="eastAsia"/>
        </w:rPr>
        <w:t>所示)，之后通过电子束倾转，将另一侧强度较弱的{-1-1</w:t>
      </w:r>
      <w:r>
        <w:t>2</w:t>
      </w:r>
      <w:r>
        <w:rPr>
          <w:rFonts w:hint="eastAsia"/>
        </w:rPr>
        <w:t>0}衍射斑调至屏幕中心并使其强度和透射斑相当，然后用物镜光阑选择位于屏幕中心的该{-1-1</w:t>
      </w:r>
      <w:r>
        <w:t>2</w:t>
      </w:r>
      <w:r>
        <w:rPr>
          <w:rFonts w:hint="eastAsia"/>
        </w:rPr>
        <w:t>0}衍射斑，退出选区光阑，切换到暗场成像模式，获得刃型位错和混合型位错的双束暗场成像（如附录图2所示）。如果通过电子束倾转，将{</w:t>
      </w:r>
      <w:r>
        <w:t>11-2</w:t>
      </w:r>
      <w:r>
        <w:rPr>
          <w:rFonts w:hint="eastAsia"/>
        </w:rPr>
        <w:t>0}衍射斑调至屏幕中心，则{</w:t>
      </w:r>
      <w:r>
        <w:t>11-2</w:t>
      </w:r>
      <w:r>
        <w:rPr>
          <w:rFonts w:hint="eastAsia"/>
        </w:rPr>
        <w:t>0}衍射斑变弱，处于3g</w:t>
      </w:r>
      <w:r>
        <w:t>位置的</w:t>
      </w:r>
      <w:r>
        <w:rPr>
          <w:rFonts w:hint="eastAsia"/>
        </w:rPr>
        <w:t>{</w:t>
      </w:r>
      <w:r>
        <w:t>33-6</w:t>
      </w:r>
      <w:r>
        <w:rPr>
          <w:rFonts w:hint="eastAsia"/>
        </w:rPr>
        <w:t>0}衍射斑变强（如附录图</w:t>
      </w:r>
      <w:r>
        <w:t>3</w:t>
      </w:r>
      <w:r>
        <w:rPr>
          <w:rFonts w:hint="eastAsia"/>
        </w:rPr>
        <w:t>所示），用物镜光阑选择位于屏幕中心的该{</w:t>
      </w:r>
      <w:r>
        <w:t>11-2</w:t>
      </w:r>
      <w:r>
        <w:rPr>
          <w:rFonts w:hint="eastAsia"/>
        </w:rPr>
        <w:t>0}衍射斑，退出选区光阑，切换到暗场成像模式，获得刃型位错和混合型位错的弱束暗场成像（如附录图4所示）。</w:t>
      </w:r>
    </w:p>
    <w:p>
      <w:pPr>
        <w:pStyle w:val="22"/>
        <w:ind w:firstLine="0" w:firstLineChars="0"/>
      </w:pPr>
    </w:p>
    <w:p>
      <w:pPr>
        <w:pStyle w:val="22"/>
        <w:ind w:firstLine="0" w:firstLineChars="0"/>
      </w:pPr>
      <w:r>
        <w:rPr>
          <w:rFonts w:ascii="黑体" w:hAnsi="黑体" w:eastAsia="黑体"/>
        </w:rPr>
        <w:t>10.3</w:t>
      </w:r>
      <w:r>
        <w:rPr>
          <w:rFonts w:hint="eastAsia"/>
        </w:rPr>
        <w:t>倾转样品到（0002）衍射斑和透射斑的强度相当，通过电子束倾转，将另一侧强度较弱的（000-2）衍射斑调至屏幕中心并使其强度和透射斑相当，然后用物镜光阑选择位于屏幕中心的该（000-2）衍射斑，退出选区光阑，切换到暗场成像模式，获得螺型位错和混合型位错的双束暗场成像。如果通过电子束倾转，将（0002）衍射斑调至屏幕中心，则（0002）衍射斑变弱，处于3g</w:t>
      </w:r>
      <w:r>
        <w:t>位置的</w:t>
      </w:r>
      <w:r>
        <w:rPr>
          <w:rFonts w:hint="eastAsia"/>
        </w:rPr>
        <w:t>（</w:t>
      </w:r>
      <w:r>
        <w:t>0006</w:t>
      </w:r>
      <w:r>
        <w:rPr>
          <w:rFonts w:hint="eastAsia"/>
        </w:rPr>
        <w:t>）衍射斑变强，用物镜光阑选择位于屏幕中心的该（0002）衍射斑，退出选区光阑，切换到暗场成像模式，获得螺型位错和混合型位错的弱束暗场成像。</w:t>
      </w:r>
    </w:p>
    <w:p>
      <w:pPr>
        <w:pStyle w:val="22"/>
        <w:ind w:firstLine="0" w:firstLineChars="0"/>
      </w:pPr>
    </w:p>
    <w:p>
      <w:pPr>
        <w:pStyle w:val="22"/>
        <w:ind w:firstLine="0" w:firstLineChars="0"/>
      </w:pPr>
      <w:r>
        <w:rPr>
          <w:rFonts w:ascii="黑体" w:hAnsi="黑体" w:eastAsia="黑体"/>
        </w:rPr>
        <w:t>10.4</w:t>
      </w:r>
      <w:r>
        <w:rPr>
          <w:rFonts w:hint="eastAsia"/>
        </w:rPr>
        <w:t>倾转样品到{11-2</w:t>
      </w:r>
      <w:r>
        <w:t>2</w:t>
      </w:r>
      <w:r>
        <w:rPr>
          <w:rFonts w:hint="eastAsia"/>
        </w:rPr>
        <w:t>}衍射斑和透射斑的强度相当，通过电子束倾转，将另一侧强度较弱的{-1-12-2}衍射斑调至屏幕中心并使其强度和透射斑相当，然后用物镜光阑选择位于屏幕中心的该{-1-12-2}衍射斑，退出选区光阑，切换到成像模式，获得混合型位错双束暗场成像。如果通过电子束倾转，将{11-2</w:t>
      </w:r>
      <w:r>
        <w:t>2</w:t>
      </w:r>
      <w:r>
        <w:rPr>
          <w:rFonts w:hint="eastAsia"/>
        </w:rPr>
        <w:t>}衍射斑调至屏幕中心，则{11-2</w:t>
      </w:r>
      <w:r>
        <w:t>2</w:t>
      </w:r>
      <w:r>
        <w:rPr>
          <w:rFonts w:hint="eastAsia"/>
        </w:rPr>
        <w:t>}衍射斑变弱，处于3g</w:t>
      </w:r>
      <w:r>
        <w:t>位置的</w:t>
      </w:r>
      <w:r>
        <w:rPr>
          <w:rFonts w:hint="eastAsia"/>
        </w:rPr>
        <w:t>{</w:t>
      </w:r>
      <w:r>
        <w:t>33</w:t>
      </w:r>
      <w:r>
        <w:rPr>
          <w:rFonts w:hint="eastAsia"/>
        </w:rPr>
        <w:t>-</w:t>
      </w:r>
      <w:r>
        <w:t>66</w:t>
      </w:r>
      <w:r>
        <w:rPr>
          <w:rFonts w:hint="eastAsia"/>
        </w:rPr>
        <w:t>}衍射斑变强，用物镜光阑选择位于屏幕中心的该{11-2</w:t>
      </w:r>
      <w:r>
        <w:t>2</w:t>
      </w:r>
      <w:r>
        <w:rPr>
          <w:rFonts w:hint="eastAsia"/>
        </w:rPr>
        <w:t>}衍射斑，退出选区光阑，切换到暗场成像模式，获得混合型位错的弱束暗场成像。</w:t>
      </w:r>
    </w:p>
    <w:p>
      <w:pPr>
        <w:pStyle w:val="22"/>
        <w:ind w:firstLine="0" w:firstLineChars="0"/>
      </w:pPr>
    </w:p>
    <w:p>
      <w:pPr>
        <w:pStyle w:val="22"/>
        <w:ind w:firstLine="0" w:firstLineChars="0"/>
      </w:pPr>
      <w:r>
        <w:rPr>
          <w:rFonts w:ascii="黑体" w:hAnsi="黑体" w:eastAsia="黑体"/>
        </w:rPr>
        <w:t xml:space="preserve">10.5 </w:t>
      </w:r>
      <w:r>
        <w:rPr>
          <w:rFonts w:hint="eastAsia"/>
        </w:rPr>
        <w:t>对于[</w:t>
      </w:r>
      <w:r>
        <w:t>0001]</w:t>
      </w:r>
      <w:r>
        <w:rPr>
          <w:rFonts w:hint="eastAsia"/>
        </w:rPr>
        <w:t>方向平面样品，在透射电镜下找到待测区域。然后通过会聚光束，切换到衍射模式，通过调节样品杆的</w:t>
      </w:r>
      <w:r>
        <w:t>ɑ</w:t>
      </w:r>
      <w:r>
        <w:rPr>
          <w:rFonts w:hint="eastAsia"/>
        </w:rPr>
        <w:t>和β角，将[0001]菊池极调整到屏幕中心。然后散开光束至满屏，在选区衍射下得到如下图2所示的电子衍射谱。</w:t>
      </w:r>
    </w:p>
    <w:p>
      <w:pPr>
        <w:pStyle w:val="22"/>
        <w:ind w:firstLine="0" w:firstLineChars="0"/>
      </w:pPr>
    </w:p>
    <w:p>
      <w:pPr>
        <w:pStyle w:val="22"/>
        <w:ind w:firstLine="0" w:firstLineChars="0"/>
      </w:pPr>
    </w:p>
    <w:p>
      <w:pPr>
        <w:pStyle w:val="22"/>
        <w:ind w:firstLine="0" w:firstLineChars="0"/>
      </w:pPr>
      <w:r>
        <w:drawing>
          <wp:anchor distT="0" distB="0" distL="114300" distR="114300" simplePos="0" relativeHeight="251660288" behindDoc="0" locked="0" layoutInCell="1" allowOverlap="1">
            <wp:simplePos x="0" y="0"/>
            <wp:positionH relativeFrom="column">
              <wp:posOffset>1450340</wp:posOffset>
            </wp:positionH>
            <wp:positionV relativeFrom="paragraph">
              <wp:posOffset>-294640</wp:posOffset>
            </wp:positionV>
            <wp:extent cx="3326130" cy="2645410"/>
            <wp:effectExtent l="19050" t="0" r="7620" b="0"/>
            <wp:wrapNone/>
            <wp:docPr id="41" name="图片 4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2"/>
                    <pic:cNvPicPr>
                      <a:picLocks noChangeAspect="1" noChangeArrowheads="1"/>
                    </pic:cNvPicPr>
                  </pic:nvPicPr>
                  <pic:blipFill>
                    <a:blip r:embed="rId11"/>
                    <a:srcRect/>
                    <a:stretch>
                      <a:fillRect/>
                    </a:stretch>
                  </pic:blipFill>
                  <pic:spPr>
                    <a:xfrm>
                      <a:off x="0" y="0"/>
                      <a:ext cx="3326130" cy="2645410"/>
                    </a:xfrm>
                    <a:prstGeom prst="rect">
                      <a:avLst/>
                    </a:prstGeom>
                    <a:noFill/>
                    <a:ln w="9525">
                      <a:noFill/>
                      <a:miter lim="800000"/>
                      <a:headEnd/>
                      <a:tailEnd/>
                    </a:ln>
                  </pic:spPr>
                </pic:pic>
              </a:graphicData>
            </a:graphic>
          </wp:anchor>
        </w:drawing>
      </w: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pPr>
    </w:p>
    <w:p>
      <w:pPr>
        <w:pStyle w:val="22"/>
        <w:ind w:firstLine="0" w:firstLineChars="0"/>
        <w:jc w:val="center"/>
      </w:pPr>
    </w:p>
    <w:p>
      <w:pPr>
        <w:pStyle w:val="22"/>
        <w:ind w:firstLine="0" w:firstLineChars="0"/>
        <w:jc w:val="center"/>
      </w:pPr>
      <w:r>
        <w:rPr>
          <w:rFonts w:hint="eastAsia"/>
        </w:rPr>
        <w:t>图</w:t>
      </w:r>
      <w:r>
        <w:t xml:space="preserve">2 </w:t>
      </w:r>
      <w:r>
        <w:rPr>
          <w:rFonts w:hint="eastAsia"/>
        </w:rPr>
        <w:t>六方晶系的[0001]电子衍射谱</w:t>
      </w:r>
    </w:p>
    <w:p>
      <w:pPr>
        <w:pStyle w:val="22"/>
        <w:ind w:firstLine="0" w:firstLineChars="0"/>
        <w:jc w:val="center"/>
      </w:pPr>
    </w:p>
    <w:p>
      <w:pPr>
        <w:pStyle w:val="22"/>
        <w:ind w:firstLine="0" w:firstLineChars="0"/>
      </w:pPr>
      <w:r>
        <w:rPr>
          <w:rFonts w:ascii="黑体" w:hAnsi="黑体" w:eastAsia="黑体"/>
        </w:rPr>
        <w:t xml:space="preserve">10.6 </w:t>
      </w:r>
      <w:r>
        <w:rPr>
          <w:rFonts w:hint="eastAsia"/>
        </w:rPr>
        <w:t>倾转样品到{11-20}衍射斑和透射斑的强度相当，通过电子束倾转，将另一侧强度较弱的{-</w:t>
      </w:r>
      <w:r>
        <w:t>1-</w:t>
      </w:r>
      <w:r>
        <w:rPr>
          <w:rFonts w:hint="eastAsia"/>
        </w:rPr>
        <w:t>120}衍射斑调至屏幕中心并使其强度和透射斑相当，然后用物镜光阑选择位于屏幕中心的该{-1-120}衍射斑，退出选区光阑，切换到暗场成像模式，获得刃型位错和混合位错的双束暗场成像。如果通过电子束倾转，将{</w:t>
      </w:r>
      <w:r>
        <w:t>11-2</w:t>
      </w:r>
      <w:r>
        <w:rPr>
          <w:rFonts w:hint="eastAsia"/>
        </w:rPr>
        <w:t>0}衍射斑调至屏幕中心，则{</w:t>
      </w:r>
      <w:r>
        <w:t>11-2</w:t>
      </w:r>
      <w:r>
        <w:rPr>
          <w:rFonts w:hint="eastAsia"/>
        </w:rPr>
        <w:t>0}衍射斑变弱，处于3g</w:t>
      </w:r>
      <w:r>
        <w:t>位置的</w:t>
      </w:r>
      <w:r>
        <w:rPr>
          <w:rFonts w:hint="eastAsia"/>
        </w:rPr>
        <w:t>{</w:t>
      </w:r>
      <w:r>
        <w:t>33-6</w:t>
      </w:r>
      <w:r>
        <w:rPr>
          <w:rFonts w:hint="eastAsia"/>
        </w:rPr>
        <w:t>0}衍射斑变强，用物镜光阑选择位于屏幕中心的该{</w:t>
      </w:r>
      <w:r>
        <w:t>11-2</w:t>
      </w:r>
      <w:r>
        <w:rPr>
          <w:rFonts w:hint="eastAsia"/>
        </w:rPr>
        <w:t>0}衍射斑，退出选区光阑，切换到暗场成像模式，获得刃型位错和混合型位错的弱束暗场成像。</w:t>
      </w:r>
    </w:p>
    <w:p>
      <w:pPr>
        <w:pStyle w:val="139"/>
        <w:spacing w:before="312" w:after="312"/>
        <w:ind w:left="0"/>
      </w:pPr>
      <w:r>
        <w:rPr>
          <w:rFonts w:hint="eastAsia"/>
        </w:rPr>
        <w:t>测试报告</w:t>
      </w:r>
    </w:p>
    <w:p>
      <w:pPr>
        <w:pStyle w:val="142"/>
      </w:pPr>
      <w:r>
        <w:rPr>
          <w:rFonts w:hint="eastAsia"/>
        </w:rPr>
        <w:t>测试报告应包括以下内容：</w:t>
      </w:r>
    </w:p>
    <w:p>
      <w:pPr>
        <w:pStyle w:val="58"/>
      </w:pPr>
      <w:r>
        <w:rPr>
          <w:rFonts w:hint="eastAsia"/>
        </w:rPr>
        <w:t>样品的详细信息，包括样品来源，样品编号；</w:t>
      </w:r>
    </w:p>
    <w:p>
      <w:pPr>
        <w:pStyle w:val="58"/>
      </w:pPr>
      <w:r>
        <w:rPr>
          <w:rFonts w:hint="eastAsia"/>
        </w:rPr>
        <w:t>所使用的透射显微镜的品牌、型号；</w:t>
      </w:r>
    </w:p>
    <w:p>
      <w:pPr>
        <w:pStyle w:val="58"/>
      </w:pPr>
      <w:r>
        <w:rPr>
          <w:rFonts w:hint="eastAsia"/>
        </w:rPr>
        <w:t>本标准编号；</w:t>
      </w:r>
    </w:p>
    <w:p>
      <w:pPr>
        <w:pStyle w:val="58"/>
      </w:pPr>
      <w:r>
        <w:rPr>
          <w:rFonts w:hint="eastAsia"/>
        </w:rPr>
        <w:t>不同衍射斑对应的位错成像；</w:t>
      </w:r>
    </w:p>
    <w:p>
      <w:pPr>
        <w:pStyle w:val="58"/>
      </w:pPr>
      <w:r>
        <w:rPr>
          <w:rFonts w:hint="eastAsia"/>
        </w:rPr>
        <w:t>测试环境，温度和湿度等；</w:t>
      </w:r>
    </w:p>
    <w:p>
      <w:pPr>
        <w:pStyle w:val="58"/>
      </w:pPr>
      <w:r>
        <w:rPr>
          <w:rFonts w:hint="eastAsia"/>
        </w:rPr>
        <w:t>测试日期；</w:t>
      </w:r>
    </w:p>
    <w:p>
      <w:pPr>
        <w:pStyle w:val="58"/>
      </w:pPr>
      <w:r>
        <w:rPr>
          <w:rFonts w:hint="eastAsia"/>
        </w:rPr>
        <w:t>测试人员；</w:t>
      </w:r>
    </w:p>
    <w:p>
      <w:pPr>
        <w:pStyle w:val="58"/>
      </w:pPr>
      <w:r>
        <w:rPr>
          <w:rFonts w:hint="eastAsia"/>
        </w:rPr>
        <w:t>其他需要说明的内容。</w:t>
      </w: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pPr>
    </w:p>
    <w:p>
      <w:pPr>
        <w:pStyle w:val="58"/>
        <w:numPr>
          <w:ilvl w:val="0"/>
          <w:numId w:val="0"/>
        </w:numPr>
        <w:ind w:left="839" w:hanging="419"/>
        <w:jc w:val="center"/>
        <w:rPr>
          <w:b/>
          <w:sz w:val="28"/>
          <w:szCs w:val="28"/>
        </w:rPr>
      </w:pPr>
    </w:p>
    <w:p>
      <w:pPr>
        <w:pStyle w:val="58"/>
        <w:numPr>
          <w:ilvl w:val="0"/>
          <w:numId w:val="0"/>
        </w:numPr>
        <w:ind w:left="839" w:hanging="419"/>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rPr>
        <w:t>附录</w:t>
      </w:r>
      <w:r>
        <w:rPr>
          <w:rFonts w:hint="eastAsia" w:ascii="黑体" w:hAnsi="黑体" w:eastAsia="黑体" w:cs="黑体"/>
          <w:b w:val="0"/>
          <w:bCs/>
          <w:sz w:val="21"/>
          <w:szCs w:val="21"/>
          <w:lang w:val="en-US" w:eastAsia="zh-CN"/>
        </w:rPr>
        <w:t xml:space="preserve"> A</w:t>
      </w:r>
    </w:p>
    <w:p>
      <w:pPr>
        <w:pStyle w:val="58"/>
        <w:numPr>
          <w:ilvl w:val="0"/>
          <w:numId w:val="0"/>
        </w:numPr>
        <w:ind w:left="839" w:hanging="419"/>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w:t>
      </w:r>
      <w:r>
        <w:rPr>
          <w:rFonts w:hint="eastAsia" w:ascii="黑体" w:hAnsi="黑体" w:eastAsia="黑体" w:cs="黑体"/>
          <w:b w:val="0"/>
          <w:bCs/>
          <w:sz w:val="21"/>
          <w:szCs w:val="21"/>
          <w:lang w:val="en-US" w:eastAsia="zh-CN"/>
        </w:rPr>
        <w:t>规范性</w:t>
      </w:r>
      <w:r>
        <w:rPr>
          <w:rFonts w:hint="eastAsia" w:ascii="黑体" w:hAnsi="黑体" w:eastAsia="黑体" w:cs="黑体"/>
          <w:b w:val="0"/>
          <w:bCs/>
          <w:sz w:val="21"/>
          <w:szCs w:val="21"/>
          <w:lang w:val="en-US" w:eastAsia="zh-CN"/>
        </w:rPr>
        <w:t>）</w:t>
      </w:r>
    </w:p>
    <w:p>
      <w:pPr>
        <w:pStyle w:val="58"/>
        <w:numPr>
          <w:ilvl w:val="0"/>
          <w:numId w:val="0"/>
        </w:numPr>
        <w:ind w:left="839" w:hanging="419"/>
        <w:jc w:val="center"/>
        <w:rPr>
          <w:rFonts w:hint="default" w:ascii="黑体" w:hAnsi="黑体" w:eastAsia="黑体" w:cs="黑体"/>
          <w:b w:val="0"/>
          <w:bCs/>
          <w:sz w:val="21"/>
          <w:szCs w:val="21"/>
          <w:lang w:val="en-US" w:eastAsia="zh-CN"/>
        </w:rPr>
      </w:pPr>
    </w:p>
    <w:p>
      <w:pPr>
        <w:pStyle w:val="58"/>
        <w:numPr>
          <w:ilvl w:val="0"/>
          <w:numId w:val="0"/>
        </w:numPr>
        <w:ind w:left="839" w:hanging="419"/>
        <w:jc w:val="center"/>
        <w:rPr>
          <w:b/>
          <w:sz w:val="28"/>
          <w:szCs w:val="28"/>
        </w:rPr>
      </w:pPr>
      <w:r>
        <w:drawing>
          <wp:anchor distT="0" distB="0" distL="114300" distR="114300" simplePos="0" relativeHeight="251670528" behindDoc="0" locked="0" layoutInCell="1" allowOverlap="1">
            <wp:simplePos x="0" y="0"/>
            <wp:positionH relativeFrom="column">
              <wp:posOffset>1692275</wp:posOffset>
            </wp:positionH>
            <wp:positionV relativeFrom="paragraph">
              <wp:posOffset>222250</wp:posOffset>
            </wp:positionV>
            <wp:extent cx="2552700" cy="2476500"/>
            <wp:effectExtent l="0" t="0" r="0" b="0"/>
            <wp:wrapNone/>
            <wp:docPr id="8" name="Picture 2" descr="D:\Data\Bao Feng\training\G ro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Data\Bao Feng\training\G rot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52400" cy="2476800"/>
                    </a:xfrm>
                    <a:prstGeom prst="rect">
                      <a:avLst/>
                    </a:prstGeom>
                    <a:noFill/>
                    <a:ln w="9525">
                      <a:noFill/>
                      <a:miter lim="800000"/>
                      <a:headEnd/>
                      <a:tailEnd/>
                    </a:ln>
                  </pic:spPr>
                </pic:pic>
              </a:graphicData>
            </a:graphic>
          </wp:anchor>
        </w:drawing>
      </w: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145"/>
        <w:numPr>
          <w:ilvl w:val="0"/>
          <w:numId w:val="0"/>
        </w:numPr>
        <w:spacing w:before="156" w:after="156"/>
        <w:jc w:val="center"/>
      </w:pPr>
      <w:r>
        <w:rPr>
          <w:rFonts w:hint="eastAsia"/>
        </w:rPr>
        <w:t>图</w:t>
      </w:r>
      <w:r>
        <w:t>1</w:t>
      </w:r>
      <w:r>
        <w:rPr>
          <w:rFonts w:hint="eastAsia"/>
        </w:rPr>
        <w:t>{11-20}双束衍射模式</w:t>
      </w:r>
    </w:p>
    <w:p>
      <w:pPr>
        <w:pStyle w:val="145"/>
        <w:numPr>
          <w:ilvl w:val="0"/>
          <w:numId w:val="0"/>
        </w:numPr>
        <w:spacing w:before="156" w:after="156"/>
        <w:jc w:val="center"/>
      </w:pPr>
      <w:r>
        <w:rPr>
          <w:rFonts w:hint="eastAsia"/>
        </w:rPr>
        <w:drawing>
          <wp:anchor distT="0" distB="0" distL="114300" distR="114300" simplePos="0" relativeHeight="251671552" behindDoc="0" locked="0" layoutInCell="1" allowOverlap="1">
            <wp:simplePos x="0" y="0"/>
            <wp:positionH relativeFrom="column">
              <wp:posOffset>1697355</wp:posOffset>
            </wp:positionH>
            <wp:positionV relativeFrom="paragraph">
              <wp:posOffset>102235</wp:posOffset>
            </wp:positionV>
            <wp:extent cx="2561590" cy="263715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70411" cy="2646331"/>
                    </a:xfrm>
                    <a:prstGeom prst="rect">
                      <a:avLst/>
                    </a:prstGeom>
                    <a:noFill/>
                    <a:ln>
                      <a:noFill/>
                    </a:ln>
                  </pic:spPr>
                </pic:pic>
              </a:graphicData>
            </a:graphic>
          </wp:anchor>
        </w:drawing>
      </w: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r>
        <w:rPr>
          <w:rFonts w:hint="eastAsia"/>
        </w:rPr>
        <w:t>图</w:t>
      </w:r>
      <w:r>
        <w:t>2</w:t>
      </w:r>
      <w:r>
        <w:rPr>
          <w:rFonts w:hint="eastAsia"/>
        </w:rPr>
        <w:t>{11-20}双束暗场成像</w:t>
      </w: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pPr>
    </w:p>
    <w:p>
      <w:pPr>
        <w:pStyle w:val="145"/>
        <w:numPr>
          <w:ilvl w:val="0"/>
          <w:numId w:val="0"/>
        </w:numPr>
        <w:spacing w:before="156" w:after="156"/>
        <w:jc w:val="center"/>
        <w:rPr>
          <w:b/>
          <w:sz w:val="28"/>
          <w:szCs w:val="28"/>
        </w:rPr>
      </w:pPr>
      <w:r>
        <w:drawing>
          <wp:anchor distT="0" distB="0" distL="114300" distR="114300" simplePos="0" relativeHeight="251659264" behindDoc="0" locked="0" layoutInCell="1" allowOverlap="1">
            <wp:simplePos x="0" y="0"/>
            <wp:positionH relativeFrom="column">
              <wp:posOffset>1741805</wp:posOffset>
            </wp:positionH>
            <wp:positionV relativeFrom="paragraph">
              <wp:posOffset>60960</wp:posOffset>
            </wp:positionV>
            <wp:extent cx="0" cy="0"/>
            <wp:effectExtent l="0" t="0" r="0" b="0"/>
            <wp:wrapNone/>
            <wp:docPr id="3" name="图片 3" descr="D:\项目申请资料\2021年\标准编制-透射电镜测试位错密度\标准项目执行\实验数据\2023年9月M-plane DXM\A-11-20\A-11-20\A-TBDF-11-2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项目申请资料\2021年\标准编制-透射电镜测试位错密度\标准项目执行\实验数据\2023年9月M-plane DXM\A-11-20\A-11-20\A-TBDF-11-20-3.tif"/>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p>
    <w:p>
      <w:pPr>
        <w:pStyle w:val="58"/>
        <w:numPr>
          <w:ilvl w:val="0"/>
          <w:numId w:val="0"/>
        </w:numPr>
        <w:ind w:left="839" w:hanging="419"/>
        <w:jc w:val="center"/>
        <w:rPr>
          <w:b/>
          <w:sz w:val="28"/>
          <w:szCs w:val="28"/>
        </w:rPr>
      </w:pPr>
      <w:r>
        <w:rPr>
          <w:b/>
          <w:sz w:val="28"/>
          <w:szCs w:val="28"/>
        </w:rPr>
        <w:drawing>
          <wp:anchor distT="0" distB="0" distL="114300" distR="114300" simplePos="0" relativeHeight="251669504" behindDoc="0" locked="0" layoutInCell="1" allowOverlap="1">
            <wp:simplePos x="0" y="0"/>
            <wp:positionH relativeFrom="column">
              <wp:posOffset>1718945</wp:posOffset>
            </wp:positionH>
            <wp:positionV relativeFrom="paragraph">
              <wp:posOffset>21590</wp:posOffset>
            </wp:positionV>
            <wp:extent cx="2498090" cy="2585085"/>
            <wp:effectExtent l="0" t="0" r="0" b="0"/>
            <wp:wrapNone/>
            <wp:docPr id="2" name="图片 2" descr="D:\项目申请资料\2021年\标准编制-透射电镜测试位错密度\标准项目执行\实验数据\NMT-M-PLANE\NMT-M-PLANE\11-20-WB-DIFF-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项目申请资料\2021年\标准编制-透射电镜测试位错密度\标准项目执行\实验数据\NMT-M-PLANE\NMT-M-PLANE\11-20-WB-DIFF-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98400" cy="2584800"/>
                    </a:xfrm>
                    <a:prstGeom prst="rect">
                      <a:avLst/>
                    </a:prstGeom>
                    <a:noFill/>
                    <a:ln>
                      <a:noFill/>
                    </a:ln>
                  </pic:spPr>
                </pic:pic>
              </a:graphicData>
            </a:graphic>
          </wp:anchor>
        </w:drawing>
      </w: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widowControl/>
        <w:spacing w:beforeLines="50" w:afterLines="50"/>
        <w:jc w:val="center"/>
        <w:outlineLvl w:val="2"/>
        <w:rPr>
          <w:rFonts w:ascii="黑体" w:eastAsia="黑体"/>
          <w:kern w:val="0"/>
          <w:szCs w:val="21"/>
        </w:rPr>
      </w:pPr>
      <w:r>
        <w:rPr>
          <w:rFonts w:hint="eastAsia" w:ascii="黑体" w:eastAsia="黑体"/>
          <w:kern w:val="0"/>
          <w:szCs w:val="21"/>
        </w:rPr>
        <w:t>图</w:t>
      </w:r>
      <w:r>
        <w:rPr>
          <w:rFonts w:ascii="黑体" w:eastAsia="黑体"/>
          <w:kern w:val="0"/>
          <w:szCs w:val="21"/>
        </w:rPr>
        <w:t>3</w:t>
      </w:r>
      <w:r>
        <w:rPr>
          <w:rFonts w:hint="eastAsia" w:ascii="黑体" w:eastAsia="黑体"/>
          <w:kern w:val="0"/>
          <w:szCs w:val="21"/>
        </w:rPr>
        <w:t>{11-20}弱束衍射模式</w:t>
      </w:r>
    </w:p>
    <w:p>
      <w:pPr>
        <w:widowControl/>
        <w:spacing w:beforeLines="50" w:afterLines="50"/>
        <w:jc w:val="center"/>
        <w:outlineLvl w:val="2"/>
        <w:rPr>
          <w:rFonts w:ascii="黑体" w:eastAsia="黑体"/>
          <w:kern w:val="0"/>
          <w:szCs w:val="21"/>
        </w:rPr>
      </w:pPr>
      <w:r>
        <w:rPr>
          <w:rFonts w:hint="eastAsia" w:ascii="黑体" w:eastAsia="黑体"/>
          <w:kern w:val="0"/>
          <w:szCs w:val="21"/>
        </w:rPr>
        <w:drawing>
          <wp:anchor distT="0" distB="0" distL="114300" distR="114300" simplePos="0" relativeHeight="251672576" behindDoc="0" locked="0" layoutInCell="1" allowOverlap="1">
            <wp:simplePos x="0" y="0"/>
            <wp:positionH relativeFrom="column">
              <wp:posOffset>1714500</wp:posOffset>
            </wp:positionH>
            <wp:positionV relativeFrom="paragraph">
              <wp:posOffset>92710</wp:posOffset>
            </wp:positionV>
            <wp:extent cx="2512695" cy="25920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800" cy="2592000"/>
                    </a:xfrm>
                    <a:prstGeom prst="rect">
                      <a:avLst/>
                    </a:prstGeom>
                    <a:noFill/>
                    <a:ln>
                      <a:noFill/>
                    </a:ln>
                  </pic:spPr>
                </pic:pic>
              </a:graphicData>
            </a:graphic>
          </wp:anchor>
        </w:drawing>
      </w: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bookmarkStart w:id="28" w:name="_GoBack"/>
      <w:bookmarkEnd w:id="28"/>
    </w:p>
    <w:p>
      <w:pPr>
        <w:pStyle w:val="58"/>
        <w:numPr>
          <w:ilvl w:val="0"/>
          <w:numId w:val="0"/>
        </w:numPr>
        <w:ind w:left="839" w:hanging="419"/>
        <w:jc w:val="center"/>
        <w:rPr>
          <w:b/>
          <w:sz w:val="28"/>
          <w:szCs w:val="28"/>
        </w:rPr>
      </w:pPr>
    </w:p>
    <w:p>
      <w:pPr>
        <w:widowControl/>
        <w:spacing w:beforeLines="50" w:afterLines="50"/>
        <w:jc w:val="center"/>
        <w:outlineLvl w:val="2"/>
        <w:rPr>
          <w:rFonts w:ascii="黑体" w:eastAsia="黑体"/>
          <w:kern w:val="0"/>
          <w:szCs w:val="21"/>
        </w:rPr>
      </w:pPr>
      <w:r>
        <w:rPr>
          <w:rFonts w:hint="eastAsia" w:ascii="黑体" w:eastAsia="黑体"/>
          <w:kern w:val="0"/>
          <w:szCs w:val="21"/>
        </w:rPr>
        <w:t>图</w:t>
      </w:r>
      <w:r>
        <w:rPr>
          <w:rFonts w:ascii="黑体" w:eastAsia="黑体"/>
          <w:kern w:val="0"/>
          <w:szCs w:val="21"/>
        </w:rPr>
        <w:t>4</w:t>
      </w:r>
      <w:r>
        <w:rPr>
          <w:rFonts w:hint="eastAsia" w:ascii="黑体" w:eastAsia="黑体"/>
          <w:kern w:val="0"/>
          <w:szCs w:val="21"/>
        </w:rPr>
        <w:t>{11-20}弱束暗场成像</w:t>
      </w:r>
    </w:p>
    <w:p>
      <w:pPr>
        <w:pStyle w:val="58"/>
        <w:numPr>
          <w:ilvl w:val="0"/>
          <w:numId w:val="0"/>
        </w:numPr>
        <w:ind w:left="839" w:hanging="419"/>
        <w:jc w:val="center"/>
        <w:rPr>
          <w:b/>
          <w:sz w:val="28"/>
          <w:szCs w:val="28"/>
        </w:rPr>
      </w:pPr>
    </w:p>
    <w:p>
      <w:pPr>
        <w:pStyle w:val="58"/>
        <w:numPr>
          <w:ilvl w:val="0"/>
          <w:numId w:val="0"/>
        </w:numPr>
        <w:ind w:left="839" w:hanging="419"/>
        <w:jc w:val="center"/>
        <w:rPr>
          <w:b/>
          <w:sz w:val="28"/>
          <w:szCs w:val="28"/>
        </w:rPr>
      </w:pPr>
      <w:r>
        <w:rPr>
          <w:sz w:val="28"/>
        </w:rPr>
        <w:pict>
          <v:line id="_x0000_s1033" o:spid="_x0000_s1033" o:spt="20" style="position:absolute;left:0pt;margin-left:143.05pt;margin-top:10.65pt;height:0.05pt;width:197.15pt;z-index:251673600;mso-width-relative:page;mso-height-relative:page;" fillcolor="#FFFFFF" filled="t" stroked="t" coordsize="21600,21600">
            <v:path arrowok="t"/>
            <v:fill on="t" color2="#FFFFFF" focussize="0,0"/>
            <v:stroke color="#000000"/>
            <v:imagedata o:title=""/>
            <o:lock v:ext="edit" aspectratio="f"/>
          </v:line>
        </w:pict>
      </w:r>
    </w:p>
    <w:bookmarkEnd w:id="25"/>
    <w:bookmarkEnd w:id="26"/>
    <w:bookmarkEnd w:id="27"/>
    <w:p>
      <w:pPr>
        <w:pStyle w:val="128"/>
        <w:framePr w:wrap="around"/>
      </w:pPr>
    </w:p>
    <w:p>
      <w:pPr>
        <w:pStyle w:val="128"/>
        <w:framePr w:wrap="around"/>
      </w:pPr>
    </w:p>
    <w:p>
      <w:pPr>
        <w:pStyle w:val="128"/>
        <w:framePr w:wrap="around"/>
      </w:pPr>
    </w:p>
    <w:sectPr>
      <w:headerReference r:id="rId5" w:type="default"/>
      <w:footerReference r:id="rId6" w:type="default"/>
      <w:pgSz w:w="11906" w:h="16838"/>
      <w:pgMar w:top="567" w:right="1134" w:bottom="1134" w:left="1417" w:header="1134" w:footer="1020"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suff w:val="nothing"/>
      <w:lvlText w:val="%1   "/>
      <w:lvlJc w:val="left"/>
      <w:pPr>
        <w:ind w:left="2806"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945"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23C424E"/>
    <w:multiLevelType w:val="multilevel"/>
    <w:tmpl w:val="423C424E"/>
    <w:lvl w:ilvl="0" w:tentative="0">
      <w:start w:val="1"/>
      <w:numFmt w:val="lowerLetter"/>
      <w:lvlText w:val="%1)"/>
      <w:lvlJc w:val="left"/>
      <w:pPr>
        <w:ind w:left="765" w:hanging="360"/>
      </w:pPr>
      <w:rPr>
        <w:rFonts w:hint="default" w:ascii="宋体" w:hAnsi="宋体" w:eastAsia="宋体"/>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0">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5"/>
      <w:suff w:val="nothing"/>
      <w:lvlText w:val="表%1　"/>
      <w:lvlJc w:val="left"/>
      <w:pPr>
        <w:ind w:left="4678" w:firstLine="0"/>
      </w:pPr>
      <w:rPr>
        <w:rFonts w:hint="eastAsia" w:ascii="黑体" w:hAnsi="Times New Roman" w:eastAsia="黑体"/>
        <w:b w:val="0"/>
        <w:i w:val="0"/>
        <w:sz w:val="21"/>
        <w:lang w:val="en-US"/>
      </w:rPr>
    </w:lvl>
    <w:lvl w:ilvl="1" w:tentative="0">
      <w:start w:val="1"/>
      <w:numFmt w:val="decimal"/>
      <w:lvlText w:val="%1.%2"/>
      <w:lvlJc w:val="left"/>
      <w:pPr>
        <w:tabs>
          <w:tab w:val="left" w:pos="0"/>
        </w:tabs>
        <w:ind w:left="0" w:hanging="567"/>
      </w:pPr>
      <w:rPr>
        <w:rFonts w:hint="eastAsia"/>
      </w:rPr>
    </w:lvl>
    <w:lvl w:ilvl="2" w:tentative="0">
      <w:start w:val="1"/>
      <w:numFmt w:val="decimal"/>
      <w:lvlText w:val="%1.%2.%3"/>
      <w:lvlJc w:val="left"/>
      <w:pPr>
        <w:tabs>
          <w:tab w:val="left" w:pos="426"/>
        </w:tabs>
        <w:ind w:left="426" w:hanging="567"/>
      </w:pPr>
      <w:rPr>
        <w:rFonts w:hint="eastAsia"/>
      </w:rPr>
    </w:lvl>
    <w:lvl w:ilvl="3" w:tentative="0">
      <w:start w:val="1"/>
      <w:numFmt w:val="decimal"/>
      <w:lvlText w:val="%1.%2.%3.%4"/>
      <w:lvlJc w:val="left"/>
      <w:pPr>
        <w:tabs>
          <w:tab w:val="left" w:pos="992"/>
        </w:tabs>
        <w:ind w:left="992" w:hanging="708"/>
      </w:pPr>
      <w:rPr>
        <w:rFonts w:hint="eastAsia"/>
      </w:rPr>
    </w:lvl>
    <w:lvl w:ilvl="4" w:tentative="0">
      <w:start w:val="1"/>
      <w:numFmt w:val="decimal"/>
      <w:lvlText w:val="%1.%2.%3.%4.%5"/>
      <w:lvlJc w:val="left"/>
      <w:pPr>
        <w:tabs>
          <w:tab w:val="left" w:pos="1559"/>
        </w:tabs>
        <w:ind w:left="1559" w:hanging="850"/>
      </w:pPr>
      <w:rPr>
        <w:rFonts w:hint="eastAsia"/>
      </w:rPr>
    </w:lvl>
    <w:lvl w:ilvl="5" w:tentative="0">
      <w:start w:val="1"/>
      <w:numFmt w:val="decimal"/>
      <w:lvlText w:val="%1.%2.%3.%4.%5.%6"/>
      <w:lvlJc w:val="left"/>
      <w:pPr>
        <w:tabs>
          <w:tab w:val="left" w:pos="2268"/>
        </w:tabs>
        <w:ind w:left="2268" w:hanging="1134"/>
      </w:pPr>
      <w:rPr>
        <w:rFonts w:hint="eastAsia"/>
      </w:rPr>
    </w:lvl>
    <w:lvl w:ilvl="6" w:tentative="0">
      <w:start w:val="1"/>
      <w:numFmt w:val="decimal"/>
      <w:lvlText w:val="%1.%2.%3.%4.%5.%6.%7"/>
      <w:lvlJc w:val="left"/>
      <w:pPr>
        <w:tabs>
          <w:tab w:val="left" w:pos="2835"/>
        </w:tabs>
        <w:ind w:left="2835" w:hanging="1276"/>
      </w:pPr>
      <w:rPr>
        <w:rFonts w:hint="eastAsia"/>
      </w:rPr>
    </w:lvl>
    <w:lvl w:ilvl="7" w:tentative="0">
      <w:start w:val="1"/>
      <w:numFmt w:val="decimal"/>
      <w:lvlText w:val="%1.%2.%3.%4.%5.%6.%7.%8"/>
      <w:lvlJc w:val="left"/>
      <w:pPr>
        <w:tabs>
          <w:tab w:val="left" w:pos="3402"/>
        </w:tabs>
        <w:ind w:left="3402" w:hanging="1418"/>
      </w:pPr>
      <w:rPr>
        <w:rFonts w:hint="eastAsia"/>
      </w:rPr>
    </w:lvl>
    <w:lvl w:ilvl="8" w:tentative="0">
      <w:start w:val="1"/>
      <w:numFmt w:val="decimal"/>
      <w:lvlText w:val="%1.%2.%3.%4.%5.%6.%7.%8.%9"/>
      <w:lvlJc w:val="left"/>
      <w:pPr>
        <w:tabs>
          <w:tab w:val="left" w:pos="4110"/>
        </w:tabs>
        <w:ind w:left="4110" w:hanging="1700"/>
      </w:pPr>
      <w:rPr>
        <w:rFonts w:hint="eastAsia"/>
      </w:rPr>
    </w:lvl>
  </w:abstractNum>
  <w:abstractNum w:abstractNumId="15">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3"/>
  </w:num>
  <w:num w:numId="3">
    <w:abstractNumId w:val="5"/>
  </w:num>
  <w:num w:numId="4">
    <w:abstractNumId w:val="7"/>
  </w:num>
  <w:num w:numId="5">
    <w:abstractNumId w:val="2"/>
  </w:num>
  <w:num w:numId="6">
    <w:abstractNumId w:val="10"/>
  </w:num>
  <w:num w:numId="7">
    <w:abstractNumId w:val="17"/>
  </w:num>
  <w:num w:numId="8">
    <w:abstractNumId w:val="0"/>
  </w:num>
  <w:num w:numId="9">
    <w:abstractNumId w:val="11"/>
  </w:num>
  <w:num w:numId="10">
    <w:abstractNumId w:val="4"/>
  </w:num>
  <w:num w:numId="11">
    <w:abstractNumId w:val="15"/>
  </w:num>
  <w:num w:numId="12">
    <w:abstractNumId w:val="13"/>
  </w:num>
  <w:num w:numId="13">
    <w:abstractNumId w:val="16"/>
  </w:num>
  <w:num w:numId="14">
    <w:abstractNumId w:val="6"/>
  </w:num>
  <w:num w:numId="15">
    <w:abstractNumId w:val="1"/>
  </w:num>
  <w:num w:numId="16">
    <w:abstractNumId w:val="1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xNDk3ZWFkNmRhNWE5ODMzNzE5OTQxMTA3M2NjZDkifQ=="/>
  </w:docVars>
  <w:rsids>
    <w:rsidRoot w:val="00035925"/>
    <w:rsid w:val="00000244"/>
    <w:rsid w:val="0000185F"/>
    <w:rsid w:val="0000586F"/>
    <w:rsid w:val="00006CE8"/>
    <w:rsid w:val="00010A0E"/>
    <w:rsid w:val="00013697"/>
    <w:rsid w:val="00013D86"/>
    <w:rsid w:val="00013E02"/>
    <w:rsid w:val="00014E66"/>
    <w:rsid w:val="0002143C"/>
    <w:rsid w:val="00021E3D"/>
    <w:rsid w:val="0002554A"/>
    <w:rsid w:val="00025A65"/>
    <w:rsid w:val="00026C31"/>
    <w:rsid w:val="00027268"/>
    <w:rsid w:val="00027280"/>
    <w:rsid w:val="000320A7"/>
    <w:rsid w:val="000324DD"/>
    <w:rsid w:val="00034B03"/>
    <w:rsid w:val="00035925"/>
    <w:rsid w:val="000374AB"/>
    <w:rsid w:val="00041F80"/>
    <w:rsid w:val="00044B18"/>
    <w:rsid w:val="00050485"/>
    <w:rsid w:val="0005069D"/>
    <w:rsid w:val="00051B41"/>
    <w:rsid w:val="000661F2"/>
    <w:rsid w:val="00067CDF"/>
    <w:rsid w:val="00067F82"/>
    <w:rsid w:val="00074FBE"/>
    <w:rsid w:val="0008165C"/>
    <w:rsid w:val="00083A09"/>
    <w:rsid w:val="00084EF1"/>
    <w:rsid w:val="0009005E"/>
    <w:rsid w:val="00092857"/>
    <w:rsid w:val="00094D75"/>
    <w:rsid w:val="000A0474"/>
    <w:rsid w:val="000A20A9"/>
    <w:rsid w:val="000A248C"/>
    <w:rsid w:val="000A48B1"/>
    <w:rsid w:val="000A52B1"/>
    <w:rsid w:val="000B03FA"/>
    <w:rsid w:val="000B3143"/>
    <w:rsid w:val="000B45D3"/>
    <w:rsid w:val="000C509B"/>
    <w:rsid w:val="000C5834"/>
    <w:rsid w:val="000C6B05"/>
    <w:rsid w:val="000C6DD6"/>
    <w:rsid w:val="000C73D4"/>
    <w:rsid w:val="000C765F"/>
    <w:rsid w:val="000D3839"/>
    <w:rsid w:val="000D3AF4"/>
    <w:rsid w:val="000D3D4C"/>
    <w:rsid w:val="000D4F51"/>
    <w:rsid w:val="000D5118"/>
    <w:rsid w:val="000D5273"/>
    <w:rsid w:val="000D608D"/>
    <w:rsid w:val="000D718B"/>
    <w:rsid w:val="000D734D"/>
    <w:rsid w:val="000E0C46"/>
    <w:rsid w:val="000E2299"/>
    <w:rsid w:val="000E7750"/>
    <w:rsid w:val="000F030C"/>
    <w:rsid w:val="000F129C"/>
    <w:rsid w:val="000F4498"/>
    <w:rsid w:val="000F47A3"/>
    <w:rsid w:val="000F517C"/>
    <w:rsid w:val="000F5929"/>
    <w:rsid w:val="001000F4"/>
    <w:rsid w:val="00104568"/>
    <w:rsid w:val="001056DE"/>
    <w:rsid w:val="00105BA3"/>
    <w:rsid w:val="00110E88"/>
    <w:rsid w:val="001124C0"/>
    <w:rsid w:val="00121BF2"/>
    <w:rsid w:val="001222FA"/>
    <w:rsid w:val="001223BA"/>
    <w:rsid w:val="001253C1"/>
    <w:rsid w:val="0012762E"/>
    <w:rsid w:val="001304BD"/>
    <w:rsid w:val="0013175F"/>
    <w:rsid w:val="00133054"/>
    <w:rsid w:val="00134C3C"/>
    <w:rsid w:val="001414C5"/>
    <w:rsid w:val="001420BE"/>
    <w:rsid w:val="00147399"/>
    <w:rsid w:val="001512B4"/>
    <w:rsid w:val="001521B7"/>
    <w:rsid w:val="00152233"/>
    <w:rsid w:val="00156D0C"/>
    <w:rsid w:val="001573CD"/>
    <w:rsid w:val="001620A5"/>
    <w:rsid w:val="001636E3"/>
    <w:rsid w:val="00164E53"/>
    <w:rsid w:val="0016699D"/>
    <w:rsid w:val="00170527"/>
    <w:rsid w:val="00171930"/>
    <w:rsid w:val="00173081"/>
    <w:rsid w:val="00173A81"/>
    <w:rsid w:val="00175159"/>
    <w:rsid w:val="00175567"/>
    <w:rsid w:val="00176208"/>
    <w:rsid w:val="00176858"/>
    <w:rsid w:val="0018211B"/>
    <w:rsid w:val="001840D3"/>
    <w:rsid w:val="00186007"/>
    <w:rsid w:val="001900F8"/>
    <w:rsid w:val="001903D3"/>
    <w:rsid w:val="00191258"/>
    <w:rsid w:val="00192680"/>
    <w:rsid w:val="00193037"/>
    <w:rsid w:val="00193A2C"/>
    <w:rsid w:val="00197911"/>
    <w:rsid w:val="001A2868"/>
    <w:rsid w:val="001A288E"/>
    <w:rsid w:val="001A29F3"/>
    <w:rsid w:val="001A50F2"/>
    <w:rsid w:val="001A6C6A"/>
    <w:rsid w:val="001B0721"/>
    <w:rsid w:val="001B28F2"/>
    <w:rsid w:val="001B3805"/>
    <w:rsid w:val="001B55AF"/>
    <w:rsid w:val="001B6DC2"/>
    <w:rsid w:val="001C133E"/>
    <w:rsid w:val="001C149C"/>
    <w:rsid w:val="001C21AC"/>
    <w:rsid w:val="001C378E"/>
    <w:rsid w:val="001C3C68"/>
    <w:rsid w:val="001C47BA"/>
    <w:rsid w:val="001C59EA"/>
    <w:rsid w:val="001D0412"/>
    <w:rsid w:val="001D0D67"/>
    <w:rsid w:val="001D1A98"/>
    <w:rsid w:val="001D406C"/>
    <w:rsid w:val="001D41EE"/>
    <w:rsid w:val="001D44E7"/>
    <w:rsid w:val="001D533B"/>
    <w:rsid w:val="001E0380"/>
    <w:rsid w:val="001E122F"/>
    <w:rsid w:val="001E13B1"/>
    <w:rsid w:val="001F3A19"/>
    <w:rsid w:val="001F4170"/>
    <w:rsid w:val="001F6AF7"/>
    <w:rsid w:val="00202EA7"/>
    <w:rsid w:val="002034A2"/>
    <w:rsid w:val="00206764"/>
    <w:rsid w:val="00206BD0"/>
    <w:rsid w:val="00215CAC"/>
    <w:rsid w:val="002167EB"/>
    <w:rsid w:val="00222B73"/>
    <w:rsid w:val="002241EB"/>
    <w:rsid w:val="00226121"/>
    <w:rsid w:val="00233B5D"/>
    <w:rsid w:val="00234467"/>
    <w:rsid w:val="00237D8D"/>
    <w:rsid w:val="00241DA2"/>
    <w:rsid w:val="00243622"/>
    <w:rsid w:val="00247FEE"/>
    <w:rsid w:val="00250E7D"/>
    <w:rsid w:val="002517EB"/>
    <w:rsid w:val="00254C74"/>
    <w:rsid w:val="002565D5"/>
    <w:rsid w:val="002575EB"/>
    <w:rsid w:val="002622C0"/>
    <w:rsid w:val="002626FF"/>
    <w:rsid w:val="002651D5"/>
    <w:rsid w:val="002651F4"/>
    <w:rsid w:val="00274625"/>
    <w:rsid w:val="002751D9"/>
    <w:rsid w:val="002778AE"/>
    <w:rsid w:val="002820D6"/>
    <w:rsid w:val="0028269A"/>
    <w:rsid w:val="00283590"/>
    <w:rsid w:val="00285B7E"/>
    <w:rsid w:val="00285FFF"/>
    <w:rsid w:val="00286079"/>
    <w:rsid w:val="00286973"/>
    <w:rsid w:val="00291D39"/>
    <w:rsid w:val="00292B5A"/>
    <w:rsid w:val="00294E70"/>
    <w:rsid w:val="002978AF"/>
    <w:rsid w:val="002A1924"/>
    <w:rsid w:val="002A7420"/>
    <w:rsid w:val="002B0F12"/>
    <w:rsid w:val="002B1308"/>
    <w:rsid w:val="002B1DC9"/>
    <w:rsid w:val="002B4554"/>
    <w:rsid w:val="002B7494"/>
    <w:rsid w:val="002C4CDB"/>
    <w:rsid w:val="002C72D8"/>
    <w:rsid w:val="002D11FA"/>
    <w:rsid w:val="002D5075"/>
    <w:rsid w:val="002E0DDF"/>
    <w:rsid w:val="002E1952"/>
    <w:rsid w:val="002E2906"/>
    <w:rsid w:val="002E3C25"/>
    <w:rsid w:val="002E5635"/>
    <w:rsid w:val="002E64C3"/>
    <w:rsid w:val="002E6A2C"/>
    <w:rsid w:val="002F12A9"/>
    <w:rsid w:val="002F1D8C"/>
    <w:rsid w:val="002F1DF4"/>
    <w:rsid w:val="002F21DA"/>
    <w:rsid w:val="002F6DF2"/>
    <w:rsid w:val="00301B25"/>
    <w:rsid w:val="00301F39"/>
    <w:rsid w:val="00303B17"/>
    <w:rsid w:val="0030456B"/>
    <w:rsid w:val="003061D1"/>
    <w:rsid w:val="003206DE"/>
    <w:rsid w:val="003224F9"/>
    <w:rsid w:val="00324583"/>
    <w:rsid w:val="00325926"/>
    <w:rsid w:val="003266A5"/>
    <w:rsid w:val="00327A8A"/>
    <w:rsid w:val="00331660"/>
    <w:rsid w:val="00335195"/>
    <w:rsid w:val="00335A62"/>
    <w:rsid w:val="00336610"/>
    <w:rsid w:val="0033680A"/>
    <w:rsid w:val="00342DB8"/>
    <w:rsid w:val="00342F04"/>
    <w:rsid w:val="00342F87"/>
    <w:rsid w:val="00343F73"/>
    <w:rsid w:val="00345060"/>
    <w:rsid w:val="00352AD8"/>
    <w:rsid w:val="0035323B"/>
    <w:rsid w:val="00353422"/>
    <w:rsid w:val="003542C1"/>
    <w:rsid w:val="003546EF"/>
    <w:rsid w:val="00355FEA"/>
    <w:rsid w:val="003609D2"/>
    <w:rsid w:val="00363F22"/>
    <w:rsid w:val="00372082"/>
    <w:rsid w:val="00375564"/>
    <w:rsid w:val="00380C64"/>
    <w:rsid w:val="00383191"/>
    <w:rsid w:val="003838FC"/>
    <w:rsid w:val="0038524E"/>
    <w:rsid w:val="00386DED"/>
    <w:rsid w:val="003912E7"/>
    <w:rsid w:val="00393947"/>
    <w:rsid w:val="00393AFA"/>
    <w:rsid w:val="00393C10"/>
    <w:rsid w:val="00394BBA"/>
    <w:rsid w:val="003A019C"/>
    <w:rsid w:val="003A0387"/>
    <w:rsid w:val="003A2275"/>
    <w:rsid w:val="003A6A4F"/>
    <w:rsid w:val="003A7088"/>
    <w:rsid w:val="003B00DF"/>
    <w:rsid w:val="003B0C48"/>
    <w:rsid w:val="003B1275"/>
    <w:rsid w:val="003B1778"/>
    <w:rsid w:val="003B3E1E"/>
    <w:rsid w:val="003B6EB4"/>
    <w:rsid w:val="003C11CB"/>
    <w:rsid w:val="003C2758"/>
    <w:rsid w:val="003C495C"/>
    <w:rsid w:val="003C75F3"/>
    <w:rsid w:val="003C78A3"/>
    <w:rsid w:val="003D1E27"/>
    <w:rsid w:val="003D1ECC"/>
    <w:rsid w:val="003D2B6D"/>
    <w:rsid w:val="003E1867"/>
    <w:rsid w:val="003E4168"/>
    <w:rsid w:val="003E5729"/>
    <w:rsid w:val="003E6B7B"/>
    <w:rsid w:val="003F033A"/>
    <w:rsid w:val="003F1E3D"/>
    <w:rsid w:val="003F4EE0"/>
    <w:rsid w:val="00402153"/>
    <w:rsid w:val="00402DB3"/>
    <w:rsid w:val="00402FC1"/>
    <w:rsid w:val="00406163"/>
    <w:rsid w:val="00410A00"/>
    <w:rsid w:val="00413589"/>
    <w:rsid w:val="00415E93"/>
    <w:rsid w:val="00417093"/>
    <w:rsid w:val="00417B82"/>
    <w:rsid w:val="00425082"/>
    <w:rsid w:val="00430EFA"/>
    <w:rsid w:val="00431DEB"/>
    <w:rsid w:val="004330D0"/>
    <w:rsid w:val="0043480B"/>
    <w:rsid w:val="004365C2"/>
    <w:rsid w:val="00436AF0"/>
    <w:rsid w:val="00437CBF"/>
    <w:rsid w:val="004406E4"/>
    <w:rsid w:val="00442201"/>
    <w:rsid w:val="004448A4"/>
    <w:rsid w:val="0044526C"/>
    <w:rsid w:val="004452C5"/>
    <w:rsid w:val="00446B29"/>
    <w:rsid w:val="00453F9A"/>
    <w:rsid w:val="00457051"/>
    <w:rsid w:val="00457F37"/>
    <w:rsid w:val="004611C5"/>
    <w:rsid w:val="0046202C"/>
    <w:rsid w:val="004702F7"/>
    <w:rsid w:val="00470B7D"/>
    <w:rsid w:val="00471E91"/>
    <w:rsid w:val="004745BF"/>
    <w:rsid w:val="00474675"/>
    <w:rsid w:val="0047470C"/>
    <w:rsid w:val="0047595F"/>
    <w:rsid w:val="00481BD8"/>
    <w:rsid w:val="0049296B"/>
    <w:rsid w:val="00494638"/>
    <w:rsid w:val="00495B6E"/>
    <w:rsid w:val="0049692D"/>
    <w:rsid w:val="004A01C7"/>
    <w:rsid w:val="004A128C"/>
    <w:rsid w:val="004A35F9"/>
    <w:rsid w:val="004A6815"/>
    <w:rsid w:val="004B24C1"/>
    <w:rsid w:val="004B395D"/>
    <w:rsid w:val="004B78E4"/>
    <w:rsid w:val="004C292F"/>
    <w:rsid w:val="004C6664"/>
    <w:rsid w:val="004C67D1"/>
    <w:rsid w:val="004D2824"/>
    <w:rsid w:val="004D4505"/>
    <w:rsid w:val="004D5A86"/>
    <w:rsid w:val="004D614F"/>
    <w:rsid w:val="004E599A"/>
    <w:rsid w:val="004E74F2"/>
    <w:rsid w:val="004F59D9"/>
    <w:rsid w:val="00501D15"/>
    <w:rsid w:val="0050290F"/>
    <w:rsid w:val="00503242"/>
    <w:rsid w:val="00503B38"/>
    <w:rsid w:val="00506D82"/>
    <w:rsid w:val="00510280"/>
    <w:rsid w:val="00511E8F"/>
    <w:rsid w:val="00513D73"/>
    <w:rsid w:val="00514A43"/>
    <w:rsid w:val="00515E9C"/>
    <w:rsid w:val="005174E5"/>
    <w:rsid w:val="00517D8D"/>
    <w:rsid w:val="005201C1"/>
    <w:rsid w:val="0052125F"/>
    <w:rsid w:val="00522393"/>
    <w:rsid w:val="00522620"/>
    <w:rsid w:val="00525656"/>
    <w:rsid w:val="005259BC"/>
    <w:rsid w:val="00527F51"/>
    <w:rsid w:val="00532422"/>
    <w:rsid w:val="00534C02"/>
    <w:rsid w:val="00541822"/>
    <w:rsid w:val="0054264B"/>
    <w:rsid w:val="00543786"/>
    <w:rsid w:val="00550AE4"/>
    <w:rsid w:val="005533D7"/>
    <w:rsid w:val="00553C06"/>
    <w:rsid w:val="00557A56"/>
    <w:rsid w:val="00561AA2"/>
    <w:rsid w:val="00562C46"/>
    <w:rsid w:val="00564002"/>
    <w:rsid w:val="00566480"/>
    <w:rsid w:val="005703DE"/>
    <w:rsid w:val="00571C63"/>
    <w:rsid w:val="0057214A"/>
    <w:rsid w:val="005841A0"/>
    <w:rsid w:val="0058464E"/>
    <w:rsid w:val="005868EB"/>
    <w:rsid w:val="00594E08"/>
    <w:rsid w:val="00595FD2"/>
    <w:rsid w:val="005A01CB"/>
    <w:rsid w:val="005A1725"/>
    <w:rsid w:val="005A4C70"/>
    <w:rsid w:val="005A58FF"/>
    <w:rsid w:val="005A5EAF"/>
    <w:rsid w:val="005A64C0"/>
    <w:rsid w:val="005B193E"/>
    <w:rsid w:val="005B3C11"/>
    <w:rsid w:val="005B4BF9"/>
    <w:rsid w:val="005C07AB"/>
    <w:rsid w:val="005C1C28"/>
    <w:rsid w:val="005C60D8"/>
    <w:rsid w:val="005C6DB5"/>
    <w:rsid w:val="005D46EE"/>
    <w:rsid w:val="005D4753"/>
    <w:rsid w:val="005D62C9"/>
    <w:rsid w:val="005D6825"/>
    <w:rsid w:val="005E19E7"/>
    <w:rsid w:val="005E71D3"/>
    <w:rsid w:val="006052C8"/>
    <w:rsid w:val="0061509F"/>
    <w:rsid w:val="0061716C"/>
    <w:rsid w:val="006178DB"/>
    <w:rsid w:val="006211F5"/>
    <w:rsid w:val="00621282"/>
    <w:rsid w:val="006243A1"/>
    <w:rsid w:val="00624F08"/>
    <w:rsid w:val="006262C6"/>
    <w:rsid w:val="006305BF"/>
    <w:rsid w:val="00631AC8"/>
    <w:rsid w:val="00632D12"/>
    <w:rsid w:val="00632DA7"/>
    <w:rsid w:val="00632E56"/>
    <w:rsid w:val="00633D74"/>
    <w:rsid w:val="00633FBA"/>
    <w:rsid w:val="00635006"/>
    <w:rsid w:val="00635CBA"/>
    <w:rsid w:val="00641293"/>
    <w:rsid w:val="006415B6"/>
    <w:rsid w:val="00641953"/>
    <w:rsid w:val="0064338B"/>
    <w:rsid w:val="00646542"/>
    <w:rsid w:val="006478E6"/>
    <w:rsid w:val="006504F4"/>
    <w:rsid w:val="00654BC9"/>
    <w:rsid w:val="006552FD"/>
    <w:rsid w:val="0066006E"/>
    <w:rsid w:val="00663AF3"/>
    <w:rsid w:val="00666B6C"/>
    <w:rsid w:val="0067274D"/>
    <w:rsid w:val="00676C36"/>
    <w:rsid w:val="00681C3C"/>
    <w:rsid w:val="00682682"/>
    <w:rsid w:val="00682702"/>
    <w:rsid w:val="00683939"/>
    <w:rsid w:val="00686359"/>
    <w:rsid w:val="00686B4A"/>
    <w:rsid w:val="00686E67"/>
    <w:rsid w:val="00691A54"/>
    <w:rsid w:val="00692368"/>
    <w:rsid w:val="006927A1"/>
    <w:rsid w:val="00696661"/>
    <w:rsid w:val="00697F49"/>
    <w:rsid w:val="006A2EBC"/>
    <w:rsid w:val="006A2EE0"/>
    <w:rsid w:val="006A52D8"/>
    <w:rsid w:val="006A5EA0"/>
    <w:rsid w:val="006A783B"/>
    <w:rsid w:val="006A7B33"/>
    <w:rsid w:val="006B4E13"/>
    <w:rsid w:val="006B6587"/>
    <w:rsid w:val="006B75DD"/>
    <w:rsid w:val="006C2E70"/>
    <w:rsid w:val="006C4CAE"/>
    <w:rsid w:val="006C585B"/>
    <w:rsid w:val="006C58F9"/>
    <w:rsid w:val="006C5C8C"/>
    <w:rsid w:val="006C67E0"/>
    <w:rsid w:val="006C6FD9"/>
    <w:rsid w:val="006C772B"/>
    <w:rsid w:val="006C7AB7"/>
    <w:rsid w:val="006C7ABA"/>
    <w:rsid w:val="006D03B1"/>
    <w:rsid w:val="006D0D60"/>
    <w:rsid w:val="006D1122"/>
    <w:rsid w:val="006D364C"/>
    <w:rsid w:val="006D3C00"/>
    <w:rsid w:val="006D7BF3"/>
    <w:rsid w:val="006E3675"/>
    <w:rsid w:val="006E48E1"/>
    <w:rsid w:val="006E4A7F"/>
    <w:rsid w:val="006E4CE1"/>
    <w:rsid w:val="006E593F"/>
    <w:rsid w:val="006E7AF1"/>
    <w:rsid w:val="006F0FDB"/>
    <w:rsid w:val="006F162D"/>
    <w:rsid w:val="006F2B97"/>
    <w:rsid w:val="006F45CE"/>
    <w:rsid w:val="006F4EC0"/>
    <w:rsid w:val="00700011"/>
    <w:rsid w:val="0070050E"/>
    <w:rsid w:val="00700B49"/>
    <w:rsid w:val="007010C8"/>
    <w:rsid w:val="00704DF6"/>
    <w:rsid w:val="00704E3C"/>
    <w:rsid w:val="0070651C"/>
    <w:rsid w:val="0070676E"/>
    <w:rsid w:val="007132A3"/>
    <w:rsid w:val="00716421"/>
    <w:rsid w:val="00716DE7"/>
    <w:rsid w:val="00721B96"/>
    <w:rsid w:val="00724EFB"/>
    <w:rsid w:val="00725656"/>
    <w:rsid w:val="00725BC3"/>
    <w:rsid w:val="00727994"/>
    <w:rsid w:val="007419C3"/>
    <w:rsid w:val="0074285D"/>
    <w:rsid w:val="007467A7"/>
    <w:rsid w:val="007469DD"/>
    <w:rsid w:val="0074741B"/>
    <w:rsid w:val="0074755C"/>
    <w:rsid w:val="0074759E"/>
    <w:rsid w:val="007478EA"/>
    <w:rsid w:val="007502E2"/>
    <w:rsid w:val="0075415C"/>
    <w:rsid w:val="00757C68"/>
    <w:rsid w:val="0076101A"/>
    <w:rsid w:val="00761511"/>
    <w:rsid w:val="00763502"/>
    <w:rsid w:val="0076739C"/>
    <w:rsid w:val="00767CAD"/>
    <w:rsid w:val="0077338C"/>
    <w:rsid w:val="00773BC9"/>
    <w:rsid w:val="00776429"/>
    <w:rsid w:val="00781E69"/>
    <w:rsid w:val="007824F6"/>
    <w:rsid w:val="00784B64"/>
    <w:rsid w:val="00785944"/>
    <w:rsid w:val="00785CD6"/>
    <w:rsid w:val="007913AB"/>
    <w:rsid w:val="007914F7"/>
    <w:rsid w:val="00792261"/>
    <w:rsid w:val="00795DD2"/>
    <w:rsid w:val="00797BD2"/>
    <w:rsid w:val="007A03A4"/>
    <w:rsid w:val="007A0F55"/>
    <w:rsid w:val="007A46B2"/>
    <w:rsid w:val="007A778D"/>
    <w:rsid w:val="007B1625"/>
    <w:rsid w:val="007B226C"/>
    <w:rsid w:val="007B706E"/>
    <w:rsid w:val="007B71EB"/>
    <w:rsid w:val="007C2CD3"/>
    <w:rsid w:val="007C4173"/>
    <w:rsid w:val="007C6205"/>
    <w:rsid w:val="007C686A"/>
    <w:rsid w:val="007C728E"/>
    <w:rsid w:val="007C734B"/>
    <w:rsid w:val="007D0F2B"/>
    <w:rsid w:val="007D2C53"/>
    <w:rsid w:val="007D3D60"/>
    <w:rsid w:val="007E1980"/>
    <w:rsid w:val="007E4B76"/>
    <w:rsid w:val="007E5EA8"/>
    <w:rsid w:val="007F0CF1"/>
    <w:rsid w:val="007F12A5"/>
    <w:rsid w:val="007F35C6"/>
    <w:rsid w:val="007F4CF1"/>
    <w:rsid w:val="007F7357"/>
    <w:rsid w:val="007F758D"/>
    <w:rsid w:val="007F7D52"/>
    <w:rsid w:val="0080131A"/>
    <w:rsid w:val="00802385"/>
    <w:rsid w:val="0080654C"/>
    <w:rsid w:val="008071C6"/>
    <w:rsid w:val="0081262A"/>
    <w:rsid w:val="00817A00"/>
    <w:rsid w:val="00817B8F"/>
    <w:rsid w:val="008275A5"/>
    <w:rsid w:val="00827D90"/>
    <w:rsid w:val="00835DB3"/>
    <w:rsid w:val="0083617B"/>
    <w:rsid w:val="008370B6"/>
    <w:rsid w:val="008371BD"/>
    <w:rsid w:val="00837CDC"/>
    <w:rsid w:val="00842C8F"/>
    <w:rsid w:val="00843D21"/>
    <w:rsid w:val="008447DF"/>
    <w:rsid w:val="008457C0"/>
    <w:rsid w:val="00846348"/>
    <w:rsid w:val="008504A8"/>
    <w:rsid w:val="0085282E"/>
    <w:rsid w:val="00854AC9"/>
    <w:rsid w:val="00866838"/>
    <w:rsid w:val="00870700"/>
    <w:rsid w:val="0087198C"/>
    <w:rsid w:val="00872C1F"/>
    <w:rsid w:val="00873A73"/>
    <w:rsid w:val="00873B42"/>
    <w:rsid w:val="00877E71"/>
    <w:rsid w:val="0088561E"/>
    <w:rsid w:val="008856D8"/>
    <w:rsid w:val="00890027"/>
    <w:rsid w:val="0089195F"/>
    <w:rsid w:val="00892E82"/>
    <w:rsid w:val="00897A9E"/>
    <w:rsid w:val="008A3ADE"/>
    <w:rsid w:val="008A6FC5"/>
    <w:rsid w:val="008B1961"/>
    <w:rsid w:val="008B47C2"/>
    <w:rsid w:val="008C0AA7"/>
    <w:rsid w:val="008C1B58"/>
    <w:rsid w:val="008C2954"/>
    <w:rsid w:val="008C39AE"/>
    <w:rsid w:val="008C5013"/>
    <w:rsid w:val="008C590D"/>
    <w:rsid w:val="008D0924"/>
    <w:rsid w:val="008D09E4"/>
    <w:rsid w:val="008D18B6"/>
    <w:rsid w:val="008D5AB1"/>
    <w:rsid w:val="008E031B"/>
    <w:rsid w:val="008E03C9"/>
    <w:rsid w:val="008E1DDB"/>
    <w:rsid w:val="008E7029"/>
    <w:rsid w:val="008E7EF6"/>
    <w:rsid w:val="008F1F98"/>
    <w:rsid w:val="008F2358"/>
    <w:rsid w:val="008F2C1C"/>
    <w:rsid w:val="008F2E06"/>
    <w:rsid w:val="008F6758"/>
    <w:rsid w:val="009040DD"/>
    <w:rsid w:val="00905B47"/>
    <w:rsid w:val="0091331C"/>
    <w:rsid w:val="00914D54"/>
    <w:rsid w:val="00915510"/>
    <w:rsid w:val="00915F70"/>
    <w:rsid w:val="009166D2"/>
    <w:rsid w:val="00920299"/>
    <w:rsid w:val="009245A7"/>
    <w:rsid w:val="00927691"/>
    <w:rsid w:val="009279DE"/>
    <w:rsid w:val="00930116"/>
    <w:rsid w:val="00933A54"/>
    <w:rsid w:val="009371C6"/>
    <w:rsid w:val="009379EB"/>
    <w:rsid w:val="009401E5"/>
    <w:rsid w:val="00940C04"/>
    <w:rsid w:val="0094212C"/>
    <w:rsid w:val="009439C2"/>
    <w:rsid w:val="00944627"/>
    <w:rsid w:val="009476F4"/>
    <w:rsid w:val="00951D7F"/>
    <w:rsid w:val="00952365"/>
    <w:rsid w:val="00952AEE"/>
    <w:rsid w:val="00954410"/>
    <w:rsid w:val="00954689"/>
    <w:rsid w:val="009613E7"/>
    <w:rsid w:val="009617C9"/>
    <w:rsid w:val="00961C93"/>
    <w:rsid w:val="00964CE5"/>
    <w:rsid w:val="00965324"/>
    <w:rsid w:val="0097091E"/>
    <w:rsid w:val="00970D1E"/>
    <w:rsid w:val="009760D3"/>
    <w:rsid w:val="00977132"/>
    <w:rsid w:val="00981A4B"/>
    <w:rsid w:val="00982501"/>
    <w:rsid w:val="009859FB"/>
    <w:rsid w:val="00985EB3"/>
    <w:rsid w:val="009877D3"/>
    <w:rsid w:val="0099342C"/>
    <w:rsid w:val="00994589"/>
    <w:rsid w:val="00994E8F"/>
    <w:rsid w:val="009951DC"/>
    <w:rsid w:val="009959BB"/>
    <w:rsid w:val="0099672B"/>
    <w:rsid w:val="00997158"/>
    <w:rsid w:val="009A3A7C"/>
    <w:rsid w:val="009B2ADB"/>
    <w:rsid w:val="009B3795"/>
    <w:rsid w:val="009B4A3D"/>
    <w:rsid w:val="009B587D"/>
    <w:rsid w:val="009B603A"/>
    <w:rsid w:val="009B6702"/>
    <w:rsid w:val="009C2D0E"/>
    <w:rsid w:val="009C3DAC"/>
    <w:rsid w:val="009C42E0"/>
    <w:rsid w:val="009D1054"/>
    <w:rsid w:val="009D10B1"/>
    <w:rsid w:val="009D332A"/>
    <w:rsid w:val="009D5362"/>
    <w:rsid w:val="009D6971"/>
    <w:rsid w:val="009E1415"/>
    <w:rsid w:val="009E236E"/>
    <w:rsid w:val="009E6116"/>
    <w:rsid w:val="009F31D6"/>
    <w:rsid w:val="009F44B3"/>
    <w:rsid w:val="00A00304"/>
    <w:rsid w:val="00A02E43"/>
    <w:rsid w:val="00A03212"/>
    <w:rsid w:val="00A05700"/>
    <w:rsid w:val="00A065F9"/>
    <w:rsid w:val="00A07F34"/>
    <w:rsid w:val="00A14C31"/>
    <w:rsid w:val="00A20C2F"/>
    <w:rsid w:val="00A22154"/>
    <w:rsid w:val="00A25C38"/>
    <w:rsid w:val="00A261D9"/>
    <w:rsid w:val="00A3115E"/>
    <w:rsid w:val="00A34047"/>
    <w:rsid w:val="00A35DF5"/>
    <w:rsid w:val="00A36BBE"/>
    <w:rsid w:val="00A4307A"/>
    <w:rsid w:val="00A44F06"/>
    <w:rsid w:val="00A47EBB"/>
    <w:rsid w:val="00A51CDD"/>
    <w:rsid w:val="00A521AF"/>
    <w:rsid w:val="00A5302E"/>
    <w:rsid w:val="00A53E33"/>
    <w:rsid w:val="00A54762"/>
    <w:rsid w:val="00A5489A"/>
    <w:rsid w:val="00A566C9"/>
    <w:rsid w:val="00A60E7F"/>
    <w:rsid w:val="00A620F3"/>
    <w:rsid w:val="00A6730D"/>
    <w:rsid w:val="00A70888"/>
    <w:rsid w:val="00A71625"/>
    <w:rsid w:val="00A71B9B"/>
    <w:rsid w:val="00A751C7"/>
    <w:rsid w:val="00A81618"/>
    <w:rsid w:val="00A85114"/>
    <w:rsid w:val="00A87844"/>
    <w:rsid w:val="00A912DF"/>
    <w:rsid w:val="00A94B7F"/>
    <w:rsid w:val="00AA038C"/>
    <w:rsid w:val="00AA3B0F"/>
    <w:rsid w:val="00AA58E7"/>
    <w:rsid w:val="00AA7A09"/>
    <w:rsid w:val="00AB07EF"/>
    <w:rsid w:val="00AB3B50"/>
    <w:rsid w:val="00AB5565"/>
    <w:rsid w:val="00AC05B1"/>
    <w:rsid w:val="00AC3602"/>
    <w:rsid w:val="00AC5039"/>
    <w:rsid w:val="00AC6059"/>
    <w:rsid w:val="00AD356C"/>
    <w:rsid w:val="00AD45D1"/>
    <w:rsid w:val="00AD56D0"/>
    <w:rsid w:val="00AD6802"/>
    <w:rsid w:val="00AE2914"/>
    <w:rsid w:val="00AE4604"/>
    <w:rsid w:val="00AE4F59"/>
    <w:rsid w:val="00AE6D15"/>
    <w:rsid w:val="00AF01D7"/>
    <w:rsid w:val="00AF1BA2"/>
    <w:rsid w:val="00AF1CE7"/>
    <w:rsid w:val="00AF5CAE"/>
    <w:rsid w:val="00B029BC"/>
    <w:rsid w:val="00B04182"/>
    <w:rsid w:val="00B07AE3"/>
    <w:rsid w:val="00B11430"/>
    <w:rsid w:val="00B231D2"/>
    <w:rsid w:val="00B353EB"/>
    <w:rsid w:val="00B37767"/>
    <w:rsid w:val="00B439C4"/>
    <w:rsid w:val="00B4535E"/>
    <w:rsid w:val="00B461E3"/>
    <w:rsid w:val="00B462E6"/>
    <w:rsid w:val="00B52A8C"/>
    <w:rsid w:val="00B55E0F"/>
    <w:rsid w:val="00B636A8"/>
    <w:rsid w:val="00B65647"/>
    <w:rsid w:val="00B65B18"/>
    <w:rsid w:val="00B664DE"/>
    <w:rsid w:val="00B665C6"/>
    <w:rsid w:val="00B67AC2"/>
    <w:rsid w:val="00B76EBD"/>
    <w:rsid w:val="00B805AF"/>
    <w:rsid w:val="00B805EC"/>
    <w:rsid w:val="00B869EC"/>
    <w:rsid w:val="00B9397A"/>
    <w:rsid w:val="00B9633D"/>
    <w:rsid w:val="00BA2EBE"/>
    <w:rsid w:val="00BB0F28"/>
    <w:rsid w:val="00BB458A"/>
    <w:rsid w:val="00BB7117"/>
    <w:rsid w:val="00BC279D"/>
    <w:rsid w:val="00BC7E04"/>
    <w:rsid w:val="00BD00D3"/>
    <w:rsid w:val="00BD1659"/>
    <w:rsid w:val="00BD3AA9"/>
    <w:rsid w:val="00BD4A18"/>
    <w:rsid w:val="00BD56C8"/>
    <w:rsid w:val="00BD651A"/>
    <w:rsid w:val="00BD6DB2"/>
    <w:rsid w:val="00BE08EB"/>
    <w:rsid w:val="00BE11CF"/>
    <w:rsid w:val="00BE1E39"/>
    <w:rsid w:val="00BE21AB"/>
    <w:rsid w:val="00BE41DB"/>
    <w:rsid w:val="00BE5188"/>
    <w:rsid w:val="00BE55CB"/>
    <w:rsid w:val="00BF0525"/>
    <w:rsid w:val="00BF617A"/>
    <w:rsid w:val="00C0379D"/>
    <w:rsid w:val="00C03931"/>
    <w:rsid w:val="00C05FE3"/>
    <w:rsid w:val="00C20D36"/>
    <w:rsid w:val="00C2136D"/>
    <w:rsid w:val="00C214EE"/>
    <w:rsid w:val="00C2314B"/>
    <w:rsid w:val="00C24971"/>
    <w:rsid w:val="00C26BE5"/>
    <w:rsid w:val="00C26E4D"/>
    <w:rsid w:val="00C27909"/>
    <w:rsid w:val="00C27B03"/>
    <w:rsid w:val="00C27B56"/>
    <w:rsid w:val="00C30F69"/>
    <w:rsid w:val="00C314E1"/>
    <w:rsid w:val="00C31C93"/>
    <w:rsid w:val="00C34397"/>
    <w:rsid w:val="00C367B5"/>
    <w:rsid w:val="00C36A27"/>
    <w:rsid w:val="00C370E2"/>
    <w:rsid w:val="00C4095D"/>
    <w:rsid w:val="00C4420C"/>
    <w:rsid w:val="00C458B8"/>
    <w:rsid w:val="00C53D8A"/>
    <w:rsid w:val="00C601D2"/>
    <w:rsid w:val="00C61A7A"/>
    <w:rsid w:val="00C64F77"/>
    <w:rsid w:val="00C657AB"/>
    <w:rsid w:val="00C65BCC"/>
    <w:rsid w:val="00C66970"/>
    <w:rsid w:val="00C66AAB"/>
    <w:rsid w:val="00C737AE"/>
    <w:rsid w:val="00C81178"/>
    <w:rsid w:val="00C8691C"/>
    <w:rsid w:val="00CA168A"/>
    <w:rsid w:val="00CA357E"/>
    <w:rsid w:val="00CA44F9"/>
    <w:rsid w:val="00CA4A69"/>
    <w:rsid w:val="00CA56D0"/>
    <w:rsid w:val="00CB0D8F"/>
    <w:rsid w:val="00CB1C36"/>
    <w:rsid w:val="00CB250C"/>
    <w:rsid w:val="00CB489C"/>
    <w:rsid w:val="00CB50E9"/>
    <w:rsid w:val="00CC3E0C"/>
    <w:rsid w:val="00CC58D3"/>
    <w:rsid w:val="00CC637D"/>
    <w:rsid w:val="00CC6E5A"/>
    <w:rsid w:val="00CC784D"/>
    <w:rsid w:val="00CE13AA"/>
    <w:rsid w:val="00CF237C"/>
    <w:rsid w:val="00D009C8"/>
    <w:rsid w:val="00D02624"/>
    <w:rsid w:val="00D0337B"/>
    <w:rsid w:val="00D046BF"/>
    <w:rsid w:val="00D052DB"/>
    <w:rsid w:val="00D079B2"/>
    <w:rsid w:val="00D100DE"/>
    <w:rsid w:val="00D114E9"/>
    <w:rsid w:val="00D1187D"/>
    <w:rsid w:val="00D133A6"/>
    <w:rsid w:val="00D13BCE"/>
    <w:rsid w:val="00D149EF"/>
    <w:rsid w:val="00D14F4A"/>
    <w:rsid w:val="00D151CF"/>
    <w:rsid w:val="00D21875"/>
    <w:rsid w:val="00D22937"/>
    <w:rsid w:val="00D25EC2"/>
    <w:rsid w:val="00D32BDE"/>
    <w:rsid w:val="00D40771"/>
    <w:rsid w:val="00D41411"/>
    <w:rsid w:val="00D429C6"/>
    <w:rsid w:val="00D47748"/>
    <w:rsid w:val="00D47ADA"/>
    <w:rsid w:val="00D5116F"/>
    <w:rsid w:val="00D54CC3"/>
    <w:rsid w:val="00D567B0"/>
    <w:rsid w:val="00D5711D"/>
    <w:rsid w:val="00D6041A"/>
    <w:rsid w:val="00D633EB"/>
    <w:rsid w:val="00D74718"/>
    <w:rsid w:val="00D80591"/>
    <w:rsid w:val="00D82FF7"/>
    <w:rsid w:val="00D847FE"/>
    <w:rsid w:val="00D85366"/>
    <w:rsid w:val="00D9502B"/>
    <w:rsid w:val="00D964EA"/>
    <w:rsid w:val="00D966D0"/>
    <w:rsid w:val="00DA02AF"/>
    <w:rsid w:val="00DA086D"/>
    <w:rsid w:val="00DA0B16"/>
    <w:rsid w:val="00DA0C59"/>
    <w:rsid w:val="00DA18FE"/>
    <w:rsid w:val="00DA3991"/>
    <w:rsid w:val="00DA4B1E"/>
    <w:rsid w:val="00DA7C87"/>
    <w:rsid w:val="00DB1D30"/>
    <w:rsid w:val="00DB688B"/>
    <w:rsid w:val="00DB75D9"/>
    <w:rsid w:val="00DB7E6C"/>
    <w:rsid w:val="00DC131C"/>
    <w:rsid w:val="00DC69C7"/>
    <w:rsid w:val="00DC7C7E"/>
    <w:rsid w:val="00DD06C2"/>
    <w:rsid w:val="00DD5A29"/>
    <w:rsid w:val="00DD5D9D"/>
    <w:rsid w:val="00DE35CB"/>
    <w:rsid w:val="00DE4E3F"/>
    <w:rsid w:val="00DE6F09"/>
    <w:rsid w:val="00DF21E9"/>
    <w:rsid w:val="00E0064B"/>
    <w:rsid w:val="00E00F14"/>
    <w:rsid w:val="00E06386"/>
    <w:rsid w:val="00E0787A"/>
    <w:rsid w:val="00E11C68"/>
    <w:rsid w:val="00E12EF5"/>
    <w:rsid w:val="00E24EB4"/>
    <w:rsid w:val="00E2630B"/>
    <w:rsid w:val="00E277D7"/>
    <w:rsid w:val="00E27EFB"/>
    <w:rsid w:val="00E320ED"/>
    <w:rsid w:val="00E33AFB"/>
    <w:rsid w:val="00E34218"/>
    <w:rsid w:val="00E37F34"/>
    <w:rsid w:val="00E40772"/>
    <w:rsid w:val="00E41A7D"/>
    <w:rsid w:val="00E46282"/>
    <w:rsid w:val="00E478A4"/>
    <w:rsid w:val="00E506A2"/>
    <w:rsid w:val="00E5216E"/>
    <w:rsid w:val="00E57775"/>
    <w:rsid w:val="00E67839"/>
    <w:rsid w:val="00E7237A"/>
    <w:rsid w:val="00E77E78"/>
    <w:rsid w:val="00E82344"/>
    <w:rsid w:val="00E84C82"/>
    <w:rsid w:val="00E84D64"/>
    <w:rsid w:val="00E87408"/>
    <w:rsid w:val="00E914C4"/>
    <w:rsid w:val="00E934F5"/>
    <w:rsid w:val="00E955DB"/>
    <w:rsid w:val="00E95AFD"/>
    <w:rsid w:val="00E96961"/>
    <w:rsid w:val="00EA4083"/>
    <w:rsid w:val="00EA72EC"/>
    <w:rsid w:val="00EB11CB"/>
    <w:rsid w:val="00EB275A"/>
    <w:rsid w:val="00EB53A1"/>
    <w:rsid w:val="00EB786A"/>
    <w:rsid w:val="00EC0914"/>
    <w:rsid w:val="00EC0920"/>
    <w:rsid w:val="00EC1578"/>
    <w:rsid w:val="00EC1C72"/>
    <w:rsid w:val="00EC3CC9"/>
    <w:rsid w:val="00EC511A"/>
    <w:rsid w:val="00EC5A41"/>
    <w:rsid w:val="00EC680A"/>
    <w:rsid w:val="00EC6BBE"/>
    <w:rsid w:val="00ED01F2"/>
    <w:rsid w:val="00ED27B1"/>
    <w:rsid w:val="00ED2ECF"/>
    <w:rsid w:val="00ED4A44"/>
    <w:rsid w:val="00EE2BED"/>
    <w:rsid w:val="00EE374B"/>
    <w:rsid w:val="00EE7B35"/>
    <w:rsid w:val="00EF192B"/>
    <w:rsid w:val="00EF2D71"/>
    <w:rsid w:val="00EF3358"/>
    <w:rsid w:val="00EF60DA"/>
    <w:rsid w:val="00EF7E96"/>
    <w:rsid w:val="00F0100B"/>
    <w:rsid w:val="00F02EF1"/>
    <w:rsid w:val="00F04C4C"/>
    <w:rsid w:val="00F055D7"/>
    <w:rsid w:val="00F11BB5"/>
    <w:rsid w:val="00F1417B"/>
    <w:rsid w:val="00F14814"/>
    <w:rsid w:val="00F1533A"/>
    <w:rsid w:val="00F165FD"/>
    <w:rsid w:val="00F2437B"/>
    <w:rsid w:val="00F2675F"/>
    <w:rsid w:val="00F34B99"/>
    <w:rsid w:val="00F35EBE"/>
    <w:rsid w:val="00F363F5"/>
    <w:rsid w:val="00F36FEA"/>
    <w:rsid w:val="00F44361"/>
    <w:rsid w:val="00F467B7"/>
    <w:rsid w:val="00F519F3"/>
    <w:rsid w:val="00F52DAB"/>
    <w:rsid w:val="00F543F0"/>
    <w:rsid w:val="00F5690D"/>
    <w:rsid w:val="00F56A96"/>
    <w:rsid w:val="00F57220"/>
    <w:rsid w:val="00F61BE4"/>
    <w:rsid w:val="00F67824"/>
    <w:rsid w:val="00F70FB6"/>
    <w:rsid w:val="00F81763"/>
    <w:rsid w:val="00F81D29"/>
    <w:rsid w:val="00F82FA7"/>
    <w:rsid w:val="00F917B2"/>
    <w:rsid w:val="00F91C4D"/>
    <w:rsid w:val="00F92FD9"/>
    <w:rsid w:val="00F93887"/>
    <w:rsid w:val="00F96AA6"/>
    <w:rsid w:val="00FA2A9D"/>
    <w:rsid w:val="00FA4B10"/>
    <w:rsid w:val="00FA4F68"/>
    <w:rsid w:val="00FA6684"/>
    <w:rsid w:val="00FA731E"/>
    <w:rsid w:val="00FB2B38"/>
    <w:rsid w:val="00FB4014"/>
    <w:rsid w:val="00FB65D7"/>
    <w:rsid w:val="00FC0296"/>
    <w:rsid w:val="00FC358B"/>
    <w:rsid w:val="00FC6358"/>
    <w:rsid w:val="00FC6A98"/>
    <w:rsid w:val="00FD0706"/>
    <w:rsid w:val="00FD320D"/>
    <w:rsid w:val="00FE23DE"/>
    <w:rsid w:val="00FE26DC"/>
    <w:rsid w:val="00FE4E3F"/>
    <w:rsid w:val="00FF0CB6"/>
    <w:rsid w:val="00FF5C3E"/>
    <w:rsid w:val="00FF6E33"/>
    <w:rsid w:val="25B04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59"/>
    <w:qFormat/>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qFormat/>
    <w:uiPriority w:val="0"/>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cs="Times New Roman" w:eastAsiaTheme="minorEastAsia"/>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60"/>
    <w:qFormat/>
    <w:uiPriority w:val="0"/>
    <w:rPr>
      <w:b/>
      <w:bCs/>
    </w:rPr>
  </w:style>
  <w:style w:type="table" w:styleId="32">
    <w:name w:val="Table Grid"/>
    <w:basedOn w:val="31"/>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qFormat/>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0"/>
    <w:rPr>
      <w:color w:val="0000FF"/>
      <w:spacing w:val="0"/>
      <w:w w:val="100"/>
      <w:szCs w:val="21"/>
      <w:u w:val="single"/>
    </w:rPr>
  </w:style>
  <w:style w:type="character" w:styleId="38">
    <w:name w:val="annotation reference"/>
    <w:qFormat/>
    <w:uiPriority w:val="0"/>
    <w:rPr>
      <w:sz w:val="21"/>
      <w:szCs w:val="21"/>
    </w:rPr>
  </w:style>
  <w:style w:type="character" w:styleId="39">
    <w:name w:val="footnote reference"/>
    <w:semiHidden/>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link w:val="148"/>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uiPriority w:val="0"/>
    <w:pPr>
      <w:spacing w:before="120"/>
      <w:ind w:right="198"/>
      <w:jc w:val="right"/>
    </w:pPr>
    <w:rPr>
      <w:rFonts w:ascii="宋体" w:hAnsi="Times New Roman" w:cs="Times New Roman" w:eastAsiaTheme="minorEastAsia"/>
      <w:sz w:val="18"/>
      <w:szCs w:val="18"/>
      <w:lang w:val="en-US" w:eastAsia="zh-CN" w:bidi="ar-SA"/>
    </w:rPr>
  </w:style>
  <w:style w:type="paragraph" w:customStyle="1" w:styleId="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link w:val="143"/>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link w:val="156"/>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4"/>
      </w:numPr>
      <w:jc w:val="both"/>
    </w:pPr>
    <w:rPr>
      <w:rFonts w:ascii="宋体" w:hAnsi="Times New Roman" w:cs="Times New Roman" w:eastAsiaTheme="minorEastAsia"/>
      <w:sz w:val="21"/>
      <w:lang w:val="en-US" w:eastAsia="zh-CN" w:bidi="ar-SA"/>
    </w:rPr>
  </w:style>
  <w:style w:type="paragraph" w:customStyle="1" w:styleId="48">
    <w:name w:val="列项●（二级）"/>
    <w:qFormat/>
    <w:uiPriority w:val="0"/>
    <w:pPr>
      <w:numPr>
        <w:ilvl w:val="1"/>
        <w:numId w:val="4"/>
      </w:numPr>
      <w:tabs>
        <w:tab w:val="left" w:pos="840"/>
      </w:tabs>
      <w:jc w:val="both"/>
    </w:pPr>
    <w:rPr>
      <w:rFonts w:ascii="宋体" w:hAnsi="Times New Roman" w:cs="Times New Roman" w:eastAsiaTheme="minorEastAsia"/>
      <w:sz w:val="21"/>
      <w:lang w:val="en-US" w:eastAsia="zh-CN" w:bidi="ar-SA"/>
    </w:rPr>
  </w:style>
  <w:style w:type="paragraph" w:customStyle="1" w:styleId="49">
    <w:name w:val="目次、标准名称标题"/>
    <w:basedOn w:val="1"/>
    <w:next w:val="22"/>
    <w:link w:val="14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uiPriority w:val="0"/>
    <w:pPr>
      <w:numPr>
        <w:ilvl w:val="3"/>
      </w:numPr>
      <w:outlineLvl w:val="4"/>
    </w:pPr>
  </w:style>
  <w:style w:type="paragraph" w:customStyle="1" w:styleId="51">
    <w:name w:val="示例"/>
    <w:next w:val="52"/>
    <w:qFormat/>
    <w:uiPriority w:val="0"/>
    <w:pPr>
      <w:widowControl w:val="0"/>
      <w:numPr>
        <w:ilvl w:val="0"/>
        <w:numId w:val="5"/>
      </w:numPr>
      <w:jc w:val="both"/>
    </w:pPr>
    <w:rPr>
      <w:rFonts w:ascii="宋体" w:hAnsi="Times New Roman" w:cs="Times New Roman" w:eastAsiaTheme="minorEastAsia"/>
      <w:sz w:val="18"/>
      <w:szCs w:val="18"/>
      <w:lang w:val="en-US" w:eastAsia="zh-CN" w:bidi="ar-SA"/>
    </w:rPr>
  </w:style>
  <w:style w:type="paragraph" w:customStyle="1" w:styleId="52">
    <w:name w:val="示例内容"/>
    <w:qFormat/>
    <w:uiPriority w:val="0"/>
    <w:pPr>
      <w:ind w:firstLine="200" w:firstLineChars="200"/>
    </w:pPr>
    <w:rPr>
      <w:rFonts w:ascii="宋体" w:hAnsi="Times New Roman" w:cs="Times New Roman" w:eastAsiaTheme="minorEastAsia"/>
      <w:sz w:val="18"/>
      <w:szCs w:val="18"/>
      <w:lang w:val="en-US" w:eastAsia="zh-CN" w:bidi="ar-SA"/>
    </w:rPr>
  </w:style>
  <w:style w:type="paragraph" w:customStyle="1" w:styleId="53">
    <w:name w:val="数字编号列项（二级）"/>
    <w:qFormat/>
    <w:uiPriority w:val="0"/>
    <w:pPr>
      <w:numPr>
        <w:ilvl w:val="1"/>
        <w:numId w:val="6"/>
      </w:numPr>
      <w:jc w:val="both"/>
    </w:pPr>
    <w:rPr>
      <w:rFonts w:ascii="宋体" w:hAnsi="Times New Roman" w:cs="Times New Roman" w:eastAsiaTheme="minorEastAsia"/>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7"/>
      </w:numPr>
      <w:autoSpaceDE w:val="0"/>
      <w:autoSpaceDN w:val="0"/>
      <w:jc w:val="both"/>
    </w:pPr>
    <w:rPr>
      <w:rFonts w:ascii="宋体" w:hAnsi="Times New Roman" w:cs="Times New Roman" w:eastAsiaTheme="minorEastAsia"/>
      <w:sz w:val="18"/>
      <w:szCs w:val="18"/>
      <w:lang w:val="en-US" w:eastAsia="zh-CN" w:bidi="ar-SA"/>
    </w:rPr>
  </w:style>
  <w:style w:type="paragraph" w:customStyle="1" w:styleId="57">
    <w:name w:val="注×："/>
    <w:qFormat/>
    <w:uiPriority w:val="0"/>
    <w:pPr>
      <w:widowControl w:val="0"/>
      <w:numPr>
        <w:ilvl w:val="0"/>
        <w:numId w:val="8"/>
      </w:numPr>
      <w:autoSpaceDE w:val="0"/>
      <w:autoSpaceDN w:val="0"/>
      <w:jc w:val="both"/>
    </w:pPr>
    <w:rPr>
      <w:rFonts w:ascii="宋体" w:hAnsi="Times New Roman" w:cs="Times New Roman" w:eastAsiaTheme="minorEastAsia"/>
      <w:sz w:val="18"/>
      <w:szCs w:val="18"/>
      <w:lang w:val="en-US" w:eastAsia="zh-CN" w:bidi="ar-SA"/>
    </w:rPr>
  </w:style>
  <w:style w:type="paragraph" w:customStyle="1" w:styleId="58">
    <w:name w:val="字母编号列项（一级）"/>
    <w:uiPriority w:val="0"/>
    <w:pPr>
      <w:numPr>
        <w:ilvl w:val="0"/>
        <w:numId w:val="6"/>
      </w:numPr>
      <w:jc w:val="both"/>
    </w:pPr>
    <w:rPr>
      <w:rFonts w:ascii="宋体" w:hAnsi="Times New Roman" w:cs="Times New Roman" w:eastAsiaTheme="minorEastAsia"/>
      <w:sz w:val="21"/>
      <w:lang w:val="en-US" w:eastAsia="zh-CN" w:bidi="ar-SA"/>
    </w:rPr>
  </w:style>
  <w:style w:type="paragraph" w:customStyle="1" w:styleId="59">
    <w:name w:val="列项◆（三级）"/>
    <w:basedOn w:val="1"/>
    <w:qFormat/>
    <w:uiPriority w:val="0"/>
    <w:pPr>
      <w:numPr>
        <w:ilvl w:val="2"/>
        <w:numId w:val="4"/>
      </w:numPr>
    </w:pPr>
    <w:rPr>
      <w:rFonts w:ascii="宋体"/>
      <w:szCs w:val="21"/>
    </w:rPr>
  </w:style>
  <w:style w:type="paragraph" w:customStyle="1" w:styleId="60">
    <w:name w:val="编号列项（三级）"/>
    <w:qFormat/>
    <w:uiPriority w:val="0"/>
    <w:pPr>
      <w:numPr>
        <w:ilvl w:val="2"/>
        <w:numId w:val="6"/>
      </w:numPr>
    </w:pPr>
    <w:rPr>
      <w:rFonts w:ascii="宋体" w:hAnsi="Times New Roman" w:cs="Times New Roman" w:eastAsiaTheme="minorEastAsia"/>
      <w:sz w:val="21"/>
      <w:lang w:val="en-US" w:eastAsia="zh-CN" w:bidi="ar-SA"/>
    </w:rPr>
  </w:style>
  <w:style w:type="paragraph" w:customStyle="1" w:styleId="61">
    <w:name w:val="示例×："/>
    <w:basedOn w:val="44"/>
    <w:qFormat/>
    <w:uiPriority w:val="0"/>
    <w:pPr>
      <w:numPr>
        <w:numId w:val="9"/>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2"/>
    <w:qFormat/>
    <w:uiPriority w:val="0"/>
  </w:style>
  <w:style w:type="paragraph" w:customStyle="1" w:styleId="64">
    <w:name w:val="注×：（正文）"/>
    <w:qFormat/>
    <w:uiPriority w:val="0"/>
    <w:pPr>
      <w:numPr>
        <w:ilvl w:val="0"/>
        <w:numId w:val="10"/>
      </w:numPr>
      <w:jc w:val="both"/>
    </w:pPr>
    <w:rPr>
      <w:rFonts w:ascii="宋体" w:hAnsi="Times New Roman" w:cs="Times New Roman" w:eastAsiaTheme="minorEastAsia"/>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cs="Times New Roman" w:eastAsiaTheme="minorEastAsia"/>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cs="Times New Roman" w:eastAsiaTheme="minorEastAsia"/>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cs="Times New Roman" w:eastAsiaTheme="minorEastAsia"/>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cs="Times New Roman" w:eastAsiaTheme="minorEastAsia"/>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cs="Times New Roman" w:eastAsiaTheme="minorEastAsia"/>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cs="Times New Roman" w:eastAsiaTheme="minorEastAsia"/>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cs="Times New Roman" w:eastAsiaTheme="minorEastAsia"/>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cs="Times New Roman" w:eastAsiaTheme="minorEastAsia"/>
      <w:lang w:val="en-US" w:eastAsia="zh-CN" w:bidi="ar-SA"/>
    </w:rPr>
  </w:style>
  <w:style w:type="paragraph" w:customStyle="1" w:styleId="83">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cs="Times New Roman" w:eastAsiaTheme="minorEastAsia"/>
      <w:sz w:val="21"/>
      <w:lang w:val="en-US" w:eastAsia="zh-CN" w:bidi="ar-SA"/>
    </w:rPr>
  </w:style>
  <w:style w:type="paragraph" w:customStyle="1" w:styleId="95">
    <w:name w:val="附录四级条标题"/>
    <w:basedOn w:val="92"/>
    <w:next w:val="22"/>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uiPriority w:val="0"/>
    <w:pPr>
      <w:tabs>
        <w:tab w:val="clear" w:pos="360"/>
      </w:tabs>
      <w:spacing w:beforeLines="0" w:afterLines="0"/>
    </w:pPr>
    <w:rPr>
      <w:rFonts w:ascii="宋体" w:eastAsia="宋体"/>
      <w:szCs w:val="21"/>
    </w:rPr>
  </w:style>
  <w:style w:type="paragraph" w:customStyle="1" w:styleId="101">
    <w:name w:val="附录章标题"/>
    <w:next w:val="22"/>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uiPriority w:val="0"/>
    <w:pPr>
      <w:numPr>
        <w:ilvl w:val="2"/>
      </w:numPr>
      <w:autoSpaceDN w:val="0"/>
      <w:spacing w:beforeLines="50" w:afterLines="50"/>
      <w:outlineLvl w:val="2"/>
    </w:pPr>
  </w:style>
  <w:style w:type="paragraph" w:customStyle="1" w:styleId="103">
    <w:name w:val="附录一级无"/>
    <w:basedOn w:val="102"/>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cs="Times New Roman" w:eastAsiaTheme="minorEastAsia"/>
      <w:sz w:val="21"/>
      <w:lang w:val="en-US" w:eastAsia="zh-CN" w:bidi="ar-SA"/>
    </w:rPr>
  </w:style>
  <w:style w:type="paragraph" w:customStyle="1" w:styleId="105">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cs="Times New Roman" w:eastAsiaTheme="minorEastAsia"/>
      <w:sz w:val="21"/>
      <w:lang w:val="en-US" w:eastAsia="zh-CN" w:bidi="ar-SA"/>
    </w:rPr>
  </w:style>
  <w:style w:type="paragraph" w:customStyle="1" w:styleId="107">
    <w:name w:val="目次、索引正文"/>
    <w:uiPriority w:val="0"/>
    <w:pPr>
      <w:spacing w:line="320" w:lineRule="exact"/>
      <w:jc w:val="both"/>
    </w:pPr>
    <w:rPr>
      <w:rFonts w:ascii="宋体" w:hAnsi="Times New Roman" w:cs="Times New Roman" w:eastAsiaTheme="minorEastAsia"/>
      <w:sz w:val="21"/>
      <w:lang w:val="en-US" w:eastAsia="zh-CN" w:bidi="ar-SA"/>
    </w:rPr>
  </w:style>
  <w:style w:type="paragraph" w:customStyle="1" w:styleId="108">
    <w:name w:val="其他标准标志"/>
    <w:basedOn w:val="65"/>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uiPriority w:val="0"/>
    <w:pPr>
      <w:framePr w:wrap="around" w:y="15310"/>
      <w:spacing w:line="0" w:lineRule="atLeast"/>
    </w:pPr>
    <w:rPr>
      <w:rFonts w:ascii="黑体" w:eastAsia="黑体"/>
      <w:b w:val="0"/>
    </w:rPr>
  </w:style>
  <w:style w:type="paragraph" w:customStyle="1" w:styleId="111">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uiPriority w:val="0"/>
    <w:pPr>
      <w:spacing w:beforeLines="0" w:afterLines="0"/>
    </w:pPr>
    <w:rPr>
      <w:rFonts w:ascii="宋体" w:eastAsia="宋体"/>
    </w:rPr>
  </w:style>
  <w:style w:type="paragraph" w:customStyle="1" w:styleId="113">
    <w:name w:val="实施日期"/>
    <w:basedOn w:val="74"/>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5"/>
      </w:numPr>
      <w:tabs>
        <w:tab w:val="left" w:pos="360"/>
      </w:tabs>
      <w:ind w:firstLine="0"/>
    </w:pPr>
    <w:rPr>
      <w:rFonts w:ascii="宋体" w:hAnsi="宋体" w:cs="Times New Roman" w:eastAsiaTheme="minorEastAsia"/>
      <w:kern w:val="2"/>
      <w:sz w:val="18"/>
      <w:szCs w:val="18"/>
      <w:lang w:val="en-US" w:eastAsia="zh-CN" w:bidi="ar-SA"/>
    </w:rPr>
  </w:style>
  <w:style w:type="character" w:customStyle="1" w:styleId="116">
    <w:name w:val="首示例 Char"/>
    <w:link w:val="115"/>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uiPriority w:val="0"/>
    <w:pPr>
      <w:ind w:left="840" w:hanging="420" w:firstLineChars="0"/>
    </w:pPr>
    <w:rPr>
      <w:sz w:val="18"/>
      <w:szCs w:val="18"/>
    </w:rPr>
  </w:style>
  <w:style w:type="paragraph" w:customStyle="1" w:styleId="120">
    <w:name w:val="图表脚注说明"/>
    <w:basedOn w:val="1"/>
    <w:qFormat/>
    <w:uiPriority w:val="0"/>
    <w:pPr>
      <w:ind w:left="2806" w:hanging="181"/>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cs="Times New Roman" w:eastAsiaTheme="minorEastAsia"/>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uiPriority w:val="0"/>
    <w:pPr>
      <w:spacing w:beforeLines="0" w:afterLines="0"/>
    </w:pPr>
    <w:rPr>
      <w:rFonts w:ascii="宋体" w:eastAsia="宋体"/>
    </w:rPr>
  </w:style>
  <w:style w:type="paragraph" w:customStyle="1" w:styleId="124">
    <w:name w:val="一级无"/>
    <w:basedOn w:val="41"/>
    <w:uiPriority w:val="0"/>
    <w:pPr>
      <w:spacing w:beforeLines="0" w:afterLines="0"/>
    </w:pPr>
    <w:rPr>
      <w:rFonts w:ascii="宋体" w:eastAsia="宋体"/>
    </w:rPr>
  </w:style>
  <w:style w:type="paragraph" w:customStyle="1" w:styleId="125">
    <w:name w:val="正文表标题"/>
    <w:next w:val="22"/>
    <w:link w:val="151"/>
    <w:qFormat/>
    <w:uiPriority w:val="0"/>
    <w:pPr>
      <w:numPr>
        <w:ilvl w:val="0"/>
        <w:numId w:val="16"/>
      </w:numPr>
      <w:tabs>
        <w:tab w:val="left" w:pos="360"/>
      </w:tabs>
      <w:spacing w:beforeLines="50" w:afterLines="50"/>
      <w:ind w:left="3045"/>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table" w:customStyle="1" w:styleId="136">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HTML 编码"/>
    <w:qFormat/>
    <w:uiPriority w:val="0"/>
    <w:rPr>
      <w:rFonts w:ascii="Courier New" w:hAnsi="Courier New"/>
      <w:sz w:val="20"/>
      <w:szCs w:val="20"/>
    </w:rPr>
  </w:style>
  <w:style w:type="paragraph" w:customStyle="1" w:styleId="138">
    <w:name w:val="标准"/>
    <w:basedOn w:val="49"/>
    <w:link w:val="141"/>
    <w:qFormat/>
    <w:uiPriority w:val="0"/>
  </w:style>
  <w:style w:type="paragraph" w:customStyle="1" w:styleId="139">
    <w:name w:val="标准1"/>
    <w:basedOn w:val="44"/>
    <w:link w:val="144"/>
    <w:qFormat/>
    <w:uiPriority w:val="0"/>
  </w:style>
  <w:style w:type="character" w:customStyle="1" w:styleId="140">
    <w:name w:val="目次、标准名称标题 Char"/>
    <w:link w:val="49"/>
    <w:qFormat/>
    <w:uiPriority w:val="0"/>
    <w:rPr>
      <w:rFonts w:ascii="黑体" w:eastAsia="黑体"/>
      <w:sz w:val="32"/>
      <w:shd w:val="clear" w:color="FFFFFF" w:fill="FFFFFF"/>
    </w:rPr>
  </w:style>
  <w:style w:type="character" w:customStyle="1" w:styleId="141">
    <w:name w:val="标准 Char"/>
    <w:basedOn w:val="140"/>
    <w:link w:val="138"/>
    <w:qFormat/>
    <w:uiPriority w:val="0"/>
    <w:rPr>
      <w:rFonts w:ascii="黑体" w:eastAsia="黑体"/>
      <w:sz w:val="32"/>
      <w:shd w:val="clear" w:color="FFFFFF" w:fill="FFFFFF"/>
    </w:rPr>
  </w:style>
  <w:style w:type="paragraph" w:customStyle="1" w:styleId="142">
    <w:name w:val="标准正文"/>
    <w:basedOn w:val="22"/>
    <w:link w:val="146"/>
    <w:qFormat/>
    <w:uiPriority w:val="0"/>
  </w:style>
  <w:style w:type="character" w:customStyle="1" w:styleId="143">
    <w:name w:val="章标题 Char"/>
    <w:link w:val="44"/>
    <w:qFormat/>
    <w:uiPriority w:val="0"/>
    <w:rPr>
      <w:rFonts w:ascii="黑体" w:eastAsia="黑体"/>
      <w:sz w:val="21"/>
      <w:lang w:val="en-US" w:eastAsia="zh-CN" w:bidi="ar-SA"/>
    </w:rPr>
  </w:style>
  <w:style w:type="character" w:customStyle="1" w:styleId="144">
    <w:name w:val="标准1 Char"/>
    <w:basedOn w:val="143"/>
    <w:link w:val="139"/>
    <w:qFormat/>
    <w:uiPriority w:val="0"/>
    <w:rPr>
      <w:rFonts w:ascii="黑体" w:eastAsia="黑体"/>
      <w:sz w:val="21"/>
      <w:lang w:val="en-US" w:eastAsia="zh-CN" w:bidi="ar-SA"/>
    </w:rPr>
  </w:style>
  <w:style w:type="paragraph" w:customStyle="1" w:styleId="145">
    <w:name w:val="标准2"/>
    <w:basedOn w:val="41"/>
    <w:link w:val="149"/>
    <w:qFormat/>
    <w:uiPriority w:val="0"/>
  </w:style>
  <w:style w:type="character" w:customStyle="1" w:styleId="146">
    <w:name w:val="标准正文 Char"/>
    <w:basedOn w:val="40"/>
    <w:link w:val="142"/>
    <w:qFormat/>
    <w:uiPriority w:val="0"/>
    <w:rPr>
      <w:rFonts w:ascii="宋体"/>
      <w:sz w:val="21"/>
      <w:lang w:val="en-US" w:eastAsia="zh-CN" w:bidi="ar-SA"/>
    </w:rPr>
  </w:style>
  <w:style w:type="paragraph" w:customStyle="1" w:styleId="147">
    <w:name w:val="图表题"/>
    <w:basedOn w:val="125"/>
    <w:link w:val="152"/>
    <w:qFormat/>
    <w:uiPriority w:val="0"/>
    <w:pPr>
      <w:ind w:left="0"/>
    </w:pPr>
  </w:style>
  <w:style w:type="character" w:customStyle="1" w:styleId="148">
    <w:name w:val="一级条标题 Char"/>
    <w:link w:val="41"/>
    <w:qFormat/>
    <w:uiPriority w:val="0"/>
    <w:rPr>
      <w:rFonts w:ascii="黑体" w:eastAsia="黑体"/>
      <w:sz w:val="21"/>
      <w:szCs w:val="21"/>
      <w:lang w:val="en-US" w:eastAsia="zh-CN" w:bidi="ar-SA"/>
    </w:rPr>
  </w:style>
  <w:style w:type="character" w:customStyle="1" w:styleId="149">
    <w:name w:val="标准2 Char"/>
    <w:basedOn w:val="148"/>
    <w:link w:val="145"/>
    <w:qFormat/>
    <w:uiPriority w:val="0"/>
    <w:rPr>
      <w:rFonts w:ascii="黑体" w:eastAsia="黑体"/>
      <w:sz w:val="21"/>
      <w:szCs w:val="21"/>
      <w:lang w:val="en-US" w:eastAsia="zh-CN" w:bidi="ar-SA"/>
    </w:rPr>
  </w:style>
  <w:style w:type="paragraph" w:customStyle="1" w:styleId="150">
    <w:name w:val="表内容"/>
    <w:basedOn w:val="22"/>
    <w:link w:val="154"/>
    <w:qFormat/>
    <w:uiPriority w:val="0"/>
    <w:pPr>
      <w:ind w:left="-3" w:firstLine="0" w:firstLineChars="0"/>
      <w:jc w:val="center"/>
    </w:pPr>
    <w:rPr>
      <w:sz w:val="18"/>
      <w:szCs w:val="18"/>
    </w:rPr>
  </w:style>
  <w:style w:type="character" w:customStyle="1" w:styleId="151">
    <w:name w:val="正文表标题 Char"/>
    <w:link w:val="125"/>
    <w:qFormat/>
    <w:uiPriority w:val="0"/>
    <w:rPr>
      <w:rFonts w:ascii="黑体" w:eastAsia="黑体"/>
      <w:sz w:val="21"/>
      <w:lang w:val="en-US" w:eastAsia="zh-CN" w:bidi="ar-SA"/>
    </w:rPr>
  </w:style>
  <w:style w:type="character" w:customStyle="1" w:styleId="152">
    <w:name w:val="图表题 Char"/>
    <w:basedOn w:val="151"/>
    <w:link w:val="147"/>
    <w:qFormat/>
    <w:uiPriority w:val="0"/>
    <w:rPr>
      <w:rFonts w:ascii="黑体" w:eastAsia="黑体"/>
      <w:sz w:val="21"/>
      <w:lang w:val="en-US" w:eastAsia="zh-CN" w:bidi="ar-SA"/>
    </w:rPr>
  </w:style>
  <w:style w:type="paragraph" w:customStyle="1" w:styleId="153">
    <w:name w:val="标准3"/>
    <w:basedOn w:val="45"/>
    <w:link w:val="157"/>
    <w:qFormat/>
    <w:uiPriority w:val="0"/>
    <w:pPr>
      <w:spacing w:before="156" w:after="156"/>
    </w:pPr>
  </w:style>
  <w:style w:type="character" w:customStyle="1" w:styleId="154">
    <w:name w:val="表内容 Char"/>
    <w:link w:val="150"/>
    <w:qFormat/>
    <w:uiPriority w:val="0"/>
    <w:rPr>
      <w:rFonts w:ascii="宋体"/>
      <w:sz w:val="18"/>
      <w:szCs w:val="18"/>
      <w:lang w:val="en-US" w:eastAsia="zh-CN" w:bidi="ar-SA"/>
    </w:rPr>
  </w:style>
  <w:style w:type="paragraph" w:customStyle="1" w:styleId="155">
    <w:name w:val="术语"/>
    <w:basedOn w:val="145"/>
    <w:link w:val="158"/>
    <w:qFormat/>
    <w:uiPriority w:val="0"/>
    <w:pPr>
      <w:numPr>
        <w:ilvl w:val="0"/>
        <w:numId w:val="0"/>
      </w:numPr>
      <w:spacing w:beforeLines="0" w:afterLines="0"/>
      <w:ind w:firstLine="200" w:firstLineChars="200"/>
    </w:pPr>
  </w:style>
  <w:style w:type="character" w:customStyle="1" w:styleId="156">
    <w:name w:val="二级条标题 Char"/>
    <w:basedOn w:val="148"/>
    <w:link w:val="45"/>
    <w:qFormat/>
    <w:uiPriority w:val="0"/>
    <w:rPr>
      <w:rFonts w:ascii="黑体" w:eastAsia="黑体"/>
      <w:sz w:val="21"/>
      <w:szCs w:val="21"/>
      <w:lang w:val="en-US" w:eastAsia="zh-CN" w:bidi="ar-SA"/>
    </w:rPr>
  </w:style>
  <w:style w:type="character" w:customStyle="1" w:styleId="157">
    <w:name w:val="标准3 Char"/>
    <w:basedOn w:val="156"/>
    <w:link w:val="153"/>
    <w:qFormat/>
    <w:uiPriority w:val="0"/>
    <w:rPr>
      <w:rFonts w:ascii="黑体" w:eastAsia="黑体"/>
      <w:sz w:val="21"/>
      <w:szCs w:val="21"/>
      <w:lang w:val="en-US" w:eastAsia="zh-CN" w:bidi="ar-SA"/>
    </w:rPr>
  </w:style>
  <w:style w:type="character" w:customStyle="1" w:styleId="158">
    <w:name w:val="术语 Char"/>
    <w:basedOn w:val="149"/>
    <w:link w:val="155"/>
    <w:uiPriority w:val="0"/>
    <w:rPr>
      <w:rFonts w:ascii="黑体" w:eastAsia="黑体"/>
      <w:sz w:val="21"/>
      <w:szCs w:val="21"/>
      <w:lang w:val="en-US" w:eastAsia="zh-CN" w:bidi="ar-SA"/>
    </w:rPr>
  </w:style>
  <w:style w:type="character" w:customStyle="1" w:styleId="159">
    <w:name w:val="批注文字 Char"/>
    <w:link w:val="7"/>
    <w:uiPriority w:val="0"/>
    <w:rPr>
      <w:kern w:val="2"/>
      <w:sz w:val="21"/>
      <w:szCs w:val="24"/>
    </w:rPr>
  </w:style>
  <w:style w:type="character" w:customStyle="1" w:styleId="160">
    <w:name w:val="批注主题 Char"/>
    <w:link w:val="30"/>
    <w:qFormat/>
    <w:uiPriority w:val="0"/>
    <w:rPr>
      <w:b/>
      <w:bCs/>
      <w:kern w:val="2"/>
      <w:sz w:val="21"/>
      <w:szCs w:val="24"/>
    </w:rPr>
  </w:style>
  <w:style w:type="character" w:styleId="161">
    <w:name w:val="Placeholder Text"/>
    <w:semiHidden/>
    <w:uiPriority w:val="99"/>
    <w:rPr>
      <w:color w:val="808080"/>
    </w:rPr>
  </w:style>
  <w:style w:type="paragraph" w:customStyle="1" w:styleId="162">
    <w:name w:val="Revision"/>
    <w:hidden/>
    <w:semiHidden/>
    <w:qFormat/>
    <w:uiPriority w:val="99"/>
    <w:rPr>
      <w:rFonts w:ascii="Times New Roman" w:hAnsi="Times New Roman" w:cs="Times New Roman" w:eastAsiaTheme="minorEastAsia"/>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tiff"/><Relationship Id="rId14" Type="http://schemas.openxmlformats.org/officeDocument/2006/relationships/image" Target="media/image7.tiff"/><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3F5B2-0B6C-47CF-BC54-EB330B371D61}">
  <ds:schemaRefs/>
</ds:datastoreItem>
</file>

<file path=docProps/app.xml><?xml version="1.0" encoding="utf-8"?>
<Properties xmlns="http://schemas.openxmlformats.org/officeDocument/2006/extended-properties" xmlns:vt="http://schemas.openxmlformats.org/officeDocument/2006/docPropsVTypes">
  <Template>Normal</Template>
  <Pages>10</Pages>
  <Words>632</Words>
  <Characters>3607</Characters>
  <Lines>30</Lines>
  <Paragraphs>8</Paragraphs>
  <TotalTime>2</TotalTime>
  <ScaleCrop>false</ScaleCrop>
  <LinksUpToDate>false</LinksUpToDate>
  <CharactersWithSpaces>4231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2023-09-12T03:28:00Z</dcterms:created>
  <cp:lastPrinted>2012-03-28T05:51:00Z</cp:lastPrinted>
  <dcterms:modified xsi:type="dcterms:W3CDTF">2023-10-10T01:49:53Z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44BD0345920644659D09ED501FD58814_12</vt:lpwstr>
  </property>
</Properties>
</file>