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framePr w:wrap="around"/>
        <w:tabs>
          <w:tab w:val="left" w:pos="9354"/>
        </w:tabs>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ICS 77.120.99</w:t>
      </w:r>
    </w:p>
    <w:p>
      <w:pPr>
        <w:pStyle w:val="130"/>
        <w:framePr w:wrap="around"/>
        <w:tabs>
          <w:tab w:val="left" w:pos="9354"/>
        </w:tabs>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CCS H 1</w:t>
      </w:r>
      <w:r>
        <w:rPr>
          <w:rFonts w:hint="eastAsia" w:ascii="Times New Roman"/>
          <w:color w:val="000000" w:themeColor="text1"/>
          <w14:textFill>
            <w14:solidFill>
              <w14:schemeClr w14:val="tx1"/>
            </w14:solidFill>
          </w14:textFill>
        </w:rPr>
        <w:t>8</w:t>
      </w:r>
    </w:p>
    <w:p>
      <w:pPr>
        <w:pStyle w:val="73"/>
        <w:framePr w:wrap="around"/>
        <w:tabs>
          <w:tab w:val="left" w:pos="9354"/>
        </w:tabs>
      </w:pPr>
      <w:r>
        <w:rPr>
          <w:rFonts w:hint="eastAsia"/>
        </w:rPr>
        <w:t>YS</w:t>
      </w:r>
    </w:p>
    <w:p>
      <w:pPr>
        <w:pStyle w:val="73"/>
        <w:framePr w:wrap="around"/>
        <w:tabs>
          <w:tab w:val="left" w:pos="9354"/>
        </w:tabs>
        <w:rPr>
          <w:color w:val="000000" w:themeColor="text1"/>
          <w14:textFill>
            <w14:solidFill>
              <w14:schemeClr w14:val="tx1"/>
            </w14:solidFill>
          </w14:textFill>
        </w:rPr>
      </w:pPr>
    </w:p>
    <w:p>
      <w:pPr>
        <w:pStyle w:val="117"/>
        <w:framePr w:w="9140" w:h="1815" w:hRule="exact" w:hSpace="284" w:vSpace="0" w:wrap="around" w:x="1476" w:y="2451"/>
        <w:tabs>
          <w:tab w:val="left" w:pos="9354"/>
        </w:tabs>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pPr>
        <w:pStyle w:val="54"/>
        <w:framePr w:h="1815" w:hRule="exact" w:wrap="around" w:x="1476" w:y="2451"/>
        <w:tabs>
          <w:tab w:val="left" w:pos="9354"/>
        </w:tabs>
        <w:rPr>
          <w:color w:val="000000" w:themeColor="text1"/>
          <w14:textFill>
            <w14:solidFill>
              <w14:schemeClr w14:val="tx1"/>
            </w14:solidFill>
          </w14:textFill>
        </w:rPr>
      </w:pPr>
      <w:r>
        <w:rPr>
          <w:rFonts w:hAnsi="黑体"/>
          <w:color w:val="000000" w:themeColor="text1"/>
          <w14:textFill>
            <w14:solidFill>
              <w14:schemeClr w14:val="tx1"/>
            </w14:solidFill>
          </w14:textFill>
        </w:rPr>
        <w:t>YS/T XXXX</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1"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3"/>
              <w:framePr w:h="1815" w:hRule="exact" w:wrap="around" w:x="1476" w:y="2451"/>
              <w:tabs>
                <w:tab w:val="left" w:pos="9354"/>
              </w:tabs>
              <w:ind w:right="420"/>
              <w:rPr>
                <w:color w:val="000000" w:themeColor="text1"/>
                <w14:textFill>
                  <w14:solidFill>
                    <w14:schemeClr w14:val="tx1"/>
                  </w14:solidFill>
                </w14:textFill>
              </w:rPr>
            </w:pPr>
            <w:r>
              <w:rPr>
                <w:rFonts w:hint="eastAsia"/>
              </w:rPr>
              <w:t xml:space="preserve">     代替Y</w:t>
            </w:r>
            <w:r>
              <w:t>S/T</w:t>
            </w:r>
            <w:r>
              <w:rPr>
                <w:rFonts w:hint="eastAsia"/>
              </w:rPr>
              <w:t xml:space="preserve"> </w:t>
            </w:r>
            <w:r>
              <w:t>9</w:t>
            </w:r>
            <w:r>
              <w:rPr>
                <w:rFonts w:hint="eastAsia"/>
              </w:rPr>
              <w:t>23</w:t>
            </w:r>
            <w:r>
              <w:t>.</w:t>
            </w:r>
            <w:r>
              <w:rPr>
                <w:rFonts w:hint="eastAsia"/>
              </w:rPr>
              <w:t>2</w:t>
            </w:r>
            <w:r>
              <w:t>-201</w:t>
            </w:r>
            <w:r>
              <w:rPr>
                <w:rFonts w:hint="eastAsia"/>
              </w:rPr>
              <w:t>3</w:t>
            </w:r>
          </w:p>
        </w:tc>
      </w:tr>
    </w:tbl>
    <w:p>
      <w:pPr>
        <w:pStyle w:val="54"/>
        <w:framePr w:h="1815" w:hRule="exact" w:wrap="around" w:x="1476" w:y="2451"/>
        <w:tabs>
          <w:tab w:val="left" w:pos="9354"/>
        </w:tabs>
        <w:rPr>
          <w:color w:val="000000" w:themeColor="text1"/>
          <w14:textFill>
            <w14:solidFill>
              <w14:schemeClr w14:val="tx1"/>
            </w14:solidFill>
          </w14:textFill>
        </w:rPr>
      </w:pPr>
    </w:p>
    <w:p>
      <w:pPr>
        <w:pStyle w:val="54"/>
        <w:framePr w:h="1815" w:hRule="exact" w:wrap="around" w:x="1476" w:y="2451"/>
        <w:tabs>
          <w:tab w:val="left" w:pos="9354"/>
        </w:tabs>
        <w:rPr>
          <w:color w:val="000000" w:themeColor="text1"/>
          <w14:textFill>
            <w14:solidFill>
              <w14:schemeClr w14:val="tx1"/>
            </w14:solidFill>
          </w14:textFill>
        </w:rPr>
      </w:pPr>
    </w:p>
    <w:p>
      <w:pPr>
        <w:pStyle w:val="85"/>
        <w:framePr w:wrap="around" w:x="1126" w:y="6391"/>
        <w:tabs>
          <w:tab w:val="left" w:pos="9354"/>
        </w:tabs>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高纯铋化学分析方法 </w:t>
      </w:r>
    </w:p>
    <w:p>
      <w:pPr>
        <w:pStyle w:val="85"/>
        <w:framePr w:wrap="around" w:x="1126" w:y="6391"/>
        <w:tabs>
          <w:tab w:val="left" w:pos="9354"/>
        </w:tabs>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第2部分：痕量杂质元素含量的测定  </w:t>
      </w:r>
    </w:p>
    <w:p>
      <w:pPr>
        <w:pStyle w:val="85"/>
        <w:framePr w:wrap="around" w:x="1126" w:y="6391"/>
        <w:tabs>
          <w:tab w:val="left" w:pos="9354"/>
        </w:tabs>
        <w:rPr>
          <w:color w:val="000000" w:themeColor="text1"/>
          <w14:textFill>
            <w14:solidFill>
              <w14:schemeClr w14:val="tx1"/>
            </w14:solidFill>
          </w14:textFill>
        </w:rPr>
      </w:pPr>
      <w:r>
        <w:rPr>
          <w:rFonts w:hint="eastAsia"/>
          <w:color w:val="000000" w:themeColor="text1"/>
          <w14:textFill>
            <w14:solidFill>
              <w14:schemeClr w14:val="tx1"/>
            </w14:solidFill>
          </w14:textFill>
        </w:rPr>
        <w:t>辉光放电质谱法</w:t>
      </w:r>
    </w:p>
    <w:p>
      <w:pPr>
        <w:pStyle w:val="86"/>
        <w:framePr w:wrap="around" w:x="1126" w:y="6391"/>
        <w:tabs>
          <w:tab w:val="left" w:pos="9354"/>
        </w:tabs>
        <w:rPr>
          <w:rFonts w:ascii="黑体" w:hAnsi="黑体"/>
          <w:bCs/>
          <w:color w:val="000000" w:themeColor="text1"/>
          <w14:textFill>
            <w14:solidFill>
              <w14:schemeClr w14:val="tx1"/>
            </w14:solidFill>
          </w14:textFill>
        </w:rPr>
      </w:pPr>
      <w:r>
        <w:rPr>
          <w:rFonts w:ascii="黑体" w:hAnsi="黑体"/>
          <w:bCs/>
          <w:color w:val="000000" w:themeColor="text1"/>
          <w14:textFill>
            <w14:solidFill>
              <w14:schemeClr w14:val="tx1"/>
            </w14:solidFill>
          </w14:textFill>
        </w:rPr>
        <w:t xml:space="preserve">Methods for chemical analysis of high purity </w:t>
      </w:r>
      <w:r>
        <w:rPr>
          <w:rFonts w:hint="eastAsia" w:ascii="黑体" w:hAnsi="黑体"/>
          <w:bCs/>
          <w:color w:val="000000" w:themeColor="text1"/>
          <w14:textFill>
            <w14:solidFill>
              <w14:schemeClr w14:val="tx1"/>
            </w14:solidFill>
          </w14:textFill>
        </w:rPr>
        <w:t>bismuth</w:t>
      </w:r>
      <w:r>
        <w:rPr>
          <w:rFonts w:hint="eastAsia" w:ascii="黑体" w:hAnsi="黑体"/>
        </w:rPr>
        <w:t>——</w:t>
      </w:r>
      <w:r>
        <w:rPr>
          <w:rFonts w:ascii="黑体" w:hAnsi="黑体"/>
        </w:rPr>
        <w:t>P</w:t>
      </w:r>
      <w:r>
        <w:rPr>
          <w:rFonts w:hint="eastAsia" w:ascii="黑体" w:hAnsi="黑体"/>
        </w:rPr>
        <w:t>art</w:t>
      </w:r>
      <w:r>
        <w:rPr>
          <w:rFonts w:hint="eastAsia" w:ascii="黑体" w:hAnsi="黑体"/>
        </w:rPr>
        <w:t xml:space="preserve"> 2</w:t>
      </w:r>
      <w:r>
        <w:rPr>
          <w:rFonts w:hint="eastAsia" w:ascii="黑体" w:hAnsi="黑体"/>
        </w:rPr>
        <w:t>：</w:t>
      </w:r>
      <w:r>
        <w:rPr>
          <w:rFonts w:hint="eastAsia" w:ascii="黑体" w:hAnsi="黑体"/>
          <w:bCs/>
          <w:color w:val="000000" w:themeColor="text1"/>
          <w14:textFill>
            <w14:solidFill>
              <w14:schemeClr w14:val="tx1"/>
            </w14:solidFill>
          </w14:textFill>
        </w:rPr>
        <w:t xml:space="preserve"> </w:t>
      </w:r>
      <w:r>
        <w:rPr>
          <w:rFonts w:ascii="黑体" w:hAnsi="黑体"/>
          <w:bCs/>
          <w:color w:val="000000" w:themeColor="text1"/>
          <w14:textFill>
            <w14:solidFill>
              <w14:schemeClr w14:val="tx1"/>
            </w14:solidFill>
          </w14:textFill>
        </w:rPr>
        <w:t>Determination of trace impurity elements contents</w:t>
      </w:r>
      <w:r>
        <w:rPr>
          <w:rFonts w:hint="eastAsia" w:ascii="黑体" w:hAnsi="黑体"/>
        </w:rPr>
        <w:t>——</w:t>
      </w:r>
      <w:r>
        <w:rPr>
          <w:rFonts w:ascii="黑体" w:hAnsi="黑体"/>
          <w:bCs/>
          <w:color w:val="000000" w:themeColor="text1"/>
          <w14:textFill>
            <w14:solidFill>
              <w14:schemeClr w14:val="tx1"/>
            </w14:solidFill>
          </w14:textFill>
        </w:rPr>
        <w:t xml:space="preserve">Glow discharge mass spectrometry </w:t>
      </w:r>
    </w:p>
    <w:p>
      <w:pPr>
        <w:pStyle w:val="86"/>
        <w:framePr w:wrap="around" w:x="1126" w:y="6391"/>
        <w:tabs>
          <w:tab w:val="left" w:pos="9354"/>
        </w:tabs>
        <w:rPr>
          <w:color w:val="000000" w:themeColor="text1"/>
          <w14:textFill>
            <w14:solidFill>
              <w14:schemeClr w14:val="tx1"/>
            </w14:solidFill>
          </w14:textFill>
        </w:rPr>
      </w:pP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framePr w:wrap="around" w:x="1126" w:y="6391"/>
              <w:tabs>
                <w:tab w:val="left" w:pos="9354"/>
              </w:tabs>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dVRAoCAAAh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Zo24S1nVvQ08e/foiyD8yVF790d&#10;RmLe3YL86ZmFVSdsq24QYeiUqKmZIuZnTwqi46mUbYfPUBOo2AVICh0a7CMgcWeHNIjjeRDqEJik&#10;w+Iqn+c5zUhSbDqfRTteIcrHaoc+fFTQs2hUHGnQCV3sb30YUx9TUvdgdL3RxiQH2+3KINsLWopN&#10;+k7o/jLN2JhsIZaNiPEk0YzMRoW2UB+JJcK4WfSuyOgAf3M20FZV3P/aCVScmU+WlLoqZrO4hsmZ&#10;zd9PycHLyPYyIqwkqIoHzkZzFcbV3TnUbUc3FYm0hRtSt9GJeFR+7OrULG1Oku605XE1L/2U9fdl&#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muktUAAAAKAQAADwAAAAAAAAABACAAAAAiAAAA&#10;ZHJzL2Rvd25yZXYueG1sUEsBAhQAFAAAAAgAh07iQP0HVUQKAgAAIQQAAA4AAAAAAAAAAQAgAAAA&#10;JAEAAGRycy9lMm9Eb2MueG1sUEsFBgAAAAAGAAYAWQEAAKAFA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4fPdw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y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4fPdwJAgAAIQQAAA4AAAAAAAAAAQAgAAAA&#10;JQEAAGRycy9lMm9Eb2MueG1sUEsFBgAAAAAGAAYAWQEAAKAFAAAAAA==&#10;">
                      <v:fill on="t" focussize="0,0"/>
                      <v:stroke on="f"/>
                      <v:imagedata o:title=""/>
                      <o:lock v:ext="edit" aspectratio="f"/>
                    </v:rect>
                  </w:pict>
                </mc:Fallback>
              </mc:AlternateConten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送审</w:t>
            </w:r>
            <w:r>
              <w:rPr>
                <w:rFonts w:hint="eastAsia"/>
                <w:color w:val="000000" w:themeColor="text1"/>
                <w14:textFill>
                  <w14:solidFill>
                    <w14:schemeClr w14:val="tx1"/>
                  </w14:solidFill>
                </w14:textFill>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9"/>
              <w:framePr w:wrap="around" w:x="1126" w:y="6391"/>
              <w:tabs>
                <w:tab w:val="left" w:pos="9354"/>
              </w:tabs>
              <w:rPr>
                <w:color w:val="000000" w:themeColor="text1"/>
                <w14:textFill>
                  <w14:solidFill>
                    <w14:schemeClr w14:val="tx1"/>
                  </w14:solidFill>
                </w14:textFill>
              </w:rPr>
            </w:pPr>
          </w:p>
          <w:p>
            <w:pPr>
              <w:pStyle w:val="89"/>
              <w:framePr w:wrap="around" w:x="1126" w:y="6391"/>
              <w:tabs>
                <w:tab w:val="left" w:pos="9354"/>
              </w:tabs>
              <w:rPr>
                <w:color w:val="000000" w:themeColor="text1"/>
                <w14:textFill>
                  <w14:solidFill>
                    <w14:schemeClr w14:val="tx1"/>
                  </w14:solidFill>
                </w14:textFill>
              </w:rPr>
            </w:pPr>
          </w:p>
          <w:p>
            <w:pPr>
              <w:pStyle w:val="89"/>
              <w:framePr w:wrap="around" w:x="1126" w:y="6391"/>
              <w:tabs>
                <w:tab w:val="left" w:pos="9354"/>
              </w:tabs>
              <w:rPr>
                <w:color w:val="000000" w:themeColor="text1"/>
                <w14:textFill>
                  <w14:solidFill>
                    <w14:schemeClr w14:val="tx1"/>
                  </w14:solidFill>
                </w14:textFill>
              </w:rPr>
            </w:pPr>
          </w:p>
        </w:tc>
      </w:tr>
    </w:tbl>
    <w:p>
      <w:pPr>
        <w:pStyle w:val="137"/>
        <w:framePr w:wrap="around" w:hAnchor="page" w:x="1246" w:y="13996"/>
        <w:tabs>
          <w:tab w:val="left" w:pos="9354"/>
        </w:tabs>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2"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2"/>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bookmarkStart w:id="3"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bookmarkStart w:id="4"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9251315</wp:posOffset>
                </wp:positionV>
                <wp:extent cx="612013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45pt;height:0pt;width:481.9pt;mso-position-vertical-relative:page;z-index:251659264;mso-width-relative:page;mso-height-relative:page;" filled="f" stroked="t" coordsize="21600,21600" o:gfxdata="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NWdeOJr41njN6qLNGLChkLXf&#10;xcxOTv4pbEH+RuZhPQjf69Lj8ylQXp3VrP5KyQYGqrAfv4OiGHFIUISauugyJEnApjKP020eekpM&#10;0uN9TaJ8plHJq68SzTUxREzfNDiWLy231HQBFsctptyIaK4huY6HR2NtGbf1bGz517vFXUlAsEZl&#10;Zw7D2O/XNrKjyAtTvsKKPK/DIhy8Ohex/kI688x7h80e1GkXr2LQ5Eo3ly3Lq/HaLtkvf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4bVjXAAAACwEAAA8AAAAAAAAAAQAgAAAAIgAAAGRycy9k&#10;b3ducmV2LnhtbFBLAQIUABQAAAAIAIdO4kATtXDnygEAAKEDAAAOAAAAAAAAAAEAIAAAACYBAABk&#10;cnMvZTJvRG9jLnhtbFBLBQYAAAAABgAGAFkBAABiBQAAAAA=&#10;">
                <v:fill on="f" focussize="0,0"/>
                <v:stroke color="#000000" joinstyle="round"/>
                <v:imagedata o:title=""/>
                <o:lock v:ext="edit" aspectratio="f"/>
                <w10:anchorlock/>
              </v:line>
            </w:pict>
          </mc:Fallback>
        </mc:AlternateContent>
      </w:r>
    </w:p>
    <w:p>
      <w:pPr>
        <w:pStyle w:val="138"/>
        <w:framePr w:wrap="around" w:hAnchor="page" w:x="6916" w:y="14066"/>
        <w:tabs>
          <w:tab w:val="left" w:pos="9354"/>
        </w:tabs>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bookmarkStart w:id="5"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5"/>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bookmarkStart w:id="6"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bookmarkStart w:id="7"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hint="eastAsia"/>
          <w:color w:val="000000" w:themeColor="text1"/>
          <w14:textFill>
            <w14:solidFill>
              <w14:schemeClr w14:val="tx1"/>
            </w14:solidFill>
          </w14:textFill>
        </w:rPr>
        <w:t>实施</w:t>
      </w:r>
    </w:p>
    <w:p>
      <w:pPr>
        <w:pStyle w:val="118"/>
        <w:framePr w:wrap="around"/>
        <w:tabs>
          <w:tab w:val="left" w:pos="9354"/>
        </w:tabs>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80"/>
          <w:rFonts w:hint="eastAsia"/>
        </w:rPr>
        <w:t>发布</w:t>
      </w:r>
    </w:p>
    <w:p>
      <w:pPr>
        <w:pStyle w:val="25"/>
        <w:tabs>
          <w:tab w:val="left" w:pos="9354"/>
        </w:tabs>
        <w:rPr>
          <w:color w:val="000000" w:themeColor="text1"/>
          <w14:textFill>
            <w14:solidFill>
              <w14:schemeClr w14:val="tx1"/>
            </w14:solidFill>
          </w14:textFill>
        </w:rPr>
        <w:sectPr>
          <w:pgSz w:w="11906" w:h="16838"/>
          <w:pgMar w:top="567" w:right="850" w:bottom="1134" w:left="1418" w:header="0" w:footer="0" w:gutter="0"/>
          <w:pgNumType w:fmt="upperRoman" w:start="1"/>
          <w:cols w:space="425" w:num="1"/>
          <w:docGrid w:type="lines" w:linePitch="312" w:charSpace="0"/>
        </w:sectPr>
      </w:pPr>
      <w:r>
        <w:rPr>
          <w:rFonts w:hint="eastAsia" w:ascii="黑体" w:eastAsia="黑体"/>
        </w:rPr>
        <mc:AlternateContent>
          <mc:Choice Requires="wps">
            <w:drawing>
              <wp:anchor distT="0" distB="0" distL="114300" distR="114300" simplePos="0" relativeHeight="251672576" behindDoc="1" locked="0" layoutInCell="0" allowOverlap="1">
                <wp:simplePos x="0" y="0"/>
                <wp:positionH relativeFrom="margin">
                  <wp:align>left</wp:align>
                </wp:positionH>
                <wp:positionV relativeFrom="paragraph">
                  <wp:posOffset>9166860</wp:posOffset>
                </wp:positionV>
                <wp:extent cx="5829300" cy="0"/>
                <wp:effectExtent l="0" t="0" r="0" b="0"/>
                <wp:wrapNone/>
                <wp:docPr id="18"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top:721.8pt;height:0pt;width:459pt;mso-position-horizontal:left;mso-position-horizontal-relative:margin;z-index:-251643904;mso-width-relative:page;mso-height-relative:page;" filled="f" stroked="t" coordsize="9180,1" o:allowincell="f" o:gfxdata="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XijK/1gAAAAoBAAAPAAAA&#10;AAAAAAEAIAAAACIAAABkcnMvZG93bnJldi54bWxQSwECFAAUAAAACACHTuJAzK+IvYkCAAB4BQAA&#10;DgAAAAAAAAABACAAAAAlAQAAZHJzL2Uyb0RvYy54bWxQSwUGAAAAAAYABgBZAQAAIAYAAAAA&#10;" path="m0,0l9180,0e">
                <v:path o:connectlocs="0,0;5829300,0" o:connectangles="0,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0"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weJAyQEAAKE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SeKFo4lvjdesrrM2Y8CGQtZ+&#10;FzM7efJPYQvyNzIP60H4Xpcen8+B8kpG9SolPzBQhf34HRTFiEOCItSpiy5DkgTsVOZxvs1DnxKT&#10;ZLyvSZTP1Je8+irRXBNDxPRNg2P50nJLTRdgcdxiotYp9BqS63h4NNaWcVvPxpZ/vVvclQQEa1R2&#10;5jCM/X5tIzuKvDDlyzoQ2KuwCAevJrv15L7ynBTbgzrvYnZnO02uAFy2LK/G3+8S9fJn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bwCNcAAAAJAQAADwAAAAAAAAABACAAAAAiAAAAZHJzL2Rv&#10;d25yZXYueG1sUEsBAhQAFAAAAAgAh07iQJXB4kDJAQAAoQMAAA4AAAAAAAAAAQAgAAAAJgEAAGRy&#10;cy9lMm9Eb2MueG1sUEsFBgAAAAAGAAYAWQEAAGEFAAAAAA==&#10;">
                <v:fill on="f" focussize="0,0"/>
                <v:stroke color="#000000" joinstyle="round"/>
                <v:imagedata o:title=""/>
                <o:lock v:ext="edit" aspectratio="f"/>
              </v:line>
            </w:pict>
          </mc:Fallback>
        </mc:AlternateContent>
      </w:r>
    </w:p>
    <w:p>
      <w:pPr>
        <w:pStyle w:val="119"/>
        <w:tabs>
          <w:tab w:val="left" w:pos="9354"/>
        </w:tabs>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8" w:name="BKQY"/>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言</w:t>
      </w:r>
      <w:bookmarkEnd w:id="8"/>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本文件按照GB/T 1.1—2020《标准化工作导则  第1部分：标准化文件的结构和起草规则》的规定起草。</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本文件是</w:t>
      </w:r>
      <w:r>
        <w:rPr>
          <w:rFonts w:ascii="宋体" w:hAnsi="宋体"/>
          <w:color w:val="000000" w:themeColor="text1"/>
          <w14:textFill>
            <w14:solidFill>
              <w14:schemeClr w14:val="tx1"/>
            </w14:solidFill>
          </w14:textFill>
        </w:rPr>
        <w:t xml:space="preserve">YS/T </w:t>
      </w:r>
      <w:r>
        <w:rPr>
          <w:rFonts w:hint="eastAsia" w:ascii="宋体" w:hAnsi="宋体"/>
          <w:color w:val="000000" w:themeColor="text1"/>
          <w14:textFill>
            <w14:solidFill>
              <w14:schemeClr w14:val="tx1"/>
            </w14:solidFill>
          </w14:textFill>
        </w:rPr>
        <w:t>923《高纯铋化学分析方法》的第2部分。</w:t>
      </w:r>
      <w:r>
        <w:rPr>
          <w:rFonts w:ascii="宋体" w:hAnsi="宋体"/>
          <w:color w:val="000000" w:themeColor="text1"/>
          <w14:textFill>
            <w14:solidFill>
              <w14:schemeClr w14:val="tx1"/>
            </w14:solidFill>
          </w14:textFill>
        </w:rPr>
        <w:t xml:space="preserve">YS/T </w:t>
      </w:r>
      <w:r>
        <w:rPr>
          <w:rFonts w:hint="eastAsia" w:ascii="宋体" w:hAnsi="宋体"/>
          <w:color w:val="000000" w:themeColor="text1"/>
          <w14:textFill>
            <w14:solidFill>
              <w14:schemeClr w14:val="tx1"/>
            </w14:solidFill>
          </w14:textFill>
        </w:rPr>
        <w:t>923已经发布了以下部分：</w:t>
      </w:r>
    </w:p>
    <w:p>
      <w:pPr>
        <w:pStyle w:val="25"/>
        <w:tabs>
          <w:tab w:val="left" w:pos="9354"/>
        </w:tabs>
        <w:rPr>
          <w:rFonts w:ascii="宋体" w:hAnsi="宋体"/>
          <w:color w:val="000000" w:themeColor="text1"/>
          <w14:textFill>
            <w14:solidFill>
              <w14:schemeClr w14:val="tx1"/>
            </w14:solidFill>
          </w14:textFill>
        </w:rPr>
      </w:pPr>
      <w:r>
        <w:rPr>
          <w:rFonts w:hAnsi="宋体"/>
        </w:rPr>
        <w:t>——</w:t>
      </w:r>
      <w:r>
        <w:rPr>
          <w:rFonts w:hint="eastAsia" w:ascii="宋体" w:hAnsi="宋体"/>
          <w:color w:val="000000" w:themeColor="text1"/>
          <w14:textFill>
            <w14:solidFill>
              <w14:schemeClr w14:val="tx1"/>
            </w14:solidFill>
          </w14:textFill>
        </w:rPr>
        <w:t>第1部分： 铜、铅、锌、铁、银、砷、锡、镉、镁、铬、铝、金和镍量的测定 电感耦合等离子体质谱法；</w:t>
      </w:r>
    </w:p>
    <w:p>
      <w:pPr>
        <w:pStyle w:val="25"/>
        <w:tabs>
          <w:tab w:val="left" w:pos="9354"/>
        </w:tabs>
        <w:rPr>
          <w:rFonts w:ascii="宋体" w:hAnsi="宋体"/>
          <w:color w:val="000000" w:themeColor="text1"/>
          <w14:textFill>
            <w14:solidFill>
              <w14:schemeClr w14:val="tx1"/>
            </w14:solidFill>
          </w14:textFill>
        </w:rPr>
      </w:pPr>
      <w:r>
        <w:rPr>
          <w:rFonts w:hAnsi="宋体"/>
        </w:rPr>
        <w:t>——</w:t>
      </w:r>
      <w:r>
        <w:rPr>
          <w:rFonts w:hint="eastAsia" w:ascii="宋体" w:hAnsi="宋体"/>
          <w:color w:val="000000" w:themeColor="text1"/>
          <w14:textFill>
            <w14:solidFill>
              <w14:schemeClr w14:val="tx1"/>
            </w14:solidFill>
          </w14:textFill>
        </w:rPr>
        <w:t>第2部分：痕量杂质元素含量的测定 辉光放电质谱法。</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本文件代替</w:t>
      </w:r>
      <w:r>
        <w:rPr>
          <w:rFonts w:ascii="宋体" w:hAnsi="宋体"/>
          <w:color w:val="000000" w:themeColor="text1"/>
          <w14:textFill>
            <w14:solidFill>
              <w14:schemeClr w14:val="tx1"/>
            </w14:solidFill>
          </w14:textFill>
        </w:rPr>
        <w:t xml:space="preserve">YS/T </w:t>
      </w:r>
      <w:r>
        <w:rPr>
          <w:rFonts w:hint="eastAsia" w:ascii="宋体" w:hAnsi="宋体"/>
          <w:color w:val="000000" w:themeColor="text1"/>
          <w14:textFill>
            <w14:solidFill>
              <w14:schemeClr w14:val="tx1"/>
            </w14:solidFill>
          </w14:textFill>
        </w:rPr>
        <w:t>923.2-2013《高纯铋化学分析方法 第2部分：痕量杂质元素含量的测定 辉光放电质谱法》，与</w:t>
      </w:r>
      <w:r>
        <w:rPr>
          <w:rFonts w:ascii="宋体" w:hAnsi="宋体"/>
          <w:color w:val="000000" w:themeColor="text1"/>
          <w14:textFill>
            <w14:solidFill>
              <w14:schemeClr w14:val="tx1"/>
            </w14:solidFill>
          </w14:textFill>
        </w:rPr>
        <w:t xml:space="preserve">YS/T </w:t>
      </w:r>
      <w:r>
        <w:rPr>
          <w:rFonts w:hint="eastAsia" w:ascii="宋体" w:hAnsi="宋体"/>
          <w:color w:val="000000" w:themeColor="text1"/>
          <w14:textFill>
            <w14:solidFill>
              <w14:schemeClr w14:val="tx1"/>
            </w14:solidFill>
          </w14:textFill>
        </w:rPr>
        <w:t>923.2-2013相比，除结构调整和编辑性改动外，主要技术变化如下：</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a）</w:t>
      </w:r>
      <w:r>
        <w:rPr>
          <w:rFonts w:hAnsi="宋体"/>
          <w:color w:val="000000"/>
          <w:szCs w:val="21"/>
        </w:rPr>
        <w:t>更</w:t>
      </w:r>
      <w:r>
        <w:rPr>
          <w:rFonts w:hint="eastAsia" w:hAnsi="宋体"/>
          <w:color w:val="000000"/>
          <w:szCs w:val="21"/>
        </w:rPr>
        <w:t>改</w:t>
      </w:r>
      <w:r>
        <w:rPr>
          <w:rFonts w:hAnsi="宋体"/>
          <w:color w:val="000000"/>
          <w:szCs w:val="21"/>
        </w:rPr>
        <w:t>了</w:t>
      </w:r>
      <w:r>
        <w:rPr>
          <w:rFonts w:hint="eastAsia" w:hAnsi="宋体"/>
          <w:color w:val="000000"/>
          <w:szCs w:val="21"/>
        </w:rPr>
        <w:t>测定范围，部分元素从5.0ug</w:t>
      </w:r>
      <w:r>
        <w:rPr>
          <w:rFonts w:hAnsi="宋体"/>
          <w:color w:val="000000"/>
          <w:szCs w:val="21"/>
        </w:rPr>
        <w:t>/</w:t>
      </w:r>
      <w:r>
        <w:rPr>
          <w:rFonts w:hint="eastAsia" w:hAnsi="宋体"/>
          <w:color w:val="000000"/>
          <w:szCs w:val="21"/>
        </w:rPr>
        <w:t>kg</w:t>
      </w:r>
      <w:r>
        <w:rPr>
          <w:rFonts w:hAnsi="宋体"/>
          <w:color w:val="000000"/>
          <w:szCs w:val="21"/>
        </w:rPr>
        <w:t>~</w:t>
      </w:r>
      <w:r>
        <w:rPr>
          <w:rFonts w:hint="eastAsia" w:hAnsi="宋体"/>
          <w:color w:val="000000"/>
          <w:szCs w:val="21"/>
        </w:rPr>
        <w:t>5000ug</w:t>
      </w:r>
      <w:r>
        <w:rPr>
          <w:rFonts w:hAnsi="宋体"/>
          <w:color w:val="000000"/>
          <w:szCs w:val="21"/>
        </w:rPr>
        <w:t>/</w:t>
      </w:r>
      <w:r>
        <w:rPr>
          <w:rFonts w:hint="eastAsia" w:hAnsi="宋体"/>
          <w:color w:val="000000"/>
          <w:szCs w:val="21"/>
        </w:rPr>
        <w:t>kg修改为</w:t>
      </w:r>
      <w:r>
        <w:rPr>
          <w:rFonts w:hAnsi="宋体"/>
          <w:color w:val="000000"/>
          <w:szCs w:val="21"/>
        </w:rPr>
        <w:t>0.001ug/g~5ug/g</w:t>
      </w:r>
      <w:r>
        <w:rPr>
          <w:rFonts w:hint="eastAsia" w:hAnsi="宋体"/>
          <w:color w:val="000000"/>
          <w:szCs w:val="21"/>
        </w:rPr>
        <w:t>。</w:t>
      </w:r>
      <w:r>
        <w:rPr>
          <w:rFonts w:hAnsi="宋体"/>
          <w:color w:val="000000"/>
          <w:szCs w:val="21"/>
        </w:rPr>
        <w:t>（见201</w:t>
      </w:r>
      <w:r>
        <w:rPr>
          <w:rFonts w:hint="eastAsia" w:hAnsi="宋体"/>
          <w:color w:val="000000"/>
          <w:szCs w:val="21"/>
        </w:rPr>
        <w:t>3</w:t>
      </w:r>
      <w:r>
        <w:rPr>
          <w:rFonts w:hAnsi="宋体"/>
          <w:color w:val="000000"/>
          <w:szCs w:val="21"/>
        </w:rPr>
        <w:t>年版的</w:t>
      </w:r>
      <w:r>
        <w:rPr>
          <w:rFonts w:hint="eastAsia" w:hAnsi="宋体"/>
          <w:color w:val="000000"/>
          <w:szCs w:val="21"/>
        </w:rPr>
        <w:t>第1章）；</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b)增加了规范性引用文件，（见第2章）；</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c）增加了术语与定义，（见第3章）；</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d）增加了试验条件，（见第5章）；</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e）增加了干扰因素，（见第6章）；</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f）增加了检测器校正样品，（见7</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w:t>
      </w:r>
    </w:p>
    <w:p>
      <w:pPr>
        <w:pStyle w:val="25"/>
        <w:tabs>
          <w:tab w:val="left" w:pos="9354"/>
        </w:tabs>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g</w:t>
      </w:r>
      <w:r>
        <w:rPr>
          <w:rFonts w:hint="eastAsia" w:ascii="宋体" w:hAnsi="宋体"/>
          <w:color w:val="000000" w:themeColor="text1"/>
          <w14:textFill>
            <w14:solidFill>
              <w14:schemeClr w14:val="tx1"/>
            </w14:solidFill>
          </w14:textFill>
        </w:rPr>
        <w:t>）增加了质量数校正样品，（见7</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h）删除2013版第4章表1中各元素分辨率模式的规定；</w:t>
      </w:r>
    </w:p>
    <w:p>
      <w:pPr>
        <w:pStyle w:val="25"/>
        <w:tabs>
          <w:tab w:val="left" w:pos="9354"/>
        </w:tabs>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i）第8章8</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节中仪器分辨率不低于3</w:t>
      </w:r>
      <w:r>
        <w:rPr>
          <w:rFonts w:ascii="宋体" w:hAnsi="宋体"/>
          <w:color w:val="000000" w:themeColor="text1"/>
          <w14:textFill>
            <w14:solidFill>
              <w14:schemeClr w14:val="tx1"/>
            </w14:solidFill>
          </w14:textFill>
        </w:rPr>
        <w:t>000</w:t>
      </w:r>
      <w:r>
        <w:rPr>
          <w:rFonts w:hint="eastAsia" w:ascii="宋体" w:hAnsi="宋体"/>
          <w:color w:val="000000" w:themeColor="text1"/>
          <w14:textFill>
            <w14:solidFill>
              <w14:schemeClr w14:val="tx1"/>
            </w14:solidFill>
          </w14:textFill>
        </w:rPr>
        <w:t>。</w:t>
      </w:r>
    </w:p>
    <w:p>
      <w:pPr>
        <w:pStyle w:val="25"/>
        <w:tabs>
          <w:tab w:val="left" w:pos="9354"/>
        </w:tabs>
        <w:rPr>
          <w:rFonts w:ascii="宋体" w:hAnsi="宋体"/>
          <w:color w:val="000000" w:themeColor="text1"/>
          <w:szCs w:val="21"/>
          <w14:textFill>
            <w14:solidFill>
              <w14:schemeClr w14:val="tx1"/>
            </w14:solidFill>
          </w14:textFill>
        </w:rPr>
      </w:pPr>
      <w:r>
        <w:rPr>
          <w:rFonts w:ascii="宋体" w:hAnsi="宋体"/>
          <w:szCs w:val="21"/>
        </w:rPr>
        <w:t>请注意本文件的某些内容可能涉及专利。本文件的发布机构不承担识别专利的责任。</w:t>
      </w:r>
    </w:p>
    <w:p>
      <w:pPr>
        <w:pStyle w:val="25"/>
        <w:tabs>
          <w:tab w:val="left" w:pos="9354"/>
        </w:tabs>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本文件由全国有色金属标准化技术委员会（SAC/TC243）提出并归口。</w:t>
      </w:r>
    </w:p>
    <w:p>
      <w:pPr>
        <w:pStyle w:val="25"/>
        <w:tabs>
          <w:tab w:val="left" w:pos="9354"/>
        </w:tabs>
        <w:ind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本文件起草单位：</w:t>
      </w:r>
      <w:r>
        <w:rPr>
          <w:rFonts w:ascii="宋体" w:hAnsi="宋体"/>
        </w:rPr>
        <w:t>国标（北京）检验认证有限公司</w:t>
      </w:r>
      <w:r>
        <w:rPr>
          <w:rFonts w:hint="eastAsia" w:ascii="宋体" w:hAnsi="宋体"/>
        </w:rPr>
        <w:t>、国合通用测试评价认证股份公司、</w:t>
      </w:r>
      <w:r>
        <w:rPr>
          <w:rFonts w:hint="eastAsia" w:hAnsi="宋体" w:cs="宋体"/>
          <w:szCs w:val="21"/>
        </w:rPr>
        <w:t>包头稀土研究院、</w:t>
      </w:r>
      <w:r>
        <w:rPr>
          <w:rFonts w:hint="eastAsia" w:hAnsi="宋体"/>
          <w:spacing w:val="-1"/>
          <w:szCs w:val="21"/>
        </w:rPr>
        <w:t>贵研铂业股份有限公司</w:t>
      </w:r>
      <w:r>
        <w:rPr>
          <w:rFonts w:hint="eastAsia" w:ascii="宋体" w:hAnsi="宋体"/>
          <w:color w:val="FF0000"/>
        </w:rPr>
        <w:t>、</w:t>
      </w:r>
      <w:r>
        <w:rPr>
          <w:rFonts w:hint="eastAsia" w:ascii="宋体" w:hAnsi="宋体"/>
        </w:rPr>
        <w:t>广东先导稀材股份有限公司、</w:t>
      </w:r>
      <w:r>
        <w:rPr>
          <w:rFonts w:hint="eastAsia" w:hAnsi="宋体" w:cs="宋体"/>
          <w:szCs w:val="21"/>
        </w:rPr>
        <w:t>深圳市中金岭南有色金属股份有限公司、山东恒邦冶炼股份有限公司、昆明冶金研究院有限公司</w:t>
      </w:r>
      <w:r>
        <w:rPr>
          <w:rFonts w:hint="eastAsia" w:ascii="宋体" w:hAnsi="宋体"/>
        </w:rPr>
        <w:t>。</w:t>
      </w:r>
    </w:p>
    <w:p>
      <w:pPr>
        <w:pStyle w:val="25"/>
        <w:tabs>
          <w:tab w:val="left" w:pos="9354"/>
        </w:tabs>
        <w:rPr>
          <w:rFonts w:ascii="宋体" w:hAnsi="宋体"/>
          <w:color w:val="auto"/>
        </w:rPr>
      </w:pPr>
      <w:r>
        <w:rPr>
          <w:rFonts w:hint="eastAsia" w:ascii="宋体" w:hAnsi="宋体"/>
          <w:color w:val="auto"/>
        </w:rPr>
        <w:t>本文件主要起草人：</w:t>
      </w:r>
      <w:r>
        <w:rPr>
          <w:rFonts w:hint="eastAsia" w:ascii="宋体" w:hAnsi="宋体"/>
          <w:color w:val="auto"/>
        </w:rPr>
        <w:t>刘红，刘鹏宇，贾晓琪，张秀艳，佘宗静，王应进，谭秀珍，左鸿毅，栾海光，刘英波</w:t>
      </w:r>
      <w:r>
        <w:rPr>
          <w:rFonts w:hint="eastAsia" w:ascii="宋体" w:hAnsi="宋体"/>
          <w:color w:val="auto"/>
        </w:rPr>
        <w:t>。</w:t>
      </w:r>
    </w:p>
    <w:p>
      <w:pPr>
        <w:pStyle w:val="25"/>
        <w:rPr>
          <w:rFonts w:hAnsi="宋体"/>
        </w:rPr>
      </w:pPr>
      <w:r>
        <w:rPr>
          <w:rFonts w:hint="eastAsia" w:hAnsi="宋体"/>
        </w:rPr>
        <w:t>本文件及其所代替文件的历次版本发布情况为：</w:t>
      </w:r>
    </w:p>
    <w:p>
      <w:pPr>
        <w:pStyle w:val="25"/>
        <w:rPr>
          <w:rFonts w:hAnsi="宋体"/>
        </w:rPr>
      </w:pPr>
      <w:r>
        <w:rPr>
          <w:rFonts w:hint="eastAsia" w:hAnsi="宋体"/>
        </w:rPr>
        <w:t>——2013年首次发布为Y</w:t>
      </w:r>
      <w:r>
        <w:rPr>
          <w:rFonts w:hAnsi="宋体"/>
        </w:rPr>
        <w:t>S/T</w:t>
      </w:r>
      <w:r>
        <w:rPr>
          <w:rFonts w:hint="eastAsia" w:hAnsi="宋体"/>
        </w:rPr>
        <w:t xml:space="preserve"> </w:t>
      </w:r>
      <w:r>
        <w:rPr>
          <w:rFonts w:hAnsi="宋体"/>
        </w:rPr>
        <w:t>9</w:t>
      </w:r>
      <w:r>
        <w:rPr>
          <w:rFonts w:hint="eastAsia" w:hAnsi="宋体"/>
        </w:rPr>
        <w:t>23</w:t>
      </w:r>
      <w:r>
        <w:rPr>
          <w:rFonts w:hAnsi="宋体"/>
        </w:rPr>
        <w:t>.</w:t>
      </w:r>
      <w:r>
        <w:rPr>
          <w:rFonts w:hint="eastAsia" w:hAnsi="宋体"/>
        </w:rPr>
        <w:t>2</w:t>
      </w:r>
      <w:r>
        <w:rPr>
          <w:rFonts w:hAnsi="宋体"/>
        </w:rPr>
        <w:t>-201</w:t>
      </w:r>
      <w:r>
        <w:rPr>
          <w:rFonts w:hint="eastAsia" w:hAnsi="宋体"/>
        </w:rPr>
        <w:t>3；</w:t>
      </w:r>
    </w:p>
    <w:p>
      <w:pPr>
        <w:pStyle w:val="25"/>
        <w:rPr>
          <w:rFonts w:hAnsi="宋体"/>
        </w:rPr>
        <w:sectPr>
          <w:headerReference r:id="rId3" w:type="default"/>
          <w:footerReference r:id="rId4" w:type="default"/>
          <w:pgSz w:w="11906" w:h="16838"/>
          <w:pgMar w:top="567" w:right="1134" w:bottom="1134" w:left="1418" w:header="850" w:footer="850" w:gutter="0"/>
          <w:pgNumType w:start="1"/>
          <w:cols w:space="425" w:num="1"/>
          <w:formProt w:val="0"/>
          <w:docGrid w:type="lines" w:linePitch="312" w:charSpace="0"/>
        </w:sectPr>
      </w:pPr>
      <w:r>
        <w:rPr>
          <w:rFonts w:hint="eastAsia" w:hAnsi="宋体"/>
        </w:rPr>
        <w:t>——本次为第一次</w:t>
      </w:r>
      <w:r>
        <w:rPr>
          <w:rFonts w:hint="eastAsia" w:hAnsi="宋体"/>
        </w:rPr>
        <w:t>修订。</w:t>
      </w:r>
    </w:p>
    <w:p>
      <w:pPr>
        <w:pStyle w:val="25"/>
        <w:ind w:firstLine="0" w:firstLineChars="0"/>
      </w:pPr>
    </w:p>
    <w:p>
      <w:pPr>
        <w:pStyle w:val="25"/>
        <w:tabs>
          <w:tab w:val="left" w:pos="9354"/>
        </w:tabs>
        <w:rPr>
          <w:rFonts w:hAnsi="宋体"/>
          <w:color w:val="000000" w:themeColor="text1"/>
          <w:szCs w:val="21"/>
          <w14:textFill>
            <w14:solidFill>
              <w14:schemeClr w14:val="tx1"/>
            </w14:solidFill>
          </w14:textFill>
        </w:rPr>
      </w:pPr>
    </w:p>
    <w:p>
      <w:pPr>
        <w:pStyle w:val="85"/>
        <w:framePr w:w="0" w:hRule="auto" w:wrap="auto" w:vAnchor="margin" w:hAnchor="text" w:xAlign="left" w:yAlign="inline"/>
        <w:tabs>
          <w:tab w:val="left" w:pos="9354"/>
        </w:tabs>
        <w:ind w:left="420"/>
        <w:rPr>
          <w:rFonts w:hint="eastAsia" w:eastAsia="黑体"/>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引言</w:t>
      </w: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pStyle w:val="85"/>
        <w:framePr w:w="0" w:hRule="auto" w:wrap="auto" w:vAnchor="margin" w:hAnchor="text" w:xAlign="left" w:yAlign="inline"/>
        <w:tabs>
          <w:tab w:val="left" w:pos="9354"/>
        </w:tabs>
        <w:ind w:left="420"/>
        <w:rPr>
          <w:color w:val="000000" w:themeColor="text1"/>
          <w:sz w:val="32"/>
          <w:szCs w:val="32"/>
          <w14:textFill>
            <w14:solidFill>
              <w14:schemeClr w14:val="tx1"/>
            </w14:solidFill>
          </w14:textFill>
        </w:rPr>
      </w:pPr>
    </w:p>
    <w:p>
      <w:pPr>
        <w:ind w:left="42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pStyle w:val="85"/>
        <w:framePr w:w="0" w:hRule="auto" w:wrap="auto" w:vAnchor="margin" w:hAnchor="text" w:xAlign="left" w:yAlign="inline"/>
        <w:tabs>
          <w:tab w:val="left" w:pos="9354"/>
        </w:tabs>
        <w:spacing w:line="360" w:lineRule="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高纯铋化学分析方法 第2部分：痕量杂质元素含量的测定  </w:t>
      </w:r>
    </w:p>
    <w:p>
      <w:pPr>
        <w:pStyle w:val="85"/>
        <w:framePr w:w="0" w:hRule="auto" w:wrap="auto" w:vAnchor="margin" w:hAnchor="text" w:xAlign="left" w:yAlign="inline"/>
        <w:tabs>
          <w:tab w:val="left" w:pos="9354"/>
        </w:tabs>
        <w:spacing w:line="360" w:lineRule="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辉光放电质谱法</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1  范围</w:t>
      </w:r>
    </w:p>
    <w:p>
      <w:pPr>
        <w:pStyle w:val="166"/>
        <w:tabs>
          <w:tab w:val="left" w:pos="9354"/>
        </w:tabs>
        <w:rPr>
          <w:rFonts w:ascii="宋体" w:hAnsi="宋体"/>
          <w:szCs w:val="21"/>
        </w:rPr>
      </w:pPr>
      <w:r>
        <w:rPr>
          <w:rFonts w:hint="eastAsia" w:ascii="宋体" w:hAnsi="宋体"/>
          <w:szCs w:val="21"/>
        </w:rPr>
        <w:t>本文件描述了高纯铋中杂质元素含量的测定方法。</w:t>
      </w:r>
    </w:p>
    <w:p>
      <w:pPr>
        <w:pStyle w:val="166"/>
        <w:tabs>
          <w:tab w:val="left" w:pos="9354"/>
        </w:tabs>
        <w:rPr>
          <w:rFonts w:hAnsi="宋体"/>
          <w:szCs w:val="21"/>
        </w:rPr>
      </w:pPr>
      <w:r>
        <w:rPr>
          <w:rFonts w:hint="eastAsia" w:ascii="宋体" w:hAnsi="宋体"/>
          <w:szCs w:val="21"/>
        </w:rPr>
        <w:t>本文件适用于高纯铋中杂质元素含量的测定。各元素测定范围见表1</w:t>
      </w:r>
      <w:r>
        <w:rPr>
          <w:rFonts w:hAnsi="宋体"/>
          <w:szCs w:val="21"/>
        </w:rPr>
        <w:t>。</w:t>
      </w:r>
    </w:p>
    <w:p>
      <w:pPr>
        <w:spacing w:line="360" w:lineRule="auto"/>
        <w:ind w:firstLine="420" w:firstLineChars="200"/>
        <w:jc w:val="center"/>
        <w:rPr>
          <w:rFonts w:ascii="黑体" w:hAnsi="黑体" w:eastAsia="黑体"/>
          <w:szCs w:val="21"/>
        </w:rPr>
      </w:pPr>
      <w:r>
        <w:rPr>
          <w:rFonts w:hint="eastAsia" w:ascii="黑体" w:hAnsi="黑体" w:eastAsia="黑体"/>
          <w:szCs w:val="21"/>
        </w:rPr>
        <w:t>表1 测定范围</w:t>
      </w:r>
    </w:p>
    <w:tbl>
      <w:tblPr>
        <w:tblStyle w:val="36"/>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247"/>
        <w:gridCol w:w="784"/>
        <w:gridCol w:w="1117"/>
        <w:gridCol w:w="783"/>
        <w:gridCol w:w="1117"/>
        <w:gridCol w:w="782"/>
        <w:gridCol w:w="1117"/>
        <w:gridCol w:w="70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1131" w:type="dxa"/>
            <w:vAlign w:val="center"/>
          </w:tcPr>
          <w:p>
            <w:pPr>
              <w:tabs>
                <w:tab w:val="left" w:pos="9354"/>
              </w:tabs>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11" w:type="dxa"/>
            <w:vAlign w:val="center"/>
          </w:tcPr>
          <w:p>
            <w:pPr>
              <w:tabs>
                <w:tab w:val="left" w:pos="9354"/>
              </w:tabs>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101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测定范围/μg/g</w:t>
            </w:r>
          </w:p>
        </w:tc>
        <w:tc>
          <w:tcPr>
            <w:tcW w:w="710"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01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09"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01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639"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06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Li</w:t>
            </w:r>
          </w:p>
        </w:tc>
        <w:tc>
          <w:tcPr>
            <w:tcW w:w="113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V</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Y</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Ba</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Hf</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Be</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Zr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La</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Ta</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B</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Mn</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Nb</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Ce</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W</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F</w:t>
            </w:r>
          </w:p>
        </w:tc>
        <w:tc>
          <w:tcPr>
            <w:tcW w:w="113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Fe</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Mo</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Pr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Re</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Na</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Co</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Ru</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Nd</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Os</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Mg</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Ni</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Rh</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Sm</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Ir</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Al</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Cu</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Pd</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Eu</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Pt</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Si</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Zn</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Ag</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Gd</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Au</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P</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Ga</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Cd</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Tb</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Hg</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Ge</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In</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Dy</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Tl</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K</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As</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Sn</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Ho</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Pb</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Cl</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Br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Sb</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Er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Th</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Ca</w:t>
            </w:r>
          </w:p>
        </w:tc>
        <w:tc>
          <w:tcPr>
            <w:tcW w:w="113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0.005</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Se</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I</w:t>
            </w:r>
          </w:p>
        </w:tc>
        <w:tc>
          <w:tcPr>
            <w:tcW w:w="1013"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Tm</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U</w:t>
            </w:r>
          </w:p>
        </w:tc>
        <w:tc>
          <w:tcPr>
            <w:tcW w:w="106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Sc</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Rb</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Te</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Yb</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063" w:type="dxa"/>
            <w:vAlign w:val="center"/>
          </w:tcPr>
          <w:p>
            <w:pPr>
              <w:tabs>
                <w:tab w:val="left" w:pos="9354"/>
              </w:tabs>
              <w:adjustRightInd w:val="0"/>
              <w:jc w:val="center"/>
              <w:rPr>
                <w:rFonts w:asciiTheme="minorEastAsia" w:hAnsiTheme="minorEastAsia" w:eastAsiaTheme="minorEastAsia"/>
                <w:sz w:val="18"/>
                <w:szCs w:val="18"/>
              </w:rPr>
            </w:pPr>
            <w:r>
              <w:rPr>
                <w:rFonts w:cs="Times New Roman"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Ti</w:t>
            </w:r>
          </w:p>
        </w:tc>
        <w:tc>
          <w:tcPr>
            <w:tcW w:w="1131"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1"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Sr</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10"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Cs</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709" w:type="dxa"/>
            <w:vAlign w:val="center"/>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Lu</w:t>
            </w:r>
          </w:p>
        </w:tc>
        <w:tc>
          <w:tcPr>
            <w:tcW w:w="1013" w:type="dxa"/>
          </w:tcPr>
          <w:p>
            <w:pPr>
              <w:tabs>
                <w:tab w:val="left" w:pos="9354"/>
              </w:tabs>
              <w:adjustRightInd w:val="0"/>
              <w:jc w:val="center"/>
              <w:rPr>
                <w:rFonts w:asciiTheme="minorEastAsia" w:hAnsiTheme="minorEastAsia" w:eastAsiaTheme="minorEastAsia"/>
                <w:sz w:val="18"/>
                <w:szCs w:val="18"/>
              </w:rPr>
            </w:pPr>
            <w:r>
              <w:rPr>
                <w:rFonts w:asciiTheme="minorEastAsia" w:hAnsiTheme="minorEastAsia" w:eastAsiaTheme="minorEastAsia"/>
                <w:sz w:val="18"/>
                <w:szCs w:val="18"/>
              </w:rPr>
              <w:t>0.001</w:t>
            </w:r>
            <w:r>
              <w:rPr>
                <w:rFonts w:eastAsiaTheme="minorEastAsia"/>
                <w:sz w:val="18"/>
                <w:szCs w:val="18"/>
              </w:rPr>
              <w:t>~</w:t>
            </w:r>
            <w:r>
              <w:rPr>
                <w:rFonts w:asciiTheme="minorEastAsia" w:hAnsiTheme="minorEastAsia" w:eastAsiaTheme="minorEastAsia"/>
                <w:sz w:val="18"/>
                <w:szCs w:val="18"/>
              </w:rPr>
              <w:t>5</w:t>
            </w:r>
          </w:p>
        </w:tc>
        <w:tc>
          <w:tcPr>
            <w:tcW w:w="639" w:type="dxa"/>
            <w:vAlign w:val="center"/>
          </w:tcPr>
          <w:p>
            <w:pPr>
              <w:tabs>
                <w:tab w:val="left" w:pos="9354"/>
              </w:tabs>
              <w:adjustRightInd w:val="0"/>
              <w:jc w:val="center"/>
              <w:rPr>
                <w:rFonts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063" w:type="dxa"/>
            <w:vAlign w:val="center"/>
          </w:tcPr>
          <w:p>
            <w:pPr>
              <w:tabs>
                <w:tab w:val="left" w:pos="9354"/>
              </w:tabs>
              <w:adjustRightInd w:val="0"/>
              <w:jc w:val="center"/>
              <w:rPr>
                <w:rFonts w:asciiTheme="minorEastAsia" w:hAnsiTheme="minorEastAsia" w:eastAsiaTheme="minorEastAsia"/>
                <w:sz w:val="18"/>
                <w:szCs w:val="18"/>
              </w:rPr>
            </w:pPr>
            <w:r>
              <w:rPr>
                <w:rFonts w:cs="Times New Roman" w:asciiTheme="minorEastAsia" w:hAnsiTheme="minorEastAsia" w:eastAsiaTheme="minorEastAsia"/>
                <w:sz w:val="18"/>
                <w:szCs w:val="18"/>
              </w:rPr>
              <w:t>-</w:t>
            </w:r>
          </w:p>
        </w:tc>
      </w:tr>
    </w:tbl>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2  规范性引用文件</w:t>
      </w:r>
    </w:p>
    <w:p>
      <w:pPr>
        <w:tabs>
          <w:tab w:val="left" w:pos="9354"/>
        </w:tabs>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9354"/>
        </w:tabs>
        <w:ind w:firstLine="420" w:firstLineChars="200"/>
        <w:rPr>
          <w:rFonts w:ascii="宋体" w:hAnsi="宋体"/>
          <w:szCs w:val="21"/>
        </w:rPr>
      </w:pPr>
      <w:r>
        <w:rPr>
          <w:rFonts w:hint="eastAsia" w:ascii="宋体" w:hAnsi="宋体"/>
          <w:szCs w:val="21"/>
        </w:rPr>
        <w:t>G</w:t>
      </w:r>
      <w:r>
        <w:rPr>
          <w:rFonts w:ascii="宋体" w:hAnsi="宋体"/>
          <w:szCs w:val="21"/>
        </w:rPr>
        <w:t xml:space="preserve">B/T 6682 </w:t>
      </w:r>
      <w:r>
        <w:rPr>
          <w:rFonts w:hint="eastAsia" w:ascii="宋体" w:hAnsi="宋体"/>
          <w:szCs w:val="21"/>
        </w:rPr>
        <w:t>分析实验室用水规格和试验方法</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3术语和定义</w:t>
      </w:r>
    </w:p>
    <w:p>
      <w:pPr>
        <w:spacing w:line="360" w:lineRule="auto"/>
        <w:ind w:firstLine="315" w:firstLineChars="150"/>
        <w:rPr>
          <w:rFonts w:ascii="宋体" w:hAnsi="宋体"/>
          <w:szCs w:val="21"/>
        </w:rPr>
      </w:pPr>
      <w:r>
        <w:rPr>
          <w:rFonts w:hint="eastAsia" w:ascii="宋体" w:hAnsi="宋体"/>
          <w:szCs w:val="21"/>
        </w:rPr>
        <w:t>下列术语和定义适用于本文件。</w:t>
      </w:r>
    </w:p>
    <w:p>
      <w:pPr>
        <w:spacing w:line="360" w:lineRule="auto"/>
        <w:rPr>
          <w:rFonts w:ascii="黑体" w:hAnsi="黑体" w:eastAsia="黑体"/>
          <w:szCs w:val="21"/>
        </w:rPr>
      </w:pPr>
      <w:r>
        <w:rPr>
          <w:rFonts w:hint="eastAsia" w:ascii="黑体" w:hAnsi="黑体" w:eastAsia="黑体"/>
          <w:szCs w:val="21"/>
        </w:rPr>
        <w:t>3.1</w:t>
      </w:r>
    </w:p>
    <w:p>
      <w:pPr>
        <w:spacing w:line="360" w:lineRule="auto"/>
        <w:ind w:firstLine="424" w:firstLineChars="202"/>
        <w:rPr>
          <w:rFonts w:ascii="黑体" w:hAnsi="黑体" w:eastAsia="黑体" w:cs="黑体"/>
          <w:szCs w:val="21"/>
        </w:rPr>
      </w:pPr>
      <w:r>
        <w:rPr>
          <w:rFonts w:hint="eastAsia" w:ascii="黑体" w:hAnsi="黑体" w:eastAsia="黑体" w:cs="黑体"/>
          <w:szCs w:val="21"/>
        </w:rPr>
        <w:t>仪器检测器校正样品</w:t>
      </w:r>
      <w:r>
        <w:rPr>
          <w:rFonts w:ascii="黑体" w:hAnsi="黑体" w:eastAsia="黑体" w:cs="黑体"/>
          <w:szCs w:val="21"/>
        </w:rPr>
        <w:t xml:space="preserve"> detector calibration sample</w:t>
      </w:r>
    </w:p>
    <w:p>
      <w:pPr>
        <w:spacing w:line="360" w:lineRule="auto"/>
        <w:ind w:firstLine="424" w:firstLineChars="202"/>
        <w:rPr>
          <w:rFonts w:ascii="宋体" w:hAnsi="宋体"/>
          <w:szCs w:val="21"/>
        </w:rPr>
      </w:pPr>
      <w:r>
        <w:rPr>
          <w:rFonts w:hint="eastAsia" w:ascii="宋体" w:hAnsi="宋体"/>
          <w:szCs w:val="21"/>
        </w:rPr>
        <w:t>能使辉光放电质谱仪产生同时位于不同检测器线性动态范围内稳定信号的样品。</w:t>
      </w:r>
    </w:p>
    <w:p>
      <w:pPr>
        <w:spacing w:line="360" w:lineRule="auto"/>
        <w:rPr>
          <w:rFonts w:ascii="黑体" w:hAnsi="黑体" w:eastAsia="黑体"/>
          <w:szCs w:val="21"/>
        </w:rPr>
      </w:pPr>
      <w:r>
        <w:rPr>
          <w:rFonts w:hint="eastAsia" w:ascii="黑体" w:hAnsi="黑体" w:eastAsia="黑体"/>
          <w:szCs w:val="21"/>
        </w:rPr>
        <w:t xml:space="preserve">3.2 </w:t>
      </w:r>
    </w:p>
    <w:p>
      <w:pPr>
        <w:spacing w:line="360" w:lineRule="auto"/>
        <w:ind w:firstLine="424" w:firstLineChars="202"/>
        <w:rPr>
          <w:rFonts w:ascii="黑体" w:hAnsi="黑体" w:eastAsia="黑体" w:cs="黑体"/>
          <w:szCs w:val="21"/>
        </w:rPr>
      </w:pPr>
      <w:r>
        <w:rPr>
          <w:rFonts w:hint="eastAsia" w:ascii="黑体" w:hAnsi="黑体" w:eastAsia="黑体" w:cs="黑体"/>
          <w:szCs w:val="21"/>
        </w:rPr>
        <w:t>仪器质量数校正样品</w:t>
      </w:r>
      <w:r>
        <w:rPr>
          <w:rFonts w:ascii="黑体" w:hAnsi="黑体" w:eastAsia="黑体" w:cs="黑体"/>
          <w:szCs w:val="21"/>
        </w:rPr>
        <w:t xml:space="preserve"> mass calibration sample</w:t>
      </w:r>
    </w:p>
    <w:p>
      <w:pPr>
        <w:spacing w:line="360" w:lineRule="auto"/>
        <w:ind w:firstLine="424" w:firstLineChars="202"/>
        <w:rPr>
          <w:rFonts w:hint="eastAsia" w:ascii="黑体" w:hAnsi="黑体" w:eastAsia="黑体"/>
          <w:szCs w:val="21"/>
        </w:rPr>
      </w:pPr>
      <w:r>
        <w:rPr>
          <w:rFonts w:hint="eastAsia" w:ascii="宋体" w:hAnsi="宋体"/>
          <w:szCs w:val="21"/>
        </w:rPr>
        <w:t>对辉光放电质谱仪进行精确质量数校正，用于确定质量峰位置的样品。</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4原理</w:t>
      </w:r>
    </w:p>
    <w:p>
      <w:pPr>
        <w:tabs>
          <w:tab w:val="left" w:pos="9354"/>
        </w:tabs>
        <w:ind w:firstLine="420" w:firstLineChars="200"/>
        <w:rPr>
          <w:rFonts w:ascii="宋体" w:hAnsi="宋体"/>
          <w:szCs w:val="21"/>
        </w:rPr>
      </w:pPr>
      <w:r>
        <w:rPr>
          <w:rFonts w:hint="eastAsia" w:ascii="宋体" w:hAnsi="宋体"/>
          <w:szCs w:val="21"/>
        </w:rPr>
        <w:t xml:space="preserve"> 高纯铋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试验条件</w:t>
      </w:r>
    </w:p>
    <w:p>
      <w:pPr>
        <w:tabs>
          <w:tab w:val="left" w:pos="664"/>
          <w:tab w:val="left" w:pos="9354"/>
        </w:tabs>
        <w:rPr>
          <w:rFonts w:cs="黑体" w:asciiTheme="minorEastAsia" w:hAnsiTheme="minorEastAsia" w:eastAsiaTheme="minorEastAsia"/>
          <w:szCs w:val="21"/>
        </w:rPr>
      </w:pPr>
      <w:r>
        <w:rPr>
          <w:rFonts w:hint="eastAsia" w:ascii="黑体" w:hAnsi="黑体" w:eastAsia="黑体" w:cs="黑体"/>
          <w:szCs w:val="21"/>
        </w:rPr>
        <w:t>5.1</w:t>
      </w:r>
      <w:r>
        <w:rPr>
          <w:rFonts w:hint="eastAsia" w:cs="黑体" w:asciiTheme="minorEastAsia" w:hAnsiTheme="minorEastAsia" w:eastAsiaTheme="minorEastAsia"/>
          <w:szCs w:val="21"/>
        </w:rPr>
        <w:t>温度：</w:t>
      </w:r>
      <w:r>
        <w:rPr>
          <w:rFonts w:cs="黑体" w:asciiTheme="minorEastAsia" w:hAnsiTheme="minorEastAsia" w:eastAsiaTheme="minorEastAsia"/>
          <w:szCs w:val="21"/>
        </w:rPr>
        <w:t xml:space="preserve">18 </w:t>
      </w:r>
      <w:r>
        <w:rPr>
          <w:rFonts w:hint="eastAsia" w:cs="黑体" w:asciiTheme="minorEastAsia" w:hAnsiTheme="minorEastAsia" w:eastAsiaTheme="minorEastAsia"/>
          <w:szCs w:val="21"/>
        </w:rPr>
        <w:t>℃</w:t>
      </w:r>
      <w:r>
        <w:rPr>
          <w:rFonts w:eastAsiaTheme="minorEastAsia"/>
          <w:szCs w:val="21"/>
        </w:rPr>
        <w:t>~</w:t>
      </w:r>
      <w:r>
        <w:rPr>
          <w:rFonts w:cs="黑体" w:asciiTheme="minorEastAsia" w:hAnsiTheme="minorEastAsia" w:eastAsiaTheme="minorEastAsia"/>
          <w:szCs w:val="21"/>
        </w:rPr>
        <w:t xml:space="preserve">24 </w:t>
      </w:r>
      <w:r>
        <w:rPr>
          <w:rFonts w:hint="eastAsia" w:cs="黑体" w:asciiTheme="minorEastAsia" w:hAnsiTheme="minorEastAsia" w:eastAsiaTheme="minorEastAsia"/>
          <w:szCs w:val="21"/>
        </w:rPr>
        <w:t>℃。</w:t>
      </w:r>
    </w:p>
    <w:p>
      <w:pPr>
        <w:tabs>
          <w:tab w:val="left" w:pos="664"/>
          <w:tab w:val="left" w:pos="9354"/>
        </w:tabs>
        <w:rPr>
          <w:rFonts w:cs="黑体" w:asciiTheme="minorEastAsia" w:hAnsiTheme="minorEastAsia" w:eastAsiaTheme="minorEastAsia"/>
          <w:szCs w:val="21"/>
        </w:rPr>
      </w:pPr>
      <w:r>
        <w:rPr>
          <w:rFonts w:hint="eastAsia" w:ascii="黑体" w:hAnsi="黑体" w:eastAsia="黑体" w:cs="黑体"/>
          <w:szCs w:val="21"/>
        </w:rPr>
        <w:t>5.2</w:t>
      </w:r>
      <w:r>
        <w:rPr>
          <w:rFonts w:hint="eastAsia" w:cs="黑体" w:asciiTheme="minorEastAsia" w:hAnsiTheme="minorEastAsia" w:eastAsiaTheme="minorEastAsia"/>
          <w:szCs w:val="21"/>
        </w:rPr>
        <w:t>相对</w:t>
      </w:r>
      <w:r>
        <w:rPr>
          <w:rFonts w:hint="eastAsia" w:cs="黑体" w:asciiTheme="minorEastAsia" w:hAnsiTheme="minorEastAsia" w:eastAsiaTheme="minorEastAsia"/>
          <w:szCs w:val="21"/>
        </w:rPr>
        <w:t>湿度：不大于</w:t>
      </w:r>
      <w:r>
        <w:rPr>
          <w:rFonts w:cs="黑体" w:asciiTheme="minorEastAsia" w:hAnsiTheme="minorEastAsia" w:eastAsiaTheme="minorEastAsia"/>
          <w:szCs w:val="21"/>
        </w:rPr>
        <w:t>65% RH。</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干扰因素</w:t>
      </w:r>
    </w:p>
    <w:p>
      <w:pPr>
        <w:tabs>
          <w:tab w:val="left" w:pos="664"/>
          <w:tab w:val="left" w:pos="9354"/>
        </w:tabs>
        <w:rPr>
          <w:szCs w:val="21"/>
        </w:rPr>
      </w:pPr>
      <w:r>
        <w:rPr>
          <w:rFonts w:hint="eastAsia" w:ascii="黑体" w:hAnsi="黑体" w:eastAsia="黑体" w:cs="黑体"/>
          <w:szCs w:val="21"/>
        </w:rPr>
        <w:t>6.1</w:t>
      </w:r>
      <w:r>
        <w:rPr>
          <w:rFonts w:hint="eastAsia" w:ascii="宋体" w:hAnsi="宋体" w:cs="宋体"/>
          <w:szCs w:val="21"/>
        </w:rPr>
        <w:t xml:space="preserve"> </w:t>
      </w:r>
      <w:r>
        <w:rPr>
          <w:rFonts w:hint="eastAsia"/>
          <w:szCs w:val="21"/>
        </w:rPr>
        <w:t>室内温度对仪器磁场稳定性有影响，因此应保证仪器室温度稳定性满足实验条件要求。</w:t>
      </w:r>
    </w:p>
    <w:p>
      <w:pPr>
        <w:tabs>
          <w:tab w:val="left" w:pos="664"/>
          <w:tab w:val="left" w:pos="9354"/>
        </w:tabs>
        <w:ind w:right="-283" w:rightChars="-135"/>
        <w:rPr>
          <w:szCs w:val="21"/>
        </w:rPr>
      </w:pPr>
      <w:r>
        <w:rPr>
          <w:rFonts w:hint="eastAsia" w:ascii="黑体" w:hAnsi="黑体" w:eastAsia="黑体" w:cs="黑体"/>
          <w:szCs w:val="21"/>
        </w:rPr>
        <w:t>6.2</w:t>
      </w:r>
      <w:r>
        <w:rPr>
          <w:rFonts w:hint="eastAsia" w:ascii="宋体" w:hAnsi="宋体" w:cs="宋体"/>
          <w:szCs w:val="21"/>
        </w:rPr>
        <w:t xml:space="preserve"> </w:t>
      </w:r>
      <w:r>
        <w:rPr>
          <w:rFonts w:hint="eastAsia"/>
          <w:szCs w:val="21"/>
        </w:rPr>
        <w:t>多原子离子干扰对个别元素同位素有影响，测定过程中应依据同位素丰度高，干扰少原则选择合适的同位素。</w:t>
      </w:r>
    </w:p>
    <w:p>
      <w:pPr>
        <w:tabs>
          <w:tab w:val="left" w:pos="664"/>
          <w:tab w:val="left" w:pos="9354"/>
        </w:tabs>
        <w:ind w:right="-141" w:rightChars="-67"/>
        <w:rPr>
          <w:szCs w:val="21"/>
        </w:rPr>
      </w:pPr>
      <w:r>
        <w:rPr>
          <w:rFonts w:hint="eastAsia" w:ascii="黑体" w:hAnsi="黑体" w:eastAsia="黑体" w:cs="黑体"/>
          <w:szCs w:val="21"/>
        </w:rPr>
        <w:t>6.3</w:t>
      </w:r>
      <w:r>
        <w:rPr>
          <w:rFonts w:hint="eastAsia" w:ascii="宋体" w:hAnsi="宋体" w:cs="宋体"/>
          <w:szCs w:val="21"/>
        </w:rPr>
        <w:t xml:space="preserve"> </w:t>
      </w:r>
      <w:r>
        <w:rPr>
          <w:rFonts w:hint="eastAsia"/>
          <w:szCs w:val="21"/>
        </w:rPr>
        <w:t>标样样品或参考样品的使用对测定结果准确度有影响，对于有标准样品或参考样品的属于定量检测，没有标准样品或参考样品时属于半定量检测。</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试剂</w:t>
      </w:r>
    </w:p>
    <w:p>
      <w:pPr>
        <w:tabs>
          <w:tab w:val="left" w:pos="9354"/>
        </w:tabs>
        <w:ind w:firstLine="420" w:firstLineChars="200"/>
        <w:rPr>
          <w:rFonts w:ascii="宋体" w:hAnsi="宋体" w:cs="宋体"/>
          <w:szCs w:val="21"/>
        </w:rPr>
      </w:pPr>
      <w:r>
        <w:rPr>
          <w:rFonts w:hint="eastAsia" w:ascii="宋体" w:hAnsi="宋体" w:cs="宋体"/>
          <w:szCs w:val="21"/>
        </w:rPr>
        <w:t>除非另有说明，在分析中仅使用确认为</w:t>
      </w:r>
      <w:r>
        <w:rPr>
          <w:rFonts w:ascii="宋体" w:hAnsi="宋体" w:cs="宋体"/>
          <w:szCs w:val="21"/>
        </w:rPr>
        <w:t>MOS</w:t>
      </w:r>
      <w:r>
        <w:rPr>
          <w:rFonts w:hint="eastAsia" w:ascii="宋体" w:hAnsi="宋体" w:cs="宋体"/>
          <w:szCs w:val="21"/>
        </w:rPr>
        <w:t>级及以上的试剂和去离子水电阻率</w:t>
      </w:r>
      <w:r>
        <w:rPr>
          <w:rFonts w:ascii="宋体" w:hAnsi="宋体" w:cs="宋体"/>
          <w:szCs w:val="21"/>
        </w:rPr>
        <w:t>≥18</w:t>
      </w:r>
      <w:r>
        <w:rPr>
          <w:rFonts w:hint="eastAsia" w:ascii="宋体" w:hAnsi="宋体" w:cs="宋体"/>
          <w:szCs w:val="21"/>
        </w:rPr>
        <w:t xml:space="preserve"> </w:t>
      </w:r>
      <w:r>
        <w:rPr>
          <w:rFonts w:ascii="宋体" w:hAnsi="宋体" w:cs="宋体"/>
          <w:szCs w:val="21"/>
        </w:rPr>
        <w:t>MΩ·cm。</w:t>
      </w:r>
    </w:p>
    <w:p>
      <w:pPr>
        <w:tabs>
          <w:tab w:val="left" w:pos="9354"/>
        </w:tabs>
        <w:rPr>
          <w:rFonts w:ascii="宋体" w:hAnsi="宋体" w:cs="宋体"/>
          <w:szCs w:val="21"/>
        </w:rPr>
      </w:pPr>
      <w:r>
        <w:rPr>
          <w:rFonts w:hint="eastAsia" w:ascii="宋体" w:hAnsi="宋体" w:cs="宋体"/>
          <w:szCs w:val="21"/>
        </w:rPr>
        <w:t>7.1</w:t>
      </w:r>
      <w:r>
        <w:rPr>
          <w:rFonts w:ascii="宋体" w:hAnsi="宋体" w:cs="宋体"/>
          <w:szCs w:val="21"/>
        </w:rPr>
        <w:t xml:space="preserve">  盐酸</w:t>
      </w:r>
      <w:r>
        <w:rPr>
          <w:rFonts w:hint="eastAsia" w:ascii="宋体" w:hAnsi="宋体" w:cs="宋体"/>
          <w:szCs w:val="21"/>
        </w:rPr>
        <w:t>（</w:t>
      </w:r>
      <w:r>
        <w:rPr>
          <w:rFonts w:ascii="宋体" w:hAnsi="宋体" w:cs="宋体"/>
          <w:szCs w:val="21"/>
        </w:rPr>
        <w:t>ρ=1.19</w:t>
      </w:r>
      <w:r>
        <w:rPr>
          <w:rFonts w:hint="eastAsia" w:ascii="宋体" w:hAnsi="宋体" w:cs="宋体"/>
          <w:szCs w:val="21"/>
        </w:rPr>
        <w:t xml:space="preserve"> </w:t>
      </w:r>
      <w:r>
        <w:rPr>
          <w:rFonts w:ascii="宋体" w:hAnsi="宋体" w:cs="宋体"/>
          <w:szCs w:val="21"/>
        </w:rPr>
        <w:t>g/mL</w:t>
      </w:r>
      <w:r>
        <w:rPr>
          <w:rFonts w:hint="eastAsia" w:ascii="宋体" w:hAnsi="宋体" w:cs="宋体"/>
          <w:szCs w:val="21"/>
        </w:rPr>
        <w:t>）</w:t>
      </w:r>
      <w:r>
        <w:rPr>
          <w:rFonts w:ascii="宋体" w:hAnsi="宋体" w:cs="宋体"/>
          <w:szCs w:val="21"/>
        </w:rPr>
        <w:t>。</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.2  硝酸</w:t>
      </w:r>
      <w:r>
        <w:rPr>
          <w:rFonts w:hint="eastAsia" w:ascii="宋体" w:hAnsi="宋体" w:cs="宋体"/>
          <w:szCs w:val="21"/>
        </w:rPr>
        <w:t>（</w:t>
      </w:r>
      <w:r>
        <w:rPr>
          <w:rFonts w:ascii="宋体" w:hAnsi="宋体" w:cs="宋体"/>
          <w:szCs w:val="21"/>
        </w:rPr>
        <w:t>ρ=1.42</w:t>
      </w:r>
      <w:r>
        <w:rPr>
          <w:rFonts w:hint="eastAsia" w:ascii="宋体" w:hAnsi="宋体" w:cs="宋体"/>
          <w:szCs w:val="21"/>
        </w:rPr>
        <w:t xml:space="preserve"> </w:t>
      </w:r>
      <w:r>
        <w:rPr>
          <w:rFonts w:ascii="宋体" w:hAnsi="宋体" w:cs="宋体"/>
          <w:szCs w:val="21"/>
        </w:rPr>
        <w:t>g/mL</w:t>
      </w:r>
      <w:r>
        <w:rPr>
          <w:rFonts w:hint="eastAsia" w:ascii="宋体" w:hAnsi="宋体" w:cs="宋体"/>
          <w:szCs w:val="21"/>
        </w:rPr>
        <w:t>）</w:t>
      </w:r>
      <w:r>
        <w:rPr>
          <w:rFonts w:ascii="宋体" w:hAnsi="宋体" w:cs="宋体"/>
          <w:szCs w:val="21"/>
        </w:rPr>
        <w:t>。</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.3  盐酸（1+1）。</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.4  硝酸（1+1）。</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 xml:space="preserve">.5 </w:t>
      </w:r>
      <w:r>
        <w:rPr>
          <w:rFonts w:hint="eastAsia" w:ascii="宋体" w:hAnsi="宋体" w:cs="宋体"/>
          <w:szCs w:val="21"/>
        </w:rPr>
        <w:t xml:space="preserve"> </w:t>
      </w:r>
      <w:r>
        <w:rPr>
          <w:rFonts w:ascii="宋体" w:hAnsi="宋体" w:cs="宋体"/>
          <w:szCs w:val="21"/>
        </w:rPr>
        <w:t>无水乙醇</w:t>
      </w:r>
      <w:r>
        <w:rPr>
          <w:rFonts w:hint="eastAsia" w:ascii="宋体" w:hAnsi="宋体" w:cs="宋体"/>
          <w:szCs w:val="21"/>
        </w:rPr>
        <w:t>（</w:t>
      </w:r>
      <w:r>
        <w:rPr>
          <w:rFonts w:ascii="宋体" w:hAnsi="宋体" w:cs="宋体"/>
          <w:szCs w:val="21"/>
        </w:rPr>
        <w:t>ρ=0.789</w:t>
      </w:r>
      <w:r>
        <w:rPr>
          <w:rFonts w:hint="eastAsia" w:ascii="宋体" w:hAnsi="宋体" w:cs="宋体"/>
          <w:szCs w:val="21"/>
        </w:rPr>
        <w:t xml:space="preserve"> </w:t>
      </w:r>
      <w:r>
        <w:rPr>
          <w:rFonts w:ascii="宋体" w:hAnsi="宋体" w:cs="宋体"/>
          <w:szCs w:val="21"/>
        </w:rPr>
        <w:t>g/mL</w:t>
      </w:r>
      <w:r>
        <w:rPr>
          <w:rFonts w:hint="eastAsia" w:ascii="宋体" w:hAnsi="宋体" w:cs="宋体"/>
          <w:szCs w:val="21"/>
        </w:rPr>
        <w:t>）</w:t>
      </w:r>
      <w:r>
        <w:rPr>
          <w:rFonts w:ascii="宋体" w:hAnsi="宋体" w:cs="宋体"/>
          <w:szCs w:val="21"/>
        </w:rPr>
        <w:t>。</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 xml:space="preserve">.6 </w:t>
      </w:r>
      <w:r>
        <w:rPr>
          <w:rFonts w:hint="eastAsia" w:ascii="宋体" w:hAnsi="宋体" w:cs="宋体"/>
          <w:szCs w:val="21"/>
        </w:rPr>
        <w:t xml:space="preserve"> 高纯</w:t>
      </w:r>
      <w:r>
        <w:rPr>
          <w:rFonts w:ascii="宋体" w:hAnsi="宋体" w:cs="宋体"/>
          <w:szCs w:val="21"/>
        </w:rPr>
        <w:t>氮气（体积分数</w:t>
      </w:r>
      <w:r>
        <w:rPr>
          <w:rFonts w:hint="eastAsia" w:ascii="宋体" w:hAnsi="宋体" w:cs="宋体"/>
          <w:szCs w:val="21"/>
        </w:rPr>
        <w:t>≥</w:t>
      </w:r>
      <w:r>
        <w:rPr>
          <w:rFonts w:ascii="宋体" w:hAnsi="宋体" w:cs="宋体"/>
          <w:szCs w:val="21"/>
        </w:rPr>
        <w:t>99.99%）。</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.7</w:t>
      </w:r>
      <w:r>
        <w:rPr>
          <w:rFonts w:hint="eastAsia" w:ascii="宋体" w:hAnsi="宋体" w:cs="宋体"/>
          <w:szCs w:val="21"/>
        </w:rPr>
        <w:t xml:space="preserve"> </w:t>
      </w:r>
      <w:r>
        <w:rPr>
          <w:rFonts w:ascii="宋体" w:hAnsi="宋体" w:cs="宋体"/>
          <w:szCs w:val="21"/>
        </w:rPr>
        <w:t xml:space="preserve"> 高纯氩气（体积分数</w:t>
      </w:r>
      <w:r>
        <w:rPr>
          <w:rFonts w:hint="eastAsia" w:ascii="宋体" w:hAnsi="宋体" w:cs="宋体"/>
          <w:szCs w:val="21"/>
        </w:rPr>
        <w:t>≥</w:t>
      </w:r>
      <w:r>
        <w:rPr>
          <w:rFonts w:ascii="宋体" w:hAnsi="宋体" w:cs="宋体"/>
          <w:szCs w:val="21"/>
        </w:rPr>
        <w:t>99.9995%）。</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 xml:space="preserve">.8 </w:t>
      </w:r>
      <w:r>
        <w:rPr>
          <w:rFonts w:hint="eastAsia" w:ascii="宋体" w:hAnsi="宋体" w:cs="宋体"/>
          <w:szCs w:val="21"/>
        </w:rPr>
        <w:t xml:space="preserve"> </w:t>
      </w:r>
      <w:r>
        <w:rPr>
          <w:rFonts w:ascii="宋体" w:hAnsi="宋体" w:cs="宋体"/>
          <w:szCs w:val="21"/>
        </w:rPr>
        <w:t>高纯</w:t>
      </w:r>
      <w:r>
        <w:rPr>
          <w:rFonts w:hint="eastAsia" w:ascii="宋体" w:hAnsi="宋体" w:cs="宋体"/>
          <w:szCs w:val="21"/>
        </w:rPr>
        <w:t>铋</w:t>
      </w:r>
      <w:r>
        <w:rPr>
          <w:rFonts w:ascii="宋体" w:hAnsi="宋体" w:cs="宋体"/>
          <w:szCs w:val="21"/>
        </w:rPr>
        <w:t>标准样品：有证或具有溯源性的高纯</w:t>
      </w:r>
      <w:r>
        <w:rPr>
          <w:rFonts w:hint="eastAsia" w:ascii="宋体" w:hAnsi="宋体" w:cs="宋体"/>
          <w:szCs w:val="21"/>
        </w:rPr>
        <w:t>铋</w:t>
      </w:r>
      <w:r>
        <w:rPr>
          <w:rFonts w:ascii="宋体" w:hAnsi="宋体" w:cs="宋体"/>
          <w:szCs w:val="21"/>
        </w:rPr>
        <w:t>标准样品。</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 xml:space="preserve">9 </w:t>
      </w:r>
      <w:r>
        <w:rPr>
          <w:rFonts w:ascii="宋体" w:hAnsi="宋体" w:cs="宋体"/>
          <w:szCs w:val="21"/>
        </w:rPr>
        <w:t>检测器校正样品：高纯钽材料（</w:t>
      </w:r>
      <w:r>
        <w:rPr>
          <w:rFonts w:hint="eastAsia" w:ascii="宋体" w:hAnsi="宋体" w:cs="宋体"/>
          <w:szCs w:val="21"/>
        </w:rPr>
        <w:t>w</w:t>
      </w:r>
      <w:r>
        <w:rPr>
          <w:rFonts w:ascii="宋体" w:hAnsi="宋体" w:cs="宋体"/>
          <w:szCs w:val="21"/>
          <w:vertAlign w:val="subscript"/>
        </w:rPr>
        <w:t>Ta</w:t>
      </w:r>
      <w:r>
        <w:rPr>
          <w:rFonts w:hint="eastAsia" w:ascii="宋体" w:hAnsi="宋体" w:cs="宋体"/>
          <w:szCs w:val="21"/>
        </w:rPr>
        <w:t>≥</w:t>
      </w:r>
      <w:r>
        <w:rPr>
          <w:rFonts w:ascii="宋体" w:hAnsi="宋体" w:cs="宋体"/>
          <w:szCs w:val="21"/>
        </w:rPr>
        <w:t>99.99%）。</w:t>
      </w:r>
    </w:p>
    <w:p>
      <w:pPr>
        <w:tabs>
          <w:tab w:val="left" w:pos="9354"/>
        </w:tabs>
        <w:rPr>
          <w:rFonts w:ascii="宋体" w:hAnsi="宋体" w:cs="宋体"/>
          <w:szCs w:val="21"/>
        </w:rPr>
      </w:pPr>
      <w:r>
        <w:rPr>
          <w:rFonts w:hint="eastAsia" w:ascii="宋体" w:hAnsi="宋体" w:cs="宋体"/>
          <w:szCs w:val="21"/>
        </w:rPr>
        <w:t>7</w:t>
      </w:r>
      <w:r>
        <w:rPr>
          <w:rFonts w:ascii="宋体" w:hAnsi="宋体" w:cs="宋体"/>
          <w:szCs w:val="21"/>
        </w:rPr>
        <w:t>.1</w:t>
      </w:r>
      <w:r>
        <w:rPr>
          <w:rFonts w:hint="eastAsia" w:ascii="宋体" w:hAnsi="宋体" w:cs="宋体"/>
          <w:szCs w:val="21"/>
        </w:rPr>
        <w:t xml:space="preserve">0 </w:t>
      </w:r>
      <w:r>
        <w:rPr>
          <w:rFonts w:ascii="宋体" w:hAnsi="宋体" w:cs="宋体"/>
          <w:szCs w:val="21"/>
        </w:rPr>
        <w:t>质量</w:t>
      </w:r>
      <w:r>
        <w:rPr>
          <w:rFonts w:hint="eastAsia" w:ascii="宋体" w:hAnsi="宋体" w:cs="宋体"/>
          <w:szCs w:val="21"/>
        </w:rPr>
        <w:t>数</w:t>
      </w:r>
      <w:r>
        <w:rPr>
          <w:rFonts w:ascii="宋体" w:hAnsi="宋体" w:cs="宋体"/>
          <w:szCs w:val="21"/>
        </w:rPr>
        <w:t>校正样品：黄铜合金或高纯钽（</w:t>
      </w:r>
      <w:r>
        <w:rPr>
          <w:rFonts w:hint="eastAsia" w:ascii="宋体" w:hAnsi="宋体" w:cs="宋体"/>
          <w:szCs w:val="21"/>
        </w:rPr>
        <w:t>w</w:t>
      </w:r>
      <w:r>
        <w:rPr>
          <w:rFonts w:ascii="宋体" w:hAnsi="宋体" w:cs="宋体"/>
          <w:szCs w:val="21"/>
          <w:vertAlign w:val="subscript"/>
        </w:rPr>
        <w:t>Ta</w:t>
      </w:r>
      <w:r>
        <w:rPr>
          <w:rFonts w:hint="eastAsia" w:ascii="宋体" w:hAnsi="宋体" w:cs="宋体"/>
          <w:szCs w:val="21"/>
        </w:rPr>
        <w:t>≥</w:t>
      </w:r>
      <w:r>
        <w:rPr>
          <w:rFonts w:ascii="宋体" w:hAnsi="宋体" w:cs="宋体"/>
          <w:szCs w:val="21"/>
        </w:rPr>
        <w:t>99.99%）。</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8仪器设备</w:t>
      </w:r>
    </w:p>
    <w:p>
      <w:pPr>
        <w:ind w:firstLine="0" w:firstLineChars="0"/>
        <w:rPr>
          <w:rFonts w:ascii="宋体" w:hAnsi="宋体"/>
          <w:szCs w:val="21"/>
        </w:rPr>
      </w:pP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asciiTheme="minorEastAsia" w:hAnsiTheme="minorEastAsia" w:eastAsiaTheme="minorEastAsia"/>
          <w:szCs w:val="21"/>
        </w:rPr>
        <w:t>辉光放电质谱仪：质量分辨率</w:t>
      </w:r>
      <w:r>
        <w:rPr>
          <w:rFonts w:hint="eastAsia" w:asciiTheme="minorEastAsia" w:hAnsiTheme="minorEastAsia" w:eastAsiaTheme="minorEastAsia"/>
          <w:szCs w:val="21"/>
        </w:rPr>
        <w:t>不低于</w:t>
      </w:r>
      <w:r>
        <w:rPr>
          <w:rFonts w:asciiTheme="minorEastAsia" w:hAnsiTheme="minorEastAsia" w:eastAsiaTheme="minorEastAsia"/>
          <w:szCs w:val="21"/>
        </w:rPr>
        <w:t>3000</w:t>
      </w:r>
      <w:r>
        <w:rPr>
          <w:rFonts w:hint="eastAsia" w:asciiTheme="minorEastAsia" w:hAnsiTheme="minorEastAsia" w:eastAsiaTheme="minorEastAsia"/>
          <w:szCs w:val="21"/>
        </w:rPr>
        <w:t>。测定时要求</w:t>
      </w:r>
      <w:r>
        <w:rPr>
          <w:rFonts w:asciiTheme="minorEastAsia" w:hAnsiTheme="minorEastAsia" w:eastAsiaTheme="minorEastAsia"/>
          <w:szCs w:val="21"/>
        </w:rPr>
        <w:t>基体</w:t>
      </w:r>
      <w:r>
        <w:rPr>
          <w:rFonts w:hint="eastAsia" w:asciiTheme="minorEastAsia" w:hAnsiTheme="minorEastAsia" w:eastAsiaTheme="minorEastAsia"/>
          <w:szCs w:val="21"/>
        </w:rPr>
        <w:t>同位素</w:t>
      </w:r>
      <w:r>
        <w:rPr>
          <w:rFonts w:hint="eastAsia" w:asciiTheme="minorEastAsia" w:hAnsiTheme="minorEastAsia" w:eastAsiaTheme="minorEastAsia"/>
          <w:szCs w:val="21"/>
          <w:vertAlign w:val="superscript"/>
        </w:rPr>
        <w:t>209</w:t>
      </w:r>
      <w:r>
        <w:rPr>
          <w:rFonts w:asciiTheme="minorEastAsia" w:hAnsiTheme="minorEastAsia" w:eastAsiaTheme="minorEastAsia"/>
          <w:szCs w:val="21"/>
        </w:rPr>
        <w:t>B</w:t>
      </w:r>
      <w:r>
        <w:rPr>
          <w:rFonts w:hint="eastAsia" w:asciiTheme="minorEastAsia" w:hAnsiTheme="minorEastAsia" w:eastAsiaTheme="minorEastAsia"/>
          <w:szCs w:val="21"/>
        </w:rPr>
        <w:t>i电流值</w:t>
      </w:r>
      <w:r>
        <w:rPr>
          <w:rFonts w:asciiTheme="minorEastAsia" w:hAnsiTheme="minorEastAsia" w:eastAsiaTheme="minorEastAsia"/>
          <w:szCs w:val="21"/>
        </w:rPr>
        <w:t>不小于</w:t>
      </w:r>
      <w:bookmarkStart w:id="9" w:name="_Hlk89785566"/>
      <w:r>
        <w:rPr>
          <w:rFonts w:hint="eastAsia" w:asciiTheme="minorEastAsia" w:hAnsiTheme="minorEastAsia" w:eastAsiaTheme="minorEastAsia"/>
          <w:szCs w:val="21"/>
        </w:rPr>
        <w:t>1.6</w:t>
      </w:r>
      <w:r>
        <w:rPr>
          <w:rFonts w:asciiTheme="minorEastAsia" w:hAnsiTheme="minorEastAsia" w:eastAsiaTheme="minorEastAsia"/>
          <w:szCs w:val="21"/>
        </w:rPr>
        <w:t>×10</w:t>
      </w:r>
      <w:r>
        <w:rPr>
          <w:rFonts w:hint="eastAsia" w:asciiTheme="minorEastAsia" w:hAnsiTheme="minorEastAsia" w:eastAsiaTheme="minorEastAsia"/>
          <w:szCs w:val="21"/>
          <w:vertAlign w:val="superscript"/>
        </w:rPr>
        <w:t xml:space="preserve">-10 </w:t>
      </w:r>
      <w:r>
        <w:rPr>
          <w:rFonts w:hint="eastAsia" w:asciiTheme="minorEastAsia" w:hAnsiTheme="minorEastAsia" w:eastAsiaTheme="minorEastAsia"/>
          <w:szCs w:val="21"/>
        </w:rPr>
        <w:t>A</w:t>
      </w:r>
      <w:bookmarkEnd w:id="9"/>
      <w:r>
        <w:rPr>
          <w:rFonts w:hint="eastAsia"/>
          <w:szCs w:val="21"/>
        </w:rPr>
        <w:t>，峰形符合分辨率要求，</w:t>
      </w:r>
      <w:r>
        <w:rPr>
          <w:szCs w:val="21"/>
        </w:rPr>
        <w:t>用仪器检测器校正样品</w:t>
      </w:r>
      <w:r>
        <w:rPr>
          <w:rFonts w:hint="eastAsia"/>
          <w:szCs w:val="21"/>
        </w:rPr>
        <w:t>（7.9）</w:t>
      </w:r>
      <w:r>
        <w:rPr>
          <w:szCs w:val="21"/>
        </w:rPr>
        <w:t>和仪器质量数校正样品（</w:t>
      </w:r>
      <w:r>
        <w:rPr>
          <w:rFonts w:hint="eastAsia"/>
          <w:szCs w:val="21"/>
        </w:rPr>
        <w:t>7.10</w:t>
      </w:r>
      <w:r>
        <w:rPr>
          <w:szCs w:val="21"/>
        </w:rPr>
        <w:t>）对仪器进行检测器校正和质量数校正</w:t>
      </w:r>
      <w:r>
        <w:rPr>
          <w:rFonts w:hint="eastAsia" w:hAnsi="宋体"/>
          <w:szCs w:val="21"/>
        </w:rPr>
        <w:t>。</w:t>
      </w:r>
    </w:p>
    <w:p>
      <w:pPr>
        <w:tabs>
          <w:tab w:val="left" w:pos="9354"/>
        </w:tabs>
        <w:ind w:right="-2" w:rightChars="0"/>
        <w:rPr>
          <w:rFonts w:ascii="宋体" w:hAnsi="宋体"/>
          <w:szCs w:val="21"/>
        </w:rPr>
      </w:pP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 xml:space="preserve">.2 </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szCs w:val="21"/>
        </w:rPr>
        <w:t>制样加工设备：</w:t>
      </w:r>
      <w:r>
        <w:rPr>
          <w:rFonts w:hint="eastAsia" w:ascii="宋体" w:hAnsi="宋体"/>
          <w:szCs w:val="21"/>
        </w:rPr>
        <w:t>将试样加工成满足仪器要求的形状和大小，并使其具有平坦光滑的表面，包括切割机、压片机、抛磨机、超声清洗机等。</w:t>
      </w:r>
    </w:p>
    <w:p>
      <w:pPr>
        <w:pStyle w:val="52"/>
        <w:tabs>
          <w:tab w:val="left" w:pos="579"/>
          <w:tab w:val="left" w:pos="9354"/>
        </w:tabs>
        <w:adjustRightInd w:val="0"/>
        <w:spacing w:before="312" w:after="312"/>
        <w:outlineLvl w:val="9"/>
        <w:rPr>
          <w:color w:val="000000" w:themeColor="text1"/>
          <w14:textFill>
            <w14:solidFill>
              <w14:schemeClr w14:val="tx1"/>
            </w14:solidFill>
          </w14:textFill>
        </w:rPr>
      </w:pPr>
      <w:bookmarkStart w:id="10" w:name="OLE_LINK44"/>
      <w:bookmarkStart w:id="11" w:name="OLE_LINK114"/>
      <w:bookmarkStart w:id="12" w:name="_Toc41299123"/>
      <w:r>
        <w:rPr>
          <w:rFonts w:hint="eastAsia"/>
          <w:color w:val="000000" w:themeColor="text1"/>
          <w14:textFill>
            <w14:solidFill>
              <w14:schemeClr w14:val="tx1"/>
            </w14:solidFill>
          </w14:textFill>
        </w:rPr>
        <w:t>9样品</w:t>
      </w:r>
    </w:p>
    <w:p>
      <w:pPr>
        <w:tabs>
          <w:tab w:val="left" w:pos="315"/>
        </w:tabs>
        <w:autoSpaceDE w:val="0"/>
        <w:autoSpaceDN w:val="0"/>
        <w:adjustRightInd w:val="0"/>
        <w:spacing w:before="10" w:after="156" w:afterLines="50"/>
        <w:jc w:val="left"/>
        <w:rPr>
          <w:rFonts w:ascii="黑体" w:eastAsia="黑体"/>
          <w:bCs/>
          <w:kern w:val="0"/>
          <w:szCs w:val="21"/>
        </w:rPr>
      </w:pPr>
      <w:r>
        <w:rPr>
          <w:rFonts w:ascii="黑体" w:eastAsia="黑体"/>
          <w:bCs/>
          <w:kern w:val="0"/>
          <w:szCs w:val="21"/>
        </w:rPr>
        <w:t>9</w:t>
      </w:r>
      <w:r>
        <w:rPr>
          <w:rFonts w:hint="eastAsia" w:ascii="黑体" w:eastAsia="黑体"/>
          <w:bCs/>
          <w:kern w:val="0"/>
          <w:szCs w:val="21"/>
        </w:rPr>
        <w:t>.1样品制备:</w:t>
      </w:r>
    </w:p>
    <w:p>
      <w:pPr>
        <w:tabs>
          <w:tab w:val="left" w:pos="9354"/>
        </w:tabs>
        <w:spacing w:after="156" w:afterLines="50"/>
        <w:ind w:firstLine="420" w:firstLineChars="200"/>
        <w:rPr>
          <w:rFonts w:asciiTheme="minorEastAsia" w:hAnsiTheme="minorEastAsia" w:eastAsiaTheme="minorEastAsia"/>
        </w:rPr>
      </w:pPr>
      <w:r>
        <w:rPr>
          <w:rFonts w:asciiTheme="minorEastAsia" w:hAnsiTheme="minorEastAsia" w:eastAsiaTheme="minorEastAsia"/>
          <w:kern w:val="0"/>
          <w:szCs w:val="21"/>
        </w:rPr>
        <w:t>样品尺寸</w:t>
      </w:r>
      <w:r>
        <w:rPr>
          <w:rFonts w:hint="eastAsia" w:asciiTheme="minorEastAsia" w:hAnsiTheme="minorEastAsia" w:eastAsiaTheme="minorEastAsia"/>
          <w:kern w:val="0"/>
          <w:szCs w:val="21"/>
        </w:rPr>
        <w:t>应</w:t>
      </w:r>
      <w:r>
        <w:rPr>
          <w:rFonts w:asciiTheme="minorEastAsia" w:hAnsiTheme="minorEastAsia" w:eastAsiaTheme="minorEastAsia"/>
          <w:kern w:val="0"/>
          <w:szCs w:val="21"/>
        </w:rPr>
        <w:t>能放入辉光放电离子源内并且能够稳定地进行辉光放电。常规样品指棒状或片状的金属样品，</w:t>
      </w:r>
      <w:r>
        <w:rPr>
          <w:rFonts w:hint="eastAsia" w:asciiTheme="minorEastAsia" w:hAnsiTheme="minorEastAsia" w:eastAsiaTheme="minorEastAsia"/>
        </w:rPr>
        <w:t>棒状是指</w:t>
      </w:r>
      <w:r>
        <w:rPr>
          <w:rFonts w:asciiTheme="minorEastAsia" w:hAnsiTheme="minorEastAsia" w:eastAsiaTheme="minorEastAsia"/>
        </w:rPr>
        <w:t>直径为2 mm</w:t>
      </w:r>
      <w:r>
        <w:rPr>
          <w:rFonts w:eastAsiaTheme="minorEastAsia"/>
        </w:rPr>
        <w:t>~</w:t>
      </w:r>
      <w:r>
        <w:rPr>
          <w:rFonts w:asciiTheme="minorEastAsia" w:hAnsiTheme="minorEastAsia" w:eastAsiaTheme="minorEastAsia"/>
        </w:rPr>
        <w:t>3 mm、长约</w:t>
      </w:r>
      <w:r>
        <w:rPr>
          <w:rFonts w:hint="eastAsia" w:asciiTheme="minorEastAsia" w:hAnsiTheme="minorEastAsia" w:eastAsiaTheme="minorEastAsia"/>
        </w:rPr>
        <w:t>20</w:t>
      </w:r>
      <w:r>
        <w:rPr>
          <w:rFonts w:asciiTheme="minorEastAsia" w:hAnsiTheme="minorEastAsia" w:eastAsiaTheme="minorEastAsia"/>
        </w:rPr>
        <w:t xml:space="preserve"> </w:t>
      </w:r>
      <w:r>
        <w:rPr>
          <w:rFonts w:hint="eastAsia" w:asciiTheme="minorEastAsia" w:hAnsiTheme="minorEastAsia" w:eastAsiaTheme="minorEastAsia"/>
        </w:rPr>
        <w:t>mm</w:t>
      </w:r>
      <w:r>
        <w:rPr>
          <w:rFonts w:hint="eastAsia" w:eastAsiaTheme="minorEastAsia"/>
        </w:rPr>
        <w:t>~</w:t>
      </w:r>
      <w:r>
        <w:rPr>
          <w:rFonts w:hint="eastAsia" w:asciiTheme="minorEastAsia" w:hAnsiTheme="minorEastAsia" w:eastAsiaTheme="minorEastAsia"/>
        </w:rPr>
        <w:t>25</w:t>
      </w:r>
      <w:r>
        <w:rPr>
          <w:rFonts w:asciiTheme="minorEastAsia" w:hAnsiTheme="minorEastAsia" w:eastAsiaTheme="minorEastAsia"/>
        </w:rPr>
        <w:t xml:space="preserve"> mm的棒</w:t>
      </w:r>
      <w:r>
        <w:rPr>
          <w:rFonts w:hint="eastAsia" w:asciiTheme="minorEastAsia" w:hAnsiTheme="minorEastAsia" w:eastAsiaTheme="minorEastAsia"/>
        </w:rPr>
        <w:t>状</w:t>
      </w:r>
      <w:r>
        <w:rPr>
          <w:rFonts w:asciiTheme="minorEastAsia" w:hAnsiTheme="minorEastAsia" w:eastAsiaTheme="minorEastAsia"/>
        </w:rPr>
        <w:t>，</w:t>
      </w:r>
      <w:r>
        <w:rPr>
          <w:rFonts w:hint="eastAsia" w:asciiTheme="minorEastAsia" w:hAnsiTheme="minorEastAsia" w:eastAsiaTheme="minorEastAsia"/>
        </w:rPr>
        <w:t>片状是指</w:t>
      </w:r>
      <w:r>
        <w:rPr>
          <w:rFonts w:asciiTheme="minorEastAsia" w:hAnsiTheme="minorEastAsia" w:eastAsiaTheme="minorEastAsia"/>
        </w:rPr>
        <w:t xml:space="preserve">直径为12 </w:t>
      </w:r>
      <w:r>
        <w:rPr>
          <w:rFonts w:hint="eastAsia" w:asciiTheme="minorEastAsia" w:hAnsiTheme="minorEastAsia" w:eastAsiaTheme="minorEastAsia"/>
        </w:rPr>
        <w:t>mm</w:t>
      </w:r>
      <w:r>
        <w:rPr>
          <w:rFonts w:eastAsiaTheme="minorEastAsia"/>
        </w:rPr>
        <w:t>~</w:t>
      </w:r>
      <w:r>
        <w:rPr>
          <w:rFonts w:asciiTheme="minorEastAsia" w:hAnsiTheme="minorEastAsia" w:eastAsiaTheme="minorEastAsia"/>
        </w:rPr>
        <w:t>60 mm</w:t>
      </w:r>
      <w:r>
        <w:rPr>
          <w:rFonts w:hint="eastAsia" w:asciiTheme="minorEastAsia" w:hAnsiTheme="minorEastAsia" w:eastAsiaTheme="minorEastAsia"/>
        </w:rPr>
        <w:t>、</w:t>
      </w:r>
      <w:r>
        <w:rPr>
          <w:rFonts w:asciiTheme="minorEastAsia" w:hAnsiTheme="minorEastAsia" w:eastAsiaTheme="minorEastAsia"/>
        </w:rPr>
        <w:t xml:space="preserve">厚度为1 </w:t>
      </w:r>
      <w:r>
        <w:rPr>
          <w:rFonts w:hint="eastAsia" w:asciiTheme="minorEastAsia" w:hAnsiTheme="minorEastAsia" w:eastAsiaTheme="minorEastAsia"/>
        </w:rPr>
        <w:t>mm</w:t>
      </w:r>
      <w:r>
        <w:rPr>
          <w:rFonts w:eastAsiaTheme="minorEastAsia"/>
        </w:rPr>
        <w:t>~</w:t>
      </w:r>
      <w:r>
        <w:rPr>
          <w:rFonts w:asciiTheme="minorEastAsia" w:hAnsiTheme="minorEastAsia" w:eastAsiaTheme="minorEastAsia"/>
        </w:rPr>
        <w:t>20 mm的片状，保持样品表面光洁和平整。</w:t>
      </w:r>
    </w:p>
    <w:p>
      <w:pPr>
        <w:tabs>
          <w:tab w:val="left" w:pos="315"/>
        </w:tabs>
        <w:autoSpaceDE w:val="0"/>
        <w:autoSpaceDN w:val="0"/>
        <w:adjustRightInd w:val="0"/>
        <w:spacing w:before="10" w:after="156" w:afterLines="50"/>
        <w:jc w:val="left"/>
        <w:rPr>
          <w:rFonts w:ascii="黑体" w:eastAsia="黑体"/>
          <w:bCs/>
          <w:kern w:val="0"/>
          <w:szCs w:val="21"/>
        </w:rPr>
      </w:pPr>
      <w:r>
        <w:rPr>
          <w:rFonts w:ascii="黑体" w:eastAsia="黑体"/>
          <w:bCs/>
          <w:kern w:val="0"/>
          <w:szCs w:val="21"/>
        </w:rPr>
        <w:t xml:space="preserve">9.2 </w:t>
      </w:r>
      <w:r>
        <w:rPr>
          <w:rFonts w:hint="eastAsia" w:ascii="黑体" w:eastAsia="黑体"/>
          <w:bCs/>
          <w:kern w:val="0"/>
          <w:szCs w:val="21"/>
        </w:rPr>
        <w:t>样品清洗</w:t>
      </w:r>
    </w:p>
    <w:p>
      <w:pPr>
        <w:tabs>
          <w:tab w:val="left" w:pos="9354"/>
        </w:tabs>
        <w:ind w:firstLine="420" w:firstLineChars="200"/>
        <w:rPr>
          <w:rFonts w:ascii="Times New Roman" w:eastAsiaTheme="minorEastAsia"/>
          <w:bCs w:val="0"/>
          <w:kern w:val="2"/>
          <w:szCs w:val="21"/>
        </w:rPr>
      </w:pPr>
      <w:r>
        <w:rPr>
          <w:rFonts w:asciiTheme="minorEastAsia" w:hAnsiTheme="minorEastAsia" w:eastAsiaTheme="minorEastAsia"/>
        </w:rPr>
        <w:t>在装样之前</w:t>
      </w:r>
      <w:r>
        <w:rPr>
          <w:rFonts w:asciiTheme="minorEastAsia" w:hAnsiTheme="minorEastAsia" w:eastAsiaTheme="minorEastAsia"/>
          <w:szCs w:val="21"/>
        </w:rPr>
        <w:t>，试</w:t>
      </w:r>
      <w:r>
        <w:rPr>
          <w:rFonts w:hint="eastAsia" w:asciiTheme="minorEastAsia" w:hAnsiTheme="minorEastAsia" w:eastAsiaTheme="minorEastAsia"/>
          <w:szCs w:val="21"/>
        </w:rPr>
        <w:t>样</w:t>
      </w:r>
      <w:r>
        <w:rPr>
          <w:rFonts w:asciiTheme="minorEastAsia" w:hAnsiTheme="minorEastAsia" w:eastAsiaTheme="minorEastAsia"/>
          <w:szCs w:val="21"/>
        </w:rPr>
        <w:t>的表面应通过腐蚀清洗：用</w:t>
      </w:r>
      <w:r>
        <w:rPr>
          <w:rFonts w:hint="eastAsia" w:asciiTheme="minorEastAsia" w:hAnsiTheme="minorEastAsia" w:eastAsiaTheme="minorEastAsia"/>
          <w:szCs w:val="21"/>
        </w:rPr>
        <w:t>无水</w:t>
      </w:r>
      <w:r>
        <w:rPr>
          <w:rFonts w:asciiTheme="minorEastAsia" w:hAnsiTheme="minorEastAsia" w:eastAsiaTheme="minorEastAsia"/>
          <w:szCs w:val="21"/>
        </w:rPr>
        <w:t>乙醇（</w:t>
      </w:r>
      <w:r>
        <w:rPr>
          <w:rFonts w:hint="eastAsia" w:asciiTheme="minorEastAsia" w:hAnsiTheme="minorEastAsia" w:eastAsiaTheme="minorEastAsia"/>
          <w:szCs w:val="21"/>
        </w:rPr>
        <w:t>7</w:t>
      </w:r>
      <w:r>
        <w:rPr>
          <w:rFonts w:asciiTheme="minorEastAsia" w:hAnsiTheme="minorEastAsia" w:eastAsiaTheme="minorEastAsia"/>
          <w:szCs w:val="21"/>
        </w:rPr>
        <w:t>.5）</w:t>
      </w:r>
      <w:r>
        <w:rPr>
          <w:rFonts w:hint="eastAsia" w:asciiTheme="minorEastAsia" w:hAnsiTheme="minorEastAsia" w:eastAsiaTheme="minorEastAsia"/>
          <w:szCs w:val="21"/>
        </w:rPr>
        <w:t>浸泡</w:t>
      </w:r>
      <w:r>
        <w:rPr>
          <w:rFonts w:asciiTheme="minorEastAsia" w:hAnsiTheme="minorEastAsia" w:eastAsiaTheme="minorEastAsia"/>
          <w:szCs w:val="21"/>
        </w:rPr>
        <w:t>样品</w:t>
      </w:r>
      <w:r>
        <w:rPr>
          <w:rFonts w:hint="eastAsia" w:asciiTheme="minorEastAsia" w:hAnsiTheme="minorEastAsia" w:eastAsiaTheme="minorEastAsia"/>
          <w:szCs w:val="21"/>
        </w:rPr>
        <w:t>4</w:t>
      </w:r>
      <w:r>
        <w:rPr>
          <w:rFonts w:asciiTheme="minorEastAsia" w:hAnsiTheme="minorEastAsia" w:eastAsiaTheme="minorEastAsia"/>
          <w:szCs w:val="21"/>
        </w:rPr>
        <w:t xml:space="preserve"> </w:t>
      </w:r>
      <w:r>
        <w:rPr>
          <w:rFonts w:hint="eastAsia" w:asciiTheme="minorEastAsia" w:hAnsiTheme="minorEastAsia" w:eastAsiaTheme="minorEastAsia"/>
          <w:szCs w:val="21"/>
        </w:rPr>
        <w:t>min</w:t>
      </w:r>
      <w:r>
        <w:rPr>
          <w:rFonts w:hint="eastAsia" w:eastAsiaTheme="minorEastAsia"/>
          <w:szCs w:val="21"/>
        </w:rPr>
        <w:t>~</w:t>
      </w:r>
      <w:r>
        <w:rPr>
          <w:rFonts w:hint="eastAsia" w:asciiTheme="minorEastAsia" w:hAnsiTheme="minorEastAsia" w:eastAsiaTheme="minorEastAsia"/>
          <w:szCs w:val="21"/>
        </w:rPr>
        <w:t>5min，清洗掉</w:t>
      </w:r>
      <w:r>
        <w:rPr>
          <w:rFonts w:asciiTheme="minorEastAsia" w:hAnsiTheme="minorEastAsia" w:eastAsiaTheme="minorEastAsia"/>
          <w:szCs w:val="21"/>
        </w:rPr>
        <w:t>表面上的油污，用盐酸（</w:t>
      </w:r>
      <w:r>
        <w:rPr>
          <w:rFonts w:hint="eastAsia" w:asciiTheme="minorEastAsia" w:hAnsiTheme="minorEastAsia" w:eastAsiaTheme="minorEastAsia"/>
          <w:szCs w:val="21"/>
        </w:rPr>
        <w:t>7</w:t>
      </w:r>
      <w:r>
        <w:rPr>
          <w:rFonts w:asciiTheme="minorEastAsia" w:hAnsiTheme="minorEastAsia" w:eastAsiaTheme="minorEastAsia"/>
          <w:szCs w:val="21"/>
        </w:rPr>
        <w:t>.3）腐蚀</w:t>
      </w:r>
      <w:r>
        <w:rPr>
          <w:rFonts w:hint="eastAsia" w:asciiTheme="minorEastAsia" w:hAnsiTheme="minorEastAsia" w:eastAsiaTheme="minorEastAsia"/>
          <w:szCs w:val="21"/>
        </w:rPr>
        <w:t>8</w:t>
      </w:r>
      <w:r>
        <w:rPr>
          <w:rFonts w:asciiTheme="minorEastAsia" w:hAnsiTheme="minorEastAsia" w:eastAsiaTheme="minorEastAsia"/>
          <w:szCs w:val="21"/>
        </w:rPr>
        <w:t xml:space="preserve"> </w:t>
      </w:r>
      <w:r>
        <w:rPr>
          <w:rFonts w:hint="eastAsia" w:asciiTheme="minorEastAsia" w:hAnsiTheme="minorEastAsia" w:eastAsiaTheme="minorEastAsia"/>
          <w:szCs w:val="21"/>
        </w:rPr>
        <w:t>min</w:t>
      </w:r>
      <w:r>
        <w:rPr>
          <w:rFonts w:hint="default" w:eastAsiaTheme="minorEastAsia"/>
          <w:szCs w:val="21"/>
        </w:rPr>
        <w:t>~</w:t>
      </w:r>
      <w:r>
        <w:rPr>
          <w:rFonts w:asciiTheme="minorEastAsia" w:hAnsiTheme="minorEastAsia" w:eastAsiaTheme="minorEastAsia"/>
          <w:szCs w:val="21"/>
        </w:rPr>
        <w:t>10 min，</w:t>
      </w:r>
      <w:r>
        <w:rPr>
          <w:rFonts w:hint="eastAsia" w:asciiTheme="minorEastAsia" w:hAnsiTheme="minorEastAsia" w:eastAsiaTheme="minorEastAsia"/>
          <w:szCs w:val="21"/>
        </w:rPr>
        <w:t>用水</w:t>
      </w:r>
      <w:r>
        <w:rPr>
          <w:rFonts w:asciiTheme="minorEastAsia" w:hAnsiTheme="minorEastAsia" w:eastAsiaTheme="minorEastAsia"/>
          <w:szCs w:val="21"/>
        </w:rPr>
        <w:t>超声清洗</w:t>
      </w:r>
      <w:r>
        <w:rPr>
          <w:rFonts w:hint="eastAsia" w:asciiTheme="minorEastAsia" w:hAnsiTheme="minorEastAsia" w:eastAsiaTheme="minorEastAsia"/>
          <w:szCs w:val="21"/>
        </w:rPr>
        <w:t>8</w:t>
      </w:r>
      <w:r>
        <w:rPr>
          <w:rFonts w:asciiTheme="minorEastAsia" w:hAnsiTheme="minorEastAsia" w:eastAsiaTheme="minorEastAsia"/>
          <w:szCs w:val="21"/>
        </w:rPr>
        <w:t xml:space="preserve"> </w:t>
      </w:r>
      <w:r>
        <w:rPr>
          <w:rFonts w:hint="eastAsia" w:asciiTheme="minorEastAsia" w:hAnsiTheme="minorEastAsia" w:eastAsiaTheme="minorEastAsia"/>
          <w:szCs w:val="21"/>
        </w:rPr>
        <w:t>min</w:t>
      </w:r>
      <w:r>
        <w:rPr>
          <w:rFonts w:hint="eastAsia" w:eastAsiaTheme="minorEastAsia"/>
          <w:szCs w:val="21"/>
        </w:rPr>
        <w:t>~</w:t>
      </w:r>
      <w:r>
        <w:rPr>
          <w:rFonts w:asciiTheme="minorEastAsia" w:hAnsiTheme="minorEastAsia" w:eastAsiaTheme="minorEastAsia"/>
          <w:szCs w:val="21"/>
        </w:rPr>
        <w:t>10 min，</w:t>
      </w:r>
      <w:r>
        <w:rPr>
          <w:rFonts w:hint="eastAsia" w:asciiTheme="minorEastAsia" w:hAnsiTheme="minorEastAsia" w:eastAsiaTheme="minorEastAsia"/>
          <w:szCs w:val="21"/>
        </w:rPr>
        <w:t>冲洗10次</w:t>
      </w:r>
      <w:r>
        <w:rPr>
          <w:rFonts w:asciiTheme="minorEastAsia" w:hAnsiTheme="minorEastAsia" w:eastAsiaTheme="minorEastAsia"/>
          <w:szCs w:val="21"/>
        </w:rPr>
        <w:t>，</w:t>
      </w:r>
      <w:r>
        <w:rPr>
          <w:rFonts w:hint="eastAsia" w:asciiTheme="minorEastAsia" w:hAnsiTheme="minorEastAsia" w:eastAsiaTheme="minorEastAsia"/>
          <w:szCs w:val="21"/>
        </w:rPr>
        <w:t>再</w:t>
      </w:r>
      <w:r>
        <w:rPr>
          <w:rFonts w:asciiTheme="minorEastAsia" w:hAnsiTheme="minorEastAsia" w:eastAsiaTheme="minorEastAsia"/>
          <w:szCs w:val="21"/>
        </w:rPr>
        <w:t>用高纯氮气（</w:t>
      </w:r>
      <w:r>
        <w:rPr>
          <w:rFonts w:hint="eastAsia" w:asciiTheme="minorEastAsia" w:hAnsiTheme="minorEastAsia" w:eastAsiaTheme="minorEastAsia"/>
          <w:szCs w:val="21"/>
        </w:rPr>
        <w:t>7</w:t>
      </w:r>
      <w:r>
        <w:rPr>
          <w:rFonts w:asciiTheme="minorEastAsia" w:hAnsiTheme="minorEastAsia" w:eastAsiaTheme="minorEastAsia"/>
          <w:szCs w:val="21"/>
        </w:rPr>
        <w:t>.6）吹干，</w:t>
      </w:r>
      <w:r>
        <w:rPr>
          <w:rFonts w:hint="eastAsia" w:asciiTheme="minorEastAsia" w:hAnsiTheme="minorEastAsia" w:eastAsiaTheme="minorEastAsia"/>
          <w:szCs w:val="21"/>
        </w:rPr>
        <w:t>待测</w:t>
      </w:r>
      <w:r>
        <w:rPr>
          <w:rFonts w:asciiTheme="minorEastAsia" w:hAnsiTheme="minorEastAsia" w:eastAsiaTheme="minorEastAsia"/>
          <w:szCs w:val="21"/>
        </w:rPr>
        <w:t>。</w:t>
      </w:r>
    </w:p>
    <w:bookmarkEnd w:id="10"/>
    <w:bookmarkEnd w:id="11"/>
    <w:bookmarkEnd w:id="12"/>
    <w:p>
      <w:pPr>
        <w:tabs>
          <w:tab w:val="left" w:pos="315"/>
        </w:tabs>
        <w:autoSpaceDE w:val="0"/>
        <w:autoSpaceDN w:val="0"/>
        <w:adjustRightInd w:val="0"/>
        <w:spacing w:before="312" w:beforeLines="100" w:after="312" w:afterLines="100"/>
        <w:jc w:val="left"/>
        <w:rPr>
          <w:rFonts w:ascii="黑体" w:eastAsia="黑体"/>
          <w:bCs/>
          <w:kern w:val="0"/>
          <w:szCs w:val="21"/>
        </w:rPr>
      </w:pPr>
      <w:r>
        <w:rPr>
          <w:rFonts w:hint="eastAsia" w:ascii="黑体" w:eastAsia="黑体"/>
          <w:bCs/>
          <w:kern w:val="0"/>
          <w:szCs w:val="21"/>
        </w:rPr>
        <w:t>1</w:t>
      </w:r>
      <w:r>
        <w:rPr>
          <w:rFonts w:ascii="黑体" w:eastAsia="黑体"/>
          <w:bCs/>
          <w:kern w:val="0"/>
          <w:szCs w:val="21"/>
        </w:rPr>
        <w:t xml:space="preserve">0 </w:t>
      </w:r>
      <w:r>
        <w:rPr>
          <w:rFonts w:hint="eastAsia" w:ascii="黑体" w:eastAsia="黑体"/>
          <w:bCs/>
          <w:kern w:val="0"/>
          <w:szCs w:val="21"/>
        </w:rPr>
        <w:t>试验步骤</w:t>
      </w:r>
    </w:p>
    <w:p>
      <w:pPr>
        <w:widowControl/>
        <w:tabs>
          <w:tab w:val="left" w:pos="9354"/>
        </w:tabs>
        <w:spacing w:line="360" w:lineRule="auto"/>
        <w:jc w:val="left"/>
        <w:rPr>
          <w:rFonts w:ascii="黑体" w:eastAsia="黑体"/>
          <w:bCs/>
          <w:kern w:val="0"/>
          <w:szCs w:val="21"/>
        </w:rPr>
      </w:pPr>
      <w:r>
        <w:rPr>
          <w:rFonts w:ascii="黑体" w:eastAsia="黑体"/>
          <w:bCs/>
          <w:kern w:val="0"/>
          <w:szCs w:val="21"/>
        </w:rPr>
        <w:t>10</w:t>
      </w:r>
      <w:r>
        <w:rPr>
          <w:rFonts w:hint="eastAsia" w:ascii="黑体" w:eastAsia="黑体"/>
          <w:bCs/>
          <w:kern w:val="0"/>
          <w:szCs w:val="21"/>
        </w:rPr>
        <w:t>.1半定量分析</w:t>
      </w:r>
    </w:p>
    <w:p>
      <w:pPr>
        <w:tabs>
          <w:tab w:val="left" w:pos="315"/>
          <w:tab w:val="left" w:pos="9354"/>
        </w:tabs>
        <w:autoSpaceDE w:val="0"/>
        <w:autoSpaceDN w:val="0"/>
        <w:adjustRightInd w:val="0"/>
        <w:spacing w:line="360" w:lineRule="auto"/>
        <w:ind w:right="-2"/>
        <w:jc w:val="left"/>
        <w:rPr>
          <w:rFonts w:hAnsi="宋体"/>
          <w:szCs w:val="21"/>
        </w:rPr>
      </w:pPr>
      <w:r>
        <w:rPr>
          <w:rFonts w:ascii="黑体" w:hAnsi="黑体" w:eastAsia="黑体"/>
          <w:color w:val="000000" w:themeColor="text1"/>
          <w14:textFill>
            <w14:solidFill>
              <w14:schemeClr w14:val="tx1"/>
            </w14:solidFill>
          </w14:textFill>
        </w:rPr>
        <w:t>10</w:t>
      </w: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szCs w:val="24"/>
          <w14:textFill>
            <w14:solidFill>
              <w14:schemeClr w14:val="tx1"/>
            </w14:solidFill>
          </w14:textFill>
        </w:rPr>
        <w:t>试样装</w:t>
      </w:r>
      <w:r>
        <w:rPr>
          <w:rFonts w:hint="eastAsia" w:ascii="黑体" w:hAnsi="黑体" w:eastAsia="黑体"/>
          <w:color w:val="000000" w:themeColor="text1"/>
          <w14:textFill>
            <w14:solidFill>
              <w14:schemeClr w14:val="tx1"/>
            </w14:solidFill>
          </w14:textFill>
        </w:rPr>
        <w:t>载</w:t>
      </w:r>
    </w:p>
    <w:p>
      <w:pPr>
        <w:tabs>
          <w:tab w:val="left" w:pos="315"/>
          <w:tab w:val="left" w:pos="9354"/>
        </w:tabs>
        <w:autoSpaceDE w:val="0"/>
        <w:autoSpaceDN w:val="0"/>
        <w:adjustRightInd w:val="0"/>
        <w:ind w:firstLine="420" w:firstLineChars="200"/>
        <w:jc w:val="left"/>
        <w:rPr>
          <w:rFonts w:ascii="宋体" w:hAnsi="宋体"/>
        </w:rPr>
      </w:pPr>
      <w:r>
        <w:rPr>
          <w:rFonts w:hint="eastAsia" w:ascii="宋体" w:hAnsi="宋体"/>
        </w:rPr>
        <w:t>将</w:t>
      </w:r>
      <w:r>
        <w:rPr>
          <w:rFonts w:ascii="宋体" w:hAnsi="宋体"/>
        </w:rPr>
        <w:t>9</w:t>
      </w:r>
      <w:r>
        <w:rPr>
          <w:rFonts w:hint="eastAsia" w:ascii="宋体" w:hAnsi="宋体"/>
        </w:rPr>
        <w:t>中处理好的试样迅速装载到辉光放电离子源中，开启辉光放电，</w:t>
      </w:r>
      <w:bookmarkStart w:id="13" w:name="_Hlk101517288"/>
      <w:r>
        <w:rPr>
          <w:rFonts w:hint="eastAsia" w:ascii="宋体" w:hAnsi="宋体"/>
        </w:rPr>
        <w:t>尽量缩短样品清洁表面在实验室环境的暴露时间。</w:t>
      </w:r>
    </w:p>
    <w:bookmarkEnd w:id="13"/>
    <w:p>
      <w:pPr>
        <w:tabs>
          <w:tab w:val="left" w:pos="315"/>
          <w:tab w:val="left" w:pos="9354"/>
        </w:tabs>
        <w:autoSpaceDE w:val="0"/>
        <w:autoSpaceDN w:val="0"/>
        <w:adjustRightInd w:val="0"/>
        <w:spacing w:line="360" w:lineRule="auto"/>
        <w:ind w:right="-2"/>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2 同位素</w:t>
      </w:r>
    </w:p>
    <w:p>
      <w:pPr>
        <w:tabs>
          <w:tab w:val="left" w:pos="315"/>
          <w:tab w:val="left" w:pos="9354"/>
        </w:tabs>
        <w:autoSpaceDE w:val="0"/>
        <w:autoSpaceDN w:val="0"/>
        <w:adjustRightInd w:val="0"/>
        <w:ind w:firstLine="420" w:firstLineChars="200"/>
        <w:jc w:val="left"/>
        <w:rPr>
          <w:rFonts w:ascii="宋体" w:hAnsi="宋体"/>
        </w:rPr>
      </w:pPr>
      <w:r>
        <w:rPr>
          <w:rFonts w:hint="eastAsia" w:ascii="宋体" w:hAnsi="宋体"/>
        </w:rPr>
        <w:t>各待测元素同位素见表2。</w:t>
      </w:r>
    </w:p>
    <w:p>
      <w:pPr>
        <w:tabs>
          <w:tab w:val="left" w:pos="9354"/>
        </w:tabs>
        <w:spacing w:line="360" w:lineRule="auto"/>
        <w:ind w:firstLine="420" w:firstLineChars="200"/>
        <w:jc w:val="center"/>
        <w:rPr>
          <w:rFonts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w:t>
      </w:r>
      <w:r>
        <w:rPr>
          <w:rFonts w:hint="eastAsia" w:eastAsia="黑体"/>
          <w:szCs w:val="21"/>
        </w:rPr>
        <w:t>各元素同位素</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同位素</w:t>
            </w:r>
          </w:p>
        </w:tc>
        <w:tc>
          <w:tcPr>
            <w:tcW w:w="851" w:type="dxa"/>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851" w:type="dxa"/>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同位素</w:t>
            </w:r>
          </w:p>
        </w:tc>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同位素</w:t>
            </w:r>
          </w:p>
        </w:tc>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851" w:type="dxa"/>
            <w:shd w:val="clear" w:color="auto" w:fill="auto"/>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同位素</w:t>
            </w:r>
          </w:p>
        </w:tc>
        <w:tc>
          <w:tcPr>
            <w:tcW w:w="851" w:type="dxa"/>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元素</w:t>
            </w:r>
          </w:p>
        </w:tc>
        <w:tc>
          <w:tcPr>
            <w:tcW w:w="1115" w:type="dxa"/>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同位素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Li</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V</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Y</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89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Ba</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Hf</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177，</w:t>
            </w:r>
            <w:r>
              <w:rPr>
                <w:rFonts w:asciiTheme="minorEastAsia" w:hAnsiTheme="minorEastAsia" w:eastAsiaTheme="minorEastAsia"/>
                <w:sz w:val="18"/>
                <w:szCs w:val="1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Be</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Cr</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52</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Zr</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90</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La</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139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Ta</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B</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11</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Mn</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55</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Nb</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93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Ce</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140</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W</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F</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Fe</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56</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Mo</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9</w:t>
            </w:r>
            <w:r>
              <w:rPr>
                <w:rFonts w:hint="eastAsia" w:asciiTheme="minorEastAsia" w:hAnsiTheme="minorEastAsia" w:eastAsiaTheme="minorEastAsia"/>
                <w:sz w:val="18"/>
                <w:szCs w:val="18"/>
              </w:rPr>
              <w:t>8</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Pr</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141</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Re</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Na</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23</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Co</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59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Ru</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101</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Nd</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142</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Os</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Mg</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Ni</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Rh</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Sm</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152</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Ir</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19</w:t>
            </w: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Al</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27</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Cu</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63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Pd</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10</w:t>
            </w:r>
            <w:r>
              <w:rPr>
                <w:rFonts w:hint="eastAsia" w:asciiTheme="minorEastAsia" w:hAnsiTheme="minorEastAsia" w:eastAsiaTheme="minorEastAsia"/>
                <w:sz w:val="18"/>
                <w:szCs w:val="18"/>
              </w:rPr>
              <w:t>6</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Eu</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153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Pt</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S</w:t>
            </w:r>
            <w:r>
              <w:rPr>
                <w:rFonts w:asciiTheme="minorEastAsia" w:hAnsiTheme="minorEastAsia" w:eastAsiaTheme="minorEastAsia"/>
                <w:sz w:val="18"/>
                <w:szCs w:val="18"/>
              </w:rPr>
              <w:t>i</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Zn</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4</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Ag</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10</w:t>
            </w:r>
            <w:r>
              <w:rPr>
                <w:rFonts w:hint="eastAsia" w:asciiTheme="minorEastAsia" w:hAnsiTheme="minorEastAsia" w:eastAsiaTheme="minorEastAsia"/>
                <w:sz w:val="18"/>
                <w:szCs w:val="18"/>
              </w:rPr>
              <w:t>7</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Gd</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158</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Au</w:t>
            </w:r>
          </w:p>
        </w:tc>
        <w:tc>
          <w:tcPr>
            <w:tcW w:w="1115"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P</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31</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Ga</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69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Cd</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11</w:t>
            </w:r>
            <w:r>
              <w:rPr>
                <w:rFonts w:hint="eastAsia" w:asciiTheme="minorEastAsia" w:hAnsiTheme="minorEastAsia" w:eastAsiaTheme="minorEastAsia"/>
                <w:sz w:val="18"/>
                <w:szCs w:val="18"/>
              </w:rPr>
              <w:t>4</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Tb</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159</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Hg</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S</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Ge</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In</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115</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Dy</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164</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Tl</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K</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39</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As</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75</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Sn</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119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Ho</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165</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Pb</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l</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5</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Br</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79</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Sb</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121</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Er</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166</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Bi</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Ca</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44</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Se</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82</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I</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127</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Tm</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169</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Th</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Sc</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Rb</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85</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Te</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30</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Yb</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174</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U</w:t>
            </w:r>
          </w:p>
        </w:tc>
        <w:tc>
          <w:tcPr>
            <w:tcW w:w="1115"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Ti</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Sr</w:t>
            </w:r>
          </w:p>
        </w:tc>
        <w:tc>
          <w:tcPr>
            <w:tcW w:w="851" w:type="dxa"/>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88</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Cs</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133</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Lu</w:t>
            </w:r>
          </w:p>
        </w:tc>
        <w:tc>
          <w:tcPr>
            <w:tcW w:w="851" w:type="dxa"/>
            <w:shd w:val="clear" w:color="auto" w:fill="auto"/>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175</w:t>
            </w:r>
          </w:p>
        </w:tc>
        <w:tc>
          <w:tcPr>
            <w:tcW w:w="851" w:type="dxa"/>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115" w:type="dxa"/>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bl>
    <w:p>
      <w:pPr>
        <w:tabs>
          <w:tab w:val="left" w:pos="315"/>
          <w:tab w:val="left" w:pos="9354"/>
        </w:tabs>
        <w:autoSpaceDE w:val="0"/>
        <w:autoSpaceDN w:val="0"/>
        <w:adjustRightInd w:val="0"/>
        <w:spacing w:line="360" w:lineRule="auto"/>
        <w:ind w:right="-2"/>
        <w:jc w:val="left"/>
        <w:rPr>
          <w:rFonts w:hAnsi="宋体"/>
          <w:szCs w:val="21"/>
        </w:rPr>
      </w:pPr>
      <w:bookmarkStart w:id="14" w:name="_Hlk101517354"/>
      <w:r>
        <w:rPr>
          <w:rFonts w:ascii="黑体" w:hAnsi="黑体" w:eastAsia="黑体"/>
          <w:color w:val="000000" w:themeColor="text1"/>
          <w14:textFill>
            <w14:solidFill>
              <w14:schemeClr w14:val="tx1"/>
            </w14:solidFill>
          </w14:textFill>
        </w:rPr>
        <w:t xml:space="preserve">10.1.3 </w:t>
      </w:r>
      <w:r>
        <w:rPr>
          <w:rFonts w:hint="eastAsia" w:ascii="黑体" w:hAnsi="黑体" w:eastAsia="黑体"/>
          <w:color w:val="000000" w:themeColor="text1"/>
          <w14:textFill>
            <w14:solidFill>
              <w14:schemeClr w14:val="tx1"/>
            </w14:solidFill>
          </w14:textFill>
        </w:rPr>
        <w:t>试样预溅射</w:t>
      </w:r>
    </w:p>
    <w:p>
      <w:pPr>
        <w:tabs>
          <w:tab w:val="left" w:pos="9354"/>
        </w:tabs>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在正式采集数据前进行</w:t>
      </w:r>
      <w:r>
        <w:rPr>
          <w:rFonts w:asciiTheme="minorEastAsia" w:hAnsiTheme="minorEastAsia" w:eastAsiaTheme="minorEastAsia"/>
          <w:szCs w:val="21"/>
        </w:rPr>
        <w:t>5 min</w:t>
      </w:r>
      <w:r>
        <w:rPr>
          <w:rFonts w:eastAsiaTheme="minorEastAsia"/>
          <w:szCs w:val="21"/>
        </w:rPr>
        <w:t>~</w:t>
      </w:r>
      <w:r>
        <w:rPr>
          <w:rFonts w:asciiTheme="minorEastAsia" w:hAnsiTheme="minorEastAsia" w:eastAsiaTheme="minorEastAsia"/>
          <w:szCs w:val="21"/>
        </w:rPr>
        <w:t>20</w:t>
      </w:r>
      <w:r>
        <w:rPr>
          <w:rFonts w:hint="eastAsia" w:asciiTheme="minorEastAsia" w:hAnsiTheme="minorEastAsia" w:eastAsiaTheme="minorEastAsia"/>
          <w:szCs w:val="21"/>
        </w:rPr>
        <w:t xml:space="preserve"> </w:t>
      </w:r>
      <w:r>
        <w:rPr>
          <w:rFonts w:asciiTheme="minorEastAsia" w:hAnsiTheme="minorEastAsia" w:eastAsiaTheme="minorEastAsia"/>
          <w:szCs w:val="21"/>
        </w:rPr>
        <w:t>min</w:t>
      </w:r>
      <w:r>
        <w:rPr>
          <w:rFonts w:hint="eastAsia" w:asciiTheme="minorEastAsia" w:hAnsiTheme="minorEastAsia" w:eastAsiaTheme="minorEastAsia"/>
          <w:szCs w:val="21"/>
        </w:rPr>
        <w:t>的预溅射，去除试样表面污染；然后按表A.1调节辉光放电离子源溅射条件。</w:t>
      </w:r>
    </w:p>
    <w:p>
      <w:pPr>
        <w:tabs>
          <w:tab w:val="left" w:pos="9354"/>
        </w:tabs>
        <w:spacing w:line="360" w:lineRule="auto"/>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1.4</w:t>
      </w:r>
      <w:r>
        <w:rPr>
          <w:rFonts w:hint="eastAsia" w:ascii="黑体" w:hAnsi="宋体" w:eastAsia="黑体"/>
          <w:szCs w:val="21"/>
        </w:rPr>
        <w:t>样品测量</w:t>
      </w:r>
    </w:p>
    <w:p>
      <w:pPr>
        <w:tabs>
          <w:tab w:val="left" w:pos="9354"/>
        </w:tabs>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在预分析溅射条件下开始辉光放电，仪器软件中的“典型相对灵敏度因子”用作被测元素的相对灵敏度因子</w:t>
      </w:r>
      <w:r>
        <w:rPr>
          <w:rFonts w:asciiTheme="minorEastAsia" w:hAnsiTheme="minorEastAsia" w:eastAsiaTheme="minorEastAsia"/>
          <w:szCs w:val="21"/>
        </w:rPr>
        <w:t>，测定样品中痕量元素的含量。连续三次测量数据的相对标准偏差应满足表3，则应对测量数据进行确认，并计算最后3个测量数据的平均值。</w:t>
      </w:r>
    </w:p>
    <w:p>
      <w:pPr>
        <w:widowControl/>
        <w:tabs>
          <w:tab w:val="left" w:pos="9354"/>
        </w:tabs>
        <w:spacing w:line="360" w:lineRule="auto"/>
        <w:jc w:val="left"/>
        <w:rPr>
          <w:rFonts w:ascii="黑体" w:eastAsia="黑体"/>
          <w:bCs/>
          <w:kern w:val="0"/>
          <w:szCs w:val="21"/>
        </w:rPr>
      </w:pPr>
      <w:r>
        <w:rPr>
          <w:rFonts w:ascii="黑体" w:eastAsia="黑体"/>
          <w:bCs/>
          <w:kern w:val="0"/>
          <w:szCs w:val="21"/>
        </w:rPr>
        <w:t xml:space="preserve">10.2 </w:t>
      </w:r>
      <w:r>
        <w:rPr>
          <w:rFonts w:hint="eastAsia" w:ascii="黑体" w:eastAsia="黑体"/>
          <w:bCs/>
          <w:kern w:val="0"/>
          <w:szCs w:val="21"/>
        </w:rPr>
        <w:t>定量分析</w:t>
      </w:r>
    </w:p>
    <w:p>
      <w:pPr>
        <w:tabs>
          <w:tab w:val="left" w:pos="9354"/>
        </w:tabs>
        <w:spacing w:line="360" w:lineRule="auto"/>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2.1</w:t>
      </w:r>
      <w:r>
        <w:rPr>
          <w:rFonts w:hint="eastAsia" w:ascii="黑体" w:hAnsi="宋体" w:eastAsia="黑体"/>
          <w:szCs w:val="21"/>
        </w:rPr>
        <w:t>相对灵敏度因子的测定</w:t>
      </w:r>
    </w:p>
    <w:bookmarkEnd w:id="14"/>
    <w:p>
      <w:pPr>
        <w:tabs>
          <w:tab w:val="left" w:pos="9354"/>
        </w:tabs>
        <w:ind w:firstLine="420" w:firstLineChars="200"/>
        <w:rPr>
          <w:rFonts w:asciiTheme="minorEastAsia" w:hAnsiTheme="minorEastAsia" w:eastAsiaTheme="minorEastAsia"/>
          <w:szCs w:val="21"/>
        </w:rPr>
      </w:pPr>
      <w:bookmarkStart w:id="15" w:name="_Hlk101517399"/>
      <w:r>
        <w:rPr>
          <w:rFonts w:asciiTheme="minorEastAsia" w:hAnsiTheme="minorEastAsia" w:eastAsiaTheme="minorEastAsia"/>
          <w:szCs w:val="21"/>
        </w:rPr>
        <w:t>使用</w:t>
      </w:r>
      <w:r>
        <w:rPr>
          <w:rFonts w:hint="eastAsia" w:asciiTheme="minorEastAsia" w:hAnsiTheme="minorEastAsia" w:eastAsiaTheme="minorEastAsia"/>
          <w:szCs w:val="21"/>
        </w:rPr>
        <w:t>高纯铋</w:t>
      </w:r>
      <w:r>
        <w:rPr>
          <w:rFonts w:asciiTheme="minorEastAsia" w:hAnsiTheme="minorEastAsia" w:eastAsiaTheme="minorEastAsia"/>
          <w:szCs w:val="21"/>
        </w:rPr>
        <w:t>标准</w:t>
      </w:r>
      <w:r>
        <w:rPr>
          <w:rFonts w:hint="eastAsia" w:asciiTheme="minorEastAsia" w:hAnsiTheme="minorEastAsia" w:eastAsiaTheme="minorEastAsia"/>
          <w:szCs w:val="21"/>
        </w:rPr>
        <w:t>样品（</w:t>
      </w:r>
      <w:r>
        <w:rPr>
          <w:rFonts w:asciiTheme="minorEastAsia" w:hAnsiTheme="minorEastAsia" w:eastAsiaTheme="minorEastAsia"/>
          <w:szCs w:val="21"/>
        </w:rPr>
        <w:t>7.8</w:t>
      </w:r>
      <w:r>
        <w:rPr>
          <w:rFonts w:hint="eastAsia" w:asciiTheme="minorEastAsia" w:hAnsiTheme="minorEastAsia" w:eastAsiaTheme="minorEastAsia"/>
          <w:szCs w:val="21"/>
        </w:rPr>
        <w:t>）按</w:t>
      </w:r>
      <w:r>
        <w:rPr>
          <w:rFonts w:asciiTheme="minorEastAsia" w:hAnsiTheme="minorEastAsia" w:eastAsiaTheme="minorEastAsia"/>
          <w:szCs w:val="21"/>
        </w:rPr>
        <w:t>10.1.4</w:t>
      </w:r>
      <w:r>
        <w:rPr>
          <w:rFonts w:hint="eastAsia" w:asciiTheme="minorEastAsia" w:hAnsiTheme="minorEastAsia" w:eastAsiaTheme="minorEastAsia"/>
          <w:szCs w:val="21"/>
        </w:rPr>
        <w:t>操作</w:t>
      </w:r>
      <w:r>
        <w:rPr>
          <w:rFonts w:asciiTheme="minorEastAsia" w:hAnsiTheme="minorEastAsia" w:eastAsiaTheme="minorEastAsia"/>
          <w:szCs w:val="21"/>
        </w:rPr>
        <w:t>，</w:t>
      </w:r>
      <w:r>
        <w:rPr>
          <w:rFonts w:hint="eastAsia" w:asciiTheme="minorEastAsia" w:hAnsiTheme="minorEastAsia" w:eastAsiaTheme="minorEastAsia"/>
          <w:szCs w:val="21"/>
        </w:rPr>
        <w:t>在样品的同一个位置</w:t>
      </w:r>
      <w:r>
        <w:rPr>
          <w:rFonts w:asciiTheme="minorEastAsia" w:hAnsiTheme="minorEastAsia" w:eastAsiaTheme="minorEastAsia"/>
          <w:szCs w:val="21"/>
        </w:rPr>
        <w:t>连续3次的测定数据满足表3要求时，取3次测定数据的平均值，按式（1）</w:t>
      </w:r>
      <w:r>
        <w:rPr>
          <w:rFonts w:hint="eastAsia" w:asciiTheme="minorEastAsia" w:hAnsiTheme="minorEastAsia" w:eastAsiaTheme="minorEastAsia"/>
          <w:szCs w:val="21"/>
        </w:rPr>
        <w:t>计算</w:t>
      </w:r>
      <w:r>
        <w:rPr>
          <w:rFonts w:asciiTheme="minorEastAsia" w:hAnsiTheme="minorEastAsia" w:eastAsiaTheme="minorEastAsia"/>
          <w:szCs w:val="21"/>
        </w:rPr>
        <w:t>被测元素相对灵敏度因子(RSF)</w:t>
      </w:r>
      <w:r>
        <w:rPr>
          <w:rFonts w:hint="eastAsia" w:asciiTheme="minorEastAsia" w:hAnsiTheme="minorEastAsia" w:eastAsiaTheme="minorEastAsia"/>
          <w:szCs w:val="21"/>
        </w:rPr>
        <w:t>：</w:t>
      </w:r>
    </w:p>
    <w:bookmarkEnd w:id="15"/>
    <w:p>
      <w:pPr>
        <w:tabs>
          <w:tab w:val="left" w:pos="9354"/>
        </w:tabs>
        <w:spacing w:line="360" w:lineRule="auto"/>
        <w:jc w:val="center"/>
        <w:rPr>
          <w:rFonts w:ascii="宋体" w:hAnsi="宋体"/>
          <w:szCs w:val="21"/>
        </w:rPr>
      </w:pPr>
      <m:oMath>
        <m:sSub>
          <w:bookmarkStart w:id="16" w:name="_Hlk101517423"/>
          <m:sSubPr>
            <m:ctrlPr>
              <w:rPr>
                <w:rFonts w:ascii="Cambria Math" w:hAnsi="Cambria Math"/>
              </w:rPr>
            </m:ctrlPr>
          </m:sSubPr>
          <m:e>
            <m:r>
              <m:rPr/>
              <w:rPr>
                <w:rFonts w:ascii="Cambria Math" w:hAnsi="Cambria Math"/>
              </w:rPr>
              <m:t>RSF</m:t>
            </m:r>
            <m:ctrlPr>
              <w:rPr>
                <w:rFonts w:ascii="Cambria Math" w:hAnsi="Cambria Math"/>
              </w:rPr>
            </m:ctrlPr>
          </m:e>
          <m:sub>
            <m:d>
              <m:dPr>
                <m:ctrlPr>
                  <w:rPr>
                    <w:rFonts w:ascii="Cambria Math" w:hAnsi="Cambria Math"/>
                  </w:rPr>
                </m:ctrlPr>
              </m:dPr>
              <m:e>
                <m:f>
                  <m:fPr>
                    <m:type m:val="lin"/>
                    <m:ctrlPr>
                      <w:rPr>
                        <w:rFonts w:ascii="Cambria Math" w:hAnsi="Cambria Math"/>
                      </w:rPr>
                    </m:ctrlPr>
                  </m:fPr>
                  <m:num>
                    <m:r>
                      <m:rPr>
                        <m:sty m:val="p"/>
                      </m:rPr>
                      <w:rPr>
                        <w:rFonts w:ascii="Cambria Math" w:hAnsi="Cambria Math"/>
                      </w:rPr>
                      <m:t>X</m:t>
                    </m:r>
                    <m:ctrlPr>
                      <w:rPr>
                        <w:rFonts w:ascii="Cambria Math" w:hAnsi="Cambria Math"/>
                      </w:rPr>
                    </m:ctrlPr>
                  </m:num>
                  <m:den>
                    <m:r>
                      <m:rPr>
                        <m:sty m:val="p"/>
                      </m:rPr>
                      <w:rPr>
                        <w:rFonts w:ascii="Cambria Math" w:hAnsi="Cambria Math"/>
                      </w:rPr>
                      <m:t>B</m:t>
                    </m:r>
                    <m:r>
                      <m:rPr>
                        <m:sty m:val="p"/>
                      </m:rPr>
                      <w:rPr>
                        <w:rFonts w:hint="eastAsia" w:ascii="Cambria Math" w:hAnsi="Cambria Math"/>
                      </w:rPr>
                      <m:t>i</m:t>
                    </m:r>
                    <m:ctrlPr>
                      <w:rPr>
                        <w:rFonts w:ascii="Cambria Math" w:hAnsi="Cambria Math"/>
                      </w:rPr>
                    </m:ctrlPr>
                  </m:den>
                </m:f>
                <m:ctrlPr>
                  <w:rPr>
                    <w:rFonts w:ascii="Cambria Math" w:hAnsi="Cambria Math"/>
                  </w:rPr>
                </m:ctrlPr>
              </m:e>
            </m:d>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i</m:t>
                    </m:r>
                    <m:ctrlPr>
                      <w:rPr>
                        <w:rFonts w:ascii="Cambria Math" w:hAnsi="Cambria Math"/>
                        <w:i/>
                      </w:rPr>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rPr>
                        <w:rFonts w:ascii="Cambria Math" w:hAnsi="Cambria Math"/>
                      </w:rPr>
                    </m:ctrlPr>
                  </m:sSubPr>
                  <m:e>
                    <m:r>
                      <m:rPr>
                        <m:sty m:val="p"/>
                      </m:rPr>
                      <w:rPr>
                        <w:rFonts w:ascii="Cambria Math" w:hAnsi="Cambria Math"/>
                      </w:rPr>
                      <m:t>B</m:t>
                    </m:r>
                    <m:r>
                      <m:rPr>
                        <m:sty m:val="p"/>
                      </m:rPr>
                      <w:rPr>
                        <w:rFonts w:hint="eastAsia" w:ascii="Cambria Math" w:hAnsi="Cambria Math"/>
                      </w:rPr>
                      <m:t>i</m:t>
                    </m:r>
                    <m:ctrlPr>
                      <w:rPr>
                        <w:rFonts w:ascii="Cambria Math" w:hAnsi="Cambria Math"/>
                      </w:rPr>
                    </m:ctrlPr>
                  </m:e>
                  <m:sub>
                    <m:r>
                      <m:rPr>
                        <m:sty m:val="p"/>
                      </m:rPr>
                      <w:rPr>
                        <w:rFonts w:ascii="Cambria Math" w:hAnsi="Cambria Math"/>
                      </w:rPr>
                      <m:t>j</m:t>
                    </m:r>
                    <m:ctrlPr>
                      <w:rPr>
                        <w:rFonts w:ascii="Cambria Math" w:hAnsi="Cambria Math"/>
                      </w:rPr>
                    </m:ctrlPr>
                  </m:sub>
                </m:sSub>
                <m:r>
                  <m:rPr>
                    <m:sty m:val="p"/>
                  </m:rPr>
                  <w:rPr>
                    <w:rFonts w:ascii="Cambria Math" w:hAnsi="Cambria Math"/>
                  </w:rPr>
                  <m:t>)</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B</m:t>
                </m:r>
                <m:r>
                  <m:rPr>
                    <m:nor/>
                    <m:sty m:val="p"/>
                  </m:rPr>
                  <w:rPr>
                    <w:rFonts w:hint="eastAsia" w:ascii="Cambria Math" w:hAnsi="Cambria Math"/>
                  </w:rPr>
                  <m:t>i）</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B</m:t>
                </m:r>
                <m:r>
                  <m:rPr>
                    <m:sty m:val="p"/>
                  </m:rPr>
                  <w:rPr>
                    <w:rFonts w:hint="eastAsia" w:ascii="Cambria Math" w:hAnsi="Cambria Math"/>
                  </w:rPr>
                  <m:t>i</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nor/>
                    <m:sty m:val="p"/>
                  </m:rPr>
                  <w:rPr>
                    <w:rFonts w:hint="eastAsia" w:ascii="Cambria Math" w:hAnsi="Cambria Math"/>
                  </w:rPr>
                  <m:t>)</m:t>
                </m:r>
                <m:ctrlPr>
                  <w:rPr>
                    <w:rFonts w:ascii="Cambria Math" w:hAnsi="Cambria Math"/>
                    <w:i/>
                  </w:rPr>
                </m:ctrlPr>
              </m:sub>
            </m:sSub>
            <m:ctrlPr>
              <w:rPr>
                <w:rFonts w:ascii="Cambria Math" w:hAnsi="Cambria Math"/>
              </w:rPr>
            </m:ctrlPr>
          </m:den>
        </m:f>
      </m:oMath>
      <w:r>
        <w:rPr>
          <w:rFonts w:ascii="宋体" w:hAnsi="宋体"/>
          <w:szCs w:val="21"/>
        </w:rPr>
        <w:t>…………………</w:t>
      </w:r>
      <w:r>
        <w:rPr>
          <w:rFonts w:hint="eastAsia" w:ascii="宋体" w:hAnsi="宋体"/>
          <w:szCs w:val="21"/>
        </w:rPr>
        <w:t xml:space="preserve"> (1)</w:t>
      </w:r>
    </w:p>
    <w:bookmarkEnd w:id="16"/>
    <w:p>
      <w:pPr>
        <w:tabs>
          <w:tab w:val="left" w:pos="9354"/>
        </w:tabs>
        <w:ind w:firstLine="420" w:firstLineChars="200"/>
        <w:rPr>
          <w:rFonts w:asciiTheme="minorEastAsia" w:hAnsiTheme="minorEastAsia" w:eastAsiaTheme="minorEastAsia"/>
        </w:rPr>
      </w:pPr>
      <w:r>
        <w:rPr>
          <w:rFonts w:hint="eastAsia" w:asciiTheme="minorEastAsia" w:hAnsiTheme="minorEastAsia" w:eastAsiaTheme="minorEastAsia"/>
        </w:rPr>
        <w:t>式中：</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70528" behindDoc="0" locked="0" layoutInCell="1" allowOverlap="1">
                <wp:simplePos x="0" y="0"/>
                <wp:positionH relativeFrom="column">
                  <wp:posOffset>748665</wp:posOffset>
                </wp:positionH>
                <wp:positionV relativeFrom="paragraph">
                  <wp:posOffset>123190</wp:posOffset>
                </wp:positionV>
                <wp:extent cx="285750" cy="0"/>
                <wp:effectExtent l="5715" t="8890" r="13335" b="10160"/>
                <wp:wrapNone/>
                <wp:docPr id="9" name="AutoShape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AutoShape 22" o:spid="_x0000_s1026" o:spt="32" type="#_x0000_t32" style="position:absolute;left:0pt;margin-left:58.95pt;margin-top:9.7pt;height:0pt;width:22.5pt;z-index:251670528;mso-width-relative:page;mso-height-relative:page;" filled="f" stroked="t" coordsize="21600,21600" o:gfxdata="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spgi7WAAAACQEAAA8AAAAAAAAAAQAgAAAA&#10;IgAAAGRycy9kb3ducmV2LnhtbFBLAQIUABQAAAAIAIdO4kA+WjeH1AEAALIDAAAOAAAAAAAAAAEA&#10;IAAAACUBAABkcnMvZTJvRG9jLnhtbFBLBQYAAAAABgAGAFkBAABrBQ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RSF</w:t>
      </w:r>
      <w:r>
        <w:rPr>
          <w:rFonts w:hint="eastAsia" w:asciiTheme="minorEastAsia" w:hAnsiTheme="minorEastAsia" w:eastAsiaTheme="minorEastAsia"/>
          <w:szCs w:val="21"/>
          <w:vertAlign w:val="subscript"/>
        </w:rPr>
        <w:t>（X/</w:t>
      </w:r>
      <w:r>
        <w:rPr>
          <w:rFonts w:asciiTheme="minorEastAsia" w:hAnsiTheme="minorEastAsia" w:eastAsiaTheme="minorEastAsia"/>
          <w:szCs w:val="21"/>
          <w:vertAlign w:val="subscript"/>
        </w:rPr>
        <w:t>B</w:t>
      </w:r>
      <w:r>
        <w:rPr>
          <w:rFonts w:hint="eastAsia" w:asciiTheme="minorEastAsia" w:hAnsiTheme="minorEastAsia" w:eastAsiaTheme="minorEastAsia"/>
          <w:szCs w:val="21"/>
          <w:vertAlign w:val="subscript"/>
        </w:rPr>
        <w:t>i）</w:t>
      </w:r>
      <w:r>
        <w:rPr>
          <w:rFonts w:hint="eastAsia" w:asciiTheme="minorEastAsia" w:hAnsiTheme="minorEastAsia" w:eastAsiaTheme="minorEastAsia"/>
          <w:szCs w:val="21"/>
        </w:rPr>
        <w:t xml:space="preserve">      在选定的辉光放电条件下测定</w:t>
      </w:r>
      <w:r>
        <w:rPr>
          <w:rFonts w:asciiTheme="minorEastAsia" w:hAnsiTheme="minorEastAsia" w:eastAsiaTheme="minorEastAsia"/>
          <w:szCs w:val="21"/>
        </w:rPr>
        <w:t>B</w:t>
      </w:r>
      <w:r>
        <w:rPr>
          <w:rFonts w:hint="eastAsia" w:asciiTheme="minorEastAsia" w:hAnsiTheme="minorEastAsia" w:eastAsiaTheme="minorEastAsia"/>
          <w:szCs w:val="21"/>
        </w:rPr>
        <w:t>i中元素X的相对灵敏度因子；</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9504" behindDoc="0" locked="0" layoutInCell="1" allowOverlap="1">
                <wp:simplePos x="0" y="0"/>
                <wp:positionH relativeFrom="column">
                  <wp:posOffset>520065</wp:posOffset>
                </wp:positionH>
                <wp:positionV relativeFrom="paragraph">
                  <wp:posOffset>100965</wp:posOffset>
                </wp:positionV>
                <wp:extent cx="285750" cy="0"/>
                <wp:effectExtent l="5715" t="5715" r="13335" b="13335"/>
                <wp:wrapNone/>
                <wp:docPr id="8" name="AutoShape 20"/>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AutoShape 20" o:spid="_x0000_s1026" o:spt="32" type="#_x0000_t32" style="position:absolute;left:0pt;margin-left:40.95pt;margin-top:7.95pt;height:0pt;width:22.5pt;z-index:251669504;mso-width-relative:page;mso-height-relative:page;" filled="f" stroked="t" coordsize="21600,21600" o:gfxdata="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QJBMtQAAAAIAQAADwAAAAAAAAABACAAAAAi&#10;AAAAZHJzL2Rvd25yZXYueG1sUEsBAhQAFAAAAAgAh07iQNwqwrvVAQAAsgMAAA4AAAAAAAAAAQAg&#10;AAAAIwEAAGRycy9lMm9Eb2MueG1sUEsFBgAAAAAGAAYAWQEAAGoFA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w</w:t>
      </w:r>
      <w:r>
        <w:rPr>
          <w:rFonts w:hint="eastAsia" w:asciiTheme="minorEastAsia" w:hAnsiTheme="minorEastAsia" w:eastAsiaTheme="minorEastAsia"/>
          <w:szCs w:val="21"/>
          <w:vertAlign w:val="subscript"/>
        </w:rPr>
        <w:t>（X）</w:t>
      </w:r>
      <w:r>
        <w:rPr>
          <w:rFonts w:hint="eastAsia" w:asciiTheme="minorEastAsia" w:hAnsiTheme="minorEastAsia" w:eastAsiaTheme="minorEastAsia"/>
          <w:szCs w:val="21"/>
        </w:rPr>
        <w:t xml:space="preserve">      元素X的质量分数，单位为微克每克（</w:t>
      </w:r>
      <w:r>
        <w:rPr>
          <w:rFonts w:asciiTheme="minorEastAsia" w:hAnsiTheme="minorEastAsia" w:eastAsiaTheme="minorEastAsia"/>
          <w:iCs/>
          <w:szCs w:val="21"/>
        </w:rPr>
        <w:t>μg</w:t>
      </w:r>
      <w:r>
        <w:rPr>
          <w:rFonts w:hint="eastAsia" w:asciiTheme="minorEastAsia" w:hAnsiTheme="minorEastAsia" w:eastAsiaTheme="minorEastAsia"/>
          <w:iCs/>
          <w:szCs w:val="21"/>
        </w:rPr>
        <w:t>/g</w:t>
      </w:r>
      <w:r>
        <w:rPr>
          <w:rFonts w:hint="eastAsia" w:asciiTheme="minorEastAsia" w:hAnsiTheme="minorEastAsia" w:eastAsiaTheme="minorEastAsia"/>
          <w:szCs w:val="21"/>
        </w:rPr>
        <w:t>）；</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4384" behindDoc="0" locked="0" layoutInCell="1" allowOverlap="1">
                <wp:simplePos x="0" y="0"/>
                <wp:positionH relativeFrom="column">
                  <wp:posOffset>567055</wp:posOffset>
                </wp:positionH>
                <wp:positionV relativeFrom="paragraph">
                  <wp:posOffset>111760</wp:posOffset>
                </wp:positionV>
                <wp:extent cx="285750" cy="0"/>
                <wp:effectExtent l="5080" t="6985" r="13970" b="12065"/>
                <wp:wrapNone/>
                <wp:docPr id="7" name="自选图形 23"/>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3" o:spid="_x0000_s1026" o:spt="32" type="#_x0000_t32" style="position:absolute;left:0pt;margin-left:44.65pt;margin-top:8.8pt;height:0pt;width:22.5pt;z-index:251664384;mso-width-relative:page;mso-height-relative:page;" filled="f" stroked="t" coordsize="21600,21600" o:gfxdata="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d/&#10;4fDVAAAACAEAAA8AAAAAAAAAAQAgAAAAIgAAAGRycy9kb3ducmV2LnhtbFBLAQIUABQAAAAIAIdO&#10;4kAr5Qt77QEAALUDAAAOAAAAAAAAAAEAIAAAACQBAABkcnMvZTJvRG9jLnhtbFBLBQYAAAAABgAG&#10;AFkBAACDBQ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A</w:t>
      </w:r>
      <w:r>
        <w:rPr>
          <w:rFonts w:hint="eastAsia" w:asciiTheme="minorEastAsia" w:hAnsiTheme="minorEastAsia" w:eastAsiaTheme="minorEastAsia"/>
          <w:szCs w:val="21"/>
          <w:vertAlign w:val="subscript"/>
        </w:rPr>
        <w:t>（Xi）</w:t>
      </w:r>
      <w:r>
        <w:rPr>
          <w:rFonts w:hint="eastAsia" w:asciiTheme="minorEastAsia" w:hAnsiTheme="minorEastAsia" w:eastAsiaTheme="minorEastAsia"/>
          <w:szCs w:val="21"/>
        </w:rPr>
        <w:t xml:space="preserve">      元素X的</w:t>
      </w:r>
      <w:r>
        <w:rPr>
          <w:rFonts w:hint="eastAsia" w:asciiTheme="minorEastAsia" w:hAnsiTheme="minorEastAsia" w:eastAsiaTheme="minorEastAsia"/>
          <w:i/>
          <w:szCs w:val="21"/>
        </w:rPr>
        <w:t>i</w:t>
      </w:r>
      <w:r>
        <w:rPr>
          <w:rFonts w:hint="eastAsia" w:asciiTheme="minorEastAsia" w:hAnsiTheme="minorEastAsia" w:eastAsiaTheme="minorEastAsia"/>
          <w:szCs w:val="21"/>
        </w:rPr>
        <w:t>同位素丰度；</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6432" behindDoc="0" locked="0" layoutInCell="1" allowOverlap="1">
                <wp:simplePos x="0" y="0"/>
                <wp:positionH relativeFrom="column">
                  <wp:posOffset>591820</wp:posOffset>
                </wp:positionH>
                <wp:positionV relativeFrom="paragraph">
                  <wp:posOffset>115570</wp:posOffset>
                </wp:positionV>
                <wp:extent cx="285750" cy="0"/>
                <wp:effectExtent l="5080" t="10795" r="13970" b="8255"/>
                <wp:wrapNone/>
                <wp:docPr id="6" name="自选图形 24"/>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4" o:spid="_x0000_s1026" o:spt="32" type="#_x0000_t32" style="position:absolute;left:0pt;margin-left:46.6pt;margin-top:9.1pt;height:0pt;width:22.5pt;z-index:251666432;mso-width-relative:page;mso-height-relative:page;" filled="f" stroked="t" coordsize="21600,21600" o:gfxdata="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D18&#10;BdQAAAAIAQAADwAAAAAAAAABACAAAAAiAAAAZHJzL2Rvd25yZXYueG1sUEsBAhQAFAAAAAgAh07i&#10;QPjUK9DtAQAAtQMAAA4AAAAAAAAAAQAgAAAAIwEAAGRycy9lMm9Eb2MueG1sUEsFBgAAAAAGAAYA&#10;WQEAAIIFA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I</w:t>
      </w:r>
      <w:r>
        <w:rPr>
          <w:rFonts w:hint="eastAsia" w:asciiTheme="minorEastAsia" w:hAnsiTheme="minorEastAsia" w:eastAsiaTheme="minorEastAsia"/>
          <w:szCs w:val="21"/>
          <w:vertAlign w:val="subscript"/>
        </w:rPr>
        <w:t>（Bij）</w:t>
      </w:r>
      <w:r>
        <w:rPr>
          <w:rFonts w:hint="eastAsia" w:asciiTheme="minorEastAsia" w:hAnsiTheme="minorEastAsia" w:eastAsiaTheme="minorEastAsia"/>
          <w:szCs w:val="21"/>
        </w:rPr>
        <w:t xml:space="preserve">      元素Bi的j同位素谱峰强度</w:t>
      </w:r>
      <w:r>
        <w:rPr>
          <w:rFonts w:asciiTheme="minorEastAsia" w:hAnsiTheme="minorEastAsia" w:eastAsiaTheme="minorEastAsia"/>
          <w:color w:val="000000"/>
          <w:kern w:val="0"/>
          <w:szCs w:val="21"/>
        </w:rPr>
        <w:t>，以每秒计数（cps）</w:t>
      </w:r>
      <w:r>
        <w:rPr>
          <w:rFonts w:hint="eastAsia" w:asciiTheme="minorEastAsia" w:hAnsiTheme="minorEastAsia" w:eastAsiaTheme="minorEastAsia"/>
          <w:szCs w:val="21"/>
        </w:rPr>
        <w:t>；</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8480" behindDoc="0" locked="0" layoutInCell="1" allowOverlap="1">
                <wp:simplePos x="0" y="0"/>
                <wp:positionH relativeFrom="column">
                  <wp:posOffset>548005</wp:posOffset>
                </wp:positionH>
                <wp:positionV relativeFrom="paragraph">
                  <wp:posOffset>139700</wp:posOffset>
                </wp:positionV>
                <wp:extent cx="285750" cy="0"/>
                <wp:effectExtent l="5080" t="6350" r="13970" b="12700"/>
                <wp:wrapNone/>
                <wp:docPr id="5" name="自选图形 27"/>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7" o:spid="_x0000_s1026" o:spt="32" type="#_x0000_t32" style="position:absolute;left:0pt;margin-left:43.15pt;margin-top:11pt;height:0pt;width:22.5pt;z-index:251668480;mso-width-relative:page;mso-height-relative:page;" filled="f" stroked="t" coordsize="21600,21600" o:gfxdata="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x2m&#10;kNUAAAAIAQAADwAAAAAAAAABACAAAAAiAAAAZHJzL2Rvd25yZXYueG1sUEsBAhQAFAAAAAgAh07i&#10;QKkI8LvsAQAAtQMAAA4AAAAAAAAAAQAgAAAAJAEAAGRycy9lMm9Eb2MueG1sUEsFBgAAAAAGAAYA&#10;WQEAAIIFA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w</w:t>
      </w:r>
      <w:r>
        <w:rPr>
          <w:rFonts w:hint="eastAsia" w:asciiTheme="minorEastAsia" w:hAnsiTheme="minorEastAsia" w:eastAsiaTheme="minorEastAsia"/>
          <w:szCs w:val="21"/>
          <w:vertAlign w:val="subscript"/>
        </w:rPr>
        <w:t>（Bi）</w:t>
      </w:r>
      <w:r>
        <w:rPr>
          <w:rFonts w:hint="eastAsia" w:asciiTheme="minorEastAsia" w:hAnsiTheme="minorEastAsia" w:eastAsiaTheme="minorEastAsia"/>
          <w:i/>
          <w:szCs w:val="21"/>
        </w:rPr>
        <w:t xml:space="preserve"> </w:t>
      </w:r>
      <w:r>
        <w:rPr>
          <w:rFonts w:hint="eastAsia" w:asciiTheme="minorEastAsia" w:hAnsiTheme="minorEastAsia" w:eastAsiaTheme="minorEastAsia"/>
          <w:szCs w:val="21"/>
        </w:rPr>
        <w:t xml:space="preserve">     基体元素Bi的质量分数定义为1.00×10</w:t>
      </w:r>
      <w:r>
        <w:rPr>
          <w:rFonts w:hint="eastAsia" w:asciiTheme="minorEastAsia" w:hAnsiTheme="minorEastAsia" w:eastAsiaTheme="minorEastAsia"/>
          <w:szCs w:val="21"/>
          <w:vertAlign w:val="superscript"/>
        </w:rPr>
        <w:t>6</w:t>
      </w:r>
      <w:r>
        <w:rPr>
          <w:rFonts w:hint="eastAsia" w:asciiTheme="minorEastAsia" w:hAnsiTheme="minorEastAsia" w:eastAsiaTheme="minorEastAsia"/>
          <w:szCs w:val="21"/>
        </w:rPr>
        <w:t>，单位为微克每克（</w:t>
      </w:r>
      <w:r>
        <w:rPr>
          <w:rFonts w:asciiTheme="minorEastAsia" w:hAnsiTheme="minorEastAsia" w:eastAsiaTheme="minorEastAsia"/>
          <w:iCs/>
          <w:szCs w:val="21"/>
        </w:rPr>
        <w:t>μg</w:t>
      </w:r>
      <w:r>
        <w:rPr>
          <w:rFonts w:hint="eastAsia" w:asciiTheme="minorEastAsia" w:hAnsiTheme="minorEastAsia" w:eastAsiaTheme="minorEastAsia"/>
          <w:szCs w:val="21"/>
        </w:rPr>
        <w:t>/g）；</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7456" behindDoc="0" locked="0" layoutInCell="1" allowOverlap="1">
                <wp:simplePos x="0" y="0"/>
                <wp:positionH relativeFrom="column">
                  <wp:posOffset>602615</wp:posOffset>
                </wp:positionH>
                <wp:positionV relativeFrom="paragraph">
                  <wp:posOffset>106045</wp:posOffset>
                </wp:positionV>
                <wp:extent cx="285750" cy="0"/>
                <wp:effectExtent l="12065" t="10795" r="6985" b="8255"/>
                <wp:wrapNone/>
                <wp:docPr id="4" name="自选图形 25"/>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5" o:spid="_x0000_s1026" o:spt="32" type="#_x0000_t32" style="position:absolute;left:0pt;margin-left:47.45pt;margin-top:8.35pt;height:0pt;width:22.5pt;z-index:251667456;mso-width-relative:page;mso-height-relative:page;" filled="f" stroked="t" coordsize="21600,21600" o:gfxdata="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6ob/V&#10;AAAACAEAAA8AAAAAAAAAAQAgAAAAIgAAAGRycy9kb3ducmV2LnhtbFBLAQIUABQAAAAIAIdO4kBo&#10;/o3b6gEAALUDAAAOAAAAAAAAAAEAIAAAACQBAABkcnMvZTJvRG9jLnhtbFBLBQYAAAAABgAGAFkB&#10;AACABQ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A</w:t>
      </w:r>
      <w:r>
        <w:rPr>
          <w:rFonts w:hint="eastAsia" w:asciiTheme="minorEastAsia" w:hAnsiTheme="minorEastAsia" w:eastAsiaTheme="minorEastAsia"/>
          <w:szCs w:val="21"/>
          <w:vertAlign w:val="subscript"/>
        </w:rPr>
        <w:t>（Bij）</w:t>
      </w:r>
      <w:r>
        <w:rPr>
          <w:rFonts w:hint="eastAsia" w:asciiTheme="minorEastAsia" w:hAnsiTheme="minorEastAsia" w:eastAsiaTheme="minorEastAsia"/>
          <w:szCs w:val="21"/>
        </w:rPr>
        <w:t xml:space="preserve">      基体元素Bi的</w:t>
      </w:r>
      <w:r>
        <w:rPr>
          <w:rFonts w:hint="eastAsia" w:asciiTheme="minorEastAsia" w:hAnsiTheme="minorEastAsia" w:eastAsiaTheme="minorEastAsia"/>
          <w:i/>
          <w:szCs w:val="21"/>
        </w:rPr>
        <w:t>j</w:t>
      </w:r>
      <w:r>
        <w:rPr>
          <w:rFonts w:hint="eastAsia" w:asciiTheme="minorEastAsia" w:hAnsiTheme="minorEastAsia" w:eastAsiaTheme="minorEastAsia"/>
          <w:szCs w:val="21"/>
        </w:rPr>
        <w:t>同位素丰度；</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65408" behindDoc="0" locked="0" layoutInCell="1" allowOverlap="1">
                <wp:simplePos x="0" y="0"/>
                <wp:positionH relativeFrom="column">
                  <wp:posOffset>648335</wp:posOffset>
                </wp:positionH>
                <wp:positionV relativeFrom="paragraph">
                  <wp:posOffset>110490</wp:posOffset>
                </wp:positionV>
                <wp:extent cx="285750" cy="0"/>
                <wp:effectExtent l="5080" t="5715" r="13970" b="13335"/>
                <wp:wrapNone/>
                <wp:docPr id="3"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51.05pt;margin-top:8.7pt;height:0pt;width:22.5pt;z-index:251665408;mso-width-relative:page;mso-height-relative:page;" filled="f" stroked="t" coordsize="21600,21600" o:gfxdata="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QB&#10;VenWAAAACQEAAA8AAAAAAAAAAQAgAAAAIgAAAGRycy9kb3ducmV2LnhtbFBLAQIUABQAAAAIAIdO&#10;4kA6D1yc7AEAALUDAAAOAAAAAAAAAAEAIAAAACUBAABkcnMvZTJvRG9jLnhtbFBLBQYAAAAABgAG&#10;AFkBAACDBQ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I</w:t>
      </w:r>
      <w:r>
        <w:rPr>
          <w:rFonts w:hint="eastAsia" w:asciiTheme="minorEastAsia" w:hAnsiTheme="minorEastAsia" w:eastAsiaTheme="minorEastAsia"/>
          <w:szCs w:val="21"/>
          <w:vertAlign w:val="subscript"/>
        </w:rPr>
        <w:t>（Xi）</w:t>
      </w:r>
      <w:r>
        <w:rPr>
          <w:rFonts w:hint="eastAsia" w:asciiTheme="minorEastAsia" w:hAnsiTheme="minorEastAsia" w:eastAsiaTheme="minorEastAsia"/>
          <w:szCs w:val="21"/>
        </w:rPr>
        <w:t xml:space="preserve">       元素X的</w:t>
      </w:r>
      <w:r>
        <w:rPr>
          <w:rFonts w:hint="eastAsia" w:asciiTheme="minorEastAsia" w:hAnsiTheme="minorEastAsia" w:eastAsiaTheme="minorEastAsia"/>
          <w:i/>
          <w:szCs w:val="21"/>
        </w:rPr>
        <w:t>i</w:t>
      </w:r>
      <w:r>
        <w:rPr>
          <w:rFonts w:hint="eastAsia" w:asciiTheme="minorEastAsia" w:hAnsiTheme="minorEastAsia" w:eastAsiaTheme="minorEastAsia"/>
          <w:szCs w:val="21"/>
        </w:rPr>
        <w:t>同位素谱峰强度</w:t>
      </w:r>
      <w:r>
        <w:rPr>
          <w:rFonts w:asciiTheme="minorEastAsia" w:hAnsiTheme="minorEastAsia" w:eastAsiaTheme="minorEastAsia"/>
          <w:color w:val="000000"/>
          <w:kern w:val="0"/>
          <w:szCs w:val="21"/>
        </w:rPr>
        <w:t>，以每秒计数（cps）</w:t>
      </w:r>
      <w:r>
        <w:rPr>
          <w:rFonts w:hint="eastAsia" w:asciiTheme="minorEastAsia" w:hAnsiTheme="minorEastAsia" w:eastAsiaTheme="minorEastAsia"/>
          <w:szCs w:val="21"/>
        </w:rPr>
        <w:t>；</w:t>
      </w:r>
    </w:p>
    <w:p>
      <w:pPr>
        <w:tabs>
          <w:tab w:val="left" w:pos="9354"/>
        </w:tabs>
        <w:spacing w:line="360" w:lineRule="auto"/>
        <w:ind w:firstLine="420" w:firstLineChars="200"/>
        <w:jc w:val="center"/>
        <w:rPr>
          <w:rFonts w:eastAsia="黑体"/>
          <w:szCs w:val="21"/>
        </w:rPr>
      </w:pPr>
      <w:r>
        <w:rPr>
          <w:rFonts w:eastAsia="黑体"/>
          <w:szCs w:val="21"/>
        </w:rPr>
        <w:t>表3</w:t>
      </w:r>
      <w:r>
        <w:rPr>
          <w:rFonts w:hint="eastAsia" w:eastAsia="黑体"/>
          <w:szCs w:val="21"/>
        </w:rPr>
        <w:t>相对灵敏度因子测定、预溅射、等离子体稳定性试验所需的相对标准偏差</w:t>
      </w:r>
    </w:p>
    <w:tbl>
      <w:tblPr>
        <w:tblStyle w:val="36"/>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827"/>
        <w:gridCol w:w="38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jc w:val="center"/>
        </w:trPr>
        <w:tc>
          <w:tcPr>
            <w:tcW w:w="2500" w:type="pct"/>
            <w:vAlign w:val="center"/>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分析含量范围</w:t>
            </w:r>
          </w:p>
          <w:p>
            <w:pPr>
              <w:tabs>
                <w:tab w:val="left" w:pos="9354"/>
              </w:tabs>
              <w:jc w:val="center"/>
              <w:rPr>
                <w:rFonts w:asciiTheme="minorEastAsia" w:hAnsiTheme="minorEastAsia" w:eastAsiaTheme="minorEastAsia"/>
                <w:sz w:val="18"/>
                <w:szCs w:val="18"/>
              </w:rPr>
            </w:pPr>
            <w:r>
              <w:rPr>
                <w:rFonts w:asciiTheme="minorEastAsia" w:hAnsiTheme="minorEastAsia" w:eastAsiaTheme="minorEastAsia"/>
                <w:iCs/>
                <w:sz w:val="18"/>
                <w:szCs w:val="18"/>
              </w:rPr>
              <w:t>μg</w:t>
            </w:r>
            <w:r>
              <w:rPr>
                <w:rFonts w:hint="eastAsia" w:asciiTheme="minorEastAsia" w:hAnsiTheme="minorEastAsia" w:eastAsiaTheme="minorEastAsia"/>
                <w:iCs/>
                <w:sz w:val="18"/>
                <w:szCs w:val="18"/>
              </w:rPr>
              <w:t>/g</w:t>
            </w:r>
          </w:p>
        </w:tc>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相对标准偏差</w:t>
            </w:r>
          </w:p>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1</w:t>
            </w:r>
            <w:r>
              <w:rPr>
                <w:rFonts w:eastAsiaTheme="minorEastAsia"/>
                <w:sz w:val="18"/>
                <w:szCs w:val="18"/>
              </w:rPr>
              <w:t>~</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0.01</w:t>
            </w:r>
            <w:r>
              <w:rPr>
                <w:rFonts w:eastAsiaTheme="minorEastAsia"/>
                <w:sz w:val="18"/>
                <w:szCs w:val="18"/>
              </w:rPr>
              <w:t>~</w:t>
            </w:r>
            <w:r>
              <w:rPr>
                <w:rFonts w:hint="eastAsia" w:asciiTheme="minorEastAsia" w:hAnsiTheme="minorEastAsia" w:eastAsiaTheme="minorEastAsia"/>
                <w:sz w:val="18"/>
                <w:szCs w:val="18"/>
              </w:rPr>
              <w:t>0.05</w:t>
            </w:r>
          </w:p>
        </w:tc>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0.05</w:t>
            </w:r>
            <w:r>
              <w:rPr>
                <w:rFonts w:eastAsiaTheme="minorEastAsia"/>
                <w:sz w:val="18"/>
                <w:szCs w:val="18"/>
              </w:rPr>
              <w:t>~</w:t>
            </w:r>
            <w:r>
              <w:rPr>
                <w:rFonts w:asciiTheme="minorEastAsia" w:hAnsiTheme="minorEastAsia" w:eastAsiaTheme="minorEastAsia"/>
                <w:sz w:val="18"/>
                <w:szCs w:val="18"/>
              </w:rPr>
              <w:t>0.5</w:t>
            </w:r>
          </w:p>
        </w:tc>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tabs>
                <w:tab w:val="left" w:pos="9354"/>
              </w:tabs>
              <w:jc w:val="center"/>
              <w:rPr>
                <w:rFonts w:asciiTheme="minorEastAsia" w:hAnsiTheme="minorEastAsia" w:eastAsiaTheme="minorEastAsia"/>
                <w:sz w:val="18"/>
                <w:szCs w:val="18"/>
              </w:rPr>
            </w:pPr>
            <w:r>
              <w:rPr>
                <w:rFonts w:asciiTheme="minorEastAsia" w:hAnsiTheme="minorEastAsia" w:eastAsiaTheme="minorEastAsia"/>
                <w:sz w:val="18"/>
                <w:szCs w:val="18"/>
              </w:rPr>
              <w:t>0.5</w:t>
            </w:r>
            <w:r>
              <w:rPr>
                <w:rFonts w:eastAsiaTheme="minorEastAsia"/>
                <w:sz w:val="18"/>
                <w:szCs w:val="18"/>
              </w:rPr>
              <w:t>~</w:t>
            </w:r>
            <w:r>
              <w:rPr>
                <w:rFonts w:asciiTheme="minorEastAsia" w:hAnsiTheme="minorEastAsia" w:eastAsiaTheme="minorEastAsia"/>
                <w:sz w:val="18"/>
                <w:szCs w:val="18"/>
              </w:rPr>
              <w:t>5</w:t>
            </w:r>
          </w:p>
        </w:tc>
        <w:tc>
          <w:tcPr>
            <w:tcW w:w="2500" w:type="pct"/>
            <w:vAlign w:val="center"/>
          </w:tcPr>
          <w:p>
            <w:pPr>
              <w:tabs>
                <w:tab w:val="left" w:pos="9354"/>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0</w:t>
            </w:r>
          </w:p>
        </w:tc>
      </w:tr>
    </w:tbl>
    <w:p>
      <w:pPr>
        <w:tabs>
          <w:tab w:val="left" w:pos="9354"/>
        </w:tabs>
        <w:spacing w:line="360" w:lineRule="auto"/>
        <w:outlineLvl w:val="0"/>
        <w:rPr>
          <w:rFonts w:ascii="黑体" w:hAnsi="宋体" w:eastAsia="黑体"/>
          <w:szCs w:val="21"/>
        </w:rPr>
      </w:pPr>
      <w:bookmarkStart w:id="17" w:name="_Hlk101517959"/>
      <w:r>
        <w:rPr>
          <w:rFonts w:ascii="黑体" w:hAnsi="宋体" w:eastAsia="黑体"/>
          <w:szCs w:val="21"/>
        </w:rPr>
        <w:t>10</w:t>
      </w:r>
      <w:r>
        <w:rPr>
          <w:rFonts w:hint="eastAsia" w:ascii="黑体" w:hAnsi="宋体" w:eastAsia="黑体"/>
          <w:szCs w:val="21"/>
        </w:rPr>
        <w:t>.</w:t>
      </w:r>
      <w:r>
        <w:rPr>
          <w:rFonts w:ascii="黑体" w:hAnsi="宋体" w:eastAsia="黑体"/>
          <w:szCs w:val="21"/>
        </w:rPr>
        <w:t>2.2</w:t>
      </w:r>
      <w:r>
        <w:rPr>
          <w:rFonts w:hint="eastAsia" w:ascii="黑体" w:hAnsi="宋体" w:eastAsia="黑体"/>
          <w:szCs w:val="21"/>
        </w:rPr>
        <w:t>样品测量</w:t>
      </w:r>
    </w:p>
    <w:bookmarkEnd w:id="17"/>
    <w:p>
      <w:pPr>
        <w:tabs>
          <w:tab w:val="left" w:pos="315"/>
          <w:tab w:val="left" w:pos="9354"/>
        </w:tabs>
        <w:autoSpaceDE w:val="0"/>
        <w:autoSpaceDN w:val="0"/>
        <w:adjustRightInd w:val="0"/>
        <w:ind w:firstLine="420" w:firstLineChars="200"/>
        <w:jc w:val="left"/>
        <w:rPr>
          <w:rFonts w:asciiTheme="minorEastAsia" w:hAnsiTheme="minorEastAsia" w:eastAsiaTheme="minorEastAsia"/>
          <w:kern w:val="0"/>
          <w:szCs w:val="21"/>
        </w:rPr>
      </w:pPr>
      <w:bookmarkStart w:id="18" w:name="_Hlk101517945"/>
      <w:r>
        <w:rPr>
          <w:rFonts w:asciiTheme="minorEastAsia" w:hAnsiTheme="minorEastAsia" w:eastAsiaTheme="minorEastAsia"/>
          <w:kern w:val="0"/>
          <w:szCs w:val="21"/>
        </w:rPr>
        <w:t>按10.</w:t>
      </w:r>
      <w:r>
        <w:rPr>
          <w:rFonts w:hint="eastAsia" w:asciiTheme="minorEastAsia" w:hAnsiTheme="minorEastAsia" w:eastAsiaTheme="minorEastAsia"/>
          <w:kern w:val="0"/>
          <w:szCs w:val="21"/>
        </w:rPr>
        <w:t>1.</w:t>
      </w:r>
      <w:r>
        <w:rPr>
          <w:rFonts w:asciiTheme="minorEastAsia" w:hAnsiTheme="minorEastAsia" w:eastAsiaTheme="minorEastAsia"/>
          <w:kern w:val="0"/>
          <w:szCs w:val="21"/>
        </w:rPr>
        <w:t>4操作步骤测量待测样品，连续三次测量数据的相对标准偏差应满足表3，</w:t>
      </w:r>
      <w:r>
        <w:rPr>
          <w:rFonts w:hint="eastAsia" w:asciiTheme="minorEastAsia" w:hAnsiTheme="minorEastAsia" w:eastAsiaTheme="minorEastAsia"/>
          <w:kern w:val="0"/>
          <w:szCs w:val="21"/>
        </w:rPr>
        <w:t>否</w:t>
      </w:r>
      <w:r>
        <w:rPr>
          <w:rFonts w:asciiTheme="minorEastAsia" w:hAnsiTheme="minorEastAsia" w:eastAsiaTheme="minorEastAsia"/>
          <w:kern w:val="0"/>
          <w:szCs w:val="21"/>
        </w:rPr>
        <w:t>则应对测量数据进行确认，并计算最后3个测量数据的平均值</w:t>
      </w:r>
      <w:r>
        <w:rPr>
          <w:rFonts w:hint="eastAsia" w:asciiTheme="minorEastAsia" w:hAnsiTheme="minorEastAsia" w:eastAsiaTheme="minorEastAsia"/>
          <w:kern w:val="0"/>
          <w:szCs w:val="21"/>
        </w:rPr>
        <w:t>，</w:t>
      </w:r>
      <w:r>
        <w:rPr>
          <w:rFonts w:asciiTheme="minorEastAsia" w:hAnsiTheme="minorEastAsia" w:eastAsiaTheme="minorEastAsia"/>
          <w:kern w:val="0"/>
          <w:szCs w:val="21"/>
        </w:rPr>
        <w:t>利用10.2.1中所得相对灵敏度因子，</w:t>
      </w:r>
      <w:r>
        <w:rPr>
          <w:rFonts w:hint="eastAsia" w:asciiTheme="minorEastAsia" w:hAnsiTheme="minorEastAsia" w:eastAsiaTheme="minorEastAsia"/>
          <w:kern w:val="0"/>
          <w:szCs w:val="21"/>
        </w:rPr>
        <w:t>计算</w:t>
      </w:r>
      <w:r>
        <w:rPr>
          <w:rFonts w:asciiTheme="minorEastAsia" w:hAnsiTheme="minorEastAsia" w:eastAsiaTheme="minorEastAsia"/>
          <w:kern w:val="0"/>
          <w:szCs w:val="21"/>
        </w:rPr>
        <w:t>样品中痕量元素的含量。</w:t>
      </w:r>
    </w:p>
    <w:bookmarkEnd w:id="18"/>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试验数据处理</w:t>
      </w:r>
    </w:p>
    <w:p>
      <w:pPr>
        <w:tabs>
          <w:tab w:val="left" w:pos="315"/>
          <w:tab w:val="left" w:pos="9354"/>
        </w:tabs>
        <w:autoSpaceDE w:val="0"/>
        <w:autoSpaceDN w:val="0"/>
        <w:adjustRightInd w:val="0"/>
        <w:ind w:firstLine="420" w:firstLineChars="200"/>
        <w:jc w:val="left"/>
        <w:rPr>
          <w:rFonts w:hAnsi="宋体"/>
          <w:kern w:val="0"/>
          <w:szCs w:val="21"/>
        </w:rPr>
      </w:pPr>
      <w:bookmarkStart w:id="19" w:name="_Hlk136597018"/>
      <w:r>
        <w:rPr>
          <w:rFonts w:hint="eastAsia" w:ascii="宋体" w:hAnsi="宋体" w:cs="宋体"/>
          <w:kern w:val="0"/>
          <w:szCs w:val="21"/>
        </w:rPr>
        <w:t>被测元素的含量以质量</w:t>
      </w:r>
      <w:r>
        <w:rPr>
          <w:rFonts w:hAnsi="宋体"/>
          <w:kern w:val="0"/>
          <w:szCs w:val="21"/>
        </w:rPr>
        <w:t>分数</w:t>
      </w:r>
      <w:r>
        <w:rPr>
          <w:i/>
          <w:kern w:val="0"/>
          <w:szCs w:val="21"/>
        </w:rPr>
        <w:t>w</w:t>
      </w:r>
      <w:r>
        <w:rPr>
          <w:kern w:val="0"/>
          <w:sz w:val="18"/>
          <w:szCs w:val="18"/>
          <w:vertAlign w:val="subscript"/>
        </w:rPr>
        <w:t>(X/B</w:t>
      </w:r>
      <w:r>
        <w:rPr>
          <w:rFonts w:hint="eastAsia"/>
          <w:kern w:val="0"/>
          <w:sz w:val="18"/>
          <w:szCs w:val="18"/>
          <w:vertAlign w:val="subscript"/>
        </w:rPr>
        <w:t>i</w:t>
      </w:r>
      <w:r>
        <w:rPr>
          <w:kern w:val="0"/>
          <w:sz w:val="18"/>
          <w:szCs w:val="18"/>
          <w:vertAlign w:val="subscript"/>
        </w:rPr>
        <w:t>)</w:t>
      </w:r>
      <w:r>
        <w:rPr>
          <w:rFonts w:hAnsi="宋体"/>
          <w:kern w:val="0"/>
          <w:szCs w:val="21"/>
        </w:rPr>
        <w:t>计</w:t>
      </w:r>
      <w:r>
        <w:rPr>
          <w:rFonts w:hint="eastAsia"/>
          <w:kern w:val="0"/>
          <w:szCs w:val="21"/>
        </w:rPr>
        <w:t>，</w:t>
      </w:r>
      <w:r>
        <w:rPr>
          <w:rFonts w:hAnsi="宋体"/>
          <w:kern w:val="0"/>
          <w:szCs w:val="21"/>
        </w:rPr>
        <w:t>按式</w:t>
      </w:r>
      <w:r>
        <w:rPr>
          <w:kern w:val="0"/>
          <w:szCs w:val="21"/>
        </w:rPr>
        <w:t>(2)</w:t>
      </w:r>
      <w:r>
        <w:rPr>
          <w:rFonts w:hAnsi="宋体"/>
          <w:kern w:val="0"/>
          <w:szCs w:val="21"/>
        </w:rPr>
        <w:t>计算：</w:t>
      </w:r>
    </w:p>
    <w:p>
      <w:pPr>
        <w:tabs>
          <w:tab w:val="left" w:pos="9354"/>
        </w:tabs>
        <w:jc w:val="center"/>
      </w:pPr>
      <m:oMath>
        <m:sSub>
          <m:sSubPr>
            <m:ctrlPr>
              <w:rPr>
                <w:rFonts w:ascii="Cambria Math" w:hAnsi="Cambria Math"/>
                <w:szCs w:val="20"/>
              </w:rPr>
            </m:ctrlPr>
          </m:sSubPr>
          <m:e>
            <m:r>
              <m:rPr/>
              <w:rPr>
                <w:rFonts w:ascii="Cambria Math" w:hAnsi="Cambria Math"/>
              </w:rPr>
              <m:t>w</m:t>
            </m:r>
            <m:ctrlPr>
              <w:rPr>
                <w:rFonts w:ascii="Cambria Math" w:hAnsi="Cambria Math"/>
                <w:szCs w:val="20"/>
              </w:rPr>
            </m:ctrlPr>
          </m:e>
          <m:sub>
            <m:d>
              <m:dPr>
                <m:ctrlPr>
                  <w:rPr>
                    <w:rFonts w:ascii="Cambria Math" w:hAnsi="Cambria Math"/>
                  </w:rPr>
                </m:ctrlPr>
              </m:dPr>
              <m:e>
                <m:r>
                  <m:rPr>
                    <m:sty m:val="p"/>
                  </m:rPr>
                  <w:rPr>
                    <w:rFonts w:ascii="Cambria Math" w:hAnsi="Cambria Math"/>
                    <w:szCs w:val="20"/>
                  </w:rPr>
                  <m:t>X</m:t>
                </m:r>
                <m:ctrlPr>
                  <w:rPr>
                    <w:rFonts w:ascii="Cambria Math" w:hAnsi="Cambria Math"/>
                  </w:rPr>
                </m:ctrlPr>
              </m:e>
            </m:d>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RSF</m:t>
            </m:r>
            <m:ctrlPr>
              <w:rPr>
                <w:rFonts w:ascii="Cambria Math" w:hAnsi="Cambria Math"/>
                <w:szCs w:val="20"/>
              </w:rPr>
            </m:ctrlP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ctrlPr>
                  <w:rPr>
                    <w:rFonts w:ascii="Cambria Math" w:hAnsi="Cambria Math"/>
                    <w:szCs w:val="20"/>
                  </w:rPr>
                </m:ctrlPr>
              </m:num>
              <m:den>
                <m:r>
                  <m:rPr>
                    <m:sty m:val="p"/>
                  </m:rPr>
                  <w:rPr>
                    <w:rFonts w:ascii="Cambria Math" w:hAnsi="Cambria Math"/>
                  </w:rPr>
                  <m:t>B</m:t>
                </m:r>
                <m:r>
                  <m:rPr>
                    <m:sty m:val="p"/>
                  </m:rPr>
                  <w:rPr>
                    <w:rFonts w:hint="eastAsia" w:ascii="Cambria Math" w:hAnsi="Cambria Math"/>
                  </w:rPr>
                  <m:t>i</m:t>
                </m:r>
                <m:ctrlPr>
                  <w:rPr>
                    <w:rFonts w:ascii="Cambria Math" w:hAnsi="Cambria Math"/>
                    <w:szCs w:val="20"/>
                  </w:rPr>
                </m:ctrlPr>
              </m:den>
            </m:f>
            <m:r>
              <m:rPr>
                <m:sty m:val="p"/>
              </m:rPr>
              <w:rPr>
                <w:rFonts w:ascii="Cambria Math" w:hAnsi="Cambria Math"/>
              </w:rPr>
              <m:t>)</m:t>
            </m:r>
            <m:ctrlPr>
              <w:rPr>
                <w:rFonts w:ascii="Cambria Math" w:hAnsi="Cambria Math"/>
                <w:szCs w:val="20"/>
              </w:rPr>
            </m:ctrlP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B</m:t>
                </m:r>
                <m:r>
                  <m:rPr>
                    <m:sty m:val="p"/>
                  </m:rPr>
                  <w:rPr>
                    <w:rFonts w:hint="eastAsia" w:ascii="Cambria Math" w:hAnsi="Cambria Math"/>
                  </w:rPr>
                  <m:t>i</m:t>
                </m:r>
                <m:ctrlPr>
                  <w:rPr>
                    <w:rFonts w:ascii="Cambria Math" w:hAnsi="Cambria Math"/>
                    <w:szCs w:val="20"/>
                  </w:rPr>
                </m:ctrlPr>
              </m:sub>
            </m:sSub>
            <m:ctrlPr>
              <w:rPr>
                <w:rFonts w:ascii="Cambria Math" w:hAnsi="Cambria Math"/>
                <w:szCs w:val="20"/>
              </w:rPr>
            </m:ctrlPr>
          </m:num>
          <m:den>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B</m:t>
                </m:r>
                <m:r>
                  <m:rPr>
                    <m:sty m:val="p"/>
                  </m:rPr>
                  <w:rPr>
                    <w:rFonts w:hint="eastAsia" w:ascii="Cambria Math" w:hAnsi="Cambria Math"/>
                  </w:rPr>
                  <m:t>i</m:t>
                </m:r>
                <m:ctrlPr>
                  <w:rPr>
                    <w:rFonts w:ascii="Cambria Math" w:hAnsi="Cambria Math"/>
                    <w:szCs w:val="20"/>
                  </w:rPr>
                </m:ctrlPr>
              </m:sub>
            </m:sSub>
            <m:ctrlPr>
              <w:rPr>
                <w:rFonts w:ascii="Cambria Math" w:hAnsi="Cambria Math"/>
                <w:szCs w:val="20"/>
              </w:rPr>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(B</m:t>
            </m:r>
            <m:r>
              <m:rPr/>
              <w:rPr>
                <w:rFonts w:hint="eastAsia" w:ascii="Cambria Math" w:hAnsi="Cambria Math"/>
              </w:rPr>
              <m:t>i</m:t>
            </m:r>
            <m:r>
              <m:rPr/>
              <w:rPr>
                <w:rFonts w:ascii="Cambria Math" w:hAnsi="Cambria Math"/>
              </w:rPr>
              <m:t>)</m:t>
            </m:r>
            <m:ctrlPr>
              <w:rPr>
                <w:rFonts w:ascii="Cambria Math" w:hAnsi="Cambria Math"/>
              </w:rPr>
            </m:ctrlPr>
          </m:sub>
        </m:sSub>
      </m:oMath>
      <w:r>
        <w:rPr>
          <w:rFonts w:hint="eastAsia"/>
        </w:rPr>
        <w:t>...........................(2)</w:t>
      </w:r>
    </w:p>
    <w:p>
      <w:pPr>
        <w:tabs>
          <w:tab w:val="left" w:pos="9354"/>
        </w:tabs>
        <w:ind w:firstLine="420" w:firstLineChars="200"/>
        <w:rPr>
          <w:rFonts w:ascii="宋体" w:hAnsi="宋体"/>
          <w:szCs w:val="21"/>
        </w:rPr>
      </w:pPr>
      <w:r>
        <w:rPr>
          <w:rFonts w:hint="eastAsia" w:ascii="宋体" w:hAnsi="宋体"/>
          <w:szCs w:val="21"/>
        </w:rPr>
        <w:t>式中：</w:t>
      </w:r>
    </w:p>
    <w:p>
      <w:pPr>
        <w:tabs>
          <w:tab w:val="left" w:pos="9354"/>
        </w:tabs>
        <w:ind w:firstLine="420" w:firstLineChars="200"/>
        <w:jc w:val="left"/>
        <w:rPr>
          <w:color w:val="000000"/>
          <w:kern w:val="0"/>
          <w:szCs w:val="21"/>
        </w:rPr>
      </w:pPr>
      <w:r>
        <w:rPr>
          <w:rFonts w:hint="eastAsia" w:asciiTheme="minorEastAsia" w:hAnsiTheme="minorEastAsia" w:eastAsiaTheme="minorEastAsia"/>
          <w:i/>
          <w:kern w:val="0"/>
          <w:szCs w:val="21"/>
        </w:rPr>
        <w:t>w</w:t>
      </w:r>
      <w:r>
        <w:rPr>
          <w:rFonts w:asciiTheme="minorEastAsia" w:hAnsiTheme="minorEastAsia" w:eastAsiaTheme="minorEastAsia"/>
          <w:kern w:val="0"/>
          <w:sz w:val="18"/>
          <w:szCs w:val="18"/>
          <w:vertAlign w:val="subscript"/>
        </w:rPr>
        <w:t>(X/B</w:t>
      </w:r>
      <w:r>
        <w:rPr>
          <w:rFonts w:hint="eastAsia" w:asciiTheme="minorEastAsia" w:hAnsiTheme="minorEastAsia" w:eastAsiaTheme="minorEastAsia"/>
          <w:kern w:val="0"/>
          <w:sz w:val="18"/>
          <w:szCs w:val="18"/>
          <w:vertAlign w:val="subscript"/>
        </w:rPr>
        <w:t>i</w:t>
      </w:r>
      <w:r>
        <w:rPr>
          <w:rFonts w:asciiTheme="minorEastAsia" w:hAnsiTheme="minorEastAsia" w:eastAsiaTheme="minorEastAsia"/>
          <w:kern w:val="0"/>
          <w:sz w:val="18"/>
          <w:szCs w:val="18"/>
          <w:vertAlign w:val="subscript"/>
        </w:rPr>
        <w:t>)</w:t>
      </w:r>
      <w:r>
        <w:rPr>
          <w:kern w:val="0"/>
          <w:szCs w:val="21"/>
        </w:rPr>
        <w:t>——</w:t>
      </w:r>
      <w:r>
        <w:rPr>
          <w:rFonts w:hAnsi="宋体"/>
          <w:szCs w:val="21"/>
        </w:rPr>
        <w:t>待测元素的质量分数，单位为微克每克</w:t>
      </w:r>
      <w:r>
        <w:rPr>
          <w:rFonts w:asciiTheme="minorEastAsia" w:hAnsiTheme="minorEastAsia" w:eastAsiaTheme="minorEastAsia"/>
          <w:szCs w:val="21"/>
        </w:rPr>
        <w:t>（</w:t>
      </w:r>
      <w:r>
        <w:rPr>
          <w:rFonts w:asciiTheme="minorEastAsia" w:hAnsiTheme="minorEastAsia" w:eastAsiaTheme="minorEastAsia"/>
        </w:rPr>
        <w:t>µg/g</w:t>
      </w:r>
      <w:r>
        <w:rPr>
          <w:rFonts w:asciiTheme="minorEastAsia" w:hAnsiTheme="minorEastAsia" w:eastAsiaTheme="minorEastAsia"/>
          <w:color w:val="000000"/>
          <w:kern w:val="0"/>
          <w:szCs w:val="21"/>
        </w:rPr>
        <w:t>）；</w:t>
      </w:r>
    </w:p>
    <w:p>
      <w:pPr>
        <w:tabs>
          <w:tab w:val="left" w:pos="9354"/>
        </w:tabs>
        <w:ind w:firstLine="420" w:firstLineChars="200"/>
        <w:jc w:val="left"/>
        <w:rPr>
          <w:color w:val="000000"/>
          <w:kern w:val="0"/>
          <w:szCs w:val="21"/>
        </w:rPr>
      </w:pPr>
      <w:r>
        <w:rPr>
          <w:rFonts w:asciiTheme="minorEastAsia" w:hAnsiTheme="minorEastAsia" w:eastAsiaTheme="minorEastAsia"/>
          <w:i/>
          <w:szCs w:val="21"/>
        </w:rPr>
        <w:t>RSF</w:t>
      </w:r>
      <w:r>
        <w:rPr>
          <w:rFonts w:asciiTheme="minorEastAsia" w:hAnsiTheme="minorEastAsia" w:eastAsiaTheme="minorEastAsia"/>
          <w:kern w:val="0"/>
          <w:szCs w:val="21"/>
          <w:vertAlign w:val="subscript"/>
        </w:rPr>
        <w:t>(X/B</w:t>
      </w:r>
      <w:r>
        <w:rPr>
          <w:rFonts w:hint="eastAsia" w:asciiTheme="minorEastAsia" w:hAnsiTheme="minorEastAsia" w:eastAsiaTheme="minorEastAsia"/>
          <w:kern w:val="0"/>
          <w:szCs w:val="21"/>
          <w:vertAlign w:val="subscript"/>
        </w:rPr>
        <w:t>i</w:t>
      </w:r>
      <w:r>
        <w:rPr>
          <w:rFonts w:asciiTheme="minorEastAsia" w:hAnsiTheme="minorEastAsia" w:eastAsiaTheme="minorEastAsia"/>
          <w:kern w:val="0"/>
          <w:szCs w:val="21"/>
          <w:vertAlign w:val="subscript"/>
        </w:rPr>
        <w:t>)</w:t>
      </w:r>
      <w:r>
        <w:rPr>
          <w:kern w:val="0"/>
          <w:szCs w:val="21"/>
        </w:rPr>
        <w:t>——</w:t>
      </w:r>
      <w:r>
        <w:rPr>
          <w:rFonts w:hAnsi="宋体"/>
          <w:szCs w:val="21"/>
        </w:rPr>
        <w:t>待测元素的相对灵敏度因子</w:t>
      </w:r>
      <w:r>
        <w:rPr>
          <w:rFonts w:hAnsi="宋体"/>
          <w:color w:val="000000"/>
          <w:kern w:val="0"/>
          <w:szCs w:val="21"/>
        </w:rPr>
        <w:t>；</w:t>
      </w:r>
    </w:p>
    <w:p>
      <w:pPr>
        <w:tabs>
          <w:tab w:val="left" w:pos="9354"/>
        </w:tabs>
        <w:ind w:firstLine="420" w:firstLineChars="200"/>
        <w:jc w:val="left"/>
        <w:rPr>
          <w:rFonts w:hAnsi="宋体"/>
          <w:color w:val="000000"/>
          <w:kern w:val="0"/>
          <w:szCs w:val="21"/>
        </w:rPr>
      </w:pPr>
      <w:r>
        <w:rPr>
          <w:rFonts w:asciiTheme="minorEastAsia" w:hAnsiTheme="minorEastAsia" w:eastAsiaTheme="minorEastAsia"/>
          <w:i/>
          <w:szCs w:val="21"/>
        </w:rPr>
        <w:t>I</w:t>
      </w:r>
      <w:r>
        <w:rPr>
          <w:rFonts w:asciiTheme="minorEastAsia" w:hAnsiTheme="minorEastAsia" w:eastAsiaTheme="minorEastAsia"/>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rFonts w:asciiTheme="minorEastAsia" w:hAnsiTheme="minorEastAsia" w:eastAsiaTheme="minorEastAsia"/>
          <w:color w:val="000000"/>
          <w:kern w:val="0"/>
          <w:szCs w:val="21"/>
        </w:rPr>
        <w:t>（cps）表示；</w:t>
      </w:r>
    </w:p>
    <w:p>
      <w:pPr>
        <w:tabs>
          <w:tab w:val="left" w:pos="9354"/>
        </w:tabs>
        <w:ind w:firstLine="420" w:firstLineChars="200"/>
        <w:jc w:val="left"/>
        <w:rPr>
          <w:rFonts w:hAnsi="宋体"/>
          <w:color w:val="000000"/>
          <w:kern w:val="0"/>
          <w:szCs w:val="21"/>
        </w:rPr>
      </w:pPr>
      <w:r>
        <w:rPr>
          <w:rFonts w:asciiTheme="minorEastAsia" w:hAnsiTheme="minorEastAsia" w:eastAsiaTheme="minorEastAsia"/>
          <w:i/>
          <w:szCs w:val="21"/>
        </w:rPr>
        <w:t>A</w:t>
      </w:r>
      <w:r>
        <w:rPr>
          <w:rFonts w:hint="eastAsia" w:asciiTheme="minorEastAsia" w:hAnsiTheme="minorEastAsia" w:eastAsiaTheme="minorEastAsia"/>
          <w:kern w:val="0"/>
          <w:szCs w:val="21"/>
          <w:vertAlign w:val="subscript"/>
        </w:rPr>
        <w:t>Ga</w:t>
      </w:r>
      <w:r>
        <w:rPr>
          <w:kern w:val="0"/>
          <w:szCs w:val="21"/>
        </w:rPr>
        <w:t>——</w:t>
      </w:r>
      <w:r>
        <w:rPr>
          <w:rFonts w:asciiTheme="minorEastAsia" w:hAnsiTheme="minorEastAsia" w:eastAsiaTheme="minorEastAsia"/>
          <w:kern w:val="0"/>
          <w:szCs w:val="21"/>
        </w:rPr>
        <w:t>B</w:t>
      </w:r>
      <w:r>
        <w:rPr>
          <w:rFonts w:hint="eastAsia" w:asciiTheme="minorEastAsia" w:hAnsiTheme="minorEastAsia" w:eastAsiaTheme="minorEastAsia"/>
          <w:kern w:val="0"/>
          <w:szCs w:val="21"/>
        </w:rPr>
        <w:t>i</w:t>
      </w:r>
      <w:r>
        <w:rPr>
          <w:rFonts w:asciiTheme="minorEastAsia" w:hAnsiTheme="minorEastAsia" w:eastAsiaTheme="minorEastAsia"/>
          <w:kern w:val="0"/>
          <w:szCs w:val="21"/>
        </w:rPr>
        <w:t>元</w:t>
      </w:r>
      <w:r>
        <w:rPr>
          <w:rFonts w:hAnsi="宋体"/>
          <w:kern w:val="0"/>
          <w:szCs w:val="21"/>
        </w:rPr>
        <w:t>素的同位素丰度</w:t>
      </w:r>
      <w:r>
        <w:rPr>
          <w:rFonts w:hAnsi="宋体"/>
          <w:color w:val="000000"/>
          <w:kern w:val="0"/>
          <w:szCs w:val="21"/>
        </w:rPr>
        <w:t>；</w:t>
      </w:r>
    </w:p>
    <w:p>
      <w:pPr>
        <w:tabs>
          <w:tab w:val="left" w:pos="9354"/>
        </w:tabs>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i/>
          <w:szCs w:val="21"/>
        </w:rPr>
        <w:t>A</w:t>
      </w:r>
      <w:r>
        <w:rPr>
          <w:rFonts w:asciiTheme="minorEastAsia" w:hAnsiTheme="minorEastAsia" w:eastAsiaTheme="minorEastAsia"/>
          <w:kern w:val="0"/>
          <w:szCs w:val="21"/>
          <w:vertAlign w:val="subscript"/>
        </w:rPr>
        <w:t>X</w:t>
      </w:r>
      <w:r>
        <w:rPr>
          <w:rFonts w:asciiTheme="minorEastAsia" w:hAnsiTheme="minorEastAsia" w:eastAsiaTheme="minorEastAsia"/>
          <w:kern w:val="0"/>
          <w:szCs w:val="21"/>
        </w:rPr>
        <w:t>——待测元素的同位素丰度</w:t>
      </w:r>
      <w:r>
        <w:rPr>
          <w:rFonts w:asciiTheme="minorEastAsia" w:hAnsiTheme="minorEastAsia" w:eastAsiaTheme="minorEastAsia"/>
          <w:color w:val="000000"/>
          <w:kern w:val="0"/>
          <w:szCs w:val="21"/>
        </w:rPr>
        <w:t>；</w:t>
      </w:r>
    </w:p>
    <w:p>
      <w:pPr>
        <w:tabs>
          <w:tab w:val="left" w:pos="9354"/>
        </w:tabs>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i/>
          <w:szCs w:val="21"/>
        </w:rPr>
        <w:t>I</w:t>
      </w:r>
      <w:r>
        <w:rPr>
          <w:rFonts w:asciiTheme="minorEastAsia" w:hAnsiTheme="minorEastAsia" w:eastAsiaTheme="minorEastAsia"/>
          <w:kern w:val="0"/>
          <w:szCs w:val="21"/>
          <w:vertAlign w:val="subscript"/>
        </w:rPr>
        <w:t>B</w:t>
      </w:r>
      <w:r>
        <w:rPr>
          <w:rFonts w:hint="eastAsia" w:asciiTheme="minorEastAsia" w:hAnsiTheme="minorEastAsia" w:eastAsiaTheme="minorEastAsia"/>
          <w:kern w:val="0"/>
          <w:szCs w:val="21"/>
          <w:vertAlign w:val="subscript"/>
        </w:rPr>
        <w:t>i</w:t>
      </w:r>
      <w:r>
        <w:rPr>
          <w:rFonts w:asciiTheme="minorEastAsia" w:hAnsiTheme="minorEastAsia" w:eastAsiaTheme="minorEastAsia"/>
          <w:kern w:val="0"/>
          <w:szCs w:val="21"/>
        </w:rPr>
        <w:t>——B</w:t>
      </w:r>
      <w:r>
        <w:rPr>
          <w:rFonts w:hint="eastAsia" w:asciiTheme="minorEastAsia" w:hAnsiTheme="minorEastAsia" w:eastAsiaTheme="minorEastAsia"/>
          <w:kern w:val="0"/>
          <w:szCs w:val="21"/>
        </w:rPr>
        <w:t>i</w:t>
      </w:r>
      <w:r>
        <w:rPr>
          <w:rFonts w:asciiTheme="minorEastAsia" w:hAnsiTheme="minorEastAsia" w:eastAsiaTheme="minorEastAsia"/>
          <w:kern w:val="0"/>
          <w:szCs w:val="21"/>
        </w:rPr>
        <w:t>元素的同位素谱峰强度</w:t>
      </w:r>
      <w:r>
        <w:rPr>
          <w:rFonts w:asciiTheme="minorEastAsia" w:hAnsiTheme="minorEastAsia" w:eastAsiaTheme="minorEastAsia"/>
          <w:color w:val="000000"/>
          <w:kern w:val="0"/>
          <w:szCs w:val="21"/>
        </w:rPr>
        <w:t>，以每秒计数（cps）表示；</w:t>
      </w:r>
    </w:p>
    <w:p>
      <w:pPr>
        <w:tabs>
          <w:tab w:val="left" w:pos="9354"/>
        </w:tabs>
        <w:ind w:firstLine="420" w:firstLineChars="200"/>
        <w:rPr>
          <w:rFonts w:asciiTheme="minorEastAsia" w:hAnsiTheme="minorEastAsia" w:eastAsiaTheme="minorEastAsia"/>
          <w:szCs w:val="21"/>
        </w:rPr>
      </w:pPr>
      <w:r>
        <w:rPr>
          <w:rFonts w:asciiTheme="minorEastAsia" w:hAnsiTheme="minorEastAsia" w:eastAsiaTheme="minorEastAsia"/>
          <w:i/>
          <w:szCs w:val="21"/>
        </w:rPr>
        <mc:AlternateContent>
          <mc:Choice Requires="wps">
            <w:drawing>
              <wp:anchor distT="0" distB="0" distL="114300" distR="114300" simplePos="0" relativeHeight="251671552" behindDoc="0" locked="0" layoutInCell="1" allowOverlap="1">
                <wp:simplePos x="0" y="0"/>
                <wp:positionH relativeFrom="column">
                  <wp:posOffset>633730</wp:posOffset>
                </wp:positionH>
                <wp:positionV relativeFrom="paragraph">
                  <wp:posOffset>101600</wp:posOffset>
                </wp:positionV>
                <wp:extent cx="285750" cy="0"/>
                <wp:effectExtent l="5080" t="6350" r="13970" b="12700"/>
                <wp:wrapNone/>
                <wp:docPr id="2" name="AutoShape 23"/>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AutoShape 23" o:spid="_x0000_s1026" o:spt="32" type="#_x0000_t32" style="position:absolute;left:0pt;margin-left:49.9pt;margin-top:8pt;height:0pt;width:22.5pt;z-index:251671552;mso-width-relative:page;mso-height-relative:page;" filled="f" stroked="t" coordsize="21600,21600" o:gfxdata="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UubSdQAAAAIAQAADwAAAAAAAAABACAAAAAi&#10;AAAAZHJzL2Rvd25yZXYueG1sUEsBAhQAFAAAAAgAh07iQLLlfJXVAQAAsgMAAA4AAAAAAAAAAQAg&#10;AAAAIwEAAGRycy9lMm9Eb2MueG1sUEsFBgAAAAAGAAYAWQEAAGoFAAAAAA==&#10;">
                <v:fill on="f" focussize="0,0"/>
                <v:stroke color="#000000" joinstyle="round"/>
                <v:imagedata o:title=""/>
                <o:lock v:ext="edit" aspectratio="f"/>
              </v:shape>
            </w:pict>
          </mc:Fallback>
        </mc:AlternateContent>
      </w:r>
      <w:r>
        <w:rPr>
          <w:rFonts w:hint="eastAsia" w:asciiTheme="minorEastAsia" w:hAnsiTheme="minorEastAsia" w:eastAsiaTheme="minorEastAsia"/>
          <w:i/>
          <w:szCs w:val="21"/>
        </w:rPr>
        <w:t>w</w:t>
      </w:r>
      <w:r>
        <w:rPr>
          <w:rFonts w:hint="eastAsia" w:asciiTheme="minorEastAsia" w:hAnsiTheme="minorEastAsia" w:eastAsiaTheme="minorEastAsia"/>
          <w:szCs w:val="21"/>
          <w:vertAlign w:val="subscript"/>
        </w:rPr>
        <w:t>（</w:t>
      </w:r>
      <w:r>
        <w:rPr>
          <w:rFonts w:asciiTheme="minorEastAsia" w:hAnsiTheme="minorEastAsia" w:eastAsiaTheme="minorEastAsia"/>
          <w:szCs w:val="21"/>
          <w:vertAlign w:val="subscript"/>
        </w:rPr>
        <w:t>B</w:t>
      </w:r>
      <w:r>
        <w:rPr>
          <w:rFonts w:hint="eastAsia" w:asciiTheme="minorEastAsia" w:hAnsiTheme="minorEastAsia" w:eastAsiaTheme="minorEastAsia"/>
          <w:szCs w:val="21"/>
          <w:vertAlign w:val="subscript"/>
        </w:rPr>
        <w:t>i）</w:t>
      </w:r>
      <w:r>
        <w:rPr>
          <w:rFonts w:hint="eastAsia" w:asciiTheme="minorEastAsia" w:hAnsiTheme="minorEastAsia" w:eastAsiaTheme="minorEastAsia"/>
          <w:i/>
          <w:szCs w:val="21"/>
        </w:rPr>
        <w:t xml:space="preserve"> </w:t>
      </w:r>
      <w:r>
        <w:rPr>
          <w:rFonts w:hint="eastAsia" w:asciiTheme="minorEastAsia" w:hAnsiTheme="minorEastAsia" w:eastAsiaTheme="minorEastAsia"/>
          <w:szCs w:val="21"/>
        </w:rPr>
        <w:t xml:space="preserve">     基体元素</w:t>
      </w:r>
      <w:r>
        <w:rPr>
          <w:rFonts w:asciiTheme="minorEastAsia" w:hAnsiTheme="minorEastAsia" w:eastAsiaTheme="minorEastAsia"/>
          <w:szCs w:val="21"/>
        </w:rPr>
        <w:t>B</w:t>
      </w:r>
      <w:r>
        <w:rPr>
          <w:rFonts w:hint="eastAsia" w:asciiTheme="minorEastAsia" w:hAnsiTheme="minorEastAsia" w:eastAsiaTheme="minorEastAsia"/>
          <w:szCs w:val="21"/>
        </w:rPr>
        <w:t>i的质量分数定义为1.00×10</w:t>
      </w:r>
      <w:r>
        <w:rPr>
          <w:rFonts w:hint="eastAsia" w:asciiTheme="minorEastAsia" w:hAnsiTheme="minorEastAsia" w:eastAsiaTheme="minorEastAsia"/>
          <w:szCs w:val="21"/>
          <w:vertAlign w:val="superscript"/>
        </w:rPr>
        <w:t>6</w:t>
      </w:r>
      <w:r>
        <w:rPr>
          <w:rFonts w:hint="eastAsia" w:asciiTheme="minorEastAsia" w:hAnsiTheme="minorEastAsia" w:eastAsiaTheme="minorEastAsia"/>
          <w:szCs w:val="21"/>
        </w:rPr>
        <w:t>，单位为微克每克（</w:t>
      </w:r>
      <w:r>
        <w:rPr>
          <w:rFonts w:asciiTheme="minorEastAsia" w:hAnsiTheme="minorEastAsia" w:eastAsiaTheme="minorEastAsia"/>
          <w:iCs/>
          <w:szCs w:val="21"/>
        </w:rPr>
        <w:t>μg</w:t>
      </w:r>
      <w:r>
        <w:rPr>
          <w:rFonts w:hint="eastAsia" w:asciiTheme="minorEastAsia" w:hAnsiTheme="minorEastAsia" w:eastAsiaTheme="minorEastAsia"/>
          <w:szCs w:val="21"/>
        </w:rPr>
        <w:t>/g）；</w:t>
      </w:r>
    </w:p>
    <w:p>
      <w:pPr>
        <w:tabs>
          <w:tab w:val="left" w:pos="315"/>
          <w:tab w:val="left" w:pos="9354"/>
        </w:tabs>
        <w:autoSpaceDE w:val="0"/>
        <w:autoSpaceDN w:val="0"/>
        <w:adjustRightInd w:val="0"/>
        <w:ind w:firstLine="420" w:firstLineChars="200"/>
        <w:rPr>
          <w:rFonts w:asciiTheme="minorEastAsia" w:hAnsiTheme="minorEastAsia" w:eastAsiaTheme="minorEastAsia"/>
          <w:szCs w:val="21"/>
        </w:rPr>
      </w:pPr>
      <w:r>
        <w:rPr>
          <w:rFonts w:asciiTheme="minorEastAsia" w:hAnsiTheme="minorEastAsia" w:eastAsiaTheme="minorEastAsia"/>
          <w:kern w:val="0"/>
          <w:szCs w:val="21"/>
        </w:rPr>
        <w:t>分析结果由计算机直接给出。元素含量一般以</w:t>
      </w:r>
      <w:r>
        <w:rPr>
          <w:rFonts w:asciiTheme="minorEastAsia" w:hAnsiTheme="minorEastAsia" w:eastAsiaTheme="minorEastAsia"/>
        </w:rPr>
        <w:t>µg/g表示，</w:t>
      </w:r>
      <w:r>
        <w:rPr>
          <w:rFonts w:hint="eastAsia" w:asciiTheme="minorEastAsia" w:hAnsiTheme="minorEastAsia" w:eastAsiaTheme="minorEastAsia"/>
        </w:rPr>
        <w:t>当</w:t>
      </w:r>
      <w:r>
        <w:rPr>
          <w:rFonts w:asciiTheme="minorEastAsia" w:hAnsiTheme="minorEastAsia" w:eastAsiaTheme="minorEastAsia"/>
        </w:rPr>
        <w:t>结果</w:t>
      </w:r>
      <w:r>
        <w:rPr>
          <w:rFonts w:asciiTheme="minorEastAsia" w:hAnsiTheme="minorEastAsia" w:eastAsiaTheme="minorEastAsia"/>
          <w:kern w:val="0"/>
          <w:szCs w:val="21"/>
        </w:rPr>
        <w:t xml:space="preserve">如小于0.01 </w:t>
      </w:r>
      <w:r>
        <w:rPr>
          <w:rFonts w:asciiTheme="minorEastAsia" w:hAnsiTheme="minorEastAsia" w:eastAsiaTheme="minorEastAsia"/>
        </w:rPr>
        <w:t>µg/g，</w:t>
      </w:r>
      <w:r>
        <w:rPr>
          <w:rFonts w:hint="eastAsia" w:asciiTheme="minorEastAsia" w:hAnsiTheme="minorEastAsia" w:eastAsiaTheme="minorEastAsia"/>
        </w:rPr>
        <w:t>取</w:t>
      </w:r>
      <w:r>
        <w:rPr>
          <w:rFonts w:hint="eastAsia" w:asciiTheme="minorEastAsia" w:hAnsiTheme="minorEastAsia" w:eastAsiaTheme="minorEastAsia"/>
          <w:kern w:val="0"/>
          <w:szCs w:val="21"/>
        </w:rPr>
        <w:t>小数点后一位</w:t>
      </w:r>
      <w:r>
        <w:rPr>
          <w:rFonts w:asciiTheme="minorEastAsia" w:hAnsiTheme="minorEastAsia" w:eastAsiaTheme="minorEastAsia"/>
          <w:kern w:val="0"/>
          <w:szCs w:val="21"/>
        </w:rPr>
        <w:t>有效数字；</w:t>
      </w:r>
      <w:r>
        <w:rPr>
          <w:rFonts w:hint="eastAsia" w:asciiTheme="minorEastAsia" w:hAnsiTheme="minorEastAsia" w:eastAsiaTheme="minorEastAsia"/>
          <w:kern w:val="0"/>
          <w:szCs w:val="21"/>
        </w:rPr>
        <w:t>如</w:t>
      </w:r>
      <w:r>
        <w:rPr>
          <w:rFonts w:asciiTheme="minorEastAsia" w:hAnsiTheme="minorEastAsia" w:eastAsiaTheme="minorEastAsia"/>
          <w:kern w:val="0"/>
          <w:szCs w:val="21"/>
        </w:rPr>
        <w:t>大于0.01 µg/g并小于10 µg/g，</w:t>
      </w:r>
      <w:r>
        <w:rPr>
          <w:rFonts w:hint="eastAsia" w:asciiTheme="minorEastAsia" w:hAnsiTheme="minorEastAsia" w:eastAsiaTheme="minorEastAsia"/>
          <w:kern w:val="0"/>
          <w:szCs w:val="21"/>
        </w:rPr>
        <w:t>取</w:t>
      </w:r>
      <w:r>
        <w:rPr>
          <w:rFonts w:asciiTheme="minorEastAsia" w:hAnsiTheme="minorEastAsia" w:eastAsiaTheme="minorEastAsia"/>
          <w:kern w:val="0"/>
          <w:szCs w:val="21"/>
        </w:rPr>
        <w:t>两位有效数字</w:t>
      </w:r>
      <w:r>
        <w:rPr>
          <w:rFonts w:hint="eastAsia" w:asciiTheme="minorEastAsia" w:hAnsiTheme="minorEastAsia" w:eastAsiaTheme="minorEastAsia"/>
          <w:kern w:val="0"/>
          <w:szCs w:val="21"/>
        </w:rPr>
        <w:t>；如</w:t>
      </w:r>
      <w:r>
        <w:rPr>
          <w:rFonts w:asciiTheme="minorEastAsia" w:hAnsiTheme="minorEastAsia" w:eastAsiaTheme="minorEastAsia"/>
          <w:kern w:val="0"/>
          <w:szCs w:val="21"/>
        </w:rPr>
        <w:t>大于等于10 µg/g</w:t>
      </w:r>
      <w:r>
        <w:rPr>
          <w:rFonts w:hint="eastAsia" w:asciiTheme="minorEastAsia" w:hAnsiTheme="minorEastAsia" w:eastAsiaTheme="minorEastAsia"/>
          <w:kern w:val="0"/>
          <w:szCs w:val="21"/>
        </w:rPr>
        <w:t>，</w:t>
      </w:r>
      <w:r>
        <w:rPr>
          <w:rFonts w:asciiTheme="minorEastAsia" w:hAnsiTheme="minorEastAsia" w:eastAsiaTheme="minorEastAsia"/>
          <w:szCs w:val="21"/>
        </w:rPr>
        <w:t>取整数部分有效位数。</w:t>
      </w:r>
    </w:p>
    <w:bookmarkEnd w:id="19"/>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2精密度</w:t>
      </w:r>
    </w:p>
    <w:p>
      <w:pPr>
        <w:tabs>
          <w:tab w:val="left" w:pos="315"/>
          <w:tab w:val="left" w:pos="9354"/>
        </w:tabs>
        <w:autoSpaceDE w:val="0"/>
        <w:autoSpaceDN w:val="0"/>
        <w:adjustRightInd w:val="0"/>
        <w:ind w:firstLine="420" w:firstLineChars="200"/>
        <w:rPr>
          <w:rFonts w:ascii="宋体" w:hAnsi="宋体" w:cs="宋体"/>
          <w:kern w:val="0"/>
          <w:szCs w:val="21"/>
        </w:rPr>
      </w:pPr>
      <w:bookmarkStart w:id="20" w:name="_Hlk141085121"/>
      <w:r>
        <w:rPr>
          <w:rFonts w:hint="eastAsia" w:ascii="宋体" w:hAnsi="宋体" w:cs="宋体"/>
          <w:kern w:val="0"/>
          <w:szCs w:val="21"/>
        </w:rPr>
        <w:t>实验室内与实验室间在重复性条件和再现性条件下获得的两次独立测试结果的测定值，其</w:t>
      </w:r>
      <w:r>
        <w:rPr>
          <w:rFonts w:hint="eastAsia"/>
          <w:kern w:val="0"/>
          <w:szCs w:val="21"/>
        </w:rPr>
        <w:t>相对差</w:t>
      </w:r>
      <w:r>
        <w:rPr>
          <w:kern w:val="0"/>
          <w:szCs w:val="21"/>
        </w:rPr>
        <w:t>值不超过表</w:t>
      </w:r>
      <w:r>
        <w:rPr>
          <w:rFonts w:hint="eastAsia"/>
          <w:kern w:val="0"/>
          <w:szCs w:val="21"/>
        </w:rPr>
        <w:t>4</w:t>
      </w:r>
      <w:r>
        <w:rPr>
          <w:kern w:val="0"/>
          <w:szCs w:val="21"/>
        </w:rPr>
        <w:t>所列允许相对</w:t>
      </w:r>
      <w:r>
        <w:rPr>
          <w:rFonts w:hint="eastAsia"/>
          <w:kern w:val="0"/>
          <w:szCs w:val="21"/>
        </w:rPr>
        <w:t>偏</w:t>
      </w:r>
      <w:r>
        <w:rPr>
          <w:kern w:val="0"/>
          <w:szCs w:val="21"/>
        </w:rPr>
        <w:t>差，超过的情况不超过5%。</w:t>
      </w:r>
      <w:bookmarkEnd w:id="20"/>
    </w:p>
    <w:p>
      <w:pPr>
        <w:tabs>
          <w:tab w:val="left" w:pos="315"/>
          <w:tab w:val="left" w:pos="9354"/>
        </w:tabs>
        <w:autoSpaceDE w:val="0"/>
        <w:autoSpaceDN w:val="0"/>
        <w:adjustRightInd w:val="0"/>
        <w:ind w:firstLine="420" w:firstLineChars="200"/>
        <w:jc w:val="center"/>
        <w:rPr>
          <w:rFonts w:eastAsia="黑体"/>
          <w:szCs w:val="21"/>
        </w:rPr>
      </w:pPr>
      <w:r>
        <w:rPr>
          <w:rFonts w:eastAsia="黑体"/>
          <w:szCs w:val="21"/>
        </w:rPr>
        <w:t xml:space="preserve">表4 </w:t>
      </w:r>
      <w:bookmarkStart w:id="21" w:name="_Hlk141085169"/>
      <w:r>
        <w:rPr>
          <w:rFonts w:eastAsia="黑体"/>
          <w:szCs w:val="21"/>
        </w:rPr>
        <w:t>允许相对偏差</w:t>
      </w:r>
      <w:bookmarkEnd w:id="21"/>
    </w:p>
    <w:p>
      <w:pPr>
        <w:pStyle w:val="25"/>
      </w:pPr>
      <w:bookmarkStart w:id="22" w:name="_Hlk101519192"/>
    </w:p>
    <w:tbl>
      <w:tblPr>
        <w:tblStyle w:val="36"/>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589"/>
        <w:gridCol w:w="2650"/>
        <w:gridCol w:w="2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1" w:type="pct"/>
            <w:vAlign w:val="center"/>
          </w:tcPr>
          <w:p>
            <w:pPr>
              <w:pStyle w:val="25"/>
              <w:tabs>
                <w:tab w:val="left" w:pos="9354"/>
              </w:tabs>
              <w:ind w:firstLine="0" w:firstLineChars="0"/>
              <w:jc w:val="center"/>
              <w:rPr>
                <w:rFonts w:ascii="宋体" w:hAnsi="宋体"/>
                <w:color w:val="000000"/>
                <w:sz w:val="18"/>
                <w:szCs w:val="18"/>
              </w:rPr>
            </w:pPr>
            <w:r>
              <w:rPr>
                <w:rFonts w:hint="eastAsia" w:hAnsi="宋体"/>
                <w:color w:val="000000"/>
                <w:sz w:val="18"/>
                <w:szCs w:val="18"/>
              </w:rPr>
              <w:t>元素含量范围</w:t>
            </w:r>
          </w:p>
          <w:p>
            <w:pPr>
              <w:pStyle w:val="25"/>
              <w:tabs>
                <w:tab w:val="left" w:pos="9354"/>
              </w:tabs>
              <w:ind w:firstLine="0" w:firstLineChars="0"/>
              <w:jc w:val="center"/>
              <w:rPr>
                <w:rFonts w:ascii="宋体" w:hAnsi="宋体" w:eastAsia="宋体"/>
                <w:sz w:val="18"/>
                <w:szCs w:val="18"/>
              </w:rPr>
            </w:pPr>
            <w:r>
              <w:rPr>
                <w:rFonts w:ascii="宋体" w:hAnsi="宋体" w:eastAsia="宋体"/>
                <w:sz w:val="18"/>
                <w:szCs w:val="18"/>
              </w:rPr>
              <w:t>µg/g</w:t>
            </w:r>
          </w:p>
        </w:tc>
        <w:tc>
          <w:tcPr>
            <w:tcW w:w="1730" w:type="pct"/>
            <w:vAlign w:val="center"/>
          </w:tcPr>
          <w:p>
            <w:pPr>
              <w:pStyle w:val="25"/>
              <w:tabs>
                <w:tab w:val="left" w:pos="9354"/>
              </w:tabs>
              <w:ind w:firstLine="0" w:firstLineChars="0"/>
              <w:jc w:val="center"/>
              <w:rPr>
                <w:rFonts w:ascii="宋体" w:hAnsi="宋体" w:eastAsia="宋体"/>
                <w:color w:val="000000"/>
                <w:sz w:val="18"/>
                <w:szCs w:val="18"/>
              </w:rPr>
            </w:pPr>
            <w:r>
              <w:rPr>
                <w:rFonts w:hint="eastAsia" w:ascii="宋体" w:hAnsi="宋体" w:eastAsia="宋体"/>
                <w:color w:val="000000"/>
                <w:sz w:val="18"/>
                <w:szCs w:val="18"/>
              </w:rPr>
              <w:t>实验室内允许相对偏差</w:t>
            </w:r>
          </w:p>
          <w:p>
            <w:pPr>
              <w:pStyle w:val="25"/>
              <w:tabs>
                <w:tab w:val="left" w:pos="9354"/>
              </w:tabs>
              <w:ind w:firstLine="0" w:firstLineChars="0"/>
              <w:jc w:val="center"/>
              <w:rPr>
                <w:rFonts w:ascii="宋体" w:hAnsi="宋体" w:eastAsia="宋体"/>
                <w:color w:val="000000"/>
                <w:sz w:val="18"/>
                <w:szCs w:val="18"/>
              </w:rPr>
            </w:pPr>
            <w:r>
              <w:rPr>
                <w:rFonts w:ascii="宋体" w:hAnsi="宋体" w:eastAsia="宋体"/>
                <w:color w:val="000000"/>
                <w:sz w:val="18"/>
                <w:szCs w:val="18"/>
              </w:rPr>
              <w:t>%</w:t>
            </w:r>
          </w:p>
        </w:tc>
        <w:tc>
          <w:tcPr>
            <w:tcW w:w="1578" w:type="pct"/>
            <w:vAlign w:val="center"/>
          </w:tcPr>
          <w:p>
            <w:pPr>
              <w:pStyle w:val="25"/>
              <w:tabs>
                <w:tab w:val="left" w:pos="9354"/>
              </w:tabs>
              <w:ind w:firstLine="0" w:firstLineChars="0"/>
              <w:jc w:val="center"/>
              <w:rPr>
                <w:rFonts w:ascii="宋体" w:hAnsi="宋体" w:eastAsia="宋体"/>
                <w:color w:val="000000"/>
                <w:sz w:val="18"/>
                <w:szCs w:val="18"/>
              </w:rPr>
            </w:pPr>
            <w:r>
              <w:rPr>
                <w:rFonts w:hint="eastAsia" w:ascii="宋体" w:hAnsi="宋体" w:eastAsia="宋体"/>
                <w:color w:val="000000"/>
                <w:sz w:val="18"/>
                <w:szCs w:val="18"/>
              </w:rPr>
              <w:t>实验室间允许相对偏差</w:t>
            </w:r>
          </w:p>
          <w:p>
            <w:pPr>
              <w:pStyle w:val="25"/>
              <w:tabs>
                <w:tab w:val="left" w:pos="9354"/>
              </w:tabs>
              <w:ind w:firstLine="0" w:firstLineChars="0"/>
              <w:jc w:val="center"/>
              <w:rPr>
                <w:rFonts w:ascii="宋体" w:hAnsi="宋体" w:eastAsia="宋体"/>
                <w:color w:val="000000"/>
                <w:sz w:val="18"/>
                <w:szCs w:val="18"/>
              </w:rPr>
            </w:pPr>
            <w:r>
              <w:rPr>
                <w:rFonts w:ascii="宋体" w:hAnsi="宋体" w:eastAsia="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0.001</w:t>
            </w:r>
            <w:r>
              <w:rPr>
                <w:rFonts w:hint="default"/>
                <w:sz w:val="18"/>
                <w:szCs w:val="18"/>
              </w:rPr>
              <w:t>~</w:t>
            </w:r>
            <w:r>
              <w:rPr>
                <w:rFonts w:hint="eastAsia" w:ascii="宋体" w:hAnsi="宋体"/>
                <w:sz w:val="18"/>
                <w:szCs w:val="18"/>
              </w:rPr>
              <w:t>0.02</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150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2</w:t>
            </w:r>
            <w:r>
              <w:rPr>
                <w:rFonts w:ascii="宋体" w:hAnsi="宋体"/>
                <w:sz w:val="18"/>
                <w:szCs w:val="18"/>
              </w:rPr>
              <w:t>～0.0</w:t>
            </w:r>
            <w:r>
              <w:rPr>
                <w:rFonts w:hint="eastAsia" w:ascii="宋体" w:hAnsi="宋体"/>
                <w:sz w:val="18"/>
                <w:szCs w:val="18"/>
              </w:rPr>
              <w:t>6</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100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6</w:t>
            </w:r>
            <w:r>
              <w:rPr>
                <w:rFonts w:ascii="宋体" w:hAnsi="宋体"/>
                <w:sz w:val="18"/>
                <w:szCs w:val="18"/>
              </w:rPr>
              <w:t>～0.</w:t>
            </w:r>
            <w:r>
              <w:rPr>
                <w:rFonts w:hint="eastAsia" w:ascii="宋体" w:hAnsi="宋体"/>
                <w:sz w:val="18"/>
                <w:szCs w:val="18"/>
              </w:rPr>
              <w:t>2</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70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w:t>
            </w:r>
            <w:r>
              <w:rPr>
                <w:rFonts w:ascii="宋体" w:hAnsi="宋体"/>
                <w:sz w:val="18"/>
                <w:szCs w:val="18"/>
              </w:rPr>
              <w:t>0.</w:t>
            </w:r>
            <w:r>
              <w:rPr>
                <w:rFonts w:hint="eastAsia" w:ascii="宋体" w:hAnsi="宋体"/>
                <w:sz w:val="18"/>
                <w:szCs w:val="18"/>
              </w:rPr>
              <w:t>2</w:t>
            </w:r>
            <w:r>
              <w:rPr>
                <w:rFonts w:ascii="宋体" w:hAnsi="宋体"/>
                <w:sz w:val="18"/>
                <w:szCs w:val="18"/>
              </w:rPr>
              <w:t>～</w:t>
            </w:r>
            <w:r>
              <w:rPr>
                <w:rFonts w:hint="eastAsia" w:ascii="宋体" w:hAnsi="宋体"/>
                <w:sz w:val="18"/>
                <w:szCs w:val="18"/>
              </w:rPr>
              <w:t>0.6</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50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＞0.6</w:t>
            </w:r>
            <w:r>
              <w:rPr>
                <w:rFonts w:ascii="宋体" w:hAnsi="宋体"/>
                <w:sz w:val="18"/>
                <w:szCs w:val="18"/>
              </w:rPr>
              <w:t>～</w:t>
            </w:r>
            <w:r>
              <w:rPr>
                <w:rFonts w:hint="eastAsia" w:ascii="宋体" w:hAnsi="宋体"/>
                <w:sz w:val="18"/>
                <w:szCs w:val="18"/>
              </w:rPr>
              <w:t>2</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40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120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691" w:type="pct"/>
            <w:vAlign w:val="center"/>
          </w:tcPr>
          <w:p>
            <w:pPr>
              <w:tabs>
                <w:tab w:val="left" w:pos="9354"/>
              </w:tabs>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1730"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20</w:t>
            </w:r>
          </w:p>
        </w:tc>
        <w:tc>
          <w:tcPr>
            <w:tcW w:w="1578" w:type="pct"/>
            <w:vAlign w:val="center"/>
          </w:tcPr>
          <w:p>
            <w:pPr>
              <w:pStyle w:val="25"/>
              <w:tabs>
                <w:tab w:val="left" w:pos="9354"/>
              </w:tabs>
              <w:ind w:firstLine="0" w:firstLineChars="0"/>
              <w:jc w:val="center"/>
              <w:rPr>
                <w:rFonts w:ascii="宋体" w:hAnsi="宋体"/>
                <w:sz w:val="18"/>
                <w:szCs w:val="18"/>
              </w:rPr>
            </w:pPr>
            <w:r>
              <w:rPr>
                <w:rFonts w:hint="eastAsia" w:ascii="宋体" w:hAnsi="宋体"/>
                <w:sz w:val="18"/>
                <w:szCs w:val="18"/>
              </w:rPr>
              <w:t>80</w:t>
            </w:r>
          </w:p>
        </w:tc>
      </w:tr>
    </w:tbl>
    <w:p>
      <w:pPr>
        <w:pStyle w:val="25"/>
        <w:rPr>
          <w:color w:val="000000" w:themeColor="text1"/>
          <w14:textFill>
            <w14:solidFill>
              <w14:schemeClr w14:val="tx1"/>
            </w14:solidFill>
          </w14:textFill>
        </w:rPr>
      </w:pPr>
    </w:p>
    <w:bookmarkEnd w:id="22"/>
    <w:p>
      <w:pPr>
        <w:pStyle w:val="52"/>
        <w:tabs>
          <w:tab w:val="left" w:pos="579"/>
          <w:tab w:val="left" w:pos="9354"/>
        </w:tabs>
        <w:adjustRightInd w:val="0"/>
        <w:spacing w:before="312" w:after="312"/>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13试验报告</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试验报告至少应给出以下内容：</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a)试样名称及编号；</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b)</w:t>
      </w:r>
      <w:r>
        <w:rPr>
          <w:rFonts w:hint="eastAsia" w:ascii="宋体" w:hAnsi="宋体" w:cs="宋体"/>
          <w:kern w:val="0"/>
          <w:szCs w:val="21"/>
        </w:rPr>
        <w:t>本文件编号</w:t>
      </w:r>
      <w:r>
        <w:rPr>
          <w:rFonts w:ascii="宋体" w:hAnsi="宋体" w:cs="宋体"/>
          <w:kern w:val="0"/>
          <w:szCs w:val="21"/>
        </w:rPr>
        <w:t>；</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c)分析结果及其表示；</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d)与基本分析步骤的差异（若有）；</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e)测定中观察到的异常现象（若有）；</w:t>
      </w:r>
    </w:p>
    <w:p>
      <w:pPr>
        <w:tabs>
          <w:tab w:val="left" w:pos="315"/>
          <w:tab w:val="left" w:pos="9354"/>
        </w:tabs>
        <w:autoSpaceDE w:val="0"/>
        <w:autoSpaceDN w:val="0"/>
        <w:adjustRightInd w:val="0"/>
        <w:spacing w:before="88"/>
        <w:ind w:firstLine="420" w:firstLineChars="200"/>
        <w:rPr>
          <w:rFonts w:ascii="宋体" w:hAnsi="宋体" w:cs="宋体"/>
          <w:kern w:val="0"/>
          <w:szCs w:val="21"/>
        </w:rPr>
      </w:pPr>
      <w:r>
        <w:rPr>
          <w:rFonts w:ascii="宋体" w:hAnsi="宋体" w:cs="宋体"/>
          <w:kern w:val="0"/>
          <w:szCs w:val="21"/>
        </w:rPr>
        <w:t>f)试验日期。</w:t>
      </w:r>
    </w:p>
    <w:p>
      <w:pPr>
        <w:tabs>
          <w:tab w:val="left" w:pos="1012"/>
          <w:tab w:val="left" w:pos="9354"/>
        </w:tabs>
        <w:spacing w:line="360" w:lineRule="auto"/>
        <w:ind w:right="183" w:rightChars="87"/>
        <w:rPr>
          <w:rFonts w:ascii="宋体" w:hAnsi="宋体"/>
          <w:bCs/>
          <w:szCs w:val="21"/>
        </w:rPr>
      </w:pPr>
    </w:p>
    <w:p>
      <w:pPr>
        <w:tabs>
          <w:tab w:val="left" w:pos="315"/>
          <w:tab w:val="left" w:pos="9354"/>
        </w:tabs>
        <w:autoSpaceDE w:val="0"/>
        <w:autoSpaceDN w:val="0"/>
        <w:adjustRightInd w:val="0"/>
        <w:ind w:right="-3277"/>
        <w:jc w:val="left"/>
        <w:rPr>
          <w:rFonts w:ascii="黑体" w:hAnsi="黑体" w:eastAsia="黑体"/>
          <w:color w:val="000000" w:themeColor="text1"/>
          <w14:textFill>
            <w14:solidFill>
              <w14:schemeClr w14:val="tx1"/>
            </w14:solidFill>
          </w14:textFill>
        </w:rPr>
      </w:pPr>
      <w:bookmarkStart w:id="24" w:name="_GoBack"/>
      <w:bookmarkEnd w:id="24"/>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posOffset>1416685</wp:posOffset>
                </wp:positionH>
                <wp:positionV relativeFrom="paragraph">
                  <wp:posOffset>68580</wp:posOffset>
                </wp:positionV>
                <wp:extent cx="2801620" cy="0"/>
                <wp:effectExtent l="6985" t="10795" r="10795" b="8255"/>
                <wp:wrapNone/>
                <wp:docPr id="1" name="直接连接符 15"/>
                <wp:cNvGraphicFramePr/>
                <a:graphic xmlns:a="http://schemas.openxmlformats.org/drawingml/2006/main">
                  <a:graphicData uri="http://schemas.microsoft.com/office/word/2010/wordprocessingShape">
                    <wps:wsp>
                      <wps:cNvCnPr>
                        <a:cxnSpLocks noChangeShapeType="1"/>
                      </wps:cNvCnPr>
                      <wps:spPr bwMode="auto">
                        <a:xfrm flipV="1">
                          <a:off x="0" y="0"/>
                          <a:ext cx="2801620" cy="0"/>
                        </a:xfrm>
                        <a:prstGeom prst="line">
                          <a:avLst/>
                        </a:prstGeom>
                        <a:noFill/>
                        <a:ln w="9525">
                          <a:solidFill>
                            <a:srgbClr val="000000"/>
                          </a:solidFill>
                          <a:round/>
                        </a:ln>
                      </wps:spPr>
                      <wps:bodyPr/>
                    </wps:wsp>
                  </a:graphicData>
                </a:graphic>
              </wp:anchor>
            </w:drawing>
          </mc:Choice>
          <mc:Fallback>
            <w:pict>
              <v:line id="直接连接符 15" o:spid="_x0000_s1026" o:spt="20" style="position:absolute;left:0pt;flip:y;margin-left:111.55pt;margin-top:5.4pt;height:0pt;width:220.6pt;mso-position-horizontal-relative:margin;z-index:251663360;mso-width-relative:page;mso-height-relative:page;" filled="f" stroked="t" coordsize="21600,21600" o:gfxdata="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UWGjU&#10;AAAACQEAAA8AAAAAAAAAAQAgAAAAIgAAAGRycy9kb3ducmV2LnhtbFBLAQIUABQAAAAIAIdO4kCg&#10;UFmR6wEAALUDAAAOAAAAAAAAAAEAIAAAACMBAABkcnMvZTJvRG9jLnhtbFBLBQYAAAAABgAGAFkB&#10;AACABQAAAAA=&#10;">
                <v:fill on="f" focussize="0,0"/>
                <v:stroke color="#000000" joinstyle="round"/>
                <v:imagedata o:title=""/>
                <o:lock v:ext="edit" aspectratio="f"/>
              </v:line>
            </w:pict>
          </mc:Fallback>
        </mc:AlternateContent>
      </w:r>
    </w:p>
    <w:p>
      <w:pPr>
        <w:pStyle w:val="25"/>
        <w:tabs>
          <w:tab w:val="left" w:pos="9354"/>
        </w:tabs>
        <w:ind w:firstLine="3360" w:firstLineChars="1600"/>
        <w:rPr>
          <w:color w:val="000000" w:themeColor="text1"/>
          <w14:textFill>
            <w14:solidFill>
              <w14:schemeClr w14:val="tx1"/>
            </w14:solidFill>
          </w14:textFill>
        </w:rPr>
      </w:pPr>
    </w:p>
    <w:p>
      <w:pPr>
        <w:pStyle w:val="25"/>
        <w:tabs>
          <w:tab w:val="left" w:pos="9354"/>
        </w:tabs>
        <w:ind w:firstLine="3360" w:firstLineChars="1600"/>
        <w:rPr>
          <w:color w:val="000000" w:themeColor="text1"/>
          <w14:textFill>
            <w14:solidFill>
              <w14:schemeClr w14:val="tx1"/>
            </w14:solidFill>
          </w14:textFill>
        </w:rPr>
      </w:pPr>
    </w:p>
    <w:p>
      <w:pPr>
        <w:pStyle w:val="25"/>
        <w:tabs>
          <w:tab w:val="left" w:pos="9354"/>
        </w:tabs>
        <w:ind w:firstLine="0" w:firstLineChars="0"/>
        <w:jc w:val="center"/>
        <w:rPr>
          <w:rFonts w:ascii="黑体" w:eastAsia="黑体"/>
          <w:color w:val="000000"/>
          <w:szCs w:val="21"/>
        </w:rPr>
      </w:pPr>
      <w:bookmarkStart w:id="23" w:name="_Hlk103763618"/>
    </w:p>
    <w:p>
      <w:pPr>
        <w:pStyle w:val="25"/>
        <w:tabs>
          <w:tab w:val="left" w:pos="9354"/>
        </w:tabs>
        <w:ind w:firstLine="0" w:firstLineChars="0"/>
        <w:jc w:val="center"/>
        <w:rPr>
          <w:rFonts w:ascii="黑体" w:eastAsia="黑体"/>
          <w:color w:val="000000"/>
          <w:szCs w:val="21"/>
        </w:rPr>
        <w:sectPr>
          <w:pgSz w:w="11906" w:h="16838"/>
          <w:pgMar w:top="567" w:right="1134" w:bottom="1134" w:left="1418" w:header="850" w:footer="850" w:gutter="0"/>
          <w:pgNumType w:start="1"/>
          <w:cols w:space="425" w:num="1"/>
          <w:formProt w:val="0"/>
          <w:docGrid w:type="lines" w:linePitch="312" w:charSpace="0"/>
        </w:sectPr>
      </w:pPr>
    </w:p>
    <w:p>
      <w:pPr>
        <w:pStyle w:val="25"/>
        <w:tabs>
          <w:tab w:val="left" w:pos="9354"/>
        </w:tabs>
        <w:ind w:firstLine="0" w:firstLineChars="0"/>
        <w:jc w:val="center"/>
        <w:rPr>
          <w:rFonts w:ascii="黑体" w:eastAsia="黑体"/>
          <w:color w:val="000000"/>
          <w:szCs w:val="21"/>
        </w:rPr>
      </w:pPr>
    </w:p>
    <w:p>
      <w:pPr>
        <w:pStyle w:val="25"/>
        <w:tabs>
          <w:tab w:val="left" w:pos="9354"/>
        </w:tabs>
        <w:ind w:firstLine="0" w:firstLineChars="0"/>
        <w:jc w:val="center"/>
        <w:rPr>
          <w:rFonts w:ascii="黑体" w:eastAsia="黑体"/>
          <w:color w:val="000000"/>
          <w:szCs w:val="21"/>
        </w:rPr>
      </w:pPr>
      <w:r>
        <w:rPr>
          <w:rFonts w:hint="eastAsia" w:ascii="黑体" w:eastAsia="黑体"/>
          <w:color w:val="000000"/>
          <w:szCs w:val="21"/>
        </w:rPr>
        <w:t>附录A</w:t>
      </w:r>
    </w:p>
    <w:p>
      <w:pPr>
        <w:pStyle w:val="25"/>
        <w:tabs>
          <w:tab w:val="left" w:pos="9354"/>
        </w:tabs>
        <w:ind w:firstLine="0" w:firstLineChars="0"/>
        <w:jc w:val="center"/>
        <w:rPr>
          <w:rFonts w:ascii="黑体" w:eastAsia="黑体"/>
          <w:color w:val="000000"/>
          <w:szCs w:val="21"/>
        </w:rPr>
      </w:pPr>
      <w:r>
        <w:rPr>
          <w:rFonts w:hint="eastAsia" w:ascii="黑体" w:eastAsia="黑体"/>
          <w:color w:val="000000"/>
          <w:szCs w:val="21"/>
        </w:rPr>
        <w:t>（资料性）</w:t>
      </w:r>
    </w:p>
    <w:p>
      <w:pPr>
        <w:pStyle w:val="25"/>
        <w:tabs>
          <w:tab w:val="left" w:pos="9354"/>
        </w:tabs>
        <w:ind w:firstLine="0" w:firstLineChars="0"/>
        <w:jc w:val="both"/>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辉光放电质谱仪推荐工作条件见表A.</w:t>
      </w: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w:t>
      </w:r>
    </w:p>
    <w:p>
      <w:pPr>
        <w:tabs>
          <w:tab w:val="left" w:pos="9354"/>
        </w:tabs>
        <w:jc w:val="center"/>
        <w:rPr>
          <w:sz w:val="18"/>
          <w:szCs w:val="18"/>
        </w:rPr>
      </w:pPr>
      <w:r>
        <w:rPr>
          <w:rFonts w:hint="eastAsia"/>
          <w:sz w:val="18"/>
          <w:szCs w:val="18"/>
        </w:rPr>
        <w:t>表A</w:t>
      </w:r>
      <w:r>
        <w:rPr>
          <w:sz w:val="18"/>
          <w:szCs w:val="18"/>
        </w:rPr>
        <w:t xml:space="preserve">.1 </w:t>
      </w:r>
      <w:r>
        <w:rPr>
          <w:rFonts w:hint="eastAsia"/>
          <w:sz w:val="18"/>
          <w:szCs w:val="18"/>
        </w:rPr>
        <w:t>辉光放电质谱仪工作条件</w:t>
      </w:r>
    </w:p>
    <w:tbl>
      <w:tblPr>
        <w:tblStyle w:val="3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963"/>
        <w:gridCol w:w="211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single" w:color="auto" w:sz="4" w:space="0"/>
              <w:left w:val="nil"/>
              <w:bottom w:val="single" w:color="auto" w:sz="4" w:space="0"/>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工作参数</w:t>
            </w:r>
          </w:p>
        </w:tc>
        <w:tc>
          <w:tcPr>
            <w:tcW w:w="2111" w:type="dxa"/>
            <w:tcBorders>
              <w:top w:val="single" w:color="auto" w:sz="4" w:space="0"/>
              <w:left w:val="nil"/>
              <w:bottom w:val="single" w:color="auto" w:sz="4" w:space="0"/>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参数值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single" w:color="auto" w:sz="4" w:space="0"/>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放电电流</w:t>
            </w:r>
          </w:p>
        </w:tc>
        <w:tc>
          <w:tcPr>
            <w:tcW w:w="2111" w:type="dxa"/>
            <w:tcBorders>
              <w:top w:val="single" w:color="auto" w:sz="4" w:space="0"/>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2.50mA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放电电压</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1250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工作气流量</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0.641 SCCM</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提取电压</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4795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离子源垂直电压</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41.50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离子源水平电压</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-29.50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963"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水平传送透镜电压</w:t>
            </w:r>
          </w:p>
        </w:tc>
        <w:tc>
          <w:tcPr>
            <w:tcW w:w="2111" w:type="dxa"/>
            <w:tcBorders>
              <w:top w:val="nil"/>
              <w:left w:val="nil"/>
              <w:bottom w:val="nil"/>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1818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963" w:type="dxa"/>
            <w:tcBorders>
              <w:top w:val="nil"/>
              <w:left w:val="nil"/>
              <w:bottom w:val="single" w:color="auto" w:sz="4" w:space="0"/>
              <w:right w:val="nil"/>
            </w:tcBorders>
            <w:vAlign w:val="center"/>
          </w:tcPr>
          <w:p>
            <w:pPr>
              <w:tabs>
                <w:tab w:val="left" w:pos="9354"/>
              </w:tabs>
              <w:jc w:val="center"/>
              <w:rPr>
                <w:rFonts w:asciiTheme="minorEastAsia" w:hAnsiTheme="minorEastAsia" w:eastAsiaTheme="minorEastAsia"/>
                <w:szCs w:val="18"/>
              </w:rPr>
            </w:pPr>
            <w:r>
              <w:rPr>
                <w:rFonts w:hint="eastAsia" w:asciiTheme="minorEastAsia" w:hAnsiTheme="minorEastAsia" w:eastAsiaTheme="minorEastAsia"/>
                <w:szCs w:val="18"/>
              </w:rPr>
              <w:t>垂直传送透镜电压</w:t>
            </w:r>
          </w:p>
        </w:tc>
        <w:tc>
          <w:tcPr>
            <w:tcW w:w="2111" w:type="dxa"/>
            <w:tcBorders>
              <w:top w:val="nil"/>
              <w:left w:val="nil"/>
              <w:bottom w:val="single" w:color="auto" w:sz="4" w:space="0"/>
              <w:right w:val="nil"/>
            </w:tcBorders>
            <w:vAlign w:val="center"/>
          </w:tcPr>
          <w:p>
            <w:pPr>
              <w:tabs>
                <w:tab w:val="left" w:pos="9354"/>
              </w:tabs>
              <w:jc w:val="center"/>
              <w:rPr>
                <w:rFonts w:asciiTheme="minorEastAsia" w:hAnsiTheme="minorEastAsia" w:eastAsiaTheme="minorEastAsia"/>
                <w:szCs w:val="18"/>
              </w:rPr>
            </w:pPr>
            <w:r>
              <w:rPr>
                <w:rFonts w:asciiTheme="minorEastAsia" w:hAnsiTheme="minorEastAsia" w:eastAsiaTheme="minorEastAsia"/>
                <w:szCs w:val="18"/>
              </w:rPr>
              <w:t>1076 V</w:t>
            </w:r>
          </w:p>
        </w:tc>
      </w:tr>
      <w:bookmarkEnd w:id="23"/>
    </w:tbl>
    <w:p>
      <w:pPr>
        <w:pStyle w:val="25"/>
        <w:tabs>
          <w:tab w:val="left" w:pos="9354"/>
        </w:tabs>
        <w:ind w:firstLine="3360" w:firstLineChars="1600"/>
        <w:rPr>
          <w:color w:val="000000" w:themeColor="text1"/>
          <w14:textFill>
            <w14:solidFill>
              <w14:schemeClr w14:val="tx1"/>
            </w14:solidFill>
          </w14:textFill>
        </w:rPr>
      </w:pPr>
    </w:p>
    <w:p>
      <w:pPr>
        <w:pStyle w:val="25"/>
        <w:tabs>
          <w:tab w:val="left" w:pos="9354"/>
        </w:tabs>
        <w:ind w:firstLine="3360" w:firstLineChars="1600"/>
        <w:rPr>
          <w:color w:val="000000" w:themeColor="text1"/>
          <w14:textFill>
            <w14:solidFill>
              <w14:schemeClr w14:val="tx1"/>
            </w14:solidFill>
          </w14:textFill>
        </w:rPr>
      </w:pPr>
    </w:p>
    <w:sectPr>
      <w:pgSz w:w="11906" w:h="16838"/>
      <w:pgMar w:top="567" w:right="1134" w:bottom="1134" w:left="1418" w:header="850" w:footer="850"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 xml:space="preserve">YS/T </w:t>
    </w:r>
    <w:r>
      <w:rPr>
        <w:rFonts w:hint="eastAsia"/>
      </w:rPr>
      <w:t>923</w:t>
    </w:r>
    <w:r>
      <w:t>.</w:t>
    </w:r>
    <w:r>
      <w:rPr>
        <w:rFonts w:hint="eastAsia"/>
      </w:rPr>
      <w:t>2</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1"/>
      <w:suff w:val="nothing"/>
      <w:lvlText w:val="%1%2.%3　"/>
      <w:lvlJc w:val="left"/>
      <w:pPr>
        <w:ind w:left="0" w:firstLine="0"/>
      </w:pPr>
      <w:rPr>
        <w:rFonts w:hint="eastAsia" w:ascii="黑体" w:hAnsi="Times New Roman" w:eastAsia="黑体"/>
        <w:b w:val="0"/>
        <w:i w:val="0"/>
        <w:sz w:val="21"/>
      </w:rPr>
    </w:lvl>
    <w:lvl w:ilvl="3" w:tentative="0">
      <w:start w:val="1"/>
      <w:numFmt w:val="decimal"/>
      <w:pStyle w:val="167"/>
      <w:suff w:val="nothing"/>
      <w:lvlText w:val="%1%2.%3.%4　"/>
      <w:lvlJc w:val="left"/>
      <w:pPr>
        <w:ind w:left="0" w:firstLine="0"/>
      </w:pPr>
      <w:rPr>
        <w:rFonts w:hint="eastAsia" w:ascii="黑体" w:hAnsi="Times New Roman" w:eastAsia="黑体"/>
        <w:b w:val="0"/>
        <w:i w:val="0"/>
        <w:sz w:val="21"/>
      </w:rPr>
    </w:lvl>
    <w:lvl w:ilvl="4" w:tentative="0">
      <w:start w:val="1"/>
      <w:numFmt w:val="decimal"/>
      <w:pStyle w:val="168"/>
      <w:suff w:val="nothing"/>
      <w:lvlText w:val="%1%2.%3.%4.%5　"/>
      <w:lvlJc w:val="left"/>
      <w:pPr>
        <w:ind w:left="0" w:firstLine="0"/>
      </w:pPr>
      <w:rPr>
        <w:rFonts w:hint="eastAsia" w:ascii="黑体" w:hAnsi="Times New Roman" w:eastAsia="黑体"/>
        <w:b w:val="0"/>
        <w:i w:val="0"/>
        <w:sz w:val="21"/>
      </w:rPr>
    </w:lvl>
    <w:lvl w:ilvl="5" w:tentative="0">
      <w:start w:val="1"/>
      <w:numFmt w:val="decimal"/>
      <w:pStyle w:val="169"/>
      <w:suff w:val="nothing"/>
      <w:lvlText w:val="%1%2.%3.%4.%5.%6　"/>
      <w:lvlJc w:val="left"/>
      <w:pPr>
        <w:ind w:left="0" w:firstLine="0"/>
      </w:pPr>
      <w:rPr>
        <w:rFonts w:hint="eastAsia" w:ascii="黑体" w:hAnsi="Times New Roman" w:eastAsia="黑体"/>
        <w:b w:val="0"/>
        <w:i w:val="0"/>
        <w:sz w:val="21"/>
      </w:rPr>
    </w:lvl>
    <w:lvl w:ilvl="6" w:tentative="0">
      <w:start w:val="1"/>
      <w:numFmt w:val="decimal"/>
      <w:pStyle w:val="1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5"/>
      <w:suff w:val="space"/>
      <w:lvlText w:val="%1"/>
      <w:lvlJc w:val="left"/>
      <w:pPr>
        <w:ind w:left="623" w:hanging="425"/>
      </w:pPr>
      <w:rPr>
        <w:rFonts w:hint="eastAsia"/>
      </w:rPr>
    </w:lvl>
    <w:lvl w:ilvl="1" w:tentative="0">
      <w:start w:val="1"/>
      <w:numFmt w:val="decimal"/>
      <w:pStyle w:val="10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5"/>
      <w:suff w:val="nothing"/>
      <w:lvlText w:val="%1——"/>
      <w:lvlJc w:val="left"/>
      <w:pPr>
        <w:ind w:left="976" w:hanging="408"/>
      </w:pPr>
      <w:rPr>
        <w:rFonts w:hint="eastAsia"/>
        <w:lang w:val="en-US"/>
      </w:rPr>
    </w:lvl>
    <w:lvl w:ilvl="1" w:tentative="0">
      <w:start w:val="1"/>
      <w:numFmt w:val="bullet"/>
      <w:pStyle w:val="56"/>
      <w:lvlText w:val=""/>
      <w:lvlJc w:val="left"/>
      <w:pPr>
        <w:tabs>
          <w:tab w:val="left" w:pos="903"/>
        </w:tabs>
        <w:ind w:left="1407" w:hanging="413"/>
      </w:pPr>
      <w:rPr>
        <w:rFonts w:hint="default" w:ascii="Symbol" w:hAnsi="Symbol"/>
        <w:color w:val="auto"/>
      </w:rPr>
    </w:lvl>
    <w:lvl w:ilvl="2" w:tentative="0">
      <w:start w:val="1"/>
      <w:numFmt w:val="bullet"/>
      <w:pStyle w:val="67"/>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1"/>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112"/>
      <w:lvlText w:val="%1)"/>
      <w:lvlJc w:val="left"/>
      <w:pPr>
        <w:tabs>
          <w:tab w:val="left" w:pos="839"/>
        </w:tabs>
        <w:ind w:left="839" w:hanging="419"/>
      </w:pPr>
      <w:rPr>
        <w:rFonts w:hint="eastAsia" w:ascii="宋体" w:eastAsia="宋体"/>
        <w:b w:val="0"/>
        <w:i w:val="0"/>
        <w:sz w:val="21"/>
      </w:rPr>
    </w:lvl>
    <w:lvl w:ilvl="1" w:tentative="0">
      <w:start w:val="1"/>
      <w:numFmt w:val="decimal"/>
      <w:pStyle w:val="10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5"/>
  </w:num>
  <w:num w:numId="7">
    <w:abstractNumId w:val="1"/>
  </w:num>
  <w:num w:numId="8">
    <w:abstractNumId w:val="10"/>
  </w:num>
  <w:num w:numId="9">
    <w:abstractNumId w:val="5"/>
  </w:num>
  <w:num w:numId="10">
    <w:abstractNumId w:val="13"/>
  </w:num>
  <w:num w:numId="11">
    <w:abstractNumId w:val="12"/>
  </w:num>
  <w:num w:numId="12">
    <w:abstractNumId w:val="14"/>
  </w:num>
  <w:num w:numId="13">
    <w:abstractNumId w:val="6"/>
  </w:num>
  <w:num w:numId="14">
    <w:abstractNumId w:val="2"/>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8E3BB5"/>
    <w:rsid w:val="00000244"/>
    <w:rsid w:val="000007D2"/>
    <w:rsid w:val="0000185F"/>
    <w:rsid w:val="0000586F"/>
    <w:rsid w:val="00005C8D"/>
    <w:rsid w:val="00011107"/>
    <w:rsid w:val="00012D52"/>
    <w:rsid w:val="00013D86"/>
    <w:rsid w:val="00013E02"/>
    <w:rsid w:val="000149BE"/>
    <w:rsid w:val="00015AD6"/>
    <w:rsid w:val="0002143C"/>
    <w:rsid w:val="00021F4A"/>
    <w:rsid w:val="0002292C"/>
    <w:rsid w:val="0002386A"/>
    <w:rsid w:val="00025A65"/>
    <w:rsid w:val="00026C31"/>
    <w:rsid w:val="00027280"/>
    <w:rsid w:val="00027646"/>
    <w:rsid w:val="00031BDE"/>
    <w:rsid w:val="000320A7"/>
    <w:rsid w:val="00032B64"/>
    <w:rsid w:val="00033EAC"/>
    <w:rsid w:val="000342F2"/>
    <w:rsid w:val="00035925"/>
    <w:rsid w:val="00035EA5"/>
    <w:rsid w:val="000406EC"/>
    <w:rsid w:val="000406F0"/>
    <w:rsid w:val="00045AEA"/>
    <w:rsid w:val="00053F01"/>
    <w:rsid w:val="00056A6B"/>
    <w:rsid w:val="00056C60"/>
    <w:rsid w:val="00057C16"/>
    <w:rsid w:val="00067B30"/>
    <w:rsid w:val="00067CDF"/>
    <w:rsid w:val="00070B9C"/>
    <w:rsid w:val="00070FED"/>
    <w:rsid w:val="00072A37"/>
    <w:rsid w:val="000735D3"/>
    <w:rsid w:val="00073AE0"/>
    <w:rsid w:val="00074193"/>
    <w:rsid w:val="00074FBE"/>
    <w:rsid w:val="00082335"/>
    <w:rsid w:val="00082689"/>
    <w:rsid w:val="00082AAC"/>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1EC5"/>
    <w:rsid w:val="000A20A9"/>
    <w:rsid w:val="000A48B1"/>
    <w:rsid w:val="000A7935"/>
    <w:rsid w:val="000B2103"/>
    <w:rsid w:val="000B3143"/>
    <w:rsid w:val="000B5D17"/>
    <w:rsid w:val="000C0A58"/>
    <w:rsid w:val="000C677C"/>
    <w:rsid w:val="000C6B05"/>
    <w:rsid w:val="000C6DD6"/>
    <w:rsid w:val="000C73D4"/>
    <w:rsid w:val="000C762D"/>
    <w:rsid w:val="000D0B73"/>
    <w:rsid w:val="000D3D4C"/>
    <w:rsid w:val="000D3E09"/>
    <w:rsid w:val="000D4F51"/>
    <w:rsid w:val="000D703C"/>
    <w:rsid w:val="000D718B"/>
    <w:rsid w:val="000E0C46"/>
    <w:rsid w:val="000E108A"/>
    <w:rsid w:val="000E3CFA"/>
    <w:rsid w:val="000E58A7"/>
    <w:rsid w:val="000E6F73"/>
    <w:rsid w:val="000F030C"/>
    <w:rsid w:val="000F129C"/>
    <w:rsid w:val="000F1ABD"/>
    <w:rsid w:val="000F5E7C"/>
    <w:rsid w:val="000F6B60"/>
    <w:rsid w:val="00102B74"/>
    <w:rsid w:val="00102B7C"/>
    <w:rsid w:val="00102C88"/>
    <w:rsid w:val="001056DE"/>
    <w:rsid w:val="00107C50"/>
    <w:rsid w:val="00107E71"/>
    <w:rsid w:val="001124C0"/>
    <w:rsid w:val="00113192"/>
    <w:rsid w:val="001139F4"/>
    <w:rsid w:val="00116795"/>
    <w:rsid w:val="001176B7"/>
    <w:rsid w:val="001279BD"/>
    <w:rsid w:val="0013175F"/>
    <w:rsid w:val="00132536"/>
    <w:rsid w:val="00133058"/>
    <w:rsid w:val="001347C4"/>
    <w:rsid w:val="00143370"/>
    <w:rsid w:val="00145C27"/>
    <w:rsid w:val="00150E08"/>
    <w:rsid w:val="001511E1"/>
    <w:rsid w:val="001512B4"/>
    <w:rsid w:val="001563FA"/>
    <w:rsid w:val="001620A5"/>
    <w:rsid w:val="0016225F"/>
    <w:rsid w:val="0016370D"/>
    <w:rsid w:val="001640B1"/>
    <w:rsid w:val="00164B49"/>
    <w:rsid w:val="00164BDA"/>
    <w:rsid w:val="00164E53"/>
    <w:rsid w:val="00164FA7"/>
    <w:rsid w:val="0016699D"/>
    <w:rsid w:val="001677B2"/>
    <w:rsid w:val="001678BB"/>
    <w:rsid w:val="00171149"/>
    <w:rsid w:val="001723B3"/>
    <w:rsid w:val="00175159"/>
    <w:rsid w:val="00176208"/>
    <w:rsid w:val="00177569"/>
    <w:rsid w:val="0018211B"/>
    <w:rsid w:val="0018274A"/>
    <w:rsid w:val="001832D8"/>
    <w:rsid w:val="001840D3"/>
    <w:rsid w:val="001846D7"/>
    <w:rsid w:val="001855C6"/>
    <w:rsid w:val="00185784"/>
    <w:rsid w:val="00185C8C"/>
    <w:rsid w:val="00186099"/>
    <w:rsid w:val="001900F8"/>
    <w:rsid w:val="001902AE"/>
    <w:rsid w:val="00191258"/>
    <w:rsid w:val="001922DF"/>
    <w:rsid w:val="00192680"/>
    <w:rsid w:val="00193037"/>
    <w:rsid w:val="00193A2C"/>
    <w:rsid w:val="001942FC"/>
    <w:rsid w:val="00195E9A"/>
    <w:rsid w:val="001976AD"/>
    <w:rsid w:val="0019781C"/>
    <w:rsid w:val="00197A52"/>
    <w:rsid w:val="001A288E"/>
    <w:rsid w:val="001A29D6"/>
    <w:rsid w:val="001A61F7"/>
    <w:rsid w:val="001A6329"/>
    <w:rsid w:val="001A6FBF"/>
    <w:rsid w:val="001B11C3"/>
    <w:rsid w:val="001B1E3B"/>
    <w:rsid w:val="001B1E9B"/>
    <w:rsid w:val="001B5C09"/>
    <w:rsid w:val="001B64E0"/>
    <w:rsid w:val="001B6DC2"/>
    <w:rsid w:val="001B79DA"/>
    <w:rsid w:val="001C0D55"/>
    <w:rsid w:val="001C149C"/>
    <w:rsid w:val="001C21AC"/>
    <w:rsid w:val="001C2B54"/>
    <w:rsid w:val="001C36A0"/>
    <w:rsid w:val="001C47BA"/>
    <w:rsid w:val="001C59EA"/>
    <w:rsid w:val="001D0157"/>
    <w:rsid w:val="001D406C"/>
    <w:rsid w:val="001D41EE"/>
    <w:rsid w:val="001E0380"/>
    <w:rsid w:val="001E13B1"/>
    <w:rsid w:val="001E24AC"/>
    <w:rsid w:val="001E2F7E"/>
    <w:rsid w:val="001E45E2"/>
    <w:rsid w:val="001E4BE3"/>
    <w:rsid w:val="001F04C8"/>
    <w:rsid w:val="001F0DBE"/>
    <w:rsid w:val="001F17EF"/>
    <w:rsid w:val="001F2407"/>
    <w:rsid w:val="001F2E61"/>
    <w:rsid w:val="001F3A19"/>
    <w:rsid w:val="001F4178"/>
    <w:rsid w:val="001F45BB"/>
    <w:rsid w:val="002041BF"/>
    <w:rsid w:val="00207464"/>
    <w:rsid w:val="00213EFD"/>
    <w:rsid w:val="00215491"/>
    <w:rsid w:val="00216646"/>
    <w:rsid w:val="00216D2A"/>
    <w:rsid w:val="00221113"/>
    <w:rsid w:val="00224BA5"/>
    <w:rsid w:val="0022537D"/>
    <w:rsid w:val="00230F64"/>
    <w:rsid w:val="00231BDC"/>
    <w:rsid w:val="00234467"/>
    <w:rsid w:val="00237D8D"/>
    <w:rsid w:val="00241DA2"/>
    <w:rsid w:val="0024303C"/>
    <w:rsid w:val="00246C63"/>
    <w:rsid w:val="00247875"/>
    <w:rsid w:val="00247FEE"/>
    <w:rsid w:val="002503A7"/>
    <w:rsid w:val="00250E7D"/>
    <w:rsid w:val="00253168"/>
    <w:rsid w:val="00253F9C"/>
    <w:rsid w:val="002565D5"/>
    <w:rsid w:val="00260BCB"/>
    <w:rsid w:val="00261AF6"/>
    <w:rsid w:val="002622C0"/>
    <w:rsid w:val="00262E7B"/>
    <w:rsid w:val="00263ECE"/>
    <w:rsid w:val="00264321"/>
    <w:rsid w:val="002656BC"/>
    <w:rsid w:val="002674DC"/>
    <w:rsid w:val="00270637"/>
    <w:rsid w:val="00273653"/>
    <w:rsid w:val="002758B1"/>
    <w:rsid w:val="002778AE"/>
    <w:rsid w:val="00277D2B"/>
    <w:rsid w:val="00280A52"/>
    <w:rsid w:val="0028269A"/>
    <w:rsid w:val="00282931"/>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147"/>
    <w:rsid w:val="002B023D"/>
    <w:rsid w:val="002B0F12"/>
    <w:rsid w:val="002B1308"/>
    <w:rsid w:val="002B4554"/>
    <w:rsid w:val="002B4EEE"/>
    <w:rsid w:val="002B5184"/>
    <w:rsid w:val="002B5A91"/>
    <w:rsid w:val="002C1D71"/>
    <w:rsid w:val="002C3891"/>
    <w:rsid w:val="002C4261"/>
    <w:rsid w:val="002C4891"/>
    <w:rsid w:val="002C5773"/>
    <w:rsid w:val="002C5D9D"/>
    <w:rsid w:val="002C677D"/>
    <w:rsid w:val="002C6F1A"/>
    <w:rsid w:val="002C7146"/>
    <w:rsid w:val="002C72D8"/>
    <w:rsid w:val="002D11FA"/>
    <w:rsid w:val="002D4067"/>
    <w:rsid w:val="002D61FD"/>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0F0"/>
    <w:rsid w:val="002F45A5"/>
    <w:rsid w:val="002F4B8A"/>
    <w:rsid w:val="003018F4"/>
    <w:rsid w:val="00301F39"/>
    <w:rsid w:val="00303030"/>
    <w:rsid w:val="00303C9C"/>
    <w:rsid w:val="00313C8E"/>
    <w:rsid w:val="003140C0"/>
    <w:rsid w:val="00314768"/>
    <w:rsid w:val="00315A25"/>
    <w:rsid w:val="00316218"/>
    <w:rsid w:val="00320EAC"/>
    <w:rsid w:val="00321A62"/>
    <w:rsid w:val="00323E6A"/>
    <w:rsid w:val="00325926"/>
    <w:rsid w:val="00327A8A"/>
    <w:rsid w:val="00333B21"/>
    <w:rsid w:val="00334224"/>
    <w:rsid w:val="00334C69"/>
    <w:rsid w:val="00336610"/>
    <w:rsid w:val="003366FF"/>
    <w:rsid w:val="00343F73"/>
    <w:rsid w:val="00344571"/>
    <w:rsid w:val="00345060"/>
    <w:rsid w:val="00345846"/>
    <w:rsid w:val="003458B4"/>
    <w:rsid w:val="00345AAB"/>
    <w:rsid w:val="00345E65"/>
    <w:rsid w:val="0035323B"/>
    <w:rsid w:val="00353FA0"/>
    <w:rsid w:val="00353FA6"/>
    <w:rsid w:val="003561FC"/>
    <w:rsid w:val="00357EDC"/>
    <w:rsid w:val="003609D2"/>
    <w:rsid w:val="0036321D"/>
    <w:rsid w:val="003632BA"/>
    <w:rsid w:val="00363F22"/>
    <w:rsid w:val="00364177"/>
    <w:rsid w:val="003672EF"/>
    <w:rsid w:val="00375564"/>
    <w:rsid w:val="0037588C"/>
    <w:rsid w:val="00381344"/>
    <w:rsid w:val="0038298C"/>
    <w:rsid w:val="00383191"/>
    <w:rsid w:val="00384A68"/>
    <w:rsid w:val="00385510"/>
    <w:rsid w:val="00386DED"/>
    <w:rsid w:val="0038798C"/>
    <w:rsid w:val="003912E7"/>
    <w:rsid w:val="00393947"/>
    <w:rsid w:val="00395512"/>
    <w:rsid w:val="003A0B6B"/>
    <w:rsid w:val="003A2275"/>
    <w:rsid w:val="003A311B"/>
    <w:rsid w:val="003A5F1C"/>
    <w:rsid w:val="003A6A4F"/>
    <w:rsid w:val="003A7088"/>
    <w:rsid w:val="003A770D"/>
    <w:rsid w:val="003B00B0"/>
    <w:rsid w:val="003B00DF"/>
    <w:rsid w:val="003B0E42"/>
    <w:rsid w:val="003B1275"/>
    <w:rsid w:val="003B1778"/>
    <w:rsid w:val="003B4D0C"/>
    <w:rsid w:val="003B5E75"/>
    <w:rsid w:val="003C11CB"/>
    <w:rsid w:val="003C1C92"/>
    <w:rsid w:val="003C519A"/>
    <w:rsid w:val="003C75F3"/>
    <w:rsid w:val="003C78A3"/>
    <w:rsid w:val="003D0C53"/>
    <w:rsid w:val="003D5C1B"/>
    <w:rsid w:val="003E14F9"/>
    <w:rsid w:val="003E1867"/>
    <w:rsid w:val="003E361A"/>
    <w:rsid w:val="003E44E1"/>
    <w:rsid w:val="003E5729"/>
    <w:rsid w:val="003E6B50"/>
    <w:rsid w:val="003F2C20"/>
    <w:rsid w:val="003F3727"/>
    <w:rsid w:val="003F4EA1"/>
    <w:rsid w:val="003F4EE0"/>
    <w:rsid w:val="003F674D"/>
    <w:rsid w:val="003F7E0D"/>
    <w:rsid w:val="004005D3"/>
    <w:rsid w:val="00402153"/>
    <w:rsid w:val="00402E90"/>
    <w:rsid w:val="00402FC1"/>
    <w:rsid w:val="00403802"/>
    <w:rsid w:val="004058EB"/>
    <w:rsid w:val="0040701D"/>
    <w:rsid w:val="00407859"/>
    <w:rsid w:val="004122B3"/>
    <w:rsid w:val="004123FB"/>
    <w:rsid w:val="00413D86"/>
    <w:rsid w:val="00413E40"/>
    <w:rsid w:val="00414AEA"/>
    <w:rsid w:val="00421E34"/>
    <w:rsid w:val="00422A11"/>
    <w:rsid w:val="0042300A"/>
    <w:rsid w:val="0042380D"/>
    <w:rsid w:val="004240F5"/>
    <w:rsid w:val="004245F4"/>
    <w:rsid w:val="00425082"/>
    <w:rsid w:val="00425945"/>
    <w:rsid w:val="00431DEB"/>
    <w:rsid w:val="00432BB9"/>
    <w:rsid w:val="00434213"/>
    <w:rsid w:val="00435366"/>
    <w:rsid w:val="004356AF"/>
    <w:rsid w:val="00436581"/>
    <w:rsid w:val="00441006"/>
    <w:rsid w:val="00441961"/>
    <w:rsid w:val="004423D7"/>
    <w:rsid w:val="00443AE6"/>
    <w:rsid w:val="0044584E"/>
    <w:rsid w:val="00446B29"/>
    <w:rsid w:val="00450B0B"/>
    <w:rsid w:val="00451865"/>
    <w:rsid w:val="00451C89"/>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1D16"/>
    <w:rsid w:val="004F346D"/>
    <w:rsid w:val="004F4201"/>
    <w:rsid w:val="004F5D3D"/>
    <w:rsid w:val="004F7CA6"/>
    <w:rsid w:val="00503EAC"/>
    <w:rsid w:val="0050688B"/>
    <w:rsid w:val="00510280"/>
    <w:rsid w:val="00510F17"/>
    <w:rsid w:val="00511118"/>
    <w:rsid w:val="00511BA9"/>
    <w:rsid w:val="00511F6E"/>
    <w:rsid w:val="00513D73"/>
    <w:rsid w:val="00513E54"/>
    <w:rsid w:val="00514A43"/>
    <w:rsid w:val="0051543B"/>
    <w:rsid w:val="005161D7"/>
    <w:rsid w:val="005174E5"/>
    <w:rsid w:val="00521E4F"/>
    <w:rsid w:val="00522393"/>
    <w:rsid w:val="00522620"/>
    <w:rsid w:val="00525656"/>
    <w:rsid w:val="00526BE0"/>
    <w:rsid w:val="005274E6"/>
    <w:rsid w:val="00527A35"/>
    <w:rsid w:val="005308C6"/>
    <w:rsid w:val="00534A1B"/>
    <w:rsid w:val="00534C02"/>
    <w:rsid w:val="005404CC"/>
    <w:rsid w:val="005408A7"/>
    <w:rsid w:val="00541812"/>
    <w:rsid w:val="0054264B"/>
    <w:rsid w:val="00542B40"/>
    <w:rsid w:val="00543786"/>
    <w:rsid w:val="005474BB"/>
    <w:rsid w:val="00547603"/>
    <w:rsid w:val="00547DDF"/>
    <w:rsid w:val="00551DBD"/>
    <w:rsid w:val="005533D7"/>
    <w:rsid w:val="00553F34"/>
    <w:rsid w:val="00556DFB"/>
    <w:rsid w:val="005632FC"/>
    <w:rsid w:val="00563BFD"/>
    <w:rsid w:val="0056738D"/>
    <w:rsid w:val="00567C14"/>
    <w:rsid w:val="005703DE"/>
    <w:rsid w:val="0057608F"/>
    <w:rsid w:val="00576508"/>
    <w:rsid w:val="0057762F"/>
    <w:rsid w:val="00580F59"/>
    <w:rsid w:val="00582165"/>
    <w:rsid w:val="005823BA"/>
    <w:rsid w:val="0058464E"/>
    <w:rsid w:val="005862BE"/>
    <w:rsid w:val="00594248"/>
    <w:rsid w:val="005A01CB"/>
    <w:rsid w:val="005A25CC"/>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8B5"/>
    <w:rsid w:val="005D6B6D"/>
    <w:rsid w:val="005E19E7"/>
    <w:rsid w:val="005E1DA2"/>
    <w:rsid w:val="005E5D12"/>
    <w:rsid w:val="005F068F"/>
    <w:rsid w:val="005F281E"/>
    <w:rsid w:val="005F2E36"/>
    <w:rsid w:val="005F7580"/>
    <w:rsid w:val="00602720"/>
    <w:rsid w:val="00604F20"/>
    <w:rsid w:val="0061106A"/>
    <w:rsid w:val="0061571C"/>
    <w:rsid w:val="00616309"/>
    <w:rsid w:val="0061716C"/>
    <w:rsid w:val="00617C5E"/>
    <w:rsid w:val="006230EA"/>
    <w:rsid w:val="006239DF"/>
    <w:rsid w:val="00623C93"/>
    <w:rsid w:val="006243A1"/>
    <w:rsid w:val="0062603E"/>
    <w:rsid w:val="006301A9"/>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0E6F"/>
    <w:rsid w:val="00671F31"/>
    <w:rsid w:val="00672CFB"/>
    <w:rsid w:val="00674527"/>
    <w:rsid w:val="006802F3"/>
    <w:rsid w:val="0068237B"/>
    <w:rsid w:val="00682682"/>
    <w:rsid w:val="00682702"/>
    <w:rsid w:val="006914EA"/>
    <w:rsid w:val="00691E21"/>
    <w:rsid w:val="00692368"/>
    <w:rsid w:val="006945FB"/>
    <w:rsid w:val="006947B1"/>
    <w:rsid w:val="0069617D"/>
    <w:rsid w:val="00696DE6"/>
    <w:rsid w:val="0069701E"/>
    <w:rsid w:val="006A2EBC"/>
    <w:rsid w:val="006A52A9"/>
    <w:rsid w:val="006A5EA0"/>
    <w:rsid w:val="006A6F64"/>
    <w:rsid w:val="006A783B"/>
    <w:rsid w:val="006A78C1"/>
    <w:rsid w:val="006A7B33"/>
    <w:rsid w:val="006B3BAD"/>
    <w:rsid w:val="006B45DA"/>
    <w:rsid w:val="006B4AC2"/>
    <w:rsid w:val="006B4BE6"/>
    <w:rsid w:val="006B4E13"/>
    <w:rsid w:val="006B6CF6"/>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2EE"/>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4DAB"/>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86609"/>
    <w:rsid w:val="007913AB"/>
    <w:rsid w:val="007914F7"/>
    <w:rsid w:val="00792BE8"/>
    <w:rsid w:val="007947A4"/>
    <w:rsid w:val="007964D0"/>
    <w:rsid w:val="007965B0"/>
    <w:rsid w:val="00797A6C"/>
    <w:rsid w:val="007A1EFF"/>
    <w:rsid w:val="007A3233"/>
    <w:rsid w:val="007A5A87"/>
    <w:rsid w:val="007A6016"/>
    <w:rsid w:val="007A670E"/>
    <w:rsid w:val="007A6ACC"/>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1F71"/>
    <w:rsid w:val="00803416"/>
    <w:rsid w:val="0080399C"/>
    <w:rsid w:val="00805575"/>
    <w:rsid w:val="0080654C"/>
    <w:rsid w:val="00806CB9"/>
    <w:rsid w:val="008071C6"/>
    <w:rsid w:val="008073FA"/>
    <w:rsid w:val="0081107F"/>
    <w:rsid w:val="0081581C"/>
    <w:rsid w:val="00816D04"/>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4426A"/>
    <w:rsid w:val="00846CF7"/>
    <w:rsid w:val="0084745A"/>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350"/>
    <w:rsid w:val="008856D8"/>
    <w:rsid w:val="00886462"/>
    <w:rsid w:val="00887EB2"/>
    <w:rsid w:val="00887EEA"/>
    <w:rsid w:val="00892E82"/>
    <w:rsid w:val="008942F9"/>
    <w:rsid w:val="008A04C2"/>
    <w:rsid w:val="008A1E04"/>
    <w:rsid w:val="008A478E"/>
    <w:rsid w:val="008A4800"/>
    <w:rsid w:val="008A4A42"/>
    <w:rsid w:val="008A511A"/>
    <w:rsid w:val="008A62C1"/>
    <w:rsid w:val="008A70E1"/>
    <w:rsid w:val="008A78B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644D"/>
    <w:rsid w:val="008E7029"/>
    <w:rsid w:val="008E738A"/>
    <w:rsid w:val="008E73E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978"/>
    <w:rsid w:val="00933DEC"/>
    <w:rsid w:val="0093436D"/>
    <w:rsid w:val="009365CB"/>
    <w:rsid w:val="00936969"/>
    <w:rsid w:val="00937445"/>
    <w:rsid w:val="00941E47"/>
    <w:rsid w:val="0094212C"/>
    <w:rsid w:val="009437F7"/>
    <w:rsid w:val="00943958"/>
    <w:rsid w:val="00945521"/>
    <w:rsid w:val="0095244D"/>
    <w:rsid w:val="009534A5"/>
    <w:rsid w:val="00953B13"/>
    <w:rsid w:val="00954689"/>
    <w:rsid w:val="0095494A"/>
    <w:rsid w:val="00955B6F"/>
    <w:rsid w:val="009569CB"/>
    <w:rsid w:val="0096167F"/>
    <w:rsid w:val="009617C9"/>
    <w:rsid w:val="00961C93"/>
    <w:rsid w:val="00962BD3"/>
    <w:rsid w:val="00962DE0"/>
    <w:rsid w:val="00965324"/>
    <w:rsid w:val="00965563"/>
    <w:rsid w:val="00966ECF"/>
    <w:rsid w:val="0097091E"/>
    <w:rsid w:val="00971D0F"/>
    <w:rsid w:val="00974AF6"/>
    <w:rsid w:val="009760D3"/>
    <w:rsid w:val="00977132"/>
    <w:rsid w:val="009772F6"/>
    <w:rsid w:val="00980052"/>
    <w:rsid w:val="0098067D"/>
    <w:rsid w:val="00981A4B"/>
    <w:rsid w:val="00982501"/>
    <w:rsid w:val="00984A8F"/>
    <w:rsid w:val="00984D9F"/>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52E7"/>
    <w:rsid w:val="009C669B"/>
    <w:rsid w:val="009C6BFC"/>
    <w:rsid w:val="009C7192"/>
    <w:rsid w:val="009C72D5"/>
    <w:rsid w:val="009C7C4E"/>
    <w:rsid w:val="009D31DC"/>
    <w:rsid w:val="009D5362"/>
    <w:rsid w:val="009D5E0A"/>
    <w:rsid w:val="009D66FB"/>
    <w:rsid w:val="009D6A7C"/>
    <w:rsid w:val="009D6D8D"/>
    <w:rsid w:val="009E0D07"/>
    <w:rsid w:val="009E1415"/>
    <w:rsid w:val="009E2A98"/>
    <w:rsid w:val="009E4D11"/>
    <w:rsid w:val="009E6116"/>
    <w:rsid w:val="009F1565"/>
    <w:rsid w:val="009F1D28"/>
    <w:rsid w:val="009F26B8"/>
    <w:rsid w:val="009F7AF9"/>
    <w:rsid w:val="00A02E43"/>
    <w:rsid w:val="00A0431C"/>
    <w:rsid w:val="00A065F9"/>
    <w:rsid w:val="00A0660B"/>
    <w:rsid w:val="00A069CB"/>
    <w:rsid w:val="00A06D47"/>
    <w:rsid w:val="00A07F34"/>
    <w:rsid w:val="00A156E5"/>
    <w:rsid w:val="00A20533"/>
    <w:rsid w:val="00A22154"/>
    <w:rsid w:val="00A23012"/>
    <w:rsid w:val="00A2316D"/>
    <w:rsid w:val="00A2448F"/>
    <w:rsid w:val="00A25255"/>
    <w:rsid w:val="00A25C38"/>
    <w:rsid w:val="00A31629"/>
    <w:rsid w:val="00A334D6"/>
    <w:rsid w:val="00A35532"/>
    <w:rsid w:val="00A35BF1"/>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91E"/>
    <w:rsid w:val="00A73CDE"/>
    <w:rsid w:val="00A751C7"/>
    <w:rsid w:val="00A75422"/>
    <w:rsid w:val="00A7543C"/>
    <w:rsid w:val="00A759E3"/>
    <w:rsid w:val="00A819FD"/>
    <w:rsid w:val="00A81B70"/>
    <w:rsid w:val="00A81E4B"/>
    <w:rsid w:val="00A821D3"/>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4C53"/>
    <w:rsid w:val="00AB5386"/>
    <w:rsid w:val="00AB6193"/>
    <w:rsid w:val="00AB71BF"/>
    <w:rsid w:val="00AC05B1"/>
    <w:rsid w:val="00AC105D"/>
    <w:rsid w:val="00AD0214"/>
    <w:rsid w:val="00AD1AA6"/>
    <w:rsid w:val="00AD356C"/>
    <w:rsid w:val="00AD5EFF"/>
    <w:rsid w:val="00AD6A9E"/>
    <w:rsid w:val="00AE015D"/>
    <w:rsid w:val="00AE09E2"/>
    <w:rsid w:val="00AE1B94"/>
    <w:rsid w:val="00AE2914"/>
    <w:rsid w:val="00AE362B"/>
    <w:rsid w:val="00AE6D15"/>
    <w:rsid w:val="00AF2115"/>
    <w:rsid w:val="00AF21E7"/>
    <w:rsid w:val="00AF2B3B"/>
    <w:rsid w:val="00AF5445"/>
    <w:rsid w:val="00AF636A"/>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27F1E"/>
    <w:rsid w:val="00B316E0"/>
    <w:rsid w:val="00B31F84"/>
    <w:rsid w:val="00B32C73"/>
    <w:rsid w:val="00B3515F"/>
    <w:rsid w:val="00B353EB"/>
    <w:rsid w:val="00B35C29"/>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4998"/>
    <w:rsid w:val="00BA5AEB"/>
    <w:rsid w:val="00BA6854"/>
    <w:rsid w:val="00BB0F28"/>
    <w:rsid w:val="00BB291D"/>
    <w:rsid w:val="00BB458A"/>
    <w:rsid w:val="00BB4591"/>
    <w:rsid w:val="00BB49D5"/>
    <w:rsid w:val="00BB4C8D"/>
    <w:rsid w:val="00BB799B"/>
    <w:rsid w:val="00BC094F"/>
    <w:rsid w:val="00BC09EE"/>
    <w:rsid w:val="00BC1B7B"/>
    <w:rsid w:val="00BC3490"/>
    <w:rsid w:val="00BC5BAC"/>
    <w:rsid w:val="00BC64F8"/>
    <w:rsid w:val="00BC6BF0"/>
    <w:rsid w:val="00BC7CFA"/>
    <w:rsid w:val="00BD00D3"/>
    <w:rsid w:val="00BD0830"/>
    <w:rsid w:val="00BD0EE1"/>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617A"/>
    <w:rsid w:val="00C02136"/>
    <w:rsid w:val="00C02915"/>
    <w:rsid w:val="00C0369D"/>
    <w:rsid w:val="00C0379D"/>
    <w:rsid w:val="00C03931"/>
    <w:rsid w:val="00C05FE3"/>
    <w:rsid w:val="00C075C3"/>
    <w:rsid w:val="00C1014A"/>
    <w:rsid w:val="00C108F8"/>
    <w:rsid w:val="00C141DF"/>
    <w:rsid w:val="00C15291"/>
    <w:rsid w:val="00C16306"/>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1E21"/>
    <w:rsid w:val="00C83D08"/>
    <w:rsid w:val="00C8691C"/>
    <w:rsid w:val="00C9297E"/>
    <w:rsid w:val="00C94300"/>
    <w:rsid w:val="00C9754B"/>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295E"/>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337B"/>
    <w:rsid w:val="00D05A34"/>
    <w:rsid w:val="00D079B2"/>
    <w:rsid w:val="00D11478"/>
    <w:rsid w:val="00D114E9"/>
    <w:rsid w:val="00D1291A"/>
    <w:rsid w:val="00D1459D"/>
    <w:rsid w:val="00D158FA"/>
    <w:rsid w:val="00D160ED"/>
    <w:rsid w:val="00D20699"/>
    <w:rsid w:val="00D22141"/>
    <w:rsid w:val="00D22845"/>
    <w:rsid w:val="00D23613"/>
    <w:rsid w:val="00D24F68"/>
    <w:rsid w:val="00D26827"/>
    <w:rsid w:val="00D429C6"/>
    <w:rsid w:val="00D42E60"/>
    <w:rsid w:val="00D45B96"/>
    <w:rsid w:val="00D47748"/>
    <w:rsid w:val="00D47F36"/>
    <w:rsid w:val="00D50F05"/>
    <w:rsid w:val="00D5132B"/>
    <w:rsid w:val="00D51AF0"/>
    <w:rsid w:val="00D5311A"/>
    <w:rsid w:val="00D54CC3"/>
    <w:rsid w:val="00D5678B"/>
    <w:rsid w:val="00D6041A"/>
    <w:rsid w:val="00D62005"/>
    <w:rsid w:val="00D633EB"/>
    <w:rsid w:val="00D67A69"/>
    <w:rsid w:val="00D67DA6"/>
    <w:rsid w:val="00D725BA"/>
    <w:rsid w:val="00D72BB1"/>
    <w:rsid w:val="00D72BF8"/>
    <w:rsid w:val="00D74D3F"/>
    <w:rsid w:val="00D82FF7"/>
    <w:rsid w:val="00D846E3"/>
    <w:rsid w:val="00D847FE"/>
    <w:rsid w:val="00D9296A"/>
    <w:rsid w:val="00D92BB6"/>
    <w:rsid w:val="00D964EA"/>
    <w:rsid w:val="00D966D0"/>
    <w:rsid w:val="00D973CC"/>
    <w:rsid w:val="00DA0B7E"/>
    <w:rsid w:val="00DA0C59"/>
    <w:rsid w:val="00DA108F"/>
    <w:rsid w:val="00DA3991"/>
    <w:rsid w:val="00DA505C"/>
    <w:rsid w:val="00DA7073"/>
    <w:rsid w:val="00DB152F"/>
    <w:rsid w:val="00DB4768"/>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E0F"/>
    <w:rsid w:val="00E04AAF"/>
    <w:rsid w:val="00E06386"/>
    <w:rsid w:val="00E0728D"/>
    <w:rsid w:val="00E07C31"/>
    <w:rsid w:val="00E102AE"/>
    <w:rsid w:val="00E10A64"/>
    <w:rsid w:val="00E13476"/>
    <w:rsid w:val="00E13547"/>
    <w:rsid w:val="00E13E44"/>
    <w:rsid w:val="00E2398E"/>
    <w:rsid w:val="00E24EB4"/>
    <w:rsid w:val="00E320ED"/>
    <w:rsid w:val="00E33650"/>
    <w:rsid w:val="00E33AFB"/>
    <w:rsid w:val="00E34218"/>
    <w:rsid w:val="00E344A6"/>
    <w:rsid w:val="00E3563C"/>
    <w:rsid w:val="00E35F8A"/>
    <w:rsid w:val="00E361EC"/>
    <w:rsid w:val="00E36BFA"/>
    <w:rsid w:val="00E36F8C"/>
    <w:rsid w:val="00E37E13"/>
    <w:rsid w:val="00E43F3A"/>
    <w:rsid w:val="00E45228"/>
    <w:rsid w:val="00E46282"/>
    <w:rsid w:val="00E50658"/>
    <w:rsid w:val="00E5216E"/>
    <w:rsid w:val="00E5724B"/>
    <w:rsid w:val="00E632F1"/>
    <w:rsid w:val="00E6480F"/>
    <w:rsid w:val="00E664B8"/>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067"/>
    <w:rsid w:val="00EC3CC9"/>
    <w:rsid w:val="00EC680A"/>
    <w:rsid w:val="00ED2242"/>
    <w:rsid w:val="00ED31F0"/>
    <w:rsid w:val="00ED3596"/>
    <w:rsid w:val="00ED794E"/>
    <w:rsid w:val="00EE0A6A"/>
    <w:rsid w:val="00EE1DF3"/>
    <w:rsid w:val="00EE2819"/>
    <w:rsid w:val="00EE2BED"/>
    <w:rsid w:val="00EE374B"/>
    <w:rsid w:val="00EE3F8B"/>
    <w:rsid w:val="00EE5A7F"/>
    <w:rsid w:val="00EE6548"/>
    <w:rsid w:val="00EE7133"/>
    <w:rsid w:val="00EE7636"/>
    <w:rsid w:val="00EF2586"/>
    <w:rsid w:val="00EF26C7"/>
    <w:rsid w:val="00EF2DD3"/>
    <w:rsid w:val="00EF2FAD"/>
    <w:rsid w:val="00EF595F"/>
    <w:rsid w:val="00EF768F"/>
    <w:rsid w:val="00EF7B4A"/>
    <w:rsid w:val="00F0124A"/>
    <w:rsid w:val="00F06FC1"/>
    <w:rsid w:val="00F1075A"/>
    <w:rsid w:val="00F109DC"/>
    <w:rsid w:val="00F10C4D"/>
    <w:rsid w:val="00F10EFB"/>
    <w:rsid w:val="00F11BB5"/>
    <w:rsid w:val="00F11F9F"/>
    <w:rsid w:val="00F1417B"/>
    <w:rsid w:val="00F14CB1"/>
    <w:rsid w:val="00F15F56"/>
    <w:rsid w:val="00F172F6"/>
    <w:rsid w:val="00F20323"/>
    <w:rsid w:val="00F208C3"/>
    <w:rsid w:val="00F31B08"/>
    <w:rsid w:val="00F33816"/>
    <w:rsid w:val="00F34B99"/>
    <w:rsid w:val="00F353A4"/>
    <w:rsid w:val="00F35C4B"/>
    <w:rsid w:val="00F4096E"/>
    <w:rsid w:val="00F43BA1"/>
    <w:rsid w:val="00F46305"/>
    <w:rsid w:val="00F46FDC"/>
    <w:rsid w:val="00F52B3C"/>
    <w:rsid w:val="00F52DAB"/>
    <w:rsid w:val="00F543F0"/>
    <w:rsid w:val="00F54A34"/>
    <w:rsid w:val="00F55E92"/>
    <w:rsid w:val="00F62B70"/>
    <w:rsid w:val="00F64441"/>
    <w:rsid w:val="00F651C0"/>
    <w:rsid w:val="00F660E6"/>
    <w:rsid w:val="00F6672A"/>
    <w:rsid w:val="00F72B89"/>
    <w:rsid w:val="00F72EBD"/>
    <w:rsid w:val="00F73435"/>
    <w:rsid w:val="00F737BC"/>
    <w:rsid w:val="00F73BBC"/>
    <w:rsid w:val="00F74443"/>
    <w:rsid w:val="00F74608"/>
    <w:rsid w:val="00F7572E"/>
    <w:rsid w:val="00F81871"/>
    <w:rsid w:val="00F81D29"/>
    <w:rsid w:val="00F82369"/>
    <w:rsid w:val="00F871AD"/>
    <w:rsid w:val="00F91C4D"/>
    <w:rsid w:val="00F92272"/>
    <w:rsid w:val="00F92FD9"/>
    <w:rsid w:val="00F932D0"/>
    <w:rsid w:val="00F934B5"/>
    <w:rsid w:val="00F936EC"/>
    <w:rsid w:val="00F9501E"/>
    <w:rsid w:val="00F95B8F"/>
    <w:rsid w:val="00FA143E"/>
    <w:rsid w:val="00FA3021"/>
    <w:rsid w:val="00FA6684"/>
    <w:rsid w:val="00FA731E"/>
    <w:rsid w:val="00FA738C"/>
    <w:rsid w:val="00FB2B38"/>
    <w:rsid w:val="00FB2C8B"/>
    <w:rsid w:val="00FB2F7C"/>
    <w:rsid w:val="00FB302D"/>
    <w:rsid w:val="00FB4F08"/>
    <w:rsid w:val="00FC1921"/>
    <w:rsid w:val="00FC4D4B"/>
    <w:rsid w:val="00FC6358"/>
    <w:rsid w:val="00FC63D8"/>
    <w:rsid w:val="00FC7E22"/>
    <w:rsid w:val="00FD2E56"/>
    <w:rsid w:val="00FD320D"/>
    <w:rsid w:val="00FD5045"/>
    <w:rsid w:val="00FD6BF8"/>
    <w:rsid w:val="00FD7271"/>
    <w:rsid w:val="00FE10CE"/>
    <w:rsid w:val="00FE23DE"/>
    <w:rsid w:val="00FE531F"/>
    <w:rsid w:val="00FF252E"/>
    <w:rsid w:val="00FF25BA"/>
    <w:rsid w:val="00FF38A3"/>
    <w:rsid w:val="00FF4892"/>
    <w:rsid w:val="00FF68BF"/>
    <w:rsid w:val="00FF6FCB"/>
    <w:rsid w:val="00FF7C07"/>
    <w:rsid w:val="10036FAA"/>
    <w:rsid w:val="311A20A4"/>
    <w:rsid w:val="3BCA4F89"/>
    <w:rsid w:val="3FE03219"/>
    <w:rsid w:val="40C64151"/>
    <w:rsid w:val="4AAA41C0"/>
    <w:rsid w:val="4E063366"/>
    <w:rsid w:val="543F25C2"/>
    <w:rsid w:val="5AC07173"/>
    <w:rsid w:val="5B1528FE"/>
    <w:rsid w:val="5F580A11"/>
    <w:rsid w:val="62736F98"/>
    <w:rsid w:val="78F8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38">
    <w:name w:val="Default Paragraph Font"/>
    <w:semiHidden/>
    <w:unhideWhenUsed/>
    <w:qFormat/>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4"/>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82"/>
    <w:qFormat/>
    <w:uiPriority w:val="0"/>
    <w:pPr>
      <w:spacing w:after="120"/>
    </w:pPr>
    <w:rPr>
      <w:rFonts w:ascii="宋体"/>
      <w:kern w:val="0"/>
      <w:sz w:val="28"/>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91"/>
    <w:qFormat/>
    <w:uiPriority w:val="0"/>
    <w:pPr>
      <w:ind w:left="100" w:leftChars="2500"/>
    </w:pPr>
    <w:rPr>
      <w:rFonts w:ascii="Calibri" w:hAnsi="Calibri"/>
    </w:rPr>
  </w:style>
  <w:style w:type="paragraph" w:styleId="17">
    <w:name w:val="endnote text"/>
    <w:basedOn w:val="1"/>
    <w:semiHidden/>
    <w:qFormat/>
    <w:uiPriority w:val="0"/>
    <w:pPr>
      <w:snapToGrid w:val="0"/>
      <w:jc w:val="left"/>
    </w:pPr>
  </w:style>
  <w:style w:type="paragraph" w:styleId="18">
    <w:name w:val="Balloon Text"/>
    <w:basedOn w:val="1"/>
    <w:link w:val="146"/>
    <w:qFormat/>
    <w:uiPriority w:val="99"/>
    <w:rPr>
      <w:sz w:val="18"/>
      <w:szCs w:val="18"/>
    </w:rPr>
  </w:style>
  <w:style w:type="paragraph" w:styleId="19">
    <w:name w:val="footer"/>
    <w:basedOn w:val="1"/>
    <w:link w:val="179"/>
    <w:qFormat/>
    <w:uiPriority w:val="99"/>
    <w:pPr>
      <w:snapToGrid w:val="0"/>
      <w:ind w:right="210" w:rightChars="100"/>
      <w:jc w:val="right"/>
    </w:pPr>
    <w:rPr>
      <w:sz w:val="18"/>
      <w:szCs w:val="18"/>
    </w:rPr>
  </w:style>
  <w:style w:type="paragraph" w:styleId="20">
    <w:name w:val="header"/>
    <w:basedOn w:val="1"/>
    <w:link w:val="178"/>
    <w:qFormat/>
    <w:uiPriority w:val="99"/>
    <w:pPr>
      <w:snapToGrid w:val="0"/>
      <w:jc w:val="left"/>
    </w:pPr>
    <w:rPr>
      <w:sz w:val="18"/>
      <w:szCs w:val="18"/>
    </w:rPr>
  </w:style>
  <w:style w:type="paragraph" w:styleId="21">
    <w:name w:val="toc 1"/>
    <w:basedOn w:val="1"/>
    <w:next w:val="1"/>
    <w:semiHidden/>
    <w:qFormat/>
    <w:uiPriority w:val="0"/>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link w:val="186"/>
    <w:qFormat/>
    <w:uiPriority w:val="99"/>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Title"/>
    <w:basedOn w:val="1"/>
    <w:link w:val="172"/>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5">
    <w:name w:val="annotation subject"/>
    <w:basedOn w:val="8"/>
    <w:next w:val="8"/>
    <w:link w:val="145"/>
    <w:qFormat/>
    <w:uiPriority w:val="0"/>
    <w:rPr>
      <w:b/>
      <w:bCs/>
    </w:rPr>
  </w:style>
  <w:style w:type="table" w:styleId="37">
    <w:name w:val="Table Grid"/>
    <w:basedOn w:val="36"/>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TML Acronym"/>
    <w:basedOn w:val="38"/>
    <w:semiHidden/>
    <w:qFormat/>
    <w:uiPriority w:val="0"/>
  </w:style>
  <w:style w:type="character" w:styleId="43">
    <w:name w:val="Hyperlink"/>
    <w:qFormat/>
    <w:uiPriority w:val="0"/>
    <w:rPr>
      <w:color w:val="0000FF"/>
      <w:spacing w:val="0"/>
      <w:w w:val="100"/>
      <w:szCs w:val="21"/>
      <w:u w:val="single"/>
    </w:rPr>
  </w:style>
  <w:style w:type="character" w:styleId="44">
    <w:name w:val="HTML Code"/>
    <w:semiHidden/>
    <w:qFormat/>
    <w:uiPriority w:val="0"/>
    <w:rPr>
      <w:rFonts w:ascii="Courier New" w:hAnsi="Courier New"/>
      <w:sz w:val="20"/>
      <w:szCs w:val="20"/>
    </w:rPr>
  </w:style>
  <w:style w:type="character" w:styleId="45">
    <w:name w:val="annotation reference"/>
    <w:qFormat/>
    <w:uiPriority w:val="0"/>
    <w:rPr>
      <w:sz w:val="21"/>
      <w:szCs w:val="21"/>
    </w:rPr>
  </w:style>
  <w:style w:type="character" w:styleId="46">
    <w:name w:val="HTML Cite"/>
    <w:semiHidden/>
    <w:qFormat/>
    <w:uiPriority w:val="0"/>
    <w:rPr>
      <w:i/>
      <w:iCs/>
    </w:rPr>
  </w:style>
  <w:style w:type="character" w:styleId="47">
    <w:name w:val="footnote reference"/>
    <w:qFormat/>
    <w:uiPriority w:val="99"/>
    <w:rPr>
      <w:vertAlign w:val="superscript"/>
    </w:rPr>
  </w:style>
  <w:style w:type="character" w:customStyle="1" w:styleId="48">
    <w:name w:val="段 Char"/>
    <w:link w:val="25"/>
    <w:qFormat/>
    <w:uiPriority w:val="0"/>
    <w:rPr>
      <w:rFonts w:ascii="宋体"/>
      <w:sz w:val="21"/>
      <w:lang w:val="en-US" w:eastAsia="zh-CN" w:bidi="ar-SA"/>
    </w:rPr>
  </w:style>
  <w:style w:type="paragraph" w:customStyle="1" w:styleId="49">
    <w:name w:val="一级条标题"/>
    <w:next w:val="25"/>
    <w:link w:val="185"/>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
    <w:name w:val="章标题"/>
    <w:next w:val="25"/>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3">
    <w:name w:val="二级条标题"/>
    <w:basedOn w:val="49"/>
    <w:next w:val="25"/>
    <w:qFormat/>
    <w:uiPriority w:val="0"/>
    <w:pPr>
      <w:spacing w:before="50" w:after="50"/>
      <w:outlineLvl w:val="3"/>
    </w:pPr>
  </w:style>
  <w:style w:type="paragraph" w:customStyle="1" w:styleId="5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7">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三级条标题"/>
    <w:basedOn w:val="53"/>
    <w:next w:val="25"/>
    <w:qFormat/>
    <w:uiPriority w:val="0"/>
    <w:pPr>
      <w:outlineLvl w:val="4"/>
    </w:pPr>
  </w:style>
  <w:style w:type="paragraph" w:customStyle="1" w:styleId="59">
    <w:name w:val="示例"/>
    <w:next w:val="60"/>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2">
    <w:name w:val="四级条标题"/>
    <w:basedOn w:val="58"/>
    <w:next w:val="25"/>
    <w:qFormat/>
    <w:uiPriority w:val="0"/>
    <w:pPr>
      <w:outlineLvl w:val="5"/>
    </w:pPr>
  </w:style>
  <w:style w:type="paragraph" w:customStyle="1" w:styleId="63">
    <w:name w:val="五级条标题"/>
    <w:basedOn w:val="62"/>
    <w:next w:val="25"/>
    <w:qFormat/>
    <w:uiPriority w:val="0"/>
    <w:pPr>
      <w:outlineLvl w:val="6"/>
    </w:pPr>
  </w:style>
  <w:style w:type="paragraph" w:customStyle="1" w:styleId="64">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5">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6">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7">
    <w:name w:val="列项◆（三级）"/>
    <w:basedOn w:val="1"/>
    <w:qFormat/>
    <w:uiPriority w:val="0"/>
    <w:pPr>
      <w:numPr>
        <w:ilvl w:val="2"/>
        <w:numId w:val="3"/>
      </w:numPr>
    </w:pPr>
    <w:rPr>
      <w:rFonts w:ascii="宋体"/>
      <w:szCs w:val="21"/>
    </w:rPr>
  </w:style>
  <w:style w:type="paragraph" w:customStyle="1" w:styleId="68">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9">
    <w:name w:val="示例×："/>
    <w:basedOn w:val="52"/>
    <w:qFormat/>
    <w:uiPriority w:val="0"/>
    <w:pPr>
      <w:numPr>
        <w:ilvl w:val="0"/>
        <w:numId w:val="8"/>
      </w:numPr>
      <w:spacing w:beforeLines="0" w:afterLines="0"/>
      <w:outlineLvl w:val="9"/>
    </w:pPr>
    <w:rPr>
      <w:rFonts w:ascii="宋体" w:eastAsia="宋体"/>
      <w:sz w:val="18"/>
      <w:szCs w:val="18"/>
    </w:rPr>
  </w:style>
  <w:style w:type="paragraph" w:customStyle="1" w:styleId="70">
    <w:name w:val="二级无"/>
    <w:basedOn w:val="53"/>
    <w:qFormat/>
    <w:uiPriority w:val="0"/>
    <w:pPr>
      <w:spacing w:beforeLines="0" w:afterLines="0"/>
    </w:pPr>
    <w:rPr>
      <w:rFonts w:ascii="宋体" w:eastAsia="宋体"/>
    </w:rPr>
  </w:style>
  <w:style w:type="paragraph" w:customStyle="1" w:styleId="71">
    <w:name w:val="注：（正文）"/>
    <w:basedOn w:val="64"/>
    <w:next w:val="25"/>
    <w:qFormat/>
    <w:uiPriority w:val="0"/>
  </w:style>
  <w:style w:type="paragraph" w:customStyle="1" w:styleId="72">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6">
    <w:name w:val="标准书眉_偶数页"/>
    <w:basedOn w:val="51"/>
    <w:next w:val="1"/>
    <w:qFormat/>
    <w:uiPriority w:val="0"/>
    <w:pPr>
      <w:jc w:val="left"/>
    </w:pPr>
  </w:style>
  <w:style w:type="paragraph" w:customStyle="1" w:styleId="77">
    <w:name w:val="标准书眉一"/>
    <w:qFormat/>
    <w:uiPriority w:val="0"/>
    <w:pPr>
      <w:jc w:val="both"/>
    </w:pPr>
    <w:rPr>
      <w:rFonts w:ascii="Times New Roman" w:hAnsi="Times New Roman" w:eastAsia="宋体" w:cs="Times New Roman"/>
      <w:lang w:val="en-US" w:eastAsia="zh-CN" w:bidi="ar-SA"/>
    </w:rPr>
  </w:style>
  <w:style w:type="paragraph" w:customStyle="1" w:styleId="78">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9">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0">
    <w:name w:val="发布"/>
    <w:qFormat/>
    <w:uiPriority w:val="0"/>
    <w:rPr>
      <w:rFonts w:ascii="黑体" w:eastAsia="黑体"/>
      <w:spacing w:val="85"/>
      <w:w w:val="100"/>
      <w:position w:val="3"/>
      <w:sz w:val="28"/>
      <w:szCs w:val="28"/>
    </w:rPr>
  </w:style>
  <w:style w:type="paragraph" w:customStyle="1" w:styleId="81">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英文名称"/>
    <w:basedOn w:val="85"/>
    <w:qFormat/>
    <w:uiPriority w:val="0"/>
    <w:pPr>
      <w:framePr w:wrap="around"/>
      <w:spacing w:before="370" w:line="400" w:lineRule="exact"/>
    </w:pPr>
    <w:rPr>
      <w:rFonts w:ascii="Times New Roman"/>
      <w:sz w:val="28"/>
      <w:szCs w:val="28"/>
    </w:rPr>
  </w:style>
  <w:style w:type="paragraph" w:customStyle="1" w:styleId="87">
    <w:name w:val="封面一致性程度标识"/>
    <w:basedOn w:val="86"/>
    <w:qFormat/>
    <w:uiPriority w:val="0"/>
    <w:pPr>
      <w:framePr w:wrap="around"/>
      <w:spacing w:before="440"/>
    </w:pPr>
    <w:rPr>
      <w:rFonts w:ascii="宋体" w:eastAsia="宋体"/>
    </w:rPr>
  </w:style>
  <w:style w:type="paragraph" w:customStyle="1" w:styleId="88">
    <w:name w:val="封面标准文稿类别"/>
    <w:basedOn w:val="87"/>
    <w:qFormat/>
    <w:uiPriority w:val="0"/>
    <w:pPr>
      <w:framePr w:wrap="around"/>
      <w:spacing w:after="160" w:line="240" w:lineRule="auto"/>
    </w:pPr>
    <w:rPr>
      <w:sz w:val="24"/>
    </w:rPr>
  </w:style>
  <w:style w:type="paragraph" w:customStyle="1" w:styleId="89">
    <w:name w:val="封面标准文稿编辑信息"/>
    <w:basedOn w:val="88"/>
    <w:qFormat/>
    <w:uiPriority w:val="0"/>
    <w:pPr>
      <w:framePr w:wrap="around"/>
      <w:spacing w:before="180" w:line="180" w:lineRule="exact"/>
    </w:pPr>
    <w:rPr>
      <w:sz w:val="21"/>
    </w:rPr>
  </w:style>
  <w:style w:type="paragraph" w:customStyle="1" w:styleId="90">
    <w:name w:val="封面正文"/>
    <w:qFormat/>
    <w:uiPriority w:val="0"/>
    <w:pPr>
      <w:jc w:val="both"/>
    </w:pPr>
    <w:rPr>
      <w:rFonts w:ascii="Times New Roman" w:hAnsi="Times New Roman" w:eastAsia="宋体" w:cs="Times New Roman"/>
      <w:lang w:val="en-US" w:eastAsia="zh-CN" w:bidi="ar-SA"/>
    </w:rPr>
  </w:style>
  <w:style w:type="paragraph" w:customStyle="1" w:styleId="91">
    <w:name w:val="附录标识"/>
    <w:basedOn w:val="1"/>
    <w:next w:val="25"/>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25"/>
    <w:next w:val="25"/>
    <w:qFormat/>
    <w:uiPriority w:val="0"/>
    <w:pPr>
      <w:ind w:firstLine="0" w:firstLineChars="0"/>
      <w:jc w:val="center"/>
    </w:pPr>
    <w:rPr>
      <w:rFonts w:ascii="黑体" w:eastAsia="黑体"/>
    </w:rPr>
  </w:style>
  <w:style w:type="paragraph" w:customStyle="1" w:styleId="93">
    <w:name w:val="附录表标号"/>
    <w:basedOn w:val="1"/>
    <w:next w:val="25"/>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4">
    <w:name w:val="附录表标题"/>
    <w:basedOn w:val="1"/>
    <w:next w:val="25"/>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5">
    <w:name w:val="附录二级条标题"/>
    <w:basedOn w:val="1"/>
    <w:next w:val="25"/>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Lines="0" w:afterLines="0"/>
    </w:pPr>
    <w:rPr>
      <w:rFonts w:ascii="宋体" w:eastAsia="宋体"/>
      <w:szCs w:val="21"/>
    </w:rPr>
  </w:style>
  <w:style w:type="paragraph" w:customStyle="1" w:styleId="97">
    <w:name w:val="附录公式"/>
    <w:basedOn w:val="25"/>
    <w:next w:val="25"/>
    <w:link w:val="98"/>
    <w:qFormat/>
    <w:uiPriority w:val="0"/>
  </w:style>
  <w:style w:type="character" w:customStyle="1" w:styleId="98">
    <w:name w:val="附录公式 Char"/>
    <w:basedOn w:val="48"/>
    <w:link w:val="97"/>
    <w:qFormat/>
    <w:uiPriority w:val="0"/>
    <w:rPr>
      <w:rFonts w:ascii="宋体"/>
      <w:sz w:val="21"/>
      <w:lang w:val="en-US" w:eastAsia="zh-CN" w:bidi="ar-SA"/>
    </w:rPr>
  </w:style>
  <w:style w:type="paragraph" w:customStyle="1" w:styleId="99">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00">
    <w:name w:val="附录三级条标题"/>
    <w:basedOn w:val="95"/>
    <w:next w:val="25"/>
    <w:qFormat/>
    <w:uiPriority w:val="0"/>
    <w:pPr>
      <w:numPr>
        <w:ilvl w:val="4"/>
      </w:numPr>
      <w:outlineLvl w:val="4"/>
    </w:pPr>
  </w:style>
  <w:style w:type="paragraph" w:customStyle="1" w:styleId="101">
    <w:name w:val="附录三级无"/>
    <w:basedOn w:val="100"/>
    <w:qFormat/>
    <w:uiPriority w:val="0"/>
    <w:pPr>
      <w:tabs>
        <w:tab w:val="clear" w:pos="360"/>
      </w:tabs>
      <w:spacing w:beforeLines="0" w:afterLines="0"/>
    </w:pPr>
    <w:rPr>
      <w:rFonts w:ascii="宋体" w:eastAsia="宋体"/>
      <w:szCs w:val="21"/>
    </w:rPr>
  </w:style>
  <w:style w:type="paragraph" w:customStyle="1" w:styleId="102">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3">
    <w:name w:val="附录四级条标题"/>
    <w:basedOn w:val="100"/>
    <w:next w:val="25"/>
    <w:qFormat/>
    <w:uiPriority w:val="0"/>
    <w:pPr>
      <w:numPr>
        <w:ilvl w:val="5"/>
      </w:numPr>
      <w:outlineLvl w:val="5"/>
    </w:pPr>
  </w:style>
  <w:style w:type="paragraph" w:customStyle="1" w:styleId="104">
    <w:name w:val="附录四级无"/>
    <w:basedOn w:val="103"/>
    <w:qFormat/>
    <w:uiPriority w:val="0"/>
    <w:pPr>
      <w:tabs>
        <w:tab w:val="clear" w:pos="360"/>
      </w:tabs>
      <w:spacing w:beforeLines="0" w:afterLines="0"/>
    </w:pPr>
    <w:rPr>
      <w:rFonts w:ascii="宋体" w:eastAsia="宋体"/>
      <w:szCs w:val="21"/>
    </w:rPr>
  </w:style>
  <w:style w:type="paragraph" w:customStyle="1" w:styleId="10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6">
    <w:name w:val="附录图标题"/>
    <w:basedOn w:val="1"/>
    <w:next w:val="25"/>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7">
    <w:name w:val="附录五级条标题"/>
    <w:basedOn w:val="103"/>
    <w:next w:val="25"/>
    <w:qFormat/>
    <w:uiPriority w:val="0"/>
    <w:pPr>
      <w:numPr>
        <w:ilvl w:val="6"/>
      </w:numPr>
      <w:outlineLvl w:val="6"/>
    </w:pPr>
  </w:style>
  <w:style w:type="paragraph" w:customStyle="1" w:styleId="108">
    <w:name w:val="附录五级无"/>
    <w:basedOn w:val="107"/>
    <w:qFormat/>
    <w:uiPriority w:val="0"/>
    <w:pPr>
      <w:tabs>
        <w:tab w:val="clear" w:pos="360"/>
      </w:tabs>
      <w:spacing w:beforeLines="0" w:afterLines="0"/>
    </w:pPr>
    <w:rPr>
      <w:rFonts w:ascii="宋体" w:eastAsia="宋体"/>
      <w:szCs w:val="21"/>
    </w:rPr>
  </w:style>
  <w:style w:type="paragraph" w:customStyle="1" w:styleId="109">
    <w:name w:val="附录章标题"/>
    <w:next w:val="25"/>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0">
    <w:name w:val="附录一级条标题"/>
    <w:basedOn w:val="109"/>
    <w:next w:val="25"/>
    <w:qFormat/>
    <w:uiPriority w:val="0"/>
    <w:pPr>
      <w:numPr>
        <w:ilvl w:val="2"/>
      </w:numPr>
      <w:autoSpaceDN w:val="0"/>
      <w:spacing w:beforeLines="50" w:afterLines="50"/>
      <w:outlineLvl w:val="2"/>
    </w:pPr>
  </w:style>
  <w:style w:type="paragraph" w:customStyle="1" w:styleId="111">
    <w:name w:val="附录一级无"/>
    <w:basedOn w:val="110"/>
    <w:qFormat/>
    <w:uiPriority w:val="0"/>
    <w:pPr>
      <w:tabs>
        <w:tab w:val="clear" w:pos="360"/>
      </w:tabs>
      <w:spacing w:beforeLines="0" w:afterLines="0"/>
    </w:pPr>
    <w:rPr>
      <w:rFonts w:ascii="宋体" w:eastAsia="宋体"/>
      <w:szCs w:val="21"/>
    </w:rPr>
  </w:style>
  <w:style w:type="paragraph" w:customStyle="1" w:styleId="11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73"/>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81"/>
    <w:qFormat/>
    <w:uiPriority w:val="0"/>
    <w:pPr>
      <w:framePr w:wrap="around" w:y="15310"/>
      <w:spacing w:line="0" w:lineRule="atLeast"/>
    </w:pPr>
    <w:rPr>
      <w:rFonts w:ascii="黑体" w:eastAsia="黑体"/>
      <w:b w:val="0"/>
    </w:rPr>
  </w:style>
  <w:style w:type="paragraph" w:customStyle="1" w:styleId="119">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三级无"/>
    <w:basedOn w:val="58"/>
    <w:qFormat/>
    <w:uiPriority w:val="0"/>
    <w:pPr>
      <w:spacing w:beforeLines="0" w:afterLines="0"/>
    </w:pPr>
    <w:rPr>
      <w:rFonts w:ascii="宋体" w:eastAsia="宋体"/>
    </w:rPr>
  </w:style>
  <w:style w:type="paragraph" w:customStyle="1" w:styleId="121">
    <w:name w:val="实施日期"/>
    <w:basedOn w:val="82"/>
    <w:qFormat/>
    <w:uiPriority w:val="0"/>
    <w:pPr>
      <w:framePr w:wrap="around" w:vAnchor="page" w:hAnchor="text"/>
      <w:jc w:val="right"/>
    </w:pPr>
  </w:style>
  <w:style w:type="paragraph" w:customStyle="1" w:styleId="122">
    <w:name w:val="示例后文字"/>
    <w:basedOn w:val="25"/>
    <w:next w:val="25"/>
    <w:qFormat/>
    <w:uiPriority w:val="0"/>
    <w:pPr>
      <w:ind w:firstLine="360"/>
    </w:pPr>
    <w:rPr>
      <w:sz w:val="18"/>
    </w:rPr>
  </w:style>
  <w:style w:type="paragraph" w:customStyle="1" w:styleId="123">
    <w:name w:val="首示例"/>
    <w:next w:val="25"/>
    <w:link w:val="124"/>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4">
    <w:name w:val="首示例 Char"/>
    <w:link w:val="123"/>
    <w:qFormat/>
    <w:uiPriority w:val="0"/>
    <w:rPr>
      <w:rFonts w:ascii="宋体" w:hAnsi="宋体"/>
      <w:kern w:val="2"/>
      <w:sz w:val="18"/>
      <w:szCs w:val="18"/>
    </w:rPr>
  </w:style>
  <w:style w:type="paragraph" w:customStyle="1" w:styleId="125">
    <w:name w:val="四级无"/>
    <w:basedOn w:val="62"/>
    <w:qFormat/>
    <w:uiPriority w:val="0"/>
    <w:pPr>
      <w:spacing w:beforeLines="0" w:afterLines="0"/>
    </w:pPr>
    <w:rPr>
      <w:rFonts w:ascii="宋体" w:eastAsia="宋体"/>
    </w:rPr>
  </w:style>
  <w:style w:type="paragraph" w:customStyle="1" w:styleId="126">
    <w:name w:val="条文脚注"/>
    <w:basedOn w:val="26"/>
    <w:qFormat/>
    <w:uiPriority w:val="0"/>
    <w:pPr>
      <w:numPr>
        <w:numId w:val="0"/>
      </w:numPr>
      <w:jc w:val="both"/>
    </w:pPr>
  </w:style>
  <w:style w:type="paragraph" w:customStyle="1" w:styleId="127">
    <w:name w:val="图标脚注说明"/>
    <w:basedOn w:val="25"/>
    <w:qFormat/>
    <w:uiPriority w:val="0"/>
    <w:pPr>
      <w:ind w:left="840" w:hanging="420" w:firstLineChars="0"/>
    </w:pPr>
    <w:rPr>
      <w:sz w:val="18"/>
      <w:szCs w:val="18"/>
    </w:rPr>
  </w:style>
  <w:style w:type="paragraph" w:customStyle="1" w:styleId="128">
    <w:name w:val="图表脚注说明"/>
    <w:basedOn w:val="1"/>
    <w:qFormat/>
    <w:uiPriority w:val="0"/>
    <w:pPr>
      <w:numPr>
        <w:ilvl w:val="0"/>
        <w:numId w:val="15"/>
      </w:numPr>
    </w:pPr>
    <w:rPr>
      <w:rFonts w:ascii="宋体"/>
      <w:sz w:val="18"/>
      <w:szCs w:val="18"/>
    </w:rPr>
  </w:style>
  <w:style w:type="paragraph" w:customStyle="1" w:styleId="129">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1">
    <w:name w:val="五级无"/>
    <w:basedOn w:val="63"/>
    <w:qFormat/>
    <w:uiPriority w:val="0"/>
    <w:pPr>
      <w:spacing w:beforeLines="0" w:afterLines="0"/>
    </w:pPr>
    <w:rPr>
      <w:rFonts w:ascii="宋体" w:eastAsia="宋体"/>
    </w:rPr>
  </w:style>
  <w:style w:type="paragraph" w:customStyle="1" w:styleId="132">
    <w:name w:val="一级无"/>
    <w:basedOn w:val="49"/>
    <w:qFormat/>
    <w:uiPriority w:val="0"/>
    <w:pPr>
      <w:spacing w:beforeLines="0" w:afterLines="0"/>
    </w:pPr>
    <w:rPr>
      <w:rFonts w:ascii="宋体" w:eastAsia="宋体"/>
    </w:rPr>
  </w:style>
  <w:style w:type="paragraph" w:customStyle="1" w:styleId="133">
    <w:name w:val="正文表标题"/>
    <w:next w:val="25"/>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4">
    <w:name w:val="正文公式编号制表符"/>
    <w:basedOn w:val="25"/>
    <w:next w:val="25"/>
    <w:qFormat/>
    <w:uiPriority w:val="0"/>
    <w:pPr>
      <w:ind w:firstLine="0" w:firstLineChars="0"/>
    </w:pPr>
  </w:style>
  <w:style w:type="paragraph" w:customStyle="1" w:styleId="135">
    <w:name w:val="正文图标题"/>
    <w:next w:val="25"/>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终结线"/>
    <w:basedOn w:val="1"/>
    <w:qFormat/>
    <w:uiPriority w:val="0"/>
    <w:pPr>
      <w:framePr w:hSpace="181" w:vSpace="181" w:wrap="around" w:vAnchor="text" w:hAnchor="margin" w:xAlign="center" w:y="285"/>
    </w:pPr>
  </w:style>
  <w:style w:type="paragraph" w:customStyle="1" w:styleId="137">
    <w:name w:val="其他发布日期"/>
    <w:basedOn w:val="82"/>
    <w:qFormat/>
    <w:uiPriority w:val="0"/>
    <w:pPr>
      <w:framePr w:wrap="around" w:vAnchor="page" w:hAnchor="text" w:x="1419"/>
    </w:pPr>
  </w:style>
  <w:style w:type="paragraph" w:customStyle="1" w:styleId="138">
    <w:name w:val="其他实施日期"/>
    <w:basedOn w:val="121"/>
    <w:qFormat/>
    <w:uiPriority w:val="0"/>
    <w:pPr>
      <w:framePr w:wrap="around"/>
    </w:pPr>
  </w:style>
  <w:style w:type="paragraph" w:customStyle="1" w:styleId="139">
    <w:name w:val="封面标准名称2"/>
    <w:basedOn w:val="85"/>
    <w:qFormat/>
    <w:uiPriority w:val="0"/>
    <w:pPr>
      <w:framePr w:wrap="around" w:y="4469"/>
      <w:spacing w:beforeLines="630"/>
    </w:pPr>
  </w:style>
  <w:style w:type="paragraph" w:customStyle="1" w:styleId="140">
    <w:name w:val="封面标准英文名称2"/>
    <w:basedOn w:val="86"/>
    <w:qFormat/>
    <w:uiPriority w:val="0"/>
    <w:pPr>
      <w:framePr w:wrap="around" w:y="4469"/>
    </w:pPr>
  </w:style>
  <w:style w:type="paragraph" w:customStyle="1" w:styleId="141">
    <w:name w:val="封面一致性程度标识2"/>
    <w:basedOn w:val="87"/>
    <w:qFormat/>
    <w:uiPriority w:val="0"/>
    <w:pPr>
      <w:framePr w:wrap="around" w:y="4469"/>
    </w:pPr>
  </w:style>
  <w:style w:type="paragraph" w:customStyle="1" w:styleId="142">
    <w:name w:val="封面标准文稿类别2"/>
    <w:basedOn w:val="88"/>
    <w:qFormat/>
    <w:uiPriority w:val="0"/>
    <w:pPr>
      <w:framePr w:wrap="around" w:y="4469"/>
    </w:pPr>
  </w:style>
  <w:style w:type="paragraph" w:customStyle="1" w:styleId="143">
    <w:name w:val="封面标准文稿编辑信息2"/>
    <w:basedOn w:val="89"/>
    <w:qFormat/>
    <w:uiPriority w:val="0"/>
    <w:pPr>
      <w:framePr w:wrap="around" w:y="4469"/>
    </w:pPr>
  </w:style>
  <w:style w:type="character" w:customStyle="1" w:styleId="144">
    <w:name w:val="批注文字 字符"/>
    <w:link w:val="8"/>
    <w:qFormat/>
    <w:uiPriority w:val="0"/>
    <w:rPr>
      <w:kern w:val="2"/>
      <w:sz w:val="21"/>
      <w:szCs w:val="24"/>
    </w:rPr>
  </w:style>
  <w:style w:type="character" w:customStyle="1" w:styleId="145">
    <w:name w:val="批注主题 字符"/>
    <w:link w:val="35"/>
    <w:qFormat/>
    <w:uiPriority w:val="0"/>
    <w:rPr>
      <w:b/>
      <w:bCs/>
      <w:kern w:val="2"/>
      <w:sz w:val="21"/>
      <w:szCs w:val="24"/>
    </w:rPr>
  </w:style>
  <w:style w:type="character" w:customStyle="1" w:styleId="146">
    <w:name w:val="批注框文本 字符"/>
    <w:link w:val="18"/>
    <w:qFormat/>
    <w:uiPriority w:val="99"/>
    <w:rPr>
      <w:kern w:val="2"/>
      <w:sz w:val="18"/>
      <w:szCs w:val="18"/>
    </w:rPr>
  </w:style>
  <w:style w:type="paragraph" w:customStyle="1" w:styleId="147">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1"/>
    <w:qFormat/>
    <w:uiPriority w:val="0"/>
    <w:pPr>
      <w:keepNext/>
      <w:spacing w:before="180" w:after="60"/>
    </w:pPr>
    <w:rPr>
      <w:rFonts w:ascii="Arial" w:hAnsi="Arial" w:eastAsia="Arial Unicode MS" w:cs="Times New Roman"/>
      <w:b/>
      <w:lang w:val="en-US" w:eastAsia="ja-JP" w:bidi="ar-SA"/>
    </w:rPr>
  </w:style>
  <w:style w:type="paragraph" w:customStyle="1" w:styleId="149">
    <w:name w:val="StdsHead2"/>
    <w:link w:val="165"/>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1"/>
    <w:qFormat/>
    <w:uiPriority w:val="0"/>
    <w:pPr>
      <w:keepNext/>
      <w:spacing w:before="180" w:after="60"/>
    </w:pPr>
    <w:rPr>
      <w:rFonts w:ascii="Arial" w:hAnsi="Arial" w:eastAsia="Arial Unicode MS" w:cs="Times New Roman"/>
      <w:b/>
      <w:lang w:val="en-US" w:eastAsia="ja-JP" w:bidi="ar-SA"/>
    </w:rPr>
  </w:style>
  <w:style w:type="paragraph" w:customStyle="1" w:styleId="156">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3">
    <w:name w:val="StdsText Char"/>
    <w:link w:val="164"/>
    <w:qFormat/>
    <w:locked/>
    <w:uiPriority w:val="0"/>
    <w:rPr>
      <w:lang w:eastAsia="ja-JP"/>
    </w:rPr>
  </w:style>
  <w:style w:type="paragraph" w:customStyle="1" w:styleId="164">
    <w:name w:val="StdsText"/>
    <w:link w:val="163"/>
    <w:qFormat/>
    <w:uiPriority w:val="0"/>
    <w:pPr>
      <w:spacing w:before="120" w:after="120"/>
      <w:jc w:val="both"/>
    </w:pPr>
    <w:rPr>
      <w:rFonts w:ascii="Times New Roman" w:hAnsi="Times New Roman" w:eastAsia="宋体" w:cs="Times New Roman"/>
      <w:lang w:val="en-US" w:eastAsia="ja-JP" w:bidi="ar-SA"/>
    </w:rPr>
  </w:style>
  <w:style w:type="character" w:customStyle="1" w:styleId="165">
    <w:name w:val="StdsHead2 Char"/>
    <w:link w:val="149"/>
    <w:qFormat/>
    <w:locked/>
    <w:uiPriority w:val="0"/>
    <w:rPr>
      <w:rFonts w:eastAsia="MS Mincho"/>
      <w:lang w:eastAsia="ja-JP"/>
    </w:rPr>
  </w:style>
  <w:style w:type="paragraph" w:styleId="166">
    <w:name w:val="List Paragraph"/>
    <w:basedOn w:val="1"/>
    <w:qFormat/>
    <w:uiPriority w:val="34"/>
    <w:pPr>
      <w:ind w:firstLine="420" w:firstLineChars="200"/>
    </w:pPr>
  </w:style>
  <w:style w:type="paragraph" w:customStyle="1" w:styleId="167">
    <w:name w:val="二级无标题条"/>
    <w:basedOn w:val="1"/>
    <w:qFormat/>
    <w:uiPriority w:val="0"/>
    <w:pPr>
      <w:numPr>
        <w:ilvl w:val="3"/>
        <w:numId w:val="17"/>
      </w:numPr>
    </w:pPr>
  </w:style>
  <w:style w:type="paragraph" w:customStyle="1" w:styleId="168">
    <w:name w:val="三级无标题条"/>
    <w:basedOn w:val="1"/>
    <w:qFormat/>
    <w:uiPriority w:val="0"/>
    <w:pPr>
      <w:numPr>
        <w:ilvl w:val="4"/>
        <w:numId w:val="17"/>
      </w:numPr>
    </w:pPr>
  </w:style>
  <w:style w:type="paragraph" w:customStyle="1" w:styleId="169">
    <w:name w:val="四级无标题条"/>
    <w:basedOn w:val="1"/>
    <w:qFormat/>
    <w:uiPriority w:val="0"/>
    <w:pPr>
      <w:numPr>
        <w:ilvl w:val="5"/>
        <w:numId w:val="17"/>
      </w:numPr>
    </w:pPr>
  </w:style>
  <w:style w:type="paragraph" w:customStyle="1" w:styleId="170">
    <w:name w:val="五级无标题条"/>
    <w:basedOn w:val="1"/>
    <w:qFormat/>
    <w:uiPriority w:val="0"/>
    <w:pPr>
      <w:numPr>
        <w:ilvl w:val="6"/>
        <w:numId w:val="17"/>
      </w:numPr>
    </w:pPr>
  </w:style>
  <w:style w:type="paragraph" w:customStyle="1" w:styleId="171">
    <w:name w:val="一级无标题条"/>
    <w:basedOn w:val="1"/>
    <w:qFormat/>
    <w:uiPriority w:val="0"/>
    <w:pPr>
      <w:numPr>
        <w:ilvl w:val="2"/>
        <w:numId w:val="17"/>
      </w:numPr>
    </w:pPr>
  </w:style>
  <w:style w:type="character" w:customStyle="1" w:styleId="172">
    <w:name w:val="标题 字符"/>
    <w:basedOn w:val="38"/>
    <w:link w:val="34"/>
    <w:qFormat/>
    <w:uiPriority w:val="0"/>
    <w:rPr>
      <w:rFonts w:ascii="Arial" w:hAnsi="Arial" w:cs="Arial"/>
      <w:b/>
      <w:bCs/>
      <w:kern w:val="2"/>
      <w:sz w:val="32"/>
      <w:szCs w:val="32"/>
    </w:rPr>
  </w:style>
  <w:style w:type="character" w:customStyle="1" w:styleId="173">
    <w:name w:val="fontstyle01"/>
    <w:qFormat/>
    <w:uiPriority w:val="0"/>
    <w:rPr>
      <w:color w:val="242021"/>
      <w:sz w:val="22"/>
      <w:szCs w:val="22"/>
    </w:rPr>
  </w:style>
  <w:style w:type="character" w:styleId="174">
    <w:name w:val="Placeholder Text"/>
    <w:basedOn w:val="38"/>
    <w:semiHidden/>
    <w:qFormat/>
    <w:uiPriority w:val="99"/>
    <w:rPr>
      <w:color w:val="808080"/>
    </w:rPr>
  </w:style>
  <w:style w:type="paragraph" w:customStyle="1" w:styleId="175">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6">
    <w:name w:val="网格型1"/>
    <w:basedOn w:val="36"/>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77">
    <w:name w:val="段 Char Char"/>
    <w:qFormat/>
    <w:uiPriority w:val="0"/>
    <w:rPr>
      <w:rFonts w:ascii="宋体"/>
      <w:sz w:val="21"/>
      <w:lang w:bidi="ar-SA"/>
    </w:rPr>
  </w:style>
  <w:style w:type="character" w:customStyle="1" w:styleId="178">
    <w:name w:val="页眉 字符"/>
    <w:basedOn w:val="38"/>
    <w:link w:val="20"/>
    <w:qFormat/>
    <w:uiPriority w:val="99"/>
    <w:rPr>
      <w:kern w:val="2"/>
      <w:sz w:val="18"/>
      <w:szCs w:val="18"/>
    </w:rPr>
  </w:style>
  <w:style w:type="character" w:customStyle="1" w:styleId="179">
    <w:name w:val="页脚 字符"/>
    <w:basedOn w:val="38"/>
    <w:link w:val="19"/>
    <w:qFormat/>
    <w:uiPriority w:val="99"/>
    <w:rPr>
      <w:kern w:val="2"/>
      <w:sz w:val="18"/>
      <w:szCs w:val="18"/>
    </w:rPr>
  </w:style>
  <w:style w:type="character" w:customStyle="1" w:styleId="180">
    <w:name w:val="脚注文本 Char1"/>
    <w:basedOn w:val="38"/>
    <w:qFormat/>
    <w:uiPriority w:val="0"/>
    <w:rPr>
      <w:kern w:val="2"/>
      <w:sz w:val="18"/>
      <w:szCs w:val="18"/>
    </w:rPr>
  </w:style>
  <w:style w:type="character" w:customStyle="1" w:styleId="181">
    <w:name w:val="sh141"/>
    <w:qFormat/>
    <w:uiPriority w:val="0"/>
    <w:rPr>
      <w:color w:val="2B2B2B"/>
      <w:sz w:val="21"/>
      <w:szCs w:val="21"/>
    </w:rPr>
  </w:style>
  <w:style w:type="character" w:customStyle="1" w:styleId="182">
    <w:name w:val="正文文本 字符"/>
    <w:basedOn w:val="38"/>
    <w:link w:val="10"/>
    <w:qFormat/>
    <w:uiPriority w:val="0"/>
    <w:rPr>
      <w:rFonts w:ascii="宋体"/>
      <w:sz w:val="28"/>
    </w:rPr>
  </w:style>
  <w:style w:type="character" w:customStyle="1" w:styleId="183">
    <w:name w:val="tgt1 Char"/>
    <w:link w:val="184"/>
    <w:qFormat/>
    <w:uiPriority w:val="0"/>
    <w:rPr>
      <w:rFonts w:ascii="宋体" w:hAnsi="宋体" w:cs="宋体"/>
      <w:sz w:val="24"/>
      <w:szCs w:val="24"/>
    </w:rPr>
  </w:style>
  <w:style w:type="paragraph" w:customStyle="1" w:styleId="184">
    <w:name w:val="tgt1"/>
    <w:basedOn w:val="1"/>
    <w:link w:val="183"/>
    <w:qFormat/>
    <w:uiPriority w:val="0"/>
    <w:pPr>
      <w:widowControl/>
      <w:spacing w:after="150"/>
      <w:jc w:val="left"/>
    </w:pPr>
    <w:rPr>
      <w:rFonts w:ascii="宋体" w:hAnsi="宋体" w:cs="宋体"/>
      <w:kern w:val="0"/>
      <w:sz w:val="24"/>
    </w:rPr>
  </w:style>
  <w:style w:type="character" w:customStyle="1" w:styleId="185">
    <w:name w:val="一级条标题[858D7CFB-ED40-4347-BF05-701D383B685F]"/>
    <w:link w:val="49"/>
    <w:qFormat/>
    <w:uiPriority w:val="0"/>
    <w:rPr>
      <w:rFonts w:ascii="黑体" w:eastAsia="黑体"/>
      <w:sz w:val="21"/>
      <w:szCs w:val="21"/>
    </w:rPr>
  </w:style>
  <w:style w:type="character" w:customStyle="1" w:styleId="186">
    <w:name w:val="脚注文本 字符"/>
    <w:link w:val="26"/>
    <w:qFormat/>
    <w:uiPriority w:val="99"/>
    <w:rPr>
      <w:rFonts w:ascii="宋体"/>
      <w:kern w:val="2"/>
      <w:sz w:val="18"/>
      <w:szCs w:val="18"/>
    </w:rPr>
  </w:style>
  <w:style w:type="character" w:customStyle="1" w:styleId="187">
    <w:name w:val="正文文本 字符1"/>
    <w:basedOn w:val="38"/>
    <w:semiHidden/>
    <w:qFormat/>
    <w:uiPriority w:val="0"/>
    <w:rPr>
      <w:kern w:val="2"/>
      <w:sz w:val="21"/>
      <w:szCs w:val="24"/>
    </w:rPr>
  </w:style>
  <w:style w:type="character" w:customStyle="1" w:styleId="188">
    <w:name w:val="正文文本 Char1"/>
    <w:basedOn w:val="38"/>
    <w:semiHidden/>
    <w:qFormat/>
    <w:uiPriority w:val="99"/>
    <w:rPr>
      <w:rFonts w:ascii="Calibri" w:hAnsi="Calibri" w:eastAsia="宋体" w:cs="Times New Roman"/>
      <w:szCs w:val="24"/>
    </w:rPr>
  </w:style>
  <w:style w:type="character" w:customStyle="1" w:styleId="189">
    <w:name w:val="脚注文本 Char2"/>
    <w:basedOn w:val="38"/>
    <w:semiHidden/>
    <w:qFormat/>
    <w:uiPriority w:val="99"/>
    <w:rPr>
      <w:rFonts w:ascii="Calibri" w:hAnsi="Calibri" w:eastAsia="宋体" w:cs="Times New Roman"/>
      <w:sz w:val="18"/>
      <w:szCs w:val="18"/>
    </w:rPr>
  </w:style>
  <w:style w:type="character" w:customStyle="1" w:styleId="190">
    <w:name w:val="批注框文本 Char1"/>
    <w:basedOn w:val="38"/>
    <w:semiHidden/>
    <w:qFormat/>
    <w:uiPriority w:val="99"/>
    <w:rPr>
      <w:rFonts w:ascii="Calibri" w:hAnsi="Calibri" w:eastAsia="宋体" w:cs="Times New Roman"/>
      <w:sz w:val="18"/>
      <w:szCs w:val="18"/>
    </w:rPr>
  </w:style>
  <w:style w:type="character" w:customStyle="1" w:styleId="191">
    <w:name w:val="日期 字符"/>
    <w:basedOn w:val="38"/>
    <w:link w:val="16"/>
    <w:qFormat/>
    <w:uiPriority w:val="0"/>
    <w:rPr>
      <w:rFonts w:ascii="Calibri" w:hAnsi="Calibri"/>
      <w:kern w:val="2"/>
      <w:sz w:val="21"/>
      <w:szCs w:val="24"/>
    </w:rPr>
  </w:style>
  <w:style w:type="paragraph" w:customStyle="1" w:styleId="192">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customStyle="1" w:styleId="193">
    <w:name w:val="MTDisplayEquation"/>
    <w:basedOn w:val="1"/>
    <w:next w:val="1"/>
    <w:qFormat/>
    <w:uiPriority w:val="0"/>
    <w:pPr>
      <w:tabs>
        <w:tab w:val="center" w:pos="4160"/>
        <w:tab w:val="right" w:pos="8320"/>
      </w:tabs>
      <w:spacing w:line="360" w:lineRule="auto"/>
      <w:ind w:firstLine="480" w:firstLineChars="200"/>
    </w:pPr>
    <w:rPr>
      <w:rFonts w:ascii="Calibri" w:hAnsi="Calibri"/>
      <w:sz w:val="24"/>
    </w:rPr>
  </w:style>
  <w:style w:type="paragraph" w:customStyle="1" w:styleId="194">
    <w:name w:val="Char Char8"/>
    <w:basedOn w:val="1"/>
    <w:qFormat/>
    <w:uiPriority w:val="0"/>
    <w:rPr>
      <w:rFonts w:ascii="Calibri" w:hAnsi="Calibri"/>
      <w:szCs w:val="20"/>
    </w:rPr>
  </w:style>
  <w:style w:type="character" w:customStyle="1" w:styleId="195">
    <w:name w:val="font31"/>
    <w:basedOn w:val="38"/>
    <w:qFormat/>
    <w:uiPriority w:val="0"/>
    <w:rPr>
      <w:rFonts w:hint="eastAsia" w:ascii="宋体" w:hAnsi="宋体" w:eastAsia="宋体" w:cs="宋体"/>
      <w:color w:val="000000"/>
      <w:sz w:val="20"/>
      <w:szCs w:val="20"/>
      <w:u w:val="none"/>
    </w:rPr>
  </w:style>
  <w:style w:type="character" w:customStyle="1" w:styleId="196">
    <w:name w:val="font51"/>
    <w:basedOn w:val="38"/>
    <w:qFormat/>
    <w:uiPriority w:val="0"/>
    <w:rPr>
      <w:rFonts w:hint="default" w:ascii="Times New Roman" w:hAnsi="Times New Roman" w:cs="Times New Roman"/>
      <w:color w:val="000000"/>
      <w:sz w:val="20"/>
      <w:szCs w:val="20"/>
      <w:u w:val="none"/>
    </w:rPr>
  </w:style>
  <w:style w:type="character" w:customStyle="1" w:styleId="197">
    <w:name w:val="font61"/>
    <w:basedOn w:val="38"/>
    <w:qFormat/>
    <w:uiPriority w:val="0"/>
    <w:rPr>
      <w:rFonts w:hint="default" w:ascii="Times New Roman" w:hAnsi="Times New Roman" w:cs="Times New Roman"/>
      <w:color w:val="000000"/>
      <w:sz w:val="20"/>
      <w:szCs w:val="20"/>
      <w:u w:val="none"/>
    </w:rPr>
  </w:style>
  <w:style w:type="character" w:customStyle="1" w:styleId="198">
    <w:name w:val="font41"/>
    <w:basedOn w:val="38"/>
    <w:qFormat/>
    <w:uiPriority w:val="0"/>
    <w:rPr>
      <w:rFonts w:hint="eastAsia" w:ascii="宋体" w:hAnsi="宋体" w:eastAsia="宋体" w:cs="宋体"/>
      <w:color w:val="000000"/>
      <w:sz w:val="20"/>
      <w:szCs w:val="20"/>
      <w:u w:val="none"/>
    </w:rPr>
  </w:style>
  <w:style w:type="character" w:customStyle="1" w:styleId="199">
    <w:name w:val="font21"/>
    <w:basedOn w:val="38"/>
    <w:qFormat/>
    <w:uiPriority w:val="0"/>
    <w:rPr>
      <w:rFonts w:hint="eastAsia" w:ascii="宋体" w:hAnsi="宋体" w:eastAsia="宋体" w:cs="宋体"/>
      <w:color w:val="000000"/>
      <w:sz w:val="20"/>
      <w:szCs w:val="20"/>
      <w:u w:val="none"/>
    </w:rPr>
  </w:style>
  <w:style w:type="character" w:customStyle="1" w:styleId="200">
    <w:name w:val="font01"/>
    <w:basedOn w:val="38"/>
    <w:qFormat/>
    <w:uiPriority w:val="0"/>
    <w:rPr>
      <w:rFonts w:hint="eastAsia" w:ascii="宋体" w:hAnsi="宋体" w:eastAsia="宋体" w:cs="宋体"/>
      <w:color w:val="000000"/>
      <w:sz w:val="20"/>
      <w:szCs w:val="20"/>
      <w:u w:val="none"/>
    </w:rPr>
  </w:style>
  <w:style w:type="character" w:customStyle="1" w:styleId="201">
    <w:name w:val="font11"/>
    <w:basedOn w:val="38"/>
    <w:qFormat/>
    <w:uiPriority w:val="0"/>
    <w:rPr>
      <w:rFonts w:hint="default" w:ascii="Times New Roman" w:hAnsi="Times New Roman" w:cs="Times New Roman"/>
      <w:color w:val="000000"/>
      <w:sz w:val="20"/>
      <w:szCs w:val="20"/>
      <w:u w:val="none"/>
    </w:rPr>
  </w:style>
  <w:style w:type="character" w:customStyle="1" w:styleId="202">
    <w:name w:val="标题 3 字符"/>
    <w:basedOn w:val="38"/>
    <w:link w:val="2"/>
    <w:qFormat/>
    <w:uiPriority w:val="9"/>
    <w:rPr>
      <w:rFonts w:ascii="宋体" w:hAnsi="宋体" w:cs="宋体"/>
      <w:b/>
      <w:bCs/>
      <w:sz w:val="27"/>
      <w:szCs w:val="27"/>
    </w:rPr>
  </w:style>
  <w:style w:type="paragraph" w:customStyle="1" w:styleId="203">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2BB7F-F56B-42FD-AB70-620EF6ED00D4}">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3768</Words>
  <Characters>5322</Characters>
  <Lines>56</Lines>
  <Paragraphs>16</Paragraphs>
  <TotalTime>1</TotalTime>
  <ScaleCrop>false</ScaleCrop>
  <LinksUpToDate>false</LinksUpToDate>
  <CharactersWithSpaces>5514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2023-07-26T03:47:00Z</dcterms:created>
  <dcterms:modified xsi:type="dcterms:W3CDTF">2023-09-23T03:32:53Z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AA49A5C42EF54F6A9F30B98B215AD0F3</vt:lpwstr>
  </property>
</Properties>
</file>