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rPr>
          <w:rFonts w:ascii="Times New Roman"/>
        </w:rPr>
      </w:pPr>
      <w:bookmarkStart w:id="0" w:name="_Toc48717817"/>
      <w:bookmarkStart w:id="1" w:name="_Toc49776953"/>
      <w:bookmarkStart w:id="2" w:name="SectionMark0"/>
    </w:p>
    <w:p>
      <w:pPr>
        <w:pStyle w:val="23"/>
        <w:rPr>
          <w:rFonts w:ascii="Times New Roman"/>
        </w:rPr>
      </w:pPr>
    </w:p>
    <w:p>
      <w:pPr>
        <w:pStyle w:val="23"/>
        <w:rPr>
          <w:rFonts w:ascii="Times New Roman"/>
        </w:rPr>
      </w:pPr>
    </w:p>
    <w:p>
      <w:pPr>
        <w:pStyle w:val="23"/>
        <w:rPr>
          <w:rFonts w:ascii="Times New Roman"/>
          <w:sz w:val="24"/>
        </w:rPr>
      </w:pPr>
      <w:r>
        <w:rPr>
          <w:rFonts w:ascii="Times New Roman"/>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8288020</wp:posOffset>
                </wp:positionV>
                <wp:extent cx="6057265" cy="635"/>
                <wp:effectExtent l="0" t="0" r="19685" b="37465"/>
                <wp:wrapNone/>
                <wp:docPr id="9" name="Line 68"/>
                <wp:cNvGraphicFramePr/>
                <a:graphic xmlns:a="http://schemas.openxmlformats.org/drawingml/2006/main">
                  <a:graphicData uri="http://schemas.microsoft.com/office/word/2010/wordprocessingShape">
                    <wps:wsp>
                      <wps:cNvCnPr>
                        <a:cxnSpLocks noChangeShapeType="1"/>
                      </wps:cNvCnPr>
                      <wps:spPr bwMode="auto">
                        <a:xfrm>
                          <a:off x="0" y="0"/>
                          <a:ext cx="6057265" cy="635"/>
                        </a:xfrm>
                        <a:prstGeom prst="line">
                          <a:avLst/>
                        </a:prstGeom>
                        <a:noFill/>
                        <a:ln w="9525">
                          <a:solidFill>
                            <a:srgbClr val="000000"/>
                          </a:solidFill>
                          <a:round/>
                        </a:ln>
                      </wps:spPr>
                      <wps:bodyPr/>
                    </wps:wsp>
                  </a:graphicData>
                </a:graphic>
              </wp:anchor>
            </w:drawing>
          </mc:Choice>
          <mc:Fallback>
            <w:pict>
              <v:line id="Line 68" o:spid="_x0000_s1026" o:spt="20" style="position:absolute;left:0pt;margin-left:-7.85pt;margin-top:652.6pt;height:0.05pt;width:476.95pt;z-index:251662336;mso-width-relative:page;mso-height-relative:page;" filled="f" stroked="t" coordsize="21600,21600" o:gfxdata="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1rv2QAAAA0BAAAPAAAAAAAAAAEAIAAAACIAAABk&#10;cnMvZG93bnJldi54bWxQSwECFAAUAAAACACHTuJAyUWXhcwBAACiAwAADgAAAAAAAAABACAAAAAo&#10;AQAAZHJzL2Uyb0RvYy54bWxQSwUGAAAAAAYABgBZAQAAZgUAAAAA&#10;">
                <v:fill on="f" focussize="0,0"/>
                <v:stroke color="#000000" joinstyle="round"/>
                <v:imagedata o:title=""/>
                <o:lock v:ext="edit" aspectratio="f"/>
              </v:line>
            </w:pict>
          </mc:Fallback>
        </mc:AlternateContent>
      </w:r>
      <w:r>
        <w:rPr>
          <w:rFonts w:ascii="Times New Roman"/>
          <w:sz w:val="24"/>
        </w:rPr>
        <mc:AlternateContent>
          <mc:Choice Requires="wps">
            <w:drawing>
              <wp:anchor distT="0" distB="0" distL="114300" distR="114300" simplePos="0" relativeHeight="251664384" behindDoc="0" locked="1" layoutInCell="1" allowOverlap="1">
                <wp:simplePos x="0" y="0"/>
                <wp:positionH relativeFrom="margin">
                  <wp:posOffset>156845</wp:posOffset>
                </wp:positionH>
                <wp:positionV relativeFrom="margin">
                  <wp:posOffset>1838325</wp:posOffset>
                </wp:positionV>
                <wp:extent cx="5802630" cy="789940"/>
                <wp:effectExtent l="0" t="0" r="7620" b="0"/>
                <wp:wrapNone/>
                <wp:docPr id="8"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789940"/>
                        </a:xfrm>
                        <a:prstGeom prst="rect">
                          <a:avLst/>
                        </a:prstGeom>
                        <a:solidFill>
                          <a:srgbClr val="FFFFFF"/>
                        </a:solidFill>
                        <a:ln>
                          <a:noFill/>
                        </a:ln>
                      </wps:spPr>
                      <wps:txbx>
                        <w:txbxContent>
                          <w:p>
                            <w:pPr>
                              <w:pStyle w:val="58"/>
                              <w:spacing w:line="200" w:lineRule="exact"/>
                              <w:ind w:right="561"/>
                              <w:rPr>
                                <w:rFonts w:eastAsia="黑体"/>
                              </w:rPr>
                            </w:pPr>
                            <w:r>
                              <w:rPr>
                                <w:rFonts w:eastAsia="黑体"/>
                              </w:rPr>
                              <w:t>YS/T 240.9-202X</w:t>
                            </w:r>
                          </w:p>
                          <w:p>
                            <w:pPr>
                              <w:pStyle w:val="58"/>
                              <w:spacing w:line="200" w:lineRule="exact"/>
                              <w:ind w:right="561"/>
                              <w:rPr>
                                <w:sz w:val="24"/>
                                <w:szCs w:val="18"/>
                              </w:rPr>
                            </w:pPr>
                            <w:r>
                              <w:rPr>
                                <w:rFonts w:hint="eastAsia" w:eastAsia="黑体"/>
                                <w:sz w:val="24"/>
                                <w:szCs w:val="18"/>
                              </w:rPr>
                              <w:t>代替 YS/T</w:t>
                            </w:r>
                            <w:r>
                              <w:rPr>
                                <w:rFonts w:eastAsia="黑体"/>
                                <w:sz w:val="24"/>
                                <w:szCs w:val="18"/>
                              </w:rPr>
                              <w:t xml:space="preserve"> 240.9-2007</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2.35pt;margin-top:144.75pt;height:62.2pt;width:456.9pt;mso-position-horizontal-relative:margin;mso-position-vertical-relative:margin;z-index:251664384;mso-width-relative:page;mso-height-relative:page;" fillcolor="#FFFFFF" filled="t" stroked="f" coordsize="21600,21600" o:gfxdata="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4dnYv2gAAAAoBAAAPAAAAAAAA&#10;AAEAIAAAACIAAABkcnMvZG93bnJldi54bWxQSwECFAAUAAAACACHTuJAPrunfBACAAArBAAADgAA&#10;AAAAAAABACAAAAApAQAAZHJzL2Uyb0RvYy54bWxQSwUGAAAAAAYABgBZAQAAqwUAAAAA&#10;">
                <v:fill on="t" focussize="0,0"/>
                <v:stroke on="f"/>
                <v:imagedata o:title=""/>
                <o:lock v:ext="edit" aspectratio="f"/>
                <v:textbox inset="0mm,0mm,0mm,0mm">
                  <w:txbxContent>
                    <w:p>
                      <w:pPr>
                        <w:pStyle w:val="58"/>
                        <w:spacing w:line="200" w:lineRule="exact"/>
                        <w:ind w:right="561"/>
                        <w:rPr>
                          <w:rFonts w:eastAsia="黑体"/>
                        </w:rPr>
                      </w:pPr>
                      <w:r>
                        <w:rPr>
                          <w:rFonts w:eastAsia="黑体"/>
                        </w:rPr>
                        <w:t>YS/T 240.9-202X</w:t>
                      </w:r>
                    </w:p>
                    <w:p>
                      <w:pPr>
                        <w:pStyle w:val="58"/>
                        <w:spacing w:line="200" w:lineRule="exact"/>
                        <w:ind w:right="561"/>
                        <w:rPr>
                          <w:sz w:val="24"/>
                          <w:szCs w:val="18"/>
                        </w:rPr>
                      </w:pPr>
                      <w:r>
                        <w:rPr>
                          <w:rFonts w:hint="eastAsia" w:eastAsia="黑体"/>
                          <w:sz w:val="24"/>
                          <w:szCs w:val="18"/>
                        </w:rPr>
                        <w:t>代替 YS/T</w:t>
                      </w:r>
                      <w:r>
                        <w:rPr>
                          <w:rFonts w:eastAsia="黑体"/>
                          <w:sz w:val="24"/>
                          <w:szCs w:val="18"/>
                        </w:rPr>
                        <w:t xml:space="preserve"> 240.9-2007</w:t>
                      </w:r>
                    </w:p>
                  </w:txbxContent>
                </v:textbox>
                <w10:anchorlock/>
              </v:shape>
            </w:pict>
          </mc:Fallback>
        </mc:AlternateContent>
      </w:r>
      <w:r>
        <w:rPr>
          <w:rFonts w:ascii="Times New Roman"/>
          <w:sz w:val="24"/>
        </w:rPr>
        <w:drawing>
          <wp:inline distT="0" distB="0" distL="0" distR="0">
            <wp:extent cx="5932805" cy="1210945"/>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950433" cy="1214560"/>
                    </a:xfrm>
                    <a:prstGeom prst="rect">
                      <a:avLst/>
                    </a:prstGeom>
                    <a:noFill/>
                    <a:ln>
                      <a:noFill/>
                    </a:ln>
                  </pic:spPr>
                </pic:pic>
              </a:graphicData>
            </a:graphic>
          </wp:inline>
        </w:drawing>
      </w:r>
      <w:r>
        <w:rPr>
          <w:rFonts w:ascii="Times New Roman"/>
        </w:rPr>
        <mc:AlternateContent>
          <mc:Choice Requires="wps">
            <w:drawing>
              <wp:anchor distT="0" distB="0" distL="114300" distR="114300" simplePos="0" relativeHeight="251663360" behindDoc="0" locked="1" layoutInCell="1" allowOverlap="1">
                <wp:simplePos x="0" y="0"/>
                <wp:positionH relativeFrom="margin">
                  <wp:align>left</wp:align>
                </wp:positionH>
                <wp:positionV relativeFrom="margin">
                  <wp:posOffset>471805</wp:posOffset>
                </wp:positionV>
                <wp:extent cx="914400" cy="514350"/>
                <wp:effectExtent l="0" t="0" r="0" b="0"/>
                <wp:wrapNone/>
                <wp:docPr id="7" name="fmFrame1"/>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solidFill>
                          <a:srgbClr val="FFFFFF"/>
                        </a:solidFill>
                        <a:ln>
                          <a:noFill/>
                        </a:ln>
                      </wps:spPr>
                      <wps:txbx>
                        <w:txbxContent>
                          <w:p>
                            <w:pPr>
                              <w:pStyle w:val="29"/>
                              <w:rPr>
                                <w:szCs w:val="21"/>
                              </w:rPr>
                            </w:pPr>
                            <w:r>
                              <w:rPr>
                                <w:szCs w:val="21"/>
                              </w:rPr>
                              <w:t>ICS 77.120.99</w:t>
                            </w:r>
                          </w:p>
                          <w:p>
                            <w:pPr>
                              <w:pStyle w:val="29"/>
                              <w:rPr>
                                <w:szCs w:val="21"/>
                              </w:rPr>
                            </w:pPr>
                            <w:r>
                              <w:rPr>
                                <w:szCs w:val="21"/>
                              </w:rPr>
                              <w:t>CCS H13</w:t>
                            </w:r>
                          </w:p>
                          <w:p>
                            <w:pPr>
                              <w:pStyle w:val="29"/>
                              <w:rPr>
                                <w:szCs w:val="21"/>
                              </w:rPr>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top:37.15pt;height:40.5pt;width:72pt;mso-position-horizontal:left;mso-position-horizontal-relative:margin;mso-position-vertical-relative:margin;z-index:251663360;mso-width-relative:page;mso-height-relative:page;" fillcolor="#FFFFFF" filled="t" stroked="f" coordsize="21600,21600" o:gfxdata="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G5Wq7WAAAABwEAAA8AAAAAAAAAAQAg&#10;AAAAIgAAAGRycy9kb3ducmV2LnhtbFBLAQIUABQAAAAIAIdO4kDW3oxuEAIAACoEAAAOAAAAAAAA&#10;AAEAIAAAACUBAABkcnMvZTJvRG9jLnhtbFBLBQYAAAAABgAGAFkBAACnBQAAAAA=&#10;">
                <v:fill on="t" focussize="0,0"/>
                <v:stroke on="f"/>
                <v:imagedata o:title=""/>
                <o:lock v:ext="edit" aspectratio="f"/>
                <v:textbox inset="0mm,0mm,0mm,0mm">
                  <w:txbxContent>
                    <w:p>
                      <w:pPr>
                        <w:pStyle w:val="29"/>
                        <w:rPr>
                          <w:szCs w:val="21"/>
                        </w:rPr>
                      </w:pPr>
                      <w:r>
                        <w:rPr>
                          <w:szCs w:val="21"/>
                        </w:rPr>
                        <w:t>ICS 77.120.99</w:t>
                      </w:r>
                    </w:p>
                    <w:p>
                      <w:pPr>
                        <w:pStyle w:val="29"/>
                        <w:rPr>
                          <w:szCs w:val="21"/>
                        </w:rPr>
                      </w:pPr>
                      <w:r>
                        <w:rPr>
                          <w:szCs w:val="21"/>
                        </w:rPr>
                        <w:t>CCS H13</w:t>
                      </w:r>
                    </w:p>
                    <w:p>
                      <w:pPr>
                        <w:pStyle w:val="29"/>
                        <w:rPr>
                          <w:szCs w:val="21"/>
                        </w:rPr>
                      </w:pPr>
                    </w:p>
                  </w:txbxContent>
                </v:textbox>
                <w10:anchorlock/>
              </v:shape>
            </w:pict>
          </mc:Fallback>
        </mc:AlternateContent>
      </w:r>
      <w:r>
        <w:rPr>
          <w:rFonts w:ascii="Times New Roman"/>
        </w:rPr>
        <mc:AlternateContent>
          <mc:Choice Requires="wps">
            <w:drawing>
              <wp:anchor distT="0" distB="0" distL="114300" distR="114300" simplePos="0" relativeHeight="251662336" behindDoc="0" locked="1" layoutInCell="1" allowOverlap="1">
                <wp:simplePos x="0" y="0"/>
                <wp:positionH relativeFrom="margin">
                  <wp:posOffset>-162560</wp:posOffset>
                </wp:positionH>
                <wp:positionV relativeFrom="margin">
                  <wp:posOffset>8826500</wp:posOffset>
                </wp:positionV>
                <wp:extent cx="6120130" cy="793750"/>
                <wp:effectExtent l="0" t="0" r="0" b="6350"/>
                <wp:wrapNone/>
                <wp:docPr id="6"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93750"/>
                        </a:xfrm>
                        <a:prstGeom prst="rect">
                          <a:avLst/>
                        </a:prstGeom>
                        <a:solidFill>
                          <a:srgbClr val="FFFFFF"/>
                        </a:solidFill>
                        <a:ln>
                          <a:noFill/>
                        </a:ln>
                      </wps:spPr>
                      <wps:txbx>
                        <w:txbxContent>
                          <w:p>
                            <w:pPr>
                              <w:pStyle w:val="39"/>
                              <w:spacing w:line="340" w:lineRule="exact"/>
                              <w:ind w:firstLine="2299" w:firstLineChars="550"/>
                              <w:jc w:val="both"/>
                              <w:rPr>
                                <w:rFonts w:ascii="黑体" w:eastAsia="黑体"/>
                                <w:b w:val="0"/>
                                <w:bCs/>
                                <w:sz w:val="28"/>
                              </w:rPr>
                            </w:pPr>
                          </w:p>
                          <w:p>
                            <w:pPr>
                              <w:pStyle w:val="39"/>
                              <w:spacing w:line="340" w:lineRule="exact"/>
                              <w:rPr>
                                <w:rFonts w:ascii="黑体" w:eastAsia="黑体"/>
                                <w:b w:val="0"/>
                                <w:bCs/>
                                <w:sz w:val="28"/>
                              </w:rPr>
                            </w:pPr>
                          </w:p>
                          <w:p>
                            <w:pPr>
                              <w:pStyle w:val="39"/>
                              <w:spacing w:line="340" w:lineRule="exact"/>
                              <w:rPr>
                                <w:rFonts w:ascii="黑体" w:eastAsia="黑体"/>
                                <w:bCs/>
                                <w:sz w:val="28"/>
                              </w:rPr>
                            </w:pPr>
                            <w:r>
                              <w:rPr>
                                <w:rFonts w:hint="eastAsia" w:ascii="黑体" w:eastAsia="黑体"/>
                                <w:bCs/>
                                <w:sz w:val="28"/>
                              </w:rPr>
                              <w:t>中华人民共和国工业和信息化部　发布</w:t>
                            </w:r>
                          </w:p>
                          <w:p>
                            <w:pPr>
                              <w:pStyle w:val="30"/>
                              <w:ind w:firstLine="400"/>
                            </w:pPr>
                          </w:p>
                          <w:p>
                            <w:pPr>
                              <w:pStyle w:val="30"/>
                              <w:ind w:firstLine="400"/>
                            </w:pPr>
                          </w:p>
                          <w:p>
                            <w:pPr>
                              <w:pStyle w:val="30"/>
                              <w:ind w:firstLine="400"/>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2.8pt;margin-top:695pt;height:62.5pt;width:481.9pt;mso-position-horizontal-relative:margin;mso-position-vertical-relative:margin;z-index:251662336;mso-width-relative:page;mso-height-relative:page;" fillcolor="#FFFFFF" filled="t" stroked="f" coordsize="21600,21600" o:gfxdata="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B52H2wAAAA0BAAAPAAAAAAAA&#10;AAEAIAAAACIAAABkcnMvZG93bnJldi54bWxQSwECFAAUAAAACACHTuJAuIcS1A8CAAArBAAADgAA&#10;AAAAAAABACAAAAAqAQAAZHJzL2Uyb0RvYy54bWxQSwUGAAAAAAYABgBZAQAAqwUAAAAA&#10;">
                <v:fill on="t" focussize="0,0"/>
                <v:stroke on="f"/>
                <v:imagedata o:title=""/>
                <o:lock v:ext="edit" aspectratio="f"/>
                <v:textbox inset="0mm,0mm,0mm,0mm">
                  <w:txbxContent>
                    <w:p>
                      <w:pPr>
                        <w:pStyle w:val="39"/>
                        <w:spacing w:line="340" w:lineRule="exact"/>
                        <w:ind w:firstLine="2299" w:firstLineChars="550"/>
                        <w:jc w:val="both"/>
                        <w:rPr>
                          <w:rFonts w:ascii="黑体" w:eastAsia="黑体"/>
                          <w:b w:val="0"/>
                          <w:bCs/>
                          <w:sz w:val="28"/>
                        </w:rPr>
                      </w:pPr>
                    </w:p>
                    <w:p>
                      <w:pPr>
                        <w:pStyle w:val="39"/>
                        <w:spacing w:line="340" w:lineRule="exact"/>
                        <w:rPr>
                          <w:rFonts w:ascii="黑体" w:eastAsia="黑体"/>
                          <w:b w:val="0"/>
                          <w:bCs/>
                          <w:sz w:val="28"/>
                        </w:rPr>
                      </w:pPr>
                    </w:p>
                    <w:p>
                      <w:pPr>
                        <w:pStyle w:val="39"/>
                        <w:spacing w:line="340" w:lineRule="exact"/>
                        <w:rPr>
                          <w:rFonts w:ascii="黑体" w:eastAsia="黑体"/>
                          <w:bCs/>
                          <w:sz w:val="28"/>
                        </w:rPr>
                      </w:pPr>
                      <w:r>
                        <w:rPr>
                          <w:rFonts w:hint="eastAsia" w:ascii="黑体" w:eastAsia="黑体"/>
                          <w:bCs/>
                          <w:sz w:val="28"/>
                        </w:rPr>
                        <w:t>中华人民共和国工业和信息化部　发布</w:t>
                      </w:r>
                    </w:p>
                    <w:p>
                      <w:pPr>
                        <w:pStyle w:val="30"/>
                        <w:ind w:firstLine="400"/>
                      </w:pPr>
                    </w:p>
                    <w:p>
                      <w:pPr>
                        <w:pStyle w:val="30"/>
                        <w:ind w:firstLine="400"/>
                      </w:pPr>
                    </w:p>
                    <w:p>
                      <w:pPr>
                        <w:pStyle w:val="30"/>
                        <w:ind w:firstLine="400"/>
                      </w:pPr>
                    </w:p>
                  </w:txbxContent>
                </v:textbox>
                <w10:anchorlock/>
              </v:shape>
            </w:pict>
          </mc:Fallback>
        </mc:AlternateContent>
      </w:r>
      <w:r>
        <w:rPr>
          <w:rFonts w:ascii="Times New Roman"/>
        </w:rPr>
        <mc:AlternateContent>
          <mc:Choice Requires="wps">
            <w:drawing>
              <wp:anchor distT="0" distB="0" distL="114300" distR="114300" simplePos="0" relativeHeight="251661312" behindDoc="0" locked="1" layoutInCell="1" allowOverlap="1">
                <wp:simplePos x="0" y="0"/>
                <wp:positionH relativeFrom="margin">
                  <wp:posOffset>3823970</wp:posOffset>
                </wp:positionH>
                <wp:positionV relativeFrom="margin">
                  <wp:posOffset>8514080</wp:posOffset>
                </wp:positionV>
                <wp:extent cx="2019300" cy="312420"/>
                <wp:effectExtent l="0" t="0" r="0" b="0"/>
                <wp:wrapNone/>
                <wp:docPr id="5"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jc w:val="right"/>
                              <w:rPr>
                                <w:rFonts w:eastAsia="黑体"/>
                                <w:sz w:val="28"/>
                                <w:szCs w:val="28"/>
                              </w:rPr>
                            </w:pPr>
                            <w:r>
                              <w:rPr>
                                <w:rFonts w:eastAsia="黑体"/>
                                <w:sz w:val="28"/>
                                <w:szCs w:val="28"/>
                              </w:rPr>
                              <w:t xml:space="preserve">202X-XX-XX实施   </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01.1pt;margin-top:670.4pt;height:24.6pt;width:159pt;mso-position-horizontal-relative:margin;mso-position-vertical-relative:margin;z-index:251661312;mso-width-relative:page;mso-height-relative:page;" fillcolor="#FFFFFF" filled="t"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QPaDfYAAAADQEAAA8AAAAAAAAAAQAg&#10;AAAAIgAAAGRycy9kb3ducmV2LnhtbFBLAQIUABQAAAAIAIdO4kAY4FshDgIAACsEAAAOAAAAAAAA&#10;AAEAIAAAACcBAABkcnMvZTJvRG9jLnhtbFBLBQYAAAAABgAGAFkBAACnBQAAAAA=&#10;">
                <v:fill on="t" focussize="0,0"/>
                <v:stroke on="f"/>
                <v:imagedata o:title=""/>
                <o:lock v:ext="edit" aspectratio="f"/>
                <v:textbox inset="0mm,0mm,0mm,0mm">
                  <w:txbxContent>
                    <w:p>
                      <w:pPr>
                        <w:jc w:val="right"/>
                        <w:rPr>
                          <w:rFonts w:eastAsia="黑体"/>
                          <w:sz w:val="28"/>
                          <w:szCs w:val="28"/>
                        </w:rPr>
                      </w:pPr>
                      <w:r>
                        <w:rPr>
                          <w:rFonts w:eastAsia="黑体"/>
                          <w:sz w:val="28"/>
                          <w:szCs w:val="28"/>
                        </w:rPr>
                        <w:t xml:space="preserve">202X-XX-XX实施   </w:t>
                      </w:r>
                    </w:p>
                  </w:txbxContent>
                </v:textbox>
                <w10:anchorlock/>
              </v:shape>
            </w:pict>
          </mc:Fallback>
        </mc:AlternateContent>
      </w:r>
      <w:r>
        <w:rPr>
          <w:rFonts w:ascii="Times New Roman"/>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8516620</wp:posOffset>
                </wp:positionV>
                <wp:extent cx="2019300" cy="312420"/>
                <wp:effectExtent l="0" t="0" r="0" b="0"/>
                <wp:wrapNone/>
                <wp:docPr id="4"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51"/>
                            </w:pPr>
                            <w:r>
                              <w:t>202X-XX-XX发布</w:t>
                            </w:r>
                          </w:p>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0.6pt;height:24.6pt;width:159pt;mso-position-horizontal-relative:margin;mso-position-vertical-relative:margin;z-index:251660288;mso-width-relative:page;mso-height-relative:page;" fillcolor="#FFFFFF" filled="t"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IhpYXYAAAACgEAAA8AAAAAAAAAAQAg&#10;AAAAIgAAAGRycy9kb3ducmV2LnhtbFBLAQIUABQAAAAIAIdO4kDmAhzmDgIAACsEAAAOAAAAAAAA&#10;AAEAIAAAACcBAABkcnMvZTJvRG9jLnhtbFBLBQYAAAAABgAGAFkBAACnBQAAAAA=&#10;">
                <v:fill on="t" focussize="0,0"/>
                <v:stroke on="f"/>
                <v:imagedata o:title=""/>
                <o:lock v:ext="edit" aspectratio="f"/>
                <v:textbox inset="0mm,0mm,0mm,0mm">
                  <w:txbxContent>
                    <w:p>
                      <w:pPr>
                        <w:pStyle w:val="51"/>
                      </w:pPr>
                      <w:r>
                        <w:t>202X-XX-XX发布</w:t>
                      </w:r>
                    </w:p>
                    <w:p/>
                  </w:txbxContent>
                </v:textbox>
                <w10:anchorlock/>
              </v:shape>
            </w:pict>
          </mc:Fallback>
        </mc:AlternateContent>
      </w:r>
      <w:bookmarkStart w:id="15" w:name="_GoBack"/>
      <w:bookmarkEnd w:id="15"/>
      <w:r>
        <w:rPr>
          <w:rFonts w:ascii="Times New Roman"/>
        </w:rPr>
        <mc:AlternateContent>
          <mc:Choice Requires="wps">
            <w:drawing>
              <wp:anchor distT="0" distB="0" distL="114300" distR="114300" simplePos="0" relativeHeight="251659264" behindDoc="0" locked="1" layoutInCell="1" allowOverlap="1">
                <wp:simplePos x="0" y="0"/>
                <wp:positionH relativeFrom="margin">
                  <wp:posOffset>-10795</wp:posOffset>
                </wp:positionH>
                <wp:positionV relativeFrom="margin">
                  <wp:posOffset>2776220</wp:posOffset>
                </wp:positionV>
                <wp:extent cx="6344920" cy="5284470"/>
                <wp:effectExtent l="0" t="0" r="0" b="0"/>
                <wp:wrapNone/>
                <wp:docPr id="1" name="fmFrame4"/>
                <wp:cNvGraphicFramePr/>
                <a:graphic xmlns:a="http://schemas.openxmlformats.org/drawingml/2006/main">
                  <a:graphicData uri="http://schemas.microsoft.com/office/word/2010/wordprocessingShape">
                    <wps:wsp>
                      <wps:cNvSpPr txBox="1">
                        <a:spLocks noChangeArrowheads="1"/>
                      </wps:cNvSpPr>
                      <wps:spPr bwMode="auto">
                        <a:xfrm>
                          <a:off x="0" y="0"/>
                          <a:ext cx="6344920" cy="5284470"/>
                        </a:xfrm>
                        <a:prstGeom prst="rect">
                          <a:avLst/>
                        </a:prstGeom>
                        <a:solidFill>
                          <a:srgbClr val="FFFFFF"/>
                        </a:solidFill>
                        <a:ln>
                          <a:noFill/>
                        </a:ln>
                      </wps:spPr>
                      <wps:txbx>
                        <w:txbxContent>
                          <w:p>
                            <w:pPr>
                              <w:jc w:val="center"/>
                              <w:rPr>
                                <w:rFonts w:eastAsia="黑体"/>
                                <w:sz w:val="52"/>
                              </w:rPr>
                            </w:pPr>
                            <w:r>
                              <w:rPr>
                                <w:rFonts w:eastAsia="黑体"/>
                                <w:sz w:val="52"/>
                              </w:rPr>
                              <w:drawing>
                                <wp:inline distT="0" distB="0" distL="0" distR="0">
                                  <wp:extent cx="6062980" cy="14605"/>
                                  <wp:effectExtent l="0" t="0" r="0" b="0"/>
                                  <wp:docPr id="529608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08842"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062980" cy="14605"/>
                                          </a:xfrm>
                                          <a:prstGeom prst="rect">
                                            <a:avLst/>
                                          </a:prstGeom>
                                          <a:noFill/>
                                          <a:ln>
                                            <a:noFill/>
                                          </a:ln>
                                        </pic:spPr>
                                      </pic:pic>
                                    </a:graphicData>
                                  </a:graphic>
                                </wp:inline>
                              </w:drawing>
                            </w:r>
                          </w:p>
                          <w:p>
                            <w:pPr>
                              <w:jc w:val="center"/>
                              <w:rPr>
                                <w:rFonts w:eastAsia="黑体"/>
                                <w:bCs/>
                                <w:sz w:val="52"/>
                                <w:szCs w:val="72"/>
                              </w:rPr>
                            </w:pPr>
                            <w:r>
                              <w:rPr>
                                <w:rFonts w:eastAsia="黑体"/>
                                <w:bCs/>
                                <w:sz w:val="52"/>
                                <w:szCs w:val="72"/>
                              </w:rPr>
                              <w:t>铋精矿化学分析方法</w:t>
                            </w:r>
                          </w:p>
                          <w:p>
                            <w:pPr>
                              <w:jc w:val="center"/>
                              <w:rPr>
                                <w:rFonts w:eastAsia="黑体"/>
                                <w:bCs/>
                                <w:sz w:val="52"/>
                                <w:szCs w:val="72"/>
                              </w:rPr>
                            </w:pPr>
                            <w:r>
                              <w:rPr>
                                <w:rFonts w:eastAsia="黑体"/>
                                <w:bCs/>
                                <w:sz w:val="52"/>
                                <w:szCs w:val="72"/>
                              </w:rPr>
                              <w:t>第9部分：铜含量的测定</w:t>
                            </w:r>
                          </w:p>
                          <w:p>
                            <w:pPr>
                              <w:spacing w:line="220" w:lineRule="atLeast"/>
                              <w:jc w:val="center"/>
                              <w:rPr>
                                <w:rFonts w:eastAsia="黑体"/>
                                <w:bCs/>
                                <w:sz w:val="52"/>
                                <w:szCs w:val="72"/>
                              </w:rPr>
                            </w:pPr>
                            <w:r>
                              <w:rPr>
                                <w:rFonts w:eastAsia="黑体"/>
                                <w:bCs/>
                                <w:sz w:val="52"/>
                                <w:szCs w:val="72"/>
                              </w:rPr>
                              <w:t>碘量法和火焰</w:t>
                            </w:r>
                            <w:r>
                              <w:rPr>
                                <w:rFonts w:eastAsia="黑体"/>
                                <w:bCs/>
                                <w:color w:val="000000"/>
                                <w:sz w:val="52"/>
                                <w:szCs w:val="72"/>
                              </w:rPr>
                              <w:t>原子吸收光</w:t>
                            </w:r>
                            <w:r>
                              <w:rPr>
                                <w:rFonts w:eastAsia="黑体"/>
                                <w:bCs/>
                                <w:sz w:val="52"/>
                                <w:szCs w:val="72"/>
                              </w:rPr>
                              <w:t>谱法</w:t>
                            </w:r>
                          </w:p>
                          <w:p>
                            <w:pPr>
                              <w:jc w:val="center"/>
                              <w:rPr>
                                <w:bCs/>
                                <w:color w:val="000000"/>
                                <w:sz w:val="28"/>
                              </w:rPr>
                            </w:pPr>
                            <w:r>
                              <w:rPr>
                                <w:bCs/>
                                <w:color w:val="000000"/>
                                <w:sz w:val="28"/>
                              </w:rPr>
                              <w:t>Methods for chemical analysis of bismuth concentrate—</w:t>
                            </w:r>
                          </w:p>
                          <w:p>
                            <w:pPr>
                              <w:jc w:val="center"/>
                              <w:rPr>
                                <w:rFonts w:eastAsia="黑体"/>
                                <w:color w:val="000000"/>
                                <w:sz w:val="28"/>
                              </w:rPr>
                            </w:pPr>
                            <w:r>
                              <w:rPr>
                                <w:rFonts w:eastAsia="黑体"/>
                                <w:color w:val="000000"/>
                                <w:sz w:val="28"/>
                              </w:rPr>
                              <w:t xml:space="preserve">     Part 9：Determination of </w:t>
                            </w:r>
                            <w:r>
                              <w:rPr>
                                <w:rFonts w:eastAsia="黑体"/>
                                <w:kern w:val="0"/>
                                <w:sz w:val="28"/>
                                <w:szCs w:val="28"/>
                              </w:rPr>
                              <w:t>copper</w:t>
                            </w:r>
                            <w:r>
                              <w:rPr>
                                <w:rFonts w:eastAsia="黑体"/>
                                <w:color w:val="000000"/>
                                <w:sz w:val="28"/>
                              </w:rPr>
                              <w:t xml:space="preserve"> content—</w:t>
                            </w:r>
                          </w:p>
                          <w:p>
                            <w:pPr>
                              <w:jc w:val="center"/>
                              <w:rPr>
                                <w:rFonts w:eastAsia="黑体"/>
                                <w:bCs/>
                                <w:sz w:val="28"/>
                                <w:szCs w:val="28"/>
                              </w:rPr>
                            </w:pPr>
                            <w:r>
                              <w:rPr>
                                <w:rFonts w:eastAsia="黑体"/>
                                <w:bCs/>
                                <w:sz w:val="28"/>
                                <w:szCs w:val="28"/>
                              </w:rPr>
                              <w:t xml:space="preserve">Iodine titration method and flame atomic absorption spectrometric method </w:t>
                            </w:r>
                          </w:p>
                          <w:p>
                            <w:pPr>
                              <w:jc w:val="center"/>
                              <w:rPr>
                                <w:rFonts w:eastAsia="黑体"/>
                                <w:color w:val="000000"/>
                                <w:sz w:val="28"/>
                              </w:rPr>
                            </w:pPr>
                          </w:p>
                          <w:p>
                            <w:pPr>
                              <w:tabs>
                                <w:tab w:val="left" w:pos="3822"/>
                                <w:tab w:val="left" w:pos="5400"/>
                              </w:tabs>
                              <w:spacing w:before="50" w:after="50"/>
                              <w:jc w:val="center"/>
                              <w:rPr>
                                <w:rFonts w:eastAsia="仿宋_GB2312"/>
                                <w:spacing w:val="6"/>
                                <w:sz w:val="28"/>
                                <w:szCs w:val="21"/>
                              </w:rPr>
                            </w:pPr>
                            <w:r>
                              <w:rPr>
                                <w:rFonts w:eastAsia="仿宋_GB2312"/>
                                <w:spacing w:val="6"/>
                                <w:sz w:val="28"/>
                                <w:szCs w:val="21"/>
                              </w:rPr>
                              <w:t xml:space="preserve"> (</w:t>
                            </w:r>
                            <w:r>
                              <w:rPr>
                                <w:rFonts w:hint="eastAsia" w:eastAsia="仿宋_GB2312"/>
                                <w:spacing w:val="6"/>
                                <w:sz w:val="28"/>
                                <w:szCs w:val="21"/>
                                <w:lang w:eastAsia="zh-CN"/>
                              </w:rPr>
                              <w:t>送审</w:t>
                            </w:r>
                            <w:r>
                              <w:rPr>
                                <w:rFonts w:hint="eastAsia" w:eastAsia="仿宋_GB2312"/>
                                <w:spacing w:val="6"/>
                                <w:sz w:val="28"/>
                                <w:szCs w:val="21"/>
                              </w:rPr>
                              <w:t>稿</w:t>
                            </w:r>
                            <w:r>
                              <w:rPr>
                                <w:rFonts w:eastAsia="仿宋_GB2312"/>
                                <w:spacing w:val="6"/>
                                <w:sz w:val="28"/>
                                <w:szCs w:val="21"/>
                              </w:rPr>
                              <w:t>)</w:t>
                            </w:r>
                          </w:p>
                          <w:p>
                            <w:pPr>
                              <w:pStyle w:val="47"/>
                              <w:rPr>
                                <w:rFonts w:ascii="Times New Roman"/>
                                <w:b/>
                                <w:sz w:val="30"/>
                              </w:rPr>
                            </w:pPr>
                          </w:p>
                          <w:p>
                            <w:pPr>
                              <w:pStyle w:val="38"/>
                              <w:rPr>
                                <w:rFonts w:ascii="Times New Roman"/>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85pt;margin-top:218.6pt;height:416.1pt;width:499.6pt;mso-position-horizontal-relative:margin;mso-position-vertical-relative:margin;z-index:251659264;mso-width-relative:page;mso-height-relative:page;" fillcolor="#FFFFFF" filled="t" stroked="f" coordsize="21600,21600" o:gfxdata="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Tu7HbAAAACwEAAA8AAAAA&#10;AAAAAQAgAAAAIgAAAGRycy9kb3ducmV2LnhtbFBLAQIUABQAAAAIAIdO4kC9xGZtEQIAACwEAAAO&#10;AAAAAAAAAAEAIAAAACoBAABkcnMvZTJvRG9jLnhtbFBLBQYAAAAABgAGAFkBAACtBQAAAAA=&#10;">
                <v:fill on="t" focussize="0,0"/>
                <v:stroke on="f"/>
                <v:imagedata o:title=""/>
                <o:lock v:ext="edit" aspectratio="f"/>
                <v:textbox inset="0mm,0mm,0mm,0mm">
                  <w:txbxContent>
                    <w:p>
                      <w:pPr>
                        <w:jc w:val="center"/>
                        <w:rPr>
                          <w:rFonts w:eastAsia="黑体"/>
                          <w:sz w:val="52"/>
                        </w:rPr>
                      </w:pPr>
                      <w:r>
                        <w:rPr>
                          <w:rFonts w:eastAsia="黑体"/>
                          <w:sz w:val="52"/>
                        </w:rPr>
                        <w:drawing>
                          <wp:inline distT="0" distB="0" distL="0" distR="0">
                            <wp:extent cx="6062980" cy="14605"/>
                            <wp:effectExtent l="0" t="0" r="0" b="0"/>
                            <wp:docPr id="5296088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08842"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062980" cy="14605"/>
                                    </a:xfrm>
                                    <a:prstGeom prst="rect">
                                      <a:avLst/>
                                    </a:prstGeom>
                                    <a:noFill/>
                                    <a:ln>
                                      <a:noFill/>
                                    </a:ln>
                                  </pic:spPr>
                                </pic:pic>
                              </a:graphicData>
                            </a:graphic>
                          </wp:inline>
                        </w:drawing>
                      </w:r>
                    </w:p>
                    <w:p>
                      <w:pPr>
                        <w:jc w:val="center"/>
                        <w:rPr>
                          <w:rFonts w:eastAsia="黑体"/>
                          <w:bCs/>
                          <w:sz w:val="52"/>
                          <w:szCs w:val="72"/>
                        </w:rPr>
                      </w:pPr>
                      <w:r>
                        <w:rPr>
                          <w:rFonts w:eastAsia="黑体"/>
                          <w:bCs/>
                          <w:sz w:val="52"/>
                          <w:szCs w:val="72"/>
                        </w:rPr>
                        <w:t>铋精矿化学分析方法</w:t>
                      </w:r>
                    </w:p>
                    <w:p>
                      <w:pPr>
                        <w:jc w:val="center"/>
                        <w:rPr>
                          <w:rFonts w:eastAsia="黑体"/>
                          <w:bCs/>
                          <w:sz w:val="52"/>
                          <w:szCs w:val="72"/>
                        </w:rPr>
                      </w:pPr>
                      <w:r>
                        <w:rPr>
                          <w:rFonts w:eastAsia="黑体"/>
                          <w:bCs/>
                          <w:sz w:val="52"/>
                          <w:szCs w:val="72"/>
                        </w:rPr>
                        <w:t>第9部分：铜含量的测定</w:t>
                      </w:r>
                    </w:p>
                    <w:p>
                      <w:pPr>
                        <w:spacing w:line="220" w:lineRule="atLeast"/>
                        <w:jc w:val="center"/>
                        <w:rPr>
                          <w:rFonts w:eastAsia="黑体"/>
                          <w:bCs/>
                          <w:sz w:val="52"/>
                          <w:szCs w:val="72"/>
                        </w:rPr>
                      </w:pPr>
                      <w:r>
                        <w:rPr>
                          <w:rFonts w:eastAsia="黑体"/>
                          <w:bCs/>
                          <w:sz w:val="52"/>
                          <w:szCs w:val="72"/>
                        </w:rPr>
                        <w:t>碘量法和火焰</w:t>
                      </w:r>
                      <w:r>
                        <w:rPr>
                          <w:rFonts w:eastAsia="黑体"/>
                          <w:bCs/>
                          <w:color w:val="000000"/>
                          <w:sz w:val="52"/>
                          <w:szCs w:val="72"/>
                        </w:rPr>
                        <w:t>原子吸收光</w:t>
                      </w:r>
                      <w:r>
                        <w:rPr>
                          <w:rFonts w:eastAsia="黑体"/>
                          <w:bCs/>
                          <w:sz w:val="52"/>
                          <w:szCs w:val="72"/>
                        </w:rPr>
                        <w:t>谱法</w:t>
                      </w:r>
                    </w:p>
                    <w:p>
                      <w:pPr>
                        <w:jc w:val="center"/>
                        <w:rPr>
                          <w:bCs/>
                          <w:color w:val="000000"/>
                          <w:sz w:val="28"/>
                        </w:rPr>
                      </w:pPr>
                      <w:r>
                        <w:rPr>
                          <w:bCs/>
                          <w:color w:val="000000"/>
                          <w:sz w:val="28"/>
                        </w:rPr>
                        <w:t>Methods for chemical analysis of bismuth concentrate—</w:t>
                      </w:r>
                    </w:p>
                    <w:p>
                      <w:pPr>
                        <w:jc w:val="center"/>
                        <w:rPr>
                          <w:rFonts w:eastAsia="黑体"/>
                          <w:color w:val="000000"/>
                          <w:sz w:val="28"/>
                        </w:rPr>
                      </w:pPr>
                      <w:r>
                        <w:rPr>
                          <w:rFonts w:eastAsia="黑体"/>
                          <w:color w:val="000000"/>
                          <w:sz w:val="28"/>
                        </w:rPr>
                        <w:t xml:space="preserve">     Part 9：Determination of </w:t>
                      </w:r>
                      <w:r>
                        <w:rPr>
                          <w:rFonts w:eastAsia="黑体"/>
                          <w:kern w:val="0"/>
                          <w:sz w:val="28"/>
                          <w:szCs w:val="28"/>
                        </w:rPr>
                        <w:t>copper</w:t>
                      </w:r>
                      <w:r>
                        <w:rPr>
                          <w:rFonts w:eastAsia="黑体"/>
                          <w:color w:val="000000"/>
                          <w:sz w:val="28"/>
                        </w:rPr>
                        <w:t xml:space="preserve"> content—</w:t>
                      </w:r>
                    </w:p>
                    <w:p>
                      <w:pPr>
                        <w:jc w:val="center"/>
                        <w:rPr>
                          <w:rFonts w:eastAsia="黑体"/>
                          <w:bCs/>
                          <w:sz w:val="28"/>
                          <w:szCs w:val="28"/>
                        </w:rPr>
                      </w:pPr>
                      <w:r>
                        <w:rPr>
                          <w:rFonts w:eastAsia="黑体"/>
                          <w:bCs/>
                          <w:sz w:val="28"/>
                          <w:szCs w:val="28"/>
                        </w:rPr>
                        <w:t xml:space="preserve">Iodine titration method and flame atomic absorption spectrometric method </w:t>
                      </w:r>
                    </w:p>
                    <w:p>
                      <w:pPr>
                        <w:jc w:val="center"/>
                        <w:rPr>
                          <w:rFonts w:eastAsia="黑体"/>
                          <w:color w:val="000000"/>
                          <w:sz w:val="28"/>
                        </w:rPr>
                      </w:pPr>
                    </w:p>
                    <w:p>
                      <w:pPr>
                        <w:tabs>
                          <w:tab w:val="left" w:pos="3822"/>
                          <w:tab w:val="left" w:pos="5400"/>
                        </w:tabs>
                        <w:spacing w:before="50" w:after="50"/>
                        <w:jc w:val="center"/>
                        <w:rPr>
                          <w:rFonts w:eastAsia="仿宋_GB2312"/>
                          <w:spacing w:val="6"/>
                          <w:sz w:val="28"/>
                          <w:szCs w:val="21"/>
                        </w:rPr>
                      </w:pPr>
                      <w:r>
                        <w:rPr>
                          <w:rFonts w:eastAsia="仿宋_GB2312"/>
                          <w:spacing w:val="6"/>
                          <w:sz w:val="28"/>
                          <w:szCs w:val="21"/>
                        </w:rPr>
                        <w:t xml:space="preserve"> (</w:t>
                      </w:r>
                      <w:r>
                        <w:rPr>
                          <w:rFonts w:hint="eastAsia" w:eastAsia="仿宋_GB2312"/>
                          <w:spacing w:val="6"/>
                          <w:sz w:val="28"/>
                          <w:szCs w:val="21"/>
                          <w:lang w:eastAsia="zh-CN"/>
                        </w:rPr>
                        <w:t>送审</w:t>
                      </w:r>
                      <w:r>
                        <w:rPr>
                          <w:rFonts w:hint="eastAsia" w:eastAsia="仿宋_GB2312"/>
                          <w:spacing w:val="6"/>
                          <w:sz w:val="28"/>
                          <w:szCs w:val="21"/>
                        </w:rPr>
                        <w:t>稿</w:t>
                      </w:r>
                      <w:r>
                        <w:rPr>
                          <w:rFonts w:eastAsia="仿宋_GB2312"/>
                          <w:spacing w:val="6"/>
                          <w:sz w:val="28"/>
                          <w:szCs w:val="21"/>
                        </w:rPr>
                        <w:t>)</w:t>
                      </w:r>
                    </w:p>
                    <w:p>
                      <w:pPr>
                        <w:pStyle w:val="47"/>
                        <w:rPr>
                          <w:rFonts w:ascii="Times New Roman"/>
                          <w:b/>
                          <w:sz w:val="30"/>
                        </w:rPr>
                      </w:pPr>
                    </w:p>
                    <w:p>
                      <w:pPr>
                        <w:pStyle w:val="38"/>
                        <w:rPr>
                          <w:rFonts w:ascii="Times New Roman"/>
                        </w:rPr>
                      </w:pPr>
                    </w:p>
                  </w:txbxContent>
                </v:textbox>
                <w10:anchorlock/>
              </v:shape>
            </w:pict>
          </mc:Fallback>
        </mc:AlternateContent>
      </w:r>
      <w:bookmarkEnd w:id="0"/>
      <w:bookmarkEnd w:id="1"/>
    </w:p>
    <w:p/>
    <w:p/>
    <w:p/>
    <w:p/>
    <w:p/>
    <w:p/>
    <w:p/>
    <w:p/>
    <w:p/>
    <w:p/>
    <w:p/>
    <w:p/>
    <w:p/>
    <w:p/>
    <w:p/>
    <w:p/>
    <w:p/>
    <w:p/>
    <w:p/>
    <w:p/>
    <w:p/>
    <w:p/>
    <w:p/>
    <w:p/>
    <w:p/>
    <w:p/>
    <w:p/>
    <w:p/>
    <w:p/>
    <w:p/>
    <w:p>
      <w:pPr>
        <w:rPr>
          <w:kern w:val="0"/>
          <w:sz w:val="24"/>
        </w:rPr>
      </w:pPr>
    </w:p>
    <w:p/>
    <w:p>
      <w:pPr>
        <w:jc w:val="right"/>
        <w:rPr>
          <w:kern w:val="0"/>
          <w:sz w:val="24"/>
        </w:rPr>
      </w:pPr>
    </w:p>
    <w:p>
      <w:pPr>
        <w:rPr>
          <w:kern w:val="0"/>
          <w:sz w:val="24"/>
        </w:rPr>
      </w:pPr>
    </w:p>
    <w:p>
      <w:pPr>
        <w:sectPr>
          <w:headerReference r:id="rId5" w:type="first"/>
          <w:footerReference r:id="rId8"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p>
    <w:bookmarkEnd w:id="2"/>
    <w:p>
      <w:pPr>
        <w:pStyle w:val="26"/>
        <w:shd w:val="clear" w:color="auto" w:fill="FFFFFF"/>
        <w:tabs>
          <w:tab w:val="clear" w:pos="720"/>
        </w:tabs>
        <w:spacing w:line="340" w:lineRule="exact"/>
        <w:ind w:left="0" w:firstLine="0"/>
        <w:rPr>
          <w:rFonts w:ascii="Times New Roman"/>
          <w:sz w:val="28"/>
          <w:szCs w:val="18"/>
        </w:rPr>
      </w:pPr>
      <w:bookmarkStart w:id="3" w:name="_Toc64356952"/>
      <w:bookmarkStart w:id="4" w:name="_Toc64356673"/>
      <w:bookmarkStart w:id="5" w:name="_Toc64357459"/>
      <w:bookmarkStart w:id="6" w:name="_Toc64356030"/>
      <w:bookmarkStart w:id="7" w:name="SectionMark2"/>
      <w:bookmarkStart w:id="8" w:name="_Toc66237951"/>
      <w:bookmarkStart w:id="9" w:name="_Toc66237718"/>
      <w:bookmarkStart w:id="10" w:name="_Toc64690969"/>
      <w:bookmarkStart w:id="11" w:name="_Toc66238155"/>
      <w:r>
        <w:rPr>
          <w:rFonts w:ascii="Times New Roman"/>
          <w:sz w:val="28"/>
          <w:szCs w:val="18"/>
        </w:rPr>
        <w:t>前 言</w:t>
      </w:r>
    </w:p>
    <w:p>
      <w:pPr>
        <w:ind w:firstLine="420" w:firstLineChars="200"/>
        <w:rPr>
          <w:szCs w:val="21"/>
        </w:rPr>
      </w:pPr>
      <w:r>
        <w:rPr>
          <w:szCs w:val="21"/>
        </w:rPr>
        <w:t>本文件按照GB/T1.1-2020《标准化工作导则 第1部分：标准化文件的结构和起草规则》的规定起草。</w:t>
      </w:r>
    </w:p>
    <w:p>
      <w:pPr>
        <w:ind w:firstLine="420" w:firstLineChars="200"/>
        <w:rPr>
          <w:szCs w:val="21"/>
        </w:rPr>
      </w:pPr>
      <w:r>
        <w:rPr>
          <w:szCs w:val="21"/>
        </w:rPr>
        <w:t>本文件是YS/T 240《铋精矿化学分析方法》的第9部分。YS/T 240-202X 《铋精矿化学分析方法》已经发布了以下各部分：</w:t>
      </w:r>
    </w:p>
    <w:p>
      <w:pPr>
        <w:ind w:firstLine="420" w:firstLineChars="200"/>
        <w:rPr>
          <w:szCs w:val="21"/>
        </w:rPr>
      </w:pPr>
      <w:r>
        <w:rPr>
          <w:szCs w:val="21"/>
        </w:rPr>
        <w:t>——第1部分：铋含量的测定 Na</w:t>
      </w:r>
      <w:r>
        <w:rPr>
          <w:szCs w:val="21"/>
          <w:vertAlign w:val="subscript"/>
        </w:rPr>
        <w:t>2</w:t>
      </w:r>
      <w:r>
        <w:rPr>
          <w:szCs w:val="21"/>
        </w:rPr>
        <w:t>EDTA滴定法；</w:t>
      </w:r>
    </w:p>
    <w:p>
      <w:pPr>
        <w:ind w:firstLine="420" w:firstLineChars="200"/>
        <w:rPr>
          <w:szCs w:val="21"/>
        </w:rPr>
      </w:pPr>
      <w:r>
        <w:rPr>
          <w:szCs w:val="21"/>
        </w:rPr>
        <w:t>——第2部分：铅含量的测定 Na</w:t>
      </w:r>
      <w:r>
        <w:rPr>
          <w:szCs w:val="21"/>
          <w:vertAlign w:val="subscript"/>
        </w:rPr>
        <w:t>2</w:t>
      </w:r>
      <w:r>
        <w:rPr>
          <w:szCs w:val="21"/>
        </w:rPr>
        <w:t>EDTA滴定法和火焰原子吸收光谱法；</w:t>
      </w:r>
    </w:p>
    <w:p>
      <w:pPr>
        <w:ind w:firstLine="420" w:firstLineChars="200"/>
        <w:rPr>
          <w:szCs w:val="21"/>
        </w:rPr>
      </w:pPr>
      <w:r>
        <w:rPr>
          <w:szCs w:val="21"/>
        </w:rPr>
        <w:t>——第3部分：二氧化硅含量的测定 硅钼蓝分光光度法和重量法；</w:t>
      </w:r>
    </w:p>
    <w:p>
      <w:pPr>
        <w:ind w:firstLine="420" w:firstLineChars="200"/>
        <w:rPr>
          <w:szCs w:val="21"/>
        </w:rPr>
      </w:pPr>
      <w:r>
        <w:rPr>
          <w:szCs w:val="21"/>
        </w:rPr>
        <w:t>——第4部分：三氧化钨含量的测定 硫氰酸盐分光光度法；</w:t>
      </w:r>
    </w:p>
    <w:p>
      <w:pPr>
        <w:ind w:firstLine="420" w:firstLineChars="200"/>
        <w:rPr>
          <w:szCs w:val="21"/>
        </w:rPr>
      </w:pPr>
      <w:r>
        <w:rPr>
          <w:szCs w:val="21"/>
        </w:rPr>
        <w:t>——第5部分：钼含量的测定 硫氰酸盐分光光度法；</w:t>
      </w:r>
    </w:p>
    <w:p>
      <w:pPr>
        <w:ind w:firstLine="420" w:firstLineChars="200"/>
        <w:rPr>
          <w:szCs w:val="21"/>
        </w:rPr>
      </w:pPr>
      <w:r>
        <w:rPr>
          <w:szCs w:val="21"/>
        </w:rPr>
        <w:t>——第6部分：铁含量的测定 重铬酸钾滴定法；</w:t>
      </w:r>
    </w:p>
    <w:p>
      <w:pPr>
        <w:ind w:firstLine="420" w:firstLineChars="200"/>
        <w:rPr>
          <w:szCs w:val="21"/>
        </w:rPr>
      </w:pPr>
      <w:r>
        <w:rPr>
          <w:szCs w:val="21"/>
        </w:rPr>
        <w:t>——第7部分：硫含量的测定 燃烧-中和滴定法；</w:t>
      </w:r>
    </w:p>
    <w:p>
      <w:pPr>
        <w:ind w:firstLine="420" w:firstLineChars="200"/>
        <w:rPr>
          <w:szCs w:val="21"/>
        </w:rPr>
      </w:pPr>
      <w:r>
        <w:rPr>
          <w:szCs w:val="21"/>
        </w:rPr>
        <w:t>——第8部分：砷含量的测定 硫酸亚铁铵滴定法和DDTC-Ag分光光度法；</w:t>
      </w:r>
    </w:p>
    <w:p>
      <w:pPr>
        <w:ind w:firstLine="420" w:firstLineChars="200"/>
        <w:rPr>
          <w:szCs w:val="21"/>
        </w:rPr>
      </w:pPr>
      <w:r>
        <w:rPr>
          <w:szCs w:val="21"/>
        </w:rPr>
        <w:t>——第9部分：铜含量的测定 碘量法和火焰原子吸收光谱法；</w:t>
      </w:r>
    </w:p>
    <w:p>
      <w:pPr>
        <w:ind w:firstLine="420" w:firstLineChars="200"/>
        <w:rPr>
          <w:szCs w:val="21"/>
        </w:rPr>
      </w:pPr>
      <w:r>
        <w:rPr>
          <w:szCs w:val="21"/>
        </w:rPr>
        <w:t>——第10部分：三氧化二铝含量的测定 铬天青S光度法和Na</w:t>
      </w:r>
      <w:r>
        <w:rPr>
          <w:szCs w:val="21"/>
          <w:vertAlign w:val="subscript"/>
        </w:rPr>
        <w:t>2</w:t>
      </w:r>
      <w:r>
        <w:rPr>
          <w:szCs w:val="21"/>
        </w:rPr>
        <w:t>EDTA滴定法；</w:t>
      </w:r>
    </w:p>
    <w:p>
      <w:pPr>
        <w:ind w:firstLine="420" w:firstLineChars="200"/>
        <w:rPr>
          <w:szCs w:val="21"/>
        </w:rPr>
      </w:pPr>
      <w:r>
        <w:rPr>
          <w:szCs w:val="21"/>
        </w:rPr>
        <w:t>——第11部分：银和金含量的测定 火焰原子吸收光谱法和火试金法；</w:t>
      </w:r>
    </w:p>
    <w:p>
      <w:pPr>
        <w:ind w:firstLine="420" w:firstLineChars="200"/>
        <w:rPr>
          <w:szCs w:val="21"/>
        </w:rPr>
      </w:pPr>
      <w:r>
        <w:rPr>
          <w:szCs w:val="21"/>
        </w:rPr>
        <w:t>——第12部分：铅、锌、铜、砷、锑和镉含量的测定 电感耦合等离子体原子发射光谱法。</w:t>
      </w:r>
    </w:p>
    <w:p>
      <w:pPr>
        <w:ind w:firstLine="420" w:firstLineChars="200"/>
        <w:rPr>
          <w:szCs w:val="21"/>
        </w:rPr>
      </w:pPr>
      <w:r>
        <w:rPr>
          <w:szCs w:val="21"/>
        </w:rPr>
        <w:t>本文件</w:t>
      </w:r>
      <w:bookmarkStart w:id="12" w:name="_Hlk140178569"/>
      <w:r>
        <w:rPr>
          <w:szCs w:val="21"/>
        </w:rPr>
        <w:t>代替YS/T 240.9-2007</w:t>
      </w:r>
      <w:bookmarkEnd w:id="12"/>
      <w:r>
        <w:rPr>
          <w:szCs w:val="21"/>
        </w:rPr>
        <w:t>《铋精矿化学分析方法 铜量的测定 碘量法和火焰原子吸收光谱法》，与YS/T 240.9-2007相比，除结构调整和编辑性改动外，主要技术变化如下：</w:t>
      </w:r>
    </w:p>
    <w:p>
      <w:pPr>
        <w:ind w:left="420"/>
        <w:rPr>
          <w:szCs w:val="21"/>
        </w:rPr>
      </w:pPr>
      <w:r>
        <w:rPr>
          <w:szCs w:val="21"/>
        </w:rPr>
        <w:t xml:space="preserve">a）增加了标准使用安全警示； </w:t>
      </w:r>
    </w:p>
    <w:p>
      <w:pPr>
        <w:rPr>
          <w:szCs w:val="21"/>
        </w:rPr>
      </w:pPr>
      <w:r>
        <w:rPr>
          <w:szCs w:val="21"/>
        </w:rPr>
        <w:t xml:space="preserve">    b）更改了测定范围（见第1章，2007年版的第1章）；</w:t>
      </w:r>
    </w:p>
    <w:p>
      <w:pPr>
        <w:rPr>
          <w:szCs w:val="21"/>
        </w:rPr>
      </w:pPr>
      <w:r>
        <w:rPr>
          <w:szCs w:val="21"/>
        </w:rPr>
        <w:t xml:space="preserve">    </w:t>
      </w:r>
      <w:r>
        <w:rPr>
          <w:rFonts w:hint="eastAsia"/>
          <w:szCs w:val="21"/>
        </w:rPr>
        <w:t>c</w:t>
      </w:r>
      <w:r>
        <w:rPr>
          <w:szCs w:val="21"/>
        </w:rPr>
        <w:t>）更改了碘量法测定过程（见4.1，2007年版的第2章）。</w:t>
      </w:r>
    </w:p>
    <w:p>
      <w:pPr>
        <w:ind w:firstLine="420" w:firstLineChars="200"/>
        <w:rPr>
          <w:szCs w:val="21"/>
        </w:rPr>
      </w:pPr>
      <w:r>
        <w:rPr>
          <w:szCs w:val="21"/>
        </w:rPr>
        <w:t>请注意本文件的某些内容可能涉及专利。本文件的发布机构不承担识别专利的责任。</w:t>
      </w:r>
    </w:p>
    <w:p>
      <w:pPr>
        <w:ind w:firstLine="420" w:firstLineChars="200"/>
        <w:rPr>
          <w:szCs w:val="21"/>
        </w:rPr>
      </w:pPr>
      <w:r>
        <w:rPr>
          <w:szCs w:val="21"/>
        </w:rPr>
        <w:t>本文件由全国有色金属标准化技术委员会（SAC/TC 243）提出并归口。</w:t>
      </w:r>
    </w:p>
    <w:p>
      <w:pPr>
        <w:ind w:firstLine="420" w:firstLineChars="200"/>
        <w:rPr>
          <w:szCs w:val="21"/>
        </w:rPr>
      </w:pPr>
      <w:r>
        <w:rPr>
          <w:szCs w:val="21"/>
        </w:rPr>
        <w:t>本文件起草单位：广东省科学院工业分析检测中心，</w:t>
      </w:r>
      <w:r>
        <w:rPr>
          <w:rFonts w:hint="eastAsia"/>
          <w:szCs w:val="21"/>
        </w:rPr>
        <w:t>北矿检测技术股份有限公司，铜陵有色金属集团控股有限公司，深圳市中金岭南有色金属股份有限公司，大冶有色设计研究院有限公司，江西铜业股份有限公司江西铜信检验检测有限公司，山西北方铜业有限公司，中国检验认证集团广西有限公司，广西壮族自治区分析测试研究中心，连云港海关综合技术中心，山东恒邦冶炼股份有限公司，五矿铜业（湖南）有限公司，国合通用（青岛）测试评价有限公司，昆明冶金研究院有限公司。</w:t>
      </w:r>
    </w:p>
    <w:p>
      <w:pPr>
        <w:ind w:firstLine="420" w:firstLineChars="200"/>
        <w:rPr>
          <w:szCs w:val="21"/>
        </w:rPr>
      </w:pPr>
      <w:r>
        <w:rPr>
          <w:szCs w:val="21"/>
        </w:rPr>
        <w:t>本文件主要起草人：</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r>
        <w:rPr>
          <w:szCs w:val="21"/>
        </w:rPr>
        <w:t>.</w:t>
      </w:r>
    </w:p>
    <w:p>
      <w:pPr>
        <w:ind w:firstLine="420" w:firstLineChars="200"/>
        <w:rPr>
          <w:szCs w:val="21"/>
        </w:rPr>
      </w:pPr>
      <w:r>
        <w:rPr>
          <w:szCs w:val="21"/>
        </w:rPr>
        <w:t>本文件及其所代替文件的历次版本发布情况为：</w:t>
      </w:r>
    </w:p>
    <w:p>
      <w:pPr>
        <w:ind w:firstLine="420" w:firstLineChars="200"/>
        <w:rPr>
          <w:szCs w:val="21"/>
        </w:rPr>
      </w:pPr>
      <w:r>
        <w:rPr>
          <w:szCs w:val="21"/>
        </w:rPr>
        <w:t>—— 1994年首次发布，2007年第一次修订；</w:t>
      </w:r>
    </w:p>
    <w:p>
      <w:pPr>
        <w:ind w:firstLine="420" w:firstLineChars="200"/>
        <w:rPr>
          <w:sz w:val="24"/>
          <w:szCs w:val="24"/>
        </w:rPr>
      </w:pPr>
      <w:r>
        <w:rPr>
          <w:szCs w:val="21"/>
        </w:rPr>
        <w:t>—— 本次为第2次修订。</w:t>
      </w:r>
    </w:p>
    <w:bookmarkEnd w:id="3"/>
    <w:bookmarkEnd w:id="4"/>
    <w:bookmarkEnd w:id="5"/>
    <w:bookmarkEnd w:id="6"/>
    <w:bookmarkEnd w:id="7"/>
    <w:bookmarkEnd w:id="8"/>
    <w:bookmarkEnd w:id="9"/>
    <w:bookmarkEnd w:id="10"/>
    <w:bookmarkEnd w:id="11"/>
    <w:p>
      <w:pPr>
        <w:jc w:val="center"/>
        <w:rPr>
          <w:rFonts w:eastAsia="黑体"/>
          <w:bCs/>
          <w:sz w:val="28"/>
          <w:szCs w:val="28"/>
          <w:lang w:val="de-DE"/>
        </w:rPr>
      </w:pPr>
    </w:p>
    <w:p>
      <w:pPr>
        <w:jc w:val="center"/>
        <w:rPr>
          <w:rFonts w:eastAsia="黑体"/>
          <w:bCs/>
          <w:sz w:val="28"/>
          <w:szCs w:val="28"/>
          <w:lang w:val="de-DE"/>
        </w:rPr>
      </w:pPr>
      <w:r>
        <w:rPr>
          <w:rFonts w:hint="eastAsia" w:eastAsia="黑体"/>
          <w:bCs/>
          <w:sz w:val="28"/>
          <w:szCs w:val="28"/>
          <w:lang w:val="de-DE"/>
        </w:rPr>
        <w:t>引言</w:t>
      </w:r>
    </w:p>
    <w:p>
      <w:pPr>
        <w:spacing w:line="340" w:lineRule="exact"/>
        <w:ind w:firstLine="420" w:firstLineChars="200"/>
      </w:pPr>
      <w:r>
        <w:rPr>
          <w:rFonts w:hint="eastAsia"/>
        </w:rPr>
        <w:t xml:space="preserve">铋精矿是提炼铋的主要原料，铋精矿化学成分测定方法标准在保证铋精矿产品质量方面发挥着重要作用，该系列方法标准服务于铋精矿的生产、贸易和应用，为我国有色金属行业高质量发展提供技术支撑。YS/T </w:t>
      </w:r>
      <w:r>
        <w:t>240</w:t>
      </w:r>
      <w:r>
        <w:rPr>
          <w:rFonts w:hint="eastAsia"/>
        </w:rPr>
        <w:t>《铋精矿化学分析方法》目的在于描述铋精矿中铋、铅、二氧化硅、三氧化钨、钼、铁、硫、砷、铜、三氧化二铝、银、</w:t>
      </w:r>
      <w:r>
        <w:rPr>
          <w:szCs w:val="21"/>
        </w:rPr>
        <w:t>铅、锌、锑和镉</w:t>
      </w:r>
      <w:r>
        <w:rPr>
          <w:rFonts w:hint="eastAsia"/>
        </w:rPr>
        <w:t>等不同化学元素成分的测定方法。本系列方法在满足行业对铋精矿产品的生产、贸易以及资源回收利用的要求、增加检测结果的可靠性和可比性等方面具有重要意义。</w:t>
      </w:r>
    </w:p>
    <w:p>
      <w:pPr>
        <w:spacing w:line="340" w:lineRule="exact"/>
        <w:ind w:firstLine="420" w:firstLineChars="200"/>
        <w:rPr>
          <w:szCs w:val="21"/>
        </w:rPr>
      </w:pPr>
      <w:r>
        <w:rPr>
          <w:rFonts w:hint="eastAsia"/>
          <w:szCs w:val="21"/>
        </w:rPr>
        <w:t>YS/T 240已经发布了以下部分：</w:t>
      </w:r>
    </w:p>
    <w:p>
      <w:pPr>
        <w:spacing w:line="340" w:lineRule="exact"/>
        <w:ind w:firstLine="420" w:firstLineChars="200"/>
        <w:rPr>
          <w:szCs w:val="21"/>
        </w:rPr>
      </w:pPr>
      <w:r>
        <w:rPr>
          <w:szCs w:val="21"/>
        </w:rPr>
        <w:t>——第1部分：铋含量的测定 Na</w:t>
      </w:r>
      <w:r>
        <w:rPr>
          <w:szCs w:val="21"/>
          <w:vertAlign w:val="subscript"/>
        </w:rPr>
        <w:t>2</w:t>
      </w:r>
      <w:r>
        <w:rPr>
          <w:szCs w:val="21"/>
        </w:rPr>
        <w:t>EDTA滴定法；</w:t>
      </w:r>
    </w:p>
    <w:p>
      <w:pPr>
        <w:spacing w:line="340" w:lineRule="exact"/>
        <w:ind w:firstLine="420" w:firstLineChars="200"/>
        <w:rPr>
          <w:szCs w:val="21"/>
        </w:rPr>
      </w:pPr>
      <w:r>
        <w:rPr>
          <w:szCs w:val="21"/>
        </w:rPr>
        <w:t>——第2部分：铅含量的测定 Na</w:t>
      </w:r>
      <w:r>
        <w:rPr>
          <w:szCs w:val="21"/>
          <w:vertAlign w:val="subscript"/>
        </w:rPr>
        <w:t>2</w:t>
      </w:r>
      <w:r>
        <w:rPr>
          <w:szCs w:val="21"/>
        </w:rPr>
        <w:t>EDTA滴定法和火焰原子吸收光谱法；</w:t>
      </w:r>
    </w:p>
    <w:p>
      <w:pPr>
        <w:spacing w:line="340" w:lineRule="exact"/>
        <w:ind w:firstLine="420" w:firstLineChars="200"/>
        <w:rPr>
          <w:szCs w:val="21"/>
        </w:rPr>
      </w:pPr>
      <w:r>
        <w:rPr>
          <w:szCs w:val="21"/>
        </w:rPr>
        <w:t>——第3部分：二氧化硅含量的测定 硅钼蓝分光光度法和重量法；</w:t>
      </w:r>
    </w:p>
    <w:p>
      <w:pPr>
        <w:spacing w:line="340" w:lineRule="exact"/>
        <w:ind w:firstLine="420" w:firstLineChars="200"/>
        <w:rPr>
          <w:szCs w:val="21"/>
        </w:rPr>
      </w:pPr>
      <w:r>
        <w:rPr>
          <w:szCs w:val="21"/>
        </w:rPr>
        <w:t>——第4部分：三氧化钨含量的测定 硫氰酸盐分光光度法；</w:t>
      </w:r>
    </w:p>
    <w:p>
      <w:pPr>
        <w:spacing w:line="340" w:lineRule="exact"/>
        <w:ind w:firstLine="420" w:firstLineChars="200"/>
        <w:rPr>
          <w:szCs w:val="21"/>
        </w:rPr>
      </w:pPr>
      <w:r>
        <w:rPr>
          <w:szCs w:val="21"/>
        </w:rPr>
        <w:t>——第5部分：钼含量的测定 硫氰酸盐分光光度法；</w:t>
      </w:r>
    </w:p>
    <w:p>
      <w:pPr>
        <w:spacing w:line="340" w:lineRule="exact"/>
        <w:ind w:firstLine="420" w:firstLineChars="200"/>
        <w:rPr>
          <w:szCs w:val="21"/>
        </w:rPr>
      </w:pPr>
      <w:r>
        <w:rPr>
          <w:szCs w:val="21"/>
        </w:rPr>
        <w:t>——第6部分：铁含量的测定 重铬酸钾滴定法；</w:t>
      </w:r>
    </w:p>
    <w:p>
      <w:pPr>
        <w:spacing w:line="340" w:lineRule="exact"/>
        <w:ind w:firstLine="420" w:firstLineChars="200"/>
        <w:rPr>
          <w:szCs w:val="21"/>
        </w:rPr>
      </w:pPr>
      <w:r>
        <w:rPr>
          <w:szCs w:val="21"/>
        </w:rPr>
        <w:t>——第7部分：硫含量的测定 燃烧-中和滴定法；</w:t>
      </w:r>
    </w:p>
    <w:p>
      <w:pPr>
        <w:spacing w:line="340" w:lineRule="exact"/>
        <w:ind w:firstLine="420" w:firstLineChars="200"/>
        <w:rPr>
          <w:szCs w:val="21"/>
        </w:rPr>
      </w:pPr>
      <w:r>
        <w:rPr>
          <w:szCs w:val="21"/>
        </w:rPr>
        <w:t>——第8部分：砷含量的测定 DDTC-Ag分光光度法和硫酸亚铁铵滴定法；</w:t>
      </w:r>
    </w:p>
    <w:p>
      <w:pPr>
        <w:spacing w:line="340" w:lineRule="exact"/>
        <w:ind w:firstLine="420" w:firstLineChars="200"/>
        <w:rPr>
          <w:szCs w:val="21"/>
        </w:rPr>
      </w:pPr>
      <w:r>
        <w:rPr>
          <w:szCs w:val="21"/>
        </w:rPr>
        <w:t>——第9部分：铜含量的测定 碘量法和火焰原子吸收光谱法；</w:t>
      </w:r>
    </w:p>
    <w:p>
      <w:pPr>
        <w:spacing w:line="340" w:lineRule="exact"/>
        <w:ind w:firstLine="420" w:firstLineChars="200"/>
        <w:rPr>
          <w:szCs w:val="21"/>
        </w:rPr>
      </w:pPr>
      <w:r>
        <w:rPr>
          <w:szCs w:val="21"/>
        </w:rPr>
        <w:t>——第10部分：三氧化二铝含量的测定 铬天青S光度法和Na</w:t>
      </w:r>
      <w:r>
        <w:rPr>
          <w:szCs w:val="21"/>
          <w:vertAlign w:val="subscript"/>
        </w:rPr>
        <w:t>2</w:t>
      </w:r>
      <w:r>
        <w:rPr>
          <w:szCs w:val="21"/>
        </w:rPr>
        <w:t>EDTA滴定法；</w:t>
      </w:r>
    </w:p>
    <w:p>
      <w:pPr>
        <w:spacing w:line="340" w:lineRule="exact"/>
        <w:ind w:firstLine="420" w:firstLineChars="200"/>
        <w:rPr>
          <w:szCs w:val="21"/>
        </w:rPr>
      </w:pPr>
      <w:r>
        <w:rPr>
          <w:szCs w:val="21"/>
        </w:rPr>
        <w:t>——第11部分：银和金含量的测定 火焰原子吸收光谱法和火试金法；</w:t>
      </w:r>
    </w:p>
    <w:p>
      <w:pPr>
        <w:spacing w:line="340" w:lineRule="exact"/>
        <w:ind w:firstLine="420" w:firstLineChars="200"/>
        <w:rPr>
          <w:szCs w:val="21"/>
        </w:rPr>
      </w:pPr>
      <w:r>
        <w:rPr>
          <w:szCs w:val="21"/>
        </w:rPr>
        <w:t>——第12部分：铅、锌、铜、砷、锑和镉含量的测定 电感耦合等离子体原子发射光谱法。</w:t>
      </w:r>
    </w:p>
    <w:p>
      <w:pPr>
        <w:spacing w:line="340" w:lineRule="exact"/>
        <w:ind w:firstLine="420" w:firstLineChars="200"/>
        <w:sectPr>
          <w:footerReference r:id="rId9" w:type="default"/>
          <w:footerReference r:id="rId10" w:type="even"/>
          <w:pgSz w:w="11906" w:h="16838"/>
          <w:pgMar w:top="1418" w:right="1134" w:bottom="1440" w:left="1418" w:header="851" w:footer="992" w:gutter="0"/>
          <w:pgNumType w:fmt="upperRoman" w:start="1"/>
          <w:cols w:space="720" w:num="1"/>
          <w:titlePg/>
          <w:docGrid w:type="linesAndChars" w:linePitch="312" w:charSpace="0"/>
        </w:sectPr>
      </w:pPr>
      <w:r>
        <w:rPr>
          <w:rFonts w:hint="eastAsia"/>
        </w:rPr>
        <w:t>本文件描述了采用</w:t>
      </w:r>
      <w:r>
        <w:rPr>
          <w:szCs w:val="21"/>
        </w:rPr>
        <w:t>碘量法和火焰原子吸收光谱法</w:t>
      </w:r>
      <w:r>
        <w:rPr>
          <w:rFonts w:hint="eastAsia"/>
        </w:rPr>
        <w:t>测定铋精矿中铜</w:t>
      </w:r>
      <w:r>
        <w:t>含量</w:t>
      </w:r>
      <w:r>
        <w:rPr>
          <w:rFonts w:hint="eastAsia"/>
        </w:rPr>
        <w:t>的方法，本次修订将铜含量的</w:t>
      </w:r>
      <w:r>
        <w:t>测定范围</w:t>
      </w:r>
      <w:r>
        <w:rPr>
          <w:rFonts w:hint="eastAsia"/>
        </w:rPr>
        <w:t>由0.0</w:t>
      </w:r>
      <w:r>
        <w:t>5</w:t>
      </w:r>
      <w:r>
        <w:rPr>
          <w:rFonts w:hint="eastAsia"/>
        </w:rPr>
        <w:t>0</w:t>
      </w:r>
      <w:r>
        <w:t>%～22.00%扩大到</w:t>
      </w:r>
      <w:r>
        <w:rPr>
          <w:rFonts w:hint="eastAsia"/>
        </w:rPr>
        <w:t>0.0</w:t>
      </w:r>
      <w:r>
        <w:t>5</w:t>
      </w:r>
      <w:r>
        <w:rPr>
          <w:rFonts w:hint="eastAsia"/>
        </w:rPr>
        <w:t>0</w:t>
      </w:r>
      <w:r>
        <w:t>%～25.00%</w:t>
      </w:r>
      <w:r>
        <w:rPr>
          <w:rFonts w:hint="eastAsia"/>
        </w:rPr>
        <w:t>，同时，</w:t>
      </w:r>
      <w:r>
        <w:t>在</w:t>
      </w:r>
      <w:r>
        <w:rPr>
          <w:rFonts w:hint="eastAsia"/>
        </w:rPr>
        <w:t>碘量法测定铜含量的过程</w:t>
      </w:r>
      <w:r>
        <w:t>中</w:t>
      </w:r>
      <w:r>
        <w:rPr>
          <w:rFonts w:hint="eastAsia"/>
        </w:rPr>
        <w:t>采用</w:t>
      </w:r>
      <w:r>
        <w:rPr>
          <w:szCs w:val="21"/>
        </w:rPr>
        <w:t>加入氢溴酸除去砷等干扰元素后</w:t>
      </w:r>
      <w:r>
        <w:rPr>
          <w:rFonts w:hint="eastAsia"/>
          <w:szCs w:val="21"/>
        </w:rPr>
        <w:t>再</w:t>
      </w:r>
      <w:r>
        <w:rPr>
          <w:szCs w:val="21"/>
        </w:rPr>
        <w:t>用氨水沉淀分离其他干扰元素</w:t>
      </w:r>
      <w:r>
        <w:rPr>
          <w:rFonts w:hint="eastAsia"/>
          <w:szCs w:val="21"/>
        </w:rPr>
        <w:t>的方法</w:t>
      </w:r>
      <w:r>
        <w:rPr>
          <w:rFonts w:hint="eastAsia"/>
        </w:rPr>
        <w:t>提高了铋精矿中铜含量测定的准确性，对贸易结算和指导生产以及资源回收利用具有重要的现实性和必要性。</w:t>
      </w:r>
    </w:p>
    <w:p>
      <w:pPr>
        <w:spacing w:line="500" w:lineRule="exact"/>
        <w:jc w:val="center"/>
        <w:rPr>
          <w:rFonts w:eastAsia="黑体"/>
          <w:bCs/>
          <w:sz w:val="28"/>
          <w:szCs w:val="28"/>
        </w:rPr>
      </w:pPr>
      <w:r>
        <w:rPr>
          <w:rFonts w:eastAsia="黑体"/>
          <w:bCs/>
          <w:sz w:val="28"/>
          <w:szCs w:val="28"/>
        </w:rPr>
        <w:t>铋精矿化学分析方法</w:t>
      </w:r>
    </w:p>
    <w:p>
      <w:pPr>
        <w:spacing w:line="500" w:lineRule="exact"/>
        <w:jc w:val="center"/>
        <w:rPr>
          <w:rFonts w:eastAsia="黑体"/>
          <w:bCs/>
          <w:sz w:val="28"/>
          <w:szCs w:val="28"/>
        </w:rPr>
      </w:pPr>
      <w:r>
        <w:rPr>
          <w:rFonts w:eastAsia="黑体"/>
          <w:bCs/>
          <w:sz w:val="28"/>
          <w:szCs w:val="28"/>
        </w:rPr>
        <w:t>第9部分：铜含量的测定</w:t>
      </w:r>
    </w:p>
    <w:p>
      <w:pPr>
        <w:spacing w:line="500" w:lineRule="exact"/>
        <w:jc w:val="center"/>
        <w:rPr>
          <w:rFonts w:eastAsia="黑体"/>
          <w:bCs/>
          <w:sz w:val="28"/>
          <w:szCs w:val="28"/>
        </w:rPr>
      </w:pPr>
      <w:bookmarkStart w:id="13" w:name="_Hlk140180215"/>
      <w:r>
        <w:rPr>
          <w:rFonts w:hint="eastAsia" w:eastAsia="黑体"/>
          <w:bCs/>
          <w:sz w:val="28"/>
          <w:szCs w:val="28"/>
        </w:rPr>
        <w:t>碘量法</w:t>
      </w:r>
      <w:bookmarkEnd w:id="13"/>
      <w:r>
        <w:rPr>
          <w:rFonts w:hint="eastAsia" w:eastAsia="黑体"/>
          <w:bCs/>
          <w:sz w:val="28"/>
          <w:szCs w:val="28"/>
        </w:rPr>
        <w:t>和火焰原子吸收光谱法</w:t>
      </w:r>
    </w:p>
    <w:p>
      <w:pPr>
        <w:spacing w:before="156" w:beforeLines="50"/>
        <w:ind w:firstLine="420" w:firstLineChars="200"/>
        <w:rPr>
          <w:rFonts w:eastAsia="黑体"/>
          <w:bCs/>
          <w:szCs w:val="21"/>
        </w:rPr>
      </w:pPr>
      <w:r>
        <w:rPr>
          <w:rFonts w:eastAsia="黑体"/>
          <w:bCs/>
          <w:szCs w:val="21"/>
        </w:rPr>
        <w:t>警示——使用本文件的人员应有正规实验室工作的实践经验。本文件并未指出所有可能的安全问题。使用者有责任采取适当的安全和健康措施，并保证符合国家相关法规规定的条件。</w:t>
      </w:r>
    </w:p>
    <w:p>
      <w:pPr>
        <w:autoSpaceDE w:val="0"/>
        <w:autoSpaceDN w:val="0"/>
        <w:adjustRightInd w:val="0"/>
        <w:spacing w:line="360" w:lineRule="auto"/>
        <w:rPr>
          <w:rFonts w:ascii="黑体" w:hAnsi="黑体" w:eastAsia="黑体"/>
          <w:kern w:val="0"/>
          <w:szCs w:val="21"/>
        </w:rPr>
      </w:pPr>
      <w:r>
        <w:rPr>
          <w:rFonts w:ascii="黑体" w:hAnsi="黑体" w:eastAsia="黑体"/>
          <w:kern w:val="0"/>
          <w:szCs w:val="21"/>
        </w:rPr>
        <w:t>1 范围</w:t>
      </w:r>
    </w:p>
    <w:p>
      <w:pPr>
        <w:autoSpaceDE w:val="0"/>
        <w:autoSpaceDN w:val="0"/>
        <w:ind w:firstLine="420" w:firstLineChars="200"/>
        <w:rPr>
          <w:szCs w:val="21"/>
        </w:rPr>
      </w:pPr>
      <w:r>
        <w:rPr>
          <w:szCs w:val="21"/>
        </w:rPr>
        <w:t>本文件</w:t>
      </w:r>
      <w:r>
        <w:rPr>
          <w:rFonts w:hint="eastAsia"/>
          <w:szCs w:val="21"/>
        </w:rPr>
        <w:t>描述</w:t>
      </w:r>
      <w:r>
        <w:rPr>
          <w:szCs w:val="21"/>
        </w:rPr>
        <w:t>了铋精矿中铜含量的测定方法。</w:t>
      </w:r>
    </w:p>
    <w:p>
      <w:pPr>
        <w:autoSpaceDE w:val="0"/>
        <w:autoSpaceDN w:val="0"/>
        <w:ind w:firstLine="420" w:firstLineChars="200"/>
        <w:rPr>
          <w:szCs w:val="21"/>
        </w:rPr>
      </w:pPr>
      <w:r>
        <w:rPr>
          <w:szCs w:val="21"/>
        </w:rPr>
        <w:t>本文件适用于铋精矿中铜含量的测定。</w:t>
      </w:r>
      <w:r>
        <w:rPr>
          <w:rFonts w:hint="eastAsia"/>
          <w:szCs w:val="21"/>
        </w:rPr>
        <w:t>方法一</w:t>
      </w:r>
      <w:r>
        <w:rPr>
          <w:szCs w:val="21"/>
        </w:rPr>
        <w:t>碘量法测定铜测定范围：</w:t>
      </w:r>
      <w:r>
        <w:rPr>
          <w:rFonts w:hint="eastAsia"/>
          <w:szCs w:val="21"/>
        </w:rPr>
        <w:t>&gt;</w:t>
      </w:r>
      <w:r>
        <w:rPr>
          <w:szCs w:val="21"/>
        </w:rPr>
        <w:t>5.00 %~25.00 %；</w:t>
      </w:r>
      <w:r>
        <w:rPr>
          <w:rFonts w:hint="eastAsia"/>
          <w:szCs w:val="21"/>
        </w:rPr>
        <w:t>方法二</w:t>
      </w:r>
      <w:r>
        <w:rPr>
          <w:szCs w:val="21"/>
        </w:rPr>
        <w:t>火焰原子吸收光谱法测定铜测定范围：0.050 %～5.00 %。</w:t>
      </w:r>
    </w:p>
    <w:p>
      <w:pPr>
        <w:autoSpaceDE w:val="0"/>
        <w:autoSpaceDN w:val="0"/>
        <w:adjustRightInd w:val="0"/>
        <w:spacing w:line="360" w:lineRule="auto"/>
        <w:rPr>
          <w:rFonts w:ascii="黑体" w:hAnsi="黑体" w:eastAsia="黑体"/>
          <w:kern w:val="0"/>
          <w:szCs w:val="21"/>
        </w:rPr>
      </w:pPr>
      <w:r>
        <w:rPr>
          <w:rFonts w:ascii="黑体" w:hAnsi="黑体" w:eastAsia="黑体"/>
          <w:bCs/>
          <w:szCs w:val="21"/>
        </w:rPr>
        <w:t xml:space="preserve">2 </w:t>
      </w:r>
      <w:r>
        <w:rPr>
          <w:rFonts w:ascii="黑体" w:hAnsi="黑体" w:eastAsia="黑体"/>
          <w:kern w:val="0"/>
          <w:szCs w:val="21"/>
        </w:rPr>
        <w:t>规范性引用文件</w:t>
      </w:r>
    </w:p>
    <w:p>
      <w:pPr>
        <w:ind w:firstLine="420" w:firstLineChars="200"/>
        <w:rPr>
          <w:rFonts w:ascii="宋体" w:hAnsi="宋体"/>
          <w:bCs/>
          <w:szCs w:val="21"/>
        </w:rPr>
      </w:pPr>
      <w:r>
        <w:rPr>
          <w:rFonts w:hint="eastAsia" w:ascii="宋体" w:hAnsi="宋体"/>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ind w:firstLine="420" w:firstLineChars="200"/>
        <w:rPr>
          <w:rFonts w:ascii="宋体" w:hAnsi="宋体"/>
          <w:bCs/>
          <w:szCs w:val="21"/>
        </w:rPr>
      </w:pPr>
      <w:r>
        <w:rPr>
          <w:rFonts w:hint="eastAsia" w:ascii="宋体" w:hAnsi="宋体"/>
          <w:bCs/>
          <w:szCs w:val="21"/>
        </w:rPr>
        <w:t xml:space="preserve">GB/T </w:t>
      </w:r>
      <w:r>
        <w:rPr>
          <w:rFonts w:ascii="宋体" w:hAnsi="宋体"/>
          <w:bCs/>
          <w:szCs w:val="21"/>
        </w:rPr>
        <w:t>6682 </w:t>
      </w:r>
      <w:r>
        <w:rPr>
          <w:rFonts w:hint="eastAsia" w:ascii="宋体" w:hAnsi="宋体"/>
          <w:bCs/>
          <w:szCs w:val="21"/>
        </w:rPr>
        <w:t>分析实验</w:t>
      </w:r>
      <w:r>
        <w:rPr>
          <w:rFonts w:ascii="宋体" w:hAnsi="宋体"/>
          <w:bCs/>
          <w:szCs w:val="21"/>
        </w:rPr>
        <w:t>室用水规格和试验方法</w:t>
      </w:r>
      <w:r>
        <w:rPr>
          <w:rFonts w:hint="eastAsia" w:ascii="宋体" w:hAnsi="宋体"/>
          <w:bCs/>
          <w:szCs w:val="21"/>
        </w:rPr>
        <w:t>。</w:t>
      </w:r>
    </w:p>
    <w:p>
      <w:pPr>
        <w:autoSpaceDE w:val="0"/>
        <w:autoSpaceDN w:val="0"/>
        <w:adjustRightInd w:val="0"/>
        <w:spacing w:line="360" w:lineRule="auto"/>
        <w:rPr>
          <w:rFonts w:ascii="黑体" w:hAnsi="黑体" w:eastAsia="黑体"/>
          <w:kern w:val="0"/>
          <w:szCs w:val="21"/>
        </w:rPr>
      </w:pPr>
      <w:r>
        <w:rPr>
          <w:rFonts w:ascii="黑体" w:hAnsi="黑体" w:eastAsia="黑体"/>
          <w:bCs/>
          <w:szCs w:val="21"/>
        </w:rPr>
        <w:t xml:space="preserve">3 </w:t>
      </w:r>
      <w:r>
        <w:rPr>
          <w:rFonts w:ascii="黑体" w:hAnsi="黑体" w:eastAsia="黑体"/>
          <w:kern w:val="0"/>
          <w:szCs w:val="21"/>
        </w:rPr>
        <w:t>术语和定义</w:t>
      </w:r>
    </w:p>
    <w:p>
      <w:pPr>
        <w:autoSpaceDE w:val="0"/>
        <w:autoSpaceDN w:val="0"/>
        <w:adjustRightInd w:val="0"/>
        <w:ind w:firstLine="420" w:firstLineChars="200"/>
        <w:rPr>
          <w:rFonts w:eastAsia="黑体"/>
          <w:kern w:val="0"/>
          <w:szCs w:val="21"/>
        </w:rPr>
      </w:pPr>
      <w:r>
        <w:rPr>
          <w:kern w:val="0"/>
          <w:szCs w:val="21"/>
        </w:rPr>
        <w:t>本文件没有需要界定的术语和定义。</w:t>
      </w:r>
    </w:p>
    <w:p>
      <w:pPr>
        <w:autoSpaceDE w:val="0"/>
        <w:autoSpaceDN w:val="0"/>
        <w:adjustRightInd w:val="0"/>
        <w:spacing w:line="360" w:lineRule="auto"/>
        <w:rPr>
          <w:rFonts w:ascii="黑体" w:hAnsi="黑体" w:eastAsia="黑体"/>
          <w:bCs/>
          <w:szCs w:val="21"/>
        </w:rPr>
      </w:pPr>
      <w:r>
        <w:rPr>
          <w:rFonts w:ascii="黑体" w:hAnsi="黑体" w:eastAsia="黑体"/>
          <w:bCs/>
          <w:szCs w:val="21"/>
        </w:rPr>
        <w:t xml:space="preserve">4 </w:t>
      </w:r>
      <w:r>
        <w:rPr>
          <w:rFonts w:hint="eastAsia" w:ascii="黑体" w:hAnsi="黑体" w:eastAsia="黑体"/>
          <w:bCs/>
          <w:szCs w:val="21"/>
        </w:rPr>
        <w:t>碘量法</w:t>
      </w:r>
    </w:p>
    <w:p>
      <w:pPr>
        <w:autoSpaceDE w:val="0"/>
        <w:autoSpaceDN w:val="0"/>
        <w:adjustRightInd w:val="0"/>
        <w:spacing w:line="360" w:lineRule="auto"/>
        <w:rPr>
          <w:rFonts w:ascii="黑体" w:hAnsi="黑体" w:eastAsia="黑体"/>
          <w:bCs/>
          <w:szCs w:val="21"/>
        </w:rPr>
      </w:pPr>
      <w:r>
        <w:rPr>
          <w:rFonts w:hint="eastAsia" w:ascii="黑体" w:hAnsi="黑体" w:eastAsia="黑体"/>
          <w:bCs/>
          <w:szCs w:val="21"/>
        </w:rPr>
        <w:t>4</w:t>
      </w:r>
      <w:r>
        <w:rPr>
          <w:rFonts w:ascii="黑体" w:hAnsi="黑体" w:eastAsia="黑体"/>
          <w:bCs/>
          <w:szCs w:val="21"/>
        </w:rPr>
        <w:t xml:space="preserve">.1 </w:t>
      </w:r>
      <w:r>
        <w:rPr>
          <w:rFonts w:hint="eastAsia" w:ascii="黑体" w:hAnsi="黑体" w:eastAsia="黑体"/>
          <w:bCs/>
          <w:szCs w:val="21"/>
        </w:rPr>
        <w:t>原理</w:t>
      </w:r>
    </w:p>
    <w:p>
      <w:pPr>
        <w:ind w:firstLine="420" w:firstLineChars="200"/>
        <w:rPr>
          <w:szCs w:val="21"/>
        </w:rPr>
      </w:pPr>
      <w:r>
        <w:rPr>
          <w:szCs w:val="21"/>
        </w:rPr>
        <w:t>试料用盐酸</w:t>
      </w:r>
      <w:r>
        <w:rPr>
          <w:rFonts w:hint="eastAsia"/>
          <w:szCs w:val="21"/>
        </w:rPr>
        <w:t>、氟化氢铵</w:t>
      </w:r>
      <w:r>
        <w:rPr>
          <w:szCs w:val="21"/>
        </w:rPr>
        <w:t>和硝</w:t>
      </w:r>
      <w:r>
        <w:rPr>
          <w:rFonts w:hint="eastAsia"/>
          <w:szCs w:val="21"/>
        </w:rPr>
        <w:t>酸-</w:t>
      </w:r>
      <w:r>
        <w:rPr>
          <w:szCs w:val="21"/>
        </w:rPr>
        <w:t>硫</w:t>
      </w:r>
      <w:r>
        <w:rPr>
          <w:rFonts w:hint="eastAsia"/>
          <w:szCs w:val="21"/>
        </w:rPr>
        <w:t>酸</w:t>
      </w:r>
      <w:r>
        <w:rPr>
          <w:szCs w:val="21"/>
        </w:rPr>
        <w:t>混</w:t>
      </w:r>
      <w:r>
        <w:rPr>
          <w:rFonts w:hint="eastAsia"/>
          <w:szCs w:val="21"/>
        </w:rPr>
        <w:t>合</w:t>
      </w:r>
      <w:r>
        <w:rPr>
          <w:szCs w:val="21"/>
        </w:rPr>
        <w:t>酸分解，加入氢溴酸除去砷等干扰元素后用氨水沉淀分离其他干扰元素。调节溶液pH</w:t>
      </w:r>
      <w:r>
        <w:rPr>
          <w:rFonts w:hint="eastAsia"/>
          <w:szCs w:val="21"/>
        </w:rPr>
        <w:t>为</w:t>
      </w:r>
      <w:r>
        <w:rPr>
          <w:szCs w:val="21"/>
        </w:rPr>
        <w:t>3.0</w:t>
      </w:r>
      <w:r>
        <w:rPr>
          <w:rFonts w:hint="eastAsia"/>
          <w:szCs w:val="21"/>
        </w:rPr>
        <w:t>~</w:t>
      </w:r>
      <w:r>
        <w:rPr>
          <w:szCs w:val="21"/>
        </w:rPr>
        <w:t xml:space="preserve"> 4.0，加入碘化钾与二价铜作用析出碘，析出的碘以淀粉为指示剂，用硫代硫酸钠标准滴定溶液滴定至终点。根据消耗的硫代硫酸钠标准滴定溶液的体积，计算得到试料中铜的质量分数。</w:t>
      </w:r>
    </w:p>
    <w:p>
      <w:pPr>
        <w:autoSpaceDE w:val="0"/>
        <w:autoSpaceDN w:val="0"/>
        <w:adjustRightInd w:val="0"/>
        <w:spacing w:line="360" w:lineRule="auto"/>
        <w:rPr>
          <w:rFonts w:ascii="黑体" w:hAnsi="黑体" w:eastAsia="黑体"/>
          <w:bCs/>
          <w:szCs w:val="21"/>
        </w:rPr>
      </w:pPr>
      <w:r>
        <w:rPr>
          <w:rFonts w:ascii="黑体" w:hAnsi="黑体" w:eastAsia="黑体"/>
          <w:bCs/>
          <w:szCs w:val="21"/>
        </w:rPr>
        <w:t>4.2 试剂</w:t>
      </w:r>
    </w:p>
    <w:p>
      <w:pPr>
        <w:autoSpaceDE w:val="0"/>
        <w:autoSpaceDN w:val="0"/>
        <w:adjustRightInd w:val="0"/>
        <w:ind w:firstLine="411" w:firstLineChars="196"/>
        <w:rPr>
          <w:kern w:val="0"/>
          <w:szCs w:val="21"/>
        </w:rPr>
      </w:pPr>
      <w:r>
        <w:rPr>
          <w:kern w:val="0"/>
          <w:szCs w:val="21"/>
        </w:rPr>
        <w:t>除非另有说明，在分析中仅使用确认为分析纯的试剂。</w:t>
      </w:r>
    </w:p>
    <w:p>
      <w:pPr>
        <w:rPr>
          <w:rFonts w:ascii="宋体" w:hAnsi="宋体"/>
          <w:bCs/>
          <w:szCs w:val="21"/>
        </w:rPr>
      </w:pPr>
      <w:r>
        <w:rPr>
          <w:rFonts w:ascii="黑体" w:hAnsi="黑体" w:eastAsia="黑体"/>
          <w:kern w:val="1"/>
          <w:szCs w:val="21"/>
        </w:rPr>
        <w:t>4.2.1</w:t>
      </w:r>
      <w:r>
        <w:rPr>
          <w:kern w:val="1"/>
          <w:szCs w:val="21"/>
        </w:rPr>
        <w:t xml:space="preserve">  </w:t>
      </w:r>
      <w:r>
        <w:rPr>
          <w:rFonts w:hint="eastAsia" w:ascii="宋体" w:hAnsi="宋体"/>
          <w:bCs/>
          <w:szCs w:val="21"/>
        </w:rPr>
        <w:t>水，GB/T</w:t>
      </w:r>
      <w:r>
        <w:rPr>
          <w:rFonts w:hint="eastAsia" w:ascii="MS Gothic" w:hAnsi="MS Gothic" w:eastAsia="MS Gothic" w:cs="MS Gothic"/>
          <w:bCs/>
          <w:szCs w:val="21"/>
        </w:rPr>
        <w:t> </w:t>
      </w:r>
      <w:r>
        <w:rPr>
          <w:rFonts w:hint="eastAsia" w:ascii="宋体" w:hAnsi="宋体"/>
          <w:bCs/>
          <w:szCs w:val="21"/>
        </w:rPr>
        <w:t>6682，二级。</w:t>
      </w:r>
    </w:p>
    <w:p>
      <w:pPr>
        <w:rPr>
          <w:kern w:val="1"/>
          <w:szCs w:val="21"/>
        </w:rPr>
      </w:pPr>
      <w:r>
        <w:rPr>
          <w:rFonts w:ascii="黑体" w:hAnsi="黑体" w:eastAsia="黑体"/>
          <w:kern w:val="1"/>
          <w:szCs w:val="21"/>
        </w:rPr>
        <w:t>4.2.2</w:t>
      </w:r>
      <w:r>
        <w:rPr>
          <w:rFonts w:ascii="宋体" w:hAnsi="宋体"/>
          <w:bCs/>
          <w:szCs w:val="21"/>
        </w:rPr>
        <w:t xml:space="preserve">  </w:t>
      </w:r>
      <w:r>
        <w:rPr>
          <w:kern w:val="1"/>
          <w:szCs w:val="21"/>
        </w:rPr>
        <w:t>金属铜（</w:t>
      </w:r>
      <w:r>
        <w:rPr>
          <w:i/>
          <w:szCs w:val="21"/>
        </w:rPr>
        <w:t>w</w:t>
      </w:r>
      <w:r>
        <w:rPr>
          <w:i/>
          <w:szCs w:val="21"/>
          <w:vertAlign w:val="subscript"/>
        </w:rPr>
        <w:t>Cu</w:t>
      </w:r>
      <w:r>
        <w:rPr>
          <w:szCs w:val="21"/>
        </w:rPr>
        <w:t>≥99.99 %</w:t>
      </w:r>
      <w:r>
        <w:rPr>
          <w:kern w:val="1"/>
          <w:szCs w:val="21"/>
        </w:rPr>
        <w:t>）：将金属铜放入适量冰醋酸溶液（4.2.3）中，加热微沸1 min，取下，冷却。将金属铜从冰醋酸溶液（4.2.3）中取出，用水冲洗2次以上，再用无水乙醇冲洗2次，在已升温至45 ℃~55 ℃的烘箱中烘4 min，取出，置于磨口瓶中冷却，备用。</w:t>
      </w:r>
    </w:p>
    <w:p>
      <w:pPr>
        <w:rPr>
          <w:szCs w:val="21"/>
        </w:rPr>
      </w:pPr>
      <w:r>
        <w:rPr>
          <w:rFonts w:ascii="黑体" w:hAnsi="黑体" w:eastAsia="黑体"/>
          <w:kern w:val="1"/>
          <w:szCs w:val="21"/>
        </w:rPr>
        <w:t xml:space="preserve">4.2.3 </w:t>
      </w:r>
      <w:r>
        <w:rPr>
          <w:kern w:val="1"/>
          <w:szCs w:val="21"/>
        </w:rPr>
        <w:t xml:space="preserve"> </w:t>
      </w:r>
      <w:r>
        <w:rPr>
          <w:szCs w:val="21"/>
        </w:rPr>
        <w:t>碘化钾。</w:t>
      </w:r>
    </w:p>
    <w:p>
      <w:pPr>
        <w:rPr>
          <w:szCs w:val="21"/>
        </w:rPr>
      </w:pPr>
      <w:r>
        <w:rPr>
          <w:rFonts w:ascii="黑体" w:hAnsi="黑体" w:eastAsia="黑体"/>
          <w:szCs w:val="21"/>
        </w:rPr>
        <w:t>4.2.4</w:t>
      </w:r>
      <w:r>
        <w:rPr>
          <w:szCs w:val="21"/>
        </w:rPr>
        <w:t xml:space="preserve">  冰醋酸（</w:t>
      </w:r>
      <w:r>
        <w:rPr>
          <w:i/>
          <w:iCs/>
          <w:kern w:val="1"/>
          <w:szCs w:val="21"/>
        </w:rPr>
        <w:t>ρ</w:t>
      </w:r>
      <w:r>
        <w:rPr>
          <w:kern w:val="1"/>
          <w:szCs w:val="21"/>
        </w:rPr>
        <w:t>=1.05 g/mL</w:t>
      </w:r>
      <w:r>
        <w:rPr>
          <w:szCs w:val="21"/>
        </w:rPr>
        <w:t>）。。</w:t>
      </w:r>
    </w:p>
    <w:p>
      <w:pPr>
        <w:rPr>
          <w:kern w:val="1"/>
          <w:szCs w:val="21"/>
        </w:rPr>
      </w:pPr>
      <w:r>
        <w:rPr>
          <w:rFonts w:ascii="黑体" w:hAnsi="黑体" w:eastAsia="黑体"/>
          <w:szCs w:val="21"/>
        </w:rPr>
        <w:t xml:space="preserve">4.2.5  </w:t>
      </w:r>
      <w:r>
        <w:rPr>
          <w:szCs w:val="21"/>
        </w:rPr>
        <w:t>盐酸（</w:t>
      </w:r>
      <w:r>
        <w:rPr>
          <w:i/>
          <w:iCs/>
          <w:szCs w:val="21"/>
        </w:rPr>
        <w:t>ρ</w:t>
      </w:r>
      <w:r>
        <w:rPr>
          <w:szCs w:val="21"/>
        </w:rPr>
        <w:t xml:space="preserve">=1.19 </w:t>
      </w:r>
      <w:r>
        <w:rPr>
          <w:szCs w:val="21"/>
          <w:shd w:val="clear" w:color="auto" w:fill="FFFFEE"/>
        </w:rPr>
        <w:t>g/mL</w:t>
      </w:r>
      <w:r>
        <w:rPr>
          <w:szCs w:val="21"/>
        </w:rPr>
        <w:t>）。</w:t>
      </w:r>
    </w:p>
    <w:p>
      <w:pPr>
        <w:rPr>
          <w:szCs w:val="21"/>
        </w:rPr>
      </w:pPr>
      <w:r>
        <w:rPr>
          <w:rFonts w:ascii="黑体" w:hAnsi="黑体" w:eastAsia="黑体"/>
          <w:szCs w:val="21"/>
        </w:rPr>
        <w:t xml:space="preserve">4.2.6  </w:t>
      </w:r>
      <w:r>
        <w:rPr>
          <w:szCs w:val="21"/>
        </w:rPr>
        <w:t>硝酸（</w:t>
      </w:r>
      <w:r>
        <w:rPr>
          <w:i/>
          <w:iCs/>
          <w:szCs w:val="21"/>
        </w:rPr>
        <w:t>ρ</w:t>
      </w:r>
      <w:r>
        <w:rPr>
          <w:szCs w:val="21"/>
        </w:rPr>
        <w:t>=1.42</w:t>
      </w:r>
      <w:r>
        <w:rPr>
          <w:szCs w:val="21"/>
          <w:shd w:val="clear" w:color="auto" w:fill="FFFFEE"/>
        </w:rPr>
        <w:t xml:space="preserve"> g/mL</w:t>
      </w:r>
      <w:r>
        <w:rPr>
          <w:szCs w:val="21"/>
        </w:rPr>
        <w:t>）。</w:t>
      </w:r>
    </w:p>
    <w:p>
      <w:pPr>
        <w:rPr>
          <w:szCs w:val="21"/>
        </w:rPr>
      </w:pPr>
      <w:r>
        <w:rPr>
          <w:rFonts w:ascii="黑体" w:hAnsi="黑体" w:eastAsia="黑体"/>
          <w:szCs w:val="21"/>
        </w:rPr>
        <w:t>4.2.7</w:t>
      </w:r>
      <w:r>
        <w:rPr>
          <w:szCs w:val="21"/>
        </w:rPr>
        <w:t xml:space="preserve">  硫酸（</w:t>
      </w:r>
      <w:r>
        <w:rPr>
          <w:i/>
          <w:iCs/>
          <w:kern w:val="1"/>
          <w:szCs w:val="21"/>
        </w:rPr>
        <w:t>ρ</w:t>
      </w:r>
      <w:r>
        <w:rPr>
          <w:kern w:val="1"/>
          <w:szCs w:val="21"/>
        </w:rPr>
        <w:t>=1.84 g/mL</w:t>
      </w:r>
      <w:r>
        <w:rPr>
          <w:szCs w:val="21"/>
        </w:rPr>
        <w:t>）。</w:t>
      </w:r>
    </w:p>
    <w:p>
      <w:pPr>
        <w:rPr>
          <w:szCs w:val="21"/>
        </w:rPr>
      </w:pPr>
      <w:r>
        <w:rPr>
          <w:rFonts w:ascii="黑体" w:hAnsi="黑体" w:eastAsia="黑体"/>
          <w:szCs w:val="21"/>
        </w:rPr>
        <w:t>4.2.8</w:t>
      </w:r>
      <w:r>
        <w:rPr>
          <w:szCs w:val="21"/>
        </w:rPr>
        <w:t xml:space="preserve">  氢溴酸（</w:t>
      </w:r>
      <w:r>
        <w:rPr>
          <w:i/>
          <w:iCs/>
          <w:kern w:val="1"/>
          <w:szCs w:val="21"/>
        </w:rPr>
        <w:t>ρ</w:t>
      </w:r>
      <w:r>
        <w:rPr>
          <w:kern w:val="1"/>
          <w:szCs w:val="21"/>
        </w:rPr>
        <w:t>=1.49 g/mL</w:t>
      </w:r>
      <w:r>
        <w:rPr>
          <w:szCs w:val="21"/>
        </w:rPr>
        <w:t xml:space="preserve">）。    </w:t>
      </w:r>
    </w:p>
    <w:p>
      <w:pPr>
        <w:rPr>
          <w:szCs w:val="21"/>
        </w:rPr>
      </w:pPr>
      <w:r>
        <w:rPr>
          <w:rFonts w:ascii="黑体" w:hAnsi="黑体" w:eastAsia="黑体"/>
          <w:szCs w:val="21"/>
        </w:rPr>
        <w:t>4.2.9</w:t>
      </w:r>
      <w:r>
        <w:rPr>
          <w:szCs w:val="21"/>
        </w:rPr>
        <w:t xml:space="preserve">  氨水（</w:t>
      </w:r>
      <w:r>
        <w:rPr>
          <w:i/>
          <w:iCs/>
          <w:szCs w:val="21"/>
          <w:shd w:val="clear" w:color="auto" w:fill="FFFFEE"/>
        </w:rPr>
        <w:t>ρ</w:t>
      </w:r>
      <w:r>
        <w:rPr>
          <w:szCs w:val="21"/>
          <w:shd w:val="clear" w:color="auto" w:fill="FFFFEE"/>
        </w:rPr>
        <w:t>=0.90 g/mL</w:t>
      </w:r>
      <w:r>
        <w:rPr>
          <w:szCs w:val="21"/>
        </w:rPr>
        <w:t>）。</w:t>
      </w:r>
    </w:p>
    <w:p>
      <w:pPr>
        <w:rPr>
          <w:szCs w:val="21"/>
        </w:rPr>
      </w:pPr>
      <w:r>
        <w:rPr>
          <w:rFonts w:ascii="黑体" w:hAnsi="黑体" w:eastAsia="黑体"/>
          <w:szCs w:val="21"/>
        </w:rPr>
        <w:t>4.2.10</w:t>
      </w:r>
      <w:r>
        <w:rPr>
          <w:szCs w:val="21"/>
        </w:rPr>
        <w:t xml:space="preserve"> 冰醋酸溶液（1+3）。</w:t>
      </w:r>
    </w:p>
    <w:p>
      <w:pPr>
        <w:rPr>
          <w:szCs w:val="21"/>
        </w:rPr>
      </w:pPr>
      <w:r>
        <w:rPr>
          <w:rFonts w:ascii="黑体" w:hAnsi="黑体" w:eastAsia="黑体"/>
          <w:szCs w:val="21"/>
        </w:rPr>
        <w:t>4.2.11</w:t>
      </w:r>
      <w:r>
        <w:rPr>
          <w:szCs w:val="21"/>
        </w:rPr>
        <w:t xml:space="preserve"> 氟化氢铵饱和溶液。</w:t>
      </w:r>
    </w:p>
    <w:p>
      <w:pPr>
        <w:rPr>
          <w:szCs w:val="21"/>
        </w:rPr>
      </w:pPr>
      <w:r>
        <w:rPr>
          <w:rFonts w:ascii="黑体" w:hAnsi="黑体" w:eastAsia="黑体"/>
          <w:szCs w:val="21"/>
        </w:rPr>
        <w:t xml:space="preserve">4.2.12 </w:t>
      </w:r>
      <w:r>
        <w:rPr>
          <w:szCs w:val="21"/>
        </w:rPr>
        <w:t>硝</w:t>
      </w:r>
      <w:r>
        <w:rPr>
          <w:rFonts w:hint="eastAsia"/>
          <w:szCs w:val="21"/>
        </w:rPr>
        <w:t>酸-硫</w:t>
      </w:r>
      <w:r>
        <w:rPr>
          <w:szCs w:val="21"/>
        </w:rPr>
        <w:t>硫混</w:t>
      </w:r>
      <w:r>
        <w:rPr>
          <w:rFonts w:hint="eastAsia"/>
          <w:szCs w:val="21"/>
        </w:rPr>
        <w:t>合</w:t>
      </w:r>
      <w:r>
        <w:rPr>
          <w:szCs w:val="21"/>
        </w:rPr>
        <w:t>酸：将3份硫酸缓慢注入7份硝酸中，混匀。</w:t>
      </w:r>
    </w:p>
    <w:p>
      <w:pPr>
        <w:rPr>
          <w:szCs w:val="21"/>
        </w:rPr>
      </w:pPr>
      <w:r>
        <w:rPr>
          <w:rFonts w:ascii="黑体" w:hAnsi="黑体" w:eastAsia="黑体"/>
          <w:szCs w:val="21"/>
        </w:rPr>
        <w:t>4.2.13</w:t>
      </w:r>
      <w:r>
        <w:rPr>
          <w:szCs w:val="21"/>
        </w:rPr>
        <w:t xml:space="preserve"> 硫酸（1+1）。</w:t>
      </w:r>
    </w:p>
    <w:p>
      <w:pPr>
        <w:rPr>
          <w:szCs w:val="21"/>
        </w:rPr>
      </w:pPr>
      <w:r>
        <w:rPr>
          <w:rFonts w:ascii="黑体" w:hAnsi="黑体" w:eastAsia="黑体"/>
          <w:szCs w:val="21"/>
        </w:rPr>
        <w:t>4.2.14</w:t>
      </w:r>
      <w:r>
        <w:rPr>
          <w:szCs w:val="21"/>
        </w:rPr>
        <w:t xml:space="preserve"> 盐酸（1+1）。</w:t>
      </w:r>
    </w:p>
    <w:p>
      <w:pPr>
        <w:rPr>
          <w:szCs w:val="21"/>
        </w:rPr>
      </w:pPr>
      <w:r>
        <w:rPr>
          <w:rFonts w:ascii="黑体" w:hAnsi="黑体" w:eastAsia="黑体"/>
          <w:szCs w:val="21"/>
        </w:rPr>
        <w:t>4.2.15</w:t>
      </w:r>
      <w:r>
        <w:rPr>
          <w:szCs w:val="21"/>
        </w:rPr>
        <w:t xml:space="preserve"> 氨水（1+1）。</w:t>
      </w:r>
    </w:p>
    <w:p>
      <w:pPr>
        <w:rPr>
          <w:szCs w:val="21"/>
        </w:rPr>
      </w:pPr>
      <w:r>
        <w:rPr>
          <w:rFonts w:ascii="黑体" w:hAnsi="黑体" w:eastAsia="黑体"/>
          <w:szCs w:val="21"/>
        </w:rPr>
        <w:t>4.2.16</w:t>
      </w:r>
      <w:r>
        <w:rPr>
          <w:szCs w:val="21"/>
        </w:rPr>
        <w:t xml:space="preserve"> 氨-氯化铵洗液：称取1 g氯化铵溶于98 mL热水中，加入2 mL氨水（4.2.9），混匀。</w:t>
      </w:r>
    </w:p>
    <w:p>
      <w:pPr>
        <w:rPr>
          <w:szCs w:val="21"/>
        </w:rPr>
      </w:pPr>
      <w:r>
        <w:rPr>
          <w:rFonts w:ascii="黑体" w:hAnsi="黑体" w:eastAsia="黑体"/>
          <w:szCs w:val="21"/>
        </w:rPr>
        <w:t>4.2.17</w:t>
      </w:r>
      <w:r>
        <w:rPr>
          <w:szCs w:val="21"/>
        </w:rPr>
        <w:t xml:space="preserve"> 淀粉溶液（5 g/L）：用时现配。</w:t>
      </w:r>
    </w:p>
    <w:p>
      <w:pPr>
        <w:rPr>
          <w:szCs w:val="21"/>
        </w:rPr>
      </w:pPr>
      <w:r>
        <w:rPr>
          <w:rFonts w:ascii="黑体" w:hAnsi="黑体" w:eastAsia="黑体"/>
          <w:szCs w:val="21"/>
        </w:rPr>
        <w:t>4.2.18</w:t>
      </w:r>
      <w:r>
        <w:rPr>
          <w:szCs w:val="21"/>
        </w:rPr>
        <w:t xml:space="preserve"> 碘溶液（0.04 mol/L）：称取1.02 g碘、40 g碘化钾（4.2.3）于150 mL烧杯中，加入60 mL水，搅拌使碘溶解完全，用水稀释至100 mL，混匀，转入棕色瓶中保存。</w:t>
      </w:r>
    </w:p>
    <w:p>
      <w:pPr>
        <w:rPr>
          <w:szCs w:val="21"/>
        </w:rPr>
      </w:pPr>
      <w:r>
        <w:rPr>
          <w:rFonts w:ascii="黑体" w:hAnsi="黑体" w:eastAsia="黑体"/>
          <w:szCs w:val="21"/>
        </w:rPr>
        <w:t>4.2.19</w:t>
      </w:r>
      <w:r>
        <w:rPr>
          <w:szCs w:val="21"/>
        </w:rPr>
        <w:t xml:space="preserve"> 硫氰酸钾溶液（500 g/L）：称取50 g硫氰酸钾于200 mL烧杯中，加入80 mL水溶解，加入2 g碘化钾（4.2.3），搅拌溶解后加入2 mL淀粉溶液（4.2.17），滴加碘溶液（4.2.18）至恰呈蓝色，用硫代硫酸钠标准滴定溶液（4.2.20）滴定至蓝色刚好消失，用水稀释到100 mL，混匀。</w:t>
      </w:r>
    </w:p>
    <w:p>
      <w:pPr>
        <w:rPr>
          <w:szCs w:val="21"/>
        </w:rPr>
      </w:pPr>
      <w:r>
        <w:rPr>
          <w:rFonts w:ascii="黑体" w:hAnsi="黑体" w:eastAsia="黑体"/>
          <w:szCs w:val="21"/>
        </w:rPr>
        <w:t>4.2.20</w:t>
      </w:r>
      <w:r>
        <w:rPr>
          <w:szCs w:val="21"/>
        </w:rPr>
        <w:t xml:space="preserve"> 硫代硫酸钠标准滴定溶液</w:t>
      </w:r>
    </w:p>
    <w:p>
      <w:pPr>
        <w:ind w:firstLine="420" w:firstLineChars="200"/>
        <w:rPr>
          <w:szCs w:val="21"/>
        </w:rPr>
      </w:pPr>
      <w:r>
        <w:rPr>
          <w:szCs w:val="21"/>
        </w:rPr>
        <w:t>按以下步骤配制和标定：</w:t>
      </w:r>
    </w:p>
    <w:p>
      <w:pPr>
        <w:ind w:firstLine="420" w:firstLineChars="200"/>
        <w:rPr>
          <w:szCs w:val="21"/>
        </w:rPr>
      </w:pPr>
      <w:r>
        <w:rPr>
          <w:szCs w:val="21"/>
        </w:rPr>
        <w:t>a）配制：称取86 g硫代硫酸钠（Na</w:t>
      </w:r>
      <w:r>
        <w:rPr>
          <w:szCs w:val="21"/>
          <w:vertAlign w:val="subscript"/>
        </w:rPr>
        <w:t>2</w:t>
      </w:r>
      <w:r>
        <w:rPr>
          <w:szCs w:val="21"/>
        </w:rPr>
        <w:t>S</w:t>
      </w:r>
      <w:r>
        <w:rPr>
          <w:szCs w:val="21"/>
          <w:vertAlign w:val="subscript"/>
        </w:rPr>
        <w:t>2</w:t>
      </w:r>
      <w:r>
        <w:rPr>
          <w:szCs w:val="21"/>
        </w:rPr>
        <w:t>O</w:t>
      </w:r>
      <w:r>
        <w:rPr>
          <w:szCs w:val="21"/>
          <w:vertAlign w:val="subscript"/>
        </w:rPr>
        <w:t>3</w:t>
      </w:r>
      <w:r>
        <w:rPr>
          <w:szCs w:val="21"/>
        </w:rPr>
        <w:t>·5H</w:t>
      </w:r>
      <w:r>
        <w:rPr>
          <w:szCs w:val="21"/>
          <w:vertAlign w:val="subscript"/>
        </w:rPr>
        <w:t>2</w:t>
      </w:r>
      <w:r>
        <w:rPr>
          <w:szCs w:val="21"/>
        </w:rPr>
        <w:t>O）和4 g无水碳酸钠于2000 mL烧杯中，用1000 mL煮沸并冷却至室温的去离子水溶解完全后，移入10 L棕色试剂瓶中，用煮沸并冷却至室温的去离子水稀释至约10 L，混匀，置于避光处静置两周。使用时过滤。此硫代硫酸钠标准滴定溶液浓度为[</w:t>
      </w:r>
      <w:r>
        <w:rPr>
          <w:i/>
          <w:iCs/>
          <w:szCs w:val="21"/>
        </w:rPr>
        <w:t>c</w:t>
      </w:r>
      <w:r>
        <w:rPr>
          <w:szCs w:val="21"/>
        </w:rPr>
        <w:t>（Na</w:t>
      </w:r>
      <w:r>
        <w:rPr>
          <w:szCs w:val="21"/>
          <w:vertAlign w:val="subscript"/>
        </w:rPr>
        <w:t>2</w:t>
      </w:r>
      <w:r>
        <w:rPr>
          <w:szCs w:val="21"/>
        </w:rPr>
        <w:t>S</w:t>
      </w:r>
      <w:r>
        <w:rPr>
          <w:szCs w:val="21"/>
          <w:vertAlign w:val="subscript"/>
        </w:rPr>
        <w:t>2</w:t>
      </w:r>
      <w:r>
        <w:rPr>
          <w:szCs w:val="21"/>
        </w:rPr>
        <w:t>O</w:t>
      </w:r>
      <w:r>
        <w:rPr>
          <w:szCs w:val="21"/>
          <w:vertAlign w:val="subscript"/>
        </w:rPr>
        <w:t>3</w:t>
      </w:r>
      <w:r>
        <w:rPr>
          <w:szCs w:val="21"/>
        </w:rPr>
        <w:t>·5H</w:t>
      </w:r>
      <w:r>
        <w:rPr>
          <w:szCs w:val="21"/>
          <w:vertAlign w:val="subscript"/>
        </w:rPr>
        <w:t>2</w:t>
      </w:r>
      <w:r>
        <w:rPr>
          <w:szCs w:val="21"/>
        </w:rPr>
        <w:t>O）≈0.035 mol/L]。此溶液每两周标定一次。</w:t>
      </w:r>
    </w:p>
    <w:p>
      <w:pPr>
        <w:ind w:firstLine="420" w:firstLineChars="200"/>
        <w:rPr>
          <w:szCs w:val="21"/>
        </w:rPr>
      </w:pPr>
      <w:r>
        <w:rPr>
          <w:rFonts w:eastAsia="黑体"/>
          <w:szCs w:val="21"/>
        </w:rPr>
        <w:t>b）</w:t>
      </w:r>
      <w:r>
        <w:rPr>
          <w:szCs w:val="21"/>
        </w:rPr>
        <w:t>标定：称取0.10 g（精确至0.000 1 g）金属铜（4.2.2）于300 ml锥形瓶中，加入20 mL水，10 mL硝酸（4.2.6），盖上表面皿，低温加热溶解完全，取下稍冷，用少量水吹洗表面皿及杯壁，加入5 mL硫酸（4.2.13），继续加热蒸至近干，取下稍冷，用40 mL水吹洗杯壁，加热煮沸，使盐类溶解，取下冷至室温。滴加氨水（4.2.15）至铜氨蓝色不再加深，加入5 mL冰醋酸（4.2.4），1 mL氟化氢铵饱和溶液（4.2.11），摇匀，冷却至室温。</w:t>
      </w:r>
    </w:p>
    <w:p>
      <w:pPr>
        <w:ind w:firstLine="420" w:firstLineChars="200"/>
        <w:rPr>
          <w:szCs w:val="21"/>
        </w:rPr>
      </w:pPr>
      <w:r>
        <w:rPr>
          <w:szCs w:val="21"/>
        </w:rPr>
        <w:t>加入 2 g～3 g碘化钾（4.2.3），摇动溶解，立刻用硫代硫酸钠标准滴定溶液（4.2.20）滴定至浅黄色，加入2 mL淀粉溶液（4.2.17），继续滴定至浅蓝色，加入1 mL硫氰酸钾溶液（4.2.19），激烈振荡至蓝色不再加深，继续滴定至蓝色刚好消失为终点。</w:t>
      </w:r>
    </w:p>
    <w:p>
      <w:pPr>
        <w:ind w:firstLine="420" w:firstLineChars="200"/>
        <w:rPr>
          <w:szCs w:val="21"/>
        </w:rPr>
      </w:pPr>
      <w:r>
        <w:rPr>
          <w:szCs w:val="21"/>
        </w:rPr>
        <w:t>随同标定做空白试验。</w:t>
      </w:r>
    </w:p>
    <w:p>
      <w:pPr>
        <w:ind w:firstLine="420" w:firstLineChars="200"/>
        <w:rPr>
          <w:szCs w:val="21"/>
        </w:rPr>
      </w:pPr>
      <w:r>
        <w:rPr>
          <w:szCs w:val="21"/>
        </w:rPr>
        <w:t>按公式（1）计算硫代硫酸钠标准滴定溶液的实际浓度：</w:t>
      </w:r>
    </w:p>
    <w:p>
      <w:pPr>
        <w:ind w:firstLine="480" w:firstLineChars="200"/>
        <w:jc w:val="right"/>
        <w:rPr>
          <w:sz w:val="24"/>
          <w:szCs w:val="24"/>
        </w:rPr>
      </w:pPr>
      <w:r>
        <w:rPr>
          <w:sz w:val="24"/>
          <w:szCs w:val="24"/>
        </w:rPr>
        <w:t xml:space="preserve">                    </w:t>
      </w:r>
      <w:bookmarkStart w:id="14" w:name="MTBlankEqn"/>
      <w:r>
        <w:rPr>
          <w:sz w:val="24"/>
          <w:szCs w:val="24"/>
        </w:rPr>
        <w:t xml:space="preserve"> </w:t>
      </w:r>
      <w:r>
        <w:rPr>
          <w:position w:val="-32"/>
          <w:sz w:val="24"/>
          <w:szCs w:val="24"/>
        </w:rPr>
        <w:object>
          <v:shape id="_x0000_i1025" o:spt="75" type="#_x0000_t75" style="height:26.8pt;width:117.2pt;" o:ole="t" filled="f" o:preferrelative="t" stroked="f" coordsize="21600,21600">
            <v:path/>
            <v:fill on="f" focussize="0,0"/>
            <v:stroke on="f" joinstyle="miter"/>
            <v:imagedata r:id="rId16" o:title=""/>
            <o:lock v:ext="edit" aspectratio="t"/>
            <w10:wrap type="none"/>
            <w10:anchorlock/>
          </v:shape>
          <o:OLEObject Type="Embed" ProgID="Equation.DSMT4" ShapeID="_x0000_i1025" DrawAspect="Content" ObjectID="_1468075725" r:id="rId15">
            <o:LockedField>false</o:LockedField>
          </o:OLEObject>
        </w:object>
      </w:r>
      <w:bookmarkEnd w:id="14"/>
      <w:r>
        <w:rPr>
          <w:sz w:val="24"/>
          <w:szCs w:val="24"/>
        </w:rPr>
        <w:t xml:space="preserve">……………………………………（1）    </w:t>
      </w:r>
    </w:p>
    <w:p>
      <w:pPr>
        <w:ind w:firstLine="420" w:firstLineChars="200"/>
        <w:rPr>
          <w:kern w:val="0"/>
          <w:szCs w:val="21"/>
        </w:rPr>
      </w:pPr>
      <w:r>
        <w:rPr>
          <w:szCs w:val="21"/>
        </w:rPr>
        <w:t>式中</w:t>
      </w:r>
      <w:r>
        <w:rPr>
          <w:kern w:val="0"/>
          <w:szCs w:val="21"/>
        </w:rPr>
        <w:t>：</w:t>
      </w:r>
    </w:p>
    <w:p>
      <w:pPr>
        <w:ind w:firstLine="420" w:firstLineChars="200"/>
        <w:rPr>
          <w:kern w:val="0"/>
          <w:szCs w:val="21"/>
        </w:rPr>
      </w:pPr>
      <w:r>
        <w:rPr>
          <w:i/>
          <w:szCs w:val="21"/>
        </w:rPr>
        <w:t xml:space="preserve">c </w:t>
      </w:r>
      <w:r>
        <w:rPr>
          <w:spacing w:val="6"/>
          <w:szCs w:val="21"/>
        </w:rPr>
        <w:t>——</w:t>
      </w:r>
      <w:r>
        <w:rPr>
          <w:szCs w:val="21"/>
        </w:rPr>
        <w:t xml:space="preserve"> 硫代硫酸钠标准滴定溶液的浓度，单位为摩尔每升（mol/L）</w:t>
      </w:r>
      <w:r>
        <w:rPr>
          <w:kern w:val="0"/>
          <w:szCs w:val="21"/>
        </w:rPr>
        <w:t>；</w:t>
      </w:r>
    </w:p>
    <w:p>
      <w:pPr>
        <w:ind w:firstLine="420" w:firstLineChars="200"/>
        <w:rPr>
          <w:kern w:val="0"/>
          <w:szCs w:val="21"/>
        </w:rPr>
      </w:pPr>
      <w:r>
        <w:rPr>
          <w:i/>
          <w:kern w:val="0"/>
          <w:szCs w:val="21"/>
        </w:rPr>
        <w:t>m</w:t>
      </w:r>
      <w:r>
        <w:rPr>
          <w:iCs/>
          <w:kern w:val="0"/>
          <w:szCs w:val="21"/>
          <w:vertAlign w:val="subscript"/>
        </w:rPr>
        <w:t>1</w:t>
      </w:r>
      <w:r>
        <w:rPr>
          <w:i/>
          <w:kern w:val="0"/>
          <w:szCs w:val="21"/>
        </w:rPr>
        <w:t xml:space="preserve"> </w:t>
      </w:r>
      <w:r>
        <w:rPr>
          <w:spacing w:val="6"/>
          <w:szCs w:val="21"/>
        </w:rPr>
        <w:t>——</w:t>
      </w:r>
      <w:r>
        <w:rPr>
          <w:szCs w:val="21"/>
        </w:rPr>
        <w:t xml:space="preserve"> 称取金属铜的质量，单位为克（g）</w:t>
      </w:r>
      <w:r>
        <w:rPr>
          <w:kern w:val="0"/>
          <w:szCs w:val="21"/>
        </w:rPr>
        <w:t>；</w:t>
      </w:r>
    </w:p>
    <w:p>
      <w:pPr>
        <w:ind w:firstLine="420" w:firstLineChars="200"/>
        <w:rPr>
          <w:szCs w:val="21"/>
        </w:rPr>
      </w:pPr>
      <w:r>
        <w:rPr>
          <w:i/>
          <w:kern w:val="0"/>
          <w:szCs w:val="21"/>
        </w:rPr>
        <w:t>V</w:t>
      </w:r>
      <w:r>
        <w:rPr>
          <w:iCs/>
          <w:kern w:val="0"/>
          <w:szCs w:val="21"/>
          <w:vertAlign w:val="subscript"/>
        </w:rPr>
        <w:t xml:space="preserve">1 </w:t>
      </w:r>
      <w:r>
        <w:rPr>
          <w:spacing w:val="6"/>
          <w:szCs w:val="21"/>
        </w:rPr>
        <w:t>——</w:t>
      </w:r>
      <w:r>
        <w:rPr>
          <w:szCs w:val="21"/>
        </w:rPr>
        <w:t xml:space="preserve"> 滴定金属铜溶液时消耗硫代硫酸钠标准</w:t>
      </w:r>
      <w:r>
        <w:rPr>
          <w:rFonts w:hint="eastAsia"/>
          <w:szCs w:val="21"/>
        </w:rPr>
        <w:t>滴定</w:t>
      </w:r>
      <w:r>
        <w:rPr>
          <w:szCs w:val="21"/>
        </w:rPr>
        <w:t>溶液的体积，单位为毫升（mL）；</w:t>
      </w:r>
    </w:p>
    <w:p>
      <w:pPr>
        <w:ind w:firstLine="420" w:firstLineChars="200"/>
        <w:rPr>
          <w:szCs w:val="21"/>
        </w:rPr>
      </w:pPr>
      <w:r>
        <w:rPr>
          <w:i/>
          <w:kern w:val="0"/>
          <w:szCs w:val="21"/>
        </w:rPr>
        <w:t>V</w:t>
      </w:r>
      <w:r>
        <w:rPr>
          <w:iCs/>
          <w:kern w:val="0"/>
          <w:szCs w:val="21"/>
          <w:vertAlign w:val="subscript"/>
        </w:rPr>
        <w:t>2</w:t>
      </w:r>
      <w:r>
        <w:rPr>
          <w:i/>
          <w:kern w:val="0"/>
          <w:szCs w:val="21"/>
          <w:vertAlign w:val="subscript"/>
        </w:rPr>
        <w:t xml:space="preserve"> </w:t>
      </w:r>
      <w:r>
        <w:rPr>
          <w:spacing w:val="6"/>
          <w:szCs w:val="21"/>
        </w:rPr>
        <w:t>——</w:t>
      </w:r>
      <w:r>
        <w:rPr>
          <w:szCs w:val="21"/>
        </w:rPr>
        <w:t xml:space="preserve"> 滴定空白试验时消耗硫代硫酸钠标准</w:t>
      </w:r>
      <w:r>
        <w:rPr>
          <w:rFonts w:hint="eastAsia"/>
          <w:szCs w:val="21"/>
        </w:rPr>
        <w:t>滴定</w:t>
      </w:r>
      <w:r>
        <w:rPr>
          <w:szCs w:val="21"/>
        </w:rPr>
        <w:t>溶液的体积，单位为毫升（mL）；</w:t>
      </w:r>
    </w:p>
    <w:p>
      <w:pPr>
        <w:snapToGrid w:val="0"/>
        <w:ind w:firstLine="420" w:firstLineChars="200"/>
        <w:rPr>
          <w:szCs w:val="21"/>
        </w:rPr>
      </w:pPr>
      <w:r>
        <w:rPr>
          <w:i/>
          <w:iCs/>
          <w:szCs w:val="21"/>
        </w:rPr>
        <w:t>M</w:t>
      </w:r>
      <w:r>
        <w:rPr>
          <w:szCs w:val="21"/>
        </w:rPr>
        <w:t xml:space="preserve"> </w:t>
      </w:r>
      <w:r>
        <w:rPr>
          <w:spacing w:val="6"/>
          <w:szCs w:val="21"/>
        </w:rPr>
        <w:t xml:space="preserve">—— </w:t>
      </w:r>
      <w:r>
        <w:rPr>
          <w:szCs w:val="21"/>
        </w:rPr>
        <w:t>铜的摩尔质量，单位为克每摩尔（g/mol），数值为63.55。</w:t>
      </w:r>
    </w:p>
    <w:p>
      <w:pPr>
        <w:adjustRightInd w:val="0"/>
        <w:snapToGrid w:val="0"/>
        <w:ind w:firstLine="420" w:firstLineChars="200"/>
        <w:rPr>
          <w:szCs w:val="21"/>
        </w:rPr>
      </w:pPr>
      <w:r>
        <w:rPr>
          <w:szCs w:val="21"/>
        </w:rPr>
        <w:t>平行标定4份，所得结果保留4位有效数字，其极差值不大于5×10</w:t>
      </w:r>
      <w:r>
        <w:rPr>
          <w:szCs w:val="21"/>
          <w:vertAlign w:val="superscript"/>
        </w:rPr>
        <w:t>-5</w:t>
      </w:r>
      <w:r>
        <w:rPr>
          <w:w w:val="50"/>
          <w:szCs w:val="21"/>
        </w:rPr>
        <w:t xml:space="preserve"> </w:t>
      </w:r>
      <w:r>
        <w:rPr>
          <w:szCs w:val="21"/>
        </w:rPr>
        <w:t>mol/L时，取其平均值。否则重新标定。</w:t>
      </w:r>
    </w:p>
    <w:p>
      <w:pPr>
        <w:spacing w:line="360" w:lineRule="auto"/>
        <w:rPr>
          <w:rFonts w:ascii="黑体" w:hAnsi="黑体" w:eastAsia="黑体"/>
          <w:bCs/>
          <w:szCs w:val="21"/>
        </w:rPr>
      </w:pPr>
      <w:r>
        <w:rPr>
          <w:rFonts w:ascii="黑体" w:hAnsi="黑体" w:eastAsia="黑体"/>
          <w:bCs/>
          <w:szCs w:val="21"/>
        </w:rPr>
        <w:t>4.3 样品</w:t>
      </w:r>
    </w:p>
    <w:p>
      <w:pPr>
        <w:ind w:right="182" w:rightChars="87"/>
        <w:rPr>
          <w:rFonts w:eastAsia="黑体"/>
          <w:szCs w:val="21"/>
        </w:rPr>
      </w:pPr>
      <w:r>
        <w:rPr>
          <w:rFonts w:ascii="黑体" w:hAnsi="黑体" w:eastAsia="黑体"/>
          <w:szCs w:val="21"/>
        </w:rPr>
        <w:t xml:space="preserve">4.3.1 </w:t>
      </w:r>
      <w:r>
        <w:rPr>
          <w:kern w:val="0"/>
          <w:szCs w:val="21"/>
        </w:rPr>
        <w:t>样品粒度应不大于0.100 mm</w:t>
      </w:r>
      <w:r>
        <w:rPr>
          <w:szCs w:val="21"/>
        </w:rPr>
        <w:t>。</w:t>
      </w:r>
    </w:p>
    <w:p>
      <w:pPr>
        <w:ind w:right="182" w:rightChars="87"/>
        <w:rPr>
          <w:rFonts w:eastAsia="黑体"/>
          <w:szCs w:val="21"/>
        </w:rPr>
      </w:pPr>
      <w:r>
        <w:rPr>
          <w:rFonts w:ascii="黑体" w:hAnsi="黑体" w:eastAsia="黑体"/>
          <w:szCs w:val="21"/>
        </w:rPr>
        <w:t xml:space="preserve">4.3.2 </w:t>
      </w:r>
      <w:r>
        <w:rPr>
          <w:kern w:val="0"/>
          <w:szCs w:val="21"/>
        </w:rPr>
        <w:t>样品应在</w:t>
      </w:r>
      <w:r>
        <w:rPr>
          <w:szCs w:val="21"/>
        </w:rPr>
        <w:t>100 ℃~105 ℃</w:t>
      </w:r>
      <w:r>
        <w:rPr>
          <w:kern w:val="0"/>
          <w:szCs w:val="21"/>
        </w:rPr>
        <w:t>烘干2 h，并置于干燥器中冷却至室温备用。</w:t>
      </w:r>
    </w:p>
    <w:p>
      <w:pPr>
        <w:spacing w:line="360" w:lineRule="auto"/>
        <w:rPr>
          <w:rFonts w:ascii="黑体" w:hAnsi="黑体" w:eastAsia="黑体"/>
          <w:szCs w:val="21"/>
        </w:rPr>
      </w:pPr>
      <w:r>
        <w:rPr>
          <w:rFonts w:ascii="黑体" w:hAnsi="黑体" w:eastAsia="黑体"/>
          <w:szCs w:val="21"/>
        </w:rPr>
        <w:t>4.4 试验步骤</w:t>
      </w:r>
    </w:p>
    <w:p>
      <w:pPr>
        <w:rPr>
          <w:rFonts w:ascii="黑体" w:hAnsi="黑体" w:eastAsia="黑体"/>
          <w:szCs w:val="21"/>
        </w:rPr>
      </w:pPr>
      <w:r>
        <w:rPr>
          <w:rFonts w:ascii="黑体" w:hAnsi="黑体" w:eastAsia="黑体"/>
          <w:szCs w:val="21"/>
        </w:rPr>
        <w:t>4.4.1 试料</w:t>
      </w:r>
    </w:p>
    <w:p>
      <w:pPr>
        <w:ind w:right="87" w:firstLine="420" w:firstLineChars="200"/>
        <w:rPr>
          <w:szCs w:val="21"/>
        </w:rPr>
      </w:pPr>
      <w:r>
        <w:rPr>
          <w:szCs w:val="21"/>
        </w:rPr>
        <w:t>按表1称取</w:t>
      </w:r>
      <w:r>
        <w:rPr>
          <w:rFonts w:hint="eastAsia"/>
          <w:szCs w:val="21"/>
        </w:rPr>
        <w:t>样品（4</w:t>
      </w:r>
      <w:r>
        <w:rPr>
          <w:szCs w:val="21"/>
        </w:rPr>
        <w:t>.3</w:t>
      </w:r>
      <w:r>
        <w:rPr>
          <w:rFonts w:hint="eastAsia"/>
          <w:szCs w:val="21"/>
        </w:rPr>
        <w:t>）</w:t>
      </w:r>
      <w:r>
        <w:rPr>
          <w:szCs w:val="21"/>
        </w:rPr>
        <w:t>，精确至0.000 1 g。</w:t>
      </w:r>
    </w:p>
    <w:p>
      <w:pPr>
        <w:ind w:right="87" w:firstLine="420" w:firstLineChars="200"/>
        <w:rPr>
          <w:szCs w:val="21"/>
        </w:rPr>
      </w:pPr>
    </w:p>
    <w:p>
      <w:pPr>
        <w:ind w:right="87" w:firstLine="420" w:firstLineChars="200"/>
        <w:rPr>
          <w:szCs w:val="21"/>
        </w:rPr>
      </w:pPr>
    </w:p>
    <w:p>
      <w:pPr>
        <w:ind w:right="87" w:firstLine="420" w:firstLineChars="200"/>
        <w:rPr>
          <w:szCs w:val="21"/>
        </w:rPr>
      </w:pPr>
    </w:p>
    <w:p>
      <w:pPr>
        <w:pStyle w:val="30"/>
        <w:spacing w:after="156" w:afterLines="50"/>
        <w:ind w:firstLine="105" w:firstLineChars="50"/>
        <w:jc w:val="center"/>
        <w:rPr>
          <w:rFonts w:ascii="Times New Roman" w:eastAsia="黑体"/>
          <w:sz w:val="21"/>
          <w:szCs w:val="21"/>
        </w:rPr>
      </w:pPr>
      <w:r>
        <w:rPr>
          <w:rFonts w:ascii="Times New Roman"/>
          <w:sz w:val="21"/>
          <w:szCs w:val="21"/>
        </w:rPr>
        <w:tab/>
      </w:r>
      <w:r>
        <w:rPr>
          <w:rFonts w:ascii="Times New Roman" w:eastAsia="黑体"/>
          <w:sz w:val="21"/>
          <w:szCs w:val="21"/>
        </w:rPr>
        <w:t>表</w:t>
      </w:r>
      <w:r>
        <w:rPr>
          <w:rFonts w:hint="eastAsia" w:ascii="Times New Roman" w:eastAsia="黑体"/>
          <w:sz w:val="21"/>
          <w:szCs w:val="21"/>
        </w:rPr>
        <w:t>1</w:t>
      </w:r>
      <w:r>
        <w:rPr>
          <w:rFonts w:ascii="Times New Roman" w:eastAsia="黑体"/>
          <w:sz w:val="21"/>
          <w:szCs w:val="21"/>
        </w:rPr>
        <w:t xml:space="preserve"> 试料量</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Borders>
              <w:top w:val="single" w:color="auto" w:sz="12" w:space="0"/>
              <w:left w:val="single" w:color="auto" w:sz="12" w:space="0"/>
            </w:tcBorders>
            <w:shd w:val="clear" w:color="auto" w:fill="auto"/>
            <w:vAlign w:val="center"/>
          </w:tcPr>
          <w:p>
            <w:pPr>
              <w:autoSpaceDE w:val="0"/>
              <w:autoSpaceDN w:val="0"/>
              <w:jc w:val="center"/>
              <w:rPr>
                <w:iCs/>
                <w:szCs w:val="21"/>
              </w:rPr>
            </w:pPr>
            <w:r>
              <w:rPr>
                <w:iCs/>
                <w:szCs w:val="21"/>
              </w:rPr>
              <w:t xml:space="preserve">铜的质量分数 </w:t>
            </w:r>
          </w:p>
          <w:p>
            <w:pPr>
              <w:autoSpaceDE w:val="0"/>
              <w:autoSpaceDN w:val="0"/>
              <w:jc w:val="center"/>
              <w:rPr>
                <w:sz w:val="24"/>
                <w:szCs w:val="24"/>
              </w:rPr>
            </w:pPr>
            <w:r>
              <w:rPr>
                <w:szCs w:val="21"/>
              </w:rPr>
              <w:t>%</w:t>
            </w:r>
          </w:p>
        </w:tc>
        <w:tc>
          <w:tcPr>
            <w:tcW w:w="2500" w:type="pct"/>
            <w:tcBorders>
              <w:top w:val="single" w:color="auto" w:sz="12" w:space="0"/>
              <w:right w:val="single" w:color="auto" w:sz="12" w:space="0"/>
            </w:tcBorders>
            <w:shd w:val="clear" w:color="auto" w:fill="auto"/>
            <w:vAlign w:val="center"/>
          </w:tcPr>
          <w:p>
            <w:pPr>
              <w:autoSpaceDE w:val="0"/>
              <w:autoSpaceDN w:val="0"/>
              <w:jc w:val="center"/>
              <w:rPr>
                <w:szCs w:val="21"/>
              </w:rPr>
            </w:pPr>
            <w:r>
              <w:rPr>
                <w:szCs w:val="21"/>
              </w:rPr>
              <w:t>试料</w:t>
            </w:r>
          </w:p>
          <w:p>
            <w:pPr>
              <w:autoSpaceDE w:val="0"/>
              <w:autoSpaceDN w:val="0"/>
              <w:jc w:val="center"/>
              <w:rPr>
                <w:sz w:val="24"/>
                <w:szCs w:val="24"/>
              </w:rPr>
            </w:pPr>
            <w:r>
              <w:rPr>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Borders>
              <w:left w:val="single" w:color="auto" w:sz="12" w:space="0"/>
            </w:tcBorders>
            <w:shd w:val="clear" w:color="auto" w:fill="auto"/>
            <w:vAlign w:val="center"/>
          </w:tcPr>
          <w:p>
            <w:pPr>
              <w:autoSpaceDE w:val="0"/>
              <w:autoSpaceDN w:val="0"/>
              <w:jc w:val="center"/>
              <w:rPr>
                <w:szCs w:val="21"/>
              </w:rPr>
            </w:pPr>
            <w:r>
              <w:rPr>
                <w:szCs w:val="21"/>
              </w:rPr>
              <w:t>5.00～10.00</w:t>
            </w:r>
          </w:p>
        </w:tc>
        <w:tc>
          <w:tcPr>
            <w:tcW w:w="2500" w:type="pct"/>
            <w:tcBorders>
              <w:right w:val="single" w:color="auto" w:sz="12" w:space="0"/>
            </w:tcBorders>
            <w:shd w:val="clear" w:color="auto" w:fill="auto"/>
            <w:vAlign w:val="center"/>
          </w:tcPr>
          <w:p>
            <w:pPr>
              <w:autoSpaceDE w:val="0"/>
              <w:autoSpaceDN w:val="0"/>
              <w:jc w:val="center"/>
              <w:rPr>
                <w:szCs w:val="21"/>
              </w:rPr>
            </w:pPr>
            <w:r>
              <w:rPr>
                <w:szCs w:val="21"/>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Borders>
              <w:left w:val="single" w:color="auto" w:sz="12" w:space="0"/>
              <w:bottom w:val="single" w:color="auto" w:sz="12" w:space="0"/>
            </w:tcBorders>
            <w:shd w:val="clear" w:color="auto" w:fill="auto"/>
            <w:vAlign w:val="center"/>
          </w:tcPr>
          <w:p>
            <w:pPr>
              <w:autoSpaceDE w:val="0"/>
              <w:autoSpaceDN w:val="0"/>
              <w:jc w:val="center"/>
              <w:rPr>
                <w:szCs w:val="21"/>
              </w:rPr>
            </w:pPr>
            <w:r>
              <w:rPr>
                <w:szCs w:val="21"/>
              </w:rPr>
              <w:t>＞10.00～25.00</w:t>
            </w:r>
          </w:p>
        </w:tc>
        <w:tc>
          <w:tcPr>
            <w:tcW w:w="2500" w:type="pct"/>
            <w:tcBorders>
              <w:bottom w:val="single" w:color="auto" w:sz="12" w:space="0"/>
              <w:right w:val="single" w:color="auto" w:sz="12" w:space="0"/>
            </w:tcBorders>
            <w:shd w:val="clear" w:color="auto" w:fill="auto"/>
            <w:vAlign w:val="center"/>
          </w:tcPr>
          <w:p>
            <w:pPr>
              <w:autoSpaceDE w:val="0"/>
              <w:autoSpaceDN w:val="0"/>
              <w:jc w:val="center"/>
              <w:rPr>
                <w:szCs w:val="21"/>
              </w:rPr>
            </w:pPr>
            <w:r>
              <w:rPr>
                <w:szCs w:val="21"/>
              </w:rPr>
              <w:t>0.35</w:t>
            </w:r>
          </w:p>
        </w:tc>
      </w:tr>
    </w:tbl>
    <w:p>
      <w:pPr>
        <w:spacing w:line="360" w:lineRule="auto"/>
        <w:rPr>
          <w:rFonts w:ascii="黑体" w:hAnsi="黑体" w:eastAsia="黑体"/>
          <w:szCs w:val="21"/>
        </w:rPr>
      </w:pPr>
      <w:r>
        <w:rPr>
          <w:rFonts w:ascii="黑体" w:hAnsi="黑体" w:eastAsia="黑体"/>
          <w:szCs w:val="21"/>
        </w:rPr>
        <w:t>4.4.2平行试验</w:t>
      </w:r>
    </w:p>
    <w:p>
      <w:pPr>
        <w:ind w:firstLine="420" w:firstLineChars="200"/>
        <w:rPr>
          <w:szCs w:val="21"/>
        </w:rPr>
      </w:pPr>
      <w:r>
        <w:rPr>
          <w:szCs w:val="21"/>
        </w:rPr>
        <w:t>平行做两份</w:t>
      </w:r>
      <w:r>
        <w:rPr>
          <w:rFonts w:hint="eastAsia"/>
          <w:szCs w:val="21"/>
        </w:rPr>
        <w:t>试验</w:t>
      </w:r>
      <w:r>
        <w:rPr>
          <w:szCs w:val="21"/>
        </w:rPr>
        <w:t>。</w:t>
      </w:r>
    </w:p>
    <w:p>
      <w:pPr>
        <w:autoSpaceDE w:val="0"/>
        <w:autoSpaceDN w:val="0"/>
        <w:spacing w:line="360" w:lineRule="auto"/>
        <w:jc w:val="left"/>
        <w:rPr>
          <w:rFonts w:ascii="黑体" w:hAnsi="黑体" w:eastAsia="黑体"/>
          <w:szCs w:val="21"/>
        </w:rPr>
      </w:pPr>
      <w:r>
        <w:rPr>
          <w:rFonts w:ascii="黑体" w:hAnsi="黑体" w:eastAsia="黑体"/>
          <w:szCs w:val="21"/>
        </w:rPr>
        <w:t>4.4.3 空白试验</w:t>
      </w:r>
    </w:p>
    <w:p>
      <w:pPr>
        <w:autoSpaceDE w:val="0"/>
        <w:autoSpaceDN w:val="0"/>
        <w:ind w:firstLine="420" w:firstLineChars="200"/>
        <w:jc w:val="left"/>
        <w:rPr>
          <w:rFonts w:eastAsia="黑体"/>
          <w:szCs w:val="21"/>
        </w:rPr>
      </w:pPr>
      <w:r>
        <w:rPr>
          <w:szCs w:val="21"/>
        </w:rPr>
        <w:t>随同试料做空白试验。</w:t>
      </w:r>
    </w:p>
    <w:p>
      <w:pPr>
        <w:autoSpaceDE w:val="0"/>
        <w:autoSpaceDN w:val="0"/>
        <w:spacing w:line="360" w:lineRule="auto"/>
        <w:jc w:val="left"/>
        <w:rPr>
          <w:rFonts w:ascii="黑体" w:hAnsi="黑体" w:eastAsia="黑体"/>
          <w:szCs w:val="21"/>
        </w:rPr>
      </w:pPr>
      <w:r>
        <w:rPr>
          <w:rFonts w:ascii="黑体" w:hAnsi="黑体" w:eastAsia="黑体"/>
          <w:szCs w:val="21"/>
        </w:rPr>
        <w:t>4.4.4 测定</w:t>
      </w:r>
    </w:p>
    <w:p>
      <w:pPr>
        <w:autoSpaceDE w:val="0"/>
        <w:autoSpaceDN w:val="0"/>
        <w:rPr>
          <w:szCs w:val="21"/>
        </w:rPr>
      </w:pPr>
      <w:r>
        <w:rPr>
          <w:rFonts w:ascii="黑体" w:hAnsi="黑体" w:eastAsia="黑体"/>
          <w:szCs w:val="21"/>
        </w:rPr>
        <w:t>4.4.4.1</w:t>
      </w:r>
      <w:r>
        <w:rPr>
          <w:szCs w:val="21"/>
        </w:rPr>
        <w:t xml:space="preserve"> 将试料（4.4.1）置于250 mL烧杯中，用少许水润湿样品，加入15 mL盐酸（4.2.5），</w:t>
      </w:r>
      <w:r>
        <w:rPr>
          <w:rFonts w:hint="eastAsia"/>
          <w:szCs w:val="21"/>
        </w:rPr>
        <w:t>0.50 mL氟化氢铵饱和溶液（4.2.1</w:t>
      </w:r>
      <w:r>
        <w:rPr>
          <w:szCs w:val="21"/>
        </w:rPr>
        <w:t>0</w:t>
      </w:r>
      <w:r>
        <w:rPr>
          <w:rFonts w:hint="eastAsia"/>
          <w:szCs w:val="21"/>
        </w:rPr>
        <w:t>），</w:t>
      </w:r>
      <w:r>
        <w:rPr>
          <w:szCs w:val="21"/>
        </w:rPr>
        <w:t>于电热板上微沸溶解5 min，取下，稍冷。加入20 mL硝</w:t>
      </w:r>
      <w:r>
        <w:rPr>
          <w:rFonts w:hint="eastAsia"/>
          <w:szCs w:val="21"/>
        </w:rPr>
        <w:t>酸-</w:t>
      </w:r>
      <w:r>
        <w:rPr>
          <w:szCs w:val="21"/>
        </w:rPr>
        <w:t>硫</w:t>
      </w:r>
      <w:r>
        <w:rPr>
          <w:rFonts w:hint="eastAsia"/>
          <w:szCs w:val="21"/>
        </w:rPr>
        <w:t>酸</w:t>
      </w:r>
      <w:r>
        <w:rPr>
          <w:szCs w:val="21"/>
        </w:rPr>
        <w:t>混</w:t>
      </w:r>
      <w:r>
        <w:rPr>
          <w:rFonts w:hint="eastAsia"/>
          <w:szCs w:val="21"/>
        </w:rPr>
        <w:t>合</w:t>
      </w:r>
      <w:r>
        <w:rPr>
          <w:szCs w:val="21"/>
        </w:rPr>
        <w:t>酸（4.2.12），盖上表皿，于电热板上继续加热至冒浓白烟2 min，取下，冷却至室温。加入5 mL氢溴酸（4.2.8），摇匀，于电热板上冒烟蒸至试液体积约3 mL，取下，冷却至室温。用少量水吹洗表皿和杯壁，再次加入5 mL硝</w:t>
      </w:r>
      <w:r>
        <w:rPr>
          <w:rFonts w:hint="eastAsia"/>
          <w:szCs w:val="21"/>
        </w:rPr>
        <w:t>酸-</w:t>
      </w:r>
      <w:r>
        <w:rPr>
          <w:szCs w:val="21"/>
        </w:rPr>
        <w:t>硫</w:t>
      </w:r>
      <w:r>
        <w:rPr>
          <w:rFonts w:hint="eastAsia"/>
          <w:szCs w:val="21"/>
        </w:rPr>
        <w:t>酸</w:t>
      </w:r>
      <w:r>
        <w:rPr>
          <w:szCs w:val="21"/>
        </w:rPr>
        <w:t>混</w:t>
      </w:r>
      <w:r>
        <w:rPr>
          <w:rFonts w:hint="eastAsia"/>
          <w:szCs w:val="21"/>
        </w:rPr>
        <w:t>合</w:t>
      </w:r>
      <w:r>
        <w:rPr>
          <w:szCs w:val="21"/>
        </w:rPr>
        <w:t>酸（4.2.12），于电热板上冒烟蒸至试液体积约3 mL，取下，冷却至室温。滴加6 mL盐酸（4.2.14），轻轻摇动，浸润盐类，放置5 min～10 min后，用50 mL水洗涤表皿和杯壁，于电热板上微沸溶解3 min～5 min，取下，稍冷。滴加氨水（4.2.9）至铜氨蓝色不再加深，并过量5 mL。</w:t>
      </w:r>
    </w:p>
    <w:p>
      <w:pPr>
        <w:autoSpaceDE w:val="0"/>
        <w:autoSpaceDN w:val="0"/>
        <w:rPr>
          <w:szCs w:val="21"/>
        </w:rPr>
      </w:pPr>
      <w:r>
        <w:rPr>
          <w:rFonts w:ascii="黑体" w:hAnsi="黑体" w:eastAsia="黑体"/>
          <w:szCs w:val="21"/>
        </w:rPr>
        <w:t>4.4.4.2</w:t>
      </w:r>
      <w:r>
        <w:rPr>
          <w:szCs w:val="21"/>
        </w:rPr>
        <w:t xml:space="preserve"> 趁热用中速滤纸过滤，300 mL锥形瓶承接滤液。用热氨-氯化铵洗液（4.2.16）充分洗涤烧杯和沉淀，直至滤纸和沉淀无蓝色，控制滤液体积小于200 mL。</w:t>
      </w:r>
    </w:p>
    <w:p>
      <w:pPr>
        <w:autoSpaceDE w:val="0"/>
        <w:autoSpaceDN w:val="0"/>
        <w:rPr>
          <w:szCs w:val="21"/>
        </w:rPr>
      </w:pPr>
      <w:r>
        <w:rPr>
          <w:rFonts w:ascii="黑体" w:hAnsi="黑体" w:eastAsia="黑体"/>
          <w:szCs w:val="21"/>
        </w:rPr>
        <w:t>4.4.4.3</w:t>
      </w:r>
      <w:r>
        <w:rPr>
          <w:szCs w:val="21"/>
        </w:rPr>
        <w:t xml:space="preserve"> 将300 mL锥形瓶置于电热板上，低温微沸至试液体积约100 mL，取下，稍冷。摇动锥形瓶，滴加盐酸（4.2.14）至蓝色消失，再滴加氨水（4.2.15）至铜氨蓝色不再加深。加入1 mL氟化氢铵饱和溶液（4.2.11），5 mL冰醋酸（4.2.4），摇匀，冷却至室温。</w:t>
      </w:r>
    </w:p>
    <w:p>
      <w:pPr>
        <w:autoSpaceDE w:val="0"/>
        <w:autoSpaceDN w:val="0"/>
        <w:rPr>
          <w:szCs w:val="21"/>
        </w:rPr>
      </w:pPr>
      <w:r>
        <w:rPr>
          <w:rFonts w:ascii="黑体" w:hAnsi="黑体" w:eastAsia="黑体"/>
          <w:szCs w:val="21"/>
        </w:rPr>
        <w:t>4.4.4.4</w:t>
      </w:r>
      <w:r>
        <w:rPr>
          <w:szCs w:val="21"/>
        </w:rPr>
        <w:t xml:space="preserve"> 加入2 g～3 g碘化钾（4.2.3）， 摇动溶解。立即用硫代硫酸钠标准滴定溶液（4.2.20）滴定至浅黄色，加入2 mL淀粉溶液（4.2.17），继续滴定至浅蓝色，加入1 mL硫氰酸钾溶液（4.2.19），激烈摇振至蓝色不再加深，继续滴定至蓝色刚好消失为终点。</w:t>
      </w:r>
    </w:p>
    <w:p>
      <w:pPr>
        <w:autoSpaceDE w:val="0"/>
        <w:autoSpaceDN w:val="0"/>
        <w:spacing w:line="360" w:lineRule="auto"/>
        <w:rPr>
          <w:rFonts w:ascii="黑体" w:hAnsi="黑体" w:eastAsia="黑体"/>
          <w:szCs w:val="21"/>
        </w:rPr>
      </w:pPr>
      <w:r>
        <w:rPr>
          <w:rFonts w:ascii="黑体" w:hAnsi="黑体" w:eastAsia="黑体"/>
          <w:szCs w:val="21"/>
        </w:rPr>
        <w:t>4.5 试验数据处理</w:t>
      </w:r>
    </w:p>
    <w:p>
      <w:pPr>
        <w:ind w:firstLine="420" w:firstLineChars="200"/>
        <w:rPr>
          <w:szCs w:val="21"/>
        </w:rPr>
      </w:pPr>
      <w:r>
        <w:rPr>
          <w:szCs w:val="21"/>
        </w:rPr>
        <w:t>铜含量以铜的质量分数</w:t>
      </w:r>
      <w:r>
        <w:rPr>
          <w:i/>
          <w:szCs w:val="21"/>
        </w:rPr>
        <w:t>w</w:t>
      </w:r>
      <w:r>
        <w:rPr>
          <w:i/>
          <w:szCs w:val="21"/>
          <w:vertAlign w:val="subscript"/>
        </w:rPr>
        <w:t>Cu</w:t>
      </w:r>
      <w:r>
        <w:rPr>
          <w:szCs w:val="21"/>
        </w:rPr>
        <w:t>计，按公式（2）计算：</w:t>
      </w:r>
    </w:p>
    <w:p>
      <w:pPr>
        <w:ind w:firstLine="480" w:firstLineChars="200"/>
        <w:rPr>
          <w:sz w:val="24"/>
          <w:szCs w:val="24"/>
        </w:rPr>
      </w:pPr>
      <w:r>
        <w:rPr>
          <w:sz w:val="24"/>
          <w:szCs w:val="24"/>
        </w:rPr>
        <w:t xml:space="preserve">              </w:t>
      </w:r>
      <w:r>
        <w:rPr>
          <w:position w:val="-30"/>
          <w:sz w:val="24"/>
          <w:szCs w:val="24"/>
        </w:rPr>
        <w:object>
          <v:shape id="_x0000_i1026" o:spt="75" type="#_x0000_t75" style="height:33.9pt;width:189.2pt;" o:ole="t" filled="f" o:preferrelative="t" stroked="f" coordsize="21600,21600">
            <v:path/>
            <v:fill on="f" focussize="0,0"/>
            <v:stroke on="f" joinstyle="miter"/>
            <v:imagedata r:id="rId18" o:title=""/>
            <o:lock v:ext="edit" aspectratio="t"/>
            <w10:wrap type="none"/>
            <w10:anchorlock/>
          </v:shape>
          <o:OLEObject Type="Embed" ProgID="Equation.DSMT4" ShapeID="_x0000_i1026" DrawAspect="Content" ObjectID="_1468075726" r:id="rId17">
            <o:LockedField>false</o:LockedField>
          </o:OLEObject>
        </w:object>
      </w:r>
      <w:r>
        <w:rPr>
          <w:sz w:val="24"/>
          <w:szCs w:val="24"/>
        </w:rPr>
        <w:t>…………………………….（</w:t>
      </w:r>
      <w:r>
        <w:rPr>
          <w:rFonts w:hint="eastAsia"/>
          <w:sz w:val="24"/>
          <w:szCs w:val="24"/>
        </w:rPr>
        <w:t>2</w:t>
      </w:r>
      <w:r>
        <w:rPr>
          <w:sz w:val="24"/>
          <w:szCs w:val="24"/>
        </w:rPr>
        <w:t>）</w:t>
      </w:r>
    </w:p>
    <w:p>
      <w:pPr>
        <w:rPr>
          <w:szCs w:val="21"/>
        </w:rPr>
      </w:pPr>
      <w:r>
        <w:rPr>
          <w:sz w:val="24"/>
          <w:szCs w:val="24"/>
        </w:rPr>
        <w:t xml:space="preserve"> </w:t>
      </w:r>
      <w:r>
        <w:rPr>
          <w:szCs w:val="21"/>
        </w:rPr>
        <w:t xml:space="preserve">   式中：</w:t>
      </w:r>
    </w:p>
    <w:p>
      <w:pPr>
        <w:pStyle w:val="30"/>
        <w:widowControl w:val="0"/>
        <w:autoSpaceDE/>
        <w:autoSpaceDN/>
        <w:ind w:firstLine="420"/>
        <w:rPr>
          <w:rFonts w:ascii="Times New Roman"/>
          <w:sz w:val="21"/>
          <w:szCs w:val="21"/>
        </w:rPr>
      </w:pPr>
      <w:r>
        <w:rPr>
          <w:rFonts w:ascii="Times New Roman"/>
          <w:i/>
          <w:sz w:val="21"/>
          <w:szCs w:val="21"/>
        </w:rPr>
        <w:t>c</w:t>
      </w:r>
      <w:r>
        <w:rPr>
          <w:rFonts w:ascii="Times New Roman"/>
          <w:i/>
          <w:sz w:val="21"/>
          <w:szCs w:val="21"/>
          <w:vertAlign w:val="subscript"/>
        </w:rPr>
        <w:t>1</w:t>
      </w:r>
      <w:r>
        <w:rPr>
          <w:rFonts w:ascii="Times New Roman"/>
          <w:i/>
          <w:sz w:val="21"/>
          <w:szCs w:val="21"/>
        </w:rPr>
        <w:t xml:space="preserve"> </w:t>
      </w:r>
      <w:r>
        <w:rPr>
          <w:rFonts w:ascii="Times New Roman"/>
          <w:spacing w:val="6"/>
          <w:szCs w:val="21"/>
        </w:rPr>
        <w:t>——</w:t>
      </w:r>
      <w:r>
        <w:rPr>
          <w:rFonts w:ascii="Times New Roman"/>
          <w:sz w:val="21"/>
          <w:szCs w:val="21"/>
        </w:rPr>
        <w:t xml:space="preserve"> </w:t>
      </w:r>
      <w:r>
        <w:rPr>
          <w:rFonts w:ascii="Times New Roman"/>
          <w:kern w:val="2"/>
          <w:sz w:val="21"/>
          <w:szCs w:val="21"/>
        </w:rPr>
        <w:t>硫代硫酸钠标准</w:t>
      </w:r>
      <w:r>
        <w:rPr>
          <w:rFonts w:hint="eastAsia" w:ascii="Times New Roman"/>
          <w:kern w:val="2"/>
          <w:sz w:val="21"/>
          <w:szCs w:val="21"/>
        </w:rPr>
        <w:t>滴定</w:t>
      </w:r>
      <w:r>
        <w:rPr>
          <w:rFonts w:ascii="Times New Roman"/>
          <w:kern w:val="2"/>
          <w:sz w:val="21"/>
          <w:szCs w:val="21"/>
        </w:rPr>
        <w:t>溶液的浓度，单位为摩尔每升（mol /L）；</w:t>
      </w:r>
    </w:p>
    <w:p>
      <w:pPr>
        <w:pStyle w:val="30"/>
        <w:widowControl w:val="0"/>
        <w:autoSpaceDE/>
        <w:autoSpaceDN/>
        <w:ind w:firstLine="420"/>
        <w:rPr>
          <w:rFonts w:ascii="Times New Roman"/>
          <w:sz w:val="21"/>
          <w:szCs w:val="21"/>
        </w:rPr>
      </w:pPr>
      <w:r>
        <w:rPr>
          <w:rFonts w:ascii="Times New Roman"/>
          <w:i/>
          <w:sz w:val="21"/>
          <w:szCs w:val="21"/>
        </w:rPr>
        <w:t>V</w:t>
      </w:r>
      <w:r>
        <w:rPr>
          <w:rFonts w:ascii="Times New Roman"/>
          <w:sz w:val="21"/>
          <w:szCs w:val="21"/>
          <w:vertAlign w:val="subscript"/>
        </w:rPr>
        <w:t xml:space="preserve">3 </w:t>
      </w:r>
      <w:r>
        <w:rPr>
          <w:rFonts w:ascii="Times New Roman"/>
          <w:spacing w:val="6"/>
          <w:szCs w:val="21"/>
        </w:rPr>
        <w:t>——</w:t>
      </w:r>
      <w:r>
        <w:rPr>
          <w:rFonts w:ascii="Times New Roman"/>
          <w:sz w:val="21"/>
          <w:szCs w:val="21"/>
        </w:rPr>
        <w:t xml:space="preserve"> </w:t>
      </w:r>
      <w:r>
        <w:rPr>
          <w:rFonts w:ascii="Times New Roman"/>
          <w:kern w:val="2"/>
          <w:sz w:val="21"/>
          <w:szCs w:val="21"/>
        </w:rPr>
        <w:t>滴定试</w:t>
      </w:r>
      <w:r>
        <w:rPr>
          <w:rFonts w:hint="eastAsia" w:ascii="Times New Roman"/>
          <w:kern w:val="2"/>
          <w:sz w:val="21"/>
          <w:szCs w:val="21"/>
        </w:rPr>
        <w:t>料</w:t>
      </w:r>
      <w:r>
        <w:rPr>
          <w:rFonts w:ascii="Times New Roman"/>
          <w:kern w:val="2"/>
          <w:sz w:val="21"/>
          <w:szCs w:val="21"/>
        </w:rPr>
        <w:t>消耗硫代硫酸钠标准</w:t>
      </w:r>
      <w:r>
        <w:rPr>
          <w:rFonts w:hint="eastAsia" w:ascii="Times New Roman"/>
          <w:kern w:val="2"/>
          <w:sz w:val="21"/>
          <w:szCs w:val="21"/>
        </w:rPr>
        <w:t>滴定</w:t>
      </w:r>
      <w:r>
        <w:rPr>
          <w:rFonts w:ascii="Times New Roman"/>
          <w:kern w:val="2"/>
          <w:sz w:val="21"/>
          <w:szCs w:val="21"/>
        </w:rPr>
        <w:t>溶液的体积，单位为毫升（mL）；</w:t>
      </w:r>
    </w:p>
    <w:p>
      <w:pPr>
        <w:pStyle w:val="30"/>
        <w:widowControl w:val="0"/>
        <w:autoSpaceDE/>
        <w:autoSpaceDN/>
        <w:ind w:firstLine="420"/>
        <w:rPr>
          <w:rFonts w:ascii="Times New Roman"/>
          <w:sz w:val="21"/>
          <w:szCs w:val="21"/>
        </w:rPr>
      </w:pPr>
      <w:r>
        <w:rPr>
          <w:rFonts w:ascii="Times New Roman"/>
          <w:i/>
          <w:sz w:val="21"/>
          <w:szCs w:val="21"/>
        </w:rPr>
        <w:t>V</w:t>
      </w:r>
      <w:r>
        <w:rPr>
          <w:rFonts w:ascii="Times New Roman"/>
          <w:sz w:val="21"/>
          <w:szCs w:val="21"/>
          <w:vertAlign w:val="subscript"/>
        </w:rPr>
        <w:t xml:space="preserve">4 </w:t>
      </w:r>
      <w:r>
        <w:rPr>
          <w:rFonts w:ascii="Times New Roman"/>
          <w:spacing w:val="6"/>
          <w:szCs w:val="21"/>
        </w:rPr>
        <w:t>——</w:t>
      </w:r>
      <w:r>
        <w:rPr>
          <w:rFonts w:ascii="Times New Roman"/>
          <w:sz w:val="21"/>
          <w:szCs w:val="21"/>
        </w:rPr>
        <w:t xml:space="preserve"> </w:t>
      </w:r>
      <w:r>
        <w:rPr>
          <w:rFonts w:ascii="Times New Roman"/>
          <w:kern w:val="2"/>
          <w:sz w:val="21"/>
          <w:szCs w:val="21"/>
        </w:rPr>
        <w:t>滴定试</w:t>
      </w:r>
      <w:r>
        <w:rPr>
          <w:rFonts w:hint="eastAsia" w:ascii="Times New Roman"/>
          <w:kern w:val="2"/>
          <w:sz w:val="21"/>
          <w:szCs w:val="21"/>
        </w:rPr>
        <w:t>料</w:t>
      </w:r>
      <w:r>
        <w:rPr>
          <w:rFonts w:ascii="Times New Roman"/>
          <w:kern w:val="2"/>
          <w:sz w:val="21"/>
          <w:szCs w:val="21"/>
        </w:rPr>
        <w:t>空白试验消耗的硫代硫酸钠标准</w:t>
      </w:r>
      <w:r>
        <w:rPr>
          <w:rFonts w:hint="eastAsia" w:ascii="Times New Roman"/>
          <w:kern w:val="2"/>
          <w:sz w:val="21"/>
          <w:szCs w:val="21"/>
        </w:rPr>
        <w:t>滴定</w:t>
      </w:r>
      <w:r>
        <w:rPr>
          <w:rFonts w:ascii="Times New Roman"/>
          <w:kern w:val="2"/>
          <w:sz w:val="21"/>
          <w:szCs w:val="21"/>
        </w:rPr>
        <w:t>溶液的体积，单位为毫升（mL）；</w:t>
      </w:r>
    </w:p>
    <w:p>
      <w:pPr>
        <w:pStyle w:val="30"/>
        <w:widowControl w:val="0"/>
        <w:autoSpaceDE/>
        <w:autoSpaceDN/>
        <w:ind w:firstLine="420"/>
        <w:rPr>
          <w:rFonts w:ascii="Times New Roman"/>
          <w:sz w:val="21"/>
          <w:szCs w:val="21"/>
        </w:rPr>
      </w:pPr>
      <w:r>
        <w:rPr>
          <w:rFonts w:ascii="Times New Roman"/>
          <w:i/>
          <w:sz w:val="21"/>
          <w:szCs w:val="21"/>
        </w:rPr>
        <w:t>m</w:t>
      </w:r>
      <w:r>
        <w:rPr>
          <w:rFonts w:ascii="Times New Roman"/>
          <w:sz w:val="21"/>
          <w:szCs w:val="21"/>
          <w:vertAlign w:val="subscript"/>
        </w:rPr>
        <w:t xml:space="preserve">2 </w:t>
      </w:r>
      <w:r>
        <w:rPr>
          <w:rFonts w:ascii="Times New Roman"/>
          <w:spacing w:val="6"/>
          <w:szCs w:val="21"/>
        </w:rPr>
        <w:t xml:space="preserve">—— </w:t>
      </w:r>
      <w:r>
        <w:rPr>
          <w:rFonts w:ascii="Times New Roman"/>
          <w:kern w:val="2"/>
          <w:sz w:val="21"/>
          <w:szCs w:val="21"/>
        </w:rPr>
        <w:t>试料的质量，单位为克（g）；</w:t>
      </w:r>
    </w:p>
    <w:p>
      <w:pPr>
        <w:snapToGrid w:val="0"/>
        <w:ind w:firstLine="420" w:firstLineChars="200"/>
        <w:rPr>
          <w:szCs w:val="21"/>
        </w:rPr>
      </w:pPr>
      <w:r>
        <w:rPr>
          <w:i/>
          <w:iCs/>
          <w:szCs w:val="21"/>
        </w:rPr>
        <w:t>M</w:t>
      </w:r>
      <w:r>
        <w:rPr>
          <w:szCs w:val="21"/>
        </w:rPr>
        <w:t xml:space="preserve"> </w:t>
      </w:r>
      <w:r>
        <w:rPr>
          <w:spacing w:val="6"/>
          <w:szCs w:val="21"/>
        </w:rPr>
        <w:t xml:space="preserve">—— </w:t>
      </w:r>
      <w:r>
        <w:rPr>
          <w:szCs w:val="21"/>
        </w:rPr>
        <w:t>铜的摩尔质量，单位为克每摩尔（g/mol），数值为63.55。</w:t>
      </w:r>
    </w:p>
    <w:p>
      <w:pPr>
        <w:tabs>
          <w:tab w:val="left" w:pos="1350"/>
        </w:tabs>
        <w:ind w:firstLine="435"/>
        <w:rPr>
          <w:szCs w:val="21"/>
        </w:rPr>
      </w:pPr>
      <w:r>
        <w:rPr>
          <w:szCs w:val="21"/>
        </w:rPr>
        <w:t>计算结果保留至小数点后二位。</w:t>
      </w:r>
    </w:p>
    <w:p>
      <w:pPr>
        <w:spacing w:line="360" w:lineRule="auto"/>
        <w:rPr>
          <w:rFonts w:ascii="黑体" w:hAnsi="黑体" w:eastAsia="黑体"/>
          <w:szCs w:val="21"/>
        </w:rPr>
      </w:pPr>
      <w:r>
        <w:rPr>
          <w:rFonts w:ascii="黑体" w:hAnsi="黑体" w:eastAsia="黑体"/>
          <w:szCs w:val="21"/>
        </w:rPr>
        <w:t>4.6 精密度</w:t>
      </w:r>
      <w:r>
        <w:rPr>
          <w:rFonts w:ascii="黑体" w:hAnsi="黑体" w:eastAsia="黑体"/>
          <w:szCs w:val="21"/>
        </w:rPr>
        <w:tab/>
      </w:r>
    </w:p>
    <w:p>
      <w:pPr>
        <w:spacing w:line="360" w:lineRule="auto"/>
        <w:rPr>
          <w:rFonts w:ascii="黑体" w:hAnsi="黑体" w:eastAsia="黑体"/>
          <w:szCs w:val="21"/>
        </w:rPr>
      </w:pPr>
      <w:r>
        <w:rPr>
          <w:rFonts w:ascii="黑体" w:hAnsi="黑体" w:eastAsia="黑体"/>
          <w:szCs w:val="21"/>
        </w:rPr>
        <w:t>4.6.1 重复性</w:t>
      </w:r>
    </w:p>
    <w:p>
      <w:pPr>
        <w:ind w:firstLine="437"/>
        <w:rPr>
          <w:bCs/>
          <w:szCs w:val="21"/>
        </w:rPr>
      </w:pPr>
      <w:r>
        <w:rPr>
          <w:rFonts w:hint="eastAsia"/>
          <w:bCs/>
          <w:szCs w:val="21"/>
        </w:rPr>
        <w:t>在重复性条件下获得的两次独立测试结果的测定值，在表2给出的平均值范围内，这两个测试结果的绝对差值不超过重复性限</w:t>
      </w:r>
      <w:r>
        <w:rPr>
          <w:bCs/>
          <w:szCs w:val="21"/>
        </w:rPr>
        <w:t>（</w:t>
      </w:r>
      <w:r>
        <w:rPr>
          <w:bCs/>
          <w:i/>
          <w:szCs w:val="21"/>
        </w:rPr>
        <w:t>r</w:t>
      </w:r>
      <w:r>
        <w:rPr>
          <w:bCs/>
          <w:szCs w:val="21"/>
        </w:rPr>
        <w:t>）</w:t>
      </w:r>
      <w:r>
        <w:rPr>
          <w:rFonts w:hint="eastAsia"/>
          <w:bCs/>
          <w:szCs w:val="21"/>
        </w:rPr>
        <w:t>,超过重复性限</w:t>
      </w:r>
      <w:r>
        <w:rPr>
          <w:bCs/>
          <w:szCs w:val="21"/>
        </w:rPr>
        <w:t>（</w:t>
      </w:r>
      <w:r>
        <w:rPr>
          <w:bCs/>
          <w:i/>
          <w:szCs w:val="21"/>
        </w:rPr>
        <w:t>r</w:t>
      </w:r>
      <w:r>
        <w:rPr>
          <w:bCs/>
          <w:szCs w:val="21"/>
        </w:rPr>
        <w:t>）</w:t>
      </w:r>
      <w:r>
        <w:rPr>
          <w:rFonts w:hint="eastAsia"/>
          <w:bCs/>
          <w:szCs w:val="21"/>
        </w:rPr>
        <w:t>的情况不超过5%，重复性限</w:t>
      </w:r>
      <w:r>
        <w:rPr>
          <w:bCs/>
          <w:szCs w:val="21"/>
        </w:rPr>
        <w:t>（</w:t>
      </w:r>
      <w:r>
        <w:rPr>
          <w:bCs/>
          <w:i/>
          <w:szCs w:val="21"/>
        </w:rPr>
        <w:t>r</w:t>
      </w:r>
      <w:r>
        <w:rPr>
          <w:bCs/>
          <w:szCs w:val="21"/>
        </w:rPr>
        <w:t>）</w:t>
      </w:r>
      <w:r>
        <w:rPr>
          <w:rFonts w:hint="eastAsia"/>
          <w:bCs/>
          <w:szCs w:val="21"/>
        </w:rPr>
        <w:t>按表2数据采用线性内插法或外延法求得。精密度试验原始数据参见附录A。</w:t>
      </w:r>
    </w:p>
    <w:p>
      <w:pPr>
        <w:pStyle w:val="30"/>
        <w:spacing w:after="156" w:afterLines="50"/>
        <w:ind w:firstLine="105" w:firstLineChars="50"/>
        <w:jc w:val="center"/>
        <w:rPr>
          <w:rFonts w:ascii="Times New Roman" w:eastAsia="黑体"/>
          <w:sz w:val="21"/>
          <w:szCs w:val="21"/>
        </w:rPr>
      </w:pPr>
      <w:r>
        <w:rPr>
          <w:rFonts w:ascii="Times New Roman" w:eastAsia="黑体"/>
          <w:sz w:val="21"/>
          <w:szCs w:val="21"/>
        </w:rPr>
        <w:t>表2 重复性限</w:t>
      </w:r>
      <w:r>
        <w:rPr>
          <w:bCs/>
          <w:szCs w:val="21"/>
        </w:rPr>
        <w:t>（</w:t>
      </w:r>
      <w:r>
        <w:rPr>
          <w:bCs/>
          <w:i/>
          <w:szCs w:val="21"/>
        </w:rPr>
        <w:t>r</w:t>
      </w:r>
      <w:r>
        <w:rPr>
          <w:bCs/>
          <w:szCs w:val="21"/>
        </w:rPr>
        <w:t>）</w:t>
      </w:r>
    </w:p>
    <w:tbl>
      <w:tblPr>
        <w:tblStyle w:val="1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510"/>
        <w:gridCol w:w="1509"/>
        <w:gridCol w:w="1510"/>
        <w:gridCol w:w="1509"/>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tcBorders>
              <w:top w:val="single" w:color="auto" w:sz="12" w:space="0"/>
              <w:left w:val="single" w:color="auto" w:sz="12" w:space="0"/>
              <w:bottom w:val="single" w:color="auto" w:sz="4" w:space="0"/>
            </w:tcBorders>
            <w:vAlign w:val="center"/>
          </w:tcPr>
          <w:p>
            <w:pPr>
              <w:jc w:val="center"/>
              <w:rPr>
                <w:bCs/>
                <w:sz w:val="18"/>
                <w:szCs w:val="18"/>
              </w:rPr>
            </w:pPr>
            <w:r>
              <w:rPr>
                <w:i/>
                <w:sz w:val="18"/>
                <w:szCs w:val="18"/>
              </w:rPr>
              <w:t>w</w:t>
            </w:r>
            <w:r>
              <w:rPr>
                <w:i/>
                <w:sz w:val="18"/>
                <w:szCs w:val="18"/>
                <w:vertAlign w:val="subscript"/>
              </w:rPr>
              <w:t>Cu</w:t>
            </w:r>
            <w:r>
              <w:rPr>
                <w:sz w:val="18"/>
                <w:szCs w:val="18"/>
              </w:rPr>
              <w:t>/ %</w:t>
            </w:r>
          </w:p>
        </w:tc>
        <w:tc>
          <w:tcPr>
            <w:tcW w:w="1510" w:type="dxa"/>
            <w:tcBorders>
              <w:top w:val="single" w:color="auto" w:sz="12" w:space="0"/>
            </w:tcBorders>
            <w:vAlign w:val="center"/>
          </w:tcPr>
          <w:p>
            <w:pPr>
              <w:jc w:val="center"/>
              <w:rPr>
                <w:sz w:val="18"/>
                <w:szCs w:val="18"/>
              </w:rPr>
            </w:pPr>
          </w:p>
        </w:tc>
        <w:tc>
          <w:tcPr>
            <w:tcW w:w="1509" w:type="dxa"/>
            <w:tcBorders>
              <w:top w:val="single" w:color="auto" w:sz="12" w:space="0"/>
            </w:tcBorders>
            <w:vAlign w:val="center"/>
          </w:tcPr>
          <w:p>
            <w:pPr>
              <w:jc w:val="center"/>
              <w:rPr>
                <w:sz w:val="18"/>
                <w:szCs w:val="18"/>
              </w:rPr>
            </w:pPr>
          </w:p>
        </w:tc>
        <w:tc>
          <w:tcPr>
            <w:tcW w:w="1510" w:type="dxa"/>
            <w:tcBorders>
              <w:top w:val="single" w:color="auto" w:sz="12" w:space="0"/>
            </w:tcBorders>
            <w:vAlign w:val="center"/>
          </w:tcPr>
          <w:p>
            <w:pPr>
              <w:jc w:val="center"/>
              <w:rPr>
                <w:sz w:val="18"/>
                <w:szCs w:val="18"/>
              </w:rPr>
            </w:pPr>
          </w:p>
        </w:tc>
        <w:tc>
          <w:tcPr>
            <w:tcW w:w="1509" w:type="dxa"/>
            <w:tcBorders>
              <w:top w:val="single" w:color="auto" w:sz="12" w:space="0"/>
            </w:tcBorders>
            <w:vAlign w:val="center"/>
          </w:tcPr>
          <w:p>
            <w:pPr>
              <w:jc w:val="center"/>
              <w:rPr>
                <w:sz w:val="18"/>
                <w:szCs w:val="18"/>
              </w:rPr>
            </w:pPr>
          </w:p>
        </w:tc>
        <w:tc>
          <w:tcPr>
            <w:tcW w:w="1510" w:type="dxa"/>
            <w:tcBorders>
              <w:top w:val="single" w:color="auto" w:sz="12" w:space="0"/>
            </w:tcBorders>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9" w:type="dxa"/>
            <w:tcBorders>
              <w:top w:val="single" w:color="auto" w:sz="4" w:space="0"/>
              <w:left w:val="single" w:color="auto" w:sz="12" w:space="0"/>
              <w:bottom w:val="single" w:color="auto" w:sz="12" w:space="0"/>
            </w:tcBorders>
            <w:vAlign w:val="center"/>
          </w:tcPr>
          <w:p>
            <w:pPr>
              <w:jc w:val="center"/>
              <w:rPr>
                <w:bCs/>
                <w:sz w:val="18"/>
                <w:szCs w:val="18"/>
              </w:rPr>
            </w:pPr>
            <w:r>
              <w:rPr>
                <w:bCs/>
                <w:i/>
                <w:sz w:val="18"/>
                <w:szCs w:val="18"/>
              </w:rPr>
              <w:t xml:space="preserve">r </w:t>
            </w:r>
            <w:r>
              <w:rPr>
                <w:bCs/>
                <w:sz w:val="18"/>
                <w:szCs w:val="18"/>
              </w:rPr>
              <w:t>/ %</w:t>
            </w:r>
          </w:p>
        </w:tc>
        <w:tc>
          <w:tcPr>
            <w:tcW w:w="1510" w:type="dxa"/>
            <w:tcBorders>
              <w:bottom w:val="single" w:color="auto" w:sz="12" w:space="0"/>
            </w:tcBorders>
            <w:vAlign w:val="center"/>
          </w:tcPr>
          <w:p>
            <w:pPr>
              <w:jc w:val="center"/>
              <w:rPr>
                <w:sz w:val="18"/>
                <w:szCs w:val="18"/>
              </w:rPr>
            </w:pPr>
          </w:p>
        </w:tc>
        <w:tc>
          <w:tcPr>
            <w:tcW w:w="1509" w:type="dxa"/>
            <w:tcBorders>
              <w:bottom w:val="single" w:color="auto" w:sz="12" w:space="0"/>
            </w:tcBorders>
            <w:vAlign w:val="center"/>
          </w:tcPr>
          <w:p>
            <w:pPr>
              <w:jc w:val="center"/>
              <w:rPr>
                <w:sz w:val="18"/>
                <w:szCs w:val="18"/>
              </w:rPr>
            </w:pPr>
          </w:p>
        </w:tc>
        <w:tc>
          <w:tcPr>
            <w:tcW w:w="1510" w:type="dxa"/>
            <w:tcBorders>
              <w:bottom w:val="single" w:color="auto" w:sz="12" w:space="0"/>
            </w:tcBorders>
            <w:vAlign w:val="center"/>
          </w:tcPr>
          <w:p>
            <w:pPr>
              <w:jc w:val="center"/>
              <w:rPr>
                <w:sz w:val="18"/>
                <w:szCs w:val="18"/>
              </w:rPr>
            </w:pPr>
          </w:p>
        </w:tc>
        <w:tc>
          <w:tcPr>
            <w:tcW w:w="1509" w:type="dxa"/>
            <w:tcBorders>
              <w:bottom w:val="single" w:color="auto" w:sz="12" w:space="0"/>
            </w:tcBorders>
            <w:vAlign w:val="center"/>
          </w:tcPr>
          <w:p>
            <w:pPr>
              <w:jc w:val="center"/>
              <w:rPr>
                <w:sz w:val="18"/>
                <w:szCs w:val="18"/>
              </w:rPr>
            </w:pPr>
          </w:p>
        </w:tc>
        <w:tc>
          <w:tcPr>
            <w:tcW w:w="1510" w:type="dxa"/>
            <w:tcBorders>
              <w:bottom w:val="single" w:color="auto" w:sz="12" w:space="0"/>
            </w:tcBorders>
          </w:tcPr>
          <w:p>
            <w:pPr>
              <w:jc w:val="center"/>
              <w:rPr>
                <w:sz w:val="18"/>
                <w:szCs w:val="18"/>
              </w:rPr>
            </w:pPr>
          </w:p>
        </w:tc>
      </w:tr>
    </w:tbl>
    <w:p>
      <w:pPr>
        <w:spacing w:line="360" w:lineRule="auto"/>
        <w:rPr>
          <w:rFonts w:ascii="黑体" w:hAnsi="黑体" w:eastAsia="黑体"/>
          <w:szCs w:val="21"/>
        </w:rPr>
      </w:pPr>
      <w:r>
        <w:rPr>
          <w:rFonts w:ascii="黑体" w:hAnsi="黑体" w:eastAsia="黑体"/>
          <w:szCs w:val="21"/>
        </w:rPr>
        <w:t>4.6.2 再现性</w:t>
      </w:r>
    </w:p>
    <w:p>
      <w:pPr>
        <w:ind w:firstLine="437"/>
        <w:rPr>
          <w:bCs/>
          <w:szCs w:val="21"/>
        </w:rPr>
      </w:pPr>
      <w:r>
        <w:rPr>
          <w:rFonts w:hint="eastAsia"/>
          <w:bCs/>
          <w:szCs w:val="21"/>
        </w:rPr>
        <w:t>在重复性条件下获得的两次独立测试结果的测定值，在表</w:t>
      </w:r>
      <w:r>
        <w:rPr>
          <w:bCs/>
          <w:szCs w:val="21"/>
        </w:rPr>
        <w:t>3</w:t>
      </w:r>
      <w:r>
        <w:rPr>
          <w:rFonts w:hint="eastAsia"/>
          <w:bCs/>
          <w:szCs w:val="21"/>
        </w:rPr>
        <w:t>给出的平均值范围内，这两个测试结果的绝对差值不超过</w:t>
      </w:r>
      <w:r>
        <w:rPr>
          <w:bCs/>
          <w:szCs w:val="21"/>
        </w:rPr>
        <w:t>再现性限（</w:t>
      </w:r>
      <w:r>
        <w:rPr>
          <w:bCs/>
          <w:i/>
          <w:szCs w:val="21"/>
        </w:rPr>
        <w:t>R</w:t>
      </w:r>
      <w:r>
        <w:rPr>
          <w:bCs/>
          <w:szCs w:val="21"/>
        </w:rPr>
        <w:t>）</w:t>
      </w:r>
      <w:r>
        <w:rPr>
          <w:rFonts w:hint="eastAsia"/>
          <w:bCs/>
          <w:szCs w:val="21"/>
        </w:rPr>
        <w:t>,超过</w:t>
      </w:r>
      <w:r>
        <w:rPr>
          <w:bCs/>
          <w:szCs w:val="21"/>
        </w:rPr>
        <w:t>再现性限（</w:t>
      </w:r>
      <w:r>
        <w:rPr>
          <w:bCs/>
          <w:i/>
          <w:szCs w:val="21"/>
        </w:rPr>
        <w:t>R</w:t>
      </w:r>
      <w:r>
        <w:rPr>
          <w:bCs/>
          <w:szCs w:val="21"/>
        </w:rPr>
        <w:t>）</w:t>
      </w:r>
      <w:r>
        <w:rPr>
          <w:rFonts w:hint="eastAsia"/>
          <w:bCs/>
          <w:szCs w:val="21"/>
        </w:rPr>
        <w:t>的情况不超过5%，</w:t>
      </w:r>
      <w:r>
        <w:rPr>
          <w:bCs/>
          <w:szCs w:val="21"/>
        </w:rPr>
        <w:t>再现性限（</w:t>
      </w:r>
      <w:r>
        <w:rPr>
          <w:bCs/>
          <w:i/>
          <w:szCs w:val="21"/>
        </w:rPr>
        <w:t>R</w:t>
      </w:r>
      <w:r>
        <w:rPr>
          <w:bCs/>
          <w:szCs w:val="21"/>
        </w:rPr>
        <w:t>）</w:t>
      </w:r>
      <w:r>
        <w:rPr>
          <w:rFonts w:hint="eastAsia"/>
          <w:bCs/>
          <w:szCs w:val="21"/>
        </w:rPr>
        <w:t>按表3数据采用线性内插法或外延法求得。精密度试验原始数据参见附录A。</w:t>
      </w:r>
    </w:p>
    <w:p>
      <w:pPr>
        <w:pStyle w:val="30"/>
        <w:spacing w:after="156" w:afterLines="50"/>
        <w:ind w:firstLine="105" w:firstLineChars="50"/>
        <w:jc w:val="center"/>
        <w:rPr>
          <w:rFonts w:ascii="Times New Roman" w:eastAsia="黑体"/>
          <w:sz w:val="21"/>
          <w:szCs w:val="21"/>
        </w:rPr>
      </w:pPr>
      <w:r>
        <w:rPr>
          <w:rFonts w:ascii="Times New Roman" w:eastAsia="黑体"/>
          <w:sz w:val="21"/>
          <w:szCs w:val="21"/>
        </w:rPr>
        <w:t>表3 再现性限</w:t>
      </w:r>
      <w:r>
        <w:rPr>
          <w:bCs/>
          <w:szCs w:val="21"/>
        </w:rPr>
        <w:t>（</w:t>
      </w:r>
      <w:r>
        <w:rPr>
          <w:bCs/>
          <w:i/>
          <w:szCs w:val="21"/>
        </w:rPr>
        <w:t>R</w:t>
      </w:r>
      <w:r>
        <w:rPr>
          <w:bCs/>
          <w:szCs w:val="21"/>
        </w:rPr>
        <w:t>）</w:t>
      </w:r>
    </w:p>
    <w:tbl>
      <w:tblPr>
        <w:tblStyle w:val="15"/>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486"/>
        <w:gridCol w:w="1486"/>
        <w:gridCol w:w="1486"/>
        <w:gridCol w:w="1486"/>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486" w:type="dxa"/>
            <w:tcBorders>
              <w:top w:val="single" w:color="auto" w:sz="12" w:space="0"/>
              <w:left w:val="single" w:color="auto" w:sz="12" w:space="0"/>
              <w:bottom w:val="single" w:color="auto" w:sz="8" w:space="0"/>
            </w:tcBorders>
          </w:tcPr>
          <w:p>
            <w:pPr>
              <w:jc w:val="center"/>
              <w:rPr>
                <w:bCs/>
                <w:sz w:val="18"/>
                <w:szCs w:val="18"/>
              </w:rPr>
            </w:pPr>
            <w:r>
              <w:rPr>
                <w:i/>
                <w:sz w:val="18"/>
                <w:szCs w:val="18"/>
              </w:rPr>
              <w:t>w</w:t>
            </w:r>
            <w:r>
              <w:rPr>
                <w:i/>
                <w:sz w:val="18"/>
                <w:szCs w:val="18"/>
                <w:vertAlign w:val="subscript"/>
              </w:rPr>
              <w:t>Cu</w:t>
            </w:r>
            <w:r>
              <w:rPr>
                <w:sz w:val="18"/>
                <w:szCs w:val="18"/>
              </w:rPr>
              <w:t>/%</w:t>
            </w:r>
          </w:p>
        </w:tc>
        <w:tc>
          <w:tcPr>
            <w:tcW w:w="1486" w:type="dxa"/>
            <w:tcBorders>
              <w:top w:val="single" w:color="auto" w:sz="12" w:space="0"/>
            </w:tcBorders>
            <w:vAlign w:val="center"/>
          </w:tcPr>
          <w:p>
            <w:pPr>
              <w:jc w:val="center"/>
              <w:rPr>
                <w:sz w:val="18"/>
                <w:szCs w:val="18"/>
              </w:rPr>
            </w:pPr>
          </w:p>
        </w:tc>
        <w:tc>
          <w:tcPr>
            <w:tcW w:w="1486" w:type="dxa"/>
            <w:tcBorders>
              <w:top w:val="single" w:color="auto" w:sz="12" w:space="0"/>
            </w:tcBorders>
            <w:vAlign w:val="center"/>
          </w:tcPr>
          <w:p>
            <w:pPr>
              <w:jc w:val="center"/>
              <w:rPr>
                <w:sz w:val="18"/>
                <w:szCs w:val="18"/>
              </w:rPr>
            </w:pPr>
          </w:p>
        </w:tc>
        <w:tc>
          <w:tcPr>
            <w:tcW w:w="1486" w:type="dxa"/>
            <w:tcBorders>
              <w:top w:val="single" w:color="auto" w:sz="12" w:space="0"/>
            </w:tcBorders>
            <w:vAlign w:val="center"/>
          </w:tcPr>
          <w:p>
            <w:pPr>
              <w:jc w:val="center"/>
              <w:rPr>
                <w:sz w:val="18"/>
                <w:szCs w:val="18"/>
              </w:rPr>
            </w:pPr>
          </w:p>
        </w:tc>
        <w:tc>
          <w:tcPr>
            <w:tcW w:w="1486" w:type="dxa"/>
            <w:tcBorders>
              <w:top w:val="single" w:color="auto" w:sz="12" w:space="0"/>
            </w:tcBorders>
            <w:vAlign w:val="center"/>
          </w:tcPr>
          <w:p>
            <w:pPr>
              <w:jc w:val="center"/>
              <w:rPr>
                <w:sz w:val="18"/>
                <w:szCs w:val="18"/>
              </w:rPr>
            </w:pPr>
          </w:p>
        </w:tc>
        <w:tc>
          <w:tcPr>
            <w:tcW w:w="1486" w:type="dxa"/>
            <w:tcBorders>
              <w:top w:val="single" w:color="auto" w:sz="12" w:space="0"/>
            </w:tcBorders>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486" w:type="dxa"/>
            <w:tcBorders>
              <w:top w:val="single" w:color="auto" w:sz="8" w:space="0"/>
              <w:left w:val="single" w:color="auto" w:sz="12" w:space="0"/>
              <w:bottom w:val="single" w:color="auto" w:sz="12" w:space="0"/>
            </w:tcBorders>
          </w:tcPr>
          <w:p>
            <w:pPr>
              <w:jc w:val="center"/>
              <w:rPr>
                <w:bCs/>
                <w:sz w:val="18"/>
                <w:szCs w:val="18"/>
              </w:rPr>
            </w:pPr>
            <w:r>
              <w:rPr>
                <w:bCs/>
                <w:i/>
                <w:sz w:val="18"/>
                <w:szCs w:val="18"/>
              </w:rPr>
              <w:t>R</w:t>
            </w:r>
            <w:r>
              <w:rPr>
                <w:bCs/>
                <w:sz w:val="18"/>
                <w:szCs w:val="18"/>
              </w:rPr>
              <w:t xml:space="preserve"> / %</w:t>
            </w:r>
          </w:p>
        </w:tc>
        <w:tc>
          <w:tcPr>
            <w:tcW w:w="1486" w:type="dxa"/>
            <w:tcBorders>
              <w:bottom w:val="single" w:color="auto" w:sz="12" w:space="0"/>
            </w:tcBorders>
            <w:vAlign w:val="center"/>
          </w:tcPr>
          <w:p>
            <w:pPr>
              <w:jc w:val="center"/>
              <w:rPr>
                <w:sz w:val="18"/>
                <w:szCs w:val="18"/>
              </w:rPr>
            </w:pPr>
          </w:p>
        </w:tc>
        <w:tc>
          <w:tcPr>
            <w:tcW w:w="1486" w:type="dxa"/>
            <w:tcBorders>
              <w:bottom w:val="single" w:color="auto" w:sz="12" w:space="0"/>
            </w:tcBorders>
            <w:vAlign w:val="center"/>
          </w:tcPr>
          <w:p>
            <w:pPr>
              <w:jc w:val="center"/>
              <w:rPr>
                <w:sz w:val="18"/>
                <w:szCs w:val="18"/>
              </w:rPr>
            </w:pPr>
          </w:p>
        </w:tc>
        <w:tc>
          <w:tcPr>
            <w:tcW w:w="1486" w:type="dxa"/>
            <w:tcBorders>
              <w:bottom w:val="single" w:color="auto" w:sz="12" w:space="0"/>
            </w:tcBorders>
            <w:vAlign w:val="center"/>
          </w:tcPr>
          <w:p>
            <w:pPr>
              <w:jc w:val="center"/>
              <w:rPr>
                <w:sz w:val="18"/>
                <w:szCs w:val="18"/>
              </w:rPr>
            </w:pPr>
          </w:p>
        </w:tc>
        <w:tc>
          <w:tcPr>
            <w:tcW w:w="1486" w:type="dxa"/>
            <w:tcBorders>
              <w:bottom w:val="single" w:color="auto" w:sz="12" w:space="0"/>
            </w:tcBorders>
            <w:vAlign w:val="center"/>
          </w:tcPr>
          <w:p>
            <w:pPr>
              <w:jc w:val="center"/>
              <w:rPr>
                <w:sz w:val="18"/>
                <w:szCs w:val="18"/>
              </w:rPr>
            </w:pPr>
          </w:p>
        </w:tc>
        <w:tc>
          <w:tcPr>
            <w:tcW w:w="1486" w:type="dxa"/>
            <w:tcBorders>
              <w:bottom w:val="single" w:color="auto" w:sz="12" w:space="0"/>
            </w:tcBorders>
          </w:tcPr>
          <w:p>
            <w:pPr>
              <w:jc w:val="center"/>
              <w:rPr>
                <w:sz w:val="18"/>
                <w:szCs w:val="18"/>
              </w:rPr>
            </w:pPr>
          </w:p>
        </w:tc>
      </w:tr>
    </w:tbl>
    <w:p>
      <w:pPr>
        <w:rPr>
          <w:szCs w:val="21"/>
        </w:rPr>
      </w:pPr>
    </w:p>
    <w:p>
      <w:pPr>
        <w:autoSpaceDE w:val="0"/>
        <w:autoSpaceDN w:val="0"/>
        <w:adjustRightInd w:val="0"/>
        <w:spacing w:line="360" w:lineRule="auto"/>
        <w:rPr>
          <w:rFonts w:ascii="黑体" w:hAnsi="黑体" w:eastAsia="黑体"/>
          <w:bCs/>
          <w:szCs w:val="21"/>
        </w:rPr>
      </w:pPr>
      <w:r>
        <w:rPr>
          <w:rFonts w:ascii="黑体" w:hAnsi="黑体" w:eastAsia="黑体"/>
          <w:bCs/>
          <w:szCs w:val="21"/>
        </w:rPr>
        <w:t xml:space="preserve">5 </w:t>
      </w:r>
      <w:r>
        <w:rPr>
          <w:rFonts w:hint="eastAsia" w:ascii="黑体" w:hAnsi="黑体" w:eastAsia="黑体"/>
          <w:bCs/>
          <w:szCs w:val="21"/>
        </w:rPr>
        <w:t>火焰原子吸收光谱法</w:t>
      </w:r>
    </w:p>
    <w:p>
      <w:pPr>
        <w:autoSpaceDE w:val="0"/>
        <w:autoSpaceDN w:val="0"/>
        <w:adjustRightInd w:val="0"/>
        <w:spacing w:line="360" w:lineRule="auto"/>
        <w:rPr>
          <w:rFonts w:ascii="黑体" w:hAnsi="黑体" w:eastAsia="黑体"/>
          <w:bCs/>
          <w:szCs w:val="21"/>
        </w:rPr>
      </w:pPr>
      <w:r>
        <w:rPr>
          <w:rFonts w:ascii="黑体" w:hAnsi="黑体" w:eastAsia="黑体"/>
          <w:bCs/>
          <w:szCs w:val="21"/>
        </w:rPr>
        <w:t xml:space="preserve">5.1 </w:t>
      </w:r>
      <w:r>
        <w:rPr>
          <w:rFonts w:hint="eastAsia" w:ascii="黑体" w:hAnsi="黑体" w:eastAsia="黑体"/>
          <w:bCs/>
          <w:szCs w:val="21"/>
        </w:rPr>
        <w:t>原理</w:t>
      </w:r>
    </w:p>
    <w:p>
      <w:pPr>
        <w:ind w:firstLine="420" w:firstLineChars="200"/>
        <w:rPr>
          <w:szCs w:val="21"/>
        </w:rPr>
      </w:pPr>
      <w:r>
        <w:rPr>
          <w:szCs w:val="21"/>
        </w:rPr>
        <w:t>试样用硝酸分解，在稀硝酸介质中，于原子吸收光谱仪波长324.7nm处，使用空气-乙炔火焰测量铜的吸光度。按标准曲线法计算铜含量。</w:t>
      </w:r>
    </w:p>
    <w:p>
      <w:pPr>
        <w:autoSpaceDE w:val="0"/>
        <w:autoSpaceDN w:val="0"/>
        <w:adjustRightInd w:val="0"/>
        <w:spacing w:line="360" w:lineRule="auto"/>
        <w:rPr>
          <w:rFonts w:ascii="黑体" w:hAnsi="黑体" w:eastAsia="黑体"/>
          <w:bCs/>
          <w:szCs w:val="21"/>
        </w:rPr>
      </w:pPr>
      <w:r>
        <w:rPr>
          <w:rFonts w:ascii="黑体" w:hAnsi="黑体" w:eastAsia="黑体"/>
          <w:bCs/>
          <w:szCs w:val="21"/>
        </w:rPr>
        <w:t>5.2 试剂</w:t>
      </w:r>
    </w:p>
    <w:p>
      <w:pPr>
        <w:autoSpaceDE w:val="0"/>
        <w:autoSpaceDN w:val="0"/>
        <w:adjustRightInd w:val="0"/>
        <w:ind w:firstLine="411" w:firstLineChars="196"/>
        <w:rPr>
          <w:kern w:val="0"/>
          <w:szCs w:val="21"/>
        </w:rPr>
      </w:pPr>
      <w:r>
        <w:rPr>
          <w:kern w:val="0"/>
          <w:szCs w:val="21"/>
        </w:rPr>
        <w:t>除非另有说明，在分析中仅使用确认为分析纯的试剂。</w:t>
      </w:r>
    </w:p>
    <w:p>
      <w:pPr>
        <w:rPr>
          <w:rFonts w:ascii="宋体" w:hAnsi="宋体"/>
          <w:bCs/>
          <w:szCs w:val="21"/>
        </w:rPr>
      </w:pPr>
      <w:r>
        <w:rPr>
          <w:rFonts w:ascii="黑体" w:hAnsi="黑体" w:eastAsia="黑体"/>
          <w:kern w:val="1"/>
          <w:szCs w:val="21"/>
        </w:rPr>
        <w:t>5.2.1</w:t>
      </w:r>
      <w:r>
        <w:rPr>
          <w:kern w:val="1"/>
          <w:szCs w:val="21"/>
        </w:rPr>
        <w:t xml:space="preserve"> </w:t>
      </w:r>
      <w:r>
        <w:rPr>
          <w:rFonts w:hint="eastAsia" w:ascii="宋体" w:hAnsi="宋体"/>
          <w:bCs/>
          <w:szCs w:val="21"/>
        </w:rPr>
        <w:t>水，GB/T</w:t>
      </w:r>
      <w:r>
        <w:rPr>
          <w:rFonts w:hint="eastAsia" w:ascii="MS Gothic" w:hAnsi="MS Gothic" w:eastAsia="MS Gothic" w:cs="MS Gothic"/>
          <w:bCs/>
          <w:szCs w:val="21"/>
        </w:rPr>
        <w:t> </w:t>
      </w:r>
      <w:r>
        <w:rPr>
          <w:rFonts w:hint="eastAsia" w:ascii="宋体" w:hAnsi="宋体"/>
          <w:bCs/>
          <w:szCs w:val="21"/>
        </w:rPr>
        <w:t>6682，二级。</w:t>
      </w:r>
    </w:p>
    <w:p>
      <w:pPr>
        <w:rPr>
          <w:szCs w:val="21"/>
        </w:rPr>
      </w:pPr>
      <w:r>
        <w:rPr>
          <w:rFonts w:ascii="黑体" w:hAnsi="黑体" w:eastAsia="黑体"/>
          <w:szCs w:val="21"/>
        </w:rPr>
        <w:t>5.2.2</w:t>
      </w:r>
      <w:r>
        <w:rPr>
          <w:szCs w:val="21"/>
        </w:rPr>
        <w:t xml:space="preserve"> 硝酸（</w:t>
      </w:r>
      <w:r>
        <w:rPr>
          <w:i/>
          <w:iCs/>
          <w:szCs w:val="21"/>
        </w:rPr>
        <w:t>ρ</w:t>
      </w:r>
      <w:r>
        <w:rPr>
          <w:szCs w:val="21"/>
        </w:rPr>
        <w:t>=1.42</w:t>
      </w:r>
      <w:r>
        <w:rPr>
          <w:szCs w:val="21"/>
          <w:shd w:val="clear" w:color="auto" w:fill="FFFFEE"/>
        </w:rPr>
        <w:t xml:space="preserve"> g/mL</w:t>
      </w:r>
      <w:r>
        <w:rPr>
          <w:szCs w:val="21"/>
        </w:rPr>
        <w:t>）。</w:t>
      </w:r>
    </w:p>
    <w:p>
      <w:pPr>
        <w:rPr>
          <w:szCs w:val="21"/>
        </w:rPr>
      </w:pPr>
      <w:r>
        <w:rPr>
          <w:rFonts w:ascii="黑体" w:hAnsi="黑体" w:eastAsia="黑体"/>
          <w:szCs w:val="21"/>
        </w:rPr>
        <w:t>5.2.3</w:t>
      </w:r>
      <w:r>
        <w:rPr>
          <w:szCs w:val="21"/>
        </w:rPr>
        <w:t xml:space="preserve"> 硝酸（1+1）。</w:t>
      </w:r>
    </w:p>
    <w:p>
      <w:pPr>
        <w:rPr>
          <w:szCs w:val="21"/>
        </w:rPr>
      </w:pPr>
      <w:r>
        <w:rPr>
          <w:rFonts w:ascii="黑体" w:hAnsi="黑体" w:eastAsia="黑体"/>
          <w:szCs w:val="21"/>
        </w:rPr>
        <w:t>5.2.4</w:t>
      </w:r>
      <w:r>
        <w:rPr>
          <w:szCs w:val="21"/>
        </w:rPr>
        <w:t xml:space="preserve"> 硝酸（1+2）。</w:t>
      </w:r>
    </w:p>
    <w:p>
      <w:pPr>
        <w:rPr>
          <w:szCs w:val="21"/>
        </w:rPr>
      </w:pPr>
      <w:r>
        <w:rPr>
          <w:rFonts w:ascii="黑体" w:hAnsi="黑体" w:eastAsia="黑体"/>
          <w:szCs w:val="21"/>
        </w:rPr>
        <w:t>5.2.5</w:t>
      </w:r>
      <w:r>
        <w:rPr>
          <w:szCs w:val="21"/>
        </w:rPr>
        <w:t xml:space="preserve"> 硝酸（1+50）。</w:t>
      </w:r>
    </w:p>
    <w:p>
      <w:pPr>
        <w:rPr>
          <w:szCs w:val="21"/>
        </w:rPr>
      </w:pPr>
      <w:r>
        <w:rPr>
          <w:rFonts w:ascii="黑体" w:hAnsi="黑体" w:eastAsia="黑体"/>
          <w:szCs w:val="21"/>
        </w:rPr>
        <w:t>5.2.6</w:t>
      </w:r>
      <w:r>
        <w:rPr>
          <w:szCs w:val="21"/>
        </w:rPr>
        <w:t xml:space="preserve"> 铜标准贮存溶液：称取1.0000g金属铜（4.2.1）于200 mL烧杯中，加</w:t>
      </w:r>
      <w:r>
        <w:rPr>
          <w:rFonts w:hint="eastAsia"/>
          <w:szCs w:val="21"/>
        </w:rPr>
        <w:t>入</w:t>
      </w:r>
      <w:r>
        <w:rPr>
          <w:szCs w:val="21"/>
        </w:rPr>
        <w:t>30 mL硝酸（5.2.3）溶解完全，加热煮沸驱除氮的氧化物，取下冷却。移人1000 mL容量瓶中，加</w:t>
      </w:r>
      <w:r>
        <w:rPr>
          <w:rFonts w:hint="eastAsia"/>
          <w:szCs w:val="21"/>
        </w:rPr>
        <w:t>入</w:t>
      </w:r>
      <w:r>
        <w:rPr>
          <w:szCs w:val="21"/>
        </w:rPr>
        <w:t>10 mL硝酸（5.2.3）。用水稀释至刻度，混匀。此溶液1 mL含铜1 mg。</w:t>
      </w:r>
    </w:p>
    <w:p>
      <w:pPr>
        <w:rPr>
          <w:szCs w:val="21"/>
        </w:rPr>
      </w:pPr>
      <w:r>
        <w:rPr>
          <w:rFonts w:ascii="黑体" w:hAnsi="黑体" w:eastAsia="黑体"/>
          <w:szCs w:val="21"/>
        </w:rPr>
        <w:t>5.2.7</w:t>
      </w:r>
      <w:r>
        <w:rPr>
          <w:szCs w:val="21"/>
        </w:rPr>
        <w:t xml:space="preserve"> 铜标准溶液：移取10 mL铜标准</w:t>
      </w:r>
      <w:r>
        <w:rPr>
          <w:rFonts w:hint="eastAsia"/>
          <w:szCs w:val="21"/>
        </w:rPr>
        <w:t>贮存</w:t>
      </w:r>
      <w:r>
        <w:rPr>
          <w:szCs w:val="21"/>
        </w:rPr>
        <w:t>溶液（5.2.5）于100 mL容量瓶中，加入2 mL硝酸（5.2.2），用水稀释至刻度，混匀。此溶液1 mL含铜100 μg。</w:t>
      </w:r>
    </w:p>
    <w:p>
      <w:pPr>
        <w:autoSpaceDE w:val="0"/>
        <w:autoSpaceDN w:val="0"/>
        <w:adjustRightInd w:val="0"/>
        <w:spacing w:line="360" w:lineRule="auto"/>
        <w:rPr>
          <w:rFonts w:ascii="黑体" w:hAnsi="黑体" w:eastAsia="黑体"/>
          <w:bCs/>
          <w:szCs w:val="21"/>
        </w:rPr>
      </w:pPr>
      <w:r>
        <w:rPr>
          <w:rFonts w:ascii="黑体" w:hAnsi="黑体" w:eastAsia="黑体"/>
          <w:bCs/>
          <w:szCs w:val="21"/>
        </w:rPr>
        <w:t xml:space="preserve">5.3 </w:t>
      </w:r>
      <w:r>
        <w:rPr>
          <w:rFonts w:hint="eastAsia" w:ascii="黑体" w:hAnsi="黑体" w:eastAsia="黑体"/>
          <w:bCs/>
          <w:szCs w:val="21"/>
        </w:rPr>
        <w:t>仪器设备</w:t>
      </w:r>
    </w:p>
    <w:p>
      <w:pPr>
        <w:ind w:firstLine="420" w:firstLineChars="200"/>
        <w:rPr>
          <w:szCs w:val="21"/>
        </w:rPr>
      </w:pPr>
      <w:r>
        <w:rPr>
          <w:szCs w:val="21"/>
        </w:rPr>
        <w:t>原子吸收光谱仪，附铜空心阴极灯。</w:t>
      </w:r>
    </w:p>
    <w:p>
      <w:pPr>
        <w:ind w:firstLine="420" w:firstLineChars="200"/>
        <w:rPr>
          <w:szCs w:val="21"/>
        </w:rPr>
      </w:pPr>
      <w:r>
        <w:rPr>
          <w:szCs w:val="21"/>
        </w:rPr>
        <w:t>在仪器最佳工作条件下，凡能达到下列指标者均可使用。</w:t>
      </w:r>
    </w:p>
    <w:p>
      <w:pPr>
        <w:ind w:firstLine="420" w:firstLineChars="200"/>
        <w:rPr>
          <w:szCs w:val="21"/>
        </w:rPr>
      </w:pPr>
      <w:r>
        <w:rPr>
          <w:rFonts w:hint="eastAsia" w:ascii="黑体" w:hAnsi="黑体" w:eastAsia="黑体"/>
          <w:szCs w:val="21"/>
        </w:rPr>
        <w:t xml:space="preserve">—— </w:t>
      </w:r>
      <w:r>
        <w:rPr>
          <w:szCs w:val="21"/>
        </w:rPr>
        <w:t>特征浓度：在与测量试料溶液的基体相一致的溶液中，铜的特征浓度应不大于0.025 μg/mL。</w:t>
      </w:r>
    </w:p>
    <w:p>
      <w:pPr>
        <w:ind w:firstLine="420" w:firstLineChars="200"/>
        <w:rPr>
          <w:szCs w:val="21"/>
        </w:rPr>
      </w:pPr>
      <w:r>
        <w:rPr>
          <w:rFonts w:hint="eastAsia" w:ascii="黑体" w:hAnsi="黑体" w:eastAsia="黑体"/>
          <w:szCs w:val="21"/>
        </w:rPr>
        <w:t xml:space="preserve">—— </w:t>
      </w:r>
      <w:r>
        <w:rPr>
          <w:szCs w:val="21"/>
        </w:rPr>
        <w:t>精密度：用最高浓度的标准溶液测量10次吸光度，其标准偏差应不超过平均吸光度的1.0%；</w:t>
      </w:r>
    </w:p>
    <w:p>
      <w:pPr>
        <w:ind w:firstLine="420" w:firstLineChars="200"/>
        <w:rPr>
          <w:szCs w:val="21"/>
        </w:rPr>
      </w:pPr>
      <w:r>
        <w:rPr>
          <w:rFonts w:hint="eastAsia" w:ascii="黑体" w:hAnsi="黑体" w:eastAsia="黑体"/>
          <w:szCs w:val="21"/>
        </w:rPr>
        <w:t xml:space="preserve">—— </w:t>
      </w:r>
      <w:r>
        <w:rPr>
          <w:szCs w:val="21"/>
        </w:rPr>
        <w:t>用最低浓度的标准溶液（不是“零”标准溶液）测量10次吸光度，其标准偏差应不超过最高浓度标准溶液平均吸光度的0.5%。</w:t>
      </w:r>
    </w:p>
    <w:p>
      <w:pPr>
        <w:ind w:firstLine="420" w:firstLineChars="200"/>
        <w:rPr>
          <w:szCs w:val="21"/>
        </w:rPr>
      </w:pPr>
      <w:r>
        <w:rPr>
          <w:rFonts w:hint="eastAsia" w:ascii="黑体" w:hAnsi="黑体" w:eastAsia="黑体"/>
          <w:szCs w:val="21"/>
        </w:rPr>
        <w:t xml:space="preserve">—— </w:t>
      </w:r>
      <w:r>
        <w:rPr>
          <w:szCs w:val="21"/>
        </w:rPr>
        <w:t>工作曲线线性：将工作曲线按浓度等分成五段，最高段的吸光度差值与最低段的吸光度差值之比，应不小于0.7。</w:t>
      </w:r>
    </w:p>
    <w:p>
      <w:pPr>
        <w:spacing w:line="360" w:lineRule="auto"/>
        <w:rPr>
          <w:rFonts w:ascii="黑体" w:hAnsi="黑体" w:eastAsia="黑体"/>
          <w:bCs/>
          <w:szCs w:val="21"/>
        </w:rPr>
      </w:pPr>
      <w:r>
        <w:rPr>
          <w:rFonts w:ascii="黑体" w:hAnsi="黑体" w:eastAsia="黑体"/>
          <w:bCs/>
          <w:szCs w:val="21"/>
        </w:rPr>
        <w:t>5.4 样品</w:t>
      </w:r>
    </w:p>
    <w:p>
      <w:pPr>
        <w:ind w:right="182" w:rightChars="87"/>
        <w:rPr>
          <w:rFonts w:eastAsia="黑体"/>
          <w:szCs w:val="21"/>
        </w:rPr>
      </w:pPr>
      <w:r>
        <w:rPr>
          <w:rFonts w:ascii="黑体" w:hAnsi="黑体" w:eastAsia="黑体"/>
          <w:szCs w:val="21"/>
        </w:rPr>
        <w:t xml:space="preserve">5.4.1 </w:t>
      </w:r>
      <w:r>
        <w:rPr>
          <w:kern w:val="0"/>
          <w:szCs w:val="21"/>
        </w:rPr>
        <w:t>样品粒度应不大于0.100 mm</w:t>
      </w:r>
      <w:r>
        <w:rPr>
          <w:szCs w:val="21"/>
        </w:rPr>
        <w:t>。</w:t>
      </w:r>
    </w:p>
    <w:p>
      <w:pPr>
        <w:ind w:right="182" w:rightChars="87"/>
        <w:rPr>
          <w:rFonts w:eastAsia="黑体"/>
          <w:szCs w:val="21"/>
        </w:rPr>
      </w:pPr>
      <w:r>
        <w:rPr>
          <w:rFonts w:ascii="黑体" w:hAnsi="黑体" w:eastAsia="黑体"/>
          <w:szCs w:val="21"/>
        </w:rPr>
        <w:t>5.4.2</w:t>
      </w:r>
      <w:r>
        <w:rPr>
          <w:rFonts w:eastAsia="黑体"/>
          <w:szCs w:val="21"/>
        </w:rPr>
        <w:t xml:space="preserve"> </w:t>
      </w:r>
      <w:r>
        <w:rPr>
          <w:kern w:val="0"/>
          <w:szCs w:val="21"/>
        </w:rPr>
        <w:t>样品应在</w:t>
      </w:r>
      <w:r>
        <w:rPr>
          <w:szCs w:val="21"/>
        </w:rPr>
        <w:t>100 ℃~105 ℃</w:t>
      </w:r>
      <w:r>
        <w:rPr>
          <w:kern w:val="0"/>
          <w:szCs w:val="21"/>
        </w:rPr>
        <w:t>烘干2 h，并置于干燥器中冷却至室温备用。</w:t>
      </w:r>
    </w:p>
    <w:p>
      <w:pPr>
        <w:spacing w:line="360" w:lineRule="auto"/>
        <w:rPr>
          <w:rFonts w:ascii="黑体" w:hAnsi="黑体" w:eastAsia="黑体"/>
          <w:szCs w:val="21"/>
        </w:rPr>
      </w:pPr>
      <w:r>
        <w:rPr>
          <w:rFonts w:ascii="黑体" w:hAnsi="黑体" w:eastAsia="黑体"/>
          <w:szCs w:val="21"/>
        </w:rPr>
        <w:t>5.5 试验步骤</w:t>
      </w:r>
    </w:p>
    <w:p>
      <w:pPr>
        <w:rPr>
          <w:rFonts w:ascii="黑体" w:hAnsi="黑体" w:eastAsia="黑体"/>
          <w:szCs w:val="21"/>
        </w:rPr>
      </w:pPr>
      <w:r>
        <w:rPr>
          <w:rFonts w:ascii="黑体" w:hAnsi="黑体" w:eastAsia="黑体"/>
          <w:szCs w:val="21"/>
        </w:rPr>
        <w:t>5.5.1 试料</w:t>
      </w:r>
    </w:p>
    <w:p>
      <w:pPr>
        <w:ind w:right="87" w:firstLine="420" w:firstLineChars="200"/>
        <w:rPr>
          <w:szCs w:val="21"/>
        </w:rPr>
      </w:pPr>
      <w:r>
        <w:rPr>
          <w:szCs w:val="21"/>
        </w:rPr>
        <w:t>按表4称取试料，精确至0.000 1 g。</w:t>
      </w:r>
    </w:p>
    <w:p>
      <w:pPr>
        <w:pStyle w:val="30"/>
        <w:spacing w:after="156" w:afterLines="50"/>
        <w:ind w:firstLine="105" w:firstLineChars="50"/>
        <w:jc w:val="center"/>
        <w:rPr>
          <w:rFonts w:ascii="Times New Roman" w:eastAsia="黑体"/>
          <w:sz w:val="21"/>
          <w:szCs w:val="21"/>
        </w:rPr>
      </w:pPr>
      <w:r>
        <w:rPr>
          <w:rFonts w:ascii="Times New Roman" w:eastAsia="黑体"/>
          <w:sz w:val="21"/>
          <w:szCs w:val="21"/>
        </w:rPr>
        <w:t>表</w:t>
      </w:r>
      <w:r>
        <w:rPr>
          <w:rFonts w:hint="eastAsia" w:ascii="Times New Roman" w:eastAsia="黑体"/>
          <w:sz w:val="21"/>
          <w:szCs w:val="21"/>
        </w:rPr>
        <w:t>4</w:t>
      </w:r>
      <w:r>
        <w:rPr>
          <w:rFonts w:ascii="Times New Roman" w:eastAsia="黑体"/>
          <w:sz w:val="21"/>
          <w:szCs w:val="21"/>
        </w:rPr>
        <w:t xml:space="preserve"> 试料量</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1018"/>
        <w:gridCol w:w="1309"/>
        <w:gridCol w:w="1600"/>
        <w:gridCol w:w="2473"/>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tcBorders>
              <w:top w:val="single" w:color="auto" w:sz="12" w:space="0"/>
              <w:left w:val="single" w:color="auto" w:sz="12" w:space="0"/>
              <w:right w:val="single" w:color="auto" w:sz="4" w:space="0"/>
            </w:tcBorders>
            <w:shd w:val="clear" w:color="auto" w:fill="auto"/>
            <w:vAlign w:val="center"/>
          </w:tcPr>
          <w:p>
            <w:pPr>
              <w:autoSpaceDE w:val="0"/>
              <w:autoSpaceDN w:val="0"/>
              <w:jc w:val="center"/>
              <w:rPr>
                <w:iCs/>
                <w:szCs w:val="21"/>
              </w:rPr>
            </w:pPr>
            <w:r>
              <w:rPr>
                <w:iCs/>
                <w:szCs w:val="21"/>
              </w:rPr>
              <w:t xml:space="preserve">铜的质量分数 </w:t>
            </w:r>
          </w:p>
          <w:p>
            <w:pPr>
              <w:autoSpaceDE w:val="0"/>
              <w:autoSpaceDN w:val="0"/>
              <w:jc w:val="center"/>
              <w:rPr>
                <w:szCs w:val="21"/>
              </w:rPr>
            </w:pPr>
            <w:r>
              <w:rPr>
                <w:szCs w:val="21"/>
              </w:rPr>
              <w:t>%</w:t>
            </w:r>
          </w:p>
        </w:tc>
        <w:tc>
          <w:tcPr>
            <w:tcW w:w="532" w:type="pct"/>
            <w:tcBorders>
              <w:top w:val="single" w:color="auto" w:sz="12" w:space="0"/>
              <w:left w:val="single" w:color="auto" w:sz="4" w:space="0"/>
            </w:tcBorders>
            <w:shd w:val="clear" w:color="auto" w:fill="auto"/>
            <w:vAlign w:val="center"/>
          </w:tcPr>
          <w:p>
            <w:pPr>
              <w:autoSpaceDE w:val="0"/>
              <w:autoSpaceDN w:val="0"/>
              <w:jc w:val="center"/>
              <w:rPr>
                <w:szCs w:val="21"/>
              </w:rPr>
            </w:pPr>
            <w:r>
              <w:rPr>
                <w:szCs w:val="21"/>
              </w:rPr>
              <w:t>试料</w:t>
            </w:r>
          </w:p>
          <w:p>
            <w:pPr>
              <w:autoSpaceDE w:val="0"/>
              <w:autoSpaceDN w:val="0"/>
              <w:jc w:val="center"/>
              <w:rPr>
                <w:szCs w:val="21"/>
              </w:rPr>
            </w:pPr>
            <w:r>
              <w:rPr>
                <w:szCs w:val="21"/>
              </w:rPr>
              <w:t>g</w:t>
            </w:r>
          </w:p>
        </w:tc>
        <w:tc>
          <w:tcPr>
            <w:tcW w:w="684" w:type="pct"/>
            <w:tcBorders>
              <w:top w:val="single" w:color="auto" w:sz="12" w:space="0"/>
              <w:left w:val="single" w:color="auto" w:sz="4" w:space="0"/>
            </w:tcBorders>
            <w:shd w:val="clear" w:color="auto" w:fill="auto"/>
            <w:vAlign w:val="center"/>
          </w:tcPr>
          <w:p>
            <w:pPr>
              <w:widowControl/>
              <w:jc w:val="left"/>
              <w:rPr>
                <w:szCs w:val="21"/>
              </w:rPr>
            </w:pPr>
            <w:r>
              <w:rPr>
                <w:szCs w:val="21"/>
              </w:rPr>
              <w:t>试液总体积</w:t>
            </w:r>
          </w:p>
          <w:p>
            <w:pPr>
              <w:autoSpaceDE w:val="0"/>
              <w:autoSpaceDN w:val="0"/>
              <w:jc w:val="center"/>
              <w:rPr>
                <w:szCs w:val="21"/>
              </w:rPr>
            </w:pPr>
            <w:r>
              <w:rPr>
                <w:szCs w:val="21"/>
              </w:rPr>
              <w:t>mL</w:t>
            </w:r>
          </w:p>
        </w:tc>
        <w:tc>
          <w:tcPr>
            <w:tcW w:w="836" w:type="pct"/>
            <w:tcBorders>
              <w:top w:val="single" w:color="auto" w:sz="12" w:space="0"/>
              <w:right w:val="single" w:color="auto" w:sz="4" w:space="0"/>
            </w:tcBorders>
            <w:shd w:val="clear" w:color="auto" w:fill="auto"/>
            <w:vAlign w:val="center"/>
          </w:tcPr>
          <w:p>
            <w:pPr>
              <w:autoSpaceDE w:val="0"/>
              <w:autoSpaceDN w:val="0"/>
              <w:jc w:val="center"/>
              <w:rPr>
                <w:szCs w:val="21"/>
              </w:rPr>
            </w:pPr>
            <w:r>
              <w:rPr>
                <w:szCs w:val="21"/>
              </w:rPr>
              <w:t>分取试液体积</w:t>
            </w:r>
          </w:p>
          <w:p>
            <w:pPr>
              <w:autoSpaceDE w:val="0"/>
              <w:autoSpaceDN w:val="0"/>
              <w:jc w:val="center"/>
              <w:rPr>
                <w:szCs w:val="21"/>
              </w:rPr>
            </w:pPr>
            <w:r>
              <w:rPr>
                <w:szCs w:val="21"/>
              </w:rPr>
              <w:t>mL</w:t>
            </w:r>
          </w:p>
        </w:tc>
        <w:tc>
          <w:tcPr>
            <w:tcW w:w="1292" w:type="pct"/>
            <w:tcBorders>
              <w:top w:val="single" w:color="auto" w:sz="12" w:space="0"/>
              <w:left w:val="single" w:color="auto" w:sz="4" w:space="0"/>
              <w:right w:val="single" w:color="auto" w:sz="4" w:space="0"/>
            </w:tcBorders>
            <w:shd w:val="clear" w:color="auto" w:fill="auto"/>
            <w:vAlign w:val="center"/>
          </w:tcPr>
          <w:p>
            <w:pPr>
              <w:autoSpaceDE w:val="0"/>
              <w:autoSpaceDN w:val="0"/>
              <w:jc w:val="center"/>
              <w:rPr>
                <w:szCs w:val="21"/>
              </w:rPr>
            </w:pPr>
            <w:r>
              <w:rPr>
                <w:szCs w:val="21"/>
              </w:rPr>
              <w:t>补加硝酸（5.2.2）的量</w:t>
            </w:r>
          </w:p>
          <w:p>
            <w:pPr>
              <w:autoSpaceDE w:val="0"/>
              <w:autoSpaceDN w:val="0"/>
              <w:jc w:val="center"/>
              <w:rPr>
                <w:szCs w:val="21"/>
              </w:rPr>
            </w:pPr>
            <w:r>
              <w:rPr>
                <w:szCs w:val="21"/>
              </w:rPr>
              <w:t>mL</w:t>
            </w:r>
          </w:p>
        </w:tc>
        <w:tc>
          <w:tcPr>
            <w:tcW w:w="827" w:type="pct"/>
            <w:tcBorders>
              <w:top w:val="single" w:color="auto" w:sz="12" w:space="0"/>
              <w:left w:val="single" w:color="auto" w:sz="4" w:space="0"/>
              <w:right w:val="single" w:color="auto" w:sz="12" w:space="0"/>
            </w:tcBorders>
            <w:shd w:val="clear" w:color="auto" w:fill="auto"/>
            <w:vAlign w:val="center"/>
          </w:tcPr>
          <w:p>
            <w:pPr>
              <w:autoSpaceDE w:val="0"/>
              <w:autoSpaceDN w:val="0"/>
              <w:jc w:val="center"/>
              <w:rPr>
                <w:szCs w:val="21"/>
              </w:rPr>
            </w:pPr>
            <w:r>
              <w:rPr>
                <w:szCs w:val="21"/>
              </w:rPr>
              <w:t>测定试液体积</w:t>
            </w:r>
          </w:p>
          <w:p>
            <w:pPr>
              <w:autoSpaceDE w:val="0"/>
              <w:autoSpaceDN w:val="0"/>
              <w:jc w:val="center"/>
              <w:rPr>
                <w:szCs w:val="21"/>
              </w:rPr>
            </w:pPr>
            <w:r>
              <w:rPr>
                <w:szCs w:val="21"/>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tcBorders>
              <w:left w:val="single" w:color="auto" w:sz="12" w:space="0"/>
              <w:right w:val="single" w:color="auto" w:sz="4" w:space="0"/>
            </w:tcBorders>
            <w:shd w:val="clear" w:color="auto" w:fill="auto"/>
            <w:vAlign w:val="center"/>
          </w:tcPr>
          <w:p>
            <w:pPr>
              <w:autoSpaceDE w:val="0"/>
              <w:autoSpaceDN w:val="0"/>
              <w:jc w:val="center"/>
              <w:rPr>
                <w:szCs w:val="21"/>
              </w:rPr>
            </w:pPr>
            <w:r>
              <w:rPr>
                <w:szCs w:val="21"/>
              </w:rPr>
              <w:t>0.050～0.25</w:t>
            </w:r>
          </w:p>
        </w:tc>
        <w:tc>
          <w:tcPr>
            <w:tcW w:w="532" w:type="pct"/>
            <w:tcBorders>
              <w:left w:val="single" w:color="auto" w:sz="4" w:space="0"/>
            </w:tcBorders>
            <w:shd w:val="clear" w:color="auto" w:fill="auto"/>
            <w:vAlign w:val="center"/>
          </w:tcPr>
          <w:p>
            <w:pPr>
              <w:autoSpaceDE w:val="0"/>
              <w:autoSpaceDN w:val="0"/>
              <w:jc w:val="center"/>
              <w:rPr>
                <w:szCs w:val="21"/>
              </w:rPr>
            </w:pPr>
            <w:r>
              <w:rPr>
                <w:szCs w:val="21"/>
              </w:rPr>
              <w:t>0.20</w:t>
            </w:r>
          </w:p>
        </w:tc>
        <w:tc>
          <w:tcPr>
            <w:tcW w:w="684" w:type="pct"/>
            <w:vMerge w:val="restart"/>
            <w:tcBorders>
              <w:left w:val="single" w:color="auto" w:sz="4" w:space="0"/>
            </w:tcBorders>
            <w:shd w:val="clear" w:color="auto" w:fill="auto"/>
            <w:vAlign w:val="center"/>
          </w:tcPr>
          <w:p>
            <w:pPr>
              <w:autoSpaceDE w:val="0"/>
              <w:autoSpaceDN w:val="0"/>
              <w:jc w:val="center"/>
              <w:rPr>
                <w:szCs w:val="21"/>
              </w:rPr>
            </w:pPr>
            <w:r>
              <w:rPr>
                <w:szCs w:val="21"/>
              </w:rPr>
              <w:t>100</w:t>
            </w:r>
          </w:p>
        </w:tc>
        <w:tc>
          <w:tcPr>
            <w:tcW w:w="836" w:type="pct"/>
            <w:tcBorders>
              <w:right w:val="single" w:color="auto" w:sz="4" w:space="0"/>
            </w:tcBorders>
            <w:shd w:val="clear" w:color="auto" w:fill="auto"/>
            <w:vAlign w:val="center"/>
          </w:tcPr>
          <w:p>
            <w:pPr>
              <w:autoSpaceDE w:val="0"/>
              <w:autoSpaceDN w:val="0"/>
              <w:jc w:val="center"/>
              <w:rPr>
                <w:szCs w:val="21"/>
              </w:rPr>
            </w:pPr>
            <w:r>
              <w:rPr>
                <w:szCs w:val="21"/>
              </w:rPr>
              <w:t>-</w:t>
            </w:r>
          </w:p>
        </w:tc>
        <w:tc>
          <w:tcPr>
            <w:tcW w:w="1292" w:type="pct"/>
            <w:tcBorders>
              <w:left w:val="single" w:color="auto" w:sz="4" w:space="0"/>
              <w:right w:val="single" w:color="auto" w:sz="4" w:space="0"/>
            </w:tcBorders>
            <w:shd w:val="clear" w:color="auto" w:fill="auto"/>
            <w:vAlign w:val="center"/>
          </w:tcPr>
          <w:p>
            <w:pPr>
              <w:autoSpaceDE w:val="0"/>
              <w:autoSpaceDN w:val="0"/>
              <w:jc w:val="center"/>
              <w:rPr>
                <w:szCs w:val="21"/>
              </w:rPr>
            </w:pPr>
            <w:r>
              <w:rPr>
                <w:rFonts w:hint="eastAsia"/>
                <w:szCs w:val="21"/>
              </w:rPr>
              <w:t>-</w:t>
            </w:r>
          </w:p>
        </w:tc>
        <w:tc>
          <w:tcPr>
            <w:tcW w:w="827" w:type="pct"/>
            <w:tcBorders>
              <w:left w:val="single" w:color="auto" w:sz="4" w:space="0"/>
              <w:right w:val="single" w:color="auto" w:sz="12" w:space="0"/>
            </w:tcBorders>
            <w:shd w:val="clear" w:color="auto" w:fill="auto"/>
            <w:vAlign w:val="center"/>
          </w:tcPr>
          <w:p>
            <w:pPr>
              <w:autoSpaceDE w:val="0"/>
              <w:autoSpaceDN w:val="0"/>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pct"/>
            <w:tcBorders>
              <w:left w:val="single" w:color="auto" w:sz="12" w:space="0"/>
              <w:right w:val="single" w:color="auto" w:sz="4" w:space="0"/>
            </w:tcBorders>
            <w:shd w:val="clear" w:color="auto" w:fill="auto"/>
            <w:vAlign w:val="center"/>
          </w:tcPr>
          <w:p>
            <w:pPr>
              <w:autoSpaceDE w:val="0"/>
              <w:autoSpaceDN w:val="0"/>
              <w:jc w:val="center"/>
              <w:rPr>
                <w:szCs w:val="21"/>
              </w:rPr>
            </w:pPr>
            <w:r>
              <w:rPr>
                <w:szCs w:val="21"/>
              </w:rPr>
              <w:t>&gt;0.25~1.00</w:t>
            </w:r>
          </w:p>
        </w:tc>
        <w:tc>
          <w:tcPr>
            <w:tcW w:w="532" w:type="pct"/>
            <w:tcBorders>
              <w:left w:val="single" w:color="auto" w:sz="4" w:space="0"/>
            </w:tcBorders>
            <w:shd w:val="clear" w:color="auto" w:fill="auto"/>
            <w:vAlign w:val="center"/>
          </w:tcPr>
          <w:p>
            <w:pPr>
              <w:autoSpaceDE w:val="0"/>
              <w:autoSpaceDN w:val="0"/>
              <w:jc w:val="center"/>
              <w:rPr>
                <w:szCs w:val="21"/>
              </w:rPr>
            </w:pPr>
            <w:r>
              <w:rPr>
                <w:szCs w:val="21"/>
              </w:rPr>
              <w:t>0.20</w:t>
            </w:r>
          </w:p>
        </w:tc>
        <w:tc>
          <w:tcPr>
            <w:tcW w:w="684" w:type="pct"/>
            <w:vMerge w:val="continue"/>
            <w:tcBorders>
              <w:left w:val="single" w:color="auto" w:sz="4" w:space="0"/>
            </w:tcBorders>
            <w:shd w:val="clear" w:color="auto" w:fill="auto"/>
            <w:vAlign w:val="center"/>
          </w:tcPr>
          <w:p>
            <w:pPr>
              <w:autoSpaceDE w:val="0"/>
              <w:autoSpaceDN w:val="0"/>
              <w:jc w:val="center"/>
              <w:rPr>
                <w:szCs w:val="21"/>
              </w:rPr>
            </w:pPr>
          </w:p>
        </w:tc>
        <w:tc>
          <w:tcPr>
            <w:tcW w:w="836" w:type="pct"/>
            <w:tcBorders>
              <w:right w:val="single" w:color="auto" w:sz="4" w:space="0"/>
            </w:tcBorders>
            <w:shd w:val="clear" w:color="auto" w:fill="auto"/>
            <w:vAlign w:val="center"/>
          </w:tcPr>
          <w:p>
            <w:pPr>
              <w:autoSpaceDE w:val="0"/>
              <w:autoSpaceDN w:val="0"/>
              <w:jc w:val="center"/>
              <w:rPr>
                <w:szCs w:val="21"/>
              </w:rPr>
            </w:pPr>
            <w:r>
              <w:rPr>
                <w:szCs w:val="21"/>
              </w:rPr>
              <w:t>10.00</w:t>
            </w:r>
          </w:p>
        </w:tc>
        <w:tc>
          <w:tcPr>
            <w:tcW w:w="1292" w:type="pct"/>
            <w:tcBorders>
              <w:left w:val="single" w:color="auto" w:sz="4" w:space="0"/>
              <w:right w:val="single" w:color="auto" w:sz="4" w:space="0"/>
            </w:tcBorders>
            <w:shd w:val="clear" w:color="auto" w:fill="auto"/>
            <w:vAlign w:val="center"/>
          </w:tcPr>
          <w:p>
            <w:pPr>
              <w:autoSpaceDE w:val="0"/>
              <w:autoSpaceDN w:val="0"/>
              <w:jc w:val="center"/>
              <w:rPr>
                <w:szCs w:val="21"/>
              </w:rPr>
            </w:pPr>
            <w:r>
              <w:rPr>
                <w:szCs w:val="21"/>
              </w:rPr>
              <w:t>5</w:t>
            </w:r>
          </w:p>
        </w:tc>
        <w:tc>
          <w:tcPr>
            <w:tcW w:w="827" w:type="pct"/>
            <w:tcBorders>
              <w:left w:val="single" w:color="auto" w:sz="4" w:space="0"/>
              <w:right w:val="single" w:color="auto" w:sz="12" w:space="0"/>
            </w:tcBorders>
            <w:shd w:val="clear" w:color="auto" w:fill="auto"/>
            <w:vAlign w:val="center"/>
          </w:tcPr>
          <w:p>
            <w:pPr>
              <w:autoSpaceDE w:val="0"/>
              <w:autoSpaceDN w:val="0"/>
              <w:jc w:val="center"/>
              <w:rPr>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 w:type="pct"/>
            <w:tcBorders>
              <w:left w:val="single" w:color="auto" w:sz="12" w:space="0"/>
              <w:right w:val="single" w:color="auto" w:sz="4" w:space="0"/>
            </w:tcBorders>
            <w:shd w:val="clear" w:color="auto" w:fill="auto"/>
            <w:vAlign w:val="center"/>
          </w:tcPr>
          <w:p>
            <w:pPr>
              <w:autoSpaceDE w:val="0"/>
              <w:autoSpaceDN w:val="0"/>
              <w:jc w:val="center"/>
              <w:rPr>
                <w:szCs w:val="21"/>
              </w:rPr>
            </w:pPr>
            <w:r>
              <w:rPr>
                <w:szCs w:val="21"/>
              </w:rPr>
              <w:t>&gt;1.00~5.00</w:t>
            </w:r>
          </w:p>
        </w:tc>
        <w:tc>
          <w:tcPr>
            <w:tcW w:w="532" w:type="pct"/>
            <w:tcBorders>
              <w:left w:val="single" w:color="auto" w:sz="4" w:space="0"/>
            </w:tcBorders>
            <w:shd w:val="clear" w:color="auto" w:fill="auto"/>
            <w:vAlign w:val="center"/>
          </w:tcPr>
          <w:p>
            <w:pPr>
              <w:autoSpaceDE w:val="0"/>
              <w:autoSpaceDN w:val="0"/>
              <w:jc w:val="center"/>
              <w:rPr>
                <w:szCs w:val="21"/>
              </w:rPr>
            </w:pPr>
            <w:r>
              <w:rPr>
                <w:szCs w:val="21"/>
              </w:rPr>
              <w:t>0.10</w:t>
            </w:r>
          </w:p>
        </w:tc>
        <w:tc>
          <w:tcPr>
            <w:tcW w:w="684" w:type="pct"/>
            <w:vMerge w:val="continue"/>
            <w:tcBorders>
              <w:left w:val="single" w:color="auto" w:sz="4" w:space="0"/>
            </w:tcBorders>
            <w:shd w:val="clear" w:color="auto" w:fill="auto"/>
            <w:vAlign w:val="center"/>
          </w:tcPr>
          <w:p>
            <w:pPr>
              <w:autoSpaceDE w:val="0"/>
              <w:autoSpaceDN w:val="0"/>
              <w:jc w:val="center"/>
              <w:rPr>
                <w:szCs w:val="21"/>
              </w:rPr>
            </w:pPr>
          </w:p>
        </w:tc>
        <w:tc>
          <w:tcPr>
            <w:tcW w:w="836" w:type="pct"/>
            <w:tcBorders>
              <w:right w:val="single" w:color="auto" w:sz="4" w:space="0"/>
            </w:tcBorders>
            <w:shd w:val="clear" w:color="auto" w:fill="auto"/>
            <w:vAlign w:val="center"/>
          </w:tcPr>
          <w:p>
            <w:pPr>
              <w:autoSpaceDE w:val="0"/>
              <w:autoSpaceDN w:val="0"/>
              <w:jc w:val="center"/>
              <w:rPr>
                <w:szCs w:val="21"/>
              </w:rPr>
            </w:pPr>
            <w:r>
              <w:rPr>
                <w:szCs w:val="21"/>
              </w:rPr>
              <w:t>5.00</w:t>
            </w:r>
          </w:p>
        </w:tc>
        <w:tc>
          <w:tcPr>
            <w:tcW w:w="1292" w:type="pct"/>
            <w:tcBorders>
              <w:left w:val="single" w:color="auto" w:sz="4" w:space="0"/>
              <w:right w:val="single" w:color="auto" w:sz="4" w:space="0"/>
            </w:tcBorders>
            <w:shd w:val="clear" w:color="auto" w:fill="auto"/>
            <w:vAlign w:val="center"/>
          </w:tcPr>
          <w:p>
            <w:pPr>
              <w:autoSpaceDE w:val="0"/>
              <w:autoSpaceDN w:val="0"/>
              <w:jc w:val="center"/>
              <w:rPr>
                <w:szCs w:val="21"/>
              </w:rPr>
            </w:pPr>
            <w:r>
              <w:rPr>
                <w:szCs w:val="21"/>
              </w:rPr>
              <w:t>5</w:t>
            </w:r>
          </w:p>
        </w:tc>
        <w:tc>
          <w:tcPr>
            <w:tcW w:w="827" w:type="pct"/>
            <w:tcBorders>
              <w:left w:val="single" w:color="auto" w:sz="4" w:space="0"/>
              <w:right w:val="single" w:color="auto" w:sz="12" w:space="0"/>
            </w:tcBorders>
            <w:shd w:val="clear" w:color="auto" w:fill="auto"/>
            <w:vAlign w:val="center"/>
          </w:tcPr>
          <w:p>
            <w:pPr>
              <w:autoSpaceDE w:val="0"/>
              <w:autoSpaceDN w:val="0"/>
              <w:jc w:val="center"/>
              <w:rPr>
                <w:szCs w:val="21"/>
              </w:rPr>
            </w:pPr>
            <w:r>
              <w:rPr>
                <w:szCs w:val="21"/>
              </w:rPr>
              <w:t>50</w:t>
            </w:r>
          </w:p>
        </w:tc>
      </w:tr>
    </w:tbl>
    <w:p>
      <w:pPr>
        <w:spacing w:line="360" w:lineRule="auto"/>
        <w:rPr>
          <w:rFonts w:ascii="黑体" w:hAnsi="黑体" w:eastAsia="黑体"/>
          <w:szCs w:val="21"/>
        </w:rPr>
      </w:pPr>
      <w:r>
        <w:rPr>
          <w:rFonts w:ascii="黑体" w:hAnsi="黑体" w:eastAsia="黑体"/>
          <w:szCs w:val="21"/>
        </w:rPr>
        <w:t>5.5.2平行试验</w:t>
      </w:r>
    </w:p>
    <w:p>
      <w:pPr>
        <w:ind w:firstLine="420" w:firstLineChars="200"/>
        <w:rPr>
          <w:szCs w:val="21"/>
        </w:rPr>
      </w:pPr>
      <w:r>
        <w:rPr>
          <w:szCs w:val="21"/>
        </w:rPr>
        <w:t>平行做两份实验。</w:t>
      </w:r>
    </w:p>
    <w:p>
      <w:pPr>
        <w:autoSpaceDE w:val="0"/>
        <w:autoSpaceDN w:val="0"/>
        <w:spacing w:line="360" w:lineRule="auto"/>
        <w:jc w:val="left"/>
        <w:rPr>
          <w:rFonts w:ascii="黑体" w:hAnsi="黑体" w:eastAsia="黑体"/>
          <w:szCs w:val="21"/>
        </w:rPr>
      </w:pPr>
      <w:r>
        <w:rPr>
          <w:rFonts w:ascii="黑体" w:hAnsi="黑体" w:eastAsia="黑体"/>
          <w:szCs w:val="21"/>
        </w:rPr>
        <w:t>5.5.3 空白试验</w:t>
      </w:r>
    </w:p>
    <w:p>
      <w:pPr>
        <w:autoSpaceDE w:val="0"/>
        <w:autoSpaceDN w:val="0"/>
        <w:ind w:firstLine="420" w:firstLineChars="200"/>
        <w:jc w:val="left"/>
        <w:rPr>
          <w:rFonts w:eastAsia="黑体"/>
          <w:szCs w:val="21"/>
        </w:rPr>
      </w:pPr>
      <w:r>
        <w:rPr>
          <w:szCs w:val="21"/>
        </w:rPr>
        <w:t>随同试料做空白试验。</w:t>
      </w:r>
    </w:p>
    <w:p>
      <w:pPr>
        <w:autoSpaceDE w:val="0"/>
        <w:autoSpaceDN w:val="0"/>
        <w:spacing w:line="360" w:lineRule="auto"/>
        <w:jc w:val="left"/>
        <w:rPr>
          <w:rFonts w:ascii="黑体" w:hAnsi="黑体" w:eastAsia="黑体"/>
          <w:szCs w:val="21"/>
        </w:rPr>
      </w:pPr>
      <w:r>
        <w:rPr>
          <w:rFonts w:ascii="黑体" w:hAnsi="黑体" w:eastAsia="黑体"/>
          <w:szCs w:val="21"/>
        </w:rPr>
        <w:t>5.5.4 测定</w:t>
      </w:r>
    </w:p>
    <w:p>
      <w:pPr>
        <w:autoSpaceDE w:val="0"/>
        <w:autoSpaceDN w:val="0"/>
        <w:rPr>
          <w:szCs w:val="21"/>
        </w:rPr>
      </w:pPr>
      <w:r>
        <w:rPr>
          <w:rFonts w:ascii="黑体" w:hAnsi="黑体" w:eastAsia="黑体"/>
          <w:szCs w:val="21"/>
        </w:rPr>
        <w:t>5.5.4.1</w:t>
      </w:r>
      <w:r>
        <w:rPr>
          <w:szCs w:val="21"/>
        </w:rPr>
        <w:t xml:space="preserve"> 将试料（5.5.1）置于100 mL烧杯中，加少量水润湿。加入8 mL~10 mL硝酸（5.2.2），盖上表面皿，置于电热板低温处加热将试料分解完全，蒸至近干，取下冷却。加</w:t>
      </w:r>
      <w:r>
        <w:rPr>
          <w:rFonts w:hint="eastAsia"/>
          <w:szCs w:val="21"/>
        </w:rPr>
        <w:t>入</w:t>
      </w:r>
      <w:r>
        <w:rPr>
          <w:szCs w:val="21"/>
        </w:rPr>
        <w:t>10 mL硝酸（5.2.3），用水吹洗表面皿及杯壁，加热使可溶盐类溶解完全，取下冷却至室温。移人100 mL容量瓶中，用水稀释至刻度，混匀。</w:t>
      </w:r>
    </w:p>
    <w:p>
      <w:pPr>
        <w:autoSpaceDE w:val="0"/>
        <w:autoSpaceDN w:val="0"/>
        <w:rPr>
          <w:szCs w:val="21"/>
        </w:rPr>
      </w:pPr>
      <w:r>
        <w:rPr>
          <w:rFonts w:ascii="黑体" w:hAnsi="黑体" w:eastAsia="黑体"/>
          <w:szCs w:val="21"/>
        </w:rPr>
        <w:t xml:space="preserve">5.5.4.2 </w:t>
      </w:r>
      <w:r>
        <w:rPr>
          <w:szCs w:val="21"/>
        </w:rPr>
        <w:t>按表4分取试液于相应容量瓶中，补加相应硝酸（5.2.3）。用水稀释至刻度，混匀。</w:t>
      </w:r>
    </w:p>
    <w:p>
      <w:pPr>
        <w:autoSpaceDE w:val="0"/>
        <w:autoSpaceDN w:val="0"/>
        <w:rPr>
          <w:szCs w:val="21"/>
        </w:rPr>
      </w:pPr>
      <w:r>
        <w:rPr>
          <w:rFonts w:ascii="黑体" w:hAnsi="黑体" w:eastAsia="黑体"/>
          <w:szCs w:val="21"/>
        </w:rPr>
        <w:t xml:space="preserve">5.5.4.3 </w:t>
      </w:r>
      <w:r>
        <w:rPr>
          <w:szCs w:val="21"/>
        </w:rPr>
        <w:t>使用空气-乙炔火焰，于原子吸收光谱仪波长324.7 nm处，以水调零，测量试液的吸光度，减去试料空白溶液的吸光度，从工作曲线上查出相应的铜浓度。</w:t>
      </w:r>
    </w:p>
    <w:p>
      <w:pPr>
        <w:autoSpaceDE w:val="0"/>
        <w:autoSpaceDN w:val="0"/>
        <w:rPr>
          <w:rFonts w:ascii="黑体" w:hAnsi="黑体" w:eastAsia="黑体"/>
          <w:szCs w:val="21"/>
        </w:rPr>
      </w:pPr>
      <w:r>
        <w:rPr>
          <w:rFonts w:ascii="黑体" w:hAnsi="黑体" w:eastAsia="黑体"/>
          <w:szCs w:val="21"/>
        </w:rPr>
        <w:t xml:space="preserve">5.5.4.4 </w:t>
      </w:r>
      <w:r>
        <w:rPr>
          <w:rFonts w:hint="eastAsia" w:ascii="黑体" w:hAnsi="黑体" w:eastAsia="黑体"/>
          <w:szCs w:val="21"/>
        </w:rPr>
        <w:t>工作曲线的绘制</w:t>
      </w:r>
    </w:p>
    <w:p>
      <w:pPr>
        <w:autoSpaceDE w:val="0"/>
        <w:autoSpaceDN w:val="0"/>
        <w:rPr>
          <w:szCs w:val="21"/>
        </w:rPr>
      </w:pPr>
      <w:r>
        <w:rPr>
          <w:rFonts w:ascii="黑体" w:hAnsi="黑体" w:eastAsia="黑体"/>
          <w:szCs w:val="21"/>
        </w:rPr>
        <w:t xml:space="preserve">5.5.4.4.1 </w:t>
      </w:r>
      <w:r>
        <w:rPr>
          <w:szCs w:val="21"/>
        </w:rPr>
        <w:t>分别移取0 mL、1.00 mL、2.00 mL、3.00 mL、4.00 mL、5.00 mL铜标准溶液（5.2.7）于一组100 mL容量瓶中，加入10 mL硝酸（5.2.3），用水稀释至刻度，混匀。</w:t>
      </w:r>
    </w:p>
    <w:p>
      <w:pPr>
        <w:autoSpaceDE w:val="0"/>
        <w:autoSpaceDN w:val="0"/>
        <w:rPr>
          <w:szCs w:val="21"/>
        </w:rPr>
      </w:pPr>
      <w:r>
        <w:rPr>
          <w:rFonts w:ascii="黑体" w:hAnsi="黑体" w:eastAsia="黑体"/>
          <w:szCs w:val="21"/>
        </w:rPr>
        <w:t xml:space="preserve">5.5.4.4.2 </w:t>
      </w:r>
      <w:r>
        <w:rPr>
          <w:szCs w:val="21"/>
        </w:rPr>
        <w:t>在与试料测定相同条件下测量系列标准溶液的吸光度，减去系列标准溶液中“零”浓度溶液的吸光度，以铜浓度为横坐标，吸光度为纵坐标，绘制工作曲线。</w:t>
      </w:r>
    </w:p>
    <w:p>
      <w:pPr>
        <w:autoSpaceDE w:val="0"/>
        <w:autoSpaceDN w:val="0"/>
        <w:spacing w:line="360" w:lineRule="auto"/>
        <w:rPr>
          <w:rFonts w:ascii="黑体" w:hAnsi="黑体" w:eastAsia="黑体"/>
          <w:szCs w:val="21"/>
        </w:rPr>
      </w:pPr>
      <w:r>
        <w:rPr>
          <w:rFonts w:ascii="黑体" w:hAnsi="黑体" w:eastAsia="黑体"/>
          <w:szCs w:val="21"/>
        </w:rPr>
        <w:t>5.6 试验数据处理</w:t>
      </w:r>
    </w:p>
    <w:p>
      <w:pPr>
        <w:ind w:firstLine="420" w:firstLineChars="200"/>
        <w:rPr>
          <w:szCs w:val="21"/>
        </w:rPr>
      </w:pPr>
      <w:r>
        <w:rPr>
          <w:szCs w:val="21"/>
        </w:rPr>
        <w:t>铜含量以铜的质量分数</w:t>
      </w:r>
      <w:r>
        <w:rPr>
          <w:i/>
          <w:szCs w:val="21"/>
        </w:rPr>
        <w:t>w</w:t>
      </w:r>
      <w:r>
        <w:rPr>
          <w:i/>
          <w:szCs w:val="21"/>
          <w:vertAlign w:val="subscript"/>
        </w:rPr>
        <w:t>Cu</w:t>
      </w:r>
      <w:r>
        <w:rPr>
          <w:szCs w:val="21"/>
        </w:rPr>
        <w:t>计，按公式（3）计算：</w:t>
      </w:r>
    </w:p>
    <w:p>
      <w:pPr>
        <w:ind w:firstLine="480" w:firstLineChars="200"/>
        <w:rPr>
          <w:sz w:val="24"/>
          <w:szCs w:val="24"/>
        </w:rPr>
      </w:pPr>
      <w:r>
        <w:rPr>
          <w:sz w:val="24"/>
          <w:szCs w:val="24"/>
        </w:rPr>
        <w:t xml:space="preserve">              </w:t>
      </w:r>
      <w:r>
        <w:rPr>
          <w:position w:val="-30"/>
          <w:sz w:val="24"/>
          <w:szCs w:val="24"/>
        </w:rPr>
        <w:object>
          <v:shape id="_x0000_i1027" o:spt="75" type="#_x0000_t75" style="height:33.9pt;width:158.9pt;" o:ole="t" filled="f" o:preferrelative="t" stroked="f" coordsize="21600,21600">
            <v:path/>
            <v:fill on="f" focussize="0,0"/>
            <v:stroke on="f" joinstyle="miter"/>
            <v:imagedata r:id="rId20" o:title=""/>
            <o:lock v:ext="edit" aspectratio="t"/>
            <w10:wrap type="none"/>
            <w10:anchorlock/>
          </v:shape>
          <o:OLEObject Type="Embed" ProgID="Equation.DSMT4" ShapeID="_x0000_i1027" DrawAspect="Content" ObjectID="_1468075727" r:id="rId19">
            <o:LockedField>false</o:LockedField>
          </o:OLEObject>
        </w:object>
      </w:r>
      <w:r>
        <w:rPr>
          <w:sz w:val="24"/>
          <w:szCs w:val="24"/>
        </w:rPr>
        <w:t>…………………………….（</w:t>
      </w:r>
      <w:r>
        <w:rPr>
          <w:rFonts w:hint="eastAsia"/>
          <w:sz w:val="24"/>
          <w:szCs w:val="24"/>
        </w:rPr>
        <w:t>3</w:t>
      </w:r>
      <w:r>
        <w:rPr>
          <w:sz w:val="24"/>
          <w:szCs w:val="24"/>
        </w:rPr>
        <w:t>）</w:t>
      </w:r>
    </w:p>
    <w:p>
      <w:pPr>
        <w:rPr>
          <w:szCs w:val="21"/>
        </w:rPr>
      </w:pPr>
      <w:r>
        <w:rPr>
          <w:sz w:val="24"/>
          <w:szCs w:val="24"/>
        </w:rPr>
        <w:t xml:space="preserve"> </w:t>
      </w:r>
      <w:r>
        <w:rPr>
          <w:szCs w:val="21"/>
        </w:rPr>
        <w:t xml:space="preserve">   式中：</w:t>
      </w:r>
    </w:p>
    <w:p>
      <w:pPr>
        <w:pStyle w:val="30"/>
        <w:widowControl w:val="0"/>
        <w:autoSpaceDE/>
        <w:autoSpaceDN/>
        <w:ind w:firstLine="420"/>
        <w:rPr>
          <w:rFonts w:ascii="Times New Roman"/>
          <w:sz w:val="21"/>
          <w:szCs w:val="21"/>
        </w:rPr>
      </w:pPr>
      <w:r>
        <w:rPr>
          <w:rFonts w:ascii="Times New Roman"/>
          <w:i/>
          <w:sz w:val="21"/>
          <w:szCs w:val="21"/>
        </w:rPr>
        <w:t>c</w:t>
      </w:r>
      <w:r>
        <w:rPr>
          <w:rFonts w:ascii="Times New Roman"/>
          <w:i/>
          <w:sz w:val="21"/>
          <w:szCs w:val="21"/>
          <w:vertAlign w:val="subscript"/>
        </w:rPr>
        <w:t>2</w:t>
      </w:r>
      <w:r>
        <w:rPr>
          <w:rFonts w:ascii="Times New Roman"/>
          <w:i/>
          <w:sz w:val="21"/>
          <w:szCs w:val="21"/>
        </w:rPr>
        <w:t xml:space="preserve"> </w:t>
      </w:r>
      <w:r>
        <w:rPr>
          <w:rFonts w:ascii="Times New Roman"/>
          <w:spacing w:val="6"/>
          <w:szCs w:val="21"/>
        </w:rPr>
        <w:t>——</w:t>
      </w:r>
      <w:r>
        <w:rPr>
          <w:rFonts w:ascii="Times New Roman"/>
          <w:sz w:val="21"/>
          <w:szCs w:val="21"/>
        </w:rPr>
        <w:t xml:space="preserve"> </w:t>
      </w:r>
      <w:r>
        <w:rPr>
          <w:rFonts w:ascii="Times New Roman"/>
          <w:kern w:val="2"/>
          <w:sz w:val="21"/>
          <w:szCs w:val="21"/>
        </w:rPr>
        <w:t>自工作曲线上查得的铜浓度，单位为微克每毫升（μg/mL）；</w:t>
      </w:r>
    </w:p>
    <w:p>
      <w:pPr>
        <w:pStyle w:val="30"/>
        <w:widowControl w:val="0"/>
        <w:autoSpaceDE/>
        <w:autoSpaceDN/>
        <w:ind w:firstLine="420"/>
        <w:rPr>
          <w:rFonts w:ascii="Times New Roman"/>
          <w:sz w:val="21"/>
          <w:szCs w:val="21"/>
        </w:rPr>
      </w:pPr>
      <w:r>
        <w:rPr>
          <w:rFonts w:ascii="Times New Roman"/>
          <w:i/>
          <w:sz w:val="21"/>
          <w:szCs w:val="21"/>
        </w:rPr>
        <w:t>V</w:t>
      </w:r>
      <w:r>
        <w:rPr>
          <w:rFonts w:ascii="Times New Roman"/>
          <w:sz w:val="21"/>
          <w:szCs w:val="21"/>
          <w:vertAlign w:val="subscript"/>
        </w:rPr>
        <w:t xml:space="preserve">5 </w:t>
      </w:r>
      <w:r>
        <w:rPr>
          <w:rFonts w:ascii="Times New Roman"/>
          <w:spacing w:val="6"/>
          <w:szCs w:val="21"/>
        </w:rPr>
        <w:t>——</w:t>
      </w:r>
      <w:r>
        <w:rPr>
          <w:rFonts w:ascii="Times New Roman"/>
          <w:sz w:val="21"/>
          <w:szCs w:val="21"/>
        </w:rPr>
        <w:t xml:space="preserve"> </w:t>
      </w:r>
      <w:r>
        <w:rPr>
          <w:rFonts w:ascii="Times New Roman"/>
          <w:kern w:val="2"/>
          <w:sz w:val="21"/>
          <w:szCs w:val="21"/>
        </w:rPr>
        <w:t>试液总体积，单位为毫升（mL）；</w:t>
      </w:r>
    </w:p>
    <w:p>
      <w:pPr>
        <w:pStyle w:val="30"/>
        <w:widowControl w:val="0"/>
        <w:autoSpaceDE/>
        <w:autoSpaceDN/>
        <w:ind w:firstLine="420"/>
        <w:rPr>
          <w:rFonts w:ascii="Times New Roman"/>
          <w:sz w:val="21"/>
          <w:szCs w:val="21"/>
        </w:rPr>
      </w:pPr>
      <w:r>
        <w:rPr>
          <w:rFonts w:ascii="Times New Roman"/>
          <w:i/>
          <w:sz w:val="21"/>
          <w:szCs w:val="21"/>
        </w:rPr>
        <w:t>V</w:t>
      </w:r>
      <w:r>
        <w:rPr>
          <w:rFonts w:ascii="Times New Roman"/>
          <w:sz w:val="21"/>
          <w:szCs w:val="21"/>
          <w:vertAlign w:val="subscript"/>
        </w:rPr>
        <w:t xml:space="preserve">6 </w:t>
      </w:r>
      <w:r>
        <w:rPr>
          <w:rFonts w:ascii="Times New Roman"/>
          <w:spacing w:val="6"/>
          <w:szCs w:val="21"/>
        </w:rPr>
        <w:t>——</w:t>
      </w:r>
      <w:r>
        <w:rPr>
          <w:rFonts w:ascii="Times New Roman"/>
          <w:sz w:val="21"/>
          <w:szCs w:val="21"/>
        </w:rPr>
        <w:t xml:space="preserve"> </w:t>
      </w:r>
      <w:r>
        <w:rPr>
          <w:rFonts w:ascii="Times New Roman"/>
          <w:kern w:val="2"/>
          <w:sz w:val="21"/>
          <w:szCs w:val="21"/>
        </w:rPr>
        <w:t>测定试液的体积，单位为毫升（mL）；</w:t>
      </w:r>
    </w:p>
    <w:p>
      <w:pPr>
        <w:pStyle w:val="30"/>
        <w:widowControl w:val="0"/>
        <w:autoSpaceDE/>
        <w:autoSpaceDN/>
        <w:ind w:firstLine="420"/>
        <w:rPr>
          <w:rFonts w:ascii="Times New Roman"/>
          <w:sz w:val="21"/>
          <w:szCs w:val="21"/>
        </w:rPr>
      </w:pPr>
      <w:r>
        <w:rPr>
          <w:rFonts w:ascii="Times New Roman"/>
          <w:i/>
          <w:sz w:val="21"/>
          <w:szCs w:val="21"/>
        </w:rPr>
        <w:t>V</w:t>
      </w:r>
      <w:r>
        <w:rPr>
          <w:rFonts w:ascii="Times New Roman"/>
          <w:sz w:val="21"/>
          <w:szCs w:val="21"/>
          <w:vertAlign w:val="subscript"/>
        </w:rPr>
        <w:t xml:space="preserve">7 </w:t>
      </w:r>
      <w:r>
        <w:rPr>
          <w:rFonts w:ascii="Times New Roman"/>
          <w:spacing w:val="6"/>
          <w:szCs w:val="21"/>
        </w:rPr>
        <w:t>——</w:t>
      </w:r>
      <w:r>
        <w:rPr>
          <w:rFonts w:ascii="Times New Roman"/>
          <w:sz w:val="21"/>
          <w:szCs w:val="21"/>
        </w:rPr>
        <w:t xml:space="preserve"> </w:t>
      </w:r>
      <w:r>
        <w:rPr>
          <w:rFonts w:ascii="Times New Roman"/>
          <w:kern w:val="2"/>
          <w:sz w:val="21"/>
          <w:szCs w:val="21"/>
        </w:rPr>
        <w:t>分取试液的体积，单位为毫升（mL）；</w:t>
      </w:r>
    </w:p>
    <w:p>
      <w:pPr>
        <w:pStyle w:val="30"/>
        <w:widowControl w:val="0"/>
        <w:autoSpaceDE/>
        <w:autoSpaceDN/>
        <w:ind w:firstLine="420"/>
        <w:rPr>
          <w:rFonts w:ascii="Times New Roman"/>
          <w:sz w:val="21"/>
          <w:szCs w:val="21"/>
        </w:rPr>
      </w:pPr>
      <w:r>
        <w:rPr>
          <w:rFonts w:ascii="Times New Roman"/>
          <w:i/>
          <w:sz w:val="21"/>
          <w:szCs w:val="21"/>
        </w:rPr>
        <w:t>m</w:t>
      </w:r>
      <w:r>
        <w:rPr>
          <w:rFonts w:ascii="Times New Roman"/>
          <w:sz w:val="21"/>
          <w:szCs w:val="21"/>
          <w:vertAlign w:val="subscript"/>
        </w:rPr>
        <w:t xml:space="preserve">3 </w:t>
      </w:r>
      <w:r>
        <w:rPr>
          <w:rFonts w:ascii="Times New Roman"/>
          <w:spacing w:val="6"/>
          <w:szCs w:val="21"/>
        </w:rPr>
        <w:t xml:space="preserve">—— </w:t>
      </w:r>
      <w:r>
        <w:rPr>
          <w:rFonts w:ascii="Times New Roman"/>
          <w:kern w:val="2"/>
          <w:sz w:val="21"/>
          <w:szCs w:val="21"/>
        </w:rPr>
        <w:t>试料的质量，单位为克（g）。</w:t>
      </w:r>
    </w:p>
    <w:p>
      <w:pPr>
        <w:tabs>
          <w:tab w:val="left" w:pos="1350"/>
        </w:tabs>
        <w:ind w:firstLine="435"/>
        <w:rPr>
          <w:szCs w:val="21"/>
        </w:rPr>
      </w:pPr>
      <w:r>
        <w:rPr>
          <w:szCs w:val="21"/>
        </w:rPr>
        <w:t>计算结果保留至小数点后二位。</w:t>
      </w:r>
    </w:p>
    <w:p>
      <w:pPr>
        <w:spacing w:line="360" w:lineRule="auto"/>
        <w:rPr>
          <w:rFonts w:ascii="黑体" w:hAnsi="黑体" w:eastAsia="黑体"/>
          <w:szCs w:val="21"/>
        </w:rPr>
      </w:pPr>
      <w:r>
        <w:rPr>
          <w:rFonts w:ascii="黑体" w:hAnsi="黑体" w:eastAsia="黑体"/>
          <w:szCs w:val="21"/>
        </w:rPr>
        <w:t>5.7 精密度</w:t>
      </w:r>
      <w:r>
        <w:rPr>
          <w:rFonts w:ascii="黑体" w:hAnsi="黑体" w:eastAsia="黑体"/>
          <w:szCs w:val="21"/>
        </w:rPr>
        <w:tab/>
      </w:r>
    </w:p>
    <w:p>
      <w:pPr>
        <w:spacing w:line="360" w:lineRule="auto"/>
        <w:rPr>
          <w:rFonts w:ascii="黑体" w:hAnsi="黑体" w:eastAsia="黑体"/>
          <w:szCs w:val="21"/>
        </w:rPr>
      </w:pPr>
      <w:r>
        <w:rPr>
          <w:rFonts w:ascii="黑体" w:hAnsi="黑体" w:eastAsia="黑体"/>
          <w:szCs w:val="21"/>
        </w:rPr>
        <w:t>5.7.1 重复性</w:t>
      </w:r>
    </w:p>
    <w:p>
      <w:pPr>
        <w:ind w:firstLine="437"/>
        <w:rPr>
          <w:rFonts w:eastAsia="黑体"/>
          <w:szCs w:val="21"/>
        </w:rPr>
      </w:pPr>
      <w:r>
        <w:rPr>
          <w:bCs/>
          <w:szCs w:val="21"/>
        </w:rPr>
        <w:t>在重复性条件下获得的两次独立测试结果的测定值，在以下给出的平均值范围内，这两个测试结果的绝对值不超过重复性限（</w:t>
      </w:r>
      <w:r>
        <w:rPr>
          <w:bCs/>
          <w:i/>
          <w:szCs w:val="21"/>
        </w:rPr>
        <w:t>r</w:t>
      </w:r>
      <w:r>
        <w:rPr>
          <w:bCs/>
          <w:szCs w:val="21"/>
        </w:rPr>
        <w:t>），超过重复性限（</w:t>
      </w:r>
      <w:r>
        <w:rPr>
          <w:bCs/>
          <w:i/>
          <w:szCs w:val="21"/>
        </w:rPr>
        <w:t>r</w:t>
      </w:r>
      <w:r>
        <w:rPr>
          <w:bCs/>
          <w:szCs w:val="21"/>
        </w:rPr>
        <w:t>）的情况不超过5%，重复性限（</w:t>
      </w:r>
      <w:r>
        <w:rPr>
          <w:bCs/>
          <w:i/>
          <w:szCs w:val="21"/>
        </w:rPr>
        <w:t>r</w:t>
      </w:r>
      <w:r>
        <w:rPr>
          <w:bCs/>
          <w:szCs w:val="21"/>
        </w:rPr>
        <w:t>）按表5数据采用线性内插法或外延法求得。</w:t>
      </w:r>
    </w:p>
    <w:p>
      <w:pPr>
        <w:pStyle w:val="30"/>
        <w:spacing w:after="156" w:afterLines="50"/>
        <w:ind w:firstLine="105" w:firstLineChars="50"/>
        <w:jc w:val="center"/>
        <w:rPr>
          <w:rFonts w:ascii="黑体" w:hAnsi="黑体" w:eastAsia="黑体"/>
          <w:sz w:val="21"/>
          <w:szCs w:val="21"/>
        </w:rPr>
      </w:pPr>
      <w:r>
        <w:rPr>
          <w:rFonts w:ascii="黑体" w:hAnsi="黑体" w:eastAsia="黑体"/>
          <w:sz w:val="21"/>
          <w:szCs w:val="21"/>
        </w:rPr>
        <w:t>表5 重复性限</w:t>
      </w:r>
      <w:r>
        <w:rPr>
          <w:bCs/>
          <w:szCs w:val="21"/>
        </w:rPr>
        <w:t>（</w:t>
      </w:r>
      <w:r>
        <w:rPr>
          <w:bCs/>
          <w:i/>
          <w:szCs w:val="21"/>
        </w:rPr>
        <w:t>r</w:t>
      </w:r>
      <w:r>
        <w:rPr>
          <w:bCs/>
          <w:szCs w:val="21"/>
        </w:rPr>
        <w:t>）</w:t>
      </w:r>
    </w:p>
    <w:tbl>
      <w:tblPr>
        <w:tblStyle w:val="1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376"/>
        <w:gridCol w:w="1376"/>
        <w:gridCol w:w="1377"/>
        <w:gridCol w:w="1376"/>
        <w:gridCol w:w="137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tcBorders>
              <w:top w:val="single" w:color="auto" w:sz="12" w:space="0"/>
              <w:left w:val="single" w:color="auto" w:sz="12" w:space="0"/>
              <w:bottom w:val="single" w:color="auto" w:sz="4" w:space="0"/>
            </w:tcBorders>
            <w:vAlign w:val="center"/>
          </w:tcPr>
          <w:p>
            <w:pPr>
              <w:jc w:val="center"/>
              <w:rPr>
                <w:bCs/>
                <w:sz w:val="18"/>
                <w:szCs w:val="18"/>
              </w:rPr>
            </w:pPr>
            <w:r>
              <w:rPr>
                <w:i/>
                <w:sz w:val="18"/>
                <w:szCs w:val="18"/>
              </w:rPr>
              <w:t>w</w:t>
            </w:r>
            <w:r>
              <w:rPr>
                <w:i/>
                <w:sz w:val="18"/>
                <w:szCs w:val="18"/>
                <w:vertAlign w:val="subscript"/>
              </w:rPr>
              <w:t>Cu</w:t>
            </w:r>
            <w:r>
              <w:rPr>
                <w:sz w:val="18"/>
                <w:szCs w:val="18"/>
              </w:rPr>
              <w:t>/ %</w:t>
            </w:r>
          </w:p>
        </w:tc>
        <w:tc>
          <w:tcPr>
            <w:tcW w:w="1376" w:type="dxa"/>
            <w:tcBorders>
              <w:top w:val="single" w:color="auto" w:sz="12" w:space="0"/>
            </w:tcBorders>
            <w:vAlign w:val="center"/>
          </w:tcPr>
          <w:p>
            <w:pPr>
              <w:jc w:val="center"/>
              <w:rPr>
                <w:sz w:val="18"/>
                <w:szCs w:val="18"/>
              </w:rPr>
            </w:pPr>
          </w:p>
        </w:tc>
        <w:tc>
          <w:tcPr>
            <w:tcW w:w="1376" w:type="dxa"/>
            <w:tcBorders>
              <w:top w:val="single" w:color="auto" w:sz="12" w:space="0"/>
            </w:tcBorders>
            <w:vAlign w:val="center"/>
          </w:tcPr>
          <w:p>
            <w:pPr>
              <w:jc w:val="center"/>
              <w:rPr>
                <w:sz w:val="18"/>
                <w:szCs w:val="18"/>
              </w:rPr>
            </w:pPr>
          </w:p>
        </w:tc>
        <w:tc>
          <w:tcPr>
            <w:tcW w:w="1377" w:type="dxa"/>
            <w:tcBorders>
              <w:top w:val="single" w:color="auto" w:sz="12" w:space="0"/>
            </w:tcBorders>
            <w:vAlign w:val="center"/>
          </w:tcPr>
          <w:p>
            <w:pPr>
              <w:jc w:val="center"/>
              <w:rPr>
                <w:sz w:val="18"/>
                <w:szCs w:val="18"/>
              </w:rPr>
            </w:pPr>
          </w:p>
        </w:tc>
        <w:tc>
          <w:tcPr>
            <w:tcW w:w="1376" w:type="dxa"/>
            <w:tcBorders>
              <w:top w:val="single" w:color="auto" w:sz="12" w:space="0"/>
            </w:tcBorders>
            <w:vAlign w:val="center"/>
          </w:tcPr>
          <w:p>
            <w:pPr>
              <w:jc w:val="center"/>
              <w:rPr>
                <w:sz w:val="18"/>
                <w:szCs w:val="18"/>
              </w:rPr>
            </w:pPr>
          </w:p>
        </w:tc>
        <w:tc>
          <w:tcPr>
            <w:tcW w:w="1376" w:type="dxa"/>
            <w:tcBorders>
              <w:top w:val="single" w:color="auto" w:sz="12" w:space="0"/>
            </w:tcBorders>
          </w:tcPr>
          <w:p>
            <w:pPr>
              <w:jc w:val="center"/>
              <w:rPr>
                <w:sz w:val="18"/>
                <w:szCs w:val="18"/>
              </w:rPr>
            </w:pPr>
          </w:p>
        </w:tc>
        <w:tc>
          <w:tcPr>
            <w:tcW w:w="1236" w:type="dxa"/>
            <w:tcBorders>
              <w:top w:val="single" w:color="auto" w:sz="12"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dxa"/>
            <w:tcBorders>
              <w:top w:val="single" w:color="auto" w:sz="4" w:space="0"/>
              <w:left w:val="single" w:color="auto" w:sz="12" w:space="0"/>
              <w:bottom w:val="single" w:color="auto" w:sz="12" w:space="0"/>
            </w:tcBorders>
            <w:vAlign w:val="center"/>
          </w:tcPr>
          <w:p>
            <w:pPr>
              <w:jc w:val="center"/>
              <w:rPr>
                <w:bCs/>
                <w:sz w:val="18"/>
                <w:szCs w:val="18"/>
              </w:rPr>
            </w:pPr>
            <w:r>
              <w:rPr>
                <w:bCs/>
                <w:i/>
                <w:sz w:val="18"/>
                <w:szCs w:val="18"/>
              </w:rPr>
              <w:t xml:space="preserve">r </w:t>
            </w:r>
            <w:r>
              <w:rPr>
                <w:bCs/>
                <w:sz w:val="18"/>
                <w:szCs w:val="18"/>
              </w:rPr>
              <w:t>/ %</w:t>
            </w:r>
          </w:p>
        </w:tc>
        <w:tc>
          <w:tcPr>
            <w:tcW w:w="1376" w:type="dxa"/>
            <w:tcBorders>
              <w:bottom w:val="single" w:color="auto" w:sz="12" w:space="0"/>
            </w:tcBorders>
            <w:vAlign w:val="center"/>
          </w:tcPr>
          <w:p>
            <w:pPr>
              <w:jc w:val="center"/>
              <w:rPr>
                <w:sz w:val="18"/>
                <w:szCs w:val="18"/>
              </w:rPr>
            </w:pPr>
          </w:p>
        </w:tc>
        <w:tc>
          <w:tcPr>
            <w:tcW w:w="1376" w:type="dxa"/>
            <w:tcBorders>
              <w:bottom w:val="single" w:color="auto" w:sz="12" w:space="0"/>
            </w:tcBorders>
            <w:vAlign w:val="center"/>
          </w:tcPr>
          <w:p>
            <w:pPr>
              <w:jc w:val="center"/>
              <w:rPr>
                <w:sz w:val="18"/>
                <w:szCs w:val="18"/>
              </w:rPr>
            </w:pPr>
          </w:p>
        </w:tc>
        <w:tc>
          <w:tcPr>
            <w:tcW w:w="1377" w:type="dxa"/>
            <w:tcBorders>
              <w:bottom w:val="single" w:color="auto" w:sz="12" w:space="0"/>
            </w:tcBorders>
            <w:vAlign w:val="center"/>
          </w:tcPr>
          <w:p>
            <w:pPr>
              <w:jc w:val="center"/>
              <w:rPr>
                <w:sz w:val="18"/>
                <w:szCs w:val="18"/>
              </w:rPr>
            </w:pPr>
          </w:p>
        </w:tc>
        <w:tc>
          <w:tcPr>
            <w:tcW w:w="1376" w:type="dxa"/>
            <w:tcBorders>
              <w:bottom w:val="single" w:color="auto" w:sz="12" w:space="0"/>
            </w:tcBorders>
            <w:vAlign w:val="center"/>
          </w:tcPr>
          <w:p>
            <w:pPr>
              <w:jc w:val="center"/>
              <w:rPr>
                <w:sz w:val="18"/>
                <w:szCs w:val="18"/>
              </w:rPr>
            </w:pPr>
          </w:p>
        </w:tc>
        <w:tc>
          <w:tcPr>
            <w:tcW w:w="1376" w:type="dxa"/>
            <w:tcBorders>
              <w:bottom w:val="single" w:color="auto" w:sz="12" w:space="0"/>
            </w:tcBorders>
          </w:tcPr>
          <w:p>
            <w:pPr>
              <w:jc w:val="center"/>
              <w:rPr>
                <w:sz w:val="18"/>
                <w:szCs w:val="18"/>
              </w:rPr>
            </w:pPr>
          </w:p>
        </w:tc>
        <w:tc>
          <w:tcPr>
            <w:tcW w:w="1236" w:type="dxa"/>
            <w:tcBorders>
              <w:bottom w:val="single" w:color="auto" w:sz="12" w:space="0"/>
              <w:right w:val="single" w:color="auto" w:sz="12" w:space="0"/>
            </w:tcBorders>
            <w:vAlign w:val="center"/>
          </w:tcPr>
          <w:p>
            <w:pPr>
              <w:jc w:val="center"/>
              <w:rPr>
                <w:sz w:val="18"/>
                <w:szCs w:val="18"/>
              </w:rPr>
            </w:pPr>
          </w:p>
        </w:tc>
      </w:tr>
    </w:tbl>
    <w:p>
      <w:pPr>
        <w:spacing w:line="360" w:lineRule="auto"/>
        <w:rPr>
          <w:rFonts w:ascii="黑体" w:hAnsi="黑体" w:eastAsia="黑体"/>
          <w:szCs w:val="21"/>
        </w:rPr>
      </w:pPr>
      <w:r>
        <w:rPr>
          <w:rFonts w:ascii="黑体" w:hAnsi="黑体" w:eastAsia="黑体"/>
          <w:szCs w:val="21"/>
        </w:rPr>
        <w:t>5.7.2 再现性</w:t>
      </w:r>
    </w:p>
    <w:p>
      <w:pPr>
        <w:ind w:firstLine="420" w:firstLineChars="200"/>
        <w:rPr>
          <w:rFonts w:eastAsia="黑体"/>
          <w:bCs/>
          <w:szCs w:val="21"/>
        </w:rPr>
      </w:pPr>
      <w:r>
        <w:rPr>
          <w:bCs/>
          <w:szCs w:val="21"/>
        </w:rPr>
        <w:t>在再现性条件下获得的两次独立测试结果的测定值，在以下给出的平均值范围内，这两个测试结果的绝对差不超过再现性限（</w:t>
      </w:r>
      <w:r>
        <w:rPr>
          <w:bCs/>
          <w:i/>
          <w:szCs w:val="21"/>
        </w:rPr>
        <w:t>R</w:t>
      </w:r>
      <w:r>
        <w:rPr>
          <w:bCs/>
          <w:szCs w:val="21"/>
        </w:rPr>
        <w:t>），超过再现性限（</w:t>
      </w:r>
      <w:r>
        <w:rPr>
          <w:bCs/>
          <w:i/>
          <w:szCs w:val="21"/>
        </w:rPr>
        <w:t>R</w:t>
      </w:r>
      <w:r>
        <w:rPr>
          <w:bCs/>
          <w:szCs w:val="21"/>
        </w:rPr>
        <w:t>）的情况不超过5%，再现性限（</w:t>
      </w:r>
      <w:r>
        <w:rPr>
          <w:bCs/>
          <w:i/>
          <w:szCs w:val="21"/>
        </w:rPr>
        <w:t>R</w:t>
      </w:r>
      <w:r>
        <w:rPr>
          <w:bCs/>
          <w:szCs w:val="21"/>
        </w:rPr>
        <w:t>）按表6数据采用线性内插法或外延法求得。</w:t>
      </w:r>
    </w:p>
    <w:p>
      <w:pPr>
        <w:pStyle w:val="30"/>
        <w:spacing w:after="156" w:afterLines="50"/>
        <w:ind w:firstLine="105" w:firstLineChars="50"/>
        <w:jc w:val="center"/>
        <w:rPr>
          <w:rFonts w:ascii="黑体" w:hAnsi="黑体" w:eastAsia="黑体"/>
          <w:sz w:val="21"/>
          <w:szCs w:val="21"/>
        </w:rPr>
      </w:pPr>
      <w:r>
        <w:rPr>
          <w:rFonts w:ascii="黑体" w:hAnsi="黑体" w:eastAsia="黑体"/>
          <w:sz w:val="21"/>
          <w:szCs w:val="21"/>
        </w:rPr>
        <w:t>表6 再现性限</w:t>
      </w:r>
      <w:r>
        <w:rPr>
          <w:bCs/>
          <w:szCs w:val="21"/>
        </w:rPr>
        <w:t>（</w:t>
      </w:r>
      <w:r>
        <w:rPr>
          <w:bCs/>
          <w:i/>
          <w:szCs w:val="21"/>
        </w:rPr>
        <w:t>R</w:t>
      </w:r>
      <w:r>
        <w:rPr>
          <w:bCs/>
          <w:szCs w:val="21"/>
        </w:rPr>
        <w:t>）</w:t>
      </w:r>
    </w:p>
    <w:tbl>
      <w:tblPr>
        <w:tblStyle w:val="1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337"/>
        <w:gridCol w:w="1336"/>
        <w:gridCol w:w="1337"/>
        <w:gridCol w:w="1336"/>
        <w:gridCol w:w="133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336" w:type="dxa"/>
            <w:tcBorders>
              <w:top w:val="single" w:color="auto" w:sz="12" w:space="0"/>
              <w:left w:val="single" w:color="auto" w:sz="12" w:space="0"/>
              <w:bottom w:val="single" w:color="auto" w:sz="8" w:space="0"/>
            </w:tcBorders>
          </w:tcPr>
          <w:p>
            <w:pPr>
              <w:jc w:val="center"/>
              <w:rPr>
                <w:bCs/>
                <w:sz w:val="18"/>
                <w:szCs w:val="18"/>
              </w:rPr>
            </w:pPr>
            <w:r>
              <w:rPr>
                <w:i/>
                <w:sz w:val="18"/>
                <w:szCs w:val="18"/>
              </w:rPr>
              <w:t>w</w:t>
            </w:r>
            <w:r>
              <w:rPr>
                <w:i/>
                <w:sz w:val="18"/>
                <w:szCs w:val="18"/>
                <w:vertAlign w:val="subscript"/>
              </w:rPr>
              <w:t>Cu</w:t>
            </w:r>
            <w:r>
              <w:rPr>
                <w:sz w:val="18"/>
                <w:szCs w:val="18"/>
              </w:rPr>
              <w:t>/%</w:t>
            </w:r>
          </w:p>
        </w:tc>
        <w:tc>
          <w:tcPr>
            <w:tcW w:w="1337" w:type="dxa"/>
            <w:tcBorders>
              <w:top w:val="single" w:color="auto" w:sz="12" w:space="0"/>
            </w:tcBorders>
            <w:vAlign w:val="center"/>
          </w:tcPr>
          <w:p>
            <w:pPr>
              <w:jc w:val="center"/>
              <w:rPr>
                <w:sz w:val="18"/>
                <w:szCs w:val="18"/>
              </w:rPr>
            </w:pPr>
          </w:p>
        </w:tc>
        <w:tc>
          <w:tcPr>
            <w:tcW w:w="1336" w:type="dxa"/>
            <w:tcBorders>
              <w:top w:val="single" w:color="auto" w:sz="12" w:space="0"/>
            </w:tcBorders>
            <w:vAlign w:val="center"/>
          </w:tcPr>
          <w:p>
            <w:pPr>
              <w:jc w:val="center"/>
              <w:rPr>
                <w:sz w:val="18"/>
                <w:szCs w:val="18"/>
              </w:rPr>
            </w:pPr>
          </w:p>
        </w:tc>
        <w:tc>
          <w:tcPr>
            <w:tcW w:w="1337" w:type="dxa"/>
            <w:tcBorders>
              <w:top w:val="single" w:color="auto" w:sz="12" w:space="0"/>
            </w:tcBorders>
            <w:vAlign w:val="center"/>
          </w:tcPr>
          <w:p>
            <w:pPr>
              <w:jc w:val="center"/>
              <w:rPr>
                <w:sz w:val="18"/>
                <w:szCs w:val="18"/>
              </w:rPr>
            </w:pPr>
          </w:p>
        </w:tc>
        <w:tc>
          <w:tcPr>
            <w:tcW w:w="1336" w:type="dxa"/>
            <w:tcBorders>
              <w:top w:val="single" w:color="auto" w:sz="12" w:space="0"/>
            </w:tcBorders>
            <w:vAlign w:val="center"/>
          </w:tcPr>
          <w:p>
            <w:pPr>
              <w:jc w:val="center"/>
              <w:rPr>
                <w:sz w:val="18"/>
                <w:szCs w:val="18"/>
              </w:rPr>
            </w:pPr>
          </w:p>
        </w:tc>
        <w:tc>
          <w:tcPr>
            <w:tcW w:w="1337" w:type="dxa"/>
            <w:tcBorders>
              <w:top w:val="single" w:color="auto" w:sz="12" w:space="0"/>
            </w:tcBorders>
          </w:tcPr>
          <w:p>
            <w:pPr>
              <w:jc w:val="center"/>
              <w:rPr>
                <w:sz w:val="18"/>
                <w:szCs w:val="18"/>
              </w:rPr>
            </w:pPr>
          </w:p>
        </w:tc>
        <w:tc>
          <w:tcPr>
            <w:tcW w:w="1337" w:type="dxa"/>
            <w:tcBorders>
              <w:top w:val="single" w:color="auto" w:sz="12" w:space="0"/>
              <w:right w:val="single" w:color="auto" w:sz="12"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336" w:type="dxa"/>
            <w:tcBorders>
              <w:top w:val="single" w:color="auto" w:sz="8" w:space="0"/>
              <w:left w:val="single" w:color="auto" w:sz="12" w:space="0"/>
              <w:bottom w:val="single" w:color="auto" w:sz="12" w:space="0"/>
            </w:tcBorders>
          </w:tcPr>
          <w:p>
            <w:pPr>
              <w:jc w:val="center"/>
              <w:rPr>
                <w:bCs/>
                <w:sz w:val="18"/>
                <w:szCs w:val="18"/>
              </w:rPr>
            </w:pPr>
            <w:r>
              <w:rPr>
                <w:bCs/>
                <w:i/>
                <w:sz w:val="18"/>
                <w:szCs w:val="18"/>
              </w:rPr>
              <w:t>R</w:t>
            </w:r>
            <w:r>
              <w:rPr>
                <w:bCs/>
                <w:sz w:val="18"/>
                <w:szCs w:val="18"/>
              </w:rPr>
              <w:t xml:space="preserve"> / %</w:t>
            </w:r>
          </w:p>
        </w:tc>
        <w:tc>
          <w:tcPr>
            <w:tcW w:w="1337" w:type="dxa"/>
            <w:tcBorders>
              <w:bottom w:val="single" w:color="auto" w:sz="12" w:space="0"/>
            </w:tcBorders>
            <w:vAlign w:val="center"/>
          </w:tcPr>
          <w:p>
            <w:pPr>
              <w:jc w:val="center"/>
              <w:rPr>
                <w:sz w:val="18"/>
                <w:szCs w:val="18"/>
              </w:rPr>
            </w:pPr>
          </w:p>
        </w:tc>
        <w:tc>
          <w:tcPr>
            <w:tcW w:w="1336" w:type="dxa"/>
            <w:tcBorders>
              <w:bottom w:val="single" w:color="auto" w:sz="12" w:space="0"/>
            </w:tcBorders>
            <w:vAlign w:val="center"/>
          </w:tcPr>
          <w:p>
            <w:pPr>
              <w:jc w:val="center"/>
              <w:rPr>
                <w:sz w:val="18"/>
                <w:szCs w:val="18"/>
              </w:rPr>
            </w:pPr>
          </w:p>
        </w:tc>
        <w:tc>
          <w:tcPr>
            <w:tcW w:w="1337" w:type="dxa"/>
            <w:tcBorders>
              <w:bottom w:val="single" w:color="auto" w:sz="12" w:space="0"/>
            </w:tcBorders>
            <w:vAlign w:val="center"/>
          </w:tcPr>
          <w:p>
            <w:pPr>
              <w:jc w:val="center"/>
              <w:rPr>
                <w:sz w:val="18"/>
                <w:szCs w:val="18"/>
              </w:rPr>
            </w:pPr>
          </w:p>
        </w:tc>
        <w:tc>
          <w:tcPr>
            <w:tcW w:w="1336" w:type="dxa"/>
            <w:tcBorders>
              <w:bottom w:val="single" w:color="auto" w:sz="12" w:space="0"/>
            </w:tcBorders>
            <w:vAlign w:val="center"/>
          </w:tcPr>
          <w:p>
            <w:pPr>
              <w:jc w:val="center"/>
              <w:rPr>
                <w:sz w:val="18"/>
                <w:szCs w:val="18"/>
              </w:rPr>
            </w:pPr>
          </w:p>
        </w:tc>
        <w:tc>
          <w:tcPr>
            <w:tcW w:w="1337" w:type="dxa"/>
            <w:tcBorders>
              <w:bottom w:val="single" w:color="auto" w:sz="12" w:space="0"/>
            </w:tcBorders>
          </w:tcPr>
          <w:p>
            <w:pPr>
              <w:jc w:val="center"/>
              <w:rPr>
                <w:sz w:val="18"/>
                <w:szCs w:val="18"/>
              </w:rPr>
            </w:pPr>
          </w:p>
        </w:tc>
        <w:tc>
          <w:tcPr>
            <w:tcW w:w="1337" w:type="dxa"/>
            <w:tcBorders>
              <w:bottom w:val="single" w:color="auto" w:sz="12" w:space="0"/>
              <w:right w:val="single" w:color="auto" w:sz="12" w:space="0"/>
            </w:tcBorders>
            <w:vAlign w:val="center"/>
          </w:tcPr>
          <w:p>
            <w:pPr>
              <w:jc w:val="center"/>
              <w:rPr>
                <w:sz w:val="18"/>
                <w:szCs w:val="18"/>
              </w:rPr>
            </w:pPr>
          </w:p>
        </w:tc>
      </w:tr>
    </w:tbl>
    <w:p>
      <w:pPr>
        <w:rPr>
          <w:szCs w:val="21"/>
        </w:rPr>
      </w:pPr>
    </w:p>
    <w:p>
      <w:pPr>
        <w:spacing w:line="360" w:lineRule="auto"/>
        <w:rPr>
          <w:rFonts w:ascii="黑体" w:hAnsi="黑体" w:eastAsia="黑体"/>
          <w:szCs w:val="21"/>
        </w:rPr>
      </w:pPr>
      <w:r>
        <w:rPr>
          <w:rFonts w:ascii="黑体" w:hAnsi="黑体" w:eastAsia="黑体"/>
          <w:szCs w:val="21"/>
        </w:rPr>
        <w:t>6 试验报告</w:t>
      </w:r>
    </w:p>
    <w:p>
      <w:pPr>
        <w:ind w:firstLine="420" w:firstLineChars="200"/>
        <w:rPr>
          <w:szCs w:val="21"/>
        </w:rPr>
      </w:pPr>
      <w:r>
        <w:rPr>
          <w:szCs w:val="21"/>
        </w:rPr>
        <w:t>至少应给出以下内容：</w:t>
      </w:r>
    </w:p>
    <w:p>
      <w:pPr>
        <w:ind w:firstLine="420" w:firstLineChars="200"/>
        <w:rPr>
          <w:szCs w:val="21"/>
        </w:rPr>
      </w:pPr>
      <w:r>
        <w:rPr>
          <w:i/>
          <w:iCs/>
          <w:szCs w:val="21"/>
        </w:rPr>
        <w:t xml:space="preserve">—— </w:t>
      </w:r>
      <w:r>
        <w:rPr>
          <w:rFonts w:ascii="宋体" w:hAnsi="宋体"/>
          <w:szCs w:val="21"/>
        </w:rPr>
        <w:t>试验对象；</w:t>
      </w:r>
    </w:p>
    <w:p>
      <w:pPr>
        <w:ind w:firstLine="420" w:firstLineChars="200"/>
        <w:rPr>
          <w:szCs w:val="21"/>
        </w:rPr>
      </w:pPr>
      <w:r>
        <w:rPr>
          <w:i/>
          <w:iCs/>
          <w:szCs w:val="21"/>
        </w:rPr>
        <w:t>——</w:t>
      </w:r>
      <w:r>
        <w:rPr>
          <w:szCs w:val="21"/>
        </w:rPr>
        <w:t xml:space="preserve"> 本文件编号</w:t>
      </w:r>
      <w:r>
        <w:rPr>
          <w:rFonts w:ascii="宋体" w:hAnsi="宋体"/>
          <w:szCs w:val="21"/>
        </w:rPr>
        <w:t>；</w:t>
      </w:r>
    </w:p>
    <w:p>
      <w:pPr>
        <w:ind w:firstLine="420" w:firstLineChars="200"/>
        <w:rPr>
          <w:szCs w:val="21"/>
        </w:rPr>
      </w:pPr>
      <w:r>
        <w:rPr>
          <w:i/>
          <w:iCs/>
          <w:szCs w:val="21"/>
        </w:rPr>
        <w:t xml:space="preserve">—— </w:t>
      </w:r>
      <w:r>
        <w:rPr>
          <w:rFonts w:ascii="宋体" w:hAnsi="宋体"/>
          <w:szCs w:val="21"/>
        </w:rPr>
        <w:t>使用的方法；</w:t>
      </w:r>
    </w:p>
    <w:p>
      <w:pPr>
        <w:ind w:firstLine="420" w:firstLineChars="200"/>
        <w:rPr>
          <w:szCs w:val="21"/>
        </w:rPr>
      </w:pPr>
      <w:r>
        <w:rPr>
          <w:i/>
          <w:iCs/>
          <w:szCs w:val="21"/>
        </w:rPr>
        <w:t xml:space="preserve">—— </w:t>
      </w:r>
      <w:r>
        <w:rPr>
          <w:szCs w:val="21"/>
        </w:rPr>
        <w:t>分析结果及其表示；</w:t>
      </w:r>
    </w:p>
    <w:p>
      <w:pPr>
        <w:ind w:firstLine="420" w:firstLineChars="200"/>
        <w:rPr>
          <w:szCs w:val="21"/>
        </w:rPr>
      </w:pPr>
      <w:r>
        <w:rPr>
          <w:i/>
          <w:iCs/>
          <w:szCs w:val="21"/>
        </w:rPr>
        <w:t xml:space="preserve">—— </w:t>
      </w:r>
      <w:r>
        <w:rPr>
          <w:szCs w:val="21"/>
        </w:rPr>
        <w:t>与基本分析步骤的差异；</w:t>
      </w:r>
    </w:p>
    <w:p>
      <w:pPr>
        <w:ind w:firstLine="420" w:firstLineChars="200"/>
        <w:rPr>
          <w:szCs w:val="21"/>
        </w:rPr>
      </w:pPr>
      <w:r>
        <w:rPr>
          <w:i/>
          <w:iCs/>
          <w:szCs w:val="21"/>
        </w:rPr>
        <w:t xml:space="preserve">—— </w:t>
      </w:r>
      <w:r>
        <w:rPr>
          <w:rFonts w:ascii="宋体" w:hAnsi="宋体"/>
          <w:szCs w:val="21"/>
        </w:rPr>
        <w:t>观察到的异常现象；</w:t>
      </w:r>
    </w:p>
    <w:p>
      <w:pPr>
        <w:ind w:firstLine="420" w:firstLineChars="200"/>
        <w:rPr>
          <w:szCs w:val="21"/>
        </w:rPr>
      </w:pPr>
      <w:r>
        <w:rPr>
          <w:i/>
          <w:iCs/>
          <w:szCs w:val="21"/>
        </w:rPr>
        <w:t xml:space="preserve">—— </w:t>
      </w:r>
      <w:r>
        <w:rPr>
          <w:szCs w:val="21"/>
        </w:rPr>
        <w:t>试验日期。</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jc w:val="center"/>
        <w:rPr>
          <w:rFonts w:ascii="黑体" w:hAnsi="黑体" w:eastAsia="黑体"/>
          <w:szCs w:val="21"/>
        </w:rPr>
      </w:pPr>
      <w:r>
        <w:rPr>
          <w:rFonts w:hint="eastAsia" w:ascii="黑体" w:hAnsi="黑体" w:eastAsia="黑体"/>
          <w:szCs w:val="21"/>
        </w:rPr>
        <w:t>附录A</w:t>
      </w:r>
    </w:p>
    <w:p>
      <w:pPr>
        <w:jc w:val="center"/>
        <w:rPr>
          <w:rFonts w:ascii="黑体" w:hAnsi="黑体" w:eastAsia="黑体"/>
          <w:szCs w:val="21"/>
        </w:rPr>
      </w:pPr>
      <w:r>
        <w:rPr>
          <w:rFonts w:hint="eastAsia" w:ascii="黑体" w:hAnsi="黑体" w:eastAsia="黑体"/>
          <w:szCs w:val="21"/>
        </w:rPr>
        <w:t>(资料性)</w:t>
      </w:r>
    </w:p>
    <w:p>
      <w:pPr>
        <w:jc w:val="center"/>
        <w:rPr>
          <w:rFonts w:ascii="黑体" w:hAnsi="黑体" w:eastAsia="黑体"/>
          <w:szCs w:val="21"/>
        </w:rPr>
      </w:pPr>
      <w:r>
        <w:rPr>
          <w:rFonts w:hint="eastAsia" w:ascii="黑体" w:hAnsi="黑体" w:eastAsia="黑体"/>
          <w:szCs w:val="21"/>
        </w:rPr>
        <w:t>从实验室结果得到的统计数据</w:t>
      </w:r>
    </w:p>
    <w:p>
      <w:pPr>
        <w:ind w:firstLine="420" w:firstLineChars="200"/>
        <w:rPr>
          <w:szCs w:val="21"/>
        </w:rPr>
      </w:pPr>
      <w:r>
        <w:rPr>
          <w:szCs w:val="21"/>
        </w:rPr>
        <w:t>精密度数据是在2023年由14家实验室对</w:t>
      </w:r>
      <w:r>
        <w:rPr>
          <w:rFonts w:hint="eastAsia"/>
          <w:szCs w:val="21"/>
        </w:rPr>
        <w:t>铋精矿</w:t>
      </w:r>
      <w:r>
        <w:rPr>
          <w:szCs w:val="21"/>
        </w:rPr>
        <w:t>5个不同水平样品进行共同试验确定的，每个实验室对每个水平的铜含量在重复性条件下独立测定9次。</w:t>
      </w:r>
      <w:r>
        <w:rPr>
          <w:rFonts w:hint="eastAsia"/>
          <w:szCs w:val="21"/>
        </w:rPr>
        <w:t>测定结果的统计数据见</w:t>
      </w:r>
      <w:r>
        <w:rPr>
          <w:szCs w:val="21"/>
        </w:rPr>
        <w:t>表A。</w:t>
      </w:r>
    </w:p>
    <w:p>
      <w:pPr>
        <w:spacing w:before="156" w:beforeLines="50"/>
        <w:jc w:val="center"/>
        <w:rPr>
          <w:rFonts w:ascii="黑体" w:hAnsi="黑体" w:eastAsia="黑体" w:cs="黑体"/>
          <w:szCs w:val="21"/>
        </w:rPr>
      </w:pPr>
      <w:r>
        <w:rPr>
          <w:rFonts w:hint="eastAsia" w:ascii="黑体" w:hAnsi="黑体" w:eastAsia="黑体" w:cs="黑体"/>
          <w:szCs w:val="21"/>
        </w:rPr>
        <w:t>表A 统计结果表</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30"/>
        <w:gridCol w:w="1276"/>
        <w:gridCol w:w="1134"/>
        <w:gridCol w:w="1134"/>
        <w:gridCol w:w="1134"/>
        <w:gridCol w:w="1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 w:hRule="atLeast"/>
          <w:jc w:val="center"/>
        </w:trPr>
        <w:tc>
          <w:tcPr>
            <w:tcW w:w="8723" w:type="dxa"/>
            <w:gridSpan w:val="6"/>
            <w:vAlign w:val="center"/>
          </w:tcPr>
          <w:p>
            <w:pPr>
              <w:spacing w:before="156" w:beforeLines="50"/>
              <w:jc w:val="center"/>
              <w:rPr>
                <w:rFonts w:hint="eastAsia" w:ascii="黑体" w:hAnsi="黑体" w:eastAsia="黑体" w:cs="黑体"/>
                <w:szCs w:val="21"/>
              </w:rPr>
            </w:pPr>
            <w:r>
              <w:rPr>
                <w:rFonts w:hint="eastAsia"/>
                <w:bCs/>
                <w:szCs w:val="21"/>
              </w:rPr>
              <w:t>铜元素验证统计数据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样品标识</w:t>
            </w:r>
          </w:p>
        </w:tc>
        <w:tc>
          <w:tcPr>
            <w:tcW w:w="1276" w:type="dxa"/>
            <w:vAlign w:val="center"/>
          </w:tcPr>
          <w:p>
            <w:pPr>
              <w:spacing w:before="156" w:beforeLines="50"/>
              <w:jc w:val="center"/>
              <w:rPr>
                <w:rFonts w:hint="eastAsia"/>
                <w:bCs/>
                <w:szCs w:val="21"/>
              </w:rPr>
            </w:pPr>
            <w:r>
              <w:rPr>
                <w:rFonts w:hint="eastAsia"/>
                <w:bCs/>
                <w:szCs w:val="21"/>
              </w:rPr>
              <w:t>水平1</w:t>
            </w:r>
          </w:p>
        </w:tc>
        <w:tc>
          <w:tcPr>
            <w:tcW w:w="1134" w:type="dxa"/>
            <w:vAlign w:val="center"/>
          </w:tcPr>
          <w:p>
            <w:pPr>
              <w:spacing w:before="156" w:beforeLines="50"/>
              <w:jc w:val="center"/>
              <w:rPr>
                <w:rFonts w:hint="eastAsia"/>
                <w:bCs/>
                <w:szCs w:val="21"/>
              </w:rPr>
            </w:pPr>
            <w:r>
              <w:rPr>
                <w:rFonts w:hint="eastAsia"/>
                <w:bCs/>
                <w:szCs w:val="21"/>
              </w:rPr>
              <w:t>水平</w:t>
            </w:r>
            <w:r>
              <w:rPr>
                <w:bCs/>
                <w:szCs w:val="21"/>
              </w:rPr>
              <w:t>2</w:t>
            </w:r>
          </w:p>
        </w:tc>
        <w:tc>
          <w:tcPr>
            <w:tcW w:w="1134" w:type="dxa"/>
            <w:vAlign w:val="center"/>
          </w:tcPr>
          <w:p>
            <w:pPr>
              <w:spacing w:before="156" w:beforeLines="50"/>
              <w:jc w:val="center"/>
              <w:rPr>
                <w:rFonts w:hint="eastAsia"/>
                <w:bCs/>
                <w:szCs w:val="21"/>
              </w:rPr>
            </w:pPr>
            <w:r>
              <w:rPr>
                <w:rFonts w:hint="eastAsia"/>
                <w:bCs/>
                <w:szCs w:val="21"/>
              </w:rPr>
              <w:t>水平3</w:t>
            </w:r>
          </w:p>
        </w:tc>
        <w:tc>
          <w:tcPr>
            <w:tcW w:w="1134" w:type="dxa"/>
            <w:vAlign w:val="center"/>
          </w:tcPr>
          <w:p>
            <w:pPr>
              <w:spacing w:before="156" w:beforeLines="50"/>
              <w:jc w:val="center"/>
              <w:rPr>
                <w:rFonts w:hint="eastAsia"/>
                <w:bCs/>
                <w:szCs w:val="21"/>
              </w:rPr>
            </w:pPr>
            <w:r>
              <w:rPr>
                <w:rFonts w:hint="eastAsia"/>
                <w:bCs/>
                <w:szCs w:val="21"/>
              </w:rPr>
              <w:t>水平4</w:t>
            </w:r>
          </w:p>
        </w:tc>
        <w:tc>
          <w:tcPr>
            <w:tcW w:w="1215" w:type="dxa"/>
            <w:vAlign w:val="center"/>
          </w:tcPr>
          <w:p>
            <w:pPr>
              <w:spacing w:before="156" w:beforeLines="50"/>
              <w:jc w:val="center"/>
              <w:rPr>
                <w:rFonts w:hint="eastAsia"/>
                <w:bCs/>
                <w:szCs w:val="21"/>
              </w:rPr>
            </w:pPr>
            <w:r>
              <w:rPr>
                <w:rFonts w:hint="eastAsia"/>
                <w:bCs/>
                <w:szCs w:val="21"/>
              </w:rPr>
              <w:t>水平5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测试数目/个</w:t>
            </w:r>
          </w:p>
        </w:tc>
        <w:tc>
          <w:tcPr>
            <w:tcW w:w="1276" w:type="dxa"/>
            <w:vAlign w:val="center"/>
          </w:tcPr>
          <w:p>
            <w:pPr>
              <w:spacing w:before="156" w:beforeLines="50"/>
              <w:jc w:val="center"/>
              <w:rPr>
                <w:rFonts w:hint="eastAsia"/>
                <w:bCs/>
                <w:szCs w:val="21"/>
              </w:rPr>
            </w:pPr>
            <w:r>
              <w:rPr>
                <w:rFonts w:hint="eastAsia"/>
                <w:bCs/>
                <w:szCs w:val="21"/>
              </w:rPr>
              <w:t>1</w:t>
            </w:r>
            <w:r>
              <w:rPr>
                <w:bCs/>
                <w:szCs w:val="21"/>
              </w:rPr>
              <w:t>26</w:t>
            </w:r>
          </w:p>
        </w:tc>
        <w:tc>
          <w:tcPr>
            <w:tcW w:w="1134" w:type="dxa"/>
          </w:tcPr>
          <w:p>
            <w:pPr>
              <w:spacing w:before="156" w:beforeLines="50"/>
              <w:jc w:val="center"/>
              <w:rPr>
                <w:rFonts w:hint="eastAsia"/>
                <w:bCs/>
                <w:szCs w:val="21"/>
              </w:rPr>
            </w:pPr>
            <w:r>
              <w:rPr>
                <w:rFonts w:hint="eastAsia"/>
                <w:bCs/>
                <w:szCs w:val="21"/>
              </w:rPr>
              <w:t>1</w:t>
            </w:r>
            <w:r>
              <w:rPr>
                <w:bCs/>
                <w:szCs w:val="21"/>
              </w:rPr>
              <w:t>26</w:t>
            </w:r>
          </w:p>
        </w:tc>
        <w:tc>
          <w:tcPr>
            <w:tcW w:w="1134" w:type="dxa"/>
          </w:tcPr>
          <w:p>
            <w:pPr>
              <w:spacing w:before="156" w:beforeLines="50"/>
              <w:jc w:val="center"/>
              <w:rPr>
                <w:rFonts w:hint="eastAsia"/>
                <w:bCs/>
                <w:szCs w:val="21"/>
              </w:rPr>
            </w:pPr>
            <w:r>
              <w:rPr>
                <w:rFonts w:hint="eastAsia"/>
                <w:bCs/>
                <w:szCs w:val="21"/>
              </w:rPr>
              <w:t>1</w:t>
            </w:r>
            <w:r>
              <w:rPr>
                <w:bCs/>
                <w:szCs w:val="21"/>
              </w:rPr>
              <w:t>26</w:t>
            </w:r>
          </w:p>
        </w:tc>
        <w:tc>
          <w:tcPr>
            <w:tcW w:w="1134" w:type="dxa"/>
          </w:tcPr>
          <w:p>
            <w:pPr>
              <w:spacing w:before="156" w:beforeLines="50"/>
              <w:jc w:val="center"/>
              <w:rPr>
                <w:rFonts w:hint="eastAsia"/>
                <w:bCs/>
                <w:szCs w:val="21"/>
              </w:rPr>
            </w:pPr>
            <w:r>
              <w:rPr>
                <w:rFonts w:hint="eastAsia"/>
                <w:bCs/>
                <w:szCs w:val="21"/>
              </w:rPr>
              <w:t>1</w:t>
            </w:r>
            <w:r>
              <w:rPr>
                <w:bCs/>
                <w:szCs w:val="21"/>
              </w:rPr>
              <w:t>26</w:t>
            </w:r>
          </w:p>
        </w:tc>
        <w:tc>
          <w:tcPr>
            <w:tcW w:w="1215" w:type="dxa"/>
          </w:tcPr>
          <w:p>
            <w:pPr>
              <w:spacing w:before="156" w:beforeLines="50"/>
              <w:jc w:val="center"/>
              <w:rPr>
                <w:rFonts w:hint="eastAsia"/>
                <w:bCs/>
                <w:szCs w:val="21"/>
              </w:rPr>
            </w:pPr>
            <w:r>
              <w:rPr>
                <w:rFonts w:hint="eastAsia"/>
                <w:bCs/>
                <w:szCs w:val="21"/>
              </w:rPr>
              <w:t>1</w:t>
            </w:r>
            <w:r>
              <w:rPr>
                <w:bCs/>
                <w:szCs w:val="21"/>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可接受结果数目/个</w:t>
            </w:r>
          </w:p>
        </w:tc>
        <w:tc>
          <w:tcPr>
            <w:tcW w:w="1276"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215" w:type="dxa"/>
            <w:vAlign w:val="center"/>
          </w:tcPr>
          <w:p>
            <w:pPr>
              <w:spacing w:before="156" w:beforeLines="50"/>
              <w:jc w:val="center"/>
              <w:rPr>
                <w:rFonts w:hint="eastAsia"/>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平均值/%</w:t>
            </w:r>
          </w:p>
        </w:tc>
        <w:tc>
          <w:tcPr>
            <w:tcW w:w="1276"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215" w:type="dxa"/>
            <w:vAlign w:val="center"/>
          </w:tcPr>
          <w:p>
            <w:pPr>
              <w:spacing w:before="156" w:beforeLines="50"/>
              <w:jc w:val="center"/>
              <w:rPr>
                <w:rFonts w:hint="eastAsia"/>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重复性标准差（</w:t>
            </w:r>
            <w:r>
              <w:rPr>
                <w:rFonts w:hint="eastAsia"/>
                <w:bCs/>
                <w:i/>
                <w:iCs/>
                <w:szCs w:val="21"/>
              </w:rPr>
              <w:t>S</w:t>
            </w:r>
            <w:r>
              <w:rPr>
                <w:rFonts w:hint="eastAsia"/>
                <w:bCs/>
                <w:i/>
                <w:iCs/>
                <w:szCs w:val="21"/>
                <w:vertAlign w:val="subscript"/>
              </w:rPr>
              <w:t>r</w:t>
            </w:r>
            <w:r>
              <w:rPr>
                <w:rFonts w:hint="eastAsia"/>
                <w:bCs/>
                <w:szCs w:val="21"/>
              </w:rPr>
              <w:t>）/%</w:t>
            </w:r>
          </w:p>
        </w:tc>
        <w:tc>
          <w:tcPr>
            <w:tcW w:w="1276"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215" w:type="dxa"/>
            <w:vAlign w:val="center"/>
          </w:tcPr>
          <w:p>
            <w:pPr>
              <w:spacing w:before="156" w:beforeLines="50"/>
              <w:jc w:val="center"/>
              <w:rPr>
                <w:rFonts w:hint="eastAsia"/>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重复性变异系数/%</w:t>
            </w:r>
          </w:p>
        </w:tc>
        <w:tc>
          <w:tcPr>
            <w:tcW w:w="1276"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215" w:type="dxa"/>
            <w:vAlign w:val="center"/>
          </w:tcPr>
          <w:p>
            <w:pPr>
              <w:spacing w:before="156" w:beforeLines="50"/>
              <w:jc w:val="center"/>
              <w:rPr>
                <w:rFonts w:hint="eastAsia"/>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重复性限（</w:t>
            </w:r>
            <w:r>
              <w:rPr>
                <w:rFonts w:hint="eastAsia"/>
                <w:bCs/>
                <w:i/>
                <w:iCs/>
                <w:szCs w:val="21"/>
              </w:rPr>
              <w:t>r</w:t>
            </w:r>
            <w:r>
              <w:rPr>
                <w:rFonts w:hint="eastAsia"/>
                <w:bCs/>
                <w:szCs w:val="21"/>
              </w:rPr>
              <w:t>）（2</w:t>
            </w:r>
            <w:r>
              <w:rPr>
                <w:bCs/>
                <w:szCs w:val="21"/>
              </w:rPr>
              <w:t>.8X</w:t>
            </w:r>
            <w:r>
              <w:rPr>
                <w:rFonts w:hint="eastAsia"/>
                <w:bCs/>
                <w:i/>
                <w:iCs/>
                <w:szCs w:val="21"/>
              </w:rPr>
              <w:t>S</w:t>
            </w:r>
            <w:r>
              <w:rPr>
                <w:rFonts w:hint="eastAsia"/>
                <w:bCs/>
                <w:i/>
                <w:iCs/>
                <w:szCs w:val="21"/>
                <w:vertAlign w:val="subscript"/>
              </w:rPr>
              <w:t>r</w:t>
            </w:r>
            <w:r>
              <w:rPr>
                <w:rFonts w:hint="eastAsia"/>
                <w:bCs/>
                <w:szCs w:val="21"/>
              </w:rPr>
              <w:t>）/%</w:t>
            </w:r>
          </w:p>
        </w:tc>
        <w:tc>
          <w:tcPr>
            <w:tcW w:w="1276"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215" w:type="dxa"/>
            <w:vAlign w:val="center"/>
          </w:tcPr>
          <w:p>
            <w:pPr>
              <w:spacing w:before="156" w:beforeLines="50"/>
              <w:jc w:val="center"/>
              <w:rPr>
                <w:rFonts w:hint="eastAsia"/>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再现性标准差（</w:t>
            </w:r>
            <w:r>
              <w:rPr>
                <w:rFonts w:hint="eastAsia"/>
                <w:bCs/>
                <w:i/>
                <w:iCs/>
                <w:szCs w:val="21"/>
              </w:rPr>
              <w:t>S</w:t>
            </w:r>
            <w:r>
              <w:rPr>
                <w:rFonts w:hint="eastAsia"/>
                <w:bCs/>
                <w:i/>
                <w:iCs/>
                <w:szCs w:val="21"/>
                <w:vertAlign w:val="subscript"/>
              </w:rPr>
              <w:t>R</w:t>
            </w:r>
            <w:r>
              <w:rPr>
                <w:rFonts w:hint="eastAsia"/>
                <w:bCs/>
                <w:szCs w:val="21"/>
              </w:rPr>
              <w:t>）/</w:t>
            </w:r>
            <w:r>
              <w:rPr>
                <w:bCs/>
                <w:szCs w:val="21"/>
              </w:rPr>
              <w:t>%</w:t>
            </w:r>
          </w:p>
        </w:tc>
        <w:tc>
          <w:tcPr>
            <w:tcW w:w="1276"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215" w:type="dxa"/>
            <w:vAlign w:val="center"/>
          </w:tcPr>
          <w:p>
            <w:pPr>
              <w:spacing w:before="156" w:beforeLines="50"/>
              <w:jc w:val="center"/>
              <w:rPr>
                <w:rFonts w:hint="eastAsia"/>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再现性变异系数/</w:t>
            </w:r>
            <w:r>
              <w:rPr>
                <w:bCs/>
                <w:szCs w:val="21"/>
              </w:rPr>
              <w:t>%</w:t>
            </w:r>
          </w:p>
        </w:tc>
        <w:tc>
          <w:tcPr>
            <w:tcW w:w="1276"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215" w:type="dxa"/>
            <w:vAlign w:val="center"/>
          </w:tcPr>
          <w:p>
            <w:pPr>
              <w:spacing w:before="156" w:beforeLines="50"/>
              <w:jc w:val="center"/>
              <w:rPr>
                <w:rFonts w:hint="eastAsia"/>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30" w:type="dxa"/>
            <w:vAlign w:val="center"/>
          </w:tcPr>
          <w:p>
            <w:pPr>
              <w:spacing w:before="156" w:beforeLines="50"/>
              <w:jc w:val="center"/>
              <w:rPr>
                <w:rFonts w:hint="eastAsia"/>
                <w:bCs/>
                <w:szCs w:val="21"/>
              </w:rPr>
            </w:pPr>
            <w:r>
              <w:rPr>
                <w:rFonts w:hint="eastAsia"/>
                <w:bCs/>
                <w:szCs w:val="21"/>
              </w:rPr>
              <w:t>再现性（</w:t>
            </w:r>
            <w:r>
              <w:rPr>
                <w:rFonts w:hint="eastAsia"/>
                <w:bCs/>
                <w:i/>
                <w:iCs/>
                <w:szCs w:val="21"/>
              </w:rPr>
              <w:t>R</w:t>
            </w:r>
            <w:r>
              <w:rPr>
                <w:rFonts w:hint="eastAsia"/>
                <w:bCs/>
                <w:szCs w:val="21"/>
              </w:rPr>
              <w:t>）（2</w:t>
            </w:r>
            <w:r>
              <w:rPr>
                <w:bCs/>
                <w:szCs w:val="21"/>
              </w:rPr>
              <w:t>.8</w:t>
            </w:r>
            <w:r>
              <w:rPr>
                <w:rFonts w:hint="eastAsia"/>
                <w:bCs/>
                <w:szCs w:val="21"/>
              </w:rPr>
              <w:t>X</w:t>
            </w:r>
            <w:r>
              <w:rPr>
                <w:rFonts w:hint="eastAsia"/>
                <w:bCs/>
                <w:i/>
                <w:iCs/>
                <w:szCs w:val="21"/>
              </w:rPr>
              <w:t>S</w:t>
            </w:r>
            <w:r>
              <w:rPr>
                <w:rFonts w:hint="eastAsia"/>
                <w:bCs/>
                <w:i/>
                <w:iCs/>
                <w:szCs w:val="21"/>
                <w:vertAlign w:val="subscript"/>
              </w:rPr>
              <w:t>R</w:t>
            </w:r>
            <w:r>
              <w:rPr>
                <w:rFonts w:hint="eastAsia"/>
                <w:bCs/>
                <w:szCs w:val="21"/>
              </w:rPr>
              <w:t>）/</w:t>
            </w:r>
            <w:r>
              <w:rPr>
                <w:bCs/>
                <w:szCs w:val="21"/>
              </w:rPr>
              <w:t>%</w:t>
            </w:r>
          </w:p>
        </w:tc>
        <w:tc>
          <w:tcPr>
            <w:tcW w:w="1276"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134" w:type="dxa"/>
            <w:vAlign w:val="center"/>
          </w:tcPr>
          <w:p>
            <w:pPr>
              <w:spacing w:before="156" w:beforeLines="50"/>
              <w:jc w:val="center"/>
              <w:rPr>
                <w:rFonts w:hint="eastAsia"/>
                <w:bCs/>
                <w:szCs w:val="21"/>
              </w:rPr>
            </w:pPr>
          </w:p>
        </w:tc>
        <w:tc>
          <w:tcPr>
            <w:tcW w:w="1215" w:type="dxa"/>
            <w:vAlign w:val="center"/>
          </w:tcPr>
          <w:p>
            <w:pPr>
              <w:spacing w:before="156" w:beforeLines="50"/>
              <w:jc w:val="center"/>
              <w:rPr>
                <w:rFonts w:hint="eastAsia"/>
                <w:bCs/>
                <w:szCs w:val="21"/>
              </w:rPr>
            </w:pPr>
          </w:p>
        </w:tc>
      </w:tr>
    </w:tbl>
    <w:p>
      <w:pPr>
        <w:spacing w:before="156" w:beforeLines="50"/>
        <w:jc w:val="center"/>
        <w:rPr>
          <w:rFonts w:hint="eastAsia" w:ascii="黑体" w:hAnsi="黑体" w:eastAsia="黑体" w:cs="黑体"/>
          <w:szCs w:val="21"/>
        </w:rPr>
      </w:pPr>
    </w:p>
    <w:p>
      <w:pPr>
        <w:ind w:firstLine="420" w:firstLineChars="200"/>
        <w:jc w:val="center"/>
        <w:rPr>
          <w:rFonts w:ascii="黑体" w:hAnsi="黑体" w:eastAsia="黑体"/>
          <w:b/>
          <w:bCs/>
          <w:szCs w:val="21"/>
        </w:rPr>
      </w:pPr>
      <w:r>
        <w:rPr>
          <w:rFonts w:hint="eastAsia" w:ascii="黑体" w:hAnsi="黑体" w:eastAsia="黑体"/>
          <w:b/>
          <w:bCs/>
          <w:szCs w:val="21"/>
        </w:rPr>
        <w:t>————————————————————</w:t>
      </w:r>
    </w:p>
    <w:sectPr>
      <w:headerReference r:id="rId11"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1"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18"/>
      </w:rPr>
    </w:pPr>
    <w:r>
      <w:fldChar w:fldCharType="begin"/>
    </w:r>
    <w:r>
      <w:rPr>
        <w:rStyle w:val="18"/>
      </w:rPr>
      <w:instrText xml:space="preserve">PAGE  </w:instrText>
    </w:r>
    <w:r>
      <w:fldChar w:fldCharType="separate"/>
    </w:r>
    <w:r>
      <w:rPr>
        <w:rStyle w:val="18"/>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18"/>
      </w:rPr>
    </w:pPr>
    <w:r>
      <w:fldChar w:fldCharType="begin"/>
    </w:r>
    <w:r>
      <w:rPr>
        <w:rStyle w:val="18"/>
      </w:rPr>
      <w:instrText xml:space="preserve">PAGE  </w:instrText>
    </w:r>
    <w:r>
      <w:fldChar w:fldCharType="separate"/>
    </w:r>
    <w:r>
      <w:rPr>
        <w:rStyle w:val="18"/>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5760" w:right="360" w:hanging="5760" w:hangingChars="3200"/>
      <w:jc w:val="right"/>
    </w:pPr>
    <w:r>
      <w:fldChar w:fldCharType="begin"/>
    </w:r>
    <w:r>
      <w:rPr>
        <w:rStyle w:val="18"/>
      </w:rPr>
      <w:instrText xml:space="preserve"> PAGE </w:instrText>
    </w:r>
    <w:r>
      <w:fldChar w:fldCharType="separate"/>
    </w:r>
    <w:r>
      <w:rPr>
        <w:rStyle w:val="18"/>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rPr>
        <w:rFonts w:eastAsia="黑体"/>
        <w:szCs w:val="21"/>
      </w:rPr>
    </w:pPr>
    <w:r>
      <w:rPr>
        <w:rFonts w:eastAsia="黑体"/>
        <w:szCs w:val="21"/>
      </w:rPr>
      <w:t>YS/T 240.9—201X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left"/>
      <w:rPr>
        <w:rFonts w:ascii="黑体" w:eastAsia="黑体"/>
        <w:szCs w:val="21"/>
      </w:rPr>
    </w:pPr>
    <w:r>
      <w:rPr>
        <w:rFonts w:hint="eastAsia" w:ascii="黑体" w:eastAsia="黑体"/>
        <w:szCs w:val="21"/>
      </w:rPr>
      <w:t xml:space="preserve">YS/T </w:t>
    </w:r>
    <w:r>
      <w:rPr>
        <w:rFonts w:ascii="黑体" w:eastAsia="黑体"/>
        <w:szCs w:val="21"/>
      </w:rPr>
      <w:t>240</w:t>
    </w:r>
    <w:r>
      <w:rPr>
        <w:rFonts w:hint="eastAsia" w:ascii="黑体" w:eastAsia="黑体"/>
        <w:szCs w:val="21"/>
      </w:rPr>
      <w:t>.</w:t>
    </w:r>
    <w:r>
      <w:rPr>
        <w:rFonts w:ascii="黑体" w:eastAsia="黑体"/>
        <w:szCs w:val="21"/>
      </w:rPr>
      <w:t>9</w:t>
    </w:r>
    <w:r>
      <w:rPr>
        <w:rFonts w:hint="eastAsia" w:ascii="黑体" w:eastAsia="黑体"/>
        <w:szCs w:val="21"/>
      </w:rPr>
      <w:t>—20</w:t>
    </w:r>
    <w:r>
      <w:rPr>
        <w:rFonts w:ascii="黑体" w:eastAsia="黑体"/>
        <w:szCs w:val="21"/>
      </w:rPr>
      <w:t>2</w:t>
    </w:r>
    <w:r>
      <w:rPr>
        <w:rFonts w:hint="eastAsia" w:ascii="黑体" w:eastAsia="黑体"/>
        <w:szCs w:val="21"/>
      </w:rPr>
      <w:t>X</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wordWrap w:val="0"/>
      <w:rPr>
        <w:rFonts w:ascii="黑体" w:eastAsia="黑体"/>
        <w:szCs w:val="21"/>
      </w:rPr>
    </w:pPr>
    <w:r>
      <w:rPr>
        <w:rFonts w:hint="eastAsia" w:ascii="黑体" w:eastAsia="黑体"/>
        <w:szCs w:val="21"/>
      </w:rPr>
      <w:t xml:space="preserve">YS/T </w:t>
    </w:r>
    <w:r>
      <w:rPr>
        <w:rFonts w:ascii="黑体" w:eastAsia="黑体"/>
        <w:szCs w:val="21"/>
      </w:rPr>
      <w:t>240</w:t>
    </w:r>
    <w:r>
      <w:rPr>
        <w:rFonts w:hint="eastAsia" w:ascii="黑体" w:eastAsia="黑体"/>
        <w:szCs w:val="21"/>
      </w:rPr>
      <w:t>.</w:t>
    </w:r>
    <w:r>
      <w:rPr>
        <w:rFonts w:ascii="黑体" w:eastAsia="黑体"/>
        <w:szCs w:val="21"/>
      </w:rPr>
      <w:t>9</w:t>
    </w:r>
    <w:r>
      <w:rPr>
        <w:rFonts w:hint="eastAsia" w:ascii="黑体" w:eastAsia="黑体"/>
        <w:szCs w:val="21"/>
      </w:rPr>
      <w:t>—20</w:t>
    </w:r>
    <w:r>
      <w:rPr>
        <w:rFonts w:ascii="黑体" w:eastAsia="黑体"/>
        <w:szCs w:val="21"/>
      </w:rPr>
      <w:t>2</w:t>
    </w:r>
    <w:r>
      <w:rPr>
        <w:rFonts w:hint="eastAsia" w:ascii="黑体" w:eastAsia="黑体"/>
        <w:szCs w:val="21"/>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lOWFjMjJlZWIzYzBmOGUzYjU3MmRhYTY0OGQ4YzMifQ=="/>
  </w:docVars>
  <w:rsids>
    <w:rsidRoot w:val="000F1E08"/>
    <w:rsid w:val="000009C3"/>
    <w:rsid w:val="00002154"/>
    <w:rsid w:val="00006B08"/>
    <w:rsid w:val="000111FD"/>
    <w:rsid w:val="0001151F"/>
    <w:rsid w:val="00013CCD"/>
    <w:rsid w:val="00014986"/>
    <w:rsid w:val="00015168"/>
    <w:rsid w:val="0001599D"/>
    <w:rsid w:val="000165FD"/>
    <w:rsid w:val="00016782"/>
    <w:rsid w:val="00016924"/>
    <w:rsid w:val="0001748F"/>
    <w:rsid w:val="00017521"/>
    <w:rsid w:val="00017844"/>
    <w:rsid w:val="000223EB"/>
    <w:rsid w:val="00022BC9"/>
    <w:rsid w:val="0002459F"/>
    <w:rsid w:val="00027EC5"/>
    <w:rsid w:val="000304B7"/>
    <w:rsid w:val="0003287F"/>
    <w:rsid w:val="00034342"/>
    <w:rsid w:val="00035F3D"/>
    <w:rsid w:val="00037F14"/>
    <w:rsid w:val="00041AFF"/>
    <w:rsid w:val="00044482"/>
    <w:rsid w:val="00045606"/>
    <w:rsid w:val="000470B8"/>
    <w:rsid w:val="00051484"/>
    <w:rsid w:val="00051C58"/>
    <w:rsid w:val="00051E39"/>
    <w:rsid w:val="00054E8D"/>
    <w:rsid w:val="000567BA"/>
    <w:rsid w:val="0005707E"/>
    <w:rsid w:val="000577DD"/>
    <w:rsid w:val="00060DDA"/>
    <w:rsid w:val="00061BC6"/>
    <w:rsid w:val="0006521B"/>
    <w:rsid w:val="00065944"/>
    <w:rsid w:val="0006624B"/>
    <w:rsid w:val="000672BB"/>
    <w:rsid w:val="00067412"/>
    <w:rsid w:val="00072889"/>
    <w:rsid w:val="00073DCD"/>
    <w:rsid w:val="00074C6D"/>
    <w:rsid w:val="00075D62"/>
    <w:rsid w:val="000764D4"/>
    <w:rsid w:val="00080F41"/>
    <w:rsid w:val="000814A2"/>
    <w:rsid w:val="00081B47"/>
    <w:rsid w:val="00082A2C"/>
    <w:rsid w:val="00083ADC"/>
    <w:rsid w:val="00086C5E"/>
    <w:rsid w:val="000908C7"/>
    <w:rsid w:val="00092E64"/>
    <w:rsid w:val="000944D8"/>
    <w:rsid w:val="0009633A"/>
    <w:rsid w:val="000976B0"/>
    <w:rsid w:val="000A011F"/>
    <w:rsid w:val="000A0317"/>
    <w:rsid w:val="000A0922"/>
    <w:rsid w:val="000A0A20"/>
    <w:rsid w:val="000A1DBA"/>
    <w:rsid w:val="000A2073"/>
    <w:rsid w:val="000B0AEB"/>
    <w:rsid w:val="000B2BBB"/>
    <w:rsid w:val="000B2ECE"/>
    <w:rsid w:val="000B52C6"/>
    <w:rsid w:val="000C238F"/>
    <w:rsid w:val="000C3D37"/>
    <w:rsid w:val="000C45D9"/>
    <w:rsid w:val="000C74A7"/>
    <w:rsid w:val="000C795C"/>
    <w:rsid w:val="000D08FD"/>
    <w:rsid w:val="000D3525"/>
    <w:rsid w:val="000D5ECF"/>
    <w:rsid w:val="000D62CE"/>
    <w:rsid w:val="000D6F7D"/>
    <w:rsid w:val="000D7685"/>
    <w:rsid w:val="000D7791"/>
    <w:rsid w:val="000E1257"/>
    <w:rsid w:val="000E47B5"/>
    <w:rsid w:val="000E4C95"/>
    <w:rsid w:val="000E513E"/>
    <w:rsid w:val="000F0AD7"/>
    <w:rsid w:val="000F1E08"/>
    <w:rsid w:val="000F2041"/>
    <w:rsid w:val="000F6D7C"/>
    <w:rsid w:val="00100BAF"/>
    <w:rsid w:val="00101F7A"/>
    <w:rsid w:val="00104AA4"/>
    <w:rsid w:val="0010545D"/>
    <w:rsid w:val="00106436"/>
    <w:rsid w:val="001073E9"/>
    <w:rsid w:val="001076F5"/>
    <w:rsid w:val="00107DAA"/>
    <w:rsid w:val="00110BBC"/>
    <w:rsid w:val="001110DB"/>
    <w:rsid w:val="00111AE2"/>
    <w:rsid w:val="00111DB3"/>
    <w:rsid w:val="0011261E"/>
    <w:rsid w:val="00112ACF"/>
    <w:rsid w:val="0011424F"/>
    <w:rsid w:val="00116F9A"/>
    <w:rsid w:val="00121280"/>
    <w:rsid w:val="00122BAB"/>
    <w:rsid w:val="001248D5"/>
    <w:rsid w:val="00125BA0"/>
    <w:rsid w:val="00125F79"/>
    <w:rsid w:val="0012661A"/>
    <w:rsid w:val="00132043"/>
    <w:rsid w:val="00133CE4"/>
    <w:rsid w:val="001344B9"/>
    <w:rsid w:val="00135416"/>
    <w:rsid w:val="00135616"/>
    <w:rsid w:val="001369CB"/>
    <w:rsid w:val="00137C48"/>
    <w:rsid w:val="00141170"/>
    <w:rsid w:val="0014134B"/>
    <w:rsid w:val="001415C2"/>
    <w:rsid w:val="00141A34"/>
    <w:rsid w:val="00141DFA"/>
    <w:rsid w:val="001425ED"/>
    <w:rsid w:val="00144FCE"/>
    <w:rsid w:val="001460F0"/>
    <w:rsid w:val="001472CB"/>
    <w:rsid w:val="00150935"/>
    <w:rsid w:val="00150D91"/>
    <w:rsid w:val="00151465"/>
    <w:rsid w:val="001522D3"/>
    <w:rsid w:val="00152EC8"/>
    <w:rsid w:val="00153395"/>
    <w:rsid w:val="00154667"/>
    <w:rsid w:val="00155CC7"/>
    <w:rsid w:val="00156D4A"/>
    <w:rsid w:val="00164CD8"/>
    <w:rsid w:val="00165197"/>
    <w:rsid w:val="00166833"/>
    <w:rsid w:val="00170887"/>
    <w:rsid w:val="00170A6D"/>
    <w:rsid w:val="001734B9"/>
    <w:rsid w:val="00173B7B"/>
    <w:rsid w:val="00174C27"/>
    <w:rsid w:val="00174FEA"/>
    <w:rsid w:val="001752CF"/>
    <w:rsid w:val="001760C1"/>
    <w:rsid w:val="00177171"/>
    <w:rsid w:val="00177198"/>
    <w:rsid w:val="00177649"/>
    <w:rsid w:val="001819C7"/>
    <w:rsid w:val="001826D9"/>
    <w:rsid w:val="00186869"/>
    <w:rsid w:val="00186BDF"/>
    <w:rsid w:val="00186EB2"/>
    <w:rsid w:val="001929D0"/>
    <w:rsid w:val="00192C4F"/>
    <w:rsid w:val="00194684"/>
    <w:rsid w:val="001A04EB"/>
    <w:rsid w:val="001A05FF"/>
    <w:rsid w:val="001A30F4"/>
    <w:rsid w:val="001A49EE"/>
    <w:rsid w:val="001A565D"/>
    <w:rsid w:val="001A5691"/>
    <w:rsid w:val="001A5A14"/>
    <w:rsid w:val="001A7233"/>
    <w:rsid w:val="001A7329"/>
    <w:rsid w:val="001B1F3A"/>
    <w:rsid w:val="001B46B1"/>
    <w:rsid w:val="001B4CFC"/>
    <w:rsid w:val="001B630D"/>
    <w:rsid w:val="001B7124"/>
    <w:rsid w:val="001B7734"/>
    <w:rsid w:val="001C0060"/>
    <w:rsid w:val="001C05A9"/>
    <w:rsid w:val="001C0AE1"/>
    <w:rsid w:val="001C0E78"/>
    <w:rsid w:val="001C2527"/>
    <w:rsid w:val="001C273C"/>
    <w:rsid w:val="001C3E25"/>
    <w:rsid w:val="001C4344"/>
    <w:rsid w:val="001C48AD"/>
    <w:rsid w:val="001C5B22"/>
    <w:rsid w:val="001D01E1"/>
    <w:rsid w:val="001D16AE"/>
    <w:rsid w:val="001D1A05"/>
    <w:rsid w:val="001D3403"/>
    <w:rsid w:val="001D473E"/>
    <w:rsid w:val="001D4CC5"/>
    <w:rsid w:val="001D5EC0"/>
    <w:rsid w:val="001D7353"/>
    <w:rsid w:val="001E051C"/>
    <w:rsid w:val="001E1458"/>
    <w:rsid w:val="001E1CCB"/>
    <w:rsid w:val="001E243B"/>
    <w:rsid w:val="001E338E"/>
    <w:rsid w:val="001E465E"/>
    <w:rsid w:val="001E5AF7"/>
    <w:rsid w:val="001F01EA"/>
    <w:rsid w:val="001F0A39"/>
    <w:rsid w:val="001F42C8"/>
    <w:rsid w:val="002022C4"/>
    <w:rsid w:val="0020642A"/>
    <w:rsid w:val="00206FED"/>
    <w:rsid w:val="002075AF"/>
    <w:rsid w:val="00211711"/>
    <w:rsid w:val="00211F4A"/>
    <w:rsid w:val="00214F77"/>
    <w:rsid w:val="00215FE0"/>
    <w:rsid w:val="0021716B"/>
    <w:rsid w:val="00217F9C"/>
    <w:rsid w:val="00222339"/>
    <w:rsid w:val="00222E6E"/>
    <w:rsid w:val="00223021"/>
    <w:rsid w:val="00224DD5"/>
    <w:rsid w:val="00232EF9"/>
    <w:rsid w:val="00234092"/>
    <w:rsid w:val="00240045"/>
    <w:rsid w:val="00240273"/>
    <w:rsid w:val="0024280A"/>
    <w:rsid w:val="00242B78"/>
    <w:rsid w:val="0024654B"/>
    <w:rsid w:val="002473A2"/>
    <w:rsid w:val="00252C73"/>
    <w:rsid w:val="00255C70"/>
    <w:rsid w:val="002639E5"/>
    <w:rsid w:val="0026714D"/>
    <w:rsid w:val="002674B2"/>
    <w:rsid w:val="00270471"/>
    <w:rsid w:val="00272A66"/>
    <w:rsid w:val="00274829"/>
    <w:rsid w:val="0027567C"/>
    <w:rsid w:val="002759A2"/>
    <w:rsid w:val="00277AA7"/>
    <w:rsid w:val="00277F6A"/>
    <w:rsid w:val="00280CFB"/>
    <w:rsid w:val="002821B2"/>
    <w:rsid w:val="002827F2"/>
    <w:rsid w:val="00283BE8"/>
    <w:rsid w:val="00284AD6"/>
    <w:rsid w:val="0029112A"/>
    <w:rsid w:val="00291370"/>
    <w:rsid w:val="0029192C"/>
    <w:rsid w:val="00294394"/>
    <w:rsid w:val="002947C1"/>
    <w:rsid w:val="00294E15"/>
    <w:rsid w:val="00295820"/>
    <w:rsid w:val="002A0840"/>
    <w:rsid w:val="002A135C"/>
    <w:rsid w:val="002A1A5D"/>
    <w:rsid w:val="002A27FD"/>
    <w:rsid w:val="002A453C"/>
    <w:rsid w:val="002A48B2"/>
    <w:rsid w:val="002B0666"/>
    <w:rsid w:val="002B097C"/>
    <w:rsid w:val="002B11B6"/>
    <w:rsid w:val="002B166A"/>
    <w:rsid w:val="002B6550"/>
    <w:rsid w:val="002B75AB"/>
    <w:rsid w:val="002B7603"/>
    <w:rsid w:val="002C1F9F"/>
    <w:rsid w:val="002C4E01"/>
    <w:rsid w:val="002C653E"/>
    <w:rsid w:val="002C7851"/>
    <w:rsid w:val="002D1C96"/>
    <w:rsid w:val="002D2793"/>
    <w:rsid w:val="002D37BD"/>
    <w:rsid w:val="002D3B95"/>
    <w:rsid w:val="002D4217"/>
    <w:rsid w:val="002D70E8"/>
    <w:rsid w:val="002E3613"/>
    <w:rsid w:val="002E5E09"/>
    <w:rsid w:val="002E676D"/>
    <w:rsid w:val="002F1F8E"/>
    <w:rsid w:val="002F26DE"/>
    <w:rsid w:val="002F300E"/>
    <w:rsid w:val="002F3432"/>
    <w:rsid w:val="002F5DE6"/>
    <w:rsid w:val="002F6300"/>
    <w:rsid w:val="00300049"/>
    <w:rsid w:val="00303EF0"/>
    <w:rsid w:val="00304266"/>
    <w:rsid w:val="0030703E"/>
    <w:rsid w:val="0030764B"/>
    <w:rsid w:val="00310691"/>
    <w:rsid w:val="00311B45"/>
    <w:rsid w:val="0031527B"/>
    <w:rsid w:val="003154E9"/>
    <w:rsid w:val="003163F0"/>
    <w:rsid w:val="00320077"/>
    <w:rsid w:val="0032402B"/>
    <w:rsid w:val="00325279"/>
    <w:rsid w:val="00330314"/>
    <w:rsid w:val="00336B20"/>
    <w:rsid w:val="003379F6"/>
    <w:rsid w:val="00337A2D"/>
    <w:rsid w:val="00337AED"/>
    <w:rsid w:val="00342D10"/>
    <w:rsid w:val="0034558A"/>
    <w:rsid w:val="003465E5"/>
    <w:rsid w:val="00350461"/>
    <w:rsid w:val="00350A69"/>
    <w:rsid w:val="003513C0"/>
    <w:rsid w:val="003514F2"/>
    <w:rsid w:val="003527A9"/>
    <w:rsid w:val="0035333D"/>
    <w:rsid w:val="00353F35"/>
    <w:rsid w:val="0035527A"/>
    <w:rsid w:val="003560CE"/>
    <w:rsid w:val="00356573"/>
    <w:rsid w:val="00357765"/>
    <w:rsid w:val="003614B7"/>
    <w:rsid w:val="00361A1F"/>
    <w:rsid w:val="00361B79"/>
    <w:rsid w:val="00365180"/>
    <w:rsid w:val="00365723"/>
    <w:rsid w:val="003668B8"/>
    <w:rsid w:val="00366C39"/>
    <w:rsid w:val="00373167"/>
    <w:rsid w:val="003738AE"/>
    <w:rsid w:val="0037559F"/>
    <w:rsid w:val="003805A6"/>
    <w:rsid w:val="00381EE8"/>
    <w:rsid w:val="003833BE"/>
    <w:rsid w:val="003859B0"/>
    <w:rsid w:val="00386633"/>
    <w:rsid w:val="00387805"/>
    <w:rsid w:val="00390DD2"/>
    <w:rsid w:val="00391A0B"/>
    <w:rsid w:val="0039211D"/>
    <w:rsid w:val="00392E14"/>
    <w:rsid w:val="00394267"/>
    <w:rsid w:val="00394507"/>
    <w:rsid w:val="003957CE"/>
    <w:rsid w:val="00397804"/>
    <w:rsid w:val="003A0097"/>
    <w:rsid w:val="003A11CD"/>
    <w:rsid w:val="003A23D8"/>
    <w:rsid w:val="003A6159"/>
    <w:rsid w:val="003A6376"/>
    <w:rsid w:val="003A6B36"/>
    <w:rsid w:val="003A6D4E"/>
    <w:rsid w:val="003A710E"/>
    <w:rsid w:val="003A7EA5"/>
    <w:rsid w:val="003B1E5C"/>
    <w:rsid w:val="003B24BA"/>
    <w:rsid w:val="003B4682"/>
    <w:rsid w:val="003B4822"/>
    <w:rsid w:val="003B4956"/>
    <w:rsid w:val="003B6242"/>
    <w:rsid w:val="003B6DFB"/>
    <w:rsid w:val="003C3394"/>
    <w:rsid w:val="003C4DCC"/>
    <w:rsid w:val="003C6495"/>
    <w:rsid w:val="003C714C"/>
    <w:rsid w:val="003D174D"/>
    <w:rsid w:val="003D2012"/>
    <w:rsid w:val="003D35EC"/>
    <w:rsid w:val="003D4FCC"/>
    <w:rsid w:val="003D660F"/>
    <w:rsid w:val="003D79A3"/>
    <w:rsid w:val="003E0F7F"/>
    <w:rsid w:val="003E1764"/>
    <w:rsid w:val="003E29DE"/>
    <w:rsid w:val="003E3808"/>
    <w:rsid w:val="003E382C"/>
    <w:rsid w:val="003E3A60"/>
    <w:rsid w:val="003E4CD1"/>
    <w:rsid w:val="003E57A9"/>
    <w:rsid w:val="003E5F3E"/>
    <w:rsid w:val="003E5FBD"/>
    <w:rsid w:val="003F01E2"/>
    <w:rsid w:val="003F06EB"/>
    <w:rsid w:val="003F0B44"/>
    <w:rsid w:val="003F1AD7"/>
    <w:rsid w:val="004009C4"/>
    <w:rsid w:val="00400BB6"/>
    <w:rsid w:val="00400C20"/>
    <w:rsid w:val="00400CA6"/>
    <w:rsid w:val="0040344B"/>
    <w:rsid w:val="0040444D"/>
    <w:rsid w:val="00404D47"/>
    <w:rsid w:val="00407388"/>
    <w:rsid w:val="0041163E"/>
    <w:rsid w:val="00412FB1"/>
    <w:rsid w:val="00413410"/>
    <w:rsid w:val="00414C50"/>
    <w:rsid w:val="004150A6"/>
    <w:rsid w:val="00417D0D"/>
    <w:rsid w:val="004210AE"/>
    <w:rsid w:val="004210F1"/>
    <w:rsid w:val="00421C32"/>
    <w:rsid w:val="00422595"/>
    <w:rsid w:val="004229CF"/>
    <w:rsid w:val="00423242"/>
    <w:rsid w:val="004335C8"/>
    <w:rsid w:val="00433706"/>
    <w:rsid w:val="00434D85"/>
    <w:rsid w:val="00435647"/>
    <w:rsid w:val="004358FA"/>
    <w:rsid w:val="00437EDC"/>
    <w:rsid w:val="00440BCA"/>
    <w:rsid w:val="00441669"/>
    <w:rsid w:val="00442D8A"/>
    <w:rsid w:val="00443ED9"/>
    <w:rsid w:val="00443F0F"/>
    <w:rsid w:val="00444C82"/>
    <w:rsid w:val="00446849"/>
    <w:rsid w:val="004470A4"/>
    <w:rsid w:val="00450A7A"/>
    <w:rsid w:val="00451D51"/>
    <w:rsid w:val="00452B9A"/>
    <w:rsid w:val="004536C1"/>
    <w:rsid w:val="004536F1"/>
    <w:rsid w:val="00453A9A"/>
    <w:rsid w:val="00454AA0"/>
    <w:rsid w:val="00454AA4"/>
    <w:rsid w:val="004561C3"/>
    <w:rsid w:val="0045634F"/>
    <w:rsid w:val="004616B3"/>
    <w:rsid w:val="00462E62"/>
    <w:rsid w:val="004653CA"/>
    <w:rsid w:val="00471D88"/>
    <w:rsid w:val="00473F65"/>
    <w:rsid w:val="00475C24"/>
    <w:rsid w:val="004768D6"/>
    <w:rsid w:val="004770EC"/>
    <w:rsid w:val="00477BCF"/>
    <w:rsid w:val="00481D0F"/>
    <w:rsid w:val="0048395E"/>
    <w:rsid w:val="004864C0"/>
    <w:rsid w:val="00486C7B"/>
    <w:rsid w:val="004902AF"/>
    <w:rsid w:val="00491307"/>
    <w:rsid w:val="00491BA0"/>
    <w:rsid w:val="004924E8"/>
    <w:rsid w:val="00493719"/>
    <w:rsid w:val="00493FE6"/>
    <w:rsid w:val="00496049"/>
    <w:rsid w:val="00496D32"/>
    <w:rsid w:val="0049709F"/>
    <w:rsid w:val="004A2FB6"/>
    <w:rsid w:val="004A362C"/>
    <w:rsid w:val="004A497E"/>
    <w:rsid w:val="004B0D01"/>
    <w:rsid w:val="004B2426"/>
    <w:rsid w:val="004C0277"/>
    <w:rsid w:val="004C02FF"/>
    <w:rsid w:val="004C04C4"/>
    <w:rsid w:val="004C1BBB"/>
    <w:rsid w:val="004D1535"/>
    <w:rsid w:val="004D279A"/>
    <w:rsid w:val="004D27D8"/>
    <w:rsid w:val="004D2E92"/>
    <w:rsid w:val="004D39FB"/>
    <w:rsid w:val="004D3C07"/>
    <w:rsid w:val="004D423A"/>
    <w:rsid w:val="004D63A9"/>
    <w:rsid w:val="004E1624"/>
    <w:rsid w:val="004E4426"/>
    <w:rsid w:val="004E4D12"/>
    <w:rsid w:val="004E4E34"/>
    <w:rsid w:val="004E5701"/>
    <w:rsid w:val="004E66DF"/>
    <w:rsid w:val="004E7F98"/>
    <w:rsid w:val="004F3065"/>
    <w:rsid w:val="004F54D1"/>
    <w:rsid w:val="004F7A37"/>
    <w:rsid w:val="004F7AF0"/>
    <w:rsid w:val="00500100"/>
    <w:rsid w:val="00500E8A"/>
    <w:rsid w:val="005027E8"/>
    <w:rsid w:val="00504CD6"/>
    <w:rsid w:val="005058F6"/>
    <w:rsid w:val="00505AA7"/>
    <w:rsid w:val="00506DD8"/>
    <w:rsid w:val="005073FA"/>
    <w:rsid w:val="005123F2"/>
    <w:rsid w:val="005144FD"/>
    <w:rsid w:val="005152F8"/>
    <w:rsid w:val="005164BC"/>
    <w:rsid w:val="00517978"/>
    <w:rsid w:val="005257D1"/>
    <w:rsid w:val="0052705D"/>
    <w:rsid w:val="005312D4"/>
    <w:rsid w:val="00531AD3"/>
    <w:rsid w:val="00531ED5"/>
    <w:rsid w:val="00534FC3"/>
    <w:rsid w:val="00541772"/>
    <w:rsid w:val="00542150"/>
    <w:rsid w:val="00543964"/>
    <w:rsid w:val="00546AEC"/>
    <w:rsid w:val="0054762B"/>
    <w:rsid w:val="00547692"/>
    <w:rsid w:val="00547DBF"/>
    <w:rsid w:val="00551A0B"/>
    <w:rsid w:val="00551AE0"/>
    <w:rsid w:val="00551E1C"/>
    <w:rsid w:val="00554906"/>
    <w:rsid w:val="005552D3"/>
    <w:rsid w:val="00557905"/>
    <w:rsid w:val="005608A9"/>
    <w:rsid w:val="0056107B"/>
    <w:rsid w:val="00562631"/>
    <w:rsid w:val="00563904"/>
    <w:rsid w:val="0056427D"/>
    <w:rsid w:val="00564F95"/>
    <w:rsid w:val="00565252"/>
    <w:rsid w:val="00567051"/>
    <w:rsid w:val="00567176"/>
    <w:rsid w:val="00570280"/>
    <w:rsid w:val="00571573"/>
    <w:rsid w:val="00572284"/>
    <w:rsid w:val="00573F84"/>
    <w:rsid w:val="005740D7"/>
    <w:rsid w:val="00580C1D"/>
    <w:rsid w:val="005810C0"/>
    <w:rsid w:val="0058166F"/>
    <w:rsid w:val="00581C90"/>
    <w:rsid w:val="0058584D"/>
    <w:rsid w:val="0058679E"/>
    <w:rsid w:val="005867DE"/>
    <w:rsid w:val="00586B87"/>
    <w:rsid w:val="00590205"/>
    <w:rsid w:val="005A2A08"/>
    <w:rsid w:val="005A3172"/>
    <w:rsid w:val="005A3501"/>
    <w:rsid w:val="005A396A"/>
    <w:rsid w:val="005A4D37"/>
    <w:rsid w:val="005A5ABC"/>
    <w:rsid w:val="005A5D49"/>
    <w:rsid w:val="005A6101"/>
    <w:rsid w:val="005A7BE9"/>
    <w:rsid w:val="005B24EE"/>
    <w:rsid w:val="005B54B1"/>
    <w:rsid w:val="005B6C44"/>
    <w:rsid w:val="005B71A8"/>
    <w:rsid w:val="005C0D53"/>
    <w:rsid w:val="005C2545"/>
    <w:rsid w:val="005C2FA9"/>
    <w:rsid w:val="005C37A6"/>
    <w:rsid w:val="005C4CF9"/>
    <w:rsid w:val="005C662E"/>
    <w:rsid w:val="005C70B7"/>
    <w:rsid w:val="005C76CF"/>
    <w:rsid w:val="005D0D36"/>
    <w:rsid w:val="005D392F"/>
    <w:rsid w:val="005D57C5"/>
    <w:rsid w:val="005D60B2"/>
    <w:rsid w:val="005D7CBA"/>
    <w:rsid w:val="005E4326"/>
    <w:rsid w:val="005E5A19"/>
    <w:rsid w:val="005E6494"/>
    <w:rsid w:val="005E7BC1"/>
    <w:rsid w:val="005F0004"/>
    <w:rsid w:val="005F0098"/>
    <w:rsid w:val="005F0B91"/>
    <w:rsid w:val="005F22AC"/>
    <w:rsid w:val="005F3617"/>
    <w:rsid w:val="005F423C"/>
    <w:rsid w:val="005F70B3"/>
    <w:rsid w:val="006000B4"/>
    <w:rsid w:val="00602552"/>
    <w:rsid w:val="006034AC"/>
    <w:rsid w:val="00605104"/>
    <w:rsid w:val="00606253"/>
    <w:rsid w:val="00606809"/>
    <w:rsid w:val="00607B1E"/>
    <w:rsid w:val="00610C50"/>
    <w:rsid w:val="00611F14"/>
    <w:rsid w:val="00612B9C"/>
    <w:rsid w:val="00612E57"/>
    <w:rsid w:val="006135FE"/>
    <w:rsid w:val="00613731"/>
    <w:rsid w:val="00613ABF"/>
    <w:rsid w:val="00613CEE"/>
    <w:rsid w:val="00613E43"/>
    <w:rsid w:val="00616638"/>
    <w:rsid w:val="00623AED"/>
    <w:rsid w:val="00624247"/>
    <w:rsid w:val="00624D1A"/>
    <w:rsid w:val="00625214"/>
    <w:rsid w:val="0062664A"/>
    <w:rsid w:val="00626962"/>
    <w:rsid w:val="00627386"/>
    <w:rsid w:val="00631D4E"/>
    <w:rsid w:val="00635697"/>
    <w:rsid w:val="00635A1C"/>
    <w:rsid w:val="00635ABB"/>
    <w:rsid w:val="00637A0D"/>
    <w:rsid w:val="00641756"/>
    <w:rsid w:val="00643894"/>
    <w:rsid w:val="00644A35"/>
    <w:rsid w:val="00644D33"/>
    <w:rsid w:val="00645E01"/>
    <w:rsid w:val="006461C4"/>
    <w:rsid w:val="006469B6"/>
    <w:rsid w:val="00646FFF"/>
    <w:rsid w:val="00647252"/>
    <w:rsid w:val="00647F63"/>
    <w:rsid w:val="00650908"/>
    <w:rsid w:val="00651EDF"/>
    <w:rsid w:val="00656AA4"/>
    <w:rsid w:val="00657446"/>
    <w:rsid w:val="00660300"/>
    <w:rsid w:val="00661F52"/>
    <w:rsid w:val="00662589"/>
    <w:rsid w:val="00665D7F"/>
    <w:rsid w:val="0066731D"/>
    <w:rsid w:val="0067049A"/>
    <w:rsid w:val="00670F99"/>
    <w:rsid w:val="00671D60"/>
    <w:rsid w:val="0067337F"/>
    <w:rsid w:val="0067402B"/>
    <w:rsid w:val="006740A7"/>
    <w:rsid w:val="00675180"/>
    <w:rsid w:val="006753AB"/>
    <w:rsid w:val="00677D84"/>
    <w:rsid w:val="00677E4E"/>
    <w:rsid w:val="006814A8"/>
    <w:rsid w:val="00683157"/>
    <w:rsid w:val="006838B1"/>
    <w:rsid w:val="00683AD8"/>
    <w:rsid w:val="00684D9C"/>
    <w:rsid w:val="00685F3F"/>
    <w:rsid w:val="00690251"/>
    <w:rsid w:val="00690F3B"/>
    <w:rsid w:val="00691F72"/>
    <w:rsid w:val="00692802"/>
    <w:rsid w:val="00692C65"/>
    <w:rsid w:val="00694603"/>
    <w:rsid w:val="00694793"/>
    <w:rsid w:val="00694D25"/>
    <w:rsid w:val="00694FFF"/>
    <w:rsid w:val="0069544E"/>
    <w:rsid w:val="006A0F60"/>
    <w:rsid w:val="006A25C4"/>
    <w:rsid w:val="006A571F"/>
    <w:rsid w:val="006A7254"/>
    <w:rsid w:val="006B2881"/>
    <w:rsid w:val="006B3291"/>
    <w:rsid w:val="006B398D"/>
    <w:rsid w:val="006B3E88"/>
    <w:rsid w:val="006B42F5"/>
    <w:rsid w:val="006B5AB6"/>
    <w:rsid w:val="006B7B60"/>
    <w:rsid w:val="006B7C8E"/>
    <w:rsid w:val="006C0671"/>
    <w:rsid w:val="006C2553"/>
    <w:rsid w:val="006C2B13"/>
    <w:rsid w:val="006C5903"/>
    <w:rsid w:val="006D1869"/>
    <w:rsid w:val="006D2BA4"/>
    <w:rsid w:val="006D37DA"/>
    <w:rsid w:val="006D3DEF"/>
    <w:rsid w:val="006D3F14"/>
    <w:rsid w:val="006D4A71"/>
    <w:rsid w:val="006D505B"/>
    <w:rsid w:val="006E0247"/>
    <w:rsid w:val="006E069D"/>
    <w:rsid w:val="006E45B1"/>
    <w:rsid w:val="006E7864"/>
    <w:rsid w:val="006E7E25"/>
    <w:rsid w:val="006F0DB3"/>
    <w:rsid w:val="006F1FCC"/>
    <w:rsid w:val="006F2338"/>
    <w:rsid w:val="006F2E4F"/>
    <w:rsid w:val="006F3283"/>
    <w:rsid w:val="006F3DF4"/>
    <w:rsid w:val="006F40AF"/>
    <w:rsid w:val="006F4B81"/>
    <w:rsid w:val="006F687B"/>
    <w:rsid w:val="006F7461"/>
    <w:rsid w:val="006F747A"/>
    <w:rsid w:val="006F74AA"/>
    <w:rsid w:val="006F7AC1"/>
    <w:rsid w:val="00701544"/>
    <w:rsid w:val="00701D5B"/>
    <w:rsid w:val="00705313"/>
    <w:rsid w:val="00706BDC"/>
    <w:rsid w:val="007105E4"/>
    <w:rsid w:val="00710AE3"/>
    <w:rsid w:val="00711562"/>
    <w:rsid w:val="00711EFE"/>
    <w:rsid w:val="0071316C"/>
    <w:rsid w:val="007133DC"/>
    <w:rsid w:val="00714135"/>
    <w:rsid w:val="007148AA"/>
    <w:rsid w:val="007173F6"/>
    <w:rsid w:val="00717B5F"/>
    <w:rsid w:val="0072058F"/>
    <w:rsid w:val="0072286B"/>
    <w:rsid w:val="00723401"/>
    <w:rsid w:val="00724C94"/>
    <w:rsid w:val="00724F58"/>
    <w:rsid w:val="00725C88"/>
    <w:rsid w:val="0073237C"/>
    <w:rsid w:val="007332F9"/>
    <w:rsid w:val="00733CD5"/>
    <w:rsid w:val="00737768"/>
    <w:rsid w:val="00737F78"/>
    <w:rsid w:val="00740644"/>
    <w:rsid w:val="00740A6E"/>
    <w:rsid w:val="00741BAF"/>
    <w:rsid w:val="00741EDD"/>
    <w:rsid w:val="00743941"/>
    <w:rsid w:val="00750492"/>
    <w:rsid w:val="00751A30"/>
    <w:rsid w:val="00752B56"/>
    <w:rsid w:val="00752E01"/>
    <w:rsid w:val="00754C58"/>
    <w:rsid w:val="00755941"/>
    <w:rsid w:val="00755E14"/>
    <w:rsid w:val="00755E5F"/>
    <w:rsid w:val="007567C2"/>
    <w:rsid w:val="0075703B"/>
    <w:rsid w:val="00757729"/>
    <w:rsid w:val="007602EF"/>
    <w:rsid w:val="00761F5F"/>
    <w:rsid w:val="00762D67"/>
    <w:rsid w:val="00763C74"/>
    <w:rsid w:val="00765B56"/>
    <w:rsid w:val="00770936"/>
    <w:rsid w:val="00770EFA"/>
    <w:rsid w:val="00771567"/>
    <w:rsid w:val="00774837"/>
    <w:rsid w:val="00774E4B"/>
    <w:rsid w:val="00783E9C"/>
    <w:rsid w:val="00786D2C"/>
    <w:rsid w:val="007873D2"/>
    <w:rsid w:val="0079117D"/>
    <w:rsid w:val="00791235"/>
    <w:rsid w:val="00791FC6"/>
    <w:rsid w:val="007930D6"/>
    <w:rsid w:val="00793F34"/>
    <w:rsid w:val="00796F86"/>
    <w:rsid w:val="007A00A9"/>
    <w:rsid w:val="007A2ED6"/>
    <w:rsid w:val="007A7655"/>
    <w:rsid w:val="007B04CF"/>
    <w:rsid w:val="007B09A9"/>
    <w:rsid w:val="007B0B15"/>
    <w:rsid w:val="007B0B55"/>
    <w:rsid w:val="007B2638"/>
    <w:rsid w:val="007B52B9"/>
    <w:rsid w:val="007B72D5"/>
    <w:rsid w:val="007C388D"/>
    <w:rsid w:val="007C46FC"/>
    <w:rsid w:val="007C4B99"/>
    <w:rsid w:val="007C59FC"/>
    <w:rsid w:val="007C7618"/>
    <w:rsid w:val="007D0398"/>
    <w:rsid w:val="007D2145"/>
    <w:rsid w:val="007D312A"/>
    <w:rsid w:val="007D313A"/>
    <w:rsid w:val="007D4A93"/>
    <w:rsid w:val="007D5F36"/>
    <w:rsid w:val="007D678C"/>
    <w:rsid w:val="007D7E60"/>
    <w:rsid w:val="007E0097"/>
    <w:rsid w:val="007E1A54"/>
    <w:rsid w:val="007E23D6"/>
    <w:rsid w:val="007E3D2E"/>
    <w:rsid w:val="007E4714"/>
    <w:rsid w:val="007E5517"/>
    <w:rsid w:val="007F0593"/>
    <w:rsid w:val="007F3B37"/>
    <w:rsid w:val="007F4ED9"/>
    <w:rsid w:val="007F6012"/>
    <w:rsid w:val="007F64EE"/>
    <w:rsid w:val="007F7133"/>
    <w:rsid w:val="0080253A"/>
    <w:rsid w:val="0080358C"/>
    <w:rsid w:val="00804AAA"/>
    <w:rsid w:val="00804BF8"/>
    <w:rsid w:val="00804F83"/>
    <w:rsid w:val="00805C8F"/>
    <w:rsid w:val="00812064"/>
    <w:rsid w:val="008123F3"/>
    <w:rsid w:val="008138CD"/>
    <w:rsid w:val="00814877"/>
    <w:rsid w:val="0081618D"/>
    <w:rsid w:val="00816556"/>
    <w:rsid w:val="008169DA"/>
    <w:rsid w:val="00816DA2"/>
    <w:rsid w:val="00816DC2"/>
    <w:rsid w:val="00816F19"/>
    <w:rsid w:val="00817F3B"/>
    <w:rsid w:val="00820414"/>
    <w:rsid w:val="00820A24"/>
    <w:rsid w:val="00821F87"/>
    <w:rsid w:val="00825DFE"/>
    <w:rsid w:val="008305C8"/>
    <w:rsid w:val="00830DFF"/>
    <w:rsid w:val="00832A14"/>
    <w:rsid w:val="0083531C"/>
    <w:rsid w:val="00835AB7"/>
    <w:rsid w:val="00835BC4"/>
    <w:rsid w:val="0083613E"/>
    <w:rsid w:val="00837021"/>
    <w:rsid w:val="008432AF"/>
    <w:rsid w:val="00846237"/>
    <w:rsid w:val="00850A07"/>
    <w:rsid w:val="0085374E"/>
    <w:rsid w:val="0085417F"/>
    <w:rsid w:val="00856397"/>
    <w:rsid w:val="00857540"/>
    <w:rsid w:val="0086482D"/>
    <w:rsid w:val="008648B0"/>
    <w:rsid w:val="00865E14"/>
    <w:rsid w:val="00867B80"/>
    <w:rsid w:val="00867FAB"/>
    <w:rsid w:val="0087144B"/>
    <w:rsid w:val="00874B46"/>
    <w:rsid w:val="008813D6"/>
    <w:rsid w:val="0088221C"/>
    <w:rsid w:val="008834CA"/>
    <w:rsid w:val="0088459D"/>
    <w:rsid w:val="0088730B"/>
    <w:rsid w:val="00890DC2"/>
    <w:rsid w:val="00891EEA"/>
    <w:rsid w:val="00892B7F"/>
    <w:rsid w:val="0089332F"/>
    <w:rsid w:val="00894507"/>
    <w:rsid w:val="008A394D"/>
    <w:rsid w:val="008A5630"/>
    <w:rsid w:val="008B0855"/>
    <w:rsid w:val="008C1C8D"/>
    <w:rsid w:val="008C1CA3"/>
    <w:rsid w:val="008C1FB2"/>
    <w:rsid w:val="008C3887"/>
    <w:rsid w:val="008C4F52"/>
    <w:rsid w:val="008C6AD7"/>
    <w:rsid w:val="008C6C3D"/>
    <w:rsid w:val="008C7C6B"/>
    <w:rsid w:val="008D4C01"/>
    <w:rsid w:val="008D6056"/>
    <w:rsid w:val="008D7440"/>
    <w:rsid w:val="008D757E"/>
    <w:rsid w:val="008D7736"/>
    <w:rsid w:val="008E3088"/>
    <w:rsid w:val="008E3906"/>
    <w:rsid w:val="008E3D0B"/>
    <w:rsid w:val="008E5F27"/>
    <w:rsid w:val="008F1BFC"/>
    <w:rsid w:val="008F24C2"/>
    <w:rsid w:val="008F3389"/>
    <w:rsid w:val="008F3F71"/>
    <w:rsid w:val="008F4034"/>
    <w:rsid w:val="008F4655"/>
    <w:rsid w:val="008F4D4F"/>
    <w:rsid w:val="008F6789"/>
    <w:rsid w:val="0090072F"/>
    <w:rsid w:val="00900A2C"/>
    <w:rsid w:val="00900BBB"/>
    <w:rsid w:val="00904374"/>
    <w:rsid w:val="00907C7D"/>
    <w:rsid w:val="0091164A"/>
    <w:rsid w:val="00916FAC"/>
    <w:rsid w:val="00922276"/>
    <w:rsid w:val="009234A5"/>
    <w:rsid w:val="0092512F"/>
    <w:rsid w:val="00926FA5"/>
    <w:rsid w:val="0092792F"/>
    <w:rsid w:val="0093008E"/>
    <w:rsid w:val="0093040C"/>
    <w:rsid w:val="009313EB"/>
    <w:rsid w:val="00936A50"/>
    <w:rsid w:val="00941034"/>
    <w:rsid w:val="009444F7"/>
    <w:rsid w:val="00945A24"/>
    <w:rsid w:val="009473BE"/>
    <w:rsid w:val="009506A6"/>
    <w:rsid w:val="009519A7"/>
    <w:rsid w:val="00952E8E"/>
    <w:rsid w:val="00954CF3"/>
    <w:rsid w:val="00954F05"/>
    <w:rsid w:val="00956136"/>
    <w:rsid w:val="0095715C"/>
    <w:rsid w:val="00957AF0"/>
    <w:rsid w:val="00957DF7"/>
    <w:rsid w:val="009607CF"/>
    <w:rsid w:val="00962883"/>
    <w:rsid w:val="00962ECA"/>
    <w:rsid w:val="00964AF7"/>
    <w:rsid w:val="00970ABA"/>
    <w:rsid w:val="00973567"/>
    <w:rsid w:val="00976D8E"/>
    <w:rsid w:val="00982F86"/>
    <w:rsid w:val="00986C64"/>
    <w:rsid w:val="00987E27"/>
    <w:rsid w:val="00992464"/>
    <w:rsid w:val="009937EA"/>
    <w:rsid w:val="0099485A"/>
    <w:rsid w:val="00994BE1"/>
    <w:rsid w:val="009953DC"/>
    <w:rsid w:val="0099711F"/>
    <w:rsid w:val="009973FF"/>
    <w:rsid w:val="009A07CE"/>
    <w:rsid w:val="009A1B12"/>
    <w:rsid w:val="009A3ADA"/>
    <w:rsid w:val="009A4940"/>
    <w:rsid w:val="009A718C"/>
    <w:rsid w:val="009B072F"/>
    <w:rsid w:val="009B5E5C"/>
    <w:rsid w:val="009B607E"/>
    <w:rsid w:val="009B6CE5"/>
    <w:rsid w:val="009B6EC0"/>
    <w:rsid w:val="009C1230"/>
    <w:rsid w:val="009C1C33"/>
    <w:rsid w:val="009C1CBC"/>
    <w:rsid w:val="009C6558"/>
    <w:rsid w:val="009C6C0D"/>
    <w:rsid w:val="009C7138"/>
    <w:rsid w:val="009D1C71"/>
    <w:rsid w:val="009D4570"/>
    <w:rsid w:val="009D4CD0"/>
    <w:rsid w:val="009D6DB4"/>
    <w:rsid w:val="009D6E11"/>
    <w:rsid w:val="009D6F96"/>
    <w:rsid w:val="009D7A80"/>
    <w:rsid w:val="009E0699"/>
    <w:rsid w:val="009E10D8"/>
    <w:rsid w:val="009E16E9"/>
    <w:rsid w:val="009E2C49"/>
    <w:rsid w:val="009E434D"/>
    <w:rsid w:val="009E6D9B"/>
    <w:rsid w:val="009F4A28"/>
    <w:rsid w:val="009F4E65"/>
    <w:rsid w:val="009F517E"/>
    <w:rsid w:val="009F5CCA"/>
    <w:rsid w:val="00A01AAF"/>
    <w:rsid w:val="00A02CAB"/>
    <w:rsid w:val="00A052B7"/>
    <w:rsid w:val="00A066F8"/>
    <w:rsid w:val="00A11F81"/>
    <w:rsid w:val="00A122D1"/>
    <w:rsid w:val="00A12C6D"/>
    <w:rsid w:val="00A13614"/>
    <w:rsid w:val="00A1508B"/>
    <w:rsid w:val="00A15A20"/>
    <w:rsid w:val="00A20C28"/>
    <w:rsid w:val="00A20E77"/>
    <w:rsid w:val="00A21368"/>
    <w:rsid w:val="00A23550"/>
    <w:rsid w:val="00A2368C"/>
    <w:rsid w:val="00A24341"/>
    <w:rsid w:val="00A245CA"/>
    <w:rsid w:val="00A3070D"/>
    <w:rsid w:val="00A31CD4"/>
    <w:rsid w:val="00A32BC3"/>
    <w:rsid w:val="00A33565"/>
    <w:rsid w:val="00A35C3E"/>
    <w:rsid w:val="00A3607F"/>
    <w:rsid w:val="00A368CF"/>
    <w:rsid w:val="00A37811"/>
    <w:rsid w:val="00A40312"/>
    <w:rsid w:val="00A40C79"/>
    <w:rsid w:val="00A40F3D"/>
    <w:rsid w:val="00A41048"/>
    <w:rsid w:val="00A417F4"/>
    <w:rsid w:val="00A42177"/>
    <w:rsid w:val="00A4241E"/>
    <w:rsid w:val="00A44A14"/>
    <w:rsid w:val="00A4734A"/>
    <w:rsid w:val="00A47958"/>
    <w:rsid w:val="00A50194"/>
    <w:rsid w:val="00A50461"/>
    <w:rsid w:val="00A50774"/>
    <w:rsid w:val="00A52051"/>
    <w:rsid w:val="00A52412"/>
    <w:rsid w:val="00A52C15"/>
    <w:rsid w:val="00A530B6"/>
    <w:rsid w:val="00A54377"/>
    <w:rsid w:val="00A54DDE"/>
    <w:rsid w:val="00A57210"/>
    <w:rsid w:val="00A57FA5"/>
    <w:rsid w:val="00A60610"/>
    <w:rsid w:val="00A60E9B"/>
    <w:rsid w:val="00A64F85"/>
    <w:rsid w:val="00A72F4D"/>
    <w:rsid w:val="00A7561B"/>
    <w:rsid w:val="00A756C9"/>
    <w:rsid w:val="00A7601E"/>
    <w:rsid w:val="00A76A3B"/>
    <w:rsid w:val="00A81100"/>
    <w:rsid w:val="00A811CC"/>
    <w:rsid w:val="00A85760"/>
    <w:rsid w:val="00A871BA"/>
    <w:rsid w:val="00A872BE"/>
    <w:rsid w:val="00A87E0F"/>
    <w:rsid w:val="00A92633"/>
    <w:rsid w:val="00A973A3"/>
    <w:rsid w:val="00AA15BB"/>
    <w:rsid w:val="00AA1966"/>
    <w:rsid w:val="00AB195F"/>
    <w:rsid w:val="00AB25EE"/>
    <w:rsid w:val="00AB35E0"/>
    <w:rsid w:val="00AB753A"/>
    <w:rsid w:val="00AB7861"/>
    <w:rsid w:val="00AC0089"/>
    <w:rsid w:val="00AC0405"/>
    <w:rsid w:val="00AC0433"/>
    <w:rsid w:val="00AC3436"/>
    <w:rsid w:val="00AC5362"/>
    <w:rsid w:val="00AD0AEB"/>
    <w:rsid w:val="00AD404B"/>
    <w:rsid w:val="00AD5034"/>
    <w:rsid w:val="00AE13C2"/>
    <w:rsid w:val="00AE2CE1"/>
    <w:rsid w:val="00AE3C2D"/>
    <w:rsid w:val="00AE3F34"/>
    <w:rsid w:val="00AE5B25"/>
    <w:rsid w:val="00AE62D6"/>
    <w:rsid w:val="00AE6D92"/>
    <w:rsid w:val="00AF25E4"/>
    <w:rsid w:val="00AF2E87"/>
    <w:rsid w:val="00AF4422"/>
    <w:rsid w:val="00AF5649"/>
    <w:rsid w:val="00AF5B19"/>
    <w:rsid w:val="00AF6626"/>
    <w:rsid w:val="00AF79C1"/>
    <w:rsid w:val="00B00196"/>
    <w:rsid w:val="00B00B81"/>
    <w:rsid w:val="00B028D6"/>
    <w:rsid w:val="00B0611D"/>
    <w:rsid w:val="00B06CE5"/>
    <w:rsid w:val="00B06E4D"/>
    <w:rsid w:val="00B07039"/>
    <w:rsid w:val="00B10C8F"/>
    <w:rsid w:val="00B1295D"/>
    <w:rsid w:val="00B1484B"/>
    <w:rsid w:val="00B14BA0"/>
    <w:rsid w:val="00B15D7E"/>
    <w:rsid w:val="00B15ED8"/>
    <w:rsid w:val="00B164CB"/>
    <w:rsid w:val="00B20175"/>
    <w:rsid w:val="00B2139D"/>
    <w:rsid w:val="00B219D7"/>
    <w:rsid w:val="00B21DCB"/>
    <w:rsid w:val="00B255A2"/>
    <w:rsid w:val="00B25C4F"/>
    <w:rsid w:val="00B31748"/>
    <w:rsid w:val="00B323EA"/>
    <w:rsid w:val="00B35D0F"/>
    <w:rsid w:val="00B35D62"/>
    <w:rsid w:val="00B36977"/>
    <w:rsid w:val="00B409E8"/>
    <w:rsid w:val="00B40D8E"/>
    <w:rsid w:val="00B40FDC"/>
    <w:rsid w:val="00B41ACE"/>
    <w:rsid w:val="00B41EB8"/>
    <w:rsid w:val="00B42CC6"/>
    <w:rsid w:val="00B458A6"/>
    <w:rsid w:val="00B514CD"/>
    <w:rsid w:val="00B51D95"/>
    <w:rsid w:val="00B52661"/>
    <w:rsid w:val="00B52936"/>
    <w:rsid w:val="00B54FBA"/>
    <w:rsid w:val="00B55B36"/>
    <w:rsid w:val="00B60501"/>
    <w:rsid w:val="00B62A92"/>
    <w:rsid w:val="00B65178"/>
    <w:rsid w:val="00B656A8"/>
    <w:rsid w:val="00B6629F"/>
    <w:rsid w:val="00B66A3A"/>
    <w:rsid w:val="00B66DDA"/>
    <w:rsid w:val="00B66E11"/>
    <w:rsid w:val="00B67211"/>
    <w:rsid w:val="00B67714"/>
    <w:rsid w:val="00B71F15"/>
    <w:rsid w:val="00B72195"/>
    <w:rsid w:val="00B7224B"/>
    <w:rsid w:val="00B72467"/>
    <w:rsid w:val="00B72502"/>
    <w:rsid w:val="00B738D8"/>
    <w:rsid w:val="00B773E9"/>
    <w:rsid w:val="00B77402"/>
    <w:rsid w:val="00B8029B"/>
    <w:rsid w:val="00B8337C"/>
    <w:rsid w:val="00B840F0"/>
    <w:rsid w:val="00B84D2E"/>
    <w:rsid w:val="00B851D8"/>
    <w:rsid w:val="00B86D17"/>
    <w:rsid w:val="00B90EC4"/>
    <w:rsid w:val="00B93110"/>
    <w:rsid w:val="00B936AF"/>
    <w:rsid w:val="00B9381F"/>
    <w:rsid w:val="00B93A49"/>
    <w:rsid w:val="00B94C56"/>
    <w:rsid w:val="00BA06A5"/>
    <w:rsid w:val="00BA1DA5"/>
    <w:rsid w:val="00BA2077"/>
    <w:rsid w:val="00BA5720"/>
    <w:rsid w:val="00BA5DA6"/>
    <w:rsid w:val="00BA6721"/>
    <w:rsid w:val="00BB0154"/>
    <w:rsid w:val="00BB039E"/>
    <w:rsid w:val="00BB1D3A"/>
    <w:rsid w:val="00BB1E02"/>
    <w:rsid w:val="00BB3BA1"/>
    <w:rsid w:val="00BC08E9"/>
    <w:rsid w:val="00BC2A08"/>
    <w:rsid w:val="00BC2B98"/>
    <w:rsid w:val="00BC3A6C"/>
    <w:rsid w:val="00BC4584"/>
    <w:rsid w:val="00BC4E81"/>
    <w:rsid w:val="00BC4F7A"/>
    <w:rsid w:val="00BD0584"/>
    <w:rsid w:val="00BD4D15"/>
    <w:rsid w:val="00BE00F8"/>
    <w:rsid w:val="00BE0A9E"/>
    <w:rsid w:val="00BE0D66"/>
    <w:rsid w:val="00BE120B"/>
    <w:rsid w:val="00BE25C8"/>
    <w:rsid w:val="00BE4835"/>
    <w:rsid w:val="00BE4BF8"/>
    <w:rsid w:val="00BE5516"/>
    <w:rsid w:val="00BE5680"/>
    <w:rsid w:val="00BE5735"/>
    <w:rsid w:val="00BF0B74"/>
    <w:rsid w:val="00BF0CE7"/>
    <w:rsid w:val="00BF1617"/>
    <w:rsid w:val="00BF19BC"/>
    <w:rsid w:val="00BF40B8"/>
    <w:rsid w:val="00BF4BB8"/>
    <w:rsid w:val="00BF5A59"/>
    <w:rsid w:val="00BF7F0D"/>
    <w:rsid w:val="00C026B0"/>
    <w:rsid w:val="00C028BE"/>
    <w:rsid w:val="00C04E53"/>
    <w:rsid w:val="00C06113"/>
    <w:rsid w:val="00C10CB2"/>
    <w:rsid w:val="00C11087"/>
    <w:rsid w:val="00C12C0F"/>
    <w:rsid w:val="00C13C20"/>
    <w:rsid w:val="00C13F90"/>
    <w:rsid w:val="00C14006"/>
    <w:rsid w:val="00C17F4E"/>
    <w:rsid w:val="00C21B43"/>
    <w:rsid w:val="00C22224"/>
    <w:rsid w:val="00C2241A"/>
    <w:rsid w:val="00C22712"/>
    <w:rsid w:val="00C22716"/>
    <w:rsid w:val="00C23A87"/>
    <w:rsid w:val="00C25583"/>
    <w:rsid w:val="00C25A85"/>
    <w:rsid w:val="00C26293"/>
    <w:rsid w:val="00C278A0"/>
    <w:rsid w:val="00C30480"/>
    <w:rsid w:val="00C32F35"/>
    <w:rsid w:val="00C36254"/>
    <w:rsid w:val="00C36FB4"/>
    <w:rsid w:val="00C37BFB"/>
    <w:rsid w:val="00C41295"/>
    <w:rsid w:val="00C41D93"/>
    <w:rsid w:val="00C421E4"/>
    <w:rsid w:val="00C4276D"/>
    <w:rsid w:val="00C47CC6"/>
    <w:rsid w:val="00C51E13"/>
    <w:rsid w:val="00C6071F"/>
    <w:rsid w:val="00C638AE"/>
    <w:rsid w:val="00C64ECB"/>
    <w:rsid w:val="00C6543A"/>
    <w:rsid w:val="00C65AE6"/>
    <w:rsid w:val="00C66D36"/>
    <w:rsid w:val="00C67016"/>
    <w:rsid w:val="00C70D74"/>
    <w:rsid w:val="00C72376"/>
    <w:rsid w:val="00C72452"/>
    <w:rsid w:val="00C76DCC"/>
    <w:rsid w:val="00C82C2F"/>
    <w:rsid w:val="00C82C35"/>
    <w:rsid w:val="00C8513F"/>
    <w:rsid w:val="00C86B94"/>
    <w:rsid w:val="00C86CB9"/>
    <w:rsid w:val="00C91227"/>
    <w:rsid w:val="00C92CD0"/>
    <w:rsid w:val="00C94730"/>
    <w:rsid w:val="00C94FE2"/>
    <w:rsid w:val="00C9597A"/>
    <w:rsid w:val="00C96D01"/>
    <w:rsid w:val="00CA0443"/>
    <w:rsid w:val="00CA0783"/>
    <w:rsid w:val="00CA2113"/>
    <w:rsid w:val="00CA237E"/>
    <w:rsid w:val="00CA4C1A"/>
    <w:rsid w:val="00CA5565"/>
    <w:rsid w:val="00CA57E2"/>
    <w:rsid w:val="00CA7E2A"/>
    <w:rsid w:val="00CB0593"/>
    <w:rsid w:val="00CB283D"/>
    <w:rsid w:val="00CB416B"/>
    <w:rsid w:val="00CB4D58"/>
    <w:rsid w:val="00CB59F6"/>
    <w:rsid w:val="00CB7702"/>
    <w:rsid w:val="00CB79A1"/>
    <w:rsid w:val="00CB79A9"/>
    <w:rsid w:val="00CC04E7"/>
    <w:rsid w:val="00CC1A7C"/>
    <w:rsid w:val="00CC1C9B"/>
    <w:rsid w:val="00CC1DD2"/>
    <w:rsid w:val="00CC5221"/>
    <w:rsid w:val="00CD1CE3"/>
    <w:rsid w:val="00CD2AE4"/>
    <w:rsid w:val="00CD4434"/>
    <w:rsid w:val="00CE2491"/>
    <w:rsid w:val="00CE2BDF"/>
    <w:rsid w:val="00CE60FA"/>
    <w:rsid w:val="00CE67B3"/>
    <w:rsid w:val="00CE6A3E"/>
    <w:rsid w:val="00CE6DEC"/>
    <w:rsid w:val="00CE71AE"/>
    <w:rsid w:val="00CF0438"/>
    <w:rsid w:val="00CF0905"/>
    <w:rsid w:val="00CF3398"/>
    <w:rsid w:val="00CF3F22"/>
    <w:rsid w:val="00CF53C0"/>
    <w:rsid w:val="00CF67FB"/>
    <w:rsid w:val="00D010F7"/>
    <w:rsid w:val="00D01374"/>
    <w:rsid w:val="00D02AEE"/>
    <w:rsid w:val="00D030A3"/>
    <w:rsid w:val="00D04393"/>
    <w:rsid w:val="00D0532D"/>
    <w:rsid w:val="00D12FD9"/>
    <w:rsid w:val="00D15401"/>
    <w:rsid w:val="00D17098"/>
    <w:rsid w:val="00D218B6"/>
    <w:rsid w:val="00D21DC4"/>
    <w:rsid w:val="00D2411C"/>
    <w:rsid w:val="00D260BE"/>
    <w:rsid w:val="00D271A1"/>
    <w:rsid w:val="00D30430"/>
    <w:rsid w:val="00D3105C"/>
    <w:rsid w:val="00D311C6"/>
    <w:rsid w:val="00D31F50"/>
    <w:rsid w:val="00D3434A"/>
    <w:rsid w:val="00D36077"/>
    <w:rsid w:val="00D36B62"/>
    <w:rsid w:val="00D4103E"/>
    <w:rsid w:val="00D43788"/>
    <w:rsid w:val="00D440AE"/>
    <w:rsid w:val="00D46324"/>
    <w:rsid w:val="00D46D30"/>
    <w:rsid w:val="00D47384"/>
    <w:rsid w:val="00D521FB"/>
    <w:rsid w:val="00D537EF"/>
    <w:rsid w:val="00D53FB2"/>
    <w:rsid w:val="00D5416D"/>
    <w:rsid w:val="00D54B2F"/>
    <w:rsid w:val="00D56DBE"/>
    <w:rsid w:val="00D604D1"/>
    <w:rsid w:val="00D61C3C"/>
    <w:rsid w:val="00D632DA"/>
    <w:rsid w:val="00D63AD6"/>
    <w:rsid w:val="00D64083"/>
    <w:rsid w:val="00D6626D"/>
    <w:rsid w:val="00D662F2"/>
    <w:rsid w:val="00D70B53"/>
    <w:rsid w:val="00D75A94"/>
    <w:rsid w:val="00D75B01"/>
    <w:rsid w:val="00D75BA3"/>
    <w:rsid w:val="00D76091"/>
    <w:rsid w:val="00D76B88"/>
    <w:rsid w:val="00D77ED5"/>
    <w:rsid w:val="00D80947"/>
    <w:rsid w:val="00D81600"/>
    <w:rsid w:val="00D8173B"/>
    <w:rsid w:val="00D81AC1"/>
    <w:rsid w:val="00D82E10"/>
    <w:rsid w:val="00D83BB1"/>
    <w:rsid w:val="00D915F9"/>
    <w:rsid w:val="00D91F52"/>
    <w:rsid w:val="00D9323F"/>
    <w:rsid w:val="00D94FC2"/>
    <w:rsid w:val="00D9532E"/>
    <w:rsid w:val="00D95856"/>
    <w:rsid w:val="00D9690B"/>
    <w:rsid w:val="00DA044D"/>
    <w:rsid w:val="00DA225D"/>
    <w:rsid w:val="00DA3D6E"/>
    <w:rsid w:val="00DA4273"/>
    <w:rsid w:val="00DA51E4"/>
    <w:rsid w:val="00DB094D"/>
    <w:rsid w:val="00DB09AC"/>
    <w:rsid w:val="00DB0DC6"/>
    <w:rsid w:val="00DB0FB1"/>
    <w:rsid w:val="00DB4595"/>
    <w:rsid w:val="00DB5739"/>
    <w:rsid w:val="00DB627D"/>
    <w:rsid w:val="00DB6A21"/>
    <w:rsid w:val="00DB7F1C"/>
    <w:rsid w:val="00DC2AA4"/>
    <w:rsid w:val="00DC3D62"/>
    <w:rsid w:val="00DC420A"/>
    <w:rsid w:val="00DC49A3"/>
    <w:rsid w:val="00DC59CD"/>
    <w:rsid w:val="00DC6BE2"/>
    <w:rsid w:val="00DC7B26"/>
    <w:rsid w:val="00DD0206"/>
    <w:rsid w:val="00DD0757"/>
    <w:rsid w:val="00DD0A11"/>
    <w:rsid w:val="00DD1DFD"/>
    <w:rsid w:val="00DD1FE8"/>
    <w:rsid w:val="00DD2369"/>
    <w:rsid w:val="00DD470E"/>
    <w:rsid w:val="00DD5044"/>
    <w:rsid w:val="00DD6000"/>
    <w:rsid w:val="00DD6D4B"/>
    <w:rsid w:val="00DD71C8"/>
    <w:rsid w:val="00DE138C"/>
    <w:rsid w:val="00DE33BF"/>
    <w:rsid w:val="00DE438C"/>
    <w:rsid w:val="00DF1BDC"/>
    <w:rsid w:val="00DF3163"/>
    <w:rsid w:val="00DF32A5"/>
    <w:rsid w:val="00DF3C1D"/>
    <w:rsid w:val="00DF53BC"/>
    <w:rsid w:val="00E06D28"/>
    <w:rsid w:val="00E070C9"/>
    <w:rsid w:val="00E11874"/>
    <w:rsid w:val="00E137DE"/>
    <w:rsid w:val="00E13F31"/>
    <w:rsid w:val="00E15924"/>
    <w:rsid w:val="00E17D23"/>
    <w:rsid w:val="00E17EA5"/>
    <w:rsid w:val="00E20D7C"/>
    <w:rsid w:val="00E24EE5"/>
    <w:rsid w:val="00E25CAC"/>
    <w:rsid w:val="00E27589"/>
    <w:rsid w:val="00E30CB0"/>
    <w:rsid w:val="00E329FE"/>
    <w:rsid w:val="00E378F8"/>
    <w:rsid w:val="00E37901"/>
    <w:rsid w:val="00E409F3"/>
    <w:rsid w:val="00E463E9"/>
    <w:rsid w:val="00E47B9B"/>
    <w:rsid w:val="00E51AAE"/>
    <w:rsid w:val="00E51DF3"/>
    <w:rsid w:val="00E51E78"/>
    <w:rsid w:val="00E53B9E"/>
    <w:rsid w:val="00E5569B"/>
    <w:rsid w:val="00E600F1"/>
    <w:rsid w:val="00E60858"/>
    <w:rsid w:val="00E64329"/>
    <w:rsid w:val="00E644DC"/>
    <w:rsid w:val="00E674A9"/>
    <w:rsid w:val="00E713BD"/>
    <w:rsid w:val="00E74651"/>
    <w:rsid w:val="00E7488E"/>
    <w:rsid w:val="00E822C8"/>
    <w:rsid w:val="00E84DE9"/>
    <w:rsid w:val="00E8609A"/>
    <w:rsid w:val="00E86F24"/>
    <w:rsid w:val="00E87681"/>
    <w:rsid w:val="00E910BC"/>
    <w:rsid w:val="00E91AEB"/>
    <w:rsid w:val="00E92D29"/>
    <w:rsid w:val="00E96515"/>
    <w:rsid w:val="00E9760C"/>
    <w:rsid w:val="00EA0DC2"/>
    <w:rsid w:val="00EA1057"/>
    <w:rsid w:val="00EA2A0A"/>
    <w:rsid w:val="00EA5741"/>
    <w:rsid w:val="00EB1644"/>
    <w:rsid w:val="00EB1A1E"/>
    <w:rsid w:val="00EB4915"/>
    <w:rsid w:val="00EB494A"/>
    <w:rsid w:val="00EB69C7"/>
    <w:rsid w:val="00EB72B6"/>
    <w:rsid w:val="00EC0493"/>
    <w:rsid w:val="00EC6210"/>
    <w:rsid w:val="00EC6BDE"/>
    <w:rsid w:val="00ED12BA"/>
    <w:rsid w:val="00ED3CB5"/>
    <w:rsid w:val="00ED45AD"/>
    <w:rsid w:val="00ED4B5F"/>
    <w:rsid w:val="00ED5031"/>
    <w:rsid w:val="00ED5552"/>
    <w:rsid w:val="00ED7A5C"/>
    <w:rsid w:val="00EE1306"/>
    <w:rsid w:val="00EE19AC"/>
    <w:rsid w:val="00EE1ECA"/>
    <w:rsid w:val="00EE7F81"/>
    <w:rsid w:val="00EF0541"/>
    <w:rsid w:val="00EF1180"/>
    <w:rsid w:val="00EF1638"/>
    <w:rsid w:val="00EF1E92"/>
    <w:rsid w:val="00EF2599"/>
    <w:rsid w:val="00EF5335"/>
    <w:rsid w:val="00EF6509"/>
    <w:rsid w:val="00F0058A"/>
    <w:rsid w:val="00F00BF8"/>
    <w:rsid w:val="00F01835"/>
    <w:rsid w:val="00F019D0"/>
    <w:rsid w:val="00F01F7A"/>
    <w:rsid w:val="00F027A7"/>
    <w:rsid w:val="00F02997"/>
    <w:rsid w:val="00F02C13"/>
    <w:rsid w:val="00F05803"/>
    <w:rsid w:val="00F058FC"/>
    <w:rsid w:val="00F06FA7"/>
    <w:rsid w:val="00F10699"/>
    <w:rsid w:val="00F129FF"/>
    <w:rsid w:val="00F12A8E"/>
    <w:rsid w:val="00F130C5"/>
    <w:rsid w:val="00F1480E"/>
    <w:rsid w:val="00F14D1A"/>
    <w:rsid w:val="00F15102"/>
    <w:rsid w:val="00F1652C"/>
    <w:rsid w:val="00F16E55"/>
    <w:rsid w:val="00F16F70"/>
    <w:rsid w:val="00F20A95"/>
    <w:rsid w:val="00F232FA"/>
    <w:rsid w:val="00F24256"/>
    <w:rsid w:val="00F24ECE"/>
    <w:rsid w:val="00F2567E"/>
    <w:rsid w:val="00F25BA7"/>
    <w:rsid w:val="00F33F11"/>
    <w:rsid w:val="00F344D7"/>
    <w:rsid w:val="00F34CC5"/>
    <w:rsid w:val="00F35B8E"/>
    <w:rsid w:val="00F367B2"/>
    <w:rsid w:val="00F37458"/>
    <w:rsid w:val="00F4437D"/>
    <w:rsid w:val="00F4524E"/>
    <w:rsid w:val="00F46042"/>
    <w:rsid w:val="00F462A0"/>
    <w:rsid w:val="00F500F4"/>
    <w:rsid w:val="00F50648"/>
    <w:rsid w:val="00F50EA5"/>
    <w:rsid w:val="00F51092"/>
    <w:rsid w:val="00F526FA"/>
    <w:rsid w:val="00F5275C"/>
    <w:rsid w:val="00F563CD"/>
    <w:rsid w:val="00F57CF2"/>
    <w:rsid w:val="00F60534"/>
    <w:rsid w:val="00F6230C"/>
    <w:rsid w:val="00F62657"/>
    <w:rsid w:val="00F63C87"/>
    <w:rsid w:val="00F65AAE"/>
    <w:rsid w:val="00F65C18"/>
    <w:rsid w:val="00F65D01"/>
    <w:rsid w:val="00F6715E"/>
    <w:rsid w:val="00F67802"/>
    <w:rsid w:val="00F67F38"/>
    <w:rsid w:val="00F736F5"/>
    <w:rsid w:val="00F75673"/>
    <w:rsid w:val="00F762A6"/>
    <w:rsid w:val="00F764D4"/>
    <w:rsid w:val="00F7723B"/>
    <w:rsid w:val="00F77F4F"/>
    <w:rsid w:val="00F803C6"/>
    <w:rsid w:val="00F8057E"/>
    <w:rsid w:val="00F80613"/>
    <w:rsid w:val="00F8200A"/>
    <w:rsid w:val="00F82EA4"/>
    <w:rsid w:val="00F83CCB"/>
    <w:rsid w:val="00F90F5B"/>
    <w:rsid w:val="00F916C0"/>
    <w:rsid w:val="00F924A7"/>
    <w:rsid w:val="00F95C3A"/>
    <w:rsid w:val="00FA2218"/>
    <w:rsid w:val="00FA24FA"/>
    <w:rsid w:val="00FA46C0"/>
    <w:rsid w:val="00FA47ED"/>
    <w:rsid w:val="00FA59E6"/>
    <w:rsid w:val="00FA64DE"/>
    <w:rsid w:val="00FA7B26"/>
    <w:rsid w:val="00FB1F8B"/>
    <w:rsid w:val="00FB34B8"/>
    <w:rsid w:val="00FB4104"/>
    <w:rsid w:val="00FC0614"/>
    <w:rsid w:val="00FC3E64"/>
    <w:rsid w:val="00FC4AF0"/>
    <w:rsid w:val="00FC77B0"/>
    <w:rsid w:val="00FE0E31"/>
    <w:rsid w:val="00FE2ECA"/>
    <w:rsid w:val="00FE2FD8"/>
    <w:rsid w:val="00FE4E89"/>
    <w:rsid w:val="00FE619F"/>
    <w:rsid w:val="00FE69D9"/>
    <w:rsid w:val="00FE70D1"/>
    <w:rsid w:val="00FE7F8B"/>
    <w:rsid w:val="00FF168B"/>
    <w:rsid w:val="00FF57AE"/>
    <w:rsid w:val="00FF64B7"/>
    <w:rsid w:val="00FF67A7"/>
    <w:rsid w:val="00FF6B34"/>
    <w:rsid w:val="00FF6EAC"/>
    <w:rsid w:val="00FF736E"/>
    <w:rsid w:val="00FF7992"/>
    <w:rsid w:val="0102732C"/>
    <w:rsid w:val="02EB2B3C"/>
    <w:rsid w:val="058C52DE"/>
    <w:rsid w:val="05EC207E"/>
    <w:rsid w:val="05F7239B"/>
    <w:rsid w:val="07E838AF"/>
    <w:rsid w:val="08353B79"/>
    <w:rsid w:val="08CC1DA6"/>
    <w:rsid w:val="08E61B30"/>
    <w:rsid w:val="09186479"/>
    <w:rsid w:val="09D4019B"/>
    <w:rsid w:val="0AAC02BA"/>
    <w:rsid w:val="0AF3632A"/>
    <w:rsid w:val="0B3B388D"/>
    <w:rsid w:val="0BC83621"/>
    <w:rsid w:val="0C55574E"/>
    <w:rsid w:val="0DA5781F"/>
    <w:rsid w:val="0E5543FD"/>
    <w:rsid w:val="106F2C7E"/>
    <w:rsid w:val="107668EC"/>
    <w:rsid w:val="120370C0"/>
    <w:rsid w:val="15684174"/>
    <w:rsid w:val="18E802F7"/>
    <w:rsid w:val="198F053E"/>
    <w:rsid w:val="19DE4A1C"/>
    <w:rsid w:val="1B007A1B"/>
    <w:rsid w:val="1CD74D5A"/>
    <w:rsid w:val="1D4E3E71"/>
    <w:rsid w:val="1E3058BF"/>
    <w:rsid w:val="207E013C"/>
    <w:rsid w:val="214963A5"/>
    <w:rsid w:val="21764BB4"/>
    <w:rsid w:val="22A25B9D"/>
    <w:rsid w:val="22AF38AE"/>
    <w:rsid w:val="243F4048"/>
    <w:rsid w:val="247F3B8D"/>
    <w:rsid w:val="25E510C1"/>
    <w:rsid w:val="261D00C3"/>
    <w:rsid w:val="27624D47"/>
    <w:rsid w:val="2AD576A6"/>
    <w:rsid w:val="2D862153"/>
    <w:rsid w:val="2E4A783B"/>
    <w:rsid w:val="2F73576E"/>
    <w:rsid w:val="32076196"/>
    <w:rsid w:val="33417F10"/>
    <w:rsid w:val="33553CA6"/>
    <w:rsid w:val="365A5E53"/>
    <w:rsid w:val="36C770AB"/>
    <w:rsid w:val="37CB71D3"/>
    <w:rsid w:val="38E21624"/>
    <w:rsid w:val="394919D0"/>
    <w:rsid w:val="396B765C"/>
    <w:rsid w:val="39825DB5"/>
    <w:rsid w:val="3A374711"/>
    <w:rsid w:val="3C07613E"/>
    <w:rsid w:val="3CB13563"/>
    <w:rsid w:val="3E886B03"/>
    <w:rsid w:val="3F0E3AC5"/>
    <w:rsid w:val="3FB36906"/>
    <w:rsid w:val="404B64AD"/>
    <w:rsid w:val="4186196B"/>
    <w:rsid w:val="4362086F"/>
    <w:rsid w:val="45861FF1"/>
    <w:rsid w:val="47660519"/>
    <w:rsid w:val="478C21E9"/>
    <w:rsid w:val="47C83004"/>
    <w:rsid w:val="4AA96F28"/>
    <w:rsid w:val="4B405D3D"/>
    <w:rsid w:val="4C4C16A7"/>
    <w:rsid w:val="4D9F5EA6"/>
    <w:rsid w:val="4E0E564B"/>
    <w:rsid w:val="4E6E13EC"/>
    <w:rsid w:val="4FF36326"/>
    <w:rsid w:val="5053146F"/>
    <w:rsid w:val="53691F9B"/>
    <w:rsid w:val="542B0B31"/>
    <w:rsid w:val="57C71D36"/>
    <w:rsid w:val="57FA7BBC"/>
    <w:rsid w:val="592C148E"/>
    <w:rsid w:val="5A5763D3"/>
    <w:rsid w:val="5B086578"/>
    <w:rsid w:val="5B271CAD"/>
    <w:rsid w:val="5CB03044"/>
    <w:rsid w:val="5DAA6A4F"/>
    <w:rsid w:val="5E73581B"/>
    <w:rsid w:val="5E7D1B6C"/>
    <w:rsid w:val="5F2A7D2E"/>
    <w:rsid w:val="5FAC6111"/>
    <w:rsid w:val="60334827"/>
    <w:rsid w:val="60ED2D8C"/>
    <w:rsid w:val="612B2384"/>
    <w:rsid w:val="614A63A8"/>
    <w:rsid w:val="628076CB"/>
    <w:rsid w:val="62FA5C22"/>
    <w:rsid w:val="63534C29"/>
    <w:rsid w:val="68442558"/>
    <w:rsid w:val="69AF4A29"/>
    <w:rsid w:val="6AD73D97"/>
    <w:rsid w:val="6B374CCF"/>
    <w:rsid w:val="6B5C6C82"/>
    <w:rsid w:val="6C3A2797"/>
    <w:rsid w:val="6CFE584D"/>
    <w:rsid w:val="6EE9485F"/>
    <w:rsid w:val="72DB5C6F"/>
    <w:rsid w:val="73370F84"/>
    <w:rsid w:val="73E827C7"/>
    <w:rsid w:val="74D015E5"/>
    <w:rsid w:val="77DA324C"/>
    <w:rsid w:val="77FD377E"/>
    <w:rsid w:val="78787D2F"/>
    <w:rsid w:val="78AA29D6"/>
    <w:rsid w:val="78F75904"/>
    <w:rsid w:val="79224C5E"/>
    <w:rsid w:val="79C760A1"/>
    <w:rsid w:val="79F849F1"/>
    <w:rsid w:val="7C372F4A"/>
    <w:rsid w:val="7EDA291C"/>
    <w:rsid w:val="7FEA3B72"/>
    <w:rsid w:val="7FF661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62"/>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link w:val="77"/>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rPr>
      <w:szCs w:val="24"/>
    </w:rPr>
  </w:style>
  <w:style w:type="paragraph" w:styleId="5">
    <w:name w:val="Document Map"/>
    <w:basedOn w:val="1"/>
    <w:link w:val="66"/>
    <w:qFormat/>
    <w:uiPriority w:val="0"/>
    <w:pPr>
      <w:shd w:val="clear" w:color="auto" w:fill="000080"/>
    </w:pPr>
  </w:style>
  <w:style w:type="paragraph" w:styleId="6">
    <w:name w:val="annotation text"/>
    <w:basedOn w:val="1"/>
    <w:link w:val="69"/>
    <w:qFormat/>
    <w:uiPriority w:val="0"/>
    <w:pPr>
      <w:jc w:val="left"/>
    </w:pPr>
  </w:style>
  <w:style w:type="paragraph" w:styleId="7">
    <w:name w:val="Body Text Indent"/>
    <w:basedOn w:val="1"/>
    <w:link w:val="65"/>
    <w:qFormat/>
    <w:uiPriority w:val="0"/>
    <w:pPr>
      <w:ind w:firstLine="480" w:firstLineChars="200"/>
    </w:pPr>
    <w:rPr>
      <w:sz w:val="24"/>
    </w:rPr>
  </w:style>
  <w:style w:type="paragraph" w:styleId="8">
    <w:name w:val="Plain Text"/>
    <w:basedOn w:val="1"/>
    <w:link w:val="68"/>
    <w:qFormat/>
    <w:uiPriority w:val="0"/>
    <w:rPr>
      <w:rFonts w:ascii="宋体" w:hAnsi="Courier New" w:cs="Courier New"/>
      <w:szCs w:val="21"/>
    </w:rPr>
  </w:style>
  <w:style w:type="paragraph" w:styleId="9">
    <w:name w:val="Date"/>
    <w:basedOn w:val="1"/>
    <w:next w:val="1"/>
    <w:link w:val="72"/>
    <w:qFormat/>
    <w:uiPriority w:val="99"/>
    <w:pPr>
      <w:ind w:left="100" w:leftChars="2500"/>
    </w:pPr>
  </w:style>
  <w:style w:type="paragraph" w:styleId="10">
    <w:name w:val="Balloon Text"/>
    <w:basedOn w:val="1"/>
    <w:link w:val="67"/>
    <w:qFormat/>
    <w:uiPriority w:val="99"/>
    <w:rPr>
      <w:sz w:val="18"/>
    </w:rPr>
  </w:style>
  <w:style w:type="paragraph" w:styleId="11">
    <w:name w:val="footer"/>
    <w:basedOn w:val="1"/>
    <w:link w:val="61"/>
    <w:unhideWhenUsed/>
    <w:qFormat/>
    <w:uiPriority w:val="99"/>
    <w:pPr>
      <w:tabs>
        <w:tab w:val="center" w:pos="4153"/>
        <w:tab w:val="right" w:pos="8306"/>
      </w:tabs>
      <w:snapToGrid w:val="0"/>
      <w:jc w:val="left"/>
    </w:pPr>
    <w:rPr>
      <w:sz w:val="18"/>
      <w:szCs w:val="18"/>
    </w:rPr>
  </w:style>
  <w:style w:type="paragraph" w:styleId="12">
    <w:name w:val="header"/>
    <w:basedOn w:val="1"/>
    <w:link w:val="6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64"/>
    <w:qFormat/>
    <w:uiPriority w:val="0"/>
    <w:pPr>
      <w:snapToGrid w:val="0"/>
      <w:jc w:val="left"/>
    </w:pPr>
    <w:rPr>
      <w:sz w:val="18"/>
    </w:rPr>
  </w:style>
  <w:style w:type="paragraph" w:styleId="14">
    <w:name w:val="annotation subject"/>
    <w:basedOn w:val="6"/>
    <w:next w:val="6"/>
    <w:link w:val="70"/>
    <w:qFormat/>
    <w:uiPriority w:val="0"/>
    <w:rPr>
      <w:b/>
      <w:bCs/>
    </w:rPr>
  </w:style>
  <w:style w:type="table" w:styleId="16">
    <w:name w:val="Table Grid"/>
    <w:basedOn w:val="15"/>
    <w:unhideWhenUsed/>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page number"/>
    <w:basedOn w:val="17"/>
    <w:qFormat/>
    <w:uiPriority w:val="0"/>
  </w:style>
  <w:style w:type="character" w:styleId="19">
    <w:name w:val="Hyperlink"/>
    <w:qFormat/>
    <w:uiPriority w:val="0"/>
    <w:rPr>
      <w:color w:val="261CDC"/>
      <w:u w:val="single"/>
    </w:rPr>
  </w:style>
  <w:style w:type="character" w:styleId="20">
    <w:name w:val="annotation reference"/>
    <w:qFormat/>
    <w:uiPriority w:val="0"/>
    <w:rPr>
      <w:sz w:val="21"/>
      <w:szCs w:val="21"/>
    </w:rPr>
  </w:style>
  <w:style w:type="character" w:styleId="21">
    <w:name w:val="footnote reference"/>
    <w:qFormat/>
    <w:uiPriority w:val="0"/>
    <w:rPr>
      <w:vertAlign w:val="superscript"/>
    </w:rPr>
  </w:style>
  <w:style w:type="paragraph" w:customStyle="1" w:styleId="22">
    <w:name w:val="目录 71"/>
    <w:basedOn w:val="1"/>
    <w:next w:val="1"/>
    <w:qFormat/>
    <w:uiPriority w:val="0"/>
    <w:pPr>
      <w:ind w:left="2520" w:leftChars="1200"/>
    </w:pPr>
  </w:style>
  <w:style w:type="paragraph" w:customStyle="1" w:styleId="23">
    <w:name w:val="目录 81"/>
    <w:basedOn w:val="22"/>
    <w:next w:val="1"/>
    <w:qFormat/>
    <w:uiPriority w:val="0"/>
    <w:pPr>
      <w:widowControl/>
      <w:tabs>
        <w:tab w:val="left" w:pos="9000"/>
      </w:tabs>
      <w:ind w:left="0" w:leftChars="0"/>
    </w:pPr>
    <w:rPr>
      <w:rFonts w:ascii="宋体"/>
      <w:kern w:val="0"/>
    </w:rPr>
  </w:style>
  <w:style w:type="paragraph" w:customStyle="1" w:styleId="2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6">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8">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29">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0">
    <w:name w:val="段"/>
    <w:link w:val="63"/>
    <w:qFormat/>
    <w:uiPriority w:val="0"/>
    <w:pPr>
      <w:autoSpaceDE w:val="0"/>
      <w:autoSpaceDN w:val="0"/>
      <w:ind w:firstLine="200" w:firstLineChars="200"/>
      <w:jc w:val="both"/>
    </w:pPr>
    <w:rPr>
      <w:rFonts w:ascii="宋体" w:hAnsi="Times New Roman" w:eastAsia="宋体" w:cs="Times New Roman"/>
      <w:lang w:val="en-US" w:eastAsia="zh-CN" w:bidi="ar-SA"/>
    </w:rPr>
  </w:style>
  <w:style w:type="paragraph" w:customStyle="1" w:styleId="31">
    <w:name w:val="附录三级条标题"/>
    <w:basedOn w:val="32"/>
    <w:next w:val="30"/>
    <w:qFormat/>
    <w:uiPriority w:val="0"/>
    <w:pPr>
      <w:outlineLvl w:val="4"/>
    </w:pPr>
  </w:style>
  <w:style w:type="paragraph" w:customStyle="1" w:styleId="32">
    <w:name w:val="附录二级条标题"/>
    <w:basedOn w:val="33"/>
    <w:next w:val="30"/>
    <w:qFormat/>
    <w:uiPriority w:val="0"/>
    <w:pPr>
      <w:outlineLvl w:val="3"/>
    </w:pPr>
  </w:style>
  <w:style w:type="paragraph" w:customStyle="1" w:styleId="33">
    <w:name w:val="附录一级条标题"/>
    <w:basedOn w:val="1"/>
    <w:next w:val="30"/>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34">
    <w:name w:val="附录标识"/>
    <w:basedOn w:val="26"/>
    <w:qFormat/>
    <w:uiPriority w:val="0"/>
    <w:pPr>
      <w:tabs>
        <w:tab w:val="left" w:pos="6405"/>
        <w:tab w:val="clear" w:pos="720"/>
      </w:tabs>
      <w:spacing w:after="200"/>
    </w:pPr>
    <w:rPr>
      <w:sz w:val="21"/>
    </w:rPr>
  </w:style>
  <w:style w:type="paragraph" w:customStyle="1" w:styleId="35">
    <w:name w:val="二级条标题"/>
    <w:basedOn w:val="36"/>
    <w:next w:val="30"/>
    <w:qFormat/>
    <w:uiPriority w:val="0"/>
  </w:style>
  <w:style w:type="paragraph" w:customStyle="1" w:styleId="36">
    <w:name w:val="一级条标题"/>
    <w:basedOn w:val="37"/>
    <w:next w:val="30"/>
    <w:qFormat/>
    <w:uiPriority w:val="0"/>
    <w:pPr>
      <w:spacing w:beforeLines="0" w:afterLines="0"/>
      <w:outlineLvl w:val="2"/>
    </w:pPr>
  </w:style>
  <w:style w:type="paragraph" w:customStyle="1" w:styleId="37">
    <w:name w:val="章标题"/>
    <w:next w:val="3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9">
    <w:name w:val="发布部门"/>
    <w:next w:val="30"/>
    <w:qFormat/>
    <w:uiPriority w:val="0"/>
    <w:pPr>
      <w:jc w:val="center"/>
    </w:pPr>
    <w:rPr>
      <w:rFonts w:ascii="宋体" w:hAnsi="Times New Roman" w:eastAsia="宋体" w:cs="Times New Roman"/>
      <w:b/>
      <w:spacing w:val="20"/>
      <w:w w:val="135"/>
      <w:sz w:val="36"/>
      <w:lang w:val="en-US" w:eastAsia="zh-CN" w:bidi="ar-SA"/>
    </w:rPr>
  </w:style>
  <w:style w:type="paragraph" w:customStyle="1" w:styleId="4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1">
    <w:name w:val="标准书眉_偶数页"/>
    <w:basedOn w:val="27"/>
    <w:next w:val="1"/>
    <w:qFormat/>
    <w:uiPriority w:val="0"/>
    <w:pPr>
      <w:jc w:val="left"/>
    </w:pPr>
  </w:style>
  <w:style w:type="paragraph" w:customStyle="1" w:styleId="42">
    <w:name w:val="三级条标题"/>
    <w:basedOn w:val="1"/>
    <w:next w:val="30"/>
    <w:qFormat/>
    <w:uiPriority w:val="0"/>
    <w:pPr>
      <w:widowControl/>
      <w:outlineLvl w:val="4"/>
    </w:pPr>
    <w:rPr>
      <w:rFonts w:ascii="黑体" w:hAnsi="宋体" w:eastAsia="黑体"/>
      <w:kern w:val="0"/>
    </w:rPr>
  </w:style>
  <w:style w:type="paragraph" w:customStyle="1" w:styleId="43">
    <w:name w:val="四级条标题"/>
    <w:basedOn w:val="42"/>
    <w:next w:val="30"/>
    <w:qFormat/>
    <w:uiPriority w:val="0"/>
    <w:pPr>
      <w:outlineLvl w:val="5"/>
    </w:pPr>
  </w:style>
  <w:style w:type="paragraph" w:customStyle="1" w:styleId="44">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45">
    <w:name w:val="附录图标题"/>
    <w:next w:val="30"/>
    <w:qFormat/>
    <w:uiPriority w:val="0"/>
    <w:pPr>
      <w:tabs>
        <w:tab w:val="left" w:pos="360"/>
      </w:tabs>
      <w:jc w:val="center"/>
    </w:pPr>
    <w:rPr>
      <w:rFonts w:ascii="黑体" w:hAnsi="Times New Roman" w:eastAsia="黑体" w:cs="Times New Roman"/>
      <w:sz w:val="21"/>
      <w:lang w:val="en-US" w:eastAsia="zh-CN" w:bidi="ar-SA"/>
    </w:rPr>
  </w:style>
  <w:style w:type="paragraph" w:customStyle="1" w:styleId="46">
    <w:name w:val="图表脚注"/>
    <w:next w:val="30"/>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4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8">
    <w:name w:val="标准书眉一"/>
    <w:qFormat/>
    <w:uiPriority w:val="0"/>
    <w:pPr>
      <w:jc w:val="both"/>
    </w:pPr>
    <w:rPr>
      <w:rFonts w:ascii="Times New Roman" w:hAnsi="Times New Roman" w:eastAsia="宋体" w:cs="Times New Roman"/>
      <w:lang w:val="en-US" w:eastAsia="zh-CN" w:bidi="ar-SA"/>
    </w:rPr>
  </w:style>
  <w:style w:type="paragraph" w:customStyle="1" w:styleId="49">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1">
    <w:name w:val="发布日期"/>
    <w:qFormat/>
    <w:uiPriority w:val="0"/>
    <w:rPr>
      <w:rFonts w:ascii="Times New Roman" w:hAnsi="Times New Roman" w:eastAsia="黑体" w:cs="Times New Roman"/>
      <w:sz w:val="28"/>
      <w:lang w:val="en-US" w:eastAsia="zh-CN" w:bidi="ar-SA"/>
    </w:rPr>
  </w:style>
  <w:style w:type="paragraph" w:customStyle="1" w:styleId="52">
    <w:name w:val="五级条标题"/>
    <w:basedOn w:val="43"/>
    <w:next w:val="30"/>
    <w:qFormat/>
    <w:uiPriority w:val="0"/>
    <w:pPr>
      <w:outlineLvl w:val="6"/>
    </w:pPr>
  </w:style>
  <w:style w:type="paragraph" w:customStyle="1" w:styleId="53">
    <w:name w:val="附录四级条标题"/>
    <w:basedOn w:val="31"/>
    <w:next w:val="30"/>
    <w:qFormat/>
    <w:uiPriority w:val="0"/>
    <w:pPr>
      <w:outlineLvl w:val="5"/>
    </w:pPr>
  </w:style>
  <w:style w:type="paragraph" w:customStyle="1" w:styleId="54">
    <w:name w:val="附录表标题"/>
    <w:next w:val="30"/>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5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6">
    <w:name w:val="实施日期"/>
    <w:basedOn w:val="51"/>
    <w:qFormat/>
    <w:uiPriority w:val="0"/>
    <w:pPr>
      <w:jc w:val="right"/>
    </w:pPr>
  </w:style>
  <w:style w:type="paragraph" w:customStyle="1" w:styleId="57">
    <w:name w:val="列出段落1"/>
    <w:basedOn w:val="1"/>
    <w:qFormat/>
    <w:uiPriority w:val="34"/>
    <w:pPr>
      <w:ind w:firstLine="420" w:firstLineChars="200"/>
    </w:pPr>
  </w:style>
  <w:style w:type="paragraph" w:customStyle="1" w:styleId="58">
    <w:name w:val="封面标准号2"/>
    <w:basedOn w:val="25"/>
    <w:qFormat/>
    <w:uiPriority w:val="0"/>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0"/>
    <w:pPr>
      <w:framePr w:wrap="around"/>
      <w:spacing w:before="57"/>
    </w:pPr>
    <w:rPr>
      <w:rFonts w:ascii="宋体"/>
      <w:sz w:val="21"/>
    </w:rPr>
  </w:style>
  <w:style w:type="character" w:customStyle="1" w:styleId="60">
    <w:name w:val="页眉 字符"/>
    <w:link w:val="12"/>
    <w:qFormat/>
    <w:uiPriority w:val="99"/>
    <w:rPr>
      <w:sz w:val="18"/>
      <w:szCs w:val="18"/>
    </w:rPr>
  </w:style>
  <w:style w:type="character" w:customStyle="1" w:styleId="61">
    <w:name w:val="页脚 字符"/>
    <w:link w:val="11"/>
    <w:qFormat/>
    <w:uiPriority w:val="99"/>
    <w:rPr>
      <w:sz w:val="18"/>
      <w:szCs w:val="18"/>
    </w:rPr>
  </w:style>
  <w:style w:type="character" w:customStyle="1" w:styleId="62">
    <w:name w:val="标题 2 字符"/>
    <w:link w:val="2"/>
    <w:qFormat/>
    <w:uiPriority w:val="0"/>
    <w:rPr>
      <w:rFonts w:ascii="Arial" w:hAnsi="Arial" w:eastAsia="黑体" w:cs="Times New Roman"/>
      <w:b/>
      <w:sz w:val="32"/>
      <w:szCs w:val="20"/>
    </w:rPr>
  </w:style>
  <w:style w:type="character" w:customStyle="1" w:styleId="63">
    <w:name w:val="段 Char"/>
    <w:link w:val="30"/>
    <w:qFormat/>
    <w:uiPriority w:val="0"/>
    <w:rPr>
      <w:rFonts w:ascii="宋体"/>
      <w:lang w:val="en-US" w:eastAsia="zh-CN" w:bidi="ar-SA"/>
    </w:rPr>
  </w:style>
  <w:style w:type="character" w:customStyle="1" w:styleId="64">
    <w:name w:val="脚注文本 字符"/>
    <w:link w:val="13"/>
    <w:qFormat/>
    <w:uiPriority w:val="0"/>
    <w:rPr>
      <w:rFonts w:ascii="Times New Roman" w:hAnsi="Times New Roman" w:eastAsia="宋体" w:cs="Times New Roman"/>
      <w:sz w:val="18"/>
      <w:szCs w:val="20"/>
    </w:rPr>
  </w:style>
  <w:style w:type="character" w:customStyle="1" w:styleId="65">
    <w:name w:val="正文文本缩进 字符"/>
    <w:link w:val="7"/>
    <w:qFormat/>
    <w:uiPriority w:val="0"/>
    <w:rPr>
      <w:rFonts w:ascii="Times New Roman" w:hAnsi="Times New Roman" w:eastAsia="宋体" w:cs="Times New Roman"/>
      <w:sz w:val="24"/>
      <w:szCs w:val="20"/>
    </w:rPr>
  </w:style>
  <w:style w:type="character" w:customStyle="1" w:styleId="66">
    <w:name w:val="文档结构图 字符"/>
    <w:link w:val="5"/>
    <w:qFormat/>
    <w:uiPriority w:val="0"/>
    <w:rPr>
      <w:rFonts w:ascii="Times New Roman" w:hAnsi="Times New Roman" w:eastAsia="宋体" w:cs="Times New Roman"/>
      <w:szCs w:val="20"/>
      <w:shd w:val="clear" w:color="auto" w:fill="000080"/>
    </w:rPr>
  </w:style>
  <w:style w:type="character" w:customStyle="1" w:styleId="67">
    <w:name w:val="批注框文本 字符"/>
    <w:link w:val="10"/>
    <w:qFormat/>
    <w:uiPriority w:val="99"/>
    <w:rPr>
      <w:rFonts w:ascii="Times New Roman" w:hAnsi="Times New Roman" w:eastAsia="宋体" w:cs="Times New Roman"/>
      <w:sz w:val="18"/>
      <w:szCs w:val="20"/>
    </w:rPr>
  </w:style>
  <w:style w:type="character" w:customStyle="1" w:styleId="68">
    <w:name w:val="纯文本 字符"/>
    <w:link w:val="8"/>
    <w:qFormat/>
    <w:uiPriority w:val="0"/>
    <w:rPr>
      <w:rFonts w:ascii="宋体" w:hAnsi="Courier New" w:eastAsia="宋体" w:cs="Courier New"/>
      <w:szCs w:val="21"/>
    </w:rPr>
  </w:style>
  <w:style w:type="character" w:customStyle="1" w:styleId="69">
    <w:name w:val="批注文字 字符"/>
    <w:link w:val="6"/>
    <w:qFormat/>
    <w:uiPriority w:val="0"/>
    <w:rPr>
      <w:rFonts w:ascii="Times New Roman" w:hAnsi="Times New Roman" w:eastAsia="宋体" w:cs="Times New Roman"/>
      <w:szCs w:val="20"/>
    </w:rPr>
  </w:style>
  <w:style w:type="character" w:customStyle="1" w:styleId="70">
    <w:name w:val="批注主题 字符"/>
    <w:link w:val="14"/>
    <w:qFormat/>
    <w:uiPriority w:val="0"/>
    <w:rPr>
      <w:rFonts w:ascii="Times New Roman" w:hAnsi="Times New Roman" w:eastAsia="宋体" w:cs="Times New Roman"/>
      <w:b/>
      <w:bCs/>
      <w:szCs w:val="20"/>
    </w:rPr>
  </w:style>
  <w:style w:type="character" w:customStyle="1" w:styleId="71">
    <w:name w:val="sh141"/>
    <w:qFormat/>
    <w:uiPriority w:val="0"/>
    <w:rPr>
      <w:color w:val="2B2B2B"/>
      <w:sz w:val="18"/>
      <w:szCs w:val="18"/>
    </w:rPr>
  </w:style>
  <w:style w:type="character" w:customStyle="1" w:styleId="72">
    <w:name w:val="日期 字符"/>
    <w:link w:val="9"/>
    <w:qFormat/>
    <w:uiPriority w:val="99"/>
    <w:rPr>
      <w:rFonts w:ascii="Times New Roman" w:hAnsi="Times New Roman" w:eastAsia="宋体" w:cs="Times New Roman"/>
      <w:szCs w:val="20"/>
    </w:rPr>
  </w:style>
  <w:style w:type="character" w:customStyle="1" w:styleId="73">
    <w:name w:val="占位符文本1"/>
    <w:semiHidden/>
    <w:qFormat/>
    <w:uiPriority w:val="99"/>
    <w:rPr>
      <w:color w:val="808080"/>
    </w:rPr>
  </w:style>
  <w:style w:type="character" w:customStyle="1" w:styleId="74">
    <w:name w:val="占位符文本2"/>
    <w:unhideWhenUsed/>
    <w:qFormat/>
    <w:uiPriority w:val="99"/>
    <w:rPr>
      <w:color w:val="808080"/>
    </w:rPr>
  </w:style>
  <w:style w:type="paragraph" w:styleId="75">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character" w:customStyle="1" w:styleId="76">
    <w:name w:val="Char Char"/>
    <w:qFormat/>
    <w:locked/>
    <w:uiPriority w:val="0"/>
    <w:rPr>
      <w:rFonts w:ascii="宋体" w:hAnsi="宋体" w:eastAsia="宋体"/>
      <w:kern w:val="2"/>
      <w:sz w:val="21"/>
      <w:szCs w:val="24"/>
      <w:lang w:val="en-US" w:eastAsia="zh-CN" w:bidi="ar-SA"/>
    </w:rPr>
  </w:style>
  <w:style w:type="character" w:customStyle="1" w:styleId="77">
    <w:name w:val="标题 3 字符"/>
    <w:basedOn w:val="17"/>
    <w:link w:val="3"/>
    <w:semiHidden/>
    <w:qFormat/>
    <w:uiPriority w:val="9"/>
    <w:rPr>
      <w:b/>
      <w:bCs/>
      <w:kern w:val="2"/>
      <w:sz w:val="32"/>
      <w:szCs w:val="32"/>
    </w:rPr>
  </w:style>
  <w:style w:type="paragraph" w:styleId="78">
    <w:name w:val="List Paragraph"/>
    <w:basedOn w:val="1"/>
    <w:qFormat/>
    <w:uiPriority w:val="34"/>
    <w:pPr>
      <w:ind w:firstLine="420" w:firstLineChars="200"/>
    </w:pPr>
  </w:style>
  <w:style w:type="paragraph" w:customStyle="1" w:styleId="79">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customXml" Target="../customXml/item1.xml"/><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4.wmf"/><Relationship Id="rId17" Type="http://schemas.openxmlformats.org/officeDocument/2006/relationships/oleObject" Target="embeddings/oleObject2.bin"/><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em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C41A8-C6E2-433D-A7C6-1EB430DFE9C2}">
  <ds:schemaRefs/>
</ds:datastoreItem>
</file>

<file path=customXml/itemProps3.xml><?xml version="1.0" encoding="utf-8"?>
<ds:datastoreItem xmlns:ds="http://schemas.openxmlformats.org/officeDocument/2006/customXml" ds:itemID="{A093CD82-2DC0-4086-976E-BCD47AA87CAA}">
  <ds:schemaRefs/>
</ds:datastoreItem>
</file>

<file path=customXml/itemProps4.xml><?xml version="1.0" encoding="utf-8"?>
<ds:datastoreItem xmlns:ds="http://schemas.openxmlformats.org/officeDocument/2006/customXml" ds:itemID="{D8F3C3FA-9DCE-4F9E-8B73-51BB088947A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6133</Words>
  <Characters>7441</Characters>
  <Lines>59</Lines>
  <Paragraphs>16</Paragraphs>
  <TotalTime>926</TotalTime>
  <ScaleCrop>false</ScaleCrop>
  <LinksUpToDate>false</LinksUpToDate>
  <CharactersWithSpaces>7820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2019-04-16T03:23:00Z</dcterms:created>
  <dc:creator>俞金生</dc:creator>
  <cp:lastModifiedBy>林若虚</cp:lastModifiedBy>
  <cp:lastPrinted>2023-07-20T14:46:00Z</cp:lastPrinted>
  <dcterms:modified xsi:type="dcterms:W3CDTF">2023-09-23T03:26:18Z</dcterms:modified>
  <dc:title>_x0001_</dc:title>
  <cp:revision>589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62B1FCE1C11C4649B00B281632EE6BDA_12</vt:lpwstr>
  </property>
</Properties>
</file>