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560" w:lineRule="atLeast"/>
        <w:rPr>
          <w:rFonts w:ascii="黑体" w:hAnsi="黑体" w:eastAsia="黑体"/>
          <w:sz w:val="48"/>
          <w:szCs w:val="48"/>
        </w:rPr>
      </w:pPr>
    </w:p>
    <w:p>
      <w:pPr>
        <w:pStyle w:val="51"/>
        <w:spacing w:line="560" w:lineRule="atLeast"/>
        <w:rPr>
          <w:rFonts w:ascii="黑体" w:hAnsi="黑体" w:eastAsia="黑体"/>
          <w:sz w:val="36"/>
          <w:szCs w:val="36"/>
        </w:rPr>
      </w:pPr>
      <w:r>
        <w:rPr>
          <w:rFonts w:hint="eastAsia" w:ascii="黑体" w:hAnsi="黑体" w:eastAsia="黑体"/>
          <w:sz w:val="36"/>
          <w:szCs w:val="36"/>
        </w:rPr>
        <w:t>粗硒化学分析方法 第4部分：碲量的测定 重量法</w:t>
      </w:r>
    </w:p>
    <w:p>
      <w:pPr>
        <w:pStyle w:val="51"/>
        <w:spacing w:line="560" w:lineRule="atLeast"/>
        <w:jc w:val="center"/>
        <w:rPr>
          <w:rFonts w:ascii="黑体" w:hAnsi="黑体" w:eastAsia="黑体"/>
          <w:sz w:val="36"/>
          <w:szCs w:val="36"/>
        </w:rPr>
      </w:pPr>
    </w:p>
    <w:p>
      <w:pPr>
        <w:pStyle w:val="51"/>
        <w:spacing w:line="560" w:lineRule="atLeast"/>
        <w:jc w:val="center"/>
        <w:rPr>
          <w:rFonts w:ascii="黑体" w:hAnsi="黑体" w:eastAsia="黑体"/>
          <w:sz w:val="36"/>
          <w:szCs w:val="36"/>
        </w:rPr>
      </w:pPr>
    </w:p>
    <w:p>
      <w:pPr>
        <w:pStyle w:val="51"/>
        <w:spacing w:line="560" w:lineRule="atLeast"/>
        <w:jc w:val="center"/>
        <w:rPr>
          <w:rFonts w:ascii="黑体" w:hAnsi="黑体" w:eastAsia="黑体"/>
          <w:sz w:val="36"/>
          <w:szCs w:val="36"/>
        </w:rPr>
      </w:pPr>
      <w:r>
        <w:rPr>
          <w:rFonts w:hint="eastAsia" w:ascii="黑体" w:hAnsi="黑体" w:eastAsia="黑体"/>
          <w:sz w:val="36"/>
          <w:szCs w:val="36"/>
        </w:rPr>
        <w:t>编</w:t>
      </w:r>
    </w:p>
    <w:p>
      <w:pPr>
        <w:pStyle w:val="51"/>
        <w:spacing w:line="560" w:lineRule="atLeast"/>
        <w:jc w:val="center"/>
        <w:rPr>
          <w:rFonts w:ascii="黑体" w:hAnsi="黑体" w:eastAsia="黑体"/>
          <w:sz w:val="36"/>
          <w:szCs w:val="36"/>
        </w:rPr>
      </w:pPr>
    </w:p>
    <w:p>
      <w:pPr>
        <w:pStyle w:val="51"/>
        <w:spacing w:line="560" w:lineRule="atLeast"/>
        <w:jc w:val="center"/>
        <w:rPr>
          <w:rFonts w:ascii="黑体" w:hAnsi="黑体" w:eastAsia="黑体"/>
          <w:sz w:val="36"/>
          <w:szCs w:val="36"/>
        </w:rPr>
      </w:pPr>
      <w:r>
        <w:rPr>
          <w:rFonts w:hint="eastAsia" w:ascii="黑体" w:hAnsi="黑体" w:eastAsia="黑体"/>
          <w:sz w:val="36"/>
          <w:szCs w:val="36"/>
        </w:rPr>
        <w:t>制</w:t>
      </w:r>
    </w:p>
    <w:p>
      <w:pPr>
        <w:pStyle w:val="51"/>
        <w:spacing w:line="560" w:lineRule="atLeast"/>
        <w:jc w:val="center"/>
        <w:rPr>
          <w:rFonts w:ascii="黑体" w:hAnsi="黑体" w:eastAsia="黑体"/>
          <w:sz w:val="36"/>
          <w:szCs w:val="36"/>
        </w:rPr>
      </w:pPr>
    </w:p>
    <w:p>
      <w:pPr>
        <w:pStyle w:val="51"/>
        <w:spacing w:line="560" w:lineRule="atLeast"/>
        <w:jc w:val="center"/>
        <w:rPr>
          <w:rFonts w:ascii="黑体" w:hAnsi="黑体" w:eastAsia="黑体"/>
          <w:sz w:val="36"/>
          <w:szCs w:val="36"/>
        </w:rPr>
      </w:pPr>
      <w:r>
        <w:rPr>
          <w:rFonts w:hint="eastAsia" w:ascii="黑体" w:hAnsi="黑体" w:eastAsia="黑体"/>
          <w:sz w:val="36"/>
          <w:szCs w:val="36"/>
        </w:rPr>
        <w:t>说</w:t>
      </w:r>
    </w:p>
    <w:p>
      <w:pPr>
        <w:pStyle w:val="51"/>
        <w:spacing w:line="560" w:lineRule="atLeast"/>
        <w:jc w:val="center"/>
        <w:rPr>
          <w:rFonts w:ascii="黑体" w:hAnsi="黑体" w:eastAsia="黑体"/>
          <w:sz w:val="36"/>
          <w:szCs w:val="36"/>
        </w:rPr>
      </w:pPr>
    </w:p>
    <w:p>
      <w:pPr>
        <w:pStyle w:val="51"/>
        <w:spacing w:line="560" w:lineRule="atLeast"/>
        <w:jc w:val="center"/>
        <w:rPr>
          <w:rFonts w:ascii="黑体" w:hAnsi="黑体" w:eastAsia="黑体"/>
          <w:sz w:val="36"/>
          <w:szCs w:val="36"/>
        </w:rPr>
      </w:pPr>
      <w:r>
        <w:rPr>
          <w:rFonts w:hint="eastAsia" w:ascii="黑体" w:hAnsi="黑体" w:eastAsia="黑体"/>
          <w:sz w:val="36"/>
          <w:szCs w:val="36"/>
        </w:rPr>
        <w:t>明</w:t>
      </w:r>
    </w:p>
    <w:p>
      <w:pPr>
        <w:pStyle w:val="51"/>
        <w:spacing w:line="560" w:lineRule="atLeast"/>
        <w:jc w:val="center"/>
        <w:rPr>
          <w:rFonts w:ascii="黑体" w:hAnsi="黑体" w:eastAsia="黑体"/>
          <w:sz w:val="28"/>
          <w:szCs w:val="28"/>
        </w:rPr>
      </w:pPr>
    </w:p>
    <w:p>
      <w:pPr>
        <w:pStyle w:val="51"/>
        <w:spacing w:line="560" w:lineRule="atLeast"/>
        <w:ind w:firstLine="3500" w:firstLineChars="1250"/>
        <w:rPr>
          <w:rFonts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val="en-US" w:eastAsia="zh-CN"/>
        </w:rPr>
        <w:t>送审</w:t>
      </w:r>
      <w:r>
        <w:rPr>
          <w:rFonts w:hint="eastAsia" w:ascii="黑体" w:hAnsi="黑体" w:eastAsia="黑体"/>
          <w:sz w:val="28"/>
          <w:szCs w:val="28"/>
        </w:rPr>
        <w:t>稿）</w:t>
      </w:r>
    </w:p>
    <w:p>
      <w:pPr>
        <w:pStyle w:val="51"/>
        <w:spacing w:line="560" w:lineRule="atLeast"/>
        <w:jc w:val="center"/>
        <w:rPr>
          <w:rFonts w:ascii="黑体" w:hAnsi="黑体" w:eastAsia="黑体"/>
          <w:b/>
          <w:bCs/>
          <w:sz w:val="36"/>
          <w:szCs w:val="36"/>
        </w:rPr>
      </w:pPr>
    </w:p>
    <w:p>
      <w:pPr>
        <w:pStyle w:val="51"/>
        <w:spacing w:line="560" w:lineRule="atLeast"/>
        <w:rPr>
          <w:rFonts w:ascii="黑体" w:hAnsi="黑体" w:eastAsia="黑体"/>
          <w:b/>
          <w:bCs/>
          <w:sz w:val="30"/>
          <w:szCs w:val="30"/>
        </w:rPr>
      </w:pPr>
      <w:r>
        <w:rPr>
          <w:rFonts w:hint="eastAsia" w:ascii="黑体" w:hAnsi="黑体" w:eastAsia="黑体"/>
          <w:b/>
          <w:bCs/>
          <w:sz w:val="30"/>
          <w:szCs w:val="30"/>
        </w:rPr>
        <w:tab/>
      </w:r>
    </w:p>
    <w:p>
      <w:pPr>
        <w:pStyle w:val="51"/>
        <w:spacing w:line="560" w:lineRule="atLeast"/>
        <w:rPr>
          <w:rFonts w:ascii="黑体" w:hAnsi="黑体" w:eastAsia="黑体"/>
          <w:b/>
          <w:bCs/>
          <w:sz w:val="30"/>
          <w:szCs w:val="30"/>
        </w:rPr>
      </w:pPr>
    </w:p>
    <w:p>
      <w:pPr>
        <w:pStyle w:val="51"/>
        <w:spacing w:line="560" w:lineRule="atLeast"/>
        <w:rPr>
          <w:rFonts w:ascii="黑体" w:hAnsi="黑体" w:eastAsia="黑体"/>
          <w:b/>
          <w:bCs/>
          <w:sz w:val="30"/>
          <w:szCs w:val="30"/>
        </w:rPr>
      </w:pPr>
    </w:p>
    <w:p>
      <w:pPr>
        <w:pStyle w:val="51"/>
        <w:spacing w:line="560" w:lineRule="atLeast"/>
        <w:rPr>
          <w:rFonts w:ascii="黑体" w:hAnsi="黑体" w:eastAsia="黑体"/>
          <w:b/>
          <w:bCs/>
          <w:sz w:val="30"/>
          <w:szCs w:val="30"/>
        </w:rPr>
      </w:pPr>
    </w:p>
    <w:p>
      <w:pPr>
        <w:pStyle w:val="51"/>
        <w:spacing w:line="560" w:lineRule="atLeast"/>
        <w:rPr>
          <w:rFonts w:ascii="黑体" w:hAnsi="黑体" w:eastAsia="黑体"/>
          <w:b/>
          <w:bCs/>
          <w:sz w:val="30"/>
          <w:szCs w:val="30"/>
        </w:rPr>
      </w:pPr>
    </w:p>
    <w:p>
      <w:pPr>
        <w:pStyle w:val="51"/>
        <w:spacing w:line="560" w:lineRule="atLeast"/>
        <w:rPr>
          <w:rFonts w:ascii="黑体" w:hAnsi="黑体" w:eastAsia="黑体"/>
          <w:b/>
          <w:bCs/>
          <w:sz w:val="30"/>
          <w:szCs w:val="30"/>
        </w:rPr>
      </w:pPr>
    </w:p>
    <w:p>
      <w:pPr>
        <w:pStyle w:val="51"/>
        <w:spacing w:line="560" w:lineRule="atLeast"/>
        <w:jc w:val="center"/>
        <w:rPr>
          <w:rFonts w:hint="eastAsia" w:ascii="黑体" w:hAnsi="黑体" w:eastAsia="黑体"/>
          <w:sz w:val="30"/>
          <w:szCs w:val="30"/>
        </w:rPr>
      </w:pPr>
      <w:r>
        <w:rPr>
          <w:rFonts w:hint="eastAsia" w:ascii="黑体" w:hAnsi="黑体" w:eastAsia="黑体"/>
          <w:sz w:val="30"/>
          <w:szCs w:val="30"/>
        </w:rPr>
        <w:t>广东先导稀材股份有限公司</w:t>
      </w:r>
    </w:p>
    <w:p>
      <w:pPr>
        <w:pStyle w:val="51"/>
        <w:spacing w:line="560" w:lineRule="atLeast"/>
        <w:jc w:val="center"/>
        <w:rPr>
          <w:rFonts w:ascii="黑体" w:hAnsi="黑体" w:eastAsia="黑体"/>
          <w:sz w:val="30"/>
          <w:szCs w:val="30"/>
        </w:rPr>
      </w:pPr>
      <w:r>
        <w:rPr>
          <w:rFonts w:hint="eastAsia" w:ascii="黑体" w:hAnsi="黑体" w:eastAsia="黑体"/>
          <w:sz w:val="30"/>
          <w:szCs w:val="30"/>
        </w:rPr>
        <w:t>202</w:t>
      </w:r>
      <w:r>
        <w:rPr>
          <w:rFonts w:ascii="黑体" w:hAnsi="黑体" w:eastAsia="黑体"/>
          <w:sz w:val="30"/>
          <w:szCs w:val="30"/>
        </w:rPr>
        <w:t>3</w:t>
      </w:r>
      <w:r>
        <w:rPr>
          <w:rFonts w:hint="eastAsia" w:ascii="黑体" w:hAnsi="黑体" w:eastAsia="黑体"/>
          <w:sz w:val="30"/>
          <w:szCs w:val="30"/>
        </w:rPr>
        <w:t>年</w:t>
      </w:r>
      <w:r>
        <w:rPr>
          <w:rFonts w:hint="eastAsia" w:ascii="黑体" w:hAnsi="黑体" w:eastAsia="黑体"/>
          <w:sz w:val="30"/>
          <w:szCs w:val="30"/>
          <w:lang w:val="en-US" w:eastAsia="zh-CN"/>
        </w:rPr>
        <w:t>9</w:t>
      </w:r>
      <w:r>
        <w:rPr>
          <w:rFonts w:hint="eastAsia" w:ascii="黑体" w:hAnsi="黑体" w:eastAsia="黑体"/>
          <w:sz w:val="30"/>
          <w:szCs w:val="30"/>
        </w:rPr>
        <w:t>月</w:t>
      </w:r>
    </w:p>
    <w:p>
      <w:pPr>
        <w:spacing w:line="360" w:lineRule="auto"/>
        <w:ind w:firstLine="960" w:firstLineChars="300"/>
        <w:rPr>
          <w:rFonts w:ascii="黑体" w:hAnsi="黑体" w:eastAsia="黑体"/>
          <w:sz w:val="32"/>
          <w:szCs w:val="32"/>
        </w:rPr>
      </w:pPr>
      <w:r>
        <w:rPr>
          <w:rFonts w:hint="eastAsia" w:ascii="黑体" w:hAnsi="黑体" w:eastAsia="黑体"/>
          <w:sz w:val="32"/>
          <w:szCs w:val="32"/>
        </w:rPr>
        <w:t>粗硒化学分析方法 第4部分</w:t>
      </w:r>
      <w:r>
        <w:rPr>
          <w:rFonts w:hint="eastAsia" w:ascii="黑体" w:hAnsi="黑体" w:eastAsia="黑体"/>
          <w:sz w:val="32"/>
          <w:szCs w:val="32"/>
          <w:lang w:eastAsia="zh-CN"/>
        </w:rPr>
        <w:t>：</w:t>
      </w:r>
      <w:r>
        <w:rPr>
          <w:rFonts w:hint="eastAsia" w:ascii="黑体" w:hAnsi="黑体" w:eastAsia="黑体"/>
          <w:sz w:val="32"/>
          <w:szCs w:val="32"/>
        </w:rPr>
        <w:t>碲</w:t>
      </w:r>
      <w:r>
        <w:rPr>
          <w:rFonts w:hint="eastAsia" w:ascii="黑体" w:hAnsi="黑体" w:eastAsia="黑体"/>
          <w:sz w:val="32"/>
          <w:szCs w:val="32"/>
          <w:lang w:val="en-US" w:eastAsia="zh-CN"/>
        </w:rPr>
        <w:t>含</w:t>
      </w:r>
      <w:r>
        <w:rPr>
          <w:rFonts w:hint="eastAsia" w:ascii="黑体" w:hAnsi="黑体" w:eastAsia="黑体"/>
          <w:sz w:val="32"/>
          <w:szCs w:val="32"/>
        </w:rPr>
        <w:t>量的测定 重量法</w:t>
      </w:r>
    </w:p>
    <w:p>
      <w:pPr>
        <w:spacing w:line="360" w:lineRule="auto"/>
        <w:ind w:firstLine="1920" w:firstLineChars="60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送审稿</w:t>
      </w:r>
      <w:r>
        <w:rPr>
          <w:rFonts w:hint="eastAsia" w:ascii="黑体" w:hAnsi="黑体" w:eastAsia="黑体"/>
          <w:sz w:val="32"/>
          <w:szCs w:val="32"/>
        </w:rPr>
        <w:t>编制</w:t>
      </w:r>
      <w:r>
        <w:rPr>
          <w:rFonts w:ascii="黑体" w:hAnsi="黑体" w:eastAsia="黑体"/>
          <w:sz w:val="32"/>
          <w:szCs w:val="32"/>
        </w:rPr>
        <w:t>说明</w:t>
      </w:r>
    </w:p>
    <w:p>
      <w:pPr>
        <w:spacing w:line="360" w:lineRule="auto"/>
        <w:rPr>
          <w:rFonts w:cs="黑体" w:asciiTheme="minorEastAsia" w:hAnsiTheme="minorEastAsia" w:eastAsiaTheme="minorEastAsia"/>
          <w:szCs w:val="21"/>
        </w:rPr>
      </w:pPr>
      <w:r>
        <w:rPr>
          <w:rFonts w:hint="eastAsia" w:cs="黑体" w:asciiTheme="minorEastAsia" w:hAnsiTheme="minorEastAsia" w:eastAsiaTheme="minorEastAsia"/>
          <w:szCs w:val="21"/>
        </w:rPr>
        <w:t>一、工作简况</w:t>
      </w:r>
    </w:p>
    <w:p>
      <w:pPr>
        <w:spacing w:line="360" w:lineRule="auto"/>
        <w:rPr>
          <w:rFonts w:cs="黑体" w:asciiTheme="minorEastAsia" w:hAnsiTheme="minorEastAsia" w:eastAsiaTheme="minorEastAsia"/>
          <w:szCs w:val="21"/>
        </w:rPr>
      </w:pPr>
      <w:r>
        <w:rPr>
          <w:rFonts w:hint="eastAsia" w:cs="黑体" w:asciiTheme="minorEastAsia" w:hAnsiTheme="minorEastAsia" w:eastAsiaTheme="minorEastAsia"/>
          <w:szCs w:val="21"/>
        </w:rPr>
        <w:t>1、试验方法概况和立项目的</w:t>
      </w:r>
    </w:p>
    <w:p>
      <w:pPr>
        <w:spacing w:line="360" w:lineRule="auto"/>
        <w:rPr>
          <w:rFonts w:asciiTheme="minorEastAsia" w:hAnsiTheme="minorEastAsia" w:eastAsiaTheme="minorEastAsia"/>
          <w:szCs w:val="21"/>
        </w:rPr>
      </w:pPr>
      <w:r>
        <w:rPr>
          <w:rFonts w:hint="eastAsia" w:cs="黑体" w:asciiTheme="minorEastAsia" w:hAnsiTheme="minorEastAsia" w:eastAsiaTheme="minorEastAsia"/>
          <w:szCs w:val="21"/>
        </w:rPr>
        <w:t>1.</w:t>
      </w:r>
      <w:r>
        <w:rPr>
          <w:rFonts w:hint="eastAsia" w:asciiTheme="minorEastAsia" w:hAnsiTheme="minorEastAsia" w:eastAsiaTheme="minorEastAsia"/>
          <w:szCs w:val="21"/>
        </w:rPr>
        <w:t>1 标准制定的必要性</w:t>
      </w:r>
    </w:p>
    <w:p>
      <w:pPr>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粗硒一般是从有色金属冶金行业中富集而成的物料，铜冶炼是主要的硒元素的来源途径，因为硒碲往往是一起和铜矿伴生的元素，所以粗硒中一般都含有一定的碲量。硒是一种稀散金属，全球市场上流通和使用的硒主要由铜、铅、锌等冶金工业中将硒作为伴生元素富集加工而得来的。铜、铅、锌等冶金工业是我国的重要的有色金属工业，在世界范围内占有较大的生产产量，铜、铅、锌的冶炼能力占全世界三分之一以上的产量，其中江西铜业、铜陵铜业、云南铜业、紫金铜业、金川公司、先导公司等生产加工企业均是是国内较大的粗硒产品生产商，在有色金属铅、锌、铋的冶炼中也有相当一部分的硒副产品，相应的我国的硒的产量也占有全世界较大的份额。硒从有色金属冶金的矿成品原料中伴生的稀散的硒元素到单质硒再到纯度较高的硒或硒的化合物，需要有一个富集的过程，硒的生产富集途径主要是通过还原成单质硒等。我国因为是全球最重要的有色金属冶炼、加工的国家，所以我国的硒产量也是全球最大的生产国家，特别是在铜冶炼加工行业，硒是该行业的一个重要的常规产品，在铅、铋冶炼加工企业，硒也同样是重要的副产品。</w:t>
      </w:r>
    </w:p>
    <w:p>
      <w:pPr>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碲有50%以上的金属量是铜冶炼行业的副产品、有20%左右金属量是其他有色金属冶金的副产品，其余则是回收产品。单质碲是一种斜方晶系银白色类金属的物质，</w:t>
      </w:r>
      <w:r>
        <w:rPr>
          <w:rFonts w:asciiTheme="minorEastAsia" w:hAnsiTheme="minorEastAsia" w:eastAsiaTheme="minorEastAsia"/>
          <w:szCs w:val="21"/>
        </w:rPr>
        <w:t xml:space="preserve"> </w:t>
      </w:r>
      <w:r>
        <w:rPr>
          <w:rFonts w:hint="eastAsia" w:asciiTheme="minorEastAsia" w:hAnsiTheme="minorEastAsia" w:eastAsiaTheme="minorEastAsia"/>
          <w:szCs w:val="21"/>
        </w:rPr>
        <w:t>碲主要应用于冶金、石油化工、电子电器、红外材料、太阳能材料等行业，是现代工业中一种非常重要的物质。在冶金工业中主要应用于制造合金以改善合金的性能，在钢铁、铅锡类合金等有重要应用，石油化工中制造橡胶硫化剂和催化剂可以显著提高橡胶的生产效率，是石油化工工业不可或缺的重要辅料；在太阳能材料行业应用主要用于制造碲基太阳能薄膜电池；在电子行业碲及碲的化合物是优良的光阻原件，是制造优良的二级管、感光原件的重要材料；在电子制冷行业，碲铋硒锑合金具有优良的制冷特性，是代替氟氯烃制冷剂的最理想的替代材料，在制冷应用方面有全面取代化学试剂制冷的趋势。在玻璃陶瓷工业，碲及碲的氧化物是改善玻璃特性、制造特殊色系玻璃陶瓷的重要掺入物质。总之，正因为碲在现代工业中的广泛领域和特殊功能的应用，碲是一种重要的稀散金属，在2012-2018年有一段时间的低迷，但随着材料行业的日益发展，现在市场上已重新展现了碲元素对现代科技的重要性，碲的市场价格也在不断提高，尤其是碲基薄膜太阳能产业的兴盛使得碲的产量和应用量都有了极大的发展。</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粗硒中的碲在较高（一般大于5%）一般都需要计价结算，所以制定粗硒中的碲量测定方法行业标准是必要的。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现有的YS/T1154-2016《粗硒》中无碲、金、银、铂、钯的具体指标要求，已配套制定的分析检测方法标准有《粗硒化学分析方法》3个部分行业标准，3个部分别是硒、金、银的测定方法。为使粗硒在生产及贸易方面</w:t>
      </w:r>
      <w:r>
        <w:rPr>
          <w:rFonts w:asciiTheme="minorEastAsia" w:hAnsiTheme="minorEastAsia" w:eastAsiaTheme="minorEastAsia"/>
          <w:szCs w:val="21"/>
        </w:rPr>
        <w:t>有一个</w:t>
      </w:r>
      <w:r>
        <w:rPr>
          <w:rFonts w:hint="eastAsia" w:asciiTheme="minorEastAsia" w:hAnsiTheme="minorEastAsia" w:eastAsiaTheme="minorEastAsia"/>
          <w:szCs w:val="21"/>
        </w:rPr>
        <w:t>统一的碲含量的检测分析方法，特申请制定《粗硒化学分析方法</w:t>
      </w:r>
      <w:r>
        <w:rPr>
          <w:rFonts w:asciiTheme="minorEastAsia" w:hAnsiTheme="minorEastAsia" w:eastAsiaTheme="minorEastAsia"/>
          <w:szCs w:val="21"/>
        </w:rPr>
        <w:t xml:space="preserve"> </w:t>
      </w:r>
      <w:r>
        <w:rPr>
          <w:rFonts w:hint="eastAsia" w:asciiTheme="minorEastAsia" w:hAnsiTheme="minorEastAsia" w:eastAsiaTheme="minorEastAsia"/>
          <w:szCs w:val="21"/>
        </w:rPr>
        <w:t>第</w:t>
      </w:r>
      <w:r>
        <w:rPr>
          <w:rFonts w:asciiTheme="minorEastAsia" w:hAnsiTheme="minorEastAsia" w:eastAsiaTheme="minorEastAsia"/>
          <w:szCs w:val="21"/>
        </w:rPr>
        <w:t>4</w:t>
      </w:r>
      <w:r>
        <w:rPr>
          <w:rFonts w:hint="eastAsia" w:asciiTheme="minorEastAsia" w:hAnsiTheme="minorEastAsia" w:eastAsiaTheme="minorEastAsia"/>
          <w:szCs w:val="21"/>
        </w:rPr>
        <w:t>部分：碲量的测定》行业标准</w:t>
      </w:r>
    </w:p>
    <w:p>
      <w:pPr>
        <w:spacing w:line="360" w:lineRule="auto"/>
        <w:rPr>
          <w:rFonts w:cs="黑体" w:asciiTheme="minorEastAsia" w:hAnsiTheme="minorEastAsia" w:eastAsiaTheme="minorEastAsia"/>
          <w:szCs w:val="21"/>
        </w:rPr>
      </w:pPr>
      <w:r>
        <w:rPr>
          <w:rFonts w:hint="eastAsia" w:cs="黑体" w:asciiTheme="minorEastAsia" w:hAnsiTheme="minorEastAsia" w:eastAsiaTheme="minorEastAsia"/>
          <w:szCs w:val="21"/>
        </w:rPr>
        <w:t>1.2 标准适用范围</w:t>
      </w:r>
    </w:p>
    <w:p>
      <w:pPr>
        <w:widowControl/>
        <w:autoSpaceDE w:val="0"/>
        <w:autoSpaceDN w:val="0"/>
        <w:ind w:firstLine="420" w:firstLineChars="200"/>
        <w:rPr>
          <w:rFonts w:hAnsi="宋体"/>
          <w:kern w:val="0"/>
          <w:szCs w:val="20"/>
        </w:rPr>
      </w:pPr>
      <w:r>
        <w:rPr>
          <w:rFonts w:hAnsi="宋体"/>
          <w:kern w:val="0"/>
          <w:szCs w:val="20"/>
        </w:rPr>
        <w:t>本</w:t>
      </w:r>
      <w:r>
        <w:rPr>
          <w:rFonts w:hint="eastAsia" w:hAnsi="宋体"/>
          <w:kern w:val="0"/>
          <w:szCs w:val="20"/>
        </w:rPr>
        <w:t>部分</w:t>
      </w:r>
      <w:r>
        <w:rPr>
          <w:rFonts w:hAnsi="宋体"/>
          <w:kern w:val="0"/>
          <w:szCs w:val="20"/>
        </w:rPr>
        <w:t>适用</w:t>
      </w:r>
      <w:r>
        <w:rPr>
          <w:rFonts w:hint="eastAsia" w:hAnsi="宋体"/>
          <w:kern w:val="0"/>
          <w:szCs w:val="20"/>
        </w:rPr>
        <w:t>于</w:t>
      </w:r>
      <w:r>
        <w:rPr>
          <w:rFonts w:hint="eastAsia" w:ascii="宋体"/>
          <w:kern w:val="0"/>
          <w:szCs w:val="20"/>
        </w:rPr>
        <w:t>粗硒中碲含量的测定,测定范围（质量分数）：5</w:t>
      </w:r>
      <w:r>
        <w:rPr>
          <w:rFonts w:ascii="宋体"/>
          <w:kern w:val="0"/>
          <w:szCs w:val="20"/>
        </w:rPr>
        <w:t>.0</w:t>
      </w:r>
      <w:r>
        <w:rPr>
          <w:kern w:val="0"/>
          <w:szCs w:val="20"/>
        </w:rPr>
        <w:t xml:space="preserve"> %~20.0%</w:t>
      </w:r>
      <w:r>
        <w:rPr>
          <w:rFonts w:hint="eastAsia" w:ascii="宋体"/>
          <w:kern w:val="0"/>
          <w:szCs w:val="20"/>
        </w:rPr>
        <w:t>。</w:t>
      </w:r>
    </w:p>
    <w:p>
      <w:pPr>
        <w:autoSpaceDE w:val="0"/>
        <w:autoSpaceDN w:val="0"/>
        <w:spacing w:line="360" w:lineRule="auto"/>
        <w:rPr>
          <w:rFonts w:cs="黑体" w:asciiTheme="minorEastAsia" w:hAnsiTheme="minorEastAsia" w:eastAsiaTheme="minorEastAsia"/>
          <w:kern w:val="0"/>
          <w:szCs w:val="21"/>
        </w:rPr>
      </w:pPr>
      <w:r>
        <w:rPr>
          <w:rFonts w:hint="eastAsia" w:cs="黑体" w:asciiTheme="minorEastAsia" w:hAnsiTheme="minorEastAsia" w:eastAsiaTheme="minorEastAsia"/>
          <w:kern w:val="0"/>
          <w:szCs w:val="21"/>
        </w:rPr>
        <w:t>1.</w:t>
      </w:r>
      <w:r>
        <w:rPr>
          <w:rFonts w:cs="黑体" w:asciiTheme="minorEastAsia" w:hAnsiTheme="minorEastAsia" w:eastAsiaTheme="minorEastAsia"/>
          <w:kern w:val="0"/>
          <w:szCs w:val="21"/>
        </w:rPr>
        <w:t xml:space="preserve">3 </w:t>
      </w:r>
      <w:r>
        <w:rPr>
          <w:rFonts w:hint="eastAsia" w:cs="黑体" w:asciiTheme="minorEastAsia" w:hAnsiTheme="minorEastAsia" w:eastAsiaTheme="minorEastAsia"/>
          <w:kern w:val="0"/>
          <w:szCs w:val="21"/>
        </w:rPr>
        <w:t xml:space="preserve"> 标准制定的可行性</w:t>
      </w:r>
    </w:p>
    <w:p>
      <w:pPr>
        <w:spacing w:line="360" w:lineRule="auto"/>
        <w:ind w:firstLine="420" w:firstLineChars="200"/>
        <w:rPr>
          <w:rFonts w:asciiTheme="minorEastAsia" w:hAnsiTheme="minorEastAsia" w:eastAsiaTheme="minorEastAsia"/>
          <w:iCs/>
          <w:szCs w:val="21"/>
        </w:rPr>
      </w:pPr>
      <w:r>
        <w:rPr>
          <w:rFonts w:hint="eastAsia" w:asciiTheme="minorEastAsia" w:hAnsiTheme="minorEastAsia" w:eastAsiaTheme="minorEastAsia"/>
          <w:iCs/>
          <w:szCs w:val="21"/>
        </w:rPr>
        <w:t>安徽光智科技有限公司</w:t>
      </w:r>
      <w:r>
        <w:rPr>
          <w:rFonts w:asciiTheme="minorEastAsia" w:hAnsiTheme="minorEastAsia" w:eastAsiaTheme="minorEastAsia"/>
          <w:iCs/>
          <w:szCs w:val="21"/>
        </w:rPr>
        <w:t>是中国最大的硒产品全产业链生产企业，</w:t>
      </w:r>
      <w:r>
        <w:rPr>
          <w:rFonts w:hint="eastAsia" w:asciiTheme="minorEastAsia" w:hAnsiTheme="minorEastAsia" w:eastAsiaTheme="minorEastAsia"/>
          <w:iCs/>
          <w:szCs w:val="21"/>
        </w:rPr>
        <w:t>也是全球最大的粗硒使用生产企业，也是全球最主要的硒系列产品的供应商，</w:t>
      </w:r>
      <w:r>
        <w:rPr>
          <w:rFonts w:asciiTheme="minorEastAsia" w:hAnsiTheme="minorEastAsia" w:eastAsiaTheme="minorEastAsia"/>
          <w:iCs/>
          <w:szCs w:val="21"/>
        </w:rPr>
        <w:t>产品品种齐全</w:t>
      </w:r>
      <w:r>
        <w:rPr>
          <w:rFonts w:hint="eastAsia" w:asciiTheme="minorEastAsia" w:hAnsiTheme="minorEastAsia" w:eastAsiaTheme="minorEastAsia"/>
          <w:iCs/>
          <w:szCs w:val="21"/>
        </w:rPr>
        <w:t>，</w:t>
      </w:r>
      <w:r>
        <w:rPr>
          <w:rFonts w:asciiTheme="minorEastAsia" w:hAnsiTheme="minorEastAsia" w:eastAsiaTheme="minorEastAsia"/>
          <w:iCs/>
          <w:szCs w:val="21"/>
        </w:rPr>
        <w:t>检测方法齐备</w:t>
      </w:r>
      <w:r>
        <w:rPr>
          <w:rFonts w:hint="eastAsia" w:asciiTheme="minorEastAsia" w:hAnsiTheme="minorEastAsia" w:eastAsiaTheme="minorEastAsia"/>
          <w:iCs/>
          <w:szCs w:val="21"/>
        </w:rPr>
        <w:t>，具备制定方法标准能力。</w:t>
      </w:r>
    </w:p>
    <w:p>
      <w:pPr>
        <w:spacing w:line="360" w:lineRule="auto"/>
        <w:rPr>
          <w:rFonts w:cs="黑体" w:asciiTheme="minorEastAsia" w:hAnsiTheme="minorEastAsia" w:eastAsiaTheme="minorEastAsia"/>
          <w:kern w:val="0"/>
          <w:szCs w:val="21"/>
        </w:rPr>
      </w:pPr>
      <w:r>
        <w:rPr>
          <w:rFonts w:hint="eastAsia" w:cs="黑体" w:asciiTheme="minorEastAsia" w:hAnsiTheme="minorEastAsia" w:eastAsiaTheme="minorEastAsia"/>
          <w:kern w:val="0"/>
          <w:szCs w:val="21"/>
        </w:rPr>
        <w:t>1.4 拟要解决的主要问题</w:t>
      </w:r>
    </w:p>
    <w:p>
      <w:pPr>
        <w:spacing w:line="360" w:lineRule="auto"/>
        <w:rPr>
          <w:rFonts w:asciiTheme="minorEastAsia" w:hAnsiTheme="minorEastAsia" w:eastAsiaTheme="minorEastAsia"/>
          <w:szCs w:val="21"/>
        </w:rPr>
      </w:pPr>
      <w:r>
        <w:rPr>
          <w:rFonts w:asciiTheme="minorEastAsia" w:hAnsiTheme="minorEastAsia" w:eastAsiaTheme="minorEastAsia"/>
          <w:szCs w:val="21"/>
        </w:rPr>
        <w:t>1.4.</w:t>
      </w:r>
      <w:r>
        <w:rPr>
          <w:rFonts w:hint="eastAsia" w:asciiTheme="minorEastAsia" w:hAnsiTheme="minorEastAsia" w:eastAsiaTheme="minorEastAsia"/>
          <w:szCs w:val="21"/>
        </w:rPr>
        <w:t>1、目前国内粗硒中的含量的检测标准方法不一，特别是因为粗硒中的碲量含量相对较低，无法使用一般使用的碲氧化还原反应滴定法和粗碲中碲的重量分析法，在绝大部分的检测机构检测粗硒中的碲含量使用电感耦合等离子发射光谱法或原子吸收光谱法，而仪器测定相应来说均有准确度相对较低的问题，如使用常规ICP-OES测定10%左右的碲含量的粗硒样品时，绝对误差超过0.5%，相对误差超过了</w:t>
      </w:r>
      <w:r>
        <w:rPr>
          <w:rFonts w:asciiTheme="minorEastAsia" w:hAnsiTheme="minorEastAsia" w:eastAsiaTheme="minorEastAsia"/>
          <w:szCs w:val="21"/>
        </w:rPr>
        <w:t>1</w:t>
      </w:r>
      <w:r>
        <w:rPr>
          <w:rFonts w:hint="eastAsia" w:asciiTheme="minorEastAsia" w:hAnsiTheme="minorEastAsia" w:eastAsiaTheme="minorEastAsia"/>
          <w:szCs w:val="21"/>
        </w:rPr>
        <w:t>0%，对于金属价值超过60万元/t的物料来说，这样的准确度是相对低了，本标准的制定就是为了解决无测定方法的问题和需要。</w:t>
      </w:r>
    </w:p>
    <w:p>
      <w:pPr>
        <w:spacing w:line="360" w:lineRule="auto"/>
        <w:rPr>
          <w:rFonts w:asciiTheme="minorEastAsia" w:hAnsiTheme="minorEastAsia" w:eastAsiaTheme="minorEastAsia"/>
          <w:szCs w:val="21"/>
        </w:rPr>
      </w:pPr>
      <w:r>
        <w:rPr>
          <w:rFonts w:asciiTheme="minorEastAsia" w:hAnsiTheme="minorEastAsia" w:eastAsiaTheme="minorEastAsia"/>
          <w:szCs w:val="21"/>
        </w:rPr>
        <w:t>1.4.</w:t>
      </w:r>
      <w:r>
        <w:rPr>
          <w:rFonts w:hint="eastAsia" w:asciiTheme="minorEastAsia" w:hAnsiTheme="minorEastAsia" w:eastAsiaTheme="minorEastAsia"/>
          <w:szCs w:val="21"/>
        </w:rPr>
        <w:t>2、该标准的制定可以使得生产企业可以准确测定粗硒产品中碲的含量，有助于生产企业了解控制产品质量，为贸易双方及第三方检测机构提供准确的测定方法，提高国内企业的生产水平和检测能力。</w:t>
      </w:r>
    </w:p>
    <w:p>
      <w:pPr>
        <w:spacing w:line="360" w:lineRule="auto"/>
        <w:rPr>
          <w:rFonts w:cs="黑体" w:asciiTheme="minorEastAsia" w:hAnsiTheme="minorEastAsia" w:eastAsiaTheme="minorEastAsia"/>
          <w:szCs w:val="21"/>
        </w:rPr>
      </w:pPr>
      <w:r>
        <w:rPr>
          <w:rFonts w:hint="eastAsia" w:cs="黑体" w:asciiTheme="minorEastAsia" w:hAnsiTheme="minorEastAsia" w:eastAsiaTheme="minorEastAsia"/>
          <w:szCs w:val="21"/>
        </w:rPr>
        <w:t>1.</w:t>
      </w:r>
      <w:r>
        <w:rPr>
          <w:rFonts w:cs="黑体" w:asciiTheme="minorEastAsia" w:hAnsiTheme="minorEastAsia" w:eastAsiaTheme="minorEastAsia"/>
          <w:szCs w:val="21"/>
        </w:rPr>
        <w:t xml:space="preserve">5 </w:t>
      </w:r>
      <w:r>
        <w:rPr>
          <w:rFonts w:hint="eastAsia" w:cs="黑体" w:asciiTheme="minorEastAsia" w:hAnsiTheme="minorEastAsia" w:eastAsiaTheme="minorEastAsia"/>
          <w:szCs w:val="21"/>
        </w:rPr>
        <w:t>国内外标准情况</w:t>
      </w:r>
    </w:p>
    <w:p>
      <w:pPr>
        <w:spacing w:line="360" w:lineRule="auto"/>
        <w:rPr>
          <w:rFonts w:cs="黑体" w:asciiTheme="minorEastAsia" w:hAnsiTheme="minorEastAsia" w:eastAsiaTheme="minorEastAsia"/>
          <w:szCs w:val="21"/>
        </w:rPr>
      </w:pPr>
      <w:r>
        <w:rPr>
          <w:rFonts w:hint="eastAsia" w:cs="黑体" w:asciiTheme="minorEastAsia" w:hAnsiTheme="minorEastAsia" w:eastAsiaTheme="minorEastAsia"/>
          <w:szCs w:val="21"/>
        </w:rPr>
        <w:t xml:space="preserve"> </w:t>
      </w:r>
      <w:r>
        <w:rPr>
          <w:rFonts w:cs="黑体" w:asciiTheme="minorEastAsia" w:hAnsiTheme="minorEastAsia" w:eastAsiaTheme="minorEastAsia"/>
          <w:szCs w:val="21"/>
        </w:rPr>
        <w:t xml:space="preserve">  </w:t>
      </w:r>
      <w:r>
        <w:rPr>
          <w:rFonts w:hint="eastAsia" w:ascii="宋体" w:hAnsi="宋体" w:cs="宋体"/>
          <w:szCs w:val="21"/>
        </w:rPr>
        <w:t>国内外</w:t>
      </w:r>
      <w:r>
        <w:rPr>
          <w:rFonts w:ascii="宋体" w:hAnsi="宋体" w:cs="宋体"/>
          <w:szCs w:val="21"/>
        </w:rPr>
        <w:t>无类似标准，现有的方法为碲量的检测可以参考</w:t>
      </w:r>
      <w:r>
        <w:rPr>
          <w:rFonts w:hint="eastAsia" w:ascii="宋体" w:hAnsi="宋体" w:cs="宋体"/>
          <w:szCs w:val="21"/>
        </w:rPr>
        <w:t>《YS/T1227.1 粗</w:t>
      </w:r>
      <w:r>
        <w:rPr>
          <w:rFonts w:ascii="宋体" w:hAnsi="宋体" w:cs="宋体"/>
          <w:szCs w:val="21"/>
        </w:rPr>
        <w:t>碲化学分析方法</w:t>
      </w:r>
      <w:r>
        <w:rPr>
          <w:rFonts w:hint="eastAsia" w:ascii="宋体" w:hAnsi="宋体" w:cs="宋体"/>
          <w:szCs w:val="21"/>
        </w:rPr>
        <w:t>》</w:t>
      </w:r>
      <w:r>
        <w:rPr>
          <w:rFonts w:ascii="宋体" w:hAnsi="宋体" w:cs="宋体"/>
          <w:szCs w:val="21"/>
        </w:rPr>
        <w:t>及《</w:t>
      </w:r>
      <w:r>
        <w:rPr>
          <w:rFonts w:hint="eastAsia" w:ascii="宋体" w:hAnsi="宋体" w:cs="宋体"/>
          <w:szCs w:val="21"/>
        </w:rPr>
        <w:t>YS/T 227.9</w:t>
      </w:r>
      <w:r>
        <w:rPr>
          <w:rFonts w:ascii="宋体" w:hAnsi="宋体" w:cs="宋体"/>
          <w:szCs w:val="21"/>
        </w:rPr>
        <w:t xml:space="preserve"> </w:t>
      </w:r>
      <w:r>
        <w:rPr>
          <w:rFonts w:hint="eastAsia" w:ascii="宋体" w:hAnsi="宋体" w:cs="宋体"/>
          <w:szCs w:val="21"/>
        </w:rPr>
        <w:t>碲</w:t>
      </w:r>
      <w:r>
        <w:rPr>
          <w:rFonts w:ascii="宋体" w:hAnsi="宋体" w:cs="宋体"/>
          <w:szCs w:val="21"/>
        </w:rPr>
        <w:t>中碲量的</w:t>
      </w:r>
      <w:r>
        <w:rPr>
          <w:rFonts w:hint="eastAsia" w:ascii="宋体" w:hAnsi="宋体" w:cs="宋体"/>
          <w:szCs w:val="21"/>
        </w:rPr>
        <w:t>测定</w:t>
      </w:r>
      <w:r>
        <w:rPr>
          <w:rFonts w:ascii="宋体" w:hAnsi="宋体" w:cs="宋体"/>
          <w:szCs w:val="21"/>
        </w:rPr>
        <w:t>》</w:t>
      </w:r>
      <w:r>
        <w:rPr>
          <w:rFonts w:hint="eastAsia" w:ascii="宋体" w:hAnsi="宋体" w:cs="宋体"/>
          <w:szCs w:val="21"/>
        </w:rPr>
        <w:t>，</w:t>
      </w:r>
      <w:r>
        <w:rPr>
          <w:rFonts w:ascii="宋体" w:hAnsi="宋体" w:cs="宋体"/>
          <w:szCs w:val="21"/>
        </w:rPr>
        <w:t>但粗硒的基体影响</w:t>
      </w:r>
      <w:r>
        <w:rPr>
          <w:rFonts w:hint="eastAsia" w:ascii="宋体" w:hAnsi="宋体" w:cs="宋体"/>
          <w:szCs w:val="21"/>
        </w:rPr>
        <w:t>，</w:t>
      </w:r>
      <w:r>
        <w:rPr>
          <w:rFonts w:ascii="宋体" w:hAnsi="宋体" w:cs="宋体"/>
          <w:szCs w:val="21"/>
        </w:rPr>
        <w:t>这些方法均不能</w:t>
      </w:r>
      <w:r>
        <w:rPr>
          <w:rFonts w:hint="eastAsia" w:ascii="宋体" w:hAnsi="宋体" w:cs="宋体"/>
          <w:szCs w:val="21"/>
        </w:rPr>
        <w:t>准确</w:t>
      </w:r>
      <w:r>
        <w:rPr>
          <w:rFonts w:ascii="宋体" w:hAnsi="宋体" w:cs="宋体"/>
          <w:szCs w:val="21"/>
        </w:rPr>
        <w:t>测定粗硒</w:t>
      </w:r>
      <w:r>
        <w:rPr>
          <w:rFonts w:hint="eastAsia" w:ascii="宋体" w:hAnsi="宋体" w:cs="宋体"/>
          <w:szCs w:val="21"/>
        </w:rPr>
        <w:t>产品</w:t>
      </w:r>
      <w:r>
        <w:rPr>
          <w:rFonts w:ascii="宋体" w:hAnsi="宋体" w:cs="宋体"/>
          <w:szCs w:val="21"/>
        </w:rPr>
        <w:t>中相对较高的碲含量</w:t>
      </w:r>
      <w:r>
        <w:rPr>
          <w:rFonts w:cs="黑体" w:asciiTheme="minorEastAsia" w:hAnsiTheme="minorEastAsia" w:eastAsiaTheme="minorEastAsia"/>
          <w:szCs w:val="21"/>
        </w:rPr>
        <w:t>。</w:t>
      </w:r>
    </w:p>
    <w:p>
      <w:pPr>
        <w:pStyle w:val="58"/>
        <w:numPr>
          <w:ilvl w:val="0"/>
          <w:numId w:val="5"/>
        </w:numPr>
        <w:tabs>
          <w:tab w:val="left" w:pos="432"/>
        </w:tabs>
        <w:spacing w:after="156" w:afterLines="50" w:line="360" w:lineRule="auto"/>
        <w:ind w:firstLineChars="0"/>
        <w:rPr>
          <w:rFonts w:ascii="黑体" w:hAnsi="黑体" w:eastAsia="黑体"/>
          <w:b/>
          <w:bCs/>
          <w:szCs w:val="21"/>
        </w:rPr>
      </w:pPr>
      <w:r>
        <w:rPr>
          <w:rFonts w:hint="eastAsia" w:ascii="黑体" w:hAnsi="黑体" w:eastAsia="黑体"/>
          <w:b/>
          <w:bCs/>
          <w:szCs w:val="21"/>
        </w:rPr>
        <w:t>任务来源</w:t>
      </w:r>
    </w:p>
    <w:p>
      <w:pPr>
        <w:tabs>
          <w:tab w:val="left" w:pos="432"/>
        </w:tabs>
        <w:spacing w:after="156" w:afterLines="50" w:line="360" w:lineRule="auto"/>
        <w:rPr>
          <w:rFonts w:ascii="黑体" w:hAnsi="黑体" w:eastAsia="黑体"/>
          <w:b/>
          <w:bCs/>
          <w:szCs w:val="21"/>
        </w:rPr>
      </w:pPr>
      <w:r>
        <w:rPr>
          <w:rFonts w:hint="eastAsia" w:ascii="宋体" w:hAnsi="宋体" w:cs="宋体"/>
          <w:szCs w:val="21"/>
        </w:rPr>
        <w:t>计划批准文号：</w:t>
      </w:r>
      <w:r>
        <w:rPr>
          <w:color w:val="000000"/>
          <w:kern w:val="0"/>
          <w:sz w:val="22"/>
          <w:lang w:bidi="ar"/>
        </w:rPr>
        <w:t>工信厅科函[2022]94号</w:t>
      </w:r>
      <w:r>
        <w:rPr>
          <w:rFonts w:hint="eastAsia"/>
          <w:color w:val="000000"/>
          <w:kern w:val="0"/>
          <w:sz w:val="22"/>
          <w:lang w:bidi="ar"/>
        </w:rPr>
        <w:t>；</w:t>
      </w:r>
    </w:p>
    <w:p>
      <w:pPr>
        <w:spacing w:line="360" w:lineRule="auto"/>
        <w:rPr>
          <w:rFonts w:ascii="宋体" w:hAnsi="宋体" w:cs="宋体"/>
          <w:szCs w:val="21"/>
        </w:rPr>
      </w:pPr>
      <w:r>
        <w:rPr>
          <w:rFonts w:hint="eastAsia" w:ascii="宋体" w:hAnsi="宋体" w:cs="宋体"/>
          <w:szCs w:val="21"/>
        </w:rPr>
        <w:t>项目编号：</w:t>
      </w:r>
      <w:r>
        <w:rPr>
          <w:color w:val="000000"/>
          <w:kern w:val="0"/>
          <w:sz w:val="22"/>
          <w:lang w:bidi="ar"/>
        </w:rPr>
        <w:t>2022-0443T-YS</w:t>
      </w:r>
      <w:r>
        <w:rPr>
          <w:rFonts w:hint="eastAsia"/>
          <w:color w:val="000000"/>
          <w:kern w:val="0"/>
          <w:sz w:val="22"/>
          <w:lang w:bidi="ar"/>
        </w:rPr>
        <w:t>；</w:t>
      </w:r>
    </w:p>
    <w:p>
      <w:pPr>
        <w:spacing w:line="360" w:lineRule="auto"/>
        <w:rPr>
          <w:color w:val="000000"/>
          <w:kern w:val="0"/>
          <w:sz w:val="22"/>
          <w:lang w:bidi="ar"/>
        </w:rPr>
      </w:pPr>
      <w:r>
        <w:rPr>
          <w:rFonts w:hint="eastAsia" w:ascii="宋体" w:hAnsi="宋体" w:cs="宋体"/>
          <w:szCs w:val="21"/>
        </w:rPr>
        <w:t>项目名称：</w:t>
      </w:r>
      <w:r>
        <w:rPr>
          <w:color w:val="000000"/>
          <w:kern w:val="0"/>
          <w:sz w:val="22"/>
          <w:lang w:bidi="ar"/>
        </w:rPr>
        <w:t>粗硒化学分析方法 第 4 部分： 碲含量的测定 重量法</w:t>
      </w:r>
      <w:r>
        <w:rPr>
          <w:rFonts w:hint="eastAsia"/>
          <w:color w:val="000000"/>
          <w:kern w:val="0"/>
          <w:sz w:val="22"/>
          <w:lang w:bidi="ar"/>
        </w:rPr>
        <w:t>；</w:t>
      </w:r>
    </w:p>
    <w:p>
      <w:pPr>
        <w:spacing w:line="360" w:lineRule="auto"/>
        <w:rPr>
          <w:rFonts w:ascii="宋体" w:hAnsi="宋体" w:cs="宋体"/>
          <w:szCs w:val="21"/>
        </w:rPr>
      </w:pPr>
      <w:r>
        <w:rPr>
          <w:rFonts w:hint="eastAsia" w:ascii="宋体" w:hAnsi="宋体" w:cs="宋体"/>
          <w:szCs w:val="21"/>
        </w:rPr>
        <w:t>计划完成年限：2023年。</w:t>
      </w:r>
    </w:p>
    <w:p>
      <w:pPr>
        <w:spacing w:line="360" w:lineRule="auto"/>
        <w:rPr>
          <w:rFonts w:ascii="黑体" w:hAnsi="黑体" w:eastAsia="黑体" w:cs="黑体"/>
          <w:szCs w:val="21"/>
        </w:rPr>
      </w:pPr>
      <w:r>
        <w:rPr>
          <w:rFonts w:hint="eastAsia" w:ascii="黑体" w:hAnsi="黑体" w:eastAsia="黑体" w:cs="黑体"/>
          <w:szCs w:val="21"/>
        </w:rPr>
        <w:t>3、起草单位、起草人及其所作工作</w:t>
      </w:r>
    </w:p>
    <w:p>
      <w:pPr>
        <w:spacing w:line="360" w:lineRule="auto"/>
        <w:ind w:firstLine="480" w:firstLineChars="200"/>
        <w:rPr>
          <w:rFonts w:ascii="宋体" w:hAnsi="宋体" w:cs="宋体"/>
          <w:szCs w:val="21"/>
        </w:rPr>
      </w:pPr>
      <w:r>
        <w:rPr>
          <w:rFonts w:ascii="宋体" w:hAnsi="宋体"/>
          <w:sz w:val="24"/>
        </w:rPr>
        <w:t>202</w:t>
      </w:r>
      <w:r>
        <w:rPr>
          <w:rFonts w:hint="eastAsia" w:ascii="宋体" w:hAnsi="宋体"/>
          <w:sz w:val="24"/>
        </w:rPr>
        <w:t>2</w:t>
      </w:r>
      <w:r>
        <w:rPr>
          <w:rFonts w:ascii="宋体" w:hAnsi="宋体"/>
          <w:sz w:val="24"/>
        </w:rPr>
        <w:t>年</w:t>
      </w:r>
      <w:r>
        <w:rPr>
          <w:rFonts w:hint="eastAsia" w:ascii="宋体" w:hAnsi="宋体"/>
          <w:sz w:val="24"/>
        </w:rPr>
        <w:t>7</w:t>
      </w:r>
      <w:r>
        <w:rPr>
          <w:rFonts w:ascii="宋体" w:hAnsi="宋体"/>
          <w:sz w:val="24"/>
        </w:rPr>
        <w:t>月</w:t>
      </w:r>
      <w:r>
        <w:rPr>
          <w:rFonts w:hint="eastAsia" w:ascii="宋体" w:hAnsi="宋体"/>
          <w:sz w:val="24"/>
        </w:rPr>
        <w:t>22日</w:t>
      </w:r>
      <w:r>
        <w:rPr>
          <w:rFonts w:ascii="宋体" w:hAnsi="宋体"/>
          <w:sz w:val="24"/>
        </w:rPr>
        <w:t>，全国有色金属标准化技术委员会</w:t>
      </w:r>
      <w:r>
        <w:rPr>
          <w:rFonts w:hint="eastAsia" w:ascii="宋体" w:hAnsi="宋体"/>
          <w:sz w:val="24"/>
        </w:rPr>
        <w:t>在河南省洛阳市</w:t>
      </w:r>
      <w:r>
        <w:rPr>
          <w:rFonts w:ascii="宋体" w:hAnsi="宋体"/>
          <w:sz w:val="24"/>
        </w:rPr>
        <w:t>召开了</w:t>
      </w:r>
      <w:r>
        <w:rPr>
          <w:rFonts w:hint="eastAsia" w:ascii="宋体" w:hAnsi="宋体"/>
          <w:sz w:val="24"/>
        </w:rPr>
        <w:t>《粗硒化学分析方法 第4部分：碲含量的测定 重量法》等5项行业标准任务落实会议</w:t>
      </w:r>
      <w:r>
        <w:rPr>
          <w:rFonts w:hint="eastAsia" w:ascii="宋体" w:hAnsi="宋体" w:cs="宋体"/>
          <w:szCs w:val="21"/>
        </w:rPr>
        <w:t>，根据各起草单位的实际情况和要求，确定了的起草单位和验证</w:t>
      </w:r>
      <w:r>
        <w:rPr>
          <w:rFonts w:ascii="宋体" w:hAnsi="宋体" w:cs="宋体"/>
          <w:szCs w:val="21"/>
        </w:rPr>
        <w:t>单位</w:t>
      </w:r>
      <w:r>
        <w:rPr>
          <w:rFonts w:hint="eastAsia" w:ascii="宋体" w:hAnsi="宋体" w:cs="宋体"/>
          <w:szCs w:val="21"/>
        </w:rPr>
        <w:t>见</w:t>
      </w:r>
      <w:r>
        <w:rPr>
          <w:rFonts w:ascii="宋体" w:hAnsi="宋体" w:cs="宋体"/>
          <w:szCs w:val="21"/>
        </w:rPr>
        <w:t>下表</w:t>
      </w:r>
      <w:r>
        <w:rPr>
          <w:rFonts w:hint="eastAsia" w:ascii="宋体" w:hAnsi="宋体" w:cs="宋体"/>
          <w:szCs w:val="21"/>
        </w:rPr>
        <w:t>1。</w:t>
      </w:r>
    </w:p>
    <w:p>
      <w:pPr>
        <w:spacing w:line="360" w:lineRule="auto"/>
        <w:jc w:val="center"/>
        <w:rPr>
          <w:rFonts w:cs="宋体" w:asciiTheme="minorEastAsia" w:hAnsiTheme="minorEastAsia" w:eastAsiaTheme="minorEastAsia"/>
          <w:szCs w:val="21"/>
        </w:rPr>
      </w:pPr>
      <w:r>
        <w:rPr>
          <w:rFonts w:hint="eastAsia" w:cs="黑体" w:asciiTheme="minorEastAsia" w:hAnsiTheme="minorEastAsia" w:eastAsiaTheme="minorEastAsia"/>
          <w:szCs w:val="21"/>
        </w:rPr>
        <w:t>表1  起草单位和验证</w:t>
      </w:r>
      <w:r>
        <w:rPr>
          <w:rFonts w:cs="黑体" w:asciiTheme="minorEastAsia" w:hAnsiTheme="minorEastAsia" w:eastAsiaTheme="minorEastAsia"/>
          <w:szCs w:val="21"/>
        </w:rPr>
        <w:t>单位</w:t>
      </w:r>
    </w:p>
    <w:tbl>
      <w:tblPr>
        <w:tblStyle w:val="2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079"/>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序号</w:t>
            </w:r>
          </w:p>
        </w:tc>
        <w:tc>
          <w:tcPr>
            <w:tcW w:w="4079"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单位名称</w:t>
            </w:r>
          </w:p>
        </w:tc>
        <w:tc>
          <w:tcPr>
            <w:tcW w:w="3762"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起草或</w:t>
            </w:r>
            <w:r>
              <w:rPr>
                <w:rFonts w:cs="黑体" w:asciiTheme="minorEastAsia" w:hAnsiTheme="minorEastAsia" w:eastAsiaTheme="minorEastAsia"/>
                <w:kern w:val="0"/>
                <w:sz w:val="20"/>
                <w:szCs w:val="21"/>
              </w:rPr>
              <w:t>验证情况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w:t>
            </w:r>
          </w:p>
        </w:tc>
        <w:tc>
          <w:tcPr>
            <w:tcW w:w="4079"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安徽光智科技有限公司</w:t>
            </w:r>
          </w:p>
        </w:tc>
        <w:tc>
          <w:tcPr>
            <w:tcW w:w="3762"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2</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北矿检测技术有限公司</w:t>
            </w:r>
          </w:p>
        </w:tc>
        <w:tc>
          <w:tcPr>
            <w:tcW w:w="3762" w:type="dxa"/>
          </w:tcPr>
          <w:p>
            <w:pPr>
              <w:ind w:firstLine="1200" w:firstLineChars="6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3</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深圳市中金岭南有色金属股份有限公司</w:t>
            </w:r>
          </w:p>
        </w:tc>
        <w:tc>
          <w:tcPr>
            <w:tcW w:w="3762" w:type="dxa"/>
          </w:tcPr>
          <w:p>
            <w:pPr>
              <w:ind w:firstLine="1200" w:firstLineChars="6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4</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紫金铜业有限公司</w:t>
            </w:r>
          </w:p>
        </w:tc>
        <w:tc>
          <w:tcPr>
            <w:tcW w:w="3762" w:type="dxa"/>
          </w:tcPr>
          <w:p>
            <w:pPr>
              <w:ind w:firstLine="1400" w:firstLineChars="7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5</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铜陵有色金属股份有限公司</w:t>
            </w:r>
          </w:p>
        </w:tc>
        <w:tc>
          <w:tcPr>
            <w:tcW w:w="3762" w:type="dxa"/>
          </w:tcPr>
          <w:p>
            <w:pPr>
              <w:ind w:firstLine="1400" w:firstLineChars="7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6</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广东省科学院分析测试中心</w:t>
            </w:r>
          </w:p>
        </w:tc>
        <w:tc>
          <w:tcPr>
            <w:tcW w:w="3762" w:type="dxa"/>
          </w:tcPr>
          <w:p>
            <w:pPr>
              <w:ind w:firstLine="1400" w:firstLineChars="7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7</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江西铜业股份有限公司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8</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国标（北京）检验认证有限公司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9</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大冶有色设计研究院有限公司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10</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山东恒邦冶炼股份有限公司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11</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郴州市商品质量监督检验所</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12</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中国检验认证集团广西有限公司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13</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山西北方铜业股份有限公司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w:t>
            </w:r>
            <w:r>
              <w:rPr>
                <w:rFonts w:cs="宋体" w:asciiTheme="minorEastAsia" w:hAnsiTheme="minorEastAsia" w:eastAsiaTheme="minorEastAsia"/>
                <w:kern w:val="0"/>
                <w:sz w:val="20"/>
                <w:szCs w:val="21"/>
              </w:rPr>
              <w:t>4</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中国有色桂林矿产地质研究院有限公司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15</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kern w:val="0"/>
                <w:sz w:val="20"/>
                <w:szCs w:val="20"/>
              </w:rPr>
              <w:t>昆明</w:t>
            </w:r>
            <w:r>
              <w:rPr>
                <w:kern w:val="0"/>
                <w:sz w:val="20"/>
                <w:szCs w:val="20"/>
              </w:rPr>
              <w:t>冶金研究院有限公司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16</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0"/>
              </w:rPr>
            </w:pPr>
            <w:r>
              <w:rPr>
                <w:kern w:val="0"/>
                <w:sz w:val="20"/>
                <w:szCs w:val="20"/>
              </w:rPr>
              <w:t>广西南丹南方金属有限公司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bl>
    <w:p>
      <w:pPr>
        <w:spacing w:before="312" w:beforeLines="100" w:line="360" w:lineRule="auto"/>
        <w:rPr>
          <w:rFonts w:ascii="黑体" w:hAnsi="黑体" w:eastAsia="黑体" w:cs="黑体"/>
          <w:szCs w:val="21"/>
        </w:rPr>
      </w:pPr>
      <w:r>
        <w:rPr>
          <w:rFonts w:ascii="黑体" w:hAnsi="黑体" w:eastAsia="黑体" w:cs="黑体"/>
          <w:szCs w:val="21"/>
        </w:rPr>
        <w:t>4</w:t>
      </w:r>
      <w:r>
        <w:rPr>
          <w:rFonts w:hint="eastAsia" w:ascii="黑体" w:hAnsi="黑体" w:eastAsia="黑体" w:cs="黑体"/>
          <w:szCs w:val="21"/>
        </w:rPr>
        <w:t>、主要工作过程</w:t>
      </w:r>
    </w:p>
    <w:p>
      <w:pPr>
        <w:autoSpaceDE w:val="0"/>
        <w:autoSpaceDN w:val="0"/>
        <w:spacing w:line="360" w:lineRule="auto"/>
        <w:jc w:val="left"/>
        <w:rPr>
          <w:rFonts w:ascii="黑体" w:hAnsi="黑体" w:eastAsia="黑体" w:cs="黑体"/>
          <w:kern w:val="0"/>
          <w:szCs w:val="21"/>
        </w:rPr>
      </w:pPr>
      <w:r>
        <w:rPr>
          <w:rFonts w:hint="eastAsia" w:ascii="黑体" w:hAnsi="黑体" w:eastAsia="黑体" w:cs="黑体"/>
          <w:kern w:val="0"/>
          <w:szCs w:val="21"/>
        </w:rPr>
        <w:t>4.1 主要工作过程</w:t>
      </w:r>
    </w:p>
    <w:p>
      <w:pPr>
        <w:autoSpaceDE w:val="0"/>
        <w:autoSpaceDN w:val="0"/>
        <w:spacing w:line="360" w:lineRule="auto"/>
        <w:ind w:firstLine="420" w:firstLineChars="200"/>
        <w:jc w:val="left"/>
        <w:rPr>
          <w:rFonts w:ascii="宋体" w:hAnsi="Arial"/>
          <w:kern w:val="0"/>
          <w:szCs w:val="21"/>
        </w:rPr>
      </w:pPr>
      <w:r>
        <w:rPr>
          <w:rFonts w:hint="eastAsia" w:ascii="宋体" w:hAnsi="宋体"/>
          <w:kern w:val="0"/>
          <w:szCs w:val="21"/>
        </w:rPr>
        <w:t>主要工作过程（内容与步骤）见表2。</w:t>
      </w:r>
    </w:p>
    <w:p>
      <w:pPr>
        <w:autoSpaceDE w:val="0"/>
        <w:autoSpaceDN w:val="0"/>
        <w:spacing w:line="360" w:lineRule="auto"/>
        <w:ind w:firstLine="2310" w:firstLineChars="1100"/>
        <w:rPr>
          <w:rFonts w:ascii="黑体" w:hAnsi="黑体" w:eastAsia="黑体"/>
          <w:kern w:val="0"/>
          <w:szCs w:val="21"/>
        </w:rPr>
      </w:pPr>
      <w:r>
        <w:rPr>
          <w:rFonts w:hint="eastAsia" w:ascii="黑体" w:hAnsi="黑体" w:eastAsia="黑体"/>
          <w:kern w:val="0"/>
          <w:szCs w:val="21"/>
        </w:rPr>
        <w:t>表2  主要工作内容与步骤</w:t>
      </w:r>
    </w:p>
    <w:tbl>
      <w:tblPr>
        <w:tblStyle w:val="2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4255"/>
        <w:gridCol w:w="29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3" w:hRule="atLeast"/>
          <w:jc w:val="center"/>
        </w:trPr>
        <w:tc>
          <w:tcPr>
            <w:tcW w:w="102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Arial"/>
                <w:color w:val="000000"/>
                <w:kern w:val="0"/>
                <w:sz w:val="18"/>
                <w:szCs w:val="18"/>
              </w:rPr>
            </w:pPr>
            <w:r>
              <w:rPr>
                <w:rFonts w:hint="eastAsia" w:ascii="宋体" w:hAnsi="宋体"/>
                <w:b/>
                <w:color w:val="000000"/>
                <w:kern w:val="0"/>
                <w:sz w:val="18"/>
                <w:szCs w:val="18"/>
              </w:rPr>
              <w:t>编号</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Arial"/>
                <w:color w:val="000000"/>
                <w:kern w:val="0"/>
                <w:sz w:val="18"/>
                <w:szCs w:val="18"/>
              </w:rPr>
            </w:pPr>
            <w:r>
              <w:rPr>
                <w:rFonts w:hint="eastAsia" w:ascii="宋体" w:hAnsi="宋体"/>
                <w:b/>
                <w:color w:val="000000"/>
                <w:kern w:val="0"/>
                <w:sz w:val="18"/>
                <w:szCs w:val="18"/>
              </w:rPr>
              <w:t>工作内容</w:t>
            </w:r>
          </w:p>
        </w:tc>
        <w:tc>
          <w:tcPr>
            <w:tcW w:w="293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Arial"/>
                <w:color w:val="000000"/>
                <w:kern w:val="0"/>
                <w:sz w:val="18"/>
                <w:szCs w:val="18"/>
              </w:rPr>
            </w:pPr>
            <w:r>
              <w:rPr>
                <w:rFonts w:hint="eastAsia" w:ascii="宋体" w:hAnsi="宋体"/>
                <w:b/>
                <w:color w:val="000000"/>
                <w:kern w:val="0"/>
                <w:sz w:val="18"/>
                <w:szCs w:val="18"/>
              </w:rPr>
              <w:t>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102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1</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有色金属标委会认证立项</w:t>
            </w:r>
          </w:p>
        </w:tc>
        <w:tc>
          <w:tcPr>
            <w:tcW w:w="293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2021-</w:t>
            </w:r>
            <w:r>
              <w:rPr>
                <w:rFonts w:hint="eastAsia" w:ascii="STSong-Light" w:hAnsi="STSong-Light"/>
                <w:color w:val="000000"/>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102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2</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任务落实会议（网络会议）</w:t>
            </w:r>
          </w:p>
        </w:tc>
        <w:tc>
          <w:tcPr>
            <w:tcW w:w="293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2022</w:t>
            </w:r>
            <w:r>
              <w:rPr>
                <w:rFonts w:hint="eastAsia" w:ascii="STSong-Light" w:hAnsi="STSong-Light"/>
                <w:color w:val="000000"/>
                <w:kern w:val="0"/>
                <w:sz w:val="18"/>
                <w:szCs w:val="18"/>
              </w:rPr>
              <w:t>-</w:t>
            </w:r>
            <w:r>
              <w:rPr>
                <w:rFonts w:ascii="STSong-Light" w:hAnsi="STSong-Light"/>
                <w:color w:val="000000"/>
                <w:kern w:val="0"/>
                <w:sz w:val="18"/>
                <w:szCs w:val="18"/>
              </w:rPr>
              <w:t>7-22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102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3</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样品</w:t>
            </w:r>
            <w:r>
              <w:rPr>
                <w:rFonts w:ascii="宋体" w:hAnsi="宋体"/>
                <w:color w:val="000000"/>
                <w:kern w:val="0"/>
                <w:sz w:val="18"/>
                <w:szCs w:val="18"/>
              </w:rPr>
              <w:t>准备</w:t>
            </w:r>
          </w:p>
        </w:tc>
        <w:tc>
          <w:tcPr>
            <w:tcW w:w="293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202</w:t>
            </w:r>
            <w:r>
              <w:rPr>
                <w:rFonts w:ascii="STSong-Light" w:hAnsi="STSong-Light"/>
                <w:color w:val="000000"/>
                <w:kern w:val="0"/>
                <w:sz w:val="18"/>
                <w:szCs w:val="18"/>
              </w:rPr>
              <w:t>3</w:t>
            </w:r>
            <w:r>
              <w:rPr>
                <w:rFonts w:hint="eastAsia" w:ascii="STSong-Light" w:hAnsi="STSong-Light"/>
                <w:color w:val="000000"/>
                <w:kern w:val="0"/>
                <w:sz w:val="18"/>
                <w:szCs w:val="18"/>
              </w:rPr>
              <w:t>-04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102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4</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起草</w:t>
            </w:r>
            <w:r>
              <w:rPr>
                <w:rFonts w:ascii="宋体" w:hAnsi="宋体"/>
                <w:color w:val="000000"/>
                <w:kern w:val="0"/>
                <w:sz w:val="18"/>
                <w:szCs w:val="18"/>
              </w:rPr>
              <w:t>单位</w:t>
            </w:r>
            <w:r>
              <w:rPr>
                <w:rFonts w:hint="eastAsia" w:ascii="宋体" w:hAnsi="宋体"/>
                <w:color w:val="000000"/>
                <w:kern w:val="0"/>
                <w:sz w:val="18"/>
                <w:szCs w:val="18"/>
              </w:rPr>
              <w:t>精密度</w:t>
            </w:r>
            <w:r>
              <w:rPr>
                <w:rFonts w:ascii="宋体" w:hAnsi="宋体"/>
                <w:color w:val="000000"/>
                <w:kern w:val="0"/>
                <w:sz w:val="18"/>
                <w:szCs w:val="18"/>
              </w:rPr>
              <w:t>试验</w:t>
            </w:r>
            <w:r>
              <w:rPr>
                <w:rFonts w:hint="eastAsia" w:ascii="宋体" w:hAnsi="宋体"/>
                <w:color w:val="000000"/>
                <w:kern w:val="0"/>
                <w:sz w:val="18"/>
                <w:szCs w:val="18"/>
              </w:rPr>
              <w:t>及</w:t>
            </w:r>
            <w:r>
              <w:rPr>
                <w:rFonts w:ascii="宋体" w:hAnsi="宋体"/>
                <w:color w:val="000000"/>
                <w:kern w:val="0"/>
                <w:sz w:val="18"/>
                <w:szCs w:val="18"/>
              </w:rPr>
              <w:t>试验报告</w:t>
            </w:r>
            <w:r>
              <w:rPr>
                <w:rFonts w:hint="eastAsia" w:ascii="宋体" w:hAnsi="宋体"/>
                <w:color w:val="000000"/>
                <w:kern w:val="0"/>
                <w:sz w:val="18"/>
                <w:szCs w:val="18"/>
              </w:rPr>
              <w:t>提出，发各家验证单位</w:t>
            </w:r>
          </w:p>
        </w:tc>
        <w:tc>
          <w:tcPr>
            <w:tcW w:w="293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2023-05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102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5</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独立实验室验证（一验）</w:t>
            </w:r>
          </w:p>
          <w:p>
            <w:pPr>
              <w:autoSpaceDE w:val="0"/>
              <w:autoSpaceDN w:val="0"/>
              <w:jc w:val="center"/>
              <w:rPr>
                <w:rFonts w:ascii="STSong-Light" w:hAnsi="Arial"/>
                <w:color w:val="000000"/>
                <w:kern w:val="0"/>
                <w:sz w:val="18"/>
                <w:szCs w:val="18"/>
              </w:rPr>
            </w:pPr>
            <w:r>
              <w:rPr>
                <w:rFonts w:hint="eastAsia" w:ascii="宋体" w:hAnsi="宋体"/>
                <w:color w:val="000000"/>
                <w:kern w:val="0"/>
                <w:sz w:val="18"/>
                <w:szCs w:val="18"/>
              </w:rPr>
              <w:t>实验室间协同试验（精密度试验），形成预审稿</w:t>
            </w:r>
          </w:p>
        </w:tc>
        <w:tc>
          <w:tcPr>
            <w:tcW w:w="293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2023-</w:t>
            </w:r>
            <w:r>
              <w:rPr>
                <w:rFonts w:hint="eastAsia" w:ascii="STSong-Light" w:hAnsi="STSong-Light"/>
                <w:color w:val="000000"/>
                <w:kern w:val="0"/>
                <w:sz w:val="18"/>
                <w:szCs w:val="18"/>
              </w:rPr>
              <w:t>0</w:t>
            </w:r>
            <w:r>
              <w:rPr>
                <w:rFonts w:ascii="STSong-Light" w:hAnsi="STSong-Light"/>
                <w:color w:val="000000"/>
                <w:kern w:val="0"/>
                <w:sz w:val="18"/>
                <w:szCs w:val="18"/>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1024"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hint="eastAsia" w:ascii="STSong-Light" w:hAnsi="STSong-Light"/>
                <w:color w:val="000000"/>
                <w:kern w:val="0"/>
                <w:sz w:val="18"/>
                <w:szCs w:val="18"/>
              </w:rPr>
              <w:t>6</w:t>
            </w:r>
          </w:p>
        </w:tc>
        <w:tc>
          <w:tcPr>
            <w:tcW w:w="4255"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宋体" w:hAnsi="宋体"/>
                <w:color w:val="000000"/>
                <w:kern w:val="0"/>
                <w:sz w:val="18"/>
                <w:szCs w:val="18"/>
              </w:rPr>
            </w:pPr>
            <w:r>
              <w:rPr>
                <w:rFonts w:hint="eastAsia" w:ascii="宋体" w:hAnsi="宋体"/>
                <w:color w:val="000000"/>
                <w:kern w:val="0"/>
                <w:sz w:val="18"/>
                <w:szCs w:val="18"/>
              </w:rPr>
              <w:t>202</w:t>
            </w:r>
            <w:r>
              <w:rPr>
                <w:rFonts w:ascii="宋体" w:hAnsi="宋体"/>
                <w:color w:val="000000"/>
                <w:kern w:val="0"/>
                <w:sz w:val="18"/>
                <w:szCs w:val="18"/>
              </w:rPr>
              <w:t>3</w:t>
            </w:r>
            <w:r>
              <w:rPr>
                <w:rFonts w:hint="eastAsia" w:ascii="宋体" w:hAnsi="宋体"/>
                <w:color w:val="000000"/>
                <w:kern w:val="0"/>
                <w:sz w:val="18"/>
                <w:szCs w:val="18"/>
              </w:rPr>
              <w:t>年6月在沈阳举行标准预审会议</w:t>
            </w:r>
            <w:r>
              <w:rPr>
                <w:rFonts w:ascii="宋体" w:hAnsi="宋体"/>
                <w:color w:val="000000"/>
                <w:kern w:val="0"/>
                <w:sz w:val="18"/>
                <w:szCs w:val="18"/>
              </w:rPr>
              <w:t xml:space="preserve"> </w:t>
            </w:r>
          </w:p>
        </w:tc>
        <w:tc>
          <w:tcPr>
            <w:tcW w:w="2938" w:type="dxa"/>
            <w:tcBorders>
              <w:top w:val="single" w:color="000000" w:sz="4" w:space="0"/>
              <w:left w:val="single" w:color="000000" w:sz="4" w:space="0"/>
              <w:bottom w:val="single" w:color="000000" w:sz="4" w:space="0"/>
              <w:right w:val="single" w:color="000000" w:sz="4" w:space="0"/>
              <w:tl2br w:val="nil"/>
              <w:tr2bl w:val="nil"/>
            </w:tcBorders>
            <w:shd w:val="clear" w:color="auto" w:fill="FFFFFF"/>
            <w:vAlign w:val="center"/>
          </w:tcPr>
          <w:p>
            <w:pPr>
              <w:autoSpaceDE w:val="0"/>
              <w:autoSpaceDN w:val="0"/>
              <w:jc w:val="center"/>
              <w:rPr>
                <w:rFonts w:ascii="STSong-Light" w:hAnsi="STSong-Light"/>
                <w:color w:val="000000"/>
                <w:kern w:val="0"/>
                <w:sz w:val="18"/>
                <w:szCs w:val="18"/>
              </w:rPr>
            </w:pPr>
            <w:r>
              <w:rPr>
                <w:rFonts w:ascii="STSong-Light" w:hAnsi="STSong-Light"/>
                <w:color w:val="000000"/>
                <w:kern w:val="0"/>
                <w:sz w:val="18"/>
                <w:szCs w:val="18"/>
              </w:rPr>
              <w:t>2023-6</w:t>
            </w:r>
          </w:p>
        </w:tc>
      </w:tr>
    </w:tbl>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4.2 精密度试验</w:t>
      </w:r>
    </w:p>
    <w:p>
      <w:pPr>
        <w:spacing w:before="156" w:beforeLines="50" w:after="156" w:afterLines="50" w:line="360" w:lineRule="auto"/>
        <w:ind w:firstLine="420" w:firstLineChars="200"/>
        <w:rPr>
          <w:rFonts w:ascii="宋体" w:hAnsi="宋体"/>
          <w:szCs w:val="21"/>
        </w:rPr>
      </w:pPr>
      <w:r>
        <w:rPr>
          <w:rFonts w:hint="eastAsia" w:ascii="宋体" w:hAnsi="宋体"/>
          <w:szCs w:val="21"/>
        </w:rPr>
        <w:t>在精密度试验方面，选择4个粗硒</w:t>
      </w:r>
      <w:r>
        <w:rPr>
          <w:rFonts w:ascii="宋体" w:hAnsi="宋体"/>
          <w:szCs w:val="21"/>
        </w:rPr>
        <w:t>样品</w:t>
      </w:r>
      <w:r>
        <w:rPr>
          <w:rFonts w:hint="eastAsia" w:ascii="宋体" w:hAnsi="宋体"/>
          <w:szCs w:val="21"/>
        </w:rPr>
        <w:t>进行精密度试验，依据GB/T 6379.2-2004测量方法与结果的准确度（正确度与精密度）对精密度试验数据进行了处理，得出重复性限和再现性限见表3和</w:t>
      </w:r>
      <w:r>
        <w:rPr>
          <w:rFonts w:ascii="宋体" w:hAnsi="宋体"/>
          <w:szCs w:val="21"/>
        </w:rPr>
        <w:t>表</w:t>
      </w:r>
      <w:r>
        <w:rPr>
          <w:rFonts w:hint="eastAsia" w:ascii="宋体" w:hAnsi="宋体"/>
          <w:szCs w:val="21"/>
        </w:rPr>
        <w:t>4。</w:t>
      </w:r>
    </w:p>
    <w:p>
      <w:pPr>
        <w:spacing w:line="300" w:lineRule="exact"/>
        <w:jc w:val="left"/>
        <w:rPr>
          <w:rFonts w:ascii="宋体" w:hAnsi="宋体"/>
          <w:bCs/>
          <w:szCs w:val="21"/>
        </w:rPr>
      </w:pPr>
      <w:r>
        <w:rPr>
          <w:rFonts w:hint="eastAsia" w:ascii="宋体" w:hAnsi="宋体"/>
          <w:bCs/>
          <w:szCs w:val="21"/>
        </w:rPr>
        <w:t>4.2.1重复性限</w:t>
      </w:r>
    </w:p>
    <w:p>
      <w:pPr>
        <w:spacing w:line="300" w:lineRule="exact"/>
        <w:ind w:firstLine="420" w:firstLineChars="200"/>
        <w:jc w:val="left"/>
        <w:rPr>
          <w:rFonts w:ascii="宋体" w:hAnsi="宋体"/>
          <w:szCs w:val="21"/>
        </w:rPr>
      </w:pPr>
      <w:r>
        <w:rPr>
          <w:rFonts w:hint="eastAsia" w:ascii="宋体" w:hAnsi="宋体"/>
          <w:szCs w:val="21"/>
        </w:rPr>
        <w:t>在重复性条件下获得两次独立测试结果的测定值，在以下给出的平均值范围内，这两个测试结果的绝对差值不大于重复性限（r），以大于重复性限（r）的情况不超过5 %为前提，重复性限(r)按表3数据采用线性内插法求得。</w:t>
      </w:r>
    </w:p>
    <w:p>
      <w:pPr>
        <w:spacing w:line="300" w:lineRule="exact"/>
        <w:jc w:val="center"/>
        <w:rPr>
          <w:rFonts w:ascii="宋体" w:hAnsi="宋体"/>
          <w:bCs/>
          <w:szCs w:val="21"/>
        </w:rPr>
      </w:pPr>
    </w:p>
    <w:p>
      <w:pPr>
        <w:spacing w:line="300" w:lineRule="exact"/>
        <w:jc w:val="center"/>
        <w:rPr>
          <w:rFonts w:ascii="宋体" w:hAnsi="宋体"/>
          <w:bCs/>
          <w:szCs w:val="21"/>
        </w:rPr>
      </w:pPr>
    </w:p>
    <w:p>
      <w:pPr>
        <w:spacing w:line="300" w:lineRule="exact"/>
        <w:jc w:val="center"/>
        <w:rPr>
          <w:rFonts w:ascii="宋体" w:hAnsi="宋体"/>
          <w:bCs/>
          <w:szCs w:val="21"/>
        </w:rPr>
      </w:pPr>
      <w:r>
        <w:rPr>
          <w:rFonts w:hint="eastAsia" w:ascii="宋体" w:hAnsi="宋体"/>
          <w:bCs/>
          <w:szCs w:val="21"/>
        </w:rPr>
        <w:t>表3 重复性</w:t>
      </w:r>
    </w:p>
    <w:tbl>
      <w:tblPr>
        <w:tblStyle w:val="23"/>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1748"/>
        <w:gridCol w:w="1748"/>
        <w:gridCol w:w="1748"/>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shd w:val="clear" w:color="auto" w:fill="auto"/>
          </w:tcPr>
          <w:p>
            <w:pPr>
              <w:jc w:val="center"/>
              <w:rPr>
                <w:rFonts w:eastAsia="黑体"/>
                <w:szCs w:val="21"/>
              </w:rPr>
            </w:pPr>
            <w:r>
              <w:rPr>
                <w:i/>
                <w:szCs w:val="21"/>
              </w:rPr>
              <w:t>W</w:t>
            </w:r>
            <w:r>
              <w:rPr>
                <w:szCs w:val="21"/>
              </w:rPr>
              <w:t>/</w:t>
            </w:r>
            <w:r>
              <w:rPr>
                <w:rFonts w:hint="eastAsia"/>
                <w:szCs w:val="21"/>
              </w:rPr>
              <w:t xml:space="preserve"> </w:t>
            </w:r>
            <w:r>
              <w:rPr>
                <w:rFonts w:hint="eastAsia"/>
                <w:color w:val="000000"/>
                <w:szCs w:val="21"/>
              </w:rPr>
              <w:t>%</w:t>
            </w:r>
          </w:p>
        </w:tc>
        <w:tc>
          <w:tcPr>
            <w:tcW w:w="1748" w:type="dxa"/>
            <w:vAlign w:val="center"/>
          </w:tcPr>
          <w:p>
            <w:pPr>
              <w:jc w:val="center"/>
              <w:rPr>
                <w:rFonts w:ascii="宋体" w:hAnsi="宋体"/>
                <w:bCs/>
                <w:szCs w:val="21"/>
              </w:rPr>
            </w:pPr>
            <w:r>
              <w:rPr>
                <w:rFonts w:ascii="宋体" w:hAnsi="宋体"/>
                <w:bCs/>
                <w:szCs w:val="21"/>
              </w:rPr>
              <w:t>4.97</w:t>
            </w:r>
          </w:p>
        </w:tc>
        <w:tc>
          <w:tcPr>
            <w:tcW w:w="1748" w:type="dxa"/>
            <w:vAlign w:val="center"/>
          </w:tcPr>
          <w:p>
            <w:pPr>
              <w:jc w:val="center"/>
              <w:rPr>
                <w:rFonts w:ascii="宋体" w:hAnsi="宋体"/>
                <w:bCs/>
                <w:szCs w:val="21"/>
              </w:rPr>
            </w:pPr>
            <w:r>
              <w:rPr>
                <w:rFonts w:ascii="宋体" w:hAnsi="宋体"/>
                <w:bCs/>
                <w:szCs w:val="21"/>
              </w:rPr>
              <w:t>9.89</w:t>
            </w:r>
          </w:p>
        </w:tc>
        <w:tc>
          <w:tcPr>
            <w:tcW w:w="1748" w:type="dxa"/>
            <w:vAlign w:val="center"/>
          </w:tcPr>
          <w:p>
            <w:pPr>
              <w:jc w:val="center"/>
              <w:rPr>
                <w:rFonts w:ascii="宋体" w:hAnsi="宋体"/>
                <w:bCs/>
                <w:szCs w:val="21"/>
              </w:rPr>
            </w:pPr>
            <w:r>
              <w:rPr>
                <w:rFonts w:ascii="宋体" w:hAnsi="宋体"/>
                <w:bCs/>
                <w:szCs w:val="21"/>
              </w:rPr>
              <w:t>14.81</w:t>
            </w:r>
          </w:p>
        </w:tc>
        <w:tc>
          <w:tcPr>
            <w:tcW w:w="1510" w:type="dxa"/>
            <w:vAlign w:val="center"/>
          </w:tcPr>
          <w:p>
            <w:pPr>
              <w:jc w:val="center"/>
              <w:rPr>
                <w:rFonts w:ascii="宋体" w:hAnsi="宋体"/>
                <w:bCs/>
                <w:szCs w:val="21"/>
              </w:rPr>
            </w:pPr>
            <w:r>
              <w:rPr>
                <w:rFonts w:ascii="宋体" w:hAnsi="宋体"/>
                <w:bCs/>
                <w:szCs w:val="21"/>
              </w:rPr>
              <w:t>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shd w:val="clear" w:color="auto" w:fill="auto"/>
          </w:tcPr>
          <w:p>
            <w:pPr>
              <w:jc w:val="center"/>
              <w:rPr>
                <w:rFonts w:eastAsia="黑体"/>
                <w:szCs w:val="21"/>
              </w:rPr>
            </w:pPr>
            <w:r>
              <w:rPr>
                <w:i/>
              </w:rPr>
              <w:t>r</w:t>
            </w:r>
            <w:r>
              <w:rPr>
                <w:rFonts w:hint="eastAsia"/>
                <w:i/>
                <w:szCs w:val="21"/>
                <w:vertAlign w:val="subscript"/>
              </w:rPr>
              <w:t xml:space="preserve">  </w:t>
            </w:r>
            <w:r>
              <w:rPr>
                <w:szCs w:val="21"/>
              </w:rPr>
              <w:t>/</w:t>
            </w:r>
            <w:r>
              <w:rPr>
                <w:rFonts w:hint="eastAsia"/>
                <w:szCs w:val="21"/>
              </w:rPr>
              <w:t xml:space="preserve"> %</w:t>
            </w:r>
          </w:p>
        </w:tc>
        <w:tc>
          <w:tcPr>
            <w:tcW w:w="1748" w:type="dxa"/>
            <w:shd w:val="clear" w:color="auto" w:fill="auto"/>
          </w:tcPr>
          <w:p>
            <w:pPr>
              <w:jc w:val="center"/>
              <w:rPr>
                <w:rFonts w:eastAsia="黑体"/>
                <w:sz w:val="18"/>
              </w:rPr>
            </w:pPr>
            <w:r>
              <w:rPr>
                <w:rFonts w:hint="eastAsia" w:eastAsia="黑体"/>
                <w:sz w:val="18"/>
              </w:rPr>
              <w:t>0.13</w:t>
            </w:r>
          </w:p>
        </w:tc>
        <w:tc>
          <w:tcPr>
            <w:tcW w:w="1748" w:type="dxa"/>
            <w:shd w:val="clear" w:color="auto" w:fill="auto"/>
          </w:tcPr>
          <w:p>
            <w:pPr>
              <w:jc w:val="center"/>
              <w:rPr>
                <w:rFonts w:eastAsia="黑体"/>
                <w:sz w:val="18"/>
              </w:rPr>
            </w:pPr>
            <w:r>
              <w:rPr>
                <w:rFonts w:hint="eastAsia" w:eastAsia="黑体"/>
                <w:sz w:val="18"/>
              </w:rPr>
              <w:t>0.15</w:t>
            </w:r>
          </w:p>
        </w:tc>
        <w:tc>
          <w:tcPr>
            <w:tcW w:w="1748" w:type="dxa"/>
            <w:shd w:val="clear" w:color="auto" w:fill="auto"/>
          </w:tcPr>
          <w:p>
            <w:pPr>
              <w:jc w:val="center"/>
              <w:rPr>
                <w:rFonts w:eastAsia="黑体"/>
                <w:sz w:val="18"/>
              </w:rPr>
            </w:pPr>
            <w:r>
              <w:rPr>
                <w:rFonts w:hint="eastAsia" w:eastAsia="黑体"/>
                <w:sz w:val="18"/>
              </w:rPr>
              <w:t>0.16</w:t>
            </w:r>
          </w:p>
        </w:tc>
        <w:tc>
          <w:tcPr>
            <w:tcW w:w="1510" w:type="dxa"/>
            <w:shd w:val="clear" w:color="auto" w:fill="auto"/>
          </w:tcPr>
          <w:p>
            <w:pPr>
              <w:jc w:val="center"/>
              <w:rPr>
                <w:rFonts w:eastAsia="黑体"/>
                <w:sz w:val="18"/>
              </w:rPr>
            </w:pPr>
            <w:r>
              <w:rPr>
                <w:rFonts w:hint="eastAsia" w:eastAsia="黑体"/>
                <w:sz w:val="18"/>
              </w:rPr>
              <w:t>0.</w:t>
            </w:r>
            <w:r>
              <w:rPr>
                <w:rFonts w:eastAsia="黑体"/>
                <w:sz w:val="18"/>
              </w:rPr>
              <w:t>20</w:t>
            </w:r>
          </w:p>
        </w:tc>
      </w:tr>
    </w:tbl>
    <w:p>
      <w:pPr>
        <w:spacing w:line="300" w:lineRule="exact"/>
        <w:jc w:val="left"/>
        <w:rPr>
          <w:rFonts w:ascii="宋体" w:hAnsi="宋体"/>
          <w:bCs/>
          <w:szCs w:val="21"/>
        </w:rPr>
      </w:pPr>
    </w:p>
    <w:p>
      <w:pPr>
        <w:spacing w:line="300" w:lineRule="exact"/>
        <w:jc w:val="left"/>
        <w:rPr>
          <w:rFonts w:ascii="宋体" w:hAnsi="宋体"/>
          <w:bCs/>
          <w:szCs w:val="21"/>
        </w:rPr>
      </w:pPr>
    </w:p>
    <w:p>
      <w:pPr>
        <w:spacing w:line="300" w:lineRule="exact"/>
        <w:jc w:val="left"/>
        <w:rPr>
          <w:rFonts w:ascii="宋体" w:hAnsi="宋体"/>
          <w:bCs/>
          <w:szCs w:val="21"/>
        </w:rPr>
      </w:pPr>
      <w:r>
        <w:rPr>
          <w:rFonts w:hint="eastAsia" w:ascii="宋体" w:hAnsi="宋体"/>
          <w:bCs/>
          <w:szCs w:val="21"/>
        </w:rPr>
        <w:t>4.2.2再现性限</w:t>
      </w:r>
    </w:p>
    <w:p>
      <w:pPr>
        <w:spacing w:line="300" w:lineRule="exact"/>
        <w:ind w:firstLine="420" w:firstLineChars="200"/>
        <w:jc w:val="left"/>
        <w:rPr>
          <w:rFonts w:ascii="宋体" w:hAnsi="宋体"/>
          <w:szCs w:val="21"/>
        </w:rPr>
      </w:pPr>
      <w:r>
        <w:rPr>
          <w:rFonts w:hint="eastAsia" w:ascii="宋体" w:hAnsi="宋体"/>
          <w:szCs w:val="21"/>
        </w:rPr>
        <w:t>在再现性条件下获得两次独立测试结果的测定值，在以下给出的平均值范围内，这两个测试结果的绝对差值不大于重复性限（R），以大于重复性限（R）的情况不超过5 %为前提，重复性限(R)按表4数据采用线性内插法求得。</w:t>
      </w:r>
    </w:p>
    <w:p>
      <w:pPr>
        <w:spacing w:line="300" w:lineRule="exact"/>
        <w:jc w:val="center"/>
        <w:rPr>
          <w:rFonts w:ascii="宋体" w:hAnsi="宋体"/>
          <w:bCs/>
          <w:szCs w:val="21"/>
        </w:rPr>
      </w:pPr>
      <w:r>
        <w:rPr>
          <w:rFonts w:hint="eastAsia" w:ascii="宋体" w:hAnsi="宋体"/>
          <w:bCs/>
          <w:szCs w:val="21"/>
        </w:rPr>
        <w:t>表4 重复性</w:t>
      </w:r>
    </w:p>
    <w:tbl>
      <w:tblPr>
        <w:tblStyle w:val="23"/>
        <w:tblW w:w="7938"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1586"/>
        <w:gridCol w:w="1503"/>
        <w:gridCol w:w="1672"/>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jc w:val="center"/>
              <w:rPr>
                <w:rFonts w:eastAsia="黑体"/>
                <w:szCs w:val="21"/>
              </w:rPr>
            </w:pPr>
            <w:r>
              <w:rPr>
                <w:i/>
                <w:szCs w:val="21"/>
              </w:rPr>
              <w:t>W</w:t>
            </w:r>
            <w:r>
              <w:rPr>
                <w:i/>
                <w:szCs w:val="21"/>
                <w:vertAlign w:val="subscript"/>
              </w:rPr>
              <w:t>Zn</w:t>
            </w:r>
            <w:r>
              <w:rPr>
                <w:szCs w:val="21"/>
              </w:rPr>
              <w:t>/</w:t>
            </w:r>
            <w:r>
              <w:rPr>
                <w:rFonts w:hint="eastAsia"/>
                <w:szCs w:val="21"/>
              </w:rPr>
              <w:t xml:space="preserve"> </w:t>
            </w:r>
            <w:r>
              <w:rPr>
                <w:rFonts w:hint="eastAsia"/>
                <w:color w:val="000000"/>
                <w:szCs w:val="21"/>
              </w:rPr>
              <w:t>%</w:t>
            </w:r>
          </w:p>
        </w:tc>
        <w:tc>
          <w:tcPr>
            <w:tcW w:w="1586" w:type="dxa"/>
            <w:vAlign w:val="center"/>
          </w:tcPr>
          <w:p>
            <w:pPr>
              <w:jc w:val="center"/>
              <w:rPr>
                <w:rFonts w:ascii="宋体" w:hAnsi="宋体"/>
                <w:bCs/>
                <w:szCs w:val="21"/>
              </w:rPr>
            </w:pPr>
            <w:r>
              <w:rPr>
                <w:rFonts w:ascii="宋体" w:hAnsi="宋体"/>
                <w:bCs/>
                <w:szCs w:val="21"/>
              </w:rPr>
              <w:t>4.97</w:t>
            </w:r>
          </w:p>
        </w:tc>
        <w:tc>
          <w:tcPr>
            <w:tcW w:w="1503" w:type="dxa"/>
            <w:vAlign w:val="center"/>
          </w:tcPr>
          <w:p>
            <w:pPr>
              <w:jc w:val="center"/>
              <w:rPr>
                <w:rFonts w:ascii="宋体" w:hAnsi="宋体"/>
                <w:bCs/>
                <w:szCs w:val="21"/>
              </w:rPr>
            </w:pPr>
            <w:r>
              <w:rPr>
                <w:rFonts w:ascii="宋体" w:hAnsi="宋体"/>
                <w:bCs/>
                <w:szCs w:val="21"/>
              </w:rPr>
              <w:t>9.89</w:t>
            </w:r>
          </w:p>
        </w:tc>
        <w:tc>
          <w:tcPr>
            <w:tcW w:w="1672" w:type="dxa"/>
            <w:vAlign w:val="center"/>
          </w:tcPr>
          <w:p>
            <w:pPr>
              <w:jc w:val="center"/>
              <w:rPr>
                <w:rFonts w:ascii="宋体" w:hAnsi="宋体"/>
                <w:bCs/>
                <w:szCs w:val="21"/>
              </w:rPr>
            </w:pPr>
            <w:r>
              <w:rPr>
                <w:rFonts w:ascii="宋体" w:hAnsi="宋体"/>
                <w:bCs/>
                <w:szCs w:val="21"/>
              </w:rPr>
              <w:t>14.81</w:t>
            </w:r>
          </w:p>
        </w:tc>
        <w:tc>
          <w:tcPr>
            <w:tcW w:w="1821" w:type="dxa"/>
            <w:vAlign w:val="center"/>
          </w:tcPr>
          <w:p>
            <w:pPr>
              <w:jc w:val="center"/>
              <w:rPr>
                <w:rFonts w:ascii="宋体" w:hAnsi="宋体"/>
                <w:bCs/>
                <w:szCs w:val="21"/>
              </w:rPr>
            </w:pPr>
            <w:r>
              <w:rPr>
                <w:rFonts w:ascii="宋体" w:hAnsi="宋体"/>
                <w:bCs/>
                <w:szCs w:val="21"/>
              </w:rPr>
              <w:t>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Pr>
          <w:p>
            <w:pPr>
              <w:jc w:val="center"/>
              <w:rPr>
                <w:rFonts w:eastAsia="黑体"/>
                <w:szCs w:val="21"/>
              </w:rPr>
            </w:pPr>
            <w:r>
              <w:rPr>
                <w:rFonts w:hint="eastAsia"/>
                <w:i/>
              </w:rPr>
              <w:t>R</w:t>
            </w:r>
            <w:r>
              <w:rPr>
                <w:rFonts w:hint="eastAsia"/>
                <w:i/>
                <w:szCs w:val="21"/>
                <w:vertAlign w:val="subscript"/>
              </w:rPr>
              <w:t xml:space="preserve">  </w:t>
            </w:r>
            <w:r>
              <w:rPr>
                <w:szCs w:val="21"/>
              </w:rPr>
              <w:t>/</w:t>
            </w:r>
            <w:r>
              <w:rPr>
                <w:rFonts w:hint="eastAsia"/>
                <w:szCs w:val="21"/>
              </w:rPr>
              <w:t xml:space="preserve"> %</w:t>
            </w:r>
          </w:p>
        </w:tc>
        <w:tc>
          <w:tcPr>
            <w:tcW w:w="158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w:t>
            </w:r>
            <w:r>
              <w:rPr>
                <w:rFonts w:ascii="等线" w:hAnsi="等线" w:eastAsia="等线" w:cs="宋体"/>
                <w:color w:val="000000"/>
                <w:kern w:val="0"/>
                <w:sz w:val="22"/>
                <w:szCs w:val="22"/>
              </w:rPr>
              <w:t>5</w:t>
            </w:r>
          </w:p>
        </w:tc>
        <w:tc>
          <w:tcPr>
            <w:tcW w:w="1503"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w:t>
            </w:r>
            <w:r>
              <w:rPr>
                <w:rFonts w:ascii="等线" w:hAnsi="等线" w:eastAsia="等线" w:cs="宋体"/>
                <w:color w:val="000000"/>
                <w:kern w:val="0"/>
                <w:sz w:val="22"/>
                <w:szCs w:val="22"/>
              </w:rPr>
              <w:t>5</w:t>
            </w:r>
          </w:p>
        </w:tc>
        <w:tc>
          <w:tcPr>
            <w:tcW w:w="1672"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w:t>
            </w:r>
            <w:r>
              <w:rPr>
                <w:rFonts w:ascii="等线" w:hAnsi="等线" w:eastAsia="等线" w:cs="宋体"/>
                <w:color w:val="000000"/>
                <w:kern w:val="0"/>
                <w:sz w:val="22"/>
                <w:szCs w:val="22"/>
              </w:rPr>
              <w:t>31</w:t>
            </w:r>
          </w:p>
        </w:tc>
        <w:tc>
          <w:tcPr>
            <w:tcW w:w="1821"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0.38</w:t>
            </w:r>
          </w:p>
        </w:tc>
      </w:tr>
    </w:tbl>
    <w:p>
      <w:pPr>
        <w:spacing w:line="300" w:lineRule="exact"/>
        <w:jc w:val="left"/>
        <w:rPr>
          <w:rFonts w:ascii="宋体" w:hAnsi="宋体"/>
          <w:bCs/>
          <w:szCs w:val="21"/>
        </w:rPr>
      </w:pP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标准水平分析</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与现行法律法规、强制性国家标准及相关标准协调配套情况</w:t>
      </w:r>
    </w:p>
    <w:p>
      <w:pPr>
        <w:spacing w:line="360" w:lineRule="auto"/>
        <w:ind w:firstLine="420"/>
        <w:rPr>
          <w:rFonts w:ascii="宋体" w:hAnsi="宋体" w:cs="宋体"/>
          <w:kern w:val="0"/>
          <w:szCs w:val="21"/>
        </w:rPr>
      </w:pPr>
      <w:r>
        <w:rPr>
          <w:rFonts w:hint="eastAsia" w:ascii="宋体" w:hAnsi="宋体" w:cs="宋体"/>
          <w:kern w:val="0"/>
          <w:szCs w:val="21"/>
        </w:rPr>
        <w:t>本标准与现行法律法规、强制性国家标准无冲突。</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标准中涉及专利情况</w:t>
      </w:r>
    </w:p>
    <w:p>
      <w:pPr>
        <w:spacing w:line="360" w:lineRule="auto"/>
        <w:ind w:firstLine="420" w:firstLineChars="200"/>
        <w:rPr>
          <w:rFonts w:ascii="宋体" w:hAnsi="宋体" w:cs="宋体"/>
          <w:szCs w:val="21"/>
        </w:rPr>
      </w:pPr>
      <w:r>
        <w:rPr>
          <w:rFonts w:hint="eastAsia" w:ascii="宋体" w:hAnsi="宋体" w:cs="宋体"/>
          <w:szCs w:val="21"/>
        </w:rPr>
        <w:t>本标准起草过程中，如果涉及到专利和知识产权时请使用单位与专利和知识产权方协商，本标准的发布机构不承担识别这些专利的责任。</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重大分歧意见的处理经过和依据</w:t>
      </w:r>
    </w:p>
    <w:p>
      <w:pPr>
        <w:spacing w:line="360" w:lineRule="auto"/>
        <w:rPr>
          <w:rFonts w:ascii="宋体" w:hAnsi="宋体" w:cs="宋体"/>
          <w:kern w:val="0"/>
          <w:szCs w:val="21"/>
        </w:rPr>
      </w:pPr>
      <w:r>
        <w:rPr>
          <w:rFonts w:hint="eastAsia" w:ascii="宋体" w:hAnsi="宋体" w:cs="宋体"/>
          <w:kern w:val="0"/>
          <w:szCs w:val="21"/>
        </w:rPr>
        <w:t xml:space="preserve">    无。</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作为推荐性标准的建议</w:t>
      </w:r>
    </w:p>
    <w:p>
      <w:pPr>
        <w:spacing w:line="360" w:lineRule="auto"/>
        <w:ind w:firstLine="420" w:firstLineChars="200"/>
        <w:rPr>
          <w:rFonts w:ascii="宋体" w:hAnsi="宋体" w:cs="宋体"/>
          <w:kern w:val="0"/>
          <w:szCs w:val="21"/>
        </w:rPr>
      </w:pPr>
      <w:r>
        <w:rPr>
          <w:rFonts w:hint="eastAsia" w:ascii="宋体" w:hAnsi="宋体" w:cs="宋体"/>
          <w:kern w:val="0"/>
          <w:szCs w:val="21"/>
        </w:rPr>
        <w:t>本标准适用于粗硒中碲含量的测定。建议作为推荐性行业标准发布实施。</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贯彻标准的要求和措施建议</w:t>
      </w:r>
    </w:p>
    <w:p>
      <w:pPr>
        <w:spacing w:line="360" w:lineRule="auto"/>
        <w:rPr>
          <w:rFonts w:ascii="宋体" w:hAnsi="宋体" w:cs="宋体"/>
          <w:kern w:val="0"/>
          <w:szCs w:val="21"/>
        </w:rPr>
      </w:pPr>
      <w:r>
        <w:rPr>
          <w:rFonts w:hint="eastAsia" w:ascii="宋体" w:hAnsi="宋体" w:cs="宋体"/>
          <w:kern w:val="0"/>
          <w:szCs w:val="21"/>
        </w:rPr>
        <w:t xml:space="preserve">    无。</w:t>
      </w:r>
    </w:p>
    <w:p>
      <w:pPr>
        <w:numPr>
          <w:ilvl w:val="0"/>
          <w:numId w:val="6"/>
        </w:numPr>
        <w:spacing w:line="360" w:lineRule="auto"/>
        <w:rPr>
          <w:rFonts w:ascii="黑体" w:hAnsi="黑体" w:eastAsia="黑体" w:cs="黑体"/>
          <w:kern w:val="0"/>
          <w:szCs w:val="21"/>
        </w:rPr>
      </w:pPr>
      <w:r>
        <w:rPr>
          <w:rFonts w:hint="eastAsia" w:ascii="黑体" w:hAnsi="黑体" w:eastAsia="黑体" w:cs="黑体"/>
          <w:kern w:val="0"/>
          <w:szCs w:val="21"/>
        </w:rPr>
        <w:t>废止现行有关标准的建议</w:t>
      </w:r>
    </w:p>
    <w:p>
      <w:pPr>
        <w:spacing w:line="360" w:lineRule="auto"/>
        <w:rPr>
          <w:rFonts w:ascii="宋体" w:hAnsi="宋体" w:cs="宋体"/>
          <w:kern w:val="0"/>
          <w:szCs w:val="21"/>
        </w:rPr>
      </w:pPr>
      <w:r>
        <w:rPr>
          <w:rFonts w:hint="eastAsia" w:ascii="宋体" w:hAnsi="宋体" w:cs="宋体"/>
          <w:kern w:val="0"/>
          <w:szCs w:val="21"/>
        </w:rPr>
        <w:t xml:space="preserve">    无。</w:t>
      </w:r>
    </w:p>
    <w:p>
      <w:pPr>
        <w:spacing w:line="360" w:lineRule="auto"/>
        <w:rPr>
          <w:rFonts w:ascii="宋体" w:hAnsi="宋体" w:cs="宋体"/>
          <w:kern w:val="0"/>
          <w:szCs w:val="21"/>
        </w:rPr>
      </w:pPr>
      <w:r>
        <w:rPr>
          <w:rFonts w:hint="eastAsia" w:ascii="宋体" w:hAnsi="宋体" w:cs="宋体"/>
          <w:kern w:val="0"/>
          <w:szCs w:val="21"/>
        </w:rPr>
        <w:t>十一、其他事项</w:t>
      </w:r>
    </w:p>
    <w:p>
      <w:pPr>
        <w:spacing w:line="360" w:lineRule="auto"/>
        <w:rPr>
          <w:rFonts w:ascii="黑体" w:hAnsi="黑体" w:eastAsia="黑体" w:cs="黑体"/>
          <w:szCs w:val="21"/>
        </w:rPr>
      </w:pPr>
      <w:r>
        <w:rPr>
          <w:rFonts w:hint="eastAsia" w:ascii="宋体" w:hAnsi="宋体" w:cs="宋体"/>
          <w:kern w:val="0"/>
          <w:szCs w:val="21"/>
        </w:rPr>
        <w:t xml:space="preserve">    无。</w:t>
      </w:r>
    </w:p>
    <w:p>
      <w:pPr>
        <w:spacing w:line="360" w:lineRule="auto"/>
        <w:rPr>
          <w:rFonts w:ascii="黑体" w:hAnsi="黑体" w:eastAsia="黑体" w:cs="黑体"/>
          <w:szCs w:val="21"/>
        </w:rPr>
      </w:pPr>
      <w:r>
        <w:rPr>
          <w:rFonts w:hint="eastAsia" w:ascii="黑体" w:hAnsi="黑体" w:eastAsia="黑体" w:cs="黑体"/>
          <w:szCs w:val="21"/>
        </w:rPr>
        <w:t>附件：</w:t>
      </w:r>
    </w:p>
    <w:p>
      <w:pPr>
        <w:spacing w:line="360" w:lineRule="auto"/>
        <w:rPr>
          <w:rFonts w:ascii="宋体" w:hAnsi="宋体" w:cs="宋体"/>
          <w:kern w:val="0"/>
          <w:szCs w:val="21"/>
        </w:rPr>
      </w:pPr>
      <w:r>
        <w:rPr>
          <w:rFonts w:hint="eastAsia" w:ascii="宋体" w:hAnsi="宋体" w:cs="宋体"/>
          <w:kern w:val="0"/>
          <w:szCs w:val="21"/>
        </w:rPr>
        <w:t>附件1  实验报告</w:t>
      </w:r>
    </w:p>
    <w:p>
      <w:pPr>
        <w:spacing w:line="360" w:lineRule="auto"/>
        <w:rPr>
          <w:rFonts w:ascii="宋体" w:hAnsi="宋体" w:cs="宋体"/>
          <w:kern w:val="0"/>
          <w:szCs w:val="21"/>
        </w:rPr>
      </w:pPr>
      <w:r>
        <w:rPr>
          <w:rFonts w:hint="eastAsia" w:ascii="宋体" w:hAnsi="宋体" w:cs="宋体"/>
          <w:kern w:val="0"/>
          <w:szCs w:val="21"/>
        </w:rPr>
        <w:t>附件2  各验证单位精密度试验数据统计分析</w:t>
      </w:r>
    </w:p>
    <w:p>
      <w:pPr>
        <w:spacing w:line="360" w:lineRule="auto"/>
        <w:rPr>
          <w:rFonts w:ascii="宋体" w:hAnsi="宋体" w:cs="宋体"/>
          <w:kern w:val="0"/>
          <w:szCs w:val="21"/>
        </w:rPr>
      </w:pPr>
      <w:r>
        <w:rPr>
          <w:rFonts w:hint="eastAsia" w:ascii="宋体" w:hAnsi="宋体" w:cs="宋体"/>
          <w:kern w:val="0"/>
          <w:szCs w:val="21"/>
        </w:rPr>
        <w:t xml:space="preserve">附件3 </w:t>
      </w:r>
      <w:r>
        <w:rPr>
          <w:rFonts w:ascii="宋体" w:hAnsi="宋体" w:cs="宋体"/>
          <w:kern w:val="0"/>
          <w:szCs w:val="21"/>
        </w:rPr>
        <w:t xml:space="preserve"> </w:t>
      </w:r>
      <w:r>
        <w:rPr>
          <w:rFonts w:hint="eastAsia" w:ascii="宋体" w:hAnsi="宋体" w:cs="宋体"/>
          <w:kern w:val="0"/>
          <w:szCs w:val="21"/>
        </w:rPr>
        <w:t>验证说明</w:t>
      </w:r>
    </w:p>
    <w:p>
      <w:pPr>
        <w:spacing w:line="360" w:lineRule="auto"/>
        <w:rPr>
          <w:rFonts w:ascii="宋体" w:hAnsi="宋体" w:cs="宋体"/>
          <w:kern w:val="0"/>
          <w:szCs w:val="21"/>
        </w:rPr>
      </w:pPr>
      <w:r>
        <w:rPr>
          <w:rFonts w:hint="eastAsia" w:ascii="宋体" w:hAnsi="宋体" w:cs="宋体"/>
          <w:kern w:val="0"/>
          <w:szCs w:val="21"/>
        </w:rPr>
        <w:t>附件4  标准征求意见稿意见汇总处理表</w:t>
      </w: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ind w:right="1120"/>
        <w:jc w:val="right"/>
        <w:rPr>
          <w:rFonts w:ascii="黑体" w:hAnsi="黑体" w:eastAsia="黑体" w:cs="黑体"/>
          <w:szCs w:val="21"/>
        </w:rPr>
      </w:pPr>
    </w:p>
    <w:p>
      <w:pPr>
        <w:spacing w:line="360" w:lineRule="auto"/>
        <w:rPr>
          <w:rFonts w:ascii="宋体" w:hAnsi="宋体"/>
          <w:szCs w:val="21"/>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附件1：</w:t>
      </w:r>
    </w:p>
    <w:p>
      <w:pPr>
        <w:adjustRightInd w:val="0"/>
        <w:spacing w:line="360" w:lineRule="auto"/>
        <w:ind w:firstLine="1205" w:firstLineChars="500"/>
        <w:rPr>
          <w:rFonts w:asciiTheme="minorEastAsia" w:hAnsiTheme="minorEastAsia" w:eastAsiaTheme="minorEastAsia"/>
          <w:b/>
          <w:sz w:val="24"/>
        </w:rPr>
      </w:pPr>
      <w:r>
        <w:rPr>
          <w:rFonts w:hint="eastAsia" w:asciiTheme="minorEastAsia" w:hAnsiTheme="minorEastAsia" w:eastAsiaTheme="minorEastAsia"/>
          <w:b/>
          <w:sz w:val="24"/>
        </w:rPr>
        <w:t>《粗硒化学分析方法 第</w:t>
      </w:r>
      <w:r>
        <w:rPr>
          <w:rFonts w:asciiTheme="minorEastAsia" w:hAnsiTheme="minorEastAsia" w:eastAsiaTheme="minorEastAsia"/>
          <w:b/>
          <w:sz w:val="24"/>
        </w:rPr>
        <w:t>4</w:t>
      </w:r>
      <w:r>
        <w:rPr>
          <w:rFonts w:hint="eastAsia" w:asciiTheme="minorEastAsia" w:hAnsiTheme="minorEastAsia" w:eastAsiaTheme="minorEastAsia"/>
          <w:b/>
          <w:sz w:val="24"/>
        </w:rPr>
        <w:t>部分：碲含量的测定 重量法》</w:t>
      </w:r>
    </w:p>
    <w:p>
      <w:pPr>
        <w:adjustRightInd w:val="0"/>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试验报告</w:t>
      </w:r>
    </w:p>
    <w:p>
      <w:pPr>
        <w:adjustRightInd w:val="0"/>
        <w:spacing w:before="156" w:beforeLines="50" w:after="156" w:afterLines="50" w:line="360" w:lineRule="auto"/>
        <w:rPr>
          <w:rFonts w:ascii="宋体" w:hAnsi="宋体"/>
          <w:b/>
          <w:szCs w:val="21"/>
        </w:rPr>
      </w:pPr>
      <w:r>
        <w:rPr>
          <w:rFonts w:hint="eastAsia" w:ascii="宋体" w:hAnsi="宋体"/>
          <w:b/>
          <w:szCs w:val="21"/>
        </w:rPr>
        <w:t>1  实验部分</w:t>
      </w:r>
    </w:p>
    <w:p>
      <w:pPr>
        <w:autoSpaceDE w:val="0"/>
        <w:autoSpaceDN w:val="0"/>
        <w:adjustRightInd w:val="0"/>
        <w:spacing w:line="360" w:lineRule="auto"/>
        <w:ind w:right="156"/>
        <w:rPr>
          <w:rFonts w:ascii="宋体" w:hAnsi="宋体"/>
          <w:b/>
          <w:kern w:val="0"/>
          <w:szCs w:val="21"/>
        </w:rPr>
      </w:pPr>
      <w:r>
        <w:rPr>
          <w:rFonts w:hint="eastAsia" w:ascii="宋体" w:hAnsi="宋体"/>
          <w:b/>
          <w:kern w:val="0"/>
          <w:szCs w:val="21"/>
        </w:rPr>
        <w:t>1.1</w:t>
      </w:r>
      <w:r>
        <w:rPr>
          <w:rFonts w:ascii="宋体" w:hAnsi="宋体"/>
          <w:b/>
          <w:kern w:val="0"/>
          <w:szCs w:val="21"/>
        </w:rPr>
        <w:t xml:space="preserve"> </w:t>
      </w:r>
      <w:r>
        <w:rPr>
          <w:rFonts w:hint="eastAsia" w:ascii="宋体" w:hAnsi="宋体" w:cs="宋体"/>
          <w:b/>
          <w:kern w:val="0"/>
          <w:szCs w:val="21"/>
        </w:rPr>
        <w:t>分析步骤</w:t>
      </w:r>
    </w:p>
    <w:p>
      <w:pPr>
        <w:autoSpaceDE w:val="0"/>
        <w:autoSpaceDN w:val="0"/>
        <w:adjustRightInd w:val="0"/>
        <w:spacing w:line="360" w:lineRule="auto"/>
        <w:ind w:right="156"/>
        <w:rPr>
          <w:rFonts w:ascii="宋体" w:hAnsi="宋体"/>
          <w:b/>
          <w:kern w:val="0"/>
          <w:szCs w:val="21"/>
        </w:rPr>
      </w:pPr>
      <w:r>
        <w:rPr>
          <w:rFonts w:hint="eastAsia" w:ascii="宋体" w:hAnsi="宋体"/>
          <w:b/>
          <w:kern w:val="0"/>
          <w:szCs w:val="21"/>
        </w:rPr>
        <w:t>1.1</w:t>
      </w:r>
      <w:r>
        <w:rPr>
          <w:rFonts w:hint="eastAsia" w:ascii="宋体" w:hAnsi="宋体" w:cs="宋体"/>
          <w:b/>
          <w:kern w:val="0"/>
          <w:szCs w:val="21"/>
        </w:rPr>
        <w:t>测定数量</w:t>
      </w:r>
    </w:p>
    <w:p>
      <w:pPr>
        <w:autoSpaceDE w:val="0"/>
        <w:autoSpaceDN w:val="0"/>
        <w:adjustRightInd w:val="0"/>
        <w:spacing w:line="360" w:lineRule="auto"/>
        <w:ind w:right="6" w:firstLine="420" w:firstLineChars="200"/>
        <w:rPr>
          <w:rFonts w:ascii="宋体" w:hAnsi="宋体"/>
          <w:kern w:val="0"/>
          <w:szCs w:val="21"/>
        </w:rPr>
      </w:pPr>
      <w:r>
        <w:rPr>
          <w:rFonts w:hint="eastAsia" w:ascii="宋体" w:hAnsi="宋体" w:cs="宋体"/>
          <w:kern w:val="0"/>
          <w:szCs w:val="21"/>
        </w:rPr>
        <w:t>称取</w:t>
      </w:r>
      <w:r>
        <w:rPr>
          <w:rFonts w:hint="eastAsia" w:ascii="宋体" w:hAnsi="宋体"/>
          <w:kern w:val="0"/>
          <w:szCs w:val="21"/>
        </w:rPr>
        <w:t>2</w:t>
      </w:r>
      <w:r>
        <w:rPr>
          <w:rFonts w:hint="eastAsia" w:ascii="宋体" w:hAnsi="宋体" w:cs="宋体"/>
          <w:kern w:val="0"/>
          <w:szCs w:val="21"/>
        </w:rPr>
        <w:t>份试料平行测定，取其算术平均值。</w:t>
      </w:r>
    </w:p>
    <w:p>
      <w:pPr>
        <w:autoSpaceDE w:val="0"/>
        <w:autoSpaceDN w:val="0"/>
        <w:adjustRightInd w:val="0"/>
        <w:spacing w:line="360" w:lineRule="auto"/>
        <w:ind w:right="156"/>
        <w:rPr>
          <w:rFonts w:ascii="宋体" w:hAnsi="宋体"/>
          <w:b/>
          <w:kern w:val="0"/>
          <w:szCs w:val="21"/>
        </w:rPr>
      </w:pPr>
      <w:r>
        <w:rPr>
          <w:rFonts w:hint="eastAsia" w:ascii="宋体" w:hAnsi="宋体"/>
          <w:b/>
          <w:kern w:val="0"/>
          <w:szCs w:val="21"/>
        </w:rPr>
        <w:t>1.</w:t>
      </w:r>
      <w:r>
        <w:rPr>
          <w:rFonts w:ascii="宋体" w:hAnsi="宋体"/>
          <w:b/>
          <w:kern w:val="0"/>
          <w:szCs w:val="21"/>
        </w:rPr>
        <w:t xml:space="preserve">2 </w:t>
      </w:r>
      <w:r>
        <w:rPr>
          <w:rFonts w:hint="eastAsia" w:ascii="宋体" w:hAnsi="宋体" w:cs="宋体"/>
          <w:b/>
          <w:kern w:val="0"/>
          <w:szCs w:val="21"/>
        </w:rPr>
        <w:t>试料</w:t>
      </w:r>
    </w:p>
    <w:p>
      <w:pPr>
        <w:autoSpaceDE w:val="0"/>
        <w:autoSpaceDN w:val="0"/>
        <w:adjustRightInd w:val="0"/>
        <w:spacing w:line="360" w:lineRule="auto"/>
        <w:ind w:left="439" w:right="156"/>
        <w:rPr>
          <w:rFonts w:ascii="宋体" w:hAnsi="宋体" w:cs="宋体"/>
          <w:kern w:val="0"/>
          <w:szCs w:val="21"/>
        </w:rPr>
      </w:pPr>
      <w:r>
        <w:rPr>
          <w:rFonts w:hint="eastAsia" w:ascii="宋体" w:hAnsi="宋体" w:cs="宋体"/>
          <w:kern w:val="0"/>
          <w:szCs w:val="21"/>
        </w:rPr>
        <w:t>称取样品2.0</w:t>
      </w:r>
      <w:r>
        <w:rPr>
          <w:rFonts w:ascii="宋体" w:hAnsi="宋体" w:cs="宋体"/>
          <w:kern w:val="0"/>
          <w:szCs w:val="21"/>
        </w:rPr>
        <w:t>g</w:t>
      </w:r>
      <w:r>
        <w:rPr>
          <w:rFonts w:hint="eastAsia" w:ascii="宋体" w:hAnsi="宋体" w:cs="宋体"/>
          <w:kern w:val="0"/>
          <w:szCs w:val="21"/>
        </w:rPr>
        <w:t>，精确至</w:t>
      </w:r>
      <w:r>
        <w:rPr>
          <w:rFonts w:ascii="宋体" w:hAnsi="宋体"/>
          <w:kern w:val="0"/>
          <w:szCs w:val="21"/>
        </w:rPr>
        <w:t>0.00</w:t>
      </w:r>
      <w:r>
        <w:rPr>
          <w:rFonts w:hint="eastAsia" w:ascii="宋体" w:hAnsi="宋体"/>
          <w:kern w:val="0"/>
          <w:szCs w:val="21"/>
        </w:rPr>
        <w:t>01</w:t>
      </w:r>
      <w:r>
        <w:rPr>
          <w:rFonts w:ascii="宋体" w:hAnsi="宋体"/>
          <w:kern w:val="0"/>
          <w:szCs w:val="21"/>
        </w:rPr>
        <w:t>g</w:t>
      </w:r>
      <w:r>
        <w:rPr>
          <w:rFonts w:hint="eastAsia" w:ascii="宋体" w:hAnsi="宋体" w:cs="宋体"/>
          <w:kern w:val="0"/>
          <w:szCs w:val="21"/>
        </w:rPr>
        <w:t>。</w:t>
      </w:r>
      <w:r>
        <w:rPr>
          <w:rFonts w:ascii="宋体" w:hAnsi="宋体"/>
          <w:kern w:val="0"/>
          <w:szCs w:val="21"/>
        </w:rPr>
        <w:tab/>
      </w:r>
    </w:p>
    <w:p>
      <w:pPr>
        <w:autoSpaceDE w:val="0"/>
        <w:autoSpaceDN w:val="0"/>
        <w:adjustRightInd w:val="0"/>
        <w:spacing w:line="360" w:lineRule="auto"/>
        <w:ind w:right="156"/>
        <w:rPr>
          <w:rFonts w:ascii="宋体" w:hAnsi="宋体" w:cs="宋体"/>
          <w:b/>
          <w:kern w:val="0"/>
          <w:szCs w:val="21"/>
        </w:rPr>
      </w:pPr>
      <w:r>
        <w:rPr>
          <w:rFonts w:hint="eastAsia" w:ascii="宋体" w:hAnsi="宋体"/>
          <w:b/>
          <w:kern w:val="0"/>
          <w:szCs w:val="21"/>
        </w:rPr>
        <w:t>1</w:t>
      </w:r>
      <w:r>
        <w:rPr>
          <w:rFonts w:hint="eastAsia" w:ascii="宋体" w:hAnsi="宋体"/>
          <w:b/>
          <w:szCs w:val="21"/>
        </w:rPr>
        <w:t>.</w:t>
      </w:r>
      <w:r>
        <w:rPr>
          <w:rFonts w:hint="eastAsia" w:ascii="宋体" w:hAnsi="宋体"/>
          <w:b/>
          <w:kern w:val="0"/>
          <w:szCs w:val="21"/>
        </w:rPr>
        <w:t>3</w:t>
      </w:r>
      <w:r>
        <w:rPr>
          <w:rFonts w:ascii="宋体" w:hAnsi="宋体"/>
          <w:b/>
          <w:kern w:val="0"/>
          <w:szCs w:val="21"/>
        </w:rPr>
        <w:t xml:space="preserve"> </w:t>
      </w:r>
      <w:r>
        <w:rPr>
          <w:rFonts w:hint="eastAsia" w:ascii="宋体" w:hAnsi="宋体" w:cs="宋体"/>
          <w:b/>
          <w:kern w:val="0"/>
          <w:szCs w:val="21"/>
        </w:rPr>
        <w:t>测定</w:t>
      </w:r>
    </w:p>
    <w:p>
      <w:pPr>
        <w:spacing w:line="360" w:lineRule="auto"/>
        <w:rPr>
          <w:rFonts w:ascii="宋体" w:hAnsi="宋体"/>
          <w:szCs w:val="21"/>
        </w:rPr>
      </w:pPr>
      <w:r>
        <w:rPr>
          <w:rFonts w:ascii="宋体" w:hAnsi="宋体"/>
          <w:szCs w:val="21"/>
        </w:rPr>
        <w:t>1.3</w:t>
      </w:r>
      <w:r>
        <w:rPr>
          <w:rFonts w:hint="eastAsia" w:ascii="宋体" w:hAnsi="宋体"/>
          <w:szCs w:val="21"/>
        </w:rPr>
        <w:t>.1  按</w:t>
      </w:r>
      <w:r>
        <w:rPr>
          <w:rFonts w:ascii="宋体" w:hAnsi="宋体"/>
          <w:szCs w:val="21"/>
        </w:rPr>
        <w:t>1.2</w:t>
      </w:r>
      <w:r>
        <w:rPr>
          <w:rFonts w:hint="eastAsia" w:ascii="宋体" w:hAnsi="宋体"/>
          <w:szCs w:val="21"/>
        </w:rPr>
        <w:t>称取试样于300毫升三角烧杯中，加入</w:t>
      </w:r>
      <w:r>
        <w:rPr>
          <w:rFonts w:ascii="宋体" w:hAnsi="宋体"/>
          <w:szCs w:val="21"/>
        </w:rPr>
        <w:t>5</w:t>
      </w:r>
      <w:r>
        <w:rPr>
          <w:rFonts w:hint="eastAsia" w:ascii="宋体" w:hAnsi="宋体"/>
          <w:szCs w:val="21"/>
        </w:rPr>
        <w:t>毫升硝酸和</w:t>
      </w:r>
      <w:r>
        <w:rPr>
          <w:rFonts w:ascii="宋体" w:hAnsi="宋体"/>
          <w:szCs w:val="21"/>
        </w:rPr>
        <w:t>15</w:t>
      </w:r>
      <w:r>
        <w:rPr>
          <w:rFonts w:hint="eastAsia" w:ascii="宋体" w:hAnsi="宋体"/>
          <w:szCs w:val="21"/>
        </w:rPr>
        <w:t>毫升盐酸，盖上表面皿，</w:t>
      </w:r>
      <w:r>
        <w:rPr>
          <w:rFonts w:ascii="宋体" w:hAnsi="宋体"/>
          <w:szCs w:val="21"/>
        </w:rPr>
        <w:t>置于</w:t>
      </w:r>
      <w:r>
        <w:rPr>
          <w:rFonts w:hint="eastAsia" w:ascii="宋体" w:hAnsi="宋体"/>
          <w:szCs w:val="21"/>
        </w:rPr>
        <w:t>电热板上溶解试样完全，补</w:t>
      </w:r>
      <w:r>
        <w:rPr>
          <w:rFonts w:ascii="宋体" w:hAnsi="宋体"/>
          <w:szCs w:val="21"/>
        </w:rPr>
        <w:t>加</w:t>
      </w:r>
      <w:r>
        <w:rPr>
          <w:rFonts w:hint="eastAsia" w:ascii="宋体" w:hAnsi="宋体"/>
          <w:szCs w:val="21"/>
        </w:rPr>
        <w:t>1</w:t>
      </w:r>
      <w:r>
        <w:rPr>
          <w:rFonts w:ascii="宋体" w:hAnsi="宋体"/>
          <w:szCs w:val="21"/>
        </w:rPr>
        <w:t>0</w:t>
      </w:r>
      <w:r>
        <w:rPr>
          <w:rFonts w:hint="eastAsia" w:ascii="宋体" w:hAnsi="宋体"/>
          <w:szCs w:val="21"/>
        </w:rPr>
        <w:t>毫升</w:t>
      </w:r>
      <w:r>
        <w:rPr>
          <w:rFonts w:ascii="宋体" w:hAnsi="宋体"/>
          <w:szCs w:val="21"/>
        </w:rPr>
        <w:t>盐酸</w:t>
      </w:r>
      <w:r>
        <w:rPr>
          <w:rFonts w:hint="eastAsia" w:ascii="宋体" w:hAnsi="宋体"/>
          <w:szCs w:val="21"/>
        </w:rPr>
        <w:t>,加入</w:t>
      </w:r>
      <w:r>
        <w:rPr>
          <w:rFonts w:ascii="宋体" w:hAnsi="宋体"/>
          <w:szCs w:val="21"/>
        </w:rPr>
        <w:t>50</w:t>
      </w:r>
      <w:r>
        <w:rPr>
          <w:rFonts w:hint="eastAsia" w:ascii="宋体" w:hAnsi="宋体"/>
          <w:szCs w:val="21"/>
        </w:rPr>
        <w:t>ml水，加热溶液至微沸。</w:t>
      </w:r>
    </w:p>
    <w:p>
      <w:pPr>
        <w:spacing w:line="360" w:lineRule="auto"/>
        <w:ind w:left="25" w:leftChars="12"/>
        <w:rPr>
          <w:rFonts w:ascii="宋体" w:hAnsi="宋体"/>
          <w:szCs w:val="21"/>
        </w:rPr>
      </w:pPr>
      <w:r>
        <w:rPr>
          <w:rFonts w:ascii="宋体" w:hAnsi="宋体"/>
          <w:szCs w:val="21"/>
        </w:rPr>
        <w:t>1.3</w:t>
      </w:r>
      <w:r>
        <w:rPr>
          <w:rFonts w:hint="eastAsia" w:ascii="宋体" w:hAnsi="宋体"/>
          <w:szCs w:val="21"/>
        </w:rPr>
        <w:t>.2 取下烧杯，趁热，一边摇晃溶液一边缓慢加入</w:t>
      </w:r>
      <w:r>
        <w:rPr>
          <w:rFonts w:ascii="宋体" w:hAnsi="宋体"/>
          <w:szCs w:val="21"/>
        </w:rPr>
        <w:t>40</w:t>
      </w:r>
      <w:r>
        <w:rPr>
          <w:rFonts w:hint="eastAsia" w:ascii="宋体" w:hAnsi="宋体"/>
          <w:szCs w:val="21"/>
        </w:rPr>
        <w:t>毫升盐酸羟胺溶液（</w:t>
      </w:r>
      <w:r>
        <w:rPr>
          <w:rFonts w:ascii="宋体" w:hAnsi="宋体"/>
          <w:szCs w:val="21"/>
        </w:rPr>
        <w:t>250g/L</w:t>
      </w:r>
      <w:r>
        <w:rPr>
          <w:rFonts w:hint="eastAsia" w:ascii="宋体" w:hAnsi="宋体"/>
          <w:szCs w:val="21"/>
        </w:rPr>
        <w:t>）（现用现配），盖上表面皿，继续低温加热1.5h-2h，中间摇晃三角烧杯数次，至溶液澄清，沉淀由红色凝聚成黑色沉淀。</w:t>
      </w:r>
    </w:p>
    <w:p>
      <w:pPr>
        <w:spacing w:line="360" w:lineRule="auto"/>
        <w:ind w:left="25" w:leftChars="12"/>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.3  取下稍冷，用中速滤纸过滤到500ml的锥形瓶中，等溶液过滤完后用</w:t>
      </w:r>
      <w:r>
        <w:rPr>
          <w:rFonts w:ascii="宋体" w:hAnsi="宋体"/>
          <w:szCs w:val="21"/>
        </w:rPr>
        <w:t>玻璃棒将烧杯里的大块硒块碾碎</w:t>
      </w:r>
      <w:r>
        <w:rPr>
          <w:rFonts w:hint="eastAsia" w:ascii="宋体" w:hAnsi="宋体"/>
          <w:szCs w:val="21"/>
        </w:rPr>
        <w:t>，用盐酸溶液（</w:t>
      </w:r>
      <w:r>
        <w:rPr>
          <w:rFonts w:ascii="宋体" w:hAnsi="宋体"/>
          <w:szCs w:val="21"/>
        </w:rPr>
        <w:t>1+9</w:t>
      </w:r>
      <w:r>
        <w:rPr>
          <w:rFonts w:hint="eastAsia" w:ascii="宋体" w:hAnsi="宋体"/>
          <w:szCs w:val="21"/>
        </w:rPr>
        <w:t>）继续</w:t>
      </w:r>
      <w:r>
        <w:rPr>
          <w:rFonts w:ascii="宋体" w:hAnsi="宋体"/>
          <w:szCs w:val="21"/>
        </w:rPr>
        <w:t>冲洗至滤纸上，然后</w:t>
      </w:r>
      <w:r>
        <w:rPr>
          <w:rFonts w:hint="eastAsia" w:ascii="宋体" w:hAnsi="宋体"/>
          <w:szCs w:val="21"/>
        </w:rPr>
        <w:t>用盐酸溶液（1+9））液冲洗杯壁及滤纸4次-5次，完成过滤后得到的滤液大约在2</w:t>
      </w:r>
      <w:r>
        <w:rPr>
          <w:rFonts w:ascii="宋体" w:hAnsi="宋体"/>
          <w:szCs w:val="21"/>
        </w:rPr>
        <w:t>0</w:t>
      </w:r>
      <w:r>
        <w:rPr>
          <w:rFonts w:hint="eastAsia" w:ascii="宋体" w:hAnsi="宋体"/>
          <w:szCs w:val="21"/>
        </w:rPr>
        <w:t>0ml左右。</w:t>
      </w:r>
    </w:p>
    <w:p>
      <w:pPr>
        <w:spacing w:line="360" w:lineRule="auto"/>
        <w:ind w:left="25" w:leftChars="12"/>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.4 将滤液（</w:t>
      </w:r>
      <w:r>
        <w:rPr>
          <w:rFonts w:ascii="宋体" w:hAnsi="宋体"/>
          <w:szCs w:val="21"/>
        </w:rPr>
        <w:t>1.3</w:t>
      </w:r>
      <w:r>
        <w:rPr>
          <w:rFonts w:hint="eastAsia" w:ascii="宋体" w:hAnsi="宋体"/>
          <w:szCs w:val="21"/>
        </w:rPr>
        <w:t>.3）放置在电热板上，加热（溶液温度不超过90°C），然后立即加入30毫升</w:t>
      </w:r>
      <w:r>
        <w:rPr>
          <w:rFonts w:ascii="宋体" w:hAnsi="宋体"/>
          <w:szCs w:val="21"/>
        </w:rPr>
        <w:t>亚硫酸</w:t>
      </w:r>
      <w:r>
        <w:rPr>
          <w:rFonts w:hint="eastAsia" w:ascii="宋体" w:hAnsi="宋体"/>
          <w:szCs w:val="21"/>
        </w:rPr>
        <w:t>溶液（</w:t>
      </w:r>
      <w:r>
        <w:rPr>
          <w:rFonts w:ascii="宋体" w:hAnsi="宋体"/>
          <w:szCs w:val="21"/>
        </w:rPr>
        <w:t>&gt;6%</w:t>
      </w:r>
      <w:r>
        <w:rPr>
          <w:rFonts w:hint="eastAsia" w:ascii="宋体" w:hAnsi="宋体"/>
          <w:szCs w:val="21"/>
        </w:rPr>
        <w:t>）和</w:t>
      </w:r>
      <w:r>
        <w:rPr>
          <w:rFonts w:ascii="宋体" w:hAnsi="宋体"/>
          <w:szCs w:val="21"/>
        </w:rPr>
        <w:t>20</w:t>
      </w:r>
      <w:r>
        <w:rPr>
          <w:rFonts w:hint="eastAsia" w:ascii="宋体" w:hAnsi="宋体"/>
          <w:szCs w:val="21"/>
        </w:rPr>
        <w:t>ml盐酸联胺溶液（</w:t>
      </w:r>
      <w:r>
        <w:rPr>
          <w:rFonts w:ascii="宋体" w:hAnsi="宋体"/>
          <w:szCs w:val="21"/>
        </w:rPr>
        <w:t>150g/L</w:t>
      </w:r>
      <w:r>
        <w:rPr>
          <w:rFonts w:hint="eastAsia" w:ascii="宋体" w:hAnsi="宋体"/>
          <w:szCs w:val="21"/>
        </w:rPr>
        <w:t>），摇匀后再加入</w:t>
      </w:r>
      <w:r>
        <w:rPr>
          <w:rFonts w:ascii="宋体" w:hAnsi="宋体"/>
          <w:szCs w:val="21"/>
        </w:rPr>
        <w:t>2</w:t>
      </w:r>
      <w:r>
        <w:rPr>
          <w:rFonts w:hint="eastAsia" w:ascii="宋体" w:hAnsi="宋体"/>
          <w:szCs w:val="21"/>
        </w:rPr>
        <w:t>0ml亚硫酸溶液，继续保持低温加热1.5h左右，中途摇晃烧杯3次以使沉淀物快速凝聚。</w:t>
      </w:r>
    </w:p>
    <w:p>
      <w:pPr>
        <w:spacing w:line="360" w:lineRule="auto"/>
        <w:rPr>
          <w:rFonts w:ascii="宋体" w:hAnsi="宋体"/>
          <w:szCs w:val="21"/>
        </w:rPr>
      </w:pPr>
      <w:r>
        <w:rPr>
          <w:rFonts w:ascii="宋体" w:hAnsi="宋体"/>
          <w:szCs w:val="21"/>
        </w:rPr>
        <w:t>1.3</w:t>
      </w:r>
      <w:r>
        <w:rPr>
          <w:rFonts w:hint="eastAsia" w:ascii="宋体" w:hAnsi="宋体"/>
          <w:szCs w:val="21"/>
        </w:rPr>
        <w:t>.5 取下冷却，用已经恒重的30毫升G4玻璃砂芯坩埚（W1）抽滤，先将上层大部分的水溶液过滤，然后再加入100毫升</w:t>
      </w:r>
      <w:r>
        <w:rPr>
          <w:rFonts w:ascii="宋体" w:hAnsi="宋体"/>
          <w:szCs w:val="21"/>
        </w:rPr>
        <w:t>盐酸溶液</w:t>
      </w:r>
      <w:r>
        <w:rPr>
          <w:rFonts w:hint="eastAsia" w:ascii="宋体" w:hAnsi="宋体"/>
          <w:szCs w:val="21"/>
        </w:rPr>
        <w:t>（1</w:t>
      </w:r>
      <w:r>
        <w:rPr>
          <w:rFonts w:ascii="宋体" w:hAnsi="宋体"/>
          <w:szCs w:val="21"/>
        </w:rPr>
        <w:t>+9）</w:t>
      </w:r>
      <w:r>
        <w:rPr>
          <w:rFonts w:hint="eastAsia" w:ascii="宋体" w:hAnsi="宋体"/>
          <w:szCs w:val="21"/>
        </w:rPr>
        <w:t>，用玻璃棒搅动沉淀，继续过滤，用盐酸溶液（</w:t>
      </w:r>
      <w:r>
        <w:rPr>
          <w:rFonts w:ascii="宋体" w:hAnsi="宋体"/>
          <w:szCs w:val="21"/>
        </w:rPr>
        <w:t>1+9</w:t>
      </w:r>
      <w:r>
        <w:rPr>
          <w:rFonts w:hint="eastAsia" w:ascii="宋体" w:hAnsi="宋体"/>
          <w:szCs w:val="21"/>
        </w:rPr>
        <w:t>）冲洗瓶壁，</w:t>
      </w:r>
      <w:r>
        <w:rPr>
          <w:rFonts w:ascii="宋体" w:hAnsi="宋体"/>
          <w:szCs w:val="21"/>
        </w:rPr>
        <w:t>完成过滤后再</w:t>
      </w:r>
      <w:r>
        <w:rPr>
          <w:rFonts w:hint="eastAsia" w:ascii="宋体" w:hAnsi="宋体"/>
          <w:szCs w:val="21"/>
        </w:rPr>
        <w:t>用水反复冲洗碲黑色沉淀，冲洗时边用玻璃棒（玻璃棒头要光滑呈水滴状，防止玻璃棒沾样或掉玻璃碎屑）搅动压碎沉淀物，待</w:t>
      </w:r>
      <w:r>
        <w:rPr>
          <w:rFonts w:ascii="宋体" w:hAnsi="宋体"/>
          <w:szCs w:val="21"/>
        </w:rPr>
        <w:t>抽干后继续用玻璃棒将沉淀物压实并使其表面呈金属光泽状</w:t>
      </w:r>
      <w:r>
        <w:rPr>
          <w:rFonts w:hint="eastAsia" w:ascii="宋体" w:hAnsi="宋体"/>
          <w:szCs w:val="21"/>
        </w:rPr>
        <w:t>，再用无水乙醇冲洗玻璃棒</w:t>
      </w:r>
      <w:r>
        <w:rPr>
          <w:rFonts w:ascii="宋体" w:hAnsi="宋体"/>
          <w:szCs w:val="21"/>
        </w:rPr>
        <w:t>及</w:t>
      </w:r>
      <w:r>
        <w:rPr>
          <w:rFonts w:hint="eastAsia" w:ascii="宋体" w:hAnsi="宋体"/>
          <w:szCs w:val="21"/>
        </w:rPr>
        <w:t>碲黑色沉淀2次。</w:t>
      </w:r>
    </w:p>
    <w:p>
      <w:pPr>
        <w:spacing w:line="360" w:lineRule="auto"/>
        <w:rPr>
          <w:rFonts w:ascii="宋体" w:hAnsi="宋体"/>
          <w:szCs w:val="21"/>
        </w:rPr>
      </w:pPr>
      <w:r>
        <w:rPr>
          <w:rFonts w:ascii="宋体" w:hAnsi="宋体"/>
          <w:szCs w:val="21"/>
        </w:rPr>
        <w:t>1.3</w:t>
      </w:r>
      <w:r>
        <w:rPr>
          <w:rFonts w:hint="eastAsia" w:ascii="宋体" w:hAnsi="宋体"/>
          <w:szCs w:val="21"/>
        </w:rPr>
        <w:t>.6将G4玻璃砂芯坩埚放入恒温烘箱中，于105℃～110℃干燥</w:t>
      </w:r>
      <w:r>
        <w:rPr>
          <w:rFonts w:ascii="宋体" w:hAnsi="宋体"/>
          <w:szCs w:val="21"/>
        </w:rPr>
        <w:t xml:space="preserve">2 </w:t>
      </w:r>
      <w:r>
        <w:rPr>
          <w:rFonts w:hint="eastAsia" w:ascii="宋体" w:hAnsi="宋体"/>
          <w:szCs w:val="21"/>
        </w:rPr>
        <w:t>h，取出，置于干燥器中冷却至室温，称量，再次置于恒温干燥箱内，烘干， 并反复烘干至恒重（W</w:t>
      </w:r>
      <w:r>
        <w:rPr>
          <w:rFonts w:hint="eastAsia" w:ascii="宋体" w:hAnsi="宋体"/>
          <w:szCs w:val="21"/>
          <w:vertAlign w:val="subscript"/>
        </w:rPr>
        <w:t>2</w:t>
      </w:r>
      <w:r>
        <w:rPr>
          <w:rFonts w:hint="eastAsia" w:ascii="宋体" w:hAnsi="宋体"/>
          <w:szCs w:val="21"/>
        </w:rPr>
        <w:t>）（重量变化不大于0.0003g即可）。</w:t>
      </w:r>
    </w:p>
    <w:p>
      <w:pPr>
        <w:adjustRightInd w:val="0"/>
        <w:spacing w:before="156" w:beforeLines="50" w:after="156" w:afterLines="50" w:line="360" w:lineRule="auto"/>
        <w:rPr>
          <w:rFonts w:ascii="宋体" w:hAnsi="宋体"/>
          <w:b/>
          <w:kern w:val="0"/>
          <w:szCs w:val="21"/>
        </w:rPr>
      </w:pPr>
      <w:r>
        <w:rPr>
          <w:rFonts w:hint="eastAsia" w:ascii="宋体" w:hAnsi="宋体"/>
          <w:b/>
          <w:szCs w:val="21"/>
        </w:rPr>
        <w:t>2</w:t>
      </w:r>
      <w:r>
        <w:rPr>
          <w:rFonts w:hint="eastAsia" w:ascii="宋体" w:hAnsi="宋体"/>
          <w:b/>
          <w:kern w:val="0"/>
          <w:szCs w:val="21"/>
        </w:rPr>
        <w:t xml:space="preserve">  结果与讨论</w:t>
      </w:r>
    </w:p>
    <w:p>
      <w:pPr>
        <w:adjustRightInd w:val="0"/>
        <w:spacing w:before="156" w:beforeLines="50" w:after="156" w:afterLines="50" w:line="360" w:lineRule="auto"/>
        <w:rPr>
          <w:rFonts w:ascii="宋体" w:hAnsi="宋体"/>
          <w:b/>
          <w:kern w:val="0"/>
          <w:szCs w:val="21"/>
        </w:rPr>
      </w:pPr>
      <w:r>
        <w:rPr>
          <w:rFonts w:hint="eastAsia" w:ascii="宋体" w:hAnsi="宋体"/>
          <w:b/>
          <w:kern w:val="0"/>
          <w:szCs w:val="21"/>
        </w:rPr>
        <w:t>2.1 样品制备</w:t>
      </w:r>
    </w:p>
    <w:p>
      <w:pPr>
        <w:adjustRightInd w:val="0"/>
        <w:spacing w:before="156" w:beforeLines="50" w:after="156" w:afterLines="50" w:line="360" w:lineRule="auto"/>
        <w:ind w:firstLine="420" w:firstLineChars="200"/>
        <w:rPr>
          <w:rFonts w:ascii="宋体" w:hAnsi="宋体"/>
          <w:spacing w:val="6"/>
          <w:szCs w:val="21"/>
        </w:rPr>
      </w:pPr>
      <w:r>
        <w:rPr>
          <w:rFonts w:ascii="宋体" w:hAnsi="宋体"/>
          <w:kern w:val="0"/>
          <w:szCs w:val="21"/>
        </w:rPr>
        <w:t>用最具代表性</w:t>
      </w:r>
      <w:r>
        <w:rPr>
          <w:rFonts w:hint="eastAsia" w:ascii="宋体" w:hAnsi="宋体"/>
          <w:kern w:val="0"/>
          <w:szCs w:val="21"/>
        </w:rPr>
        <w:t>、</w:t>
      </w:r>
      <w:r>
        <w:rPr>
          <w:rFonts w:ascii="宋体" w:hAnsi="宋体"/>
          <w:kern w:val="0"/>
          <w:szCs w:val="21"/>
        </w:rPr>
        <w:t>最常规的粗硒样品和碲为基础</w:t>
      </w:r>
      <w:r>
        <w:rPr>
          <w:rFonts w:hint="eastAsia" w:ascii="宋体" w:hAnsi="宋体"/>
          <w:kern w:val="0"/>
          <w:szCs w:val="21"/>
        </w:rPr>
        <w:t>，配制了1#、</w:t>
      </w:r>
      <w:r>
        <w:rPr>
          <w:rFonts w:ascii="宋体" w:hAnsi="宋体"/>
          <w:kern w:val="0"/>
          <w:szCs w:val="21"/>
        </w:rPr>
        <w:t>2</w:t>
      </w:r>
      <w:r>
        <w:rPr>
          <w:rFonts w:hint="eastAsia" w:ascii="宋体" w:hAnsi="宋体"/>
          <w:kern w:val="0"/>
          <w:szCs w:val="21"/>
        </w:rPr>
        <w:t>#、3#、4#个粗硒样品样品，共计4个用来进行方法试验条件的试验，</w:t>
      </w:r>
      <w:r>
        <w:rPr>
          <w:rFonts w:hint="eastAsia" w:ascii="宋体" w:hAnsi="宋体"/>
          <w:spacing w:val="6"/>
          <w:szCs w:val="21"/>
        </w:rPr>
        <w:t>每个样均通过100目筛网。每个样的碲量及主要杂质元素用ICP检测，ICP检测方法如下：每个样称取0.</w:t>
      </w:r>
      <w:r>
        <w:rPr>
          <w:rFonts w:ascii="宋体" w:hAnsi="宋体"/>
          <w:spacing w:val="6"/>
          <w:szCs w:val="21"/>
        </w:rPr>
        <w:t>5</w:t>
      </w:r>
      <w:r>
        <w:rPr>
          <w:rFonts w:hint="eastAsia" w:ascii="宋体" w:hAnsi="宋体"/>
          <w:spacing w:val="6"/>
          <w:szCs w:val="21"/>
        </w:rPr>
        <w:t>g,用</w:t>
      </w:r>
      <w:r>
        <w:rPr>
          <w:rFonts w:ascii="宋体" w:hAnsi="宋体"/>
          <w:spacing w:val="6"/>
          <w:szCs w:val="21"/>
        </w:rPr>
        <w:t>20</w:t>
      </w:r>
      <w:r>
        <w:rPr>
          <w:rFonts w:hint="eastAsia" w:ascii="宋体" w:hAnsi="宋体"/>
          <w:spacing w:val="6"/>
          <w:szCs w:val="21"/>
        </w:rPr>
        <w:t>mL王水2h,然后用（1+5）的盐酸溶液转移定容于2</w:t>
      </w:r>
      <w:r>
        <w:rPr>
          <w:rFonts w:ascii="宋体" w:hAnsi="宋体"/>
          <w:spacing w:val="6"/>
          <w:szCs w:val="21"/>
        </w:rPr>
        <w:t>5</w:t>
      </w:r>
      <w:r>
        <w:rPr>
          <w:rFonts w:hint="eastAsia" w:ascii="宋体" w:hAnsi="宋体"/>
          <w:spacing w:val="6"/>
          <w:szCs w:val="21"/>
        </w:rPr>
        <w:t>0mL容量瓶中，此溶液为测定溶液A；然后分别移取10毫升测定溶液分别定容200mL的容量瓶中，此为稀释溶液B，在合适的条件下，分别用ICP检测溶液A和溶液B，得到</w:t>
      </w:r>
      <w:r>
        <w:rPr>
          <w:rFonts w:ascii="宋体" w:hAnsi="宋体"/>
          <w:spacing w:val="6"/>
          <w:szCs w:val="21"/>
        </w:rPr>
        <w:t>4</w:t>
      </w:r>
      <w:r>
        <w:rPr>
          <w:rFonts w:hint="eastAsia" w:ascii="宋体" w:hAnsi="宋体"/>
          <w:spacing w:val="6"/>
          <w:szCs w:val="21"/>
        </w:rPr>
        <w:t>个验证样中的碲及杂质含量，碲及杂质含量见下表1。</w:t>
      </w:r>
    </w:p>
    <w:p>
      <w:pPr>
        <w:adjustRightInd w:val="0"/>
        <w:spacing w:before="156" w:beforeLines="50" w:after="156" w:afterLines="50" w:line="360" w:lineRule="auto"/>
        <w:ind w:firstLine="444" w:firstLineChars="200"/>
        <w:rPr>
          <w:rFonts w:ascii="宋体" w:hAnsi="宋体"/>
          <w:spacing w:val="6"/>
          <w:szCs w:val="21"/>
        </w:rPr>
      </w:pPr>
      <w:r>
        <w:rPr>
          <w:rFonts w:hint="eastAsia" w:ascii="宋体" w:hAnsi="宋体"/>
          <w:spacing w:val="6"/>
          <w:szCs w:val="21"/>
        </w:rPr>
        <w:t xml:space="preserve">         表1 </w:t>
      </w:r>
      <w:r>
        <w:rPr>
          <w:rFonts w:ascii="宋体" w:hAnsi="宋体"/>
          <w:spacing w:val="6"/>
          <w:szCs w:val="21"/>
        </w:rPr>
        <w:t xml:space="preserve">  </w:t>
      </w:r>
      <w:r>
        <w:rPr>
          <w:rFonts w:hint="eastAsia" w:ascii="宋体" w:hAnsi="宋体"/>
          <w:spacing w:val="6"/>
          <w:szCs w:val="21"/>
        </w:rPr>
        <w:t>4个粗硒验证样的碲及主要杂质含量（%</w:t>
      </w:r>
      <w:r>
        <w:rPr>
          <w:rFonts w:ascii="宋体" w:hAnsi="宋体"/>
          <w:spacing w:val="6"/>
          <w:szCs w:val="21"/>
        </w:rPr>
        <w:t>）</w:t>
      </w:r>
      <w:r>
        <w:rPr>
          <w:rFonts w:hint="eastAsia" w:ascii="宋体" w:hAnsi="宋体"/>
          <w:spacing w:val="6"/>
          <w:szCs w:val="21"/>
        </w:rPr>
        <w:t>（ICP-</w:t>
      </w:r>
      <w:r>
        <w:rPr>
          <w:rFonts w:ascii="宋体" w:hAnsi="宋体"/>
          <w:spacing w:val="6"/>
          <w:szCs w:val="21"/>
        </w:rPr>
        <w:t>OES</w:t>
      </w:r>
      <w:r>
        <w:rPr>
          <w:rFonts w:hint="eastAsia" w:ascii="宋体" w:hAnsi="宋体"/>
          <w:spacing w:val="6"/>
          <w:szCs w:val="21"/>
        </w:rPr>
        <w:t>检测）</w:t>
      </w:r>
    </w:p>
    <w:tbl>
      <w:tblPr>
        <w:tblStyle w:val="23"/>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831"/>
        <w:gridCol w:w="831"/>
        <w:gridCol w:w="831"/>
        <w:gridCol w:w="831"/>
        <w:gridCol w:w="760"/>
        <w:gridCol w:w="761"/>
        <w:gridCol w:w="760"/>
        <w:gridCol w:w="760"/>
        <w:gridCol w:w="761"/>
        <w:gridCol w:w="760"/>
        <w:gridCol w:w="7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adjustRightInd w:val="0"/>
              <w:spacing w:before="156" w:beforeLines="50" w:after="156" w:afterLines="50" w:line="360" w:lineRule="auto"/>
              <w:jc w:val="center"/>
              <w:rPr>
                <w:rFonts w:ascii="宋体" w:hAnsi="宋体"/>
                <w:spacing w:val="6"/>
                <w:szCs w:val="21"/>
              </w:rPr>
            </w:pPr>
            <w:r>
              <w:rPr>
                <w:rFonts w:hint="eastAsia" w:ascii="宋体" w:hAnsi="宋体"/>
                <w:spacing w:val="6"/>
                <w:szCs w:val="21"/>
              </w:rPr>
              <w:t>样品编号</w:t>
            </w:r>
          </w:p>
        </w:tc>
        <w:tc>
          <w:tcPr>
            <w:tcW w:w="831" w:type="dxa"/>
            <w:vAlign w:val="center"/>
          </w:tcPr>
          <w:p>
            <w:pPr>
              <w:adjustRightInd w:val="0"/>
              <w:spacing w:before="156" w:beforeLines="50" w:after="156" w:afterLines="50" w:line="360" w:lineRule="auto"/>
              <w:jc w:val="center"/>
              <w:rPr>
                <w:rFonts w:ascii="宋体" w:hAnsi="宋体"/>
                <w:spacing w:val="6"/>
                <w:szCs w:val="21"/>
              </w:rPr>
            </w:pPr>
            <w:r>
              <w:rPr>
                <w:rFonts w:hint="eastAsia" w:ascii="宋体" w:hAnsi="宋体"/>
                <w:spacing w:val="6"/>
                <w:szCs w:val="21"/>
              </w:rPr>
              <w:t>Ag</w:t>
            </w:r>
          </w:p>
        </w:tc>
        <w:tc>
          <w:tcPr>
            <w:tcW w:w="831" w:type="dxa"/>
            <w:vAlign w:val="center"/>
          </w:tcPr>
          <w:p>
            <w:pPr>
              <w:adjustRightInd w:val="0"/>
              <w:spacing w:before="156" w:beforeLines="50" w:after="156" w:afterLines="50" w:line="360" w:lineRule="auto"/>
              <w:jc w:val="center"/>
              <w:rPr>
                <w:rFonts w:ascii="宋体" w:hAnsi="宋体"/>
                <w:spacing w:val="6"/>
                <w:szCs w:val="21"/>
              </w:rPr>
            </w:pPr>
            <w:r>
              <w:rPr>
                <w:rFonts w:ascii="宋体" w:hAnsi="宋体"/>
                <w:spacing w:val="6"/>
                <w:szCs w:val="21"/>
              </w:rPr>
              <w:t>Au</w:t>
            </w:r>
          </w:p>
        </w:tc>
        <w:tc>
          <w:tcPr>
            <w:tcW w:w="831" w:type="dxa"/>
            <w:vAlign w:val="center"/>
          </w:tcPr>
          <w:p>
            <w:pPr>
              <w:adjustRightInd w:val="0"/>
              <w:spacing w:before="156" w:beforeLines="50" w:after="156" w:afterLines="50" w:line="360" w:lineRule="auto"/>
              <w:jc w:val="center"/>
              <w:rPr>
                <w:rFonts w:ascii="宋体" w:hAnsi="宋体"/>
                <w:spacing w:val="6"/>
                <w:szCs w:val="21"/>
              </w:rPr>
            </w:pPr>
            <w:r>
              <w:rPr>
                <w:rFonts w:hint="eastAsia" w:ascii="宋体" w:hAnsi="宋体"/>
                <w:spacing w:val="6"/>
                <w:szCs w:val="21"/>
              </w:rPr>
              <w:t>P</w:t>
            </w:r>
            <w:r>
              <w:rPr>
                <w:rFonts w:ascii="宋体" w:hAnsi="宋体"/>
                <w:spacing w:val="6"/>
                <w:szCs w:val="21"/>
              </w:rPr>
              <w:t>t</w:t>
            </w:r>
          </w:p>
        </w:tc>
        <w:tc>
          <w:tcPr>
            <w:tcW w:w="831" w:type="dxa"/>
            <w:vAlign w:val="center"/>
          </w:tcPr>
          <w:p>
            <w:pPr>
              <w:adjustRightInd w:val="0"/>
              <w:spacing w:before="156" w:beforeLines="50" w:after="156" w:afterLines="50" w:line="360" w:lineRule="auto"/>
              <w:jc w:val="center"/>
              <w:rPr>
                <w:rFonts w:ascii="宋体" w:hAnsi="宋体"/>
                <w:spacing w:val="6"/>
                <w:szCs w:val="21"/>
              </w:rPr>
            </w:pPr>
            <w:r>
              <w:rPr>
                <w:rFonts w:hint="eastAsia" w:ascii="宋体" w:hAnsi="宋体"/>
                <w:spacing w:val="6"/>
                <w:szCs w:val="21"/>
              </w:rPr>
              <w:t>P</w:t>
            </w:r>
            <w:r>
              <w:rPr>
                <w:rFonts w:ascii="宋体" w:hAnsi="宋体"/>
                <w:spacing w:val="6"/>
                <w:szCs w:val="21"/>
              </w:rPr>
              <w:t>d</w:t>
            </w:r>
          </w:p>
        </w:tc>
        <w:tc>
          <w:tcPr>
            <w:tcW w:w="760" w:type="dxa"/>
            <w:vAlign w:val="center"/>
          </w:tcPr>
          <w:p>
            <w:pPr>
              <w:adjustRightInd w:val="0"/>
              <w:spacing w:before="156" w:beforeLines="50" w:after="156" w:afterLines="50" w:line="360" w:lineRule="auto"/>
              <w:jc w:val="center"/>
              <w:rPr>
                <w:rFonts w:ascii="宋体" w:hAnsi="宋体"/>
                <w:spacing w:val="6"/>
                <w:szCs w:val="21"/>
              </w:rPr>
            </w:pPr>
            <w:r>
              <w:rPr>
                <w:rFonts w:ascii="宋体" w:hAnsi="宋体"/>
                <w:spacing w:val="6"/>
                <w:szCs w:val="21"/>
              </w:rPr>
              <w:t>Fe</w:t>
            </w:r>
          </w:p>
        </w:tc>
        <w:tc>
          <w:tcPr>
            <w:tcW w:w="761" w:type="dxa"/>
            <w:vAlign w:val="center"/>
          </w:tcPr>
          <w:p>
            <w:pPr>
              <w:adjustRightInd w:val="0"/>
              <w:spacing w:before="156" w:beforeLines="50" w:after="156" w:afterLines="50" w:line="360" w:lineRule="auto"/>
              <w:jc w:val="center"/>
              <w:rPr>
                <w:rFonts w:ascii="宋体" w:hAnsi="宋体"/>
                <w:spacing w:val="6"/>
                <w:szCs w:val="21"/>
              </w:rPr>
            </w:pPr>
            <w:r>
              <w:rPr>
                <w:rFonts w:ascii="宋体" w:hAnsi="宋体"/>
                <w:spacing w:val="6"/>
                <w:szCs w:val="21"/>
              </w:rPr>
              <w:t>Hg</w:t>
            </w:r>
          </w:p>
        </w:tc>
        <w:tc>
          <w:tcPr>
            <w:tcW w:w="760" w:type="dxa"/>
            <w:vAlign w:val="center"/>
          </w:tcPr>
          <w:p>
            <w:pPr>
              <w:adjustRightInd w:val="0"/>
              <w:spacing w:before="156" w:beforeLines="50" w:after="156" w:afterLines="50" w:line="360" w:lineRule="auto"/>
              <w:jc w:val="center"/>
              <w:rPr>
                <w:rFonts w:ascii="宋体" w:hAnsi="宋体"/>
                <w:spacing w:val="6"/>
                <w:szCs w:val="21"/>
              </w:rPr>
            </w:pPr>
            <w:r>
              <w:rPr>
                <w:rFonts w:hint="eastAsia" w:ascii="宋体" w:hAnsi="宋体"/>
                <w:spacing w:val="6"/>
                <w:szCs w:val="21"/>
              </w:rPr>
              <w:t>Na</w:t>
            </w:r>
          </w:p>
        </w:tc>
        <w:tc>
          <w:tcPr>
            <w:tcW w:w="760" w:type="dxa"/>
            <w:vAlign w:val="center"/>
          </w:tcPr>
          <w:p>
            <w:pPr>
              <w:adjustRightInd w:val="0"/>
              <w:spacing w:before="156" w:beforeLines="50" w:after="156" w:afterLines="50" w:line="360" w:lineRule="auto"/>
              <w:jc w:val="center"/>
              <w:rPr>
                <w:rFonts w:ascii="宋体" w:hAnsi="宋体"/>
                <w:spacing w:val="6"/>
                <w:szCs w:val="21"/>
              </w:rPr>
            </w:pPr>
            <w:r>
              <w:rPr>
                <w:rFonts w:ascii="宋体" w:hAnsi="宋体"/>
                <w:spacing w:val="6"/>
                <w:szCs w:val="21"/>
              </w:rPr>
              <w:t>P</w:t>
            </w:r>
            <w:r>
              <w:rPr>
                <w:rFonts w:hint="eastAsia" w:ascii="宋体" w:hAnsi="宋体"/>
                <w:spacing w:val="6"/>
                <w:szCs w:val="21"/>
              </w:rPr>
              <w:t>b</w:t>
            </w:r>
          </w:p>
        </w:tc>
        <w:tc>
          <w:tcPr>
            <w:tcW w:w="761" w:type="dxa"/>
            <w:vAlign w:val="center"/>
          </w:tcPr>
          <w:p>
            <w:pPr>
              <w:adjustRightInd w:val="0"/>
              <w:spacing w:before="156" w:beforeLines="50" w:after="156" w:afterLines="50" w:line="360" w:lineRule="auto"/>
              <w:jc w:val="center"/>
              <w:rPr>
                <w:rFonts w:ascii="宋体" w:hAnsi="宋体"/>
                <w:spacing w:val="6"/>
                <w:szCs w:val="21"/>
              </w:rPr>
            </w:pPr>
            <w:r>
              <w:rPr>
                <w:rFonts w:ascii="宋体" w:hAnsi="宋体"/>
                <w:spacing w:val="6"/>
                <w:szCs w:val="21"/>
              </w:rPr>
              <w:t>S</w:t>
            </w:r>
            <w:r>
              <w:rPr>
                <w:rFonts w:hint="eastAsia" w:ascii="宋体" w:hAnsi="宋体"/>
                <w:spacing w:val="6"/>
                <w:szCs w:val="21"/>
              </w:rPr>
              <w:t>b</w:t>
            </w:r>
          </w:p>
        </w:tc>
        <w:tc>
          <w:tcPr>
            <w:tcW w:w="760" w:type="dxa"/>
            <w:vAlign w:val="center"/>
          </w:tcPr>
          <w:p>
            <w:pPr>
              <w:adjustRightInd w:val="0"/>
              <w:spacing w:before="156" w:beforeLines="50" w:after="156" w:afterLines="50" w:line="360" w:lineRule="auto"/>
              <w:jc w:val="center"/>
              <w:rPr>
                <w:rFonts w:ascii="宋体" w:hAnsi="宋体"/>
                <w:spacing w:val="6"/>
                <w:szCs w:val="21"/>
              </w:rPr>
            </w:pPr>
            <w:r>
              <w:rPr>
                <w:rFonts w:ascii="宋体" w:hAnsi="宋体"/>
                <w:spacing w:val="6"/>
                <w:szCs w:val="21"/>
              </w:rPr>
              <w:t>S</w:t>
            </w:r>
          </w:p>
        </w:tc>
        <w:tc>
          <w:tcPr>
            <w:tcW w:w="761" w:type="dxa"/>
            <w:vAlign w:val="center"/>
          </w:tcPr>
          <w:p>
            <w:pPr>
              <w:adjustRightInd w:val="0"/>
              <w:spacing w:before="156" w:beforeLines="50" w:after="156" w:afterLines="50" w:line="360" w:lineRule="auto"/>
              <w:jc w:val="center"/>
              <w:rPr>
                <w:rFonts w:ascii="宋体" w:hAnsi="宋体"/>
                <w:spacing w:val="6"/>
                <w:szCs w:val="21"/>
              </w:rPr>
            </w:pPr>
            <w:r>
              <w:rPr>
                <w:rFonts w:hint="eastAsia" w:ascii="宋体" w:hAnsi="宋体"/>
                <w:spacing w:val="6"/>
                <w:szCs w:val="21"/>
              </w:rPr>
              <w:t>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adjustRightInd w:val="0"/>
              <w:spacing w:before="156" w:beforeLines="50" w:after="156" w:afterLines="50" w:line="360" w:lineRule="auto"/>
              <w:jc w:val="center"/>
              <w:rPr>
                <w:rFonts w:ascii="宋体" w:hAnsi="宋体"/>
                <w:spacing w:val="6"/>
                <w:szCs w:val="21"/>
              </w:rPr>
            </w:pPr>
            <w:r>
              <w:rPr>
                <w:rFonts w:hint="eastAsia" w:ascii="宋体" w:hAnsi="宋体"/>
                <w:spacing w:val="6"/>
                <w:szCs w:val="21"/>
              </w:rPr>
              <w:t>1</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760" w:type="dxa"/>
            <w:vAlign w:val="center"/>
          </w:tcPr>
          <w:p>
            <w:pPr>
              <w:jc w:val="center"/>
            </w:pPr>
            <w:r>
              <w:rPr>
                <w:rFonts w:hint="eastAsia"/>
              </w:rPr>
              <w:t>0.12</w:t>
            </w:r>
          </w:p>
        </w:tc>
        <w:tc>
          <w:tcPr>
            <w:tcW w:w="761" w:type="dxa"/>
            <w:vAlign w:val="center"/>
          </w:tcPr>
          <w:p>
            <w:pPr>
              <w:jc w:val="center"/>
            </w:pPr>
            <w:r>
              <w:rPr>
                <w:rFonts w:hint="eastAsia"/>
              </w:rPr>
              <w:t>0.14</w:t>
            </w:r>
          </w:p>
        </w:tc>
        <w:tc>
          <w:tcPr>
            <w:tcW w:w="760" w:type="dxa"/>
            <w:vAlign w:val="center"/>
          </w:tcPr>
          <w:p>
            <w:pPr>
              <w:jc w:val="center"/>
            </w:pPr>
            <w:r>
              <w:rPr>
                <w:rFonts w:hint="eastAsia"/>
              </w:rPr>
              <w:t>0.15</w:t>
            </w:r>
          </w:p>
        </w:tc>
        <w:tc>
          <w:tcPr>
            <w:tcW w:w="760" w:type="dxa"/>
            <w:vAlign w:val="center"/>
          </w:tcPr>
          <w:p>
            <w:pPr>
              <w:jc w:val="center"/>
            </w:pPr>
            <w:r>
              <w:rPr>
                <w:rFonts w:hint="eastAsia"/>
              </w:rPr>
              <w:t>0.18</w:t>
            </w:r>
          </w:p>
        </w:tc>
        <w:tc>
          <w:tcPr>
            <w:tcW w:w="761" w:type="dxa"/>
            <w:vAlign w:val="center"/>
          </w:tcPr>
          <w:p>
            <w:pPr>
              <w:jc w:val="center"/>
            </w:pPr>
            <w:r>
              <w:rPr>
                <w:rFonts w:hint="eastAsia"/>
              </w:rPr>
              <w:t>0.02</w:t>
            </w:r>
          </w:p>
        </w:tc>
        <w:tc>
          <w:tcPr>
            <w:tcW w:w="760" w:type="dxa"/>
            <w:vAlign w:val="center"/>
          </w:tcPr>
          <w:p>
            <w:pPr>
              <w:jc w:val="center"/>
            </w:pPr>
            <w:r>
              <w:rPr>
                <w:rFonts w:hint="eastAsia"/>
              </w:rPr>
              <w:t>0.21</w:t>
            </w:r>
          </w:p>
        </w:tc>
        <w:tc>
          <w:tcPr>
            <w:tcW w:w="761" w:type="dxa"/>
            <w:vAlign w:val="center"/>
          </w:tcPr>
          <w:p>
            <w:pPr>
              <w:jc w:val="center"/>
            </w:pPr>
            <w:r>
              <w:rPr>
                <w:rFonts w:hint="eastAsia"/>
              </w:rPr>
              <w:t>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adjustRightInd w:val="0"/>
              <w:spacing w:before="156" w:beforeLines="50" w:after="156" w:afterLines="50" w:line="360" w:lineRule="auto"/>
              <w:jc w:val="center"/>
              <w:rPr>
                <w:rFonts w:ascii="宋体" w:hAnsi="宋体"/>
                <w:spacing w:val="6"/>
                <w:szCs w:val="21"/>
              </w:rPr>
            </w:pPr>
            <w:r>
              <w:rPr>
                <w:rFonts w:hint="eastAsia" w:ascii="宋体" w:hAnsi="宋体"/>
                <w:spacing w:val="6"/>
                <w:szCs w:val="21"/>
              </w:rPr>
              <w:t>2</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760" w:type="dxa"/>
            <w:vAlign w:val="center"/>
          </w:tcPr>
          <w:p>
            <w:pPr>
              <w:jc w:val="center"/>
            </w:pPr>
            <w:r>
              <w:rPr>
                <w:rFonts w:hint="eastAsia"/>
              </w:rPr>
              <w:t>0.16</w:t>
            </w:r>
          </w:p>
        </w:tc>
        <w:tc>
          <w:tcPr>
            <w:tcW w:w="761" w:type="dxa"/>
            <w:vAlign w:val="center"/>
          </w:tcPr>
          <w:p>
            <w:pPr>
              <w:jc w:val="center"/>
            </w:pPr>
            <w:r>
              <w:rPr>
                <w:rFonts w:hint="eastAsia"/>
              </w:rPr>
              <w:t>0.13</w:t>
            </w:r>
          </w:p>
        </w:tc>
        <w:tc>
          <w:tcPr>
            <w:tcW w:w="760" w:type="dxa"/>
            <w:vAlign w:val="center"/>
          </w:tcPr>
          <w:p>
            <w:pPr>
              <w:jc w:val="center"/>
            </w:pPr>
            <w:r>
              <w:rPr>
                <w:rFonts w:hint="eastAsia"/>
              </w:rPr>
              <w:t>0.15</w:t>
            </w:r>
          </w:p>
        </w:tc>
        <w:tc>
          <w:tcPr>
            <w:tcW w:w="760" w:type="dxa"/>
            <w:vAlign w:val="center"/>
          </w:tcPr>
          <w:p>
            <w:pPr>
              <w:jc w:val="center"/>
            </w:pPr>
            <w:r>
              <w:rPr>
                <w:rFonts w:hint="eastAsia"/>
              </w:rPr>
              <w:t>0.18</w:t>
            </w:r>
          </w:p>
        </w:tc>
        <w:tc>
          <w:tcPr>
            <w:tcW w:w="761" w:type="dxa"/>
            <w:vAlign w:val="center"/>
          </w:tcPr>
          <w:p>
            <w:pPr>
              <w:jc w:val="center"/>
            </w:pPr>
            <w:r>
              <w:rPr>
                <w:rFonts w:hint="eastAsia"/>
              </w:rPr>
              <w:t>0.04</w:t>
            </w:r>
          </w:p>
        </w:tc>
        <w:tc>
          <w:tcPr>
            <w:tcW w:w="760" w:type="dxa"/>
            <w:vAlign w:val="center"/>
          </w:tcPr>
          <w:p>
            <w:pPr>
              <w:jc w:val="center"/>
            </w:pPr>
            <w:r>
              <w:rPr>
                <w:rFonts w:hint="eastAsia"/>
              </w:rPr>
              <w:t>0.19</w:t>
            </w:r>
          </w:p>
        </w:tc>
        <w:tc>
          <w:tcPr>
            <w:tcW w:w="761" w:type="dxa"/>
            <w:vAlign w:val="center"/>
          </w:tcPr>
          <w:p>
            <w:pPr>
              <w:jc w:val="center"/>
            </w:pPr>
            <w:r>
              <w:rPr>
                <w:rFonts w:hint="eastAsia"/>
              </w:rPr>
              <w:t>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adjustRightInd w:val="0"/>
              <w:spacing w:before="156" w:beforeLines="50" w:after="156" w:afterLines="50" w:line="360" w:lineRule="auto"/>
              <w:jc w:val="center"/>
              <w:rPr>
                <w:rFonts w:ascii="宋体" w:hAnsi="宋体"/>
                <w:spacing w:val="6"/>
                <w:szCs w:val="21"/>
              </w:rPr>
            </w:pPr>
            <w:r>
              <w:rPr>
                <w:rFonts w:hint="eastAsia" w:ascii="宋体" w:hAnsi="宋体"/>
                <w:spacing w:val="6"/>
                <w:szCs w:val="21"/>
              </w:rPr>
              <w:t>3</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760" w:type="dxa"/>
            <w:vAlign w:val="center"/>
          </w:tcPr>
          <w:p>
            <w:pPr>
              <w:jc w:val="center"/>
            </w:pPr>
            <w:r>
              <w:rPr>
                <w:rFonts w:hint="eastAsia"/>
              </w:rPr>
              <w:t>0.09</w:t>
            </w:r>
          </w:p>
        </w:tc>
        <w:tc>
          <w:tcPr>
            <w:tcW w:w="761" w:type="dxa"/>
            <w:vAlign w:val="center"/>
          </w:tcPr>
          <w:p>
            <w:pPr>
              <w:jc w:val="center"/>
            </w:pPr>
            <w:r>
              <w:rPr>
                <w:rFonts w:hint="eastAsia"/>
              </w:rPr>
              <w:t>0.12</w:t>
            </w:r>
          </w:p>
        </w:tc>
        <w:tc>
          <w:tcPr>
            <w:tcW w:w="760" w:type="dxa"/>
            <w:vAlign w:val="center"/>
          </w:tcPr>
          <w:p>
            <w:pPr>
              <w:jc w:val="center"/>
            </w:pPr>
            <w:r>
              <w:rPr>
                <w:rFonts w:hint="eastAsia"/>
              </w:rPr>
              <w:t>0.14</w:t>
            </w:r>
          </w:p>
        </w:tc>
        <w:tc>
          <w:tcPr>
            <w:tcW w:w="760" w:type="dxa"/>
            <w:vAlign w:val="center"/>
          </w:tcPr>
          <w:p>
            <w:pPr>
              <w:jc w:val="center"/>
            </w:pPr>
            <w:r>
              <w:rPr>
                <w:rFonts w:hint="eastAsia"/>
              </w:rPr>
              <w:t>0.16</w:t>
            </w:r>
          </w:p>
        </w:tc>
        <w:tc>
          <w:tcPr>
            <w:tcW w:w="761" w:type="dxa"/>
            <w:vAlign w:val="center"/>
          </w:tcPr>
          <w:p>
            <w:pPr>
              <w:jc w:val="center"/>
            </w:pPr>
            <w:r>
              <w:rPr>
                <w:rFonts w:hint="eastAsia"/>
              </w:rPr>
              <w:t>0.06</w:t>
            </w:r>
          </w:p>
        </w:tc>
        <w:tc>
          <w:tcPr>
            <w:tcW w:w="760" w:type="dxa"/>
            <w:vAlign w:val="center"/>
          </w:tcPr>
          <w:p>
            <w:pPr>
              <w:jc w:val="center"/>
            </w:pPr>
            <w:r>
              <w:rPr>
                <w:rFonts w:hint="eastAsia"/>
              </w:rPr>
              <w:t>0.18</w:t>
            </w:r>
          </w:p>
        </w:tc>
        <w:tc>
          <w:tcPr>
            <w:tcW w:w="761" w:type="dxa"/>
            <w:vAlign w:val="center"/>
          </w:tcPr>
          <w:p>
            <w:pPr>
              <w:jc w:val="center"/>
            </w:pPr>
            <w:r>
              <w:rPr>
                <w:rFonts w:hint="eastAsia"/>
              </w:rPr>
              <w:t>15.40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adjustRightInd w:val="0"/>
              <w:spacing w:before="156" w:beforeLines="50" w:after="156" w:afterLines="50" w:line="360" w:lineRule="auto"/>
              <w:jc w:val="center"/>
              <w:rPr>
                <w:rFonts w:ascii="宋体" w:hAnsi="宋体"/>
                <w:spacing w:val="6"/>
                <w:szCs w:val="21"/>
              </w:rPr>
            </w:pPr>
            <w:r>
              <w:rPr>
                <w:rFonts w:hint="eastAsia" w:ascii="宋体" w:hAnsi="宋体"/>
                <w:spacing w:val="6"/>
                <w:szCs w:val="21"/>
              </w:rPr>
              <w:t>4</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831" w:type="dxa"/>
            <w:vAlign w:val="center"/>
          </w:tcPr>
          <w:p>
            <w:pPr>
              <w:jc w:val="center"/>
            </w:pPr>
            <w:r>
              <w:rPr>
                <w:rFonts w:ascii="宋体" w:hAnsi="宋体"/>
                <w:spacing w:val="6"/>
                <w:szCs w:val="21"/>
              </w:rPr>
              <w:t>&lt;0.01</w:t>
            </w:r>
          </w:p>
        </w:tc>
        <w:tc>
          <w:tcPr>
            <w:tcW w:w="760" w:type="dxa"/>
            <w:vAlign w:val="center"/>
          </w:tcPr>
          <w:p>
            <w:pPr>
              <w:jc w:val="center"/>
            </w:pPr>
            <w:r>
              <w:rPr>
                <w:rFonts w:hint="eastAsia"/>
              </w:rPr>
              <w:t>0.10</w:t>
            </w:r>
          </w:p>
        </w:tc>
        <w:tc>
          <w:tcPr>
            <w:tcW w:w="761" w:type="dxa"/>
            <w:vAlign w:val="center"/>
          </w:tcPr>
          <w:p>
            <w:pPr>
              <w:jc w:val="center"/>
            </w:pPr>
            <w:r>
              <w:rPr>
                <w:rFonts w:hint="eastAsia"/>
              </w:rPr>
              <w:t>0.17</w:t>
            </w:r>
          </w:p>
        </w:tc>
        <w:tc>
          <w:tcPr>
            <w:tcW w:w="760" w:type="dxa"/>
            <w:vAlign w:val="center"/>
          </w:tcPr>
          <w:p>
            <w:pPr>
              <w:jc w:val="center"/>
            </w:pPr>
            <w:r>
              <w:rPr>
                <w:rFonts w:hint="eastAsia"/>
              </w:rPr>
              <w:t>0.13</w:t>
            </w:r>
          </w:p>
        </w:tc>
        <w:tc>
          <w:tcPr>
            <w:tcW w:w="760" w:type="dxa"/>
            <w:vAlign w:val="center"/>
          </w:tcPr>
          <w:p>
            <w:pPr>
              <w:jc w:val="center"/>
            </w:pPr>
            <w:r>
              <w:rPr>
                <w:rFonts w:hint="eastAsia"/>
              </w:rPr>
              <w:t>0.16</w:t>
            </w:r>
          </w:p>
        </w:tc>
        <w:tc>
          <w:tcPr>
            <w:tcW w:w="761" w:type="dxa"/>
            <w:vAlign w:val="center"/>
          </w:tcPr>
          <w:p>
            <w:pPr>
              <w:jc w:val="center"/>
            </w:pPr>
            <w:r>
              <w:rPr>
                <w:rFonts w:hint="eastAsia"/>
              </w:rPr>
              <w:t>0.08</w:t>
            </w:r>
          </w:p>
        </w:tc>
        <w:tc>
          <w:tcPr>
            <w:tcW w:w="760" w:type="dxa"/>
            <w:vAlign w:val="center"/>
          </w:tcPr>
          <w:p>
            <w:pPr>
              <w:jc w:val="center"/>
            </w:pPr>
            <w:r>
              <w:rPr>
                <w:rFonts w:hint="eastAsia"/>
              </w:rPr>
              <w:t>0.17</w:t>
            </w:r>
          </w:p>
        </w:tc>
        <w:tc>
          <w:tcPr>
            <w:tcW w:w="761" w:type="dxa"/>
            <w:vAlign w:val="center"/>
          </w:tcPr>
          <w:p>
            <w:pPr>
              <w:jc w:val="center"/>
            </w:pPr>
            <w:r>
              <w:rPr>
                <w:rFonts w:hint="eastAsia"/>
              </w:rPr>
              <w:t>20.66</w:t>
            </w:r>
          </w:p>
        </w:tc>
      </w:tr>
    </w:tbl>
    <w:p>
      <w:pPr>
        <w:adjustRightInd w:val="0"/>
        <w:spacing w:before="156" w:beforeLines="50" w:after="156" w:afterLines="50" w:line="360" w:lineRule="auto"/>
        <w:rPr>
          <w:rFonts w:ascii="宋体" w:hAnsi="宋体"/>
          <w:spacing w:val="6"/>
          <w:szCs w:val="21"/>
        </w:rPr>
      </w:pPr>
    </w:p>
    <w:p>
      <w:pPr>
        <w:adjustRightInd w:val="0"/>
        <w:spacing w:before="156" w:beforeLines="50" w:after="156" w:afterLines="50" w:line="360" w:lineRule="auto"/>
        <w:rPr>
          <w:rFonts w:ascii="宋体" w:hAnsi="宋体"/>
          <w:spacing w:val="6"/>
          <w:szCs w:val="21"/>
        </w:rPr>
      </w:pPr>
      <w:r>
        <w:rPr>
          <w:rFonts w:hint="eastAsia" w:ascii="宋体" w:hAnsi="宋体"/>
          <w:b/>
          <w:kern w:val="0"/>
          <w:szCs w:val="21"/>
        </w:rPr>
        <w:t>2.2 试验条件的控制</w:t>
      </w:r>
    </w:p>
    <w:p>
      <w:pPr>
        <w:adjustRightInd w:val="0"/>
        <w:spacing w:line="360" w:lineRule="auto"/>
        <w:rPr>
          <w:rFonts w:ascii="宋体" w:hAnsi="宋体" w:cs="黑体"/>
          <w:b/>
          <w:szCs w:val="21"/>
        </w:rPr>
      </w:pPr>
      <w:r>
        <w:rPr>
          <w:rFonts w:hint="eastAsia" w:ascii="宋体" w:hAnsi="宋体" w:cs="黑体"/>
          <w:b/>
          <w:szCs w:val="21"/>
        </w:rPr>
        <w:t xml:space="preserve">2.2.1共存元素的影响和还原剂的选择 </w:t>
      </w:r>
    </w:p>
    <w:p>
      <w:pPr>
        <w:adjustRightInd w:val="0"/>
        <w:spacing w:line="360" w:lineRule="auto"/>
        <w:ind w:firstLine="420" w:firstLineChars="200"/>
        <w:rPr>
          <w:rFonts w:ascii="宋体" w:hAnsi="宋体" w:cs="宋体"/>
          <w:szCs w:val="21"/>
        </w:rPr>
      </w:pPr>
      <w:r>
        <w:rPr>
          <w:rFonts w:hint="eastAsia" w:ascii="宋体" w:hAnsi="宋体" w:cs="宋体"/>
          <w:szCs w:val="21"/>
        </w:rPr>
        <w:t>粗硒和粗硒中的碲一般以单质形式存在，需要用酸溶解；因为粗硒是从含硒原料中通过还原沉淀方法得到的粗硒，所以一般粗硒中含有较高的其他共存杂质，特别是碲会全部共沉淀；一般的粗硒主要杂质为铅、锑、铁、铜、钠、硫、汞等，也有的物料因为不预先回收贵金属使得粗硒中含有贵金属金银铂钯等。使用还原沉淀法测定碲量要考虑这些共存元素尤其是主元素硒的影响，使用亚硫酸及盐酸联胺作为还原剂会同时定量还原硒，部分还原金银贵金属等，选择沉淀剂要考虑这些影响。本方法使用盐酸羟胺还原硒、金及部分银，可以通过过滤去除共沉淀的元素硒、贵金属等法及酸不溶物等，创造了沉淀还原碲时共沉淀杂质较低的条件和要求。</w:t>
      </w:r>
    </w:p>
    <w:p>
      <w:pPr>
        <w:adjustRightInd w:val="0"/>
        <w:spacing w:line="360" w:lineRule="auto"/>
        <w:ind w:firstLine="420" w:firstLineChars="200"/>
        <w:rPr>
          <w:rFonts w:ascii="宋体" w:hAnsi="宋体" w:cs="宋体"/>
          <w:szCs w:val="21"/>
        </w:rPr>
      </w:pPr>
      <w:r>
        <w:rPr>
          <w:rFonts w:hint="eastAsia" w:ascii="宋体" w:hAnsi="宋体" w:cs="宋体"/>
          <w:szCs w:val="21"/>
        </w:rPr>
        <w:t>硫脲、二氧化硫、盐酸联胺、硫代硫酸钠等均是碲的良好还原剂，但硫脲、硫代硫酸钠等在过滤时不易洗涤，所以使用易洗涤及溶解度较大亚硫酸和盐酸联胺作为配合还原沉淀剂。</w:t>
      </w:r>
    </w:p>
    <w:p>
      <w:pPr>
        <w:adjustRightInd w:val="0"/>
        <w:spacing w:line="360" w:lineRule="auto"/>
        <w:ind w:firstLine="420" w:firstLineChars="200"/>
        <w:rPr>
          <w:rFonts w:ascii="宋体" w:hAnsi="宋体" w:cs="宋体"/>
          <w:szCs w:val="21"/>
        </w:rPr>
      </w:pPr>
      <w:r>
        <w:rPr>
          <w:rFonts w:hint="eastAsia" w:ascii="宋体" w:hAnsi="宋体" w:cs="宋体"/>
          <w:szCs w:val="21"/>
        </w:rPr>
        <w:t>使用盐酸羟胺预先还原主要的共存元素硒，成为沉淀物，碲不被还原留在溶液中，使用滤纸过滤可以很好的洗涤分离硒和碲，</w:t>
      </w:r>
      <w:r>
        <w:rPr>
          <w:rFonts w:ascii="宋体" w:hAnsi="宋体" w:cs="宋体"/>
          <w:szCs w:val="21"/>
        </w:rPr>
        <w:t>4</w:t>
      </w:r>
      <w:r>
        <w:rPr>
          <w:rFonts w:hint="eastAsia" w:ascii="宋体" w:hAnsi="宋体" w:cs="宋体"/>
          <w:szCs w:val="21"/>
        </w:rPr>
        <w:t>个验证样品经检测，滤纸残留碲相对样品量为小于0.02%,滤液中硒量为小于1ug/mL,金、钯等粗碲中常见的贵金属元素也可以被定量还原沉淀，所以盐酸羟胺是合适的分离沉淀剂。</w:t>
      </w:r>
    </w:p>
    <w:p>
      <w:pPr>
        <w:adjustRightInd w:val="0"/>
        <w:spacing w:line="360" w:lineRule="auto"/>
        <w:ind w:firstLine="420" w:firstLineChars="200"/>
        <w:rPr>
          <w:rFonts w:ascii="宋体" w:hAnsi="宋体" w:cs="宋体"/>
          <w:szCs w:val="21"/>
        </w:rPr>
      </w:pPr>
      <w:r>
        <w:rPr>
          <w:rFonts w:hint="eastAsia" w:ascii="宋体" w:hAnsi="宋体" w:cs="宋体"/>
          <w:szCs w:val="21"/>
        </w:rPr>
        <w:t>使用亚硫酸和盐酸联胺配合沉淀剂可以定量还原沉淀碲，从加标回收及重复性试验样品的检测数据来分析，多个样品滤液经检测除有两个样品滤液为大于3ug/mL外，其余均小于3ug/mL。</w:t>
      </w:r>
    </w:p>
    <w:p>
      <w:pPr>
        <w:adjustRightInd w:val="0"/>
        <w:spacing w:line="360" w:lineRule="auto"/>
        <w:ind w:firstLine="420" w:firstLineChars="200"/>
        <w:rPr>
          <w:rFonts w:ascii="宋体" w:hAnsi="宋体" w:cs="宋体"/>
          <w:szCs w:val="21"/>
        </w:rPr>
      </w:pPr>
      <w:r>
        <w:rPr>
          <w:rFonts w:hint="eastAsia" w:ascii="宋体" w:hAnsi="宋体" w:cs="宋体"/>
          <w:szCs w:val="21"/>
        </w:rPr>
        <w:t>碲沉淀物中共沉淀的硒、硫、氯根等均小于0.01%，同时检测碲沉淀物中的氧含量，均低于0.02%，说明该方法最后得到的沉淀是单一的单质沉淀，方法有可靠的计量方式。</w:t>
      </w:r>
    </w:p>
    <w:p>
      <w:pPr>
        <w:adjustRightInd w:val="0"/>
        <w:spacing w:line="360" w:lineRule="auto"/>
        <w:ind w:firstLine="420" w:firstLineChars="200"/>
        <w:rPr>
          <w:rFonts w:ascii="宋体" w:hAnsi="宋体" w:cs="宋体"/>
          <w:szCs w:val="21"/>
        </w:rPr>
      </w:pPr>
      <w:r>
        <w:rPr>
          <w:rFonts w:ascii="宋体" w:hAnsi="宋体" w:cs="宋体"/>
          <w:szCs w:val="21"/>
        </w:rPr>
        <w:t>经过方法确认</w:t>
      </w:r>
      <w:r>
        <w:rPr>
          <w:rFonts w:hint="eastAsia" w:ascii="宋体" w:hAnsi="宋体" w:cs="宋体"/>
          <w:szCs w:val="21"/>
        </w:rPr>
        <w:t>：</w:t>
      </w:r>
      <w:r>
        <w:rPr>
          <w:rFonts w:ascii="宋体" w:hAnsi="宋体" w:cs="宋体"/>
          <w:szCs w:val="21"/>
        </w:rPr>
        <w:t>使用硝酸盐酸溶解样品</w:t>
      </w:r>
      <w:r>
        <w:rPr>
          <w:rFonts w:hint="eastAsia" w:ascii="宋体" w:hAnsi="宋体" w:cs="宋体"/>
          <w:szCs w:val="21"/>
        </w:rPr>
        <w:t>，</w:t>
      </w:r>
      <w:r>
        <w:rPr>
          <w:rFonts w:ascii="宋体" w:hAnsi="宋体" w:cs="宋体"/>
          <w:szCs w:val="21"/>
        </w:rPr>
        <w:t>使用盐酸羟胺预先沉淀分离硒</w:t>
      </w:r>
      <w:r>
        <w:rPr>
          <w:rFonts w:hint="eastAsia" w:ascii="宋体" w:hAnsi="宋体" w:cs="宋体"/>
          <w:szCs w:val="21"/>
        </w:rPr>
        <w:t>，</w:t>
      </w:r>
      <w:r>
        <w:rPr>
          <w:rFonts w:ascii="宋体" w:hAnsi="宋体" w:cs="宋体"/>
          <w:szCs w:val="21"/>
        </w:rPr>
        <w:t>使用亚硫酸和盐酸联胺沉淀还原碲</w:t>
      </w:r>
      <w:r>
        <w:rPr>
          <w:rFonts w:hint="eastAsia" w:ascii="宋体" w:hAnsi="宋体" w:cs="宋体"/>
          <w:szCs w:val="21"/>
        </w:rPr>
        <w:t>。</w:t>
      </w:r>
    </w:p>
    <w:p>
      <w:pPr>
        <w:adjustRightInd w:val="0"/>
        <w:spacing w:line="360" w:lineRule="auto"/>
        <w:rPr>
          <w:rFonts w:ascii="宋体" w:hAnsi="宋体" w:cs="黑体"/>
          <w:b/>
          <w:szCs w:val="21"/>
        </w:rPr>
      </w:pPr>
      <w:r>
        <w:rPr>
          <w:rFonts w:hint="eastAsia" w:ascii="宋体" w:hAnsi="宋体" w:cs="黑体"/>
          <w:b/>
          <w:szCs w:val="21"/>
        </w:rPr>
        <w:t>2.2.2 溶解样品的酸度的影响</w:t>
      </w:r>
    </w:p>
    <w:p>
      <w:pPr>
        <w:adjustRightInd w:val="0"/>
        <w:spacing w:line="360" w:lineRule="auto"/>
        <w:rPr>
          <w:rFonts w:ascii="宋体" w:hAnsi="宋体" w:cs="宋体"/>
          <w:szCs w:val="21"/>
        </w:rPr>
      </w:pPr>
      <w:r>
        <w:rPr>
          <w:rFonts w:hint="eastAsia" w:ascii="宋体" w:hAnsi="宋体" w:cs="宋体"/>
          <w:szCs w:val="21"/>
        </w:rPr>
        <w:t>2.2.2.1 试验情况</w:t>
      </w:r>
    </w:p>
    <w:p>
      <w:pPr>
        <w:adjustRightInd w:val="0"/>
        <w:spacing w:line="360" w:lineRule="auto"/>
        <w:ind w:firstLine="420" w:firstLineChars="200"/>
        <w:rPr>
          <w:rFonts w:ascii="宋体" w:hAnsi="宋体" w:cs="宋体"/>
          <w:szCs w:val="21"/>
        </w:rPr>
      </w:pPr>
      <w:r>
        <w:rPr>
          <w:rFonts w:hint="eastAsia" w:ascii="宋体" w:hAnsi="宋体" w:cs="宋体"/>
          <w:szCs w:val="21"/>
        </w:rPr>
        <w:t>粗硒及粗硒中的碲是单质，只用盐酸不能溶解，硝酸可以溶解。但因为硒沉淀需要保持一定的酸度，只用硝酸需要用较多的硝酸，会导致溶液为强氧化环境的酸溶液，严重影响还原剂盐酸羟胺的还原能力，所以使用硝酸溶解样品、盐酸保持酸度的混合酸溶解样品的方法溶解样品。这样就需要选择确认硝酸、盐酸的使用量，选择样品1#、2#、3#、4#样品，使用不同的酸量溶解进行测定，按照1.1的方法得到碲含量；然后将碲沉淀物用20毫升王水溶解，转移定容于200毫升容量瓶中，用ICP-OES检测溶液中的硒含量，计算得到碲沉淀物中共沉淀的硒含量。试验情况见下表2：</w:t>
      </w:r>
    </w:p>
    <w:p>
      <w:pPr>
        <w:adjustRightInd w:val="0"/>
        <w:spacing w:line="360" w:lineRule="auto"/>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表2：溶解样品的酸用量的现象统计</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109"/>
        <w:gridCol w:w="1471"/>
        <w:gridCol w:w="1266"/>
        <w:gridCol w:w="1083"/>
        <w:gridCol w:w="1314"/>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样品编号</w:t>
            </w:r>
          </w:p>
        </w:tc>
        <w:tc>
          <w:tcPr>
            <w:tcW w:w="1109"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称样量（g）</w:t>
            </w:r>
          </w:p>
        </w:tc>
        <w:tc>
          <w:tcPr>
            <w:tcW w:w="1472"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加入溶解用的酸量</w:t>
            </w:r>
          </w:p>
        </w:tc>
        <w:tc>
          <w:tcPr>
            <w:tcW w:w="126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碲含量（不扣除碲沉淀物中的硒杂质）（%）</w:t>
            </w:r>
          </w:p>
        </w:tc>
        <w:tc>
          <w:tcPr>
            <w:tcW w:w="1084"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样品溶解情况</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碲沉淀物中硒的含量（%）</w:t>
            </w:r>
          </w:p>
        </w:tc>
        <w:tc>
          <w:tcPr>
            <w:tcW w:w="1155" w:type="dxa"/>
            <w:shd w:val="clear" w:color="auto" w:fill="auto"/>
          </w:tcPr>
          <w:p>
            <w:pPr>
              <w:adjustRightInd w:val="0"/>
              <w:spacing w:line="360" w:lineRule="auto"/>
              <w:rPr>
                <w:rFonts w:ascii="宋体" w:hAnsi="宋体" w:cs="宋体"/>
                <w:szCs w:val="21"/>
              </w:rPr>
            </w:pPr>
            <w:r>
              <w:rPr>
                <w:rFonts w:ascii="宋体" w:hAnsi="宋体" w:cs="宋体"/>
                <w:szCs w:val="21"/>
              </w:rPr>
              <w:t>碲含量</w:t>
            </w:r>
            <w:r>
              <w:rPr>
                <w:rFonts w:hint="eastAsia" w:ascii="宋体" w:hAnsi="宋体" w:cs="宋体"/>
                <w:szCs w:val="21"/>
              </w:rPr>
              <w:t>（扣除碲沉淀物中的硒杂质）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restart"/>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1#</w:t>
            </w:r>
          </w:p>
        </w:tc>
        <w:tc>
          <w:tcPr>
            <w:tcW w:w="1109" w:type="dxa"/>
            <w:shd w:val="clear" w:color="auto" w:fill="auto"/>
            <w:vAlign w:val="center"/>
          </w:tcPr>
          <w:p>
            <w:pPr>
              <w:widowControl/>
              <w:jc w:val="center"/>
              <w:rPr>
                <w:rFonts w:ascii="宋体" w:hAnsi="宋体"/>
                <w:color w:val="000000"/>
                <w:kern w:val="0"/>
                <w:szCs w:val="21"/>
              </w:rPr>
            </w:pPr>
            <w:r>
              <w:rPr>
                <w:rFonts w:hint="eastAsia" w:ascii="宋体" w:hAnsi="宋体"/>
                <w:color w:val="000000"/>
                <w:szCs w:val="21"/>
              </w:rPr>
              <w:t>1.9920</w:t>
            </w:r>
          </w:p>
        </w:tc>
        <w:tc>
          <w:tcPr>
            <w:tcW w:w="1472" w:type="dxa"/>
            <w:vMerge w:val="restart"/>
            <w:shd w:val="clear" w:color="auto" w:fill="auto"/>
            <w:vAlign w:val="center"/>
          </w:tcPr>
          <w:p>
            <w:pPr>
              <w:adjustRightInd w:val="0"/>
              <w:spacing w:line="360" w:lineRule="auto"/>
              <w:ind w:firstLine="210" w:firstLineChars="100"/>
              <w:jc w:val="center"/>
              <w:rPr>
                <w:rFonts w:ascii="宋体" w:hAnsi="宋体" w:cs="宋体"/>
                <w:szCs w:val="21"/>
              </w:rPr>
            </w:pPr>
          </w:p>
          <w:p>
            <w:pPr>
              <w:adjustRightInd w:val="0"/>
              <w:spacing w:line="360" w:lineRule="auto"/>
              <w:jc w:val="center"/>
              <w:rPr>
                <w:rFonts w:ascii="宋体" w:hAnsi="宋体" w:cs="宋体"/>
                <w:szCs w:val="21"/>
              </w:rPr>
            </w:pPr>
            <w:r>
              <w:rPr>
                <w:rFonts w:hint="eastAsia" w:ascii="宋体" w:hAnsi="宋体" w:cs="宋体"/>
                <w:szCs w:val="21"/>
              </w:rPr>
              <w:t>10ml硝酸+30ml盐酸</w:t>
            </w:r>
          </w:p>
        </w:tc>
        <w:tc>
          <w:tcPr>
            <w:tcW w:w="1267" w:type="dxa"/>
            <w:shd w:val="clear" w:color="auto" w:fill="auto"/>
            <w:vAlign w:val="center"/>
          </w:tcPr>
          <w:p>
            <w:pPr>
              <w:widowControl/>
              <w:jc w:val="center"/>
              <w:rPr>
                <w:rFonts w:ascii="宋体" w:hAnsi="宋体"/>
                <w:color w:val="000000"/>
                <w:kern w:val="0"/>
                <w:szCs w:val="21"/>
              </w:rPr>
            </w:pPr>
            <w:r>
              <w:rPr>
                <w:rFonts w:hint="eastAsia" w:ascii="宋体" w:hAnsi="宋体"/>
                <w:color w:val="000000"/>
                <w:szCs w:val="21"/>
              </w:rPr>
              <w:t>5.27</w:t>
            </w:r>
          </w:p>
        </w:tc>
        <w:tc>
          <w:tcPr>
            <w:tcW w:w="1084" w:type="dxa"/>
            <w:shd w:val="clear" w:color="auto" w:fill="auto"/>
          </w:tcPr>
          <w:p>
            <w:pPr>
              <w:adjustRightInd w:val="0"/>
              <w:spacing w:line="360" w:lineRule="auto"/>
              <w:ind w:firstLine="210" w:firstLineChars="100"/>
              <w:jc w:val="center"/>
              <w:rPr>
                <w:rFonts w:ascii="宋体" w:hAnsi="宋体" w:cs="宋体"/>
                <w:szCs w:val="21"/>
              </w:rPr>
            </w:pPr>
            <w:r>
              <w:rPr>
                <w:rFonts w:hint="eastAsia" w:ascii="宋体" w:hAnsi="宋体" w:cs="宋体"/>
                <w:szCs w:val="21"/>
              </w:rPr>
              <w:t>样品溶解完全清澈</w:t>
            </w:r>
          </w:p>
        </w:tc>
        <w:tc>
          <w:tcPr>
            <w:tcW w:w="1315" w:type="dxa"/>
            <w:shd w:val="clear" w:color="auto" w:fill="auto"/>
            <w:vAlign w:val="center"/>
          </w:tcPr>
          <w:p>
            <w:pPr>
              <w:adjustRightInd w:val="0"/>
              <w:spacing w:line="360" w:lineRule="auto"/>
              <w:ind w:firstLine="210" w:firstLineChars="100"/>
              <w:jc w:val="center"/>
              <w:rPr>
                <w:rFonts w:ascii="宋体" w:hAnsi="宋体" w:cs="宋体"/>
                <w:szCs w:val="21"/>
              </w:rPr>
            </w:pPr>
            <w:r>
              <w:rPr>
                <w:rFonts w:hint="eastAsia" w:ascii="宋体" w:hAnsi="宋体" w:cs="宋体"/>
                <w:szCs w:val="21"/>
              </w:rPr>
              <w:t>5.81</w:t>
            </w:r>
          </w:p>
        </w:tc>
        <w:tc>
          <w:tcPr>
            <w:tcW w:w="1155" w:type="dxa"/>
            <w:shd w:val="clear" w:color="auto" w:fill="auto"/>
          </w:tcPr>
          <w:p>
            <w:pPr>
              <w:adjustRightInd w:val="0"/>
              <w:spacing w:line="360" w:lineRule="auto"/>
              <w:ind w:firstLine="210" w:firstLineChars="100"/>
              <w:jc w:val="center"/>
              <w:rPr>
                <w:rFonts w:ascii="宋体" w:hAnsi="宋体" w:cs="宋体"/>
                <w:szCs w:val="21"/>
              </w:rPr>
            </w:pPr>
            <w:r>
              <w:rPr>
                <w:rFonts w:hint="eastAsia" w:ascii="宋体" w:hAnsi="宋体" w:cs="宋体"/>
                <w:szCs w:val="21"/>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2.0068</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5.28</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ind w:firstLine="210" w:firstLineChars="100"/>
              <w:jc w:val="center"/>
              <w:rPr>
                <w:rFonts w:ascii="宋体" w:hAnsi="宋体" w:cs="宋体"/>
                <w:szCs w:val="21"/>
              </w:rPr>
            </w:pPr>
            <w:r>
              <w:rPr>
                <w:rFonts w:hint="eastAsia" w:ascii="宋体" w:hAnsi="宋体" w:cs="宋体"/>
                <w:szCs w:val="21"/>
              </w:rPr>
              <w:t>5.96</w:t>
            </w:r>
          </w:p>
        </w:tc>
        <w:tc>
          <w:tcPr>
            <w:tcW w:w="1155" w:type="dxa"/>
            <w:shd w:val="clear" w:color="auto" w:fill="auto"/>
          </w:tcPr>
          <w:p>
            <w:pPr>
              <w:adjustRightInd w:val="0"/>
              <w:spacing w:line="360" w:lineRule="auto"/>
              <w:ind w:firstLine="210" w:firstLineChars="100"/>
              <w:jc w:val="center"/>
              <w:rPr>
                <w:rFonts w:ascii="宋体" w:hAnsi="宋体" w:cs="宋体"/>
                <w:szCs w:val="21"/>
              </w:rPr>
            </w:pPr>
            <w:r>
              <w:rPr>
                <w:rFonts w:hint="eastAsia" w:ascii="宋体" w:hAnsi="宋体" w:cs="宋体"/>
                <w:szCs w:val="21"/>
              </w:rP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2.0087</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5.43</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ind w:firstLine="210" w:firstLineChars="100"/>
              <w:jc w:val="center"/>
              <w:rPr>
                <w:rFonts w:ascii="宋体" w:hAnsi="宋体" w:cs="宋体"/>
                <w:szCs w:val="21"/>
              </w:rPr>
            </w:pPr>
            <w:r>
              <w:rPr>
                <w:rFonts w:hint="eastAsia" w:ascii="宋体" w:hAnsi="宋体" w:cs="宋体"/>
                <w:szCs w:val="21"/>
              </w:rPr>
              <w:t>7.96</w:t>
            </w:r>
          </w:p>
        </w:tc>
        <w:tc>
          <w:tcPr>
            <w:tcW w:w="1155" w:type="dxa"/>
            <w:shd w:val="clear" w:color="auto" w:fill="auto"/>
          </w:tcPr>
          <w:p>
            <w:pPr>
              <w:adjustRightInd w:val="0"/>
              <w:spacing w:line="360" w:lineRule="auto"/>
              <w:ind w:firstLine="210" w:firstLineChars="100"/>
              <w:jc w:val="center"/>
              <w:rPr>
                <w:rFonts w:ascii="宋体" w:hAnsi="宋体" w:cs="宋体"/>
                <w:szCs w:val="21"/>
              </w:rPr>
            </w:pPr>
            <w:r>
              <w:rPr>
                <w:rFonts w:hint="eastAsia" w:ascii="宋体" w:hAnsi="宋体" w:cs="宋体"/>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1.9986</w:t>
            </w:r>
          </w:p>
        </w:tc>
        <w:tc>
          <w:tcPr>
            <w:tcW w:w="1472" w:type="dxa"/>
            <w:vMerge w:val="restart"/>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5ml硝酸+15ml盐酸消解样品</w:t>
            </w:r>
          </w:p>
        </w:tc>
        <w:tc>
          <w:tcPr>
            <w:tcW w:w="126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5.02</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0.05</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2.0244</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5.01</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ascii="宋体" w:hAnsi="宋体" w:cs="宋体"/>
                <w:szCs w:val="21"/>
              </w:rPr>
              <w:t>0.11</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2.0114</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5.04</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0.03</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restart"/>
            <w:shd w:val="clear" w:color="auto" w:fill="auto"/>
            <w:vAlign w:val="center"/>
          </w:tcPr>
          <w:p>
            <w:pPr>
              <w:adjustRightInd w:val="0"/>
              <w:spacing w:line="360" w:lineRule="auto"/>
              <w:jc w:val="center"/>
              <w:rPr>
                <w:rFonts w:ascii="宋体" w:hAnsi="宋体" w:cs="宋体"/>
                <w:szCs w:val="21"/>
              </w:rPr>
            </w:pPr>
          </w:p>
          <w:p>
            <w:pPr>
              <w:adjustRightInd w:val="0"/>
              <w:spacing w:line="360" w:lineRule="auto"/>
              <w:jc w:val="center"/>
              <w:rPr>
                <w:rFonts w:ascii="宋体" w:hAnsi="宋体" w:cs="宋体"/>
                <w:szCs w:val="21"/>
              </w:rPr>
            </w:pPr>
          </w:p>
          <w:p>
            <w:pPr>
              <w:adjustRightInd w:val="0"/>
              <w:spacing w:line="360" w:lineRule="auto"/>
              <w:jc w:val="center"/>
              <w:rPr>
                <w:rFonts w:ascii="宋体" w:hAnsi="宋体" w:cs="宋体"/>
                <w:szCs w:val="21"/>
              </w:rPr>
            </w:pPr>
          </w:p>
          <w:p>
            <w:pPr>
              <w:adjustRightInd w:val="0"/>
              <w:spacing w:line="360" w:lineRule="auto"/>
              <w:jc w:val="center"/>
              <w:rPr>
                <w:rFonts w:ascii="宋体" w:hAnsi="宋体" w:cs="宋体"/>
                <w:szCs w:val="21"/>
              </w:rPr>
            </w:pPr>
          </w:p>
          <w:p>
            <w:pPr>
              <w:adjustRightInd w:val="0"/>
              <w:spacing w:line="360" w:lineRule="auto"/>
              <w:jc w:val="center"/>
              <w:rPr>
                <w:rFonts w:ascii="宋体" w:hAnsi="宋体" w:cs="宋体"/>
                <w:szCs w:val="21"/>
              </w:rPr>
            </w:pPr>
          </w:p>
          <w:p>
            <w:pPr>
              <w:adjustRightInd w:val="0"/>
              <w:spacing w:line="360" w:lineRule="auto"/>
              <w:jc w:val="center"/>
              <w:rPr>
                <w:rFonts w:ascii="宋体" w:hAnsi="宋体" w:cs="宋体"/>
                <w:szCs w:val="21"/>
              </w:rPr>
            </w:pPr>
            <w:r>
              <w:rPr>
                <w:rFonts w:hint="eastAsia" w:ascii="宋体" w:hAnsi="宋体" w:cs="宋体"/>
                <w:szCs w:val="21"/>
              </w:rPr>
              <w:t>2#</w:t>
            </w:r>
          </w:p>
        </w:tc>
        <w:tc>
          <w:tcPr>
            <w:tcW w:w="1109" w:type="dxa"/>
            <w:shd w:val="clear" w:color="auto" w:fill="auto"/>
            <w:vAlign w:val="center"/>
          </w:tcPr>
          <w:p>
            <w:pPr>
              <w:widowControl/>
              <w:jc w:val="center"/>
              <w:rPr>
                <w:rFonts w:ascii="宋体" w:hAnsi="宋体"/>
                <w:color w:val="000000"/>
                <w:kern w:val="0"/>
                <w:szCs w:val="21"/>
              </w:rPr>
            </w:pPr>
            <w:r>
              <w:rPr>
                <w:rFonts w:hint="eastAsia" w:ascii="宋体" w:hAnsi="宋体"/>
                <w:color w:val="000000"/>
                <w:szCs w:val="21"/>
              </w:rPr>
              <w:t>2.0064</w:t>
            </w:r>
          </w:p>
        </w:tc>
        <w:tc>
          <w:tcPr>
            <w:tcW w:w="1472" w:type="dxa"/>
            <w:vMerge w:val="restart"/>
            <w:shd w:val="clear" w:color="auto" w:fill="auto"/>
            <w:vAlign w:val="center"/>
          </w:tcPr>
          <w:p>
            <w:pPr>
              <w:adjustRightInd w:val="0"/>
              <w:spacing w:line="360" w:lineRule="auto"/>
              <w:ind w:firstLine="210" w:firstLineChars="100"/>
              <w:jc w:val="center"/>
              <w:rPr>
                <w:rFonts w:ascii="宋体" w:hAnsi="宋体" w:cs="宋体"/>
                <w:szCs w:val="21"/>
              </w:rPr>
            </w:pPr>
          </w:p>
          <w:p>
            <w:pPr>
              <w:adjustRightInd w:val="0"/>
              <w:spacing w:line="360" w:lineRule="auto"/>
              <w:jc w:val="center"/>
              <w:rPr>
                <w:rFonts w:ascii="宋体" w:hAnsi="宋体" w:cs="宋体"/>
                <w:szCs w:val="21"/>
              </w:rPr>
            </w:pPr>
            <w:r>
              <w:rPr>
                <w:rFonts w:hint="eastAsia" w:ascii="宋体" w:hAnsi="宋体" w:cs="宋体"/>
                <w:szCs w:val="21"/>
              </w:rPr>
              <w:t>10ml硝酸+30ml盐酸</w:t>
            </w:r>
          </w:p>
        </w:tc>
        <w:tc>
          <w:tcPr>
            <w:tcW w:w="1267" w:type="dxa"/>
            <w:shd w:val="clear" w:color="auto" w:fill="auto"/>
            <w:vAlign w:val="center"/>
          </w:tcPr>
          <w:p>
            <w:pPr>
              <w:widowControl/>
              <w:jc w:val="center"/>
              <w:rPr>
                <w:rFonts w:ascii="宋体" w:hAnsi="宋体"/>
                <w:color w:val="000000"/>
                <w:kern w:val="0"/>
                <w:szCs w:val="21"/>
              </w:rPr>
            </w:pPr>
            <w:r>
              <w:rPr>
                <w:rFonts w:hint="eastAsia" w:ascii="宋体" w:hAnsi="宋体"/>
                <w:color w:val="000000"/>
                <w:szCs w:val="21"/>
              </w:rPr>
              <w:t>10.21</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2.36</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2.0024</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10.26</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2.54</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1.9932</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10.25</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2.33</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1.9897</w:t>
            </w:r>
          </w:p>
        </w:tc>
        <w:tc>
          <w:tcPr>
            <w:tcW w:w="1472" w:type="dxa"/>
            <w:vMerge w:val="restart"/>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5ml硝酸+15ml盐酸消解样品</w:t>
            </w:r>
          </w:p>
        </w:tc>
        <w:tc>
          <w:tcPr>
            <w:tcW w:w="126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9.96</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0.05</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2.0136</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9.93</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0.02</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2.0090</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9.95</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0.06</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restart"/>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3#</w:t>
            </w:r>
          </w:p>
        </w:tc>
        <w:tc>
          <w:tcPr>
            <w:tcW w:w="1109" w:type="dxa"/>
            <w:shd w:val="clear" w:color="auto" w:fill="auto"/>
            <w:vAlign w:val="center"/>
          </w:tcPr>
          <w:p>
            <w:pPr>
              <w:widowControl/>
              <w:jc w:val="center"/>
              <w:rPr>
                <w:rFonts w:ascii="宋体" w:hAnsi="宋体"/>
                <w:color w:val="000000"/>
                <w:kern w:val="0"/>
                <w:szCs w:val="21"/>
              </w:rPr>
            </w:pPr>
            <w:r>
              <w:rPr>
                <w:rFonts w:hint="eastAsia" w:ascii="宋体" w:hAnsi="宋体"/>
                <w:color w:val="000000"/>
                <w:szCs w:val="21"/>
              </w:rPr>
              <w:t>1.9953</w:t>
            </w:r>
          </w:p>
        </w:tc>
        <w:tc>
          <w:tcPr>
            <w:tcW w:w="1472" w:type="dxa"/>
            <w:vMerge w:val="restart"/>
            <w:shd w:val="clear" w:color="auto" w:fill="auto"/>
            <w:vAlign w:val="center"/>
          </w:tcPr>
          <w:p>
            <w:pPr>
              <w:adjustRightInd w:val="0"/>
              <w:spacing w:line="360" w:lineRule="auto"/>
              <w:ind w:firstLine="210" w:firstLineChars="100"/>
              <w:jc w:val="center"/>
              <w:rPr>
                <w:rFonts w:ascii="宋体" w:hAnsi="宋体" w:cs="宋体"/>
                <w:szCs w:val="21"/>
              </w:rPr>
            </w:pPr>
          </w:p>
          <w:p>
            <w:pPr>
              <w:adjustRightInd w:val="0"/>
              <w:spacing w:line="360" w:lineRule="auto"/>
              <w:jc w:val="center"/>
              <w:rPr>
                <w:rFonts w:ascii="宋体" w:hAnsi="宋体" w:cs="宋体"/>
                <w:szCs w:val="21"/>
              </w:rPr>
            </w:pPr>
            <w:r>
              <w:rPr>
                <w:rFonts w:hint="eastAsia" w:ascii="宋体" w:hAnsi="宋体" w:cs="宋体"/>
                <w:szCs w:val="21"/>
              </w:rPr>
              <w:t>10ml硝酸+30ml盐酸</w:t>
            </w:r>
          </w:p>
        </w:tc>
        <w:tc>
          <w:tcPr>
            <w:tcW w:w="1267" w:type="dxa"/>
            <w:shd w:val="clear" w:color="auto" w:fill="auto"/>
            <w:vAlign w:val="center"/>
          </w:tcPr>
          <w:p>
            <w:pPr>
              <w:widowControl/>
              <w:jc w:val="center"/>
              <w:rPr>
                <w:rFonts w:ascii="宋体" w:hAnsi="宋体"/>
                <w:color w:val="000000"/>
                <w:kern w:val="0"/>
                <w:szCs w:val="21"/>
              </w:rPr>
            </w:pPr>
            <w:r>
              <w:rPr>
                <w:rFonts w:hint="eastAsia" w:ascii="宋体" w:hAnsi="宋体"/>
                <w:color w:val="000000"/>
                <w:szCs w:val="21"/>
              </w:rPr>
              <w:t>14.77</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w:t>
            </w:r>
            <w:r>
              <w:rPr>
                <w:rFonts w:ascii="宋体" w:hAnsi="宋体" w:cs="宋体"/>
                <w:szCs w:val="21"/>
              </w:rPr>
              <w:t>15</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14.76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2.0006</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14.73</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0.05</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2.0084</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14.77</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0.08</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14.76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2.0122</w:t>
            </w:r>
          </w:p>
        </w:tc>
        <w:tc>
          <w:tcPr>
            <w:tcW w:w="1472" w:type="dxa"/>
            <w:vMerge w:val="restart"/>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5ml硝酸+15ml盐酸消解样品</w:t>
            </w: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14.86</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0.11</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2.0032</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4</w:t>
            </w:r>
            <w:r>
              <w:rPr>
                <w:rFonts w:hint="eastAsia" w:ascii="宋体" w:hAnsi="宋体"/>
                <w:color w:val="000000"/>
                <w:szCs w:val="21"/>
              </w:rPr>
              <w:t>.</w:t>
            </w:r>
            <w:r>
              <w:rPr>
                <w:rFonts w:ascii="宋体" w:hAnsi="宋体"/>
                <w:color w:val="000000"/>
                <w:szCs w:val="21"/>
              </w:rPr>
              <w:t>98</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w:t>
            </w:r>
            <w:r>
              <w:rPr>
                <w:rFonts w:ascii="宋体" w:hAnsi="宋体" w:cs="宋体"/>
                <w:szCs w:val="21"/>
              </w:rPr>
              <w:t>03</w:t>
            </w:r>
          </w:p>
        </w:tc>
        <w:tc>
          <w:tcPr>
            <w:tcW w:w="1155" w:type="dxa"/>
            <w:shd w:val="clear" w:color="auto" w:fill="auto"/>
          </w:tcPr>
          <w:p>
            <w:pPr>
              <w:adjustRightInd w:val="0"/>
              <w:spacing w:line="360" w:lineRule="auto"/>
              <w:jc w:val="center"/>
              <w:rPr>
                <w:rFonts w:ascii="宋体" w:hAnsi="宋体" w:cs="宋体"/>
                <w:szCs w:val="21"/>
              </w:rPr>
            </w:pPr>
            <w:r>
              <w:rPr>
                <w:rFonts w:ascii="宋体" w:hAnsi="宋体" w:cs="宋体"/>
                <w:szCs w:val="21"/>
              </w:rPr>
              <w:t>14.97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2.0057</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14.76</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0.08</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14.75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restart"/>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4#</w:t>
            </w:r>
          </w:p>
        </w:tc>
        <w:tc>
          <w:tcPr>
            <w:tcW w:w="1109" w:type="dxa"/>
            <w:shd w:val="clear" w:color="auto" w:fill="auto"/>
            <w:vAlign w:val="center"/>
          </w:tcPr>
          <w:p>
            <w:pPr>
              <w:widowControl/>
              <w:jc w:val="center"/>
              <w:rPr>
                <w:rFonts w:ascii="宋体" w:hAnsi="宋体"/>
                <w:color w:val="000000"/>
                <w:kern w:val="0"/>
                <w:szCs w:val="21"/>
              </w:rPr>
            </w:pPr>
            <w:r>
              <w:rPr>
                <w:rFonts w:hint="eastAsia" w:ascii="宋体" w:hAnsi="宋体"/>
                <w:color w:val="000000"/>
                <w:szCs w:val="21"/>
              </w:rPr>
              <w:t>2.0184</w:t>
            </w:r>
          </w:p>
        </w:tc>
        <w:tc>
          <w:tcPr>
            <w:tcW w:w="1472" w:type="dxa"/>
            <w:vMerge w:val="restart"/>
            <w:shd w:val="clear" w:color="auto" w:fill="auto"/>
            <w:vAlign w:val="center"/>
          </w:tcPr>
          <w:p>
            <w:pPr>
              <w:adjustRightInd w:val="0"/>
              <w:spacing w:line="360" w:lineRule="auto"/>
              <w:ind w:firstLine="210" w:firstLineChars="100"/>
              <w:jc w:val="center"/>
              <w:rPr>
                <w:rFonts w:ascii="宋体" w:hAnsi="宋体" w:cs="宋体"/>
                <w:szCs w:val="21"/>
              </w:rPr>
            </w:pPr>
          </w:p>
          <w:p>
            <w:pPr>
              <w:adjustRightInd w:val="0"/>
              <w:spacing w:line="360" w:lineRule="auto"/>
              <w:jc w:val="center"/>
              <w:rPr>
                <w:rFonts w:ascii="宋体" w:hAnsi="宋体" w:cs="宋体"/>
                <w:szCs w:val="21"/>
              </w:rPr>
            </w:pPr>
            <w:r>
              <w:rPr>
                <w:rFonts w:hint="eastAsia" w:ascii="宋体" w:hAnsi="宋体" w:cs="宋体"/>
                <w:szCs w:val="21"/>
              </w:rPr>
              <w:t>10ml硝酸+30ml盐酸</w:t>
            </w:r>
          </w:p>
        </w:tc>
        <w:tc>
          <w:tcPr>
            <w:tcW w:w="1267" w:type="dxa"/>
            <w:shd w:val="clear" w:color="auto" w:fill="auto"/>
            <w:vAlign w:val="center"/>
          </w:tcPr>
          <w:p>
            <w:pPr>
              <w:widowControl/>
              <w:jc w:val="center"/>
              <w:rPr>
                <w:rFonts w:ascii="宋体" w:hAnsi="宋体"/>
                <w:color w:val="000000"/>
                <w:kern w:val="0"/>
                <w:szCs w:val="21"/>
              </w:rPr>
            </w:pPr>
            <w:r>
              <w:rPr>
                <w:rFonts w:hint="eastAsia" w:ascii="宋体" w:hAnsi="宋体"/>
                <w:color w:val="000000"/>
                <w:szCs w:val="21"/>
              </w:rPr>
              <w:t>19.82</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0.02</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2.0027</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19.92</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0.05</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1.9988</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19.96</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w:t>
            </w:r>
            <w:r>
              <w:rPr>
                <w:rFonts w:ascii="宋体" w:hAnsi="宋体" w:cs="宋体"/>
                <w:szCs w:val="21"/>
              </w:rPr>
              <w:t>18</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19.9</w:t>
            </w:r>
            <w:r>
              <w:rPr>
                <w:rFonts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2.0089</w:t>
            </w:r>
          </w:p>
        </w:tc>
        <w:tc>
          <w:tcPr>
            <w:tcW w:w="1472" w:type="dxa"/>
            <w:vMerge w:val="restart"/>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5ml硝酸+15ml盐酸消解样品</w:t>
            </w: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20.01</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w:t>
            </w:r>
            <w:r>
              <w:rPr>
                <w:rFonts w:ascii="宋体" w:hAnsi="宋体" w:cs="宋体"/>
                <w:szCs w:val="21"/>
              </w:rPr>
              <w:t>03</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2.0000</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20.06</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0.05</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Merge w:val="continue"/>
            <w:shd w:val="clear" w:color="auto" w:fill="auto"/>
            <w:vAlign w:val="center"/>
          </w:tcPr>
          <w:p>
            <w:pPr>
              <w:adjustRightInd w:val="0"/>
              <w:spacing w:line="360" w:lineRule="auto"/>
              <w:jc w:val="center"/>
              <w:rPr>
                <w:rFonts w:ascii="宋体" w:hAnsi="宋体" w:cs="宋体"/>
                <w:szCs w:val="21"/>
              </w:rPr>
            </w:pPr>
          </w:p>
        </w:tc>
        <w:tc>
          <w:tcPr>
            <w:tcW w:w="1109" w:type="dxa"/>
            <w:shd w:val="clear" w:color="auto" w:fill="auto"/>
            <w:vAlign w:val="center"/>
          </w:tcPr>
          <w:p>
            <w:pPr>
              <w:jc w:val="center"/>
              <w:rPr>
                <w:rFonts w:ascii="宋体" w:hAnsi="宋体"/>
                <w:color w:val="000000"/>
                <w:szCs w:val="21"/>
              </w:rPr>
            </w:pPr>
            <w:r>
              <w:rPr>
                <w:rFonts w:hint="eastAsia" w:ascii="宋体" w:hAnsi="宋体"/>
                <w:color w:val="000000"/>
                <w:szCs w:val="21"/>
              </w:rPr>
              <w:t>2.0083</w:t>
            </w:r>
          </w:p>
        </w:tc>
        <w:tc>
          <w:tcPr>
            <w:tcW w:w="1472" w:type="dxa"/>
            <w:vMerge w:val="continue"/>
            <w:shd w:val="clear" w:color="auto" w:fill="auto"/>
            <w:vAlign w:val="center"/>
          </w:tcPr>
          <w:p>
            <w:pPr>
              <w:adjustRightInd w:val="0"/>
              <w:spacing w:line="360" w:lineRule="auto"/>
              <w:jc w:val="center"/>
              <w:rPr>
                <w:rFonts w:ascii="宋体" w:hAnsi="宋体" w:cs="宋体"/>
                <w:szCs w:val="21"/>
              </w:rPr>
            </w:pPr>
          </w:p>
        </w:tc>
        <w:tc>
          <w:tcPr>
            <w:tcW w:w="1267" w:type="dxa"/>
            <w:shd w:val="clear" w:color="auto" w:fill="auto"/>
            <w:vAlign w:val="center"/>
          </w:tcPr>
          <w:p>
            <w:pPr>
              <w:jc w:val="center"/>
              <w:rPr>
                <w:rFonts w:ascii="宋体" w:hAnsi="宋体"/>
                <w:color w:val="000000"/>
                <w:szCs w:val="21"/>
              </w:rPr>
            </w:pPr>
            <w:r>
              <w:rPr>
                <w:rFonts w:hint="eastAsia" w:ascii="宋体" w:hAnsi="宋体"/>
                <w:color w:val="000000"/>
                <w:szCs w:val="21"/>
              </w:rPr>
              <w:t>19.92</w:t>
            </w:r>
          </w:p>
        </w:tc>
        <w:tc>
          <w:tcPr>
            <w:tcW w:w="1084" w:type="dxa"/>
            <w:shd w:val="clear" w:color="auto" w:fill="auto"/>
          </w:tcPr>
          <w:p>
            <w:r>
              <w:rPr>
                <w:rFonts w:hint="eastAsia" w:ascii="宋体" w:hAnsi="宋体" w:cs="宋体"/>
                <w:szCs w:val="21"/>
              </w:rPr>
              <w:t>样品溶解完全清澈</w:t>
            </w:r>
          </w:p>
        </w:tc>
        <w:tc>
          <w:tcPr>
            <w:tcW w:w="131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0.05</w:t>
            </w:r>
          </w:p>
        </w:tc>
        <w:tc>
          <w:tcPr>
            <w:tcW w:w="1155" w:type="dxa"/>
            <w:shd w:val="clear" w:color="auto" w:fill="auto"/>
          </w:tcPr>
          <w:p>
            <w:pPr>
              <w:adjustRightInd w:val="0"/>
              <w:spacing w:line="360" w:lineRule="auto"/>
              <w:jc w:val="center"/>
              <w:rPr>
                <w:rFonts w:ascii="宋体" w:hAnsi="宋体" w:cs="宋体"/>
                <w:szCs w:val="21"/>
              </w:rPr>
            </w:pPr>
            <w:r>
              <w:rPr>
                <w:rFonts w:hint="eastAsia" w:ascii="宋体" w:hAnsi="宋体" w:cs="宋体"/>
                <w:szCs w:val="21"/>
              </w:rPr>
              <w:t>19.91</w:t>
            </w:r>
          </w:p>
        </w:tc>
      </w:tr>
    </w:tbl>
    <w:p>
      <w:pPr>
        <w:adjustRightInd w:val="0"/>
        <w:spacing w:line="360" w:lineRule="auto"/>
        <w:rPr>
          <w:rFonts w:ascii="宋体" w:hAnsi="宋体" w:cs="宋体"/>
          <w:szCs w:val="21"/>
        </w:rPr>
      </w:pPr>
    </w:p>
    <w:p>
      <w:pPr>
        <w:adjustRightInd w:val="0"/>
        <w:spacing w:line="360" w:lineRule="exact"/>
        <w:rPr>
          <w:rFonts w:ascii="宋体" w:hAnsi="宋体" w:cs="宋体"/>
          <w:szCs w:val="21"/>
        </w:rPr>
      </w:pPr>
      <w:r>
        <w:rPr>
          <w:rFonts w:hint="eastAsia" w:ascii="宋体" w:hAnsi="宋体" w:cs="宋体"/>
          <w:szCs w:val="21"/>
        </w:rPr>
        <w:t>2.2</w:t>
      </w:r>
      <w:r>
        <w:rPr>
          <w:rFonts w:ascii="宋体" w:hAnsi="宋体" w:cs="宋体"/>
          <w:szCs w:val="21"/>
        </w:rPr>
        <w:t>.2.2 试验</w:t>
      </w:r>
      <w:r>
        <w:rPr>
          <w:rFonts w:hint="eastAsia" w:ascii="宋体" w:hAnsi="宋体" w:cs="宋体"/>
          <w:szCs w:val="21"/>
        </w:rPr>
        <w:t>表2的统计数据的分析：</w:t>
      </w:r>
    </w:p>
    <w:p>
      <w:pPr>
        <w:adjustRightInd w:val="0"/>
        <w:spacing w:line="360" w:lineRule="exact"/>
        <w:rPr>
          <w:rFonts w:ascii="宋体" w:hAnsi="宋体" w:cs="宋体"/>
          <w:szCs w:val="21"/>
        </w:rPr>
      </w:pPr>
      <w:r>
        <w:rPr>
          <w:rFonts w:hint="eastAsia" w:ascii="宋体" w:hAnsi="宋体" w:cs="宋体"/>
          <w:szCs w:val="21"/>
        </w:rPr>
        <w:t xml:space="preserve">    A、以上的酸用量均可以很好的溶解样品；</w:t>
      </w:r>
    </w:p>
    <w:p>
      <w:pPr>
        <w:adjustRightInd w:val="0"/>
        <w:spacing w:line="360" w:lineRule="exact"/>
        <w:ind w:firstLine="420" w:firstLineChars="200"/>
        <w:rPr>
          <w:rFonts w:ascii="宋体" w:hAnsi="宋体" w:cs="宋体"/>
          <w:szCs w:val="21"/>
        </w:rPr>
      </w:pPr>
      <w:r>
        <w:rPr>
          <w:rFonts w:hint="eastAsia" w:ascii="宋体" w:hAnsi="宋体" w:cs="宋体"/>
          <w:szCs w:val="21"/>
        </w:rPr>
        <w:t>B、5ml硝酸+15ml盐酸及10ml硝酸+30ml盐酸的溶解酸两种溶解酸用量方法均可以完全溶解样品。（因为沉淀硒需要保持一定酸度，所以不进行比5ml硝酸+15ml盐酸用量更少的用酸试验）;</w:t>
      </w:r>
    </w:p>
    <w:p>
      <w:pPr>
        <w:adjustRightInd w:val="0"/>
        <w:spacing w:line="360" w:lineRule="exact"/>
        <w:ind w:firstLine="420" w:firstLineChars="200"/>
        <w:rPr>
          <w:rFonts w:ascii="宋体" w:hAnsi="宋体" w:cs="宋体"/>
          <w:szCs w:val="21"/>
        </w:rPr>
      </w:pPr>
      <w:r>
        <w:rPr>
          <w:rFonts w:ascii="宋体" w:hAnsi="宋体" w:cs="宋体"/>
          <w:szCs w:val="21"/>
        </w:rPr>
        <w:t>C</w:t>
      </w:r>
      <w:r>
        <w:rPr>
          <w:rFonts w:hint="eastAsia" w:ascii="宋体" w:hAnsi="宋体" w:cs="宋体"/>
          <w:szCs w:val="21"/>
        </w:rPr>
        <w:t>、1#、2#样</w:t>
      </w:r>
      <w:r>
        <w:rPr>
          <w:rFonts w:ascii="宋体" w:hAnsi="宋体" w:cs="宋体"/>
          <w:szCs w:val="21"/>
        </w:rPr>
        <w:t>使用</w:t>
      </w:r>
      <w:r>
        <w:rPr>
          <w:rFonts w:hint="eastAsia" w:ascii="宋体" w:hAnsi="宋体" w:cs="宋体"/>
          <w:szCs w:val="21"/>
        </w:rPr>
        <w:t>10ml硝酸+30ml盐酸溶解样品会使得后面步骤的碲沉淀物中硒含量过高，导致需要进行扣除共沉淀的硒杂质才能得到碲含量。分析原因：因为使用较多的硝酸，导致盐酸羟胺被氧化部分，导致还原硒的盐酸羟胺的量不足，使得有部分硒不能被还原而留在碲的滤液中，然后沉淀碲的时候和碲一起被还原共沉淀下来；</w:t>
      </w:r>
    </w:p>
    <w:p>
      <w:pPr>
        <w:adjustRightInd w:val="0"/>
        <w:spacing w:line="360" w:lineRule="exact"/>
        <w:ind w:firstLine="420" w:firstLineChars="200"/>
        <w:rPr>
          <w:rFonts w:ascii="宋体" w:hAnsi="宋体" w:cs="宋体"/>
          <w:szCs w:val="21"/>
        </w:rPr>
      </w:pPr>
      <w:r>
        <w:rPr>
          <w:rFonts w:hint="eastAsia" w:ascii="宋体" w:hAnsi="宋体" w:cs="宋体"/>
          <w:szCs w:val="21"/>
        </w:rPr>
        <w:t>D、3#、4#无1#、2#的硒共沉淀现象分析：因为3#样品中碲含量更高、硒含量更低，因而用来还原硒的盐酸羟铵的量足够。</w:t>
      </w:r>
    </w:p>
    <w:p>
      <w:pPr>
        <w:adjustRightInd w:val="0"/>
        <w:spacing w:line="360" w:lineRule="exact"/>
        <w:rPr>
          <w:rFonts w:ascii="宋体" w:hAnsi="宋体" w:cs="宋体"/>
          <w:szCs w:val="21"/>
        </w:rPr>
      </w:pPr>
      <w:r>
        <w:rPr>
          <w:rFonts w:hint="eastAsia" w:ascii="宋体" w:hAnsi="宋体" w:cs="宋体"/>
          <w:szCs w:val="21"/>
        </w:rPr>
        <w:t>2.2.2.3 试验结论：</w:t>
      </w:r>
    </w:p>
    <w:p>
      <w:pPr>
        <w:adjustRightInd w:val="0"/>
        <w:spacing w:line="360" w:lineRule="exact"/>
        <w:ind w:firstLine="415"/>
        <w:rPr>
          <w:rFonts w:ascii="宋体" w:hAnsi="宋体" w:cs="宋体"/>
          <w:szCs w:val="21"/>
        </w:rPr>
      </w:pPr>
      <w:r>
        <w:rPr>
          <w:rFonts w:ascii="宋体" w:hAnsi="宋体" w:cs="宋体"/>
          <w:szCs w:val="21"/>
        </w:rPr>
        <w:t>方法使用</w:t>
      </w:r>
      <w:r>
        <w:rPr>
          <w:rFonts w:hint="eastAsia" w:ascii="宋体" w:hAnsi="宋体" w:cs="宋体"/>
          <w:szCs w:val="21"/>
        </w:rPr>
        <w:t>5ml硝酸+15ml盐酸溶解处理样品。</w:t>
      </w:r>
    </w:p>
    <w:p>
      <w:pPr>
        <w:adjustRightInd w:val="0"/>
        <w:spacing w:line="360" w:lineRule="exact"/>
        <w:ind w:firstLine="415"/>
        <w:rPr>
          <w:rFonts w:ascii="宋体" w:hAnsi="宋体" w:cs="宋体"/>
          <w:szCs w:val="21"/>
        </w:rPr>
      </w:pPr>
    </w:p>
    <w:p>
      <w:pPr>
        <w:adjustRightInd w:val="0"/>
        <w:spacing w:line="360" w:lineRule="auto"/>
        <w:rPr>
          <w:rFonts w:ascii="宋体" w:hAnsi="宋体" w:cs="黑体"/>
          <w:b/>
          <w:szCs w:val="21"/>
        </w:rPr>
      </w:pPr>
      <w:r>
        <w:rPr>
          <w:rFonts w:hint="eastAsia" w:ascii="宋体" w:hAnsi="宋体" w:cs="黑体"/>
          <w:b/>
          <w:szCs w:val="21"/>
        </w:rPr>
        <w:t>2.2.3 沉淀分离硒的盐酸羟胺的用量试验</w:t>
      </w:r>
    </w:p>
    <w:p>
      <w:pPr>
        <w:adjustRightInd w:val="0"/>
        <w:spacing w:line="360" w:lineRule="auto"/>
        <w:rPr>
          <w:rFonts w:ascii="宋体" w:hAnsi="宋体" w:cs="黑体"/>
          <w:szCs w:val="21"/>
        </w:rPr>
      </w:pPr>
      <w:r>
        <w:rPr>
          <w:rFonts w:ascii="宋体" w:hAnsi="宋体" w:cs="黑体"/>
          <w:szCs w:val="21"/>
        </w:rPr>
        <w:t>2.2.3.1</w:t>
      </w:r>
      <w:r>
        <w:rPr>
          <w:rFonts w:hint="eastAsia" w:ascii="宋体" w:hAnsi="宋体" w:cs="黑体"/>
          <w:szCs w:val="21"/>
        </w:rPr>
        <w:t>盐酸羟胺是一种选择性强、易溶解、易水洗的试剂，对于粗硒常见的元素来说，除金、硒以外几乎不会还原其他元素，所以选择盐酸羟胺沉淀硒使之和碲分离，也因此需要试验确认盐酸羟胺的用量。盐酸羟胺和四价硒的反应方程式如下：</w:t>
      </w:r>
    </w:p>
    <w:p>
      <w:pPr>
        <w:adjustRightInd w:val="0"/>
        <w:spacing w:line="360" w:lineRule="auto"/>
        <w:ind w:firstLine="1120" w:firstLineChars="400"/>
        <w:rPr>
          <w:rFonts w:ascii="宋体" w:hAnsi="宋体" w:cs="黑体"/>
          <w:sz w:val="28"/>
          <w:szCs w:val="28"/>
        </w:rPr>
      </w:pPr>
      <w:r>
        <w:rPr>
          <w:rFonts w:ascii="宋体" w:hAnsi="宋体" w:cs="黑体"/>
          <w:sz w:val="28"/>
          <w:szCs w:val="28"/>
        </w:rPr>
        <w:t>Se+4+4 NH2OH·HCl → Se + 4NH3 + 4H2O + 4Cl-</w:t>
      </w:r>
    </w:p>
    <w:p>
      <w:pPr>
        <w:adjustRightInd w:val="0"/>
        <w:spacing w:line="360" w:lineRule="auto"/>
        <w:ind w:firstLine="420" w:firstLineChars="200"/>
        <w:rPr>
          <w:rFonts w:ascii="宋体" w:hAnsi="宋体" w:cs="黑体"/>
        </w:rPr>
      </w:pPr>
      <w:r>
        <w:rPr>
          <w:rFonts w:ascii="宋体" w:hAnsi="宋体" w:cs="黑体"/>
        </w:rPr>
        <w:t>样品中硒理论还原需要的盐酸羟胺的量为</w:t>
      </w:r>
      <w:r>
        <w:rPr>
          <w:rFonts w:hint="eastAsia" w:ascii="宋体" w:hAnsi="宋体" w:cs="黑体"/>
        </w:rPr>
        <w:t>2</w:t>
      </w:r>
      <w:r>
        <w:rPr>
          <w:rFonts w:hint="eastAsia" w:cs="黑体"/>
        </w:rPr>
        <w:t>×4×</w:t>
      </w:r>
      <w:r>
        <w:rPr>
          <w:rFonts w:ascii="宋体" w:hAnsi="宋体" w:cs="黑体"/>
        </w:rPr>
        <w:t>0.95</w:t>
      </w:r>
      <w:r>
        <w:rPr>
          <w:rFonts w:hint="eastAsia" w:cs="黑体"/>
        </w:rPr>
        <w:t>×</w:t>
      </w:r>
      <w:r>
        <w:rPr>
          <w:rFonts w:ascii="宋体" w:hAnsi="宋体" w:cs="黑体"/>
        </w:rPr>
        <w:t>69.5</w:t>
      </w:r>
      <w:r>
        <w:rPr>
          <w:rFonts w:hint="eastAsia" w:ascii="宋体" w:hAnsi="宋体" w:cs="黑体"/>
        </w:rPr>
        <w:t>/</w:t>
      </w:r>
      <w:r>
        <w:rPr>
          <w:rFonts w:ascii="宋体" w:hAnsi="宋体" w:cs="黑体"/>
        </w:rPr>
        <w:t>78.96</w:t>
      </w:r>
      <w:r>
        <w:rPr>
          <w:rFonts w:hint="eastAsia" w:ascii="宋体" w:hAnsi="宋体" w:cs="黑体"/>
        </w:rPr>
        <w:t>=</w:t>
      </w:r>
      <w:r>
        <w:rPr>
          <w:rFonts w:ascii="宋体" w:hAnsi="宋体" w:cs="黑体"/>
        </w:rPr>
        <w:t>6.68</w:t>
      </w:r>
      <w:r>
        <w:rPr>
          <w:rFonts w:hint="eastAsia" w:ascii="宋体" w:hAnsi="宋体" w:cs="黑体"/>
        </w:rPr>
        <w:t>（</w:t>
      </w:r>
      <w:r>
        <w:rPr>
          <w:rFonts w:ascii="宋体" w:hAnsi="宋体" w:cs="黑体"/>
        </w:rPr>
        <w:t>g</w:t>
      </w:r>
      <w:r>
        <w:rPr>
          <w:rFonts w:hint="eastAsia" w:ascii="宋体" w:hAnsi="宋体" w:cs="黑体"/>
        </w:rPr>
        <w:t>），</w:t>
      </w:r>
      <w:r>
        <w:rPr>
          <w:rFonts w:ascii="宋体" w:hAnsi="宋体" w:cs="黑体"/>
        </w:rPr>
        <w:t>考虑溶解后残留硝酸还要氧化部分盐酸羟胺</w:t>
      </w:r>
      <w:r>
        <w:rPr>
          <w:rFonts w:hint="eastAsia" w:ascii="宋体" w:hAnsi="宋体" w:cs="黑体"/>
        </w:rPr>
        <w:t>，</w:t>
      </w:r>
      <w:r>
        <w:rPr>
          <w:rFonts w:ascii="宋体" w:hAnsi="宋体" w:cs="黑体"/>
        </w:rPr>
        <w:t>需要进行盐酸羟胺用量的试验量验证</w:t>
      </w:r>
      <w:r>
        <w:rPr>
          <w:rFonts w:hint="eastAsia" w:ascii="宋体" w:hAnsi="宋体" w:cs="黑体"/>
        </w:rPr>
        <w:t>。</w:t>
      </w:r>
    </w:p>
    <w:p>
      <w:pPr>
        <w:adjustRightInd w:val="0"/>
        <w:spacing w:line="360" w:lineRule="auto"/>
        <w:rPr>
          <w:rFonts w:ascii="宋体" w:hAnsi="宋体" w:cs="宋体"/>
          <w:szCs w:val="21"/>
        </w:rPr>
      </w:pPr>
      <w:r>
        <w:rPr>
          <w:rFonts w:hint="eastAsia" w:ascii="宋体" w:hAnsi="宋体" w:cs="黑体"/>
        </w:rPr>
        <w:t>2.2.3.2 选择1#、4#样品，使用5ml硝酸+15ml盐酸溶解处理样品</w:t>
      </w:r>
      <w:r>
        <w:rPr>
          <w:rFonts w:hint="eastAsia" w:ascii="宋体" w:hAnsi="宋体" w:cs="宋体"/>
          <w:szCs w:val="21"/>
        </w:rPr>
        <w:t>，然后分别使用</w:t>
      </w:r>
      <w:r>
        <w:rPr>
          <w:rFonts w:ascii="宋体" w:hAnsi="宋体" w:cs="宋体"/>
          <w:szCs w:val="21"/>
        </w:rPr>
        <w:t>5</w:t>
      </w:r>
      <w:r>
        <w:rPr>
          <w:rFonts w:hint="eastAsia" w:ascii="宋体" w:hAnsi="宋体" w:cs="宋体"/>
          <w:szCs w:val="21"/>
        </w:rPr>
        <w:t>g、8g、10</w:t>
      </w:r>
      <w:r>
        <w:rPr>
          <w:rFonts w:ascii="宋体" w:hAnsi="宋体" w:cs="宋体"/>
          <w:szCs w:val="21"/>
        </w:rPr>
        <w:t>g</w:t>
      </w:r>
      <w:r>
        <w:rPr>
          <w:rFonts w:hint="eastAsia" w:ascii="宋体" w:hAnsi="宋体" w:cs="宋体"/>
          <w:szCs w:val="21"/>
        </w:rPr>
        <w:t>、12g盐酸羟胺沉淀硒，对应的250</w:t>
      </w:r>
      <w:r>
        <w:rPr>
          <w:rFonts w:ascii="宋体" w:hAnsi="宋体" w:cs="宋体"/>
          <w:szCs w:val="21"/>
        </w:rPr>
        <w:t>g/L的</w:t>
      </w:r>
      <w:r>
        <w:rPr>
          <w:rFonts w:hint="eastAsia" w:ascii="宋体" w:hAnsi="宋体" w:cs="宋体"/>
          <w:szCs w:val="21"/>
        </w:rPr>
        <w:t>盐酸羟铵溶液的体积数为：20、32、40、48毫升，按照以上1.1的方法进行滤纸过滤，将滤液定容于200毫升的容量瓶中，用ICP-OES检测溶液中的硒含量，该硒量就是没有被盐酸羟胺还原沉淀的硒；下表3为盐酸羟胺用量试验情况统计表：</w:t>
      </w:r>
    </w:p>
    <w:p>
      <w:pPr>
        <w:adjustRightInd w:val="0"/>
        <w:spacing w:line="360" w:lineRule="auto"/>
        <w:rPr>
          <w:rFonts w:ascii="宋体" w:hAnsi="宋体" w:cs="黑体"/>
          <w:szCs w:val="21"/>
        </w:rPr>
      </w:pPr>
      <w:r>
        <w:rPr>
          <w:rFonts w:hint="eastAsia" w:ascii="宋体" w:hAnsi="宋体" w:cs="宋体"/>
          <w:szCs w:val="21"/>
        </w:rPr>
        <w:t xml:space="preserve"> </w:t>
      </w:r>
      <w:r>
        <w:rPr>
          <w:rFonts w:ascii="宋体" w:hAnsi="宋体" w:cs="宋体"/>
          <w:szCs w:val="21"/>
        </w:rPr>
        <w:t xml:space="preserve">                         表</w:t>
      </w:r>
      <w:r>
        <w:rPr>
          <w:rFonts w:hint="eastAsia" w:ascii="宋体" w:hAnsi="宋体" w:cs="宋体"/>
          <w:szCs w:val="21"/>
        </w:rPr>
        <w:t>3 盐酸羟胺用量测试统计表</w:t>
      </w:r>
    </w:p>
    <w:tbl>
      <w:tblPr>
        <w:tblStyle w:val="23"/>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1"/>
        <w:gridCol w:w="1240"/>
        <w:gridCol w:w="1583"/>
        <w:gridCol w:w="1417"/>
        <w:gridCol w:w="113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71" w:type="dxa"/>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样品编号</w:t>
            </w:r>
          </w:p>
        </w:tc>
        <w:tc>
          <w:tcPr>
            <w:tcW w:w="1240" w:type="dxa"/>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称样量（g）</w:t>
            </w:r>
          </w:p>
        </w:tc>
        <w:tc>
          <w:tcPr>
            <w:tcW w:w="1583" w:type="dxa"/>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加入250g</w:t>
            </w:r>
            <w:r>
              <w:rPr>
                <w:rFonts w:ascii="宋体" w:hAnsi="宋体" w:cs="黑体"/>
                <w:szCs w:val="21"/>
              </w:rPr>
              <w:t>/L的</w:t>
            </w:r>
            <w:r>
              <w:rPr>
                <w:rFonts w:hint="eastAsia" w:ascii="宋体" w:hAnsi="宋体" w:cs="黑体"/>
                <w:szCs w:val="21"/>
              </w:rPr>
              <w:t>盐酸羟胺量（毫升）</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滤液中没有还原的硒含量（mg/L)</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滤液体积（mL）</w:t>
            </w:r>
          </w:p>
        </w:tc>
        <w:tc>
          <w:tcPr>
            <w:tcW w:w="2835" w:type="dxa"/>
            <w:tcBorders>
              <w:top w:val="single" w:color="auto" w:sz="4" w:space="0"/>
              <w:left w:val="nil"/>
              <w:bottom w:val="single" w:color="auto" w:sz="4" w:space="0"/>
              <w:right w:val="single" w:color="auto" w:sz="4" w:space="0"/>
            </w:tcBorders>
            <w:shd w:val="clear" w:color="auto" w:fill="auto"/>
          </w:tcPr>
          <w:p>
            <w:pPr>
              <w:jc w:val="center"/>
              <w:rPr>
                <w:color w:val="000000"/>
                <w:sz w:val="22"/>
                <w:szCs w:val="22"/>
              </w:rPr>
            </w:pPr>
            <w:r>
              <w:rPr>
                <w:rFonts w:hint="eastAsia"/>
                <w:color w:val="000000"/>
                <w:sz w:val="22"/>
                <w:szCs w:val="22"/>
              </w:rPr>
              <w:t>没有还原的硒在沉淀碲时会完全和碲一起被还原沉淀，不扣减就会被计算成样品中的碲含量（%）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71" w:type="dxa"/>
            <w:vMerge w:val="restart"/>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1#</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2.01</w:t>
            </w:r>
            <w:r>
              <w:rPr>
                <w:color w:val="000000"/>
                <w:sz w:val="22"/>
                <w:szCs w:val="22"/>
              </w:rPr>
              <w:t>38</w:t>
            </w:r>
          </w:p>
        </w:tc>
        <w:tc>
          <w:tcPr>
            <w:tcW w:w="1583" w:type="dxa"/>
            <w:vMerge w:val="restart"/>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20</w:t>
            </w: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2003</w:t>
            </w:r>
          </w:p>
        </w:tc>
        <w:tc>
          <w:tcPr>
            <w:tcW w:w="1134" w:type="dxa"/>
            <w:vMerge w:val="restart"/>
            <w:tcBorders>
              <w:top w:val="nil"/>
              <w:left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200</w:t>
            </w:r>
          </w:p>
        </w:tc>
        <w:tc>
          <w:tcPr>
            <w:tcW w:w="283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2.0293</w:t>
            </w:r>
          </w:p>
        </w:tc>
        <w:tc>
          <w:tcPr>
            <w:tcW w:w="1583" w:type="dxa"/>
            <w:vMerge w:val="continue"/>
            <w:shd w:val="clear" w:color="auto" w:fill="auto"/>
            <w:vAlign w:val="center"/>
          </w:tcPr>
          <w:p>
            <w:pPr>
              <w:adjustRightInd w:val="0"/>
              <w:spacing w:line="360" w:lineRule="auto"/>
              <w:jc w:val="center"/>
              <w:rPr>
                <w:rFonts w:ascii="宋体" w:hAnsi="宋体" w:cs="黑体"/>
                <w:szCs w:val="21"/>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3563</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35.21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w:t>
            </w:r>
            <w:r>
              <w:rPr>
                <w:color w:val="000000"/>
                <w:sz w:val="22"/>
                <w:szCs w:val="22"/>
              </w:rPr>
              <w:t>163</w:t>
            </w:r>
          </w:p>
        </w:tc>
        <w:tc>
          <w:tcPr>
            <w:tcW w:w="1583" w:type="dxa"/>
            <w:vMerge w:val="restart"/>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32</w:t>
            </w: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14.69</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w:t>
            </w:r>
            <w:r>
              <w:rPr>
                <w:color w:val="000000"/>
                <w:sz w:val="22"/>
                <w:szCs w:val="22"/>
              </w:rPr>
              <w:t>381</w:t>
            </w:r>
          </w:p>
        </w:tc>
        <w:tc>
          <w:tcPr>
            <w:tcW w:w="1583" w:type="dxa"/>
            <w:vMerge w:val="continue"/>
            <w:shd w:val="clear" w:color="auto" w:fill="auto"/>
            <w:vAlign w:val="center"/>
          </w:tcPr>
          <w:p>
            <w:pPr>
              <w:adjustRightInd w:val="0"/>
              <w:spacing w:line="360" w:lineRule="auto"/>
              <w:jc w:val="center"/>
              <w:rPr>
                <w:rFonts w:ascii="宋体" w:hAnsi="宋体" w:cs="黑体"/>
                <w:szCs w:val="21"/>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w:t>
            </w:r>
            <w:r>
              <w:rPr>
                <w:rFonts w:hint="eastAsia"/>
                <w:color w:val="000000"/>
                <w:sz w:val="22"/>
                <w:szCs w:val="22"/>
              </w:rPr>
              <w:t>6.57</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w:t>
            </w:r>
            <w:r>
              <w:rPr>
                <w:color w:val="000000"/>
                <w:sz w:val="22"/>
                <w:szCs w:val="22"/>
              </w:rPr>
              <w:t>36</w:t>
            </w:r>
          </w:p>
        </w:tc>
        <w:tc>
          <w:tcPr>
            <w:tcW w:w="1583" w:type="dxa"/>
            <w:vMerge w:val="restart"/>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40</w:t>
            </w: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1.05</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w:t>
            </w:r>
            <w:r>
              <w:rPr>
                <w:color w:val="000000"/>
                <w:sz w:val="22"/>
                <w:szCs w:val="22"/>
              </w:rPr>
              <w:t>597</w:t>
            </w:r>
          </w:p>
        </w:tc>
        <w:tc>
          <w:tcPr>
            <w:tcW w:w="1583" w:type="dxa"/>
            <w:vMerge w:val="continue"/>
            <w:shd w:val="clear" w:color="auto" w:fill="auto"/>
            <w:vAlign w:val="center"/>
          </w:tcPr>
          <w:p>
            <w:pPr>
              <w:adjustRightInd w:val="0"/>
              <w:spacing w:line="360" w:lineRule="auto"/>
              <w:jc w:val="center"/>
              <w:rPr>
                <w:rFonts w:ascii="宋体" w:hAnsi="宋体" w:cs="黑体"/>
                <w:szCs w:val="21"/>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2</w:t>
            </w:r>
            <w:r>
              <w:rPr>
                <w:rFonts w:hint="eastAsia"/>
                <w:color w:val="000000"/>
                <w:sz w:val="22"/>
                <w:szCs w:val="22"/>
              </w:rPr>
              <w:t>.08</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w:t>
            </w:r>
            <w:r>
              <w:rPr>
                <w:color w:val="000000"/>
                <w:sz w:val="22"/>
                <w:szCs w:val="22"/>
              </w:rPr>
              <w:t>020</w:t>
            </w:r>
          </w:p>
        </w:tc>
        <w:tc>
          <w:tcPr>
            <w:tcW w:w="1583" w:type="dxa"/>
            <w:vMerge w:val="restart"/>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48</w:t>
            </w:r>
          </w:p>
        </w:tc>
        <w:tc>
          <w:tcPr>
            <w:tcW w:w="1417" w:type="dxa"/>
            <w:shd w:val="clear" w:color="auto" w:fill="auto"/>
            <w:vAlign w:val="center"/>
          </w:tcPr>
          <w:p>
            <w:pPr>
              <w:adjustRightInd w:val="0"/>
              <w:spacing w:line="360" w:lineRule="auto"/>
              <w:jc w:val="center"/>
              <w:rPr>
                <w:rFonts w:ascii="宋体" w:hAnsi="宋体" w:cs="黑体"/>
                <w:szCs w:val="21"/>
              </w:rPr>
            </w:pPr>
            <w:r>
              <w:rPr>
                <w:rFonts w:ascii="宋体" w:hAnsi="宋体" w:cs="黑体"/>
                <w:szCs w:val="21"/>
              </w:rPr>
              <w:t>1</w:t>
            </w:r>
            <w:r>
              <w:rPr>
                <w:rFonts w:hint="eastAsia" w:ascii="宋体" w:hAnsi="宋体" w:cs="黑体"/>
                <w:szCs w:val="21"/>
              </w:rPr>
              <w:t>.02</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shd w:val="clear" w:color="auto" w:fill="auto"/>
            <w:vAlign w:val="center"/>
          </w:tcPr>
          <w:p>
            <w:pPr>
              <w:adjustRightInd w:val="0"/>
              <w:spacing w:line="360" w:lineRule="auto"/>
              <w:ind w:firstLine="210" w:firstLineChars="100"/>
              <w:jc w:val="center"/>
              <w:rPr>
                <w:rFonts w:ascii="宋体" w:hAnsi="宋体" w:cs="黑体"/>
                <w:szCs w:val="21"/>
              </w:rPr>
            </w:pPr>
            <w:r>
              <w:rPr>
                <w:rFonts w:hint="eastAsia" w:ascii="宋体" w:hAnsi="宋体" w:cs="黑体"/>
                <w:szCs w:val="21"/>
              </w:rPr>
              <w:t>2.0013</w:t>
            </w:r>
          </w:p>
        </w:tc>
        <w:tc>
          <w:tcPr>
            <w:tcW w:w="1583" w:type="dxa"/>
            <w:vMerge w:val="continue"/>
            <w:shd w:val="clear" w:color="auto" w:fill="auto"/>
            <w:vAlign w:val="center"/>
          </w:tcPr>
          <w:p>
            <w:pPr>
              <w:adjustRightInd w:val="0"/>
              <w:spacing w:line="360" w:lineRule="auto"/>
              <w:jc w:val="center"/>
              <w:rPr>
                <w:rFonts w:ascii="宋体" w:hAnsi="宋体" w:cs="黑体"/>
                <w:szCs w:val="21"/>
              </w:rPr>
            </w:pPr>
          </w:p>
        </w:tc>
        <w:tc>
          <w:tcPr>
            <w:tcW w:w="1417" w:type="dxa"/>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1.69</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shd w:val="clear" w:color="auto" w:fill="auto"/>
            <w:vAlign w:val="center"/>
          </w:tcPr>
          <w:p>
            <w:pPr>
              <w:adjustRightInd w:val="0"/>
              <w:spacing w:line="360" w:lineRule="auto"/>
              <w:ind w:firstLine="1050" w:firstLineChars="500"/>
              <w:rPr>
                <w:rFonts w:ascii="宋体" w:hAnsi="宋体" w:cs="黑体"/>
                <w:szCs w:val="21"/>
              </w:rPr>
            </w:pPr>
            <w:r>
              <w:rPr>
                <w:rFonts w:hint="eastAsia" w:ascii="宋体" w:hAnsi="宋体" w:cs="黑体"/>
                <w:szCs w:val="21"/>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71" w:type="dxa"/>
            <w:vMerge w:val="restart"/>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4#</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2.0345</w:t>
            </w:r>
          </w:p>
        </w:tc>
        <w:tc>
          <w:tcPr>
            <w:tcW w:w="1583" w:type="dxa"/>
            <w:vMerge w:val="restart"/>
            <w:shd w:val="clear" w:color="auto" w:fill="auto"/>
            <w:vAlign w:val="center"/>
          </w:tcPr>
          <w:p>
            <w:pPr>
              <w:adjustRightInd w:val="0"/>
              <w:spacing w:line="360" w:lineRule="auto"/>
              <w:ind w:firstLine="420" w:firstLineChars="200"/>
              <w:rPr>
                <w:rFonts w:ascii="宋体" w:hAnsi="宋体" w:cs="黑体"/>
                <w:szCs w:val="21"/>
              </w:rPr>
            </w:pPr>
          </w:p>
          <w:p>
            <w:pPr>
              <w:adjustRightInd w:val="0"/>
              <w:spacing w:line="360" w:lineRule="auto"/>
              <w:ind w:firstLine="420" w:firstLineChars="200"/>
              <w:rPr>
                <w:rFonts w:ascii="宋体" w:hAnsi="宋体" w:cs="黑体"/>
                <w:szCs w:val="21"/>
              </w:rPr>
            </w:pPr>
            <w:r>
              <w:rPr>
                <w:rFonts w:hint="eastAsia" w:ascii="宋体" w:hAnsi="宋体" w:cs="黑体"/>
                <w:szCs w:val="21"/>
              </w:rPr>
              <w:t>20</w:t>
            </w:r>
          </w:p>
          <w:p>
            <w:pPr>
              <w:adjustRightInd w:val="0"/>
              <w:spacing w:line="360" w:lineRule="auto"/>
              <w:jc w:val="center"/>
              <w:rPr>
                <w:rFonts w:ascii="宋体" w:hAnsi="宋体" w:cs="黑体"/>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221.17</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2.0368</w:t>
            </w:r>
          </w:p>
        </w:tc>
        <w:tc>
          <w:tcPr>
            <w:tcW w:w="1583" w:type="dxa"/>
            <w:vMerge w:val="continue"/>
            <w:shd w:val="clear" w:color="auto" w:fill="auto"/>
            <w:vAlign w:val="center"/>
          </w:tcPr>
          <w:p>
            <w:pPr>
              <w:adjustRightInd w:val="0"/>
              <w:spacing w:line="360" w:lineRule="auto"/>
              <w:jc w:val="center"/>
              <w:rPr>
                <w:rFonts w:ascii="宋体" w:hAnsi="宋体" w:cs="黑体"/>
                <w:szCs w:val="21"/>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208.88</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2.0356</w:t>
            </w:r>
          </w:p>
        </w:tc>
        <w:tc>
          <w:tcPr>
            <w:tcW w:w="1583" w:type="dxa"/>
            <w:vMerge w:val="restart"/>
            <w:shd w:val="clear" w:color="auto" w:fill="auto"/>
            <w:vAlign w:val="center"/>
          </w:tcPr>
          <w:p>
            <w:pPr>
              <w:adjustRightInd w:val="0"/>
              <w:spacing w:line="360" w:lineRule="auto"/>
              <w:ind w:firstLine="630" w:firstLineChars="300"/>
              <w:rPr>
                <w:rFonts w:ascii="宋体" w:hAnsi="宋体" w:cs="黑体"/>
                <w:szCs w:val="21"/>
              </w:rPr>
            </w:pPr>
            <w:r>
              <w:rPr>
                <w:rFonts w:hint="eastAsia" w:ascii="宋体" w:hAnsi="宋体" w:cs="黑体"/>
                <w:szCs w:val="21"/>
              </w:rPr>
              <w:t>32</w:t>
            </w:r>
          </w:p>
          <w:p>
            <w:pPr>
              <w:adjustRightInd w:val="0"/>
              <w:spacing w:line="360" w:lineRule="auto"/>
              <w:jc w:val="center"/>
              <w:rPr>
                <w:rFonts w:ascii="宋体" w:hAnsi="宋体" w:cs="黑体"/>
                <w:szCs w:val="21"/>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4.31</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2.0002</w:t>
            </w:r>
          </w:p>
        </w:tc>
        <w:tc>
          <w:tcPr>
            <w:tcW w:w="1583" w:type="dxa"/>
            <w:vMerge w:val="continue"/>
            <w:shd w:val="clear" w:color="auto" w:fill="auto"/>
            <w:vAlign w:val="center"/>
          </w:tcPr>
          <w:p>
            <w:pPr>
              <w:adjustRightInd w:val="0"/>
              <w:spacing w:line="360" w:lineRule="auto"/>
              <w:jc w:val="center"/>
              <w:rPr>
                <w:rFonts w:ascii="宋体" w:hAnsi="宋体" w:cs="黑体"/>
                <w:szCs w:val="21"/>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2.36</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2.0269</w:t>
            </w:r>
          </w:p>
        </w:tc>
        <w:tc>
          <w:tcPr>
            <w:tcW w:w="1583" w:type="dxa"/>
            <w:vMerge w:val="restart"/>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40</w:t>
            </w:r>
          </w:p>
          <w:p>
            <w:pPr>
              <w:adjustRightInd w:val="0"/>
              <w:spacing w:line="360" w:lineRule="auto"/>
              <w:jc w:val="center"/>
              <w:rPr>
                <w:rFonts w:ascii="宋体" w:hAnsi="宋体" w:cs="黑体"/>
                <w:szCs w:val="21"/>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w:t>
            </w:r>
            <w:r>
              <w:rPr>
                <w:rFonts w:hint="eastAsia"/>
                <w:color w:val="000000"/>
                <w:sz w:val="22"/>
                <w:szCs w:val="22"/>
              </w:rPr>
              <w:t>.74</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2.0202</w:t>
            </w:r>
          </w:p>
        </w:tc>
        <w:tc>
          <w:tcPr>
            <w:tcW w:w="1583" w:type="dxa"/>
            <w:vMerge w:val="continue"/>
            <w:shd w:val="clear" w:color="auto" w:fill="auto"/>
            <w:vAlign w:val="center"/>
          </w:tcPr>
          <w:p>
            <w:pPr>
              <w:adjustRightInd w:val="0"/>
              <w:spacing w:line="360" w:lineRule="auto"/>
              <w:jc w:val="center"/>
              <w:rPr>
                <w:rFonts w:ascii="宋体" w:hAnsi="宋体" w:cs="黑体"/>
                <w:szCs w:val="21"/>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color w:val="000000"/>
                <w:sz w:val="22"/>
                <w:szCs w:val="22"/>
              </w:rPr>
              <w:t>1.</w:t>
            </w:r>
            <w:r>
              <w:rPr>
                <w:rFonts w:hint="eastAsia"/>
                <w:color w:val="000000"/>
                <w:sz w:val="22"/>
                <w:szCs w:val="22"/>
              </w:rPr>
              <w:t>25</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sz w:val="22"/>
                <w:szCs w:val="22"/>
              </w:rPr>
              <w:t>2.0345</w:t>
            </w:r>
          </w:p>
        </w:tc>
        <w:tc>
          <w:tcPr>
            <w:tcW w:w="1583" w:type="dxa"/>
            <w:vMerge w:val="restart"/>
            <w:shd w:val="clear" w:color="auto" w:fill="auto"/>
            <w:vAlign w:val="center"/>
          </w:tcPr>
          <w:p>
            <w:pPr>
              <w:adjustRightInd w:val="0"/>
              <w:spacing w:line="360" w:lineRule="auto"/>
              <w:jc w:val="center"/>
              <w:rPr>
                <w:rFonts w:ascii="宋体" w:hAnsi="宋体" w:cs="黑体"/>
                <w:szCs w:val="21"/>
              </w:rPr>
            </w:pPr>
            <w:r>
              <w:rPr>
                <w:rFonts w:hint="eastAsia" w:ascii="宋体" w:hAnsi="宋体" w:cs="黑体"/>
                <w:szCs w:val="21"/>
              </w:rPr>
              <w:t>48</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2"/>
                <w:szCs w:val="22"/>
              </w:rPr>
            </w:pPr>
            <w:r>
              <w:rPr>
                <w:color w:val="000000"/>
                <w:sz w:val="22"/>
                <w:szCs w:val="22"/>
              </w:rPr>
              <w:t>1.68</w:t>
            </w:r>
          </w:p>
        </w:tc>
        <w:tc>
          <w:tcPr>
            <w:tcW w:w="1134" w:type="dxa"/>
            <w:vMerge w:val="continue"/>
            <w:tcBorders>
              <w:left w:val="nil"/>
              <w:right w:val="single" w:color="auto" w:sz="4" w:space="0"/>
            </w:tcBorders>
            <w:shd w:val="clear" w:color="auto" w:fill="auto"/>
            <w:vAlign w:val="center"/>
          </w:tcPr>
          <w:p>
            <w:pPr>
              <w:jc w:val="center"/>
              <w:rPr>
                <w:color w:val="000000"/>
                <w:sz w:val="22"/>
                <w:szCs w:val="22"/>
              </w:rPr>
            </w:pPr>
          </w:p>
        </w:tc>
        <w:tc>
          <w:tcPr>
            <w:tcW w:w="2835"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trPr>
        <w:tc>
          <w:tcPr>
            <w:tcW w:w="971" w:type="dxa"/>
            <w:vMerge w:val="continue"/>
            <w:shd w:val="clear" w:color="auto" w:fill="auto"/>
            <w:vAlign w:val="center"/>
          </w:tcPr>
          <w:p>
            <w:pPr>
              <w:adjustRightInd w:val="0"/>
              <w:spacing w:line="360" w:lineRule="auto"/>
              <w:jc w:val="center"/>
              <w:rPr>
                <w:rFonts w:ascii="宋体" w:hAnsi="宋体" w:cs="黑体"/>
                <w:szCs w:val="21"/>
              </w:rPr>
            </w:pPr>
          </w:p>
        </w:tc>
        <w:tc>
          <w:tcPr>
            <w:tcW w:w="124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2.0368</w:t>
            </w:r>
          </w:p>
        </w:tc>
        <w:tc>
          <w:tcPr>
            <w:tcW w:w="1583" w:type="dxa"/>
            <w:vMerge w:val="continue"/>
            <w:shd w:val="clear" w:color="auto" w:fill="auto"/>
            <w:vAlign w:val="center"/>
          </w:tcPr>
          <w:p>
            <w:pPr>
              <w:adjustRightInd w:val="0"/>
              <w:spacing w:line="360" w:lineRule="auto"/>
              <w:jc w:val="center"/>
              <w:rPr>
                <w:rFonts w:ascii="宋体" w:hAnsi="宋体" w:cs="黑体"/>
                <w:szCs w:val="21"/>
              </w:rPr>
            </w:pPr>
          </w:p>
        </w:tc>
        <w:tc>
          <w:tcPr>
            <w:tcW w:w="141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1</w:t>
            </w:r>
            <w:r>
              <w:rPr>
                <w:color w:val="000000"/>
                <w:sz w:val="22"/>
                <w:szCs w:val="22"/>
              </w:rPr>
              <w:t>.12</w:t>
            </w:r>
          </w:p>
        </w:tc>
        <w:tc>
          <w:tcPr>
            <w:tcW w:w="1134" w:type="dxa"/>
            <w:vMerge w:val="continue"/>
            <w:tcBorders>
              <w:left w:val="nil"/>
              <w:bottom w:val="single" w:color="auto" w:sz="4" w:space="0"/>
              <w:right w:val="single" w:color="auto" w:sz="4" w:space="0"/>
            </w:tcBorders>
            <w:shd w:val="clear" w:color="auto" w:fill="auto"/>
            <w:vAlign w:val="center"/>
          </w:tcPr>
          <w:p>
            <w:pPr>
              <w:jc w:val="center"/>
              <w:rPr>
                <w:color w:val="000000"/>
                <w:sz w:val="22"/>
                <w:szCs w:val="22"/>
              </w:rPr>
            </w:pPr>
          </w:p>
        </w:tc>
        <w:tc>
          <w:tcPr>
            <w:tcW w:w="2835" w:type="dxa"/>
            <w:tcBorders>
              <w:top w:val="nil"/>
              <w:left w:val="nil"/>
              <w:bottom w:val="single" w:color="auto" w:sz="4" w:space="0"/>
              <w:right w:val="single" w:color="auto" w:sz="4" w:space="0"/>
            </w:tcBorders>
            <w:shd w:val="clear" w:color="auto" w:fill="auto"/>
          </w:tcPr>
          <w:p>
            <w:pPr>
              <w:jc w:val="center"/>
              <w:rPr>
                <w:color w:val="000000"/>
                <w:sz w:val="22"/>
                <w:szCs w:val="22"/>
              </w:rPr>
            </w:pPr>
            <w:r>
              <w:rPr>
                <w:rFonts w:hint="eastAsia"/>
                <w:color w:val="000000"/>
                <w:sz w:val="22"/>
                <w:szCs w:val="22"/>
              </w:rPr>
              <w:t>0.01</w:t>
            </w:r>
          </w:p>
        </w:tc>
      </w:tr>
    </w:tbl>
    <w:p>
      <w:pPr>
        <w:adjustRightInd w:val="0"/>
        <w:spacing w:line="360" w:lineRule="auto"/>
        <w:rPr>
          <w:rFonts w:ascii="宋体" w:hAnsi="宋体" w:cs="黑体"/>
          <w:szCs w:val="21"/>
        </w:rPr>
      </w:pPr>
    </w:p>
    <w:p>
      <w:pPr>
        <w:adjustRightInd w:val="0"/>
        <w:spacing w:line="360" w:lineRule="auto"/>
        <w:rPr>
          <w:rFonts w:ascii="宋体" w:hAnsi="宋体" w:cs="宋体"/>
          <w:szCs w:val="21"/>
        </w:rPr>
      </w:pPr>
      <w:r>
        <w:rPr>
          <w:rFonts w:hint="eastAsia" w:ascii="宋体" w:hAnsi="宋体" w:cs="黑体"/>
          <w:szCs w:val="21"/>
        </w:rPr>
        <w:t>2.2.3.3</w:t>
      </w:r>
      <w:r>
        <w:rPr>
          <w:rFonts w:ascii="宋体" w:hAnsi="宋体" w:cs="宋体"/>
          <w:szCs w:val="21"/>
        </w:rPr>
        <w:t>试验</w:t>
      </w:r>
      <w:r>
        <w:rPr>
          <w:rFonts w:hint="eastAsia" w:ascii="宋体" w:hAnsi="宋体" w:cs="宋体"/>
          <w:szCs w:val="21"/>
        </w:rPr>
        <w:t>表3的统计数据的分析：</w:t>
      </w:r>
    </w:p>
    <w:p>
      <w:pPr>
        <w:adjustRightInd w:val="0"/>
        <w:spacing w:line="360" w:lineRule="auto"/>
        <w:rPr>
          <w:rFonts w:ascii="宋体" w:hAnsi="宋体" w:cs="宋体"/>
          <w:szCs w:val="21"/>
        </w:rPr>
      </w:pPr>
      <w:r>
        <w:rPr>
          <w:rFonts w:hint="eastAsia" w:ascii="宋体" w:hAnsi="宋体" w:cs="宋体"/>
          <w:szCs w:val="21"/>
        </w:rPr>
        <w:t>A、加入5g</w:t>
      </w:r>
      <w:r>
        <w:rPr>
          <w:rFonts w:ascii="宋体" w:hAnsi="宋体" w:cs="宋体"/>
          <w:szCs w:val="21"/>
        </w:rPr>
        <w:t>的盐酸羟胺还原分离硒</w:t>
      </w:r>
      <w:r>
        <w:rPr>
          <w:rFonts w:hint="eastAsia" w:ascii="宋体" w:hAnsi="宋体" w:cs="宋体"/>
          <w:szCs w:val="21"/>
        </w:rPr>
        <w:t>，</w:t>
      </w:r>
      <w:r>
        <w:rPr>
          <w:rFonts w:ascii="宋体" w:hAnsi="宋体" w:cs="宋体"/>
          <w:szCs w:val="21"/>
        </w:rPr>
        <w:t>盐酸羟胺用量不足</w:t>
      </w:r>
      <w:r>
        <w:rPr>
          <w:rFonts w:hint="eastAsia" w:ascii="宋体" w:hAnsi="宋体" w:cs="宋体"/>
          <w:szCs w:val="21"/>
        </w:rPr>
        <w:t>，</w:t>
      </w:r>
      <w:r>
        <w:rPr>
          <w:rFonts w:ascii="宋体" w:hAnsi="宋体" w:cs="宋体"/>
          <w:szCs w:val="21"/>
        </w:rPr>
        <w:t>会导致大量的硒没有被还原而留在滤液中</w:t>
      </w:r>
      <w:r>
        <w:rPr>
          <w:rFonts w:hint="eastAsia" w:ascii="宋体" w:hAnsi="宋体" w:cs="宋体"/>
          <w:szCs w:val="21"/>
        </w:rPr>
        <w:t>，</w:t>
      </w:r>
      <w:r>
        <w:rPr>
          <w:rFonts w:ascii="宋体" w:hAnsi="宋体" w:cs="宋体"/>
          <w:szCs w:val="21"/>
        </w:rPr>
        <w:t>在沉淀</w:t>
      </w:r>
      <w:r>
        <w:rPr>
          <w:rFonts w:hint="eastAsia" w:ascii="宋体" w:hAnsi="宋体" w:cs="宋体"/>
          <w:szCs w:val="21"/>
        </w:rPr>
        <w:t>碲</w:t>
      </w:r>
      <w:r>
        <w:rPr>
          <w:rFonts w:ascii="宋体" w:hAnsi="宋体" w:cs="宋体"/>
          <w:szCs w:val="21"/>
        </w:rPr>
        <w:t>时会完全被沉淀下来</w:t>
      </w:r>
      <w:r>
        <w:rPr>
          <w:rFonts w:hint="eastAsia" w:ascii="宋体" w:hAnsi="宋体" w:cs="宋体"/>
          <w:szCs w:val="21"/>
        </w:rPr>
        <w:t>。</w:t>
      </w:r>
    </w:p>
    <w:p>
      <w:pPr>
        <w:adjustRightInd w:val="0"/>
        <w:spacing w:line="360" w:lineRule="auto"/>
        <w:rPr>
          <w:rFonts w:ascii="宋体" w:hAnsi="宋体" w:cs="宋体"/>
          <w:szCs w:val="21"/>
        </w:rPr>
      </w:pPr>
      <w:r>
        <w:rPr>
          <w:rFonts w:ascii="宋体" w:hAnsi="宋体" w:cs="宋体"/>
          <w:szCs w:val="21"/>
        </w:rPr>
        <w:t>B</w:t>
      </w:r>
      <w:r>
        <w:rPr>
          <w:rFonts w:hint="eastAsia" w:ascii="宋体" w:hAnsi="宋体" w:cs="宋体"/>
          <w:szCs w:val="21"/>
        </w:rPr>
        <w:t>、</w:t>
      </w:r>
      <w:r>
        <w:rPr>
          <w:rFonts w:ascii="宋体" w:hAnsi="宋体" w:cs="宋体"/>
          <w:szCs w:val="21"/>
        </w:rPr>
        <w:t>加入</w:t>
      </w:r>
      <w:r>
        <w:rPr>
          <w:rFonts w:hint="eastAsia" w:ascii="宋体" w:hAnsi="宋体" w:cs="宋体"/>
          <w:szCs w:val="21"/>
        </w:rPr>
        <w:t>8g的盐酸羟胺还残留少量的硒没有被还原沉淀下来，也会导致碲的检测结果偏高。</w:t>
      </w:r>
    </w:p>
    <w:p>
      <w:pPr>
        <w:adjustRightInd w:val="0"/>
        <w:spacing w:line="360" w:lineRule="auto"/>
        <w:rPr>
          <w:rFonts w:ascii="宋体" w:hAnsi="宋体" w:cs="宋体"/>
          <w:szCs w:val="21"/>
        </w:rPr>
      </w:pPr>
      <w:r>
        <w:rPr>
          <w:rFonts w:hint="eastAsia" w:ascii="宋体" w:hAnsi="宋体" w:cs="宋体"/>
          <w:szCs w:val="21"/>
        </w:rPr>
        <w:t>C、加入10、12</w:t>
      </w:r>
      <w:r>
        <w:rPr>
          <w:rFonts w:ascii="宋体" w:hAnsi="宋体" w:cs="宋体"/>
          <w:szCs w:val="21"/>
        </w:rPr>
        <w:t>g的盐酸羟胺可以基本还原沉淀硒</w:t>
      </w:r>
      <w:r>
        <w:rPr>
          <w:rFonts w:hint="eastAsia" w:ascii="宋体" w:hAnsi="宋体" w:cs="宋体"/>
          <w:szCs w:val="21"/>
        </w:rPr>
        <w:t>，</w:t>
      </w:r>
      <w:r>
        <w:rPr>
          <w:rFonts w:ascii="宋体" w:hAnsi="宋体" w:cs="宋体"/>
          <w:szCs w:val="21"/>
        </w:rPr>
        <w:t>残留的滤液中的硒含量＜2ppm</w:t>
      </w:r>
      <w:r>
        <w:rPr>
          <w:rFonts w:hint="eastAsia" w:ascii="宋体" w:hAnsi="宋体" w:cs="宋体"/>
          <w:szCs w:val="21"/>
        </w:rPr>
        <w:t>，</w:t>
      </w:r>
      <w:r>
        <w:rPr>
          <w:rFonts w:ascii="宋体" w:hAnsi="宋体" w:cs="宋体"/>
          <w:szCs w:val="21"/>
        </w:rPr>
        <w:t>在沉淀碲时共沉淀下来</w:t>
      </w:r>
      <w:r>
        <w:rPr>
          <w:rFonts w:hint="eastAsia" w:ascii="宋体" w:hAnsi="宋体" w:cs="宋体"/>
          <w:szCs w:val="21"/>
        </w:rPr>
        <w:t>导致碲的结果影响为：</w:t>
      </w:r>
    </w:p>
    <w:p>
      <w:pPr>
        <w:adjustRightInd w:val="0"/>
        <w:spacing w:line="360" w:lineRule="auto"/>
        <w:rPr>
          <w:rFonts w:ascii="宋体" w:hAnsi="宋体" w:cs="宋体"/>
          <w:szCs w:val="21"/>
        </w:rPr>
      </w:pPr>
      <w:r>
        <w:rPr>
          <w:rFonts w:hint="eastAsia" w:ascii="宋体" w:hAnsi="宋体" w:cs="宋体"/>
          <w:szCs w:val="21"/>
        </w:rPr>
        <w:t>2.2.3.</w:t>
      </w:r>
      <w:r>
        <w:rPr>
          <w:rFonts w:ascii="宋体" w:hAnsi="宋体" w:cs="宋体"/>
          <w:szCs w:val="21"/>
        </w:rPr>
        <w:t>4 试验结论</w:t>
      </w:r>
      <w:r>
        <w:rPr>
          <w:rFonts w:hint="eastAsia" w:ascii="宋体" w:hAnsi="宋体" w:cs="宋体"/>
          <w:szCs w:val="21"/>
        </w:rPr>
        <w:t>：</w:t>
      </w:r>
    </w:p>
    <w:p>
      <w:pPr>
        <w:adjustRightInd w:val="0"/>
        <w:spacing w:line="360" w:lineRule="auto"/>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方法宜使用不少于40毫升的250g/</w:t>
      </w:r>
      <w:r>
        <w:rPr>
          <w:rFonts w:ascii="宋体" w:hAnsi="宋体" w:cs="宋体"/>
          <w:szCs w:val="21"/>
        </w:rPr>
        <w:t>L的盐酸羟胺溶液分离沉淀硒</w:t>
      </w:r>
      <w:r>
        <w:rPr>
          <w:rFonts w:hint="eastAsia" w:ascii="宋体" w:hAnsi="宋体" w:cs="宋体"/>
          <w:szCs w:val="21"/>
        </w:rPr>
        <w:t>，</w:t>
      </w:r>
      <w:r>
        <w:rPr>
          <w:rFonts w:ascii="宋体" w:hAnsi="宋体" w:cs="宋体"/>
          <w:szCs w:val="21"/>
        </w:rPr>
        <w:t>综合考虑</w:t>
      </w:r>
      <w:r>
        <w:rPr>
          <w:rFonts w:hint="eastAsia" w:ascii="宋体" w:hAnsi="宋体" w:cs="宋体"/>
          <w:szCs w:val="21"/>
        </w:rPr>
        <w:t>，</w:t>
      </w:r>
      <w:r>
        <w:rPr>
          <w:rFonts w:ascii="宋体" w:hAnsi="宋体" w:cs="宋体"/>
          <w:szCs w:val="21"/>
        </w:rPr>
        <w:t>使用</w:t>
      </w:r>
      <w:r>
        <w:rPr>
          <w:rFonts w:hint="eastAsia" w:ascii="宋体" w:hAnsi="宋体" w:cs="宋体"/>
          <w:szCs w:val="21"/>
        </w:rPr>
        <w:t>45毫升的250g/</w:t>
      </w:r>
      <w:r>
        <w:rPr>
          <w:rFonts w:ascii="宋体" w:hAnsi="宋体" w:cs="宋体"/>
          <w:szCs w:val="21"/>
        </w:rPr>
        <w:t>L的盐酸羟胺溶液分离沉淀硒</w:t>
      </w:r>
      <w:r>
        <w:rPr>
          <w:rFonts w:hint="eastAsia" w:ascii="宋体" w:hAnsi="宋体" w:cs="宋体"/>
          <w:szCs w:val="21"/>
        </w:rPr>
        <w:t>。</w:t>
      </w:r>
    </w:p>
    <w:p>
      <w:pPr>
        <w:adjustRightInd w:val="0"/>
        <w:spacing w:line="360" w:lineRule="auto"/>
        <w:rPr>
          <w:rFonts w:ascii="宋体" w:hAnsi="宋体" w:cs="宋体"/>
          <w:b/>
          <w:szCs w:val="21"/>
        </w:rPr>
      </w:pPr>
      <w:r>
        <w:rPr>
          <w:rFonts w:hint="eastAsia" w:ascii="宋体" w:hAnsi="宋体" w:cs="宋体"/>
          <w:b/>
          <w:szCs w:val="21"/>
        </w:rPr>
        <w:t>2.2.4 还原沉淀碲的试剂选择</w:t>
      </w:r>
    </w:p>
    <w:p>
      <w:pPr>
        <w:adjustRightInd w:val="0"/>
        <w:spacing w:line="360" w:lineRule="auto"/>
        <w:ind w:firstLine="420" w:firstLineChars="200"/>
        <w:rPr>
          <w:rFonts w:ascii="宋体" w:hAnsi="宋体" w:cs="宋体"/>
          <w:szCs w:val="21"/>
        </w:rPr>
      </w:pPr>
      <w:r>
        <w:rPr>
          <w:rFonts w:hint="eastAsia" w:ascii="宋体" w:hAnsi="宋体" w:cs="宋体"/>
          <w:szCs w:val="21"/>
        </w:rPr>
        <w:t>在行业标准YS/T1227.1-2018《粗碲化学分析方法 第一部分 碲量的测定 重量法》的起草过程中已确认使用亚硫酸和盐酸联铵混合还原沉淀剂可以适应各类含碲物料中碲的还原沉淀，鉴于粗硒物料大部分情况下都为纯度小于99%的物料，所以本方法确认使用亚硫酸和盐酸联胺作为混合还原沉淀剂。</w:t>
      </w:r>
    </w:p>
    <w:p>
      <w:pPr>
        <w:adjustRightInd w:val="0"/>
        <w:spacing w:line="360" w:lineRule="auto"/>
        <w:rPr>
          <w:rFonts w:ascii="宋体" w:hAnsi="宋体" w:cs="宋体"/>
          <w:b/>
          <w:szCs w:val="21"/>
        </w:rPr>
      </w:pPr>
      <w:r>
        <w:rPr>
          <w:rFonts w:hint="eastAsia" w:ascii="宋体" w:hAnsi="宋体" w:cs="宋体"/>
          <w:b/>
          <w:szCs w:val="21"/>
        </w:rPr>
        <w:t>2.2.</w:t>
      </w:r>
      <w:r>
        <w:rPr>
          <w:rFonts w:ascii="宋体" w:hAnsi="宋体" w:cs="宋体"/>
          <w:b/>
          <w:szCs w:val="21"/>
        </w:rPr>
        <w:t>5还原沉淀剂</w:t>
      </w:r>
      <w:r>
        <w:rPr>
          <w:rFonts w:hint="eastAsia" w:ascii="宋体" w:hAnsi="宋体" w:cs="宋体"/>
          <w:b/>
          <w:szCs w:val="21"/>
        </w:rPr>
        <w:t>亚硫酸和盐酸联胺用量的选择和确认</w:t>
      </w:r>
    </w:p>
    <w:p>
      <w:pPr>
        <w:adjustRightInd w:val="0"/>
        <w:spacing w:line="360" w:lineRule="auto"/>
        <w:rPr>
          <w:rFonts w:ascii="宋体" w:hAnsi="宋体"/>
          <w:szCs w:val="21"/>
        </w:rPr>
      </w:pPr>
      <w:r>
        <w:rPr>
          <w:rFonts w:hint="eastAsia" w:ascii="宋体" w:hAnsi="宋体" w:cs="宋体"/>
          <w:b/>
          <w:szCs w:val="21"/>
        </w:rPr>
        <w:t>2</w:t>
      </w:r>
      <w:r>
        <w:rPr>
          <w:rFonts w:hint="eastAsia" w:ascii="宋体" w:hAnsi="宋体"/>
          <w:szCs w:val="21"/>
        </w:rPr>
        <w:t>.2.5.1.亚硫酸还原沉淀碲时反应方程式如下：</w:t>
      </w:r>
    </w:p>
    <w:p>
      <w:pPr>
        <w:adjustRightInd w:val="0"/>
        <w:spacing w:line="360" w:lineRule="auto"/>
        <w:rPr>
          <w:rFonts w:ascii="宋体" w:hAnsi="宋体"/>
          <w:sz w:val="28"/>
          <w:szCs w:val="28"/>
          <w:vertAlign w:val="superscript"/>
        </w:rPr>
      </w:pPr>
      <w:r>
        <w:rPr>
          <w:rFonts w:hint="eastAsia" w:ascii="宋体" w:hAnsi="宋体"/>
          <w:szCs w:val="21"/>
        </w:rPr>
        <w:t xml:space="preserve">   </w:t>
      </w:r>
      <w:r>
        <w:rPr>
          <w:rFonts w:ascii="宋体" w:hAnsi="宋体"/>
          <w:szCs w:val="21"/>
        </w:rPr>
        <w:t xml:space="preserve">           </w:t>
      </w:r>
      <w:r>
        <w:rPr>
          <w:rFonts w:ascii="宋体" w:hAnsi="宋体"/>
          <w:sz w:val="28"/>
          <w:szCs w:val="28"/>
        </w:rPr>
        <w:t xml:space="preserve"> </w:t>
      </w:r>
      <w:r>
        <w:rPr>
          <w:rFonts w:hint="eastAsia" w:ascii="宋体" w:hAnsi="宋体"/>
          <w:sz w:val="28"/>
          <w:szCs w:val="28"/>
        </w:rPr>
        <w:t>Te</w:t>
      </w:r>
      <w:r>
        <w:rPr>
          <w:rFonts w:ascii="宋体" w:hAnsi="宋体"/>
          <w:sz w:val="28"/>
          <w:szCs w:val="28"/>
          <w:vertAlign w:val="superscript"/>
        </w:rPr>
        <w:t>+6</w:t>
      </w:r>
      <w:r>
        <w:rPr>
          <w:rFonts w:ascii="宋体" w:hAnsi="宋体"/>
          <w:sz w:val="28"/>
          <w:szCs w:val="28"/>
        </w:rPr>
        <w:t>+3H</w:t>
      </w:r>
      <w:r>
        <w:rPr>
          <w:rFonts w:ascii="宋体" w:hAnsi="宋体"/>
          <w:sz w:val="28"/>
          <w:szCs w:val="28"/>
          <w:vertAlign w:val="subscript"/>
        </w:rPr>
        <w:t>2</w:t>
      </w:r>
      <w:r>
        <w:rPr>
          <w:rFonts w:ascii="宋体" w:hAnsi="宋体"/>
          <w:sz w:val="28"/>
          <w:szCs w:val="28"/>
        </w:rPr>
        <w:t>SO</w:t>
      </w:r>
      <w:r>
        <w:rPr>
          <w:rFonts w:ascii="宋体" w:hAnsi="宋体"/>
          <w:sz w:val="28"/>
          <w:szCs w:val="28"/>
          <w:vertAlign w:val="subscript"/>
        </w:rPr>
        <w:t>3</w:t>
      </w:r>
      <w:r>
        <w:rPr>
          <w:rFonts w:ascii="宋体" w:hAnsi="宋体"/>
          <w:sz w:val="28"/>
          <w:szCs w:val="28"/>
        </w:rPr>
        <w:t>+3H</w:t>
      </w:r>
      <w:r>
        <w:rPr>
          <w:rFonts w:ascii="宋体" w:hAnsi="宋体"/>
          <w:sz w:val="28"/>
          <w:szCs w:val="28"/>
          <w:vertAlign w:val="subscript"/>
        </w:rPr>
        <w:t>2</w:t>
      </w:r>
      <w:r>
        <w:rPr>
          <w:rFonts w:ascii="宋体" w:hAnsi="宋体"/>
          <w:sz w:val="28"/>
          <w:szCs w:val="28"/>
        </w:rPr>
        <w:t>O=Te+3H</w:t>
      </w:r>
      <w:r>
        <w:rPr>
          <w:rFonts w:ascii="宋体" w:hAnsi="宋体"/>
          <w:sz w:val="28"/>
          <w:szCs w:val="28"/>
          <w:vertAlign w:val="subscript"/>
        </w:rPr>
        <w:t>2</w:t>
      </w:r>
      <w:r>
        <w:rPr>
          <w:rFonts w:ascii="宋体" w:hAnsi="宋体"/>
          <w:sz w:val="28"/>
          <w:szCs w:val="28"/>
        </w:rPr>
        <w:t>SO</w:t>
      </w:r>
      <w:r>
        <w:rPr>
          <w:rFonts w:ascii="宋体" w:hAnsi="宋体"/>
          <w:sz w:val="28"/>
          <w:szCs w:val="28"/>
          <w:vertAlign w:val="subscript"/>
        </w:rPr>
        <w:t>4</w:t>
      </w:r>
      <w:r>
        <w:rPr>
          <w:rFonts w:ascii="宋体" w:hAnsi="宋体"/>
          <w:sz w:val="28"/>
          <w:szCs w:val="28"/>
        </w:rPr>
        <w:t>+6H</w:t>
      </w:r>
      <w:r>
        <w:rPr>
          <w:rFonts w:ascii="宋体" w:hAnsi="宋体"/>
          <w:sz w:val="28"/>
          <w:szCs w:val="28"/>
          <w:vertAlign w:val="superscript"/>
        </w:rPr>
        <w:t>+</w:t>
      </w:r>
    </w:p>
    <w:p>
      <w:pPr>
        <w:adjustRightInd w:val="0"/>
        <w:spacing w:line="360" w:lineRule="auto"/>
        <w:ind w:firstLine="420" w:firstLineChars="200"/>
        <w:rPr>
          <w:rFonts w:ascii="宋体" w:hAnsi="宋体" w:cs="宋体"/>
          <w:b/>
          <w:szCs w:val="21"/>
        </w:rPr>
      </w:pPr>
      <w:r>
        <w:rPr>
          <w:rFonts w:hint="eastAsia" w:ascii="宋体" w:hAnsi="宋体"/>
          <w:szCs w:val="21"/>
        </w:rPr>
        <w:t>以含碲量为20%的4#样品为例，称取2.1</w:t>
      </w:r>
      <w:r>
        <w:rPr>
          <w:rFonts w:ascii="宋体" w:hAnsi="宋体"/>
          <w:szCs w:val="21"/>
        </w:rPr>
        <w:t>g的样品中的碲含量为</w:t>
      </w:r>
      <w:r>
        <w:rPr>
          <w:rFonts w:hint="eastAsia" w:ascii="宋体" w:hAnsi="宋体"/>
          <w:szCs w:val="21"/>
        </w:rPr>
        <w:t>0.2*2</w:t>
      </w:r>
      <w:r>
        <w:rPr>
          <w:rFonts w:ascii="宋体" w:hAnsi="宋体"/>
          <w:szCs w:val="21"/>
        </w:rPr>
        <w:t>.1</w:t>
      </w:r>
      <w:r>
        <w:rPr>
          <w:rFonts w:hint="eastAsia" w:ascii="宋体" w:hAnsi="宋体"/>
          <w:szCs w:val="21"/>
        </w:rPr>
        <w:t>=</w:t>
      </w:r>
      <w:r>
        <w:rPr>
          <w:rFonts w:ascii="宋体" w:hAnsi="宋体"/>
          <w:szCs w:val="21"/>
        </w:rPr>
        <w:t>0.42g</w:t>
      </w:r>
      <w:r>
        <w:rPr>
          <w:rFonts w:hint="eastAsia" w:ascii="宋体" w:hAnsi="宋体"/>
          <w:szCs w:val="21"/>
        </w:rPr>
        <w:t>，</w:t>
      </w:r>
      <w:r>
        <w:rPr>
          <w:rFonts w:ascii="宋体" w:hAnsi="宋体"/>
          <w:szCs w:val="21"/>
        </w:rPr>
        <w:t>样品中的碲在王水溶解</w:t>
      </w:r>
      <w:r>
        <w:rPr>
          <w:rFonts w:hint="eastAsia" w:ascii="宋体" w:hAnsi="宋体"/>
          <w:szCs w:val="21"/>
        </w:rPr>
        <w:t>后</w:t>
      </w:r>
      <w:r>
        <w:rPr>
          <w:rFonts w:ascii="宋体" w:hAnsi="宋体"/>
          <w:szCs w:val="21"/>
        </w:rPr>
        <w:t>能转化成</w:t>
      </w:r>
      <w:r>
        <w:rPr>
          <w:rFonts w:hint="eastAsia" w:ascii="宋体" w:hAnsi="宋体"/>
          <w:szCs w:val="21"/>
        </w:rPr>
        <w:t>4、6价的离子态，在还原成单质碲时对应消耗的H</w:t>
      </w:r>
      <w:r>
        <w:rPr>
          <w:rFonts w:ascii="宋体" w:hAnsi="宋体"/>
          <w:szCs w:val="21"/>
          <w:vertAlign w:val="subscript"/>
        </w:rPr>
        <w:t>2</w:t>
      </w:r>
      <w:r>
        <w:rPr>
          <w:rFonts w:ascii="宋体" w:hAnsi="宋体"/>
          <w:szCs w:val="21"/>
        </w:rPr>
        <w:t>SO</w:t>
      </w:r>
      <w:r>
        <w:rPr>
          <w:rFonts w:ascii="宋体" w:hAnsi="宋体"/>
          <w:szCs w:val="21"/>
          <w:vertAlign w:val="subscript"/>
        </w:rPr>
        <w:t>3</w:t>
      </w:r>
      <w:r>
        <w:rPr>
          <w:rFonts w:hint="eastAsia" w:ascii="宋体" w:hAnsi="宋体"/>
          <w:szCs w:val="21"/>
        </w:rPr>
        <w:t>用量为0.42</w:t>
      </w:r>
      <w:r>
        <w:rPr>
          <w:rFonts w:ascii="宋体" w:hAnsi="宋体"/>
          <w:szCs w:val="21"/>
        </w:rPr>
        <w:t>*6*82</w:t>
      </w:r>
      <w:r>
        <w:rPr>
          <w:rFonts w:hint="eastAsia" w:ascii="宋体" w:hAnsi="宋体"/>
          <w:szCs w:val="21"/>
        </w:rPr>
        <w:t>/（</w:t>
      </w:r>
      <w:r>
        <w:rPr>
          <w:rFonts w:ascii="宋体" w:hAnsi="宋体"/>
          <w:szCs w:val="21"/>
        </w:rPr>
        <w:t>2*</w:t>
      </w:r>
      <w:r>
        <w:rPr>
          <w:rFonts w:hint="eastAsia" w:ascii="宋体" w:hAnsi="宋体"/>
          <w:szCs w:val="21"/>
        </w:rPr>
        <w:t>127</w:t>
      </w:r>
      <w:r>
        <w:rPr>
          <w:rFonts w:ascii="宋体" w:hAnsi="宋体"/>
          <w:szCs w:val="21"/>
        </w:rPr>
        <w:t>.6</w:t>
      </w:r>
      <w:r>
        <w:rPr>
          <w:rFonts w:hint="eastAsia" w:ascii="宋体" w:hAnsi="宋体"/>
          <w:szCs w:val="21"/>
        </w:rPr>
        <w:t>）=</w:t>
      </w:r>
      <w:r>
        <w:rPr>
          <w:rFonts w:ascii="宋体" w:hAnsi="宋体"/>
          <w:szCs w:val="21"/>
        </w:rPr>
        <w:t>0.81</w:t>
      </w:r>
      <w:r>
        <w:rPr>
          <w:rFonts w:hint="eastAsia" w:ascii="宋体" w:hAnsi="宋体"/>
          <w:szCs w:val="21"/>
        </w:rPr>
        <w:t>（</w:t>
      </w:r>
      <w:r>
        <w:rPr>
          <w:rFonts w:ascii="宋体" w:hAnsi="宋体"/>
          <w:szCs w:val="21"/>
        </w:rPr>
        <w:t>g</w:t>
      </w:r>
      <w:r>
        <w:rPr>
          <w:rFonts w:hint="eastAsia" w:ascii="宋体" w:hAnsi="宋体"/>
          <w:szCs w:val="21"/>
        </w:rPr>
        <w:t>），对应的H</w:t>
      </w:r>
      <w:r>
        <w:rPr>
          <w:rFonts w:ascii="宋体" w:hAnsi="宋体"/>
          <w:szCs w:val="21"/>
          <w:vertAlign w:val="subscript"/>
        </w:rPr>
        <w:t>2</w:t>
      </w:r>
      <w:r>
        <w:rPr>
          <w:rFonts w:ascii="宋体" w:hAnsi="宋体"/>
          <w:szCs w:val="21"/>
        </w:rPr>
        <w:t>SO</w:t>
      </w:r>
      <w:r>
        <w:rPr>
          <w:rFonts w:ascii="宋体" w:hAnsi="宋体"/>
          <w:szCs w:val="21"/>
          <w:vertAlign w:val="subscript"/>
        </w:rPr>
        <w:t>3</w:t>
      </w:r>
      <w:r>
        <w:rPr>
          <w:rFonts w:hint="eastAsia" w:ascii="宋体" w:hAnsi="宋体"/>
          <w:szCs w:val="21"/>
        </w:rPr>
        <w:t>用量为0.81/0.06=</w:t>
      </w:r>
      <w:r>
        <w:rPr>
          <w:rFonts w:ascii="宋体" w:hAnsi="宋体"/>
          <w:szCs w:val="21"/>
        </w:rPr>
        <w:t>13.5毫升</w:t>
      </w:r>
      <w:r>
        <w:rPr>
          <w:rFonts w:hint="eastAsia" w:ascii="宋体" w:hAnsi="宋体"/>
          <w:szCs w:val="21"/>
        </w:rPr>
        <w:t>。考虑2倍用量及亚硫酸的挥发情况，所以亚硫酸溶液的最低用量为30毫升。不进行30毫升以下的用量试验，只进行盐酸联铵的用量试验。</w:t>
      </w:r>
    </w:p>
    <w:p>
      <w:pPr>
        <w:adjustRightInd w:val="0"/>
        <w:spacing w:line="360" w:lineRule="auto"/>
        <w:rPr>
          <w:rFonts w:ascii="宋体" w:hAnsi="宋体"/>
          <w:szCs w:val="21"/>
        </w:rPr>
      </w:pPr>
      <w:r>
        <w:rPr>
          <w:rFonts w:ascii="宋体" w:hAnsi="宋体" w:cs="宋体"/>
          <w:szCs w:val="21"/>
        </w:rPr>
        <w:t>2.2.5.2 选择使用</w:t>
      </w:r>
      <w:r>
        <w:rPr>
          <w:rFonts w:hint="eastAsia" w:ascii="宋体" w:hAnsi="宋体" w:cs="宋体"/>
          <w:szCs w:val="21"/>
        </w:rPr>
        <w:t>2#、4#样品，按照以上1.1方法进行，分别加入30毫升</w:t>
      </w:r>
      <w:r>
        <w:rPr>
          <w:rFonts w:ascii="宋体" w:hAnsi="宋体"/>
          <w:szCs w:val="21"/>
        </w:rPr>
        <w:t>亚硫酸</w:t>
      </w:r>
      <w:r>
        <w:rPr>
          <w:rFonts w:hint="eastAsia" w:ascii="宋体" w:hAnsi="宋体"/>
          <w:szCs w:val="21"/>
        </w:rPr>
        <w:t>溶液（</w:t>
      </w:r>
      <w:r>
        <w:rPr>
          <w:rFonts w:ascii="宋体" w:hAnsi="宋体"/>
          <w:szCs w:val="21"/>
        </w:rPr>
        <w:t>&gt;6%</w:t>
      </w:r>
      <w:r>
        <w:rPr>
          <w:rFonts w:hint="eastAsia" w:ascii="宋体" w:hAnsi="宋体"/>
          <w:szCs w:val="21"/>
        </w:rPr>
        <w:t>）和20毫升盐酸联胺溶液（</w:t>
      </w:r>
      <w:r>
        <w:rPr>
          <w:rFonts w:ascii="宋体" w:hAnsi="宋体"/>
          <w:szCs w:val="21"/>
        </w:rPr>
        <w:t>150g/L</w:t>
      </w:r>
      <w:r>
        <w:rPr>
          <w:rFonts w:hint="eastAsia" w:ascii="宋体" w:hAnsi="宋体"/>
          <w:szCs w:val="21"/>
        </w:rPr>
        <w:t>）、</w:t>
      </w:r>
      <w:r>
        <w:rPr>
          <w:rFonts w:ascii="宋体" w:hAnsi="宋体" w:cs="宋体"/>
          <w:szCs w:val="21"/>
        </w:rPr>
        <w:t>30</w:t>
      </w:r>
      <w:r>
        <w:rPr>
          <w:rFonts w:hint="eastAsia" w:ascii="宋体" w:hAnsi="宋体" w:cs="宋体"/>
          <w:szCs w:val="21"/>
        </w:rPr>
        <w:t>毫升</w:t>
      </w:r>
      <w:r>
        <w:rPr>
          <w:rFonts w:ascii="宋体" w:hAnsi="宋体"/>
          <w:szCs w:val="21"/>
        </w:rPr>
        <w:t>亚硫酸</w:t>
      </w:r>
      <w:r>
        <w:rPr>
          <w:rFonts w:hint="eastAsia" w:ascii="宋体" w:hAnsi="宋体"/>
          <w:szCs w:val="21"/>
        </w:rPr>
        <w:t>溶液（</w:t>
      </w:r>
      <w:r>
        <w:rPr>
          <w:rFonts w:ascii="宋体" w:hAnsi="宋体"/>
          <w:szCs w:val="21"/>
        </w:rPr>
        <w:t>&gt;6%</w:t>
      </w:r>
      <w:r>
        <w:rPr>
          <w:rFonts w:hint="eastAsia" w:ascii="宋体" w:hAnsi="宋体"/>
          <w:szCs w:val="21"/>
        </w:rPr>
        <w:t>）和</w:t>
      </w:r>
      <w:r>
        <w:rPr>
          <w:rFonts w:ascii="宋体" w:hAnsi="宋体"/>
          <w:szCs w:val="21"/>
        </w:rPr>
        <w:t>30</w:t>
      </w:r>
      <w:r>
        <w:rPr>
          <w:rFonts w:hint="eastAsia" w:ascii="宋体" w:hAnsi="宋体"/>
          <w:szCs w:val="21"/>
        </w:rPr>
        <w:t>毫升盐酸联胺溶液（</w:t>
      </w:r>
      <w:r>
        <w:rPr>
          <w:rFonts w:ascii="宋体" w:hAnsi="宋体"/>
          <w:szCs w:val="21"/>
        </w:rPr>
        <w:t>150g/L</w:t>
      </w:r>
      <w:r>
        <w:rPr>
          <w:rFonts w:hint="eastAsia" w:ascii="宋体" w:hAnsi="宋体"/>
          <w:szCs w:val="21"/>
        </w:rPr>
        <w:t>），将G4坩埚过滤后的溶液转移定容至500毫升的容量瓶中，用ICP-OE</w:t>
      </w:r>
      <w:r>
        <w:rPr>
          <w:rFonts w:ascii="宋体" w:hAnsi="宋体"/>
          <w:szCs w:val="21"/>
        </w:rPr>
        <w:t>S检测溶液中的碲含量</w:t>
      </w:r>
      <w:r>
        <w:rPr>
          <w:rFonts w:hint="eastAsia" w:ascii="宋体" w:hAnsi="宋体"/>
          <w:szCs w:val="21"/>
        </w:rPr>
        <w:t>，检测结果如下表4</w:t>
      </w:r>
    </w:p>
    <w:p>
      <w:pPr>
        <w:adjustRightInd w:val="0"/>
        <w:spacing w:line="360" w:lineRule="auto"/>
        <w:rPr>
          <w:rFonts w:ascii="宋体" w:hAnsi="宋体" w:cs="宋体"/>
          <w:szCs w:val="21"/>
        </w:rPr>
      </w:pPr>
      <w:r>
        <w:rPr>
          <w:rFonts w:ascii="宋体" w:hAnsi="宋体"/>
          <w:szCs w:val="21"/>
        </w:rPr>
        <w:t xml:space="preserve">                      表</w:t>
      </w:r>
      <w:r>
        <w:rPr>
          <w:rFonts w:hint="eastAsia" w:ascii="宋体" w:hAnsi="宋体"/>
          <w:szCs w:val="21"/>
        </w:rPr>
        <w:t>4  亚硫酸和盐酸联铵用量的统计表</w: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3223"/>
        <w:gridCol w:w="184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样品编号</w:t>
            </w:r>
          </w:p>
        </w:tc>
        <w:tc>
          <w:tcPr>
            <w:tcW w:w="3223"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亚硫酸和盐酸联铵的用量</w:t>
            </w:r>
          </w:p>
        </w:tc>
        <w:tc>
          <w:tcPr>
            <w:tcW w:w="1843"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还原碲后的500毫升的滤液中碲含量 （ug/</w:t>
            </w:r>
            <w:r>
              <w:rPr>
                <w:rFonts w:ascii="宋体" w:hAnsi="宋体" w:cs="宋体"/>
                <w:szCs w:val="21"/>
              </w:rPr>
              <w:t>ml</w:t>
            </w:r>
            <w:r>
              <w:rPr>
                <w:rFonts w:hint="eastAsia" w:ascii="宋体" w:hAnsi="宋体" w:cs="宋体"/>
                <w:szCs w:val="21"/>
              </w:rPr>
              <w:t>）</w:t>
            </w:r>
          </w:p>
        </w:tc>
        <w:tc>
          <w:tcPr>
            <w:tcW w:w="141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碲量的检测结果（%）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restart"/>
            <w:shd w:val="clear" w:color="auto" w:fill="auto"/>
            <w:vAlign w:val="center"/>
          </w:tcPr>
          <w:p>
            <w:pPr>
              <w:adjustRightInd w:val="0"/>
              <w:spacing w:line="360" w:lineRule="auto"/>
              <w:ind w:firstLine="420" w:firstLineChars="200"/>
              <w:jc w:val="center"/>
              <w:rPr>
                <w:rFonts w:ascii="宋体" w:hAnsi="宋体" w:cs="宋体"/>
                <w:szCs w:val="21"/>
              </w:rPr>
            </w:pPr>
            <w:r>
              <w:rPr>
                <w:rFonts w:hint="eastAsia" w:ascii="宋体" w:hAnsi="宋体" w:cs="宋体"/>
                <w:szCs w:val="21"/>
              </w:rPr>
              <w:t>2#</w:t>
            </w:r>
          </w:p>
        </w:tc>
        <w:tc>
          <w:tcPr>
            <w:tcW w:w="3223" w:type="dxa"/>
            <w:shd w:val="clear" w:color="auto" w:fill="auto"/>
            <w:vAlign w:val="center"/>
          </w:tcPr>
          <w:p>
            <w:pPr>
              <w:adjustRightInd w:val="0"/>
              <w:spacing w:line="360" w:lineRule="auto"/>
              <w:jc w:val="center"/>
              <w:rPr>
                <w:rFonts w:ascii="宋体" w:hAnsi="宋体" w:cs="宋体"/>
                <w:szCs w:val="21"/>
              </w:rPr>
            </w:pPr>
            <w:r>
              <w:rPr>
                <w:rFonts w:ascii="宋体" w:hAnsi="宋体" w:cs="宋体"/>
                <w:szCs w:val="21"/>
              </w:rPr>
              <w:t>30</w:t>
            </w:r>
            <w:r>
              <w:rPr>
                <w:rFonts w:hint="eastAsia" w:ascii="宋体" w:hAnsi="宋体" w:cs="宋体"/>
                <w:szCs w:val="21"/>
              </w:rPr>
              <w:t>毫升</w:t>
            </w:r>
            <w:r>
              <w:rPr>
                <w:rFonts w:ascii="宋体" w:hAnsi="宋体"/>
                <w:szCs w:val="21"/>
              </w:rPr>
              <w:t>亚硫酸</w:t>
            </w:r>
            <w:r>
              <w:rPr>
                <w:rFonts w:hint="eastAsia" w:ascii="宋体" w:hAnsi="宋体"/>
                <w:szCs w:val="21"/>
              </w:rPr>
              <w:t>溶液（</w:t>
            </w:r>
            <w:r>
              <w:rPr>
                <w:rFonts w:ascii="宋体" w:hAnsi="宋体"/>
                <w:szCs w:val="21"/>
              </w:rPr>
              <w:t>&gt;6%</w:t>
            </w:r>
            <w:r>
              <w:rPr>
                <w:rFonts w:hint="eastAsia" w:ascii="宋体" w:hAnsi="宋体"/>
                <w:szCs w:val="21"/>
              </w:rPr>
              <w:t>）和20毫升盐酸联胺溶液（</w:t>
            </w:r>
            <w:r>
              <w:rPr>
                <w:rFonts w:ascii="宋体" w:hAnsi="宋体"/>
                <w:szCs w:val="21"/>
              </w:rPr>
              <w:t>150g/L</w:t>
            </w:r>
            <w:r>
              <w:rPr>
                <w:rFonts w:hint="eastAsia" w:ascii="宋体" w:hAnsi="宋体"/>
                <w:szCs w:val="21"/>
              </w:rPr>
              <w:t>）</w:t>
            </w:r>
          </w:p>
        </w:tc>
        <w:tc>
          <w:tcPr>
            <w:tcW w:w="1843"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0.</w:t>
            </w:r>
            <w:r>
              <w:rPr>
                <w:rFonts w:ascii="宋体" w:hAnsi="宋体" w:cs="宋体"/>
                <w:szCs w:val="21"/>
              </w:rPr>
              <w:t>3</w:t>
            </w:r>
          </w:p>
        </w:tc>
        <w:tc>
          <w:tcPr>
            <w:tcW w:w="141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jc w:val="center"/>
              <w:rPr>
                <w:rFonts w:ascii="宋体" w:hAnsi="宋体" w:cs="宋体"/>
                <w:szCs w:val="21"/>
              </w:rPr>
            </w:pPr>
          </w:p>
        </w:tc>
        <w:tc>
          <w:tcPr>
            <w:tcW w:w="3223" w:type="dxa"/>
            <w:shd w:val="clear" w:color="auto" w:fill="auto"/>
            <w:vAlign w:val="center"/>
          </w:tcPr>
          <w:p>
            <w:pPr>
              <w:adjustRightInd w:val="0"/>
              <w:spacing w:line="360" w:lineRule="auto"/>
              <w:jc w:val="center"/>
              <w:rPr>
                <w:rFonts w:ascii="宋体" w:hAnsi="宋体" w:cs="宋体"/>
                <w:szCs w:val="21"/>
              </w:rPr>
            </w:pPr>
            <w:r>
              <w:rPr>
                <w:rFonts w:ascii="宋体" w:hAnsi="宋体" w:cs="宋体"/>
                <w:szCs w:val="21"/>
              </w:rPr>
              <w:t>30</w:t>
            </w:r>
            <w:r>
              <w:rPr>
                <w:rFonts w:hint="eastAsia" w:ascii="宋体" w:hAnsi="宋体" w:cs="宋体"/>
                <w:szCs w:val="21"/>
              </w:rPr>
              <w:t>毫升</w:t>
            </w:r>
            <w:r>
              <w:rPr>
                <w:rFonts w:ascii="宋体" w:hAnsi="宋体"/>
                <w:szCs w:val="21"/>
              </w:rPr>
              <w:t>亚硫酸</w:t>
            </w:r>
            <w:r>
              <w:rPr>
                <w:rFonts w:hint="eastAsia" w:ascii="宋体" w:hAnsi="宋体"/>
                <w:szCs w:val="21"/>
              </w:rPr>
              <w:t>溶液（</w:t>
            </w:r>
            <w:r>
              <w:rPr>
                <w:rFonts w:ascii="宋体" w:hAnsi="宋体"/>
                <w:szCs w:val="21"/>
              </w:rPr>
              <w:t>&gt;6%</w:t>
            </w:r>
            <w:r>
              <w:rPr>
                <w:rFonts w:hint="eastAsia" w:ascii="宋体" w:hAnsi="宋体"/>
                <w:szCs w:val="21"/>
              </w:rPr>
              <w:t>）和</w:t>
            </w:r>
            <w:r>
              <w:rPr>
                <w:rFonts w:ascii="宋体" w:hAnsi="宋体"/>
                <w:szCs w:val="21"/>
              </w:rPr>
              <w:t>30</w:t>
            </w:r>
            <w:r>
              <w:rPr>
                <w:rFonts w:hint="eastAsia" w:ascii="宋体" w:hAnsi="宋体"/>
                <w:szCs w:val="21"/>
              </w:rPr>
              <w:t>毫升盐酸联胺溶液（</w:t>
            </w:r>
            <w:r>
              <w:rPr>
                <w:rFonts w:ascii="宋体" w:hAnsi="宋体"/>
                <w:szCs w:val="21"/>
              </w:rPr>
              <w:t>150g/L</w:t>
            </w:r>
            <w:r>
              <w:rPr>
                <w:rFonts w:hint="eastAsia" w:ascii="宋体" w:hAnsi="宋体"/>
                <w:szCs w:val="21"/>
              </w:rPr>
              <w:t>）</w:t>
            </w:r>
          </w:p>
        </w:tc>
        <w:tc>
          <w:tcPr>
            <w:tcW w:w="1843" w:type="dxa"/>
            <w:shd w:val="clear" w:color="auto" w:fill="auto"/>
            <w:vAlign w:val="center"/>
          </w:tcPr>
          <w:p>
            <w:pPr>
              <w:adjustRightInd w:val="0"/>
              <w:spacing w:line="360" w:lineRule="auto"/>
              <w:jc w:val="center"/>
              <w:rPr>
                <w:rFonts w:ascii="宋体" w:hAnsi="宋体" w:cs="宋体"/>
                <w:szCs w:val="21"/>
              </w:rPr>
            </w:pPr>
            <w:r>
              <w:rPr>
                <w:rFonts w:ascii="宋体" w:hAnsi="宋体" w:cs="宋体"/>
                <w:szCs w:val="21"/>
              </w:rPr>
              <w:t>0.4</w:t>
            </w:r>
          </w:p>
        </w:tc>
        <w:tc>
          <w:tcPr>
            <w:tcW w:w="141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restart"/>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4#</w:t>
            </w:r>
          </w:p>
        </w:tc>
        <w:tc>
          <w:tcPr>
            <w:tcW w:w="3223" w:type="dxa"/>
            <w:shd w:val="clear" w:color="auto" w:fill="auto"/>
            <w:vAlign w:val="center"/>
          </w:tcPr>
          <w:p>
            <w:pPr>
              <w:adjustRightInd w:val="0"/>
              <w:spacing w:line="360" w:lineRule="auto"/>
              <w:jc w:val="center"/>
              <w:rPr>
                <w:rFonts w:ascii="宋体" w:hAnsi="宋体" w:cs="宋体"/>
                <w:szCs w:val="21"/>
              </w:rPr>
            </w:pPr>
            <w:r>
              <w:rPr>
                <w:rFonts w:ascii="宋体" w:hAnsi="宋体" w:cs="宋体"/>
                <w:szCs w:val="21"/>
              </w:rPr>
              <w:t>30</w:t>
            </w:r>
            <w:r>
              <w:rPr>
                <w:rFonts w:hint="eastAsia" w:ascii="宋体" w:hAnsi="宋体" w:cs="宋体"/>
                <w:szCs w:val="21"/>
              </w:rPr>
              <w:t>毫升</w:t>
            </w:r>
            <w:r>
              <w:rPr>
                <w:rFonts w:ascii="宋体" w:hAnsi="宋体"/>
                <w:szCs w:val="21"/>
              </w:rPr>
              <w:t>亚硫酸</w:t>
            </w:r>
            <w:r>
              <w:rPr>
                <w:rFonts w:hint="eastAsia" w:ascii="宋体" w:hAnsi="宋体"/>
                <w:szCs w:val="21"/>
              </w:rPr>
              <w:t>溶液（</w:t>
            </w:r>
            <w:r>
              <w:rPr>
                <w:rFonts w:ascii="宋体" w:hAnsi="宋体"/>
                <w:szCs w:val="21"/>
              </w:rPr>
              <w:t>&gt;6%</w:t>
            </w:r>
            <w:r>
              <w:rPr>
                <w:rFonts w:hint="eastAsia" w:ascii="宋体" w:hAnsi="宋体"/>
                <w:szCs w:val="21"/>
              </w:rPr>
              <w:t>）和20毫升盐酸联胺溶液（</w:t>
            </w:r>
            <w:r>
              <w:rPr>
                <w:rFonts w:ascii="宋体" w:hAnsi="宋体"/>
                <w:szCs w:val="21"/>
              </w:rPr>
              <w:t>150g/L</w:t>
            </w:r>
            <w:r>
              <w:rPr>
                <w:rFonts w:hint="eastAsia" w:ascii="宋体" w:hAnsi="宋体"/>
                <w:szCs w:val="21"/>
              </w:rPr>
              <w:t>）</w:t>
            </w:r>
          </w:p>
        </w:tc>
        <w:tc>
          <w:tcPr>
            <w:tcW w:w="1843" w:type="dxa"/>
            <w:shd w:val="clear" w:color="auto" w:fill="auto"/>
            <w:vAlign w:val="center"/>
          </w:tcPr>
          <w:p>
            <w:pPr>
              <w:adjustRightInd w:val="0"/>
              <w:spacing w:line="360" w:lineRule="auto"/>
              <w:jc w:val="center"/>
              <w:rPr>
                <w:rFonts w:ascii="宋体" w:hAnsi="宋体" w:cs="宋体"/>
                <w:szCs w:val="21"/>
              </w:rPr>
            </w:pPr>
            <w:r>
              <w:rPr>
                <w:rFonts w:ascii="宋体" w:hAnsi="宋体" w:cs="宋体"/>
                <w:szCs w:val="21"/>
              </w:rPr>
              <w:t>0.1</w:t>
            </w:r>
          </w:p>
        </w:tc>
        <w:tc>
          <w:tcPr>
            <w:tcW w:w="141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19.91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jc w:val="center"/>
              <w:rPr>
                <w:rFonts w:ascii="宋体" w:hAnsi="宋体" w:cs="宋体"/>
                <w:szCs w:val="21"/>
              </w:rPr>
            </w:pPr>
          </w:p>
        </w:tc>
        <w:tc>
          <w:tcPr>
            <w:tcW w:w="3223" w:type="dxa"/>
            <w:shd w:val="clear" w:color="auto" w:fill="auto"/>
            <w:vAlign w:val="center"/>
          </w:tcPr>
          <w:p>
            <w:pPr>
              <w:adjustRightInd w:val="0"/>
              <w:spacing w:line="360" w:lineRule="auto"/>
              <w:jc w:val="center"/>
              <w:rPr>
                <w:rFonts w:ascii="宋体" w:hAnsi="宋体" w:cs="宋体"/>
                <w:szCs w:val="21"/>
              </w:rPr>
            </w:pPr>
            <w:r>
              <w:rPr>
                <w:rFonts w:ascii="宋体" w:hAnsi="宋体" w:cs="宋体"/>
                <w:szCs w:val="21"/>
              </w:rPr>
              <w:t>30</w:t>
            </w:r>
            <w:r>
              <w:rPr>
                <w:rFonts w:hint="eastAsia" w:ascii="宋体" w:hAnsi="宋体" w:cs="宋体"/>
                <w:szCs w:val="21"/>
              </w:rPr>
              <w:t>毫升</w:t>
            </w:r>
            <w:r>
              <w:rPr>
                <w:rFonts w:ascii="宋体" w:hAnsi="宋体"/>
                <w:szCs w:val="21"/>
              </w:rPr>
              <w:t>亚硫酸</w:t>
            </w:r>
            <w:r>
              <w:rPr>
                <w:rFonts w:hint="eastAsia" w:ascii="宋体" w:hAnsi="宋体"/>
                <w:szCs w:val="21"/>
              </w:rPr>
              <w:t>溶液（</w:t>
            </w:r>
            <w:r>
              <w:rPr>
                <w:rFonts w:ascii="宋体" w:hAnsi="宋体"/>
                <w:szCs w:val="21"/>
              </w:rPr>
              <w:t>&gt;6%</w:t>
            </w:r>
            <w:r>
              <w:rPr>
                <w:rFonts w:hint="eastAsia" w:ascii="宋体" w:hAnsi="宋体"/>
                <w:szCs w:val="21"/>
              </w:rPr>
              <w:t>）和</w:t>
            </w:r>
            <w:r>
              <w:rPr>
                <w:rFonts w:ascii="宋体" w:hAnsi="宋体"/>
                <w:szCs w:val="21"/>
              </w:rPr>
              <w:t>30</w:t>
            </w:r>
            <w:r>
              <w:rPr>
                <w:rFonts w:hint="eastAsia" w:ascii="宋体" w:hAnsi="宋体"/>
                <w:szCs w:val="21"/>
              </w:rPr>
              <w:t>毫升盐酸联胺溶液（</w:t>
            </w:r>
            <w:r>
              <w:rPr>
                <w:rFonts w:ascii="宋体" w:hAnsi="宋体"/>
                <w:szCs w:val="21"/>
              </w:rPr>
              <w:t>150g/L</w:t>
            </w:r>
            <w:r>
              <w:rPr>
                <w:rFonts w:hint="eastAsia" w:ascii="宋体" w:hAnsi="宋体"/>
                <w:szCs w:val="21"/>
              </w:rPr>
              <w:t>）</w:t>
            </w:r>
          </w:p>
        </w:tc>
        <w:tc>
          <w:tcPr>
            <w:tcW w:w="1843" w:type="dxa"/>
            <w:shd w:val="clear" w:color="auto" w:fill="auto"/>
            <w:vAlign w:val="center"/>
          </w:tcPr>
          <w:p>
            <w:pPr>
              <w:adjustRightInd w:val="0"/>
              <w:spacing w:line="360" w:lineRule="auto"/>
              <w:jc w:val="center"/>
              <w:rPr>
                <w:rFonts w:ascii="宋体" w:hAnsi="宋体" w:cs="宋体"/>
                <w:szCs w:val="21"/>
              </w:rPr>
            </w:pPr>
            <w:r>
              <w:rPr>
                <w:rFonts w:ascii="宋体" w:hAnsi="宋体" w:cs="宋体"/>
                <w:szCs w:val="21"/>
              </w:rPr>
              <w:t>0.4</w:t>
            </w:r>
          </w:p>
        </w:tc>
        <w:tc>
          <w:tcPr>
            <w:tcW w:w="1417" w:type="dxa"/>
            <w:shd w:val="clear" w:color="auto" w:fill="auto"/>
            <w:vAlign w:val="center"/>
          </w:tcPr>
          <w:p>
            <w:pPr>
              <w:adjustRightInd w:val="0"/>
              <w:spacing w:line="360" w:lineRule="auto"/>
              <w:jc w:val="center"/>
              <w:rPr>
                <w:rFonts w:ascii="宋体" w:hAnsi="宋体" w:cs="宋体"/>
                <w:szCs w:val="21"/>
              </w:rPr>
            </w:pPr>
            <w:r>
              <w:rPr>
                <w:rFonts w:hint="eastAsia" w:ascii="宋体" w:hAnsi="宋体" w:cs="宋体"/>
                <w:szCs w:val="21"/>
              </w:rPr>
              <w:t>19.86</w:t>
            </w:r>
          </w:p>
        </w:tc>
      </w:tr>
    </w:tbl>
    <w:p>
      <w:pPr>
        <w:adjustRightInd w:val="0"/>
        <w:spacing w:line="360" w:lineRule="auto"/>
        <w:rPr>
          <w:rFonts w:ascii="宋体" w:hAnsi="宋体" w:cs="宋体"/>
          <w:szCs w:val="21"/>
        </w:rPr>
      </w:pPr>
    </w:p>
    <w:p>
      <w:pPr>
        <w:adjustRightInd w:val="0"/>
        <w:spacing w:line="360" w:lineRule="auto"/>
        <w:rPr>
          <w:rFonts w:ascii="宋体" w:hAnsi="宋体"/>
          <w:szCs w:val="21"/>
        </w:rPr>
      </w:pPr>
      <w:r>
        <w:rPr>
          <w:rFonts w:hint="eastAsia" w:ascii="宋体" w:hAnsi="宋体" w:cs="宋体"/>
          <w:szCs w:val="21"/>
        </w:rPr>
        <w:t xml:space="preserve"> 2.2.5.2 从表4可知，使用30毫升</w:t>
      </w:r>
      <w:r>
        <w:rPr>
          <w:rFonts w:ascii="宋体" w:hAnsi="宋体"/>
          <w:szCs w:val="21"/>
        </w:rPr>
        <w:t>亚硫酸</w:t>
      </w:r>
      <w:r>
        <w:rPr>
          <w:rFonts w:hint="eastAsia" w:ascii="宋体" w:hAnsi="宋体"/>
          <w:szCs w:val="21"/>
        </w:rPr>
        <w:t>溶液（</w:t>
      </w:r>
      <w:r>
        <w:rPr>
          <w:rFonts w:ascii="宋体" w:hAnsi="宋体"/>
          <w:szCs w:val="21"/>
        </w:rPr>
        <w:t>&gt;6%</w:t>
      </w:r>
      <w:r>
        <w:rPr>
          <w:rFonts w:hint="eastAsia" w:ascii="宋体" w:hAnsi="宋体"/>
          <w:szCs w:val="21"/>
        </w:rPr>
        <w:t>）和20毫升盐酸联胺溶液（</w:t>
      </w:r>
      <w:r>
        <w:rPr>
          <w:rFonts w:ascii="宋体" w:hAnsi="宋体"/>
          <w:szCs w:val="21"/>
        </w:rPr>
        <w:t>150g/L</w:t>
      </w:r>
      <w:r>
        <w:rPr>
          <w:rFonts w:hint="eastAsia" w:ascii="宋体" w:hAnsi="宋体"/>
          <w:szCs w:val="21"/>
        </w:rPr>
        <w:t>）、</w:t>
      </w:r>
      <w:r>
        <w:rPr>
          <w:rFonts w:ascii="宋体" w:hAnsi="宋体" w:cs="宋体"/>
          <w:szCs w:val="21"/>
        </w:rPr>
        <w:t>30</w:t>
      </w:r>
      <w:r>
        <w:rPr>
          <w:rFonts w:hint="eastAsia" w:ascii="宋体" w:hAnsi="宋体" w:cs="宋体"/>
          <w:szCs w:val="21"/>
        </w:rPr>
        <w:t>毫升</w:t>
      </w:r>
      <w:r>
        <w:rPr>
          <w:rFonts w:ascii="宋体" w:hAnsi="宋体"/>
          <w:szCs w:val="21"/>
        </w:rPr>
        <w:t>亚硫酸</w:t>
      </w:r>
      <w:r>
        <w:rPr>
          <w:rFonts w:hint="eastAsia" w:ascii="宋体" w:hAnsi="宋体"/>
          <w:szCs w:val="21"/>
        </w:rPr>
        <w:t>溶液（</w:t>
      </w:r>
      <w:r>
        <w:rPr>
          <w:rFonts w:ascii="宋体" w:hAnsi="宋体"/>
          <w:szCs w:val="21"/>
        </w:rPr>
        <w:t>&gt;6%</w:t>
      </w:r>
      <w:r>
        <w:rPr>
          <w:rFonts w:hint="eastAsia" w:ascii="宋体" w:hAnsi="宋体"/>
          <w:szCs w:val="21"/>
        </w:rPr>
        <w:t>）和</w:t>
      </w:r>
      <w:r>
        <w:rPr>
          <w:rFonts w:ascii="宋体" w:hAnsi="宋体"/>
          <w:szCs w:val="21"/>
        </w:rPr>
        <w:t>30</w:t>
      </w:r>
      <w:r>
        <w:rPr>
          <w:rFonts w:hint="eastAsia" w:ascii="宋体" w:hAnsi="宋体"/>
          <w:szCs w:val="21"/>
        </w:rPr>
        <w:t>毫升盐酸联胺溶液（</w:t>
      </w:r>
      <w:r>
        <w:rPr>
          <w:rFonts w:ascii="宋体" w:hAnsi="宋体"/>
          <w:szCs w:val="21"/>
        </w:rPr>
        <w:t>150g/L</w:t>
      </w:r>
      <w:r>
        <w:rPr>
          <w:rFonts w:hint="eastAsia" w:ascii="宋体" w:hAnsi="宋体"/>
          <w:szCs w:val="21"/>
        </w:rPr>
        <w:t>）还原沉淀碲后的500毫升滤液中碲量均＜1.0ppm，相对于样品的未还原量为＜0.02%</w:t>
      </w:r>
      <w:r>
        <w:rPr>
          <w:rFonts w:ascii="宋体" w:hAnsi="宋体"/>
          <w:szCs w:val="21"/>
        </w:rPr>
        <w:t>,可以确认还原沉淀完全</w:t>
      </w:r>
      <w:r>
        <w:rPr>
          <w:rFonts w:hint="eastAsia" w:ascii="宋体" w:hAnsi="宋体"/>
          <w:szCs w:val="21"/>
        </w:rPr>
        <w:t>。本方法确认使用</w:t>
      </w:r>
      <w:r>
        <w:rPr>
          <w:rFonts w:hint="eastAsia" w:ascii="宋体" w:hAnsi="宋体" w:cs="宋体"/>
          <w:szCs w:val="21"/>
        </w:rPr>
        <w:t>使用30毫升</w:t>
      </w:r>
      <w:r>
        <w:rPr>
          <w:rFonts w:ascii="宋体" w:hAnsi="宋体"/>
          <w:szCs w:val="21"/>
        </w:rPr>
        <w:t>亚硫酸</w:t>
      </w:r>
      <w:r>
        <w:rPr>
          <w:rFonts w:hint="eastAsia" w:ascii="宋体" w:hAnsi="宋体"/>
          <w:szCs w:val="21"/>
        </w:rPr>
        <w:t>溶液（</w:t>
      </w:r>
      <w:r>
        <w:rPr>
          <w:rFonts w:ascii="宋体" w:hAnsi="宋体"/>
          <w:szCs w:val="21"/>
        </w:rPr>
        <w:t>&gt;6%</w:t>
      </w:r>
      <w:r>
        <w:rPr>
          <w:rFonts w:hint="eastAsia" w:ascii="宋体" w:hAnsi="宋体"/>
          <w:szCs w:val="21"/>
        </w:rPr>
        <w:t>）和20毫升盐酸联胺溶液（</w:t>
      </w:r>
      <w:r>
        <w:rPr>
          <w:rFonts w:ascii="宋体" w:hAnsi="宋体"/>
          <w:szCs w:val="21"/>
        </w:rPr>
        <w:t>150g/L</w:t>
      </w:r>
      <w:r>
        <w:rPr>
          <w:rFonts w:hint="eastAsia" w:ascii="宋体" w:hAnsi="宋体"/>
          <w:szCs w:val="21"/>
        </w:rPr>
        <w:t>）。</w:t>
      </w:r>
    </w:p>
    <w:p>
      <w:pPr>
        <w:adjustRightInd w:val="0"/>
        <w:spacing w:line="360" w:lineRule="auto"/>
        <w:rPr>
          <w:rFonts w:ascii="宋体" w:hAnsi="宋体"/>
          <w:b/>
          <w:szCs w:val="21"/>
        </w:rPr>
      </w:pPr>
      <w:r>
        <w:rPr>
          <w:rFonts w:hint="eastAsia" w:ascii="宋体" w:hAnsi="宋体"/>
          <w:b/>
          <w:szCs w:val="21"/>
        </w:rPr>
        <w:t>2.2.6 方法中滤纸上残留碲和碲沉淀后滤液中残留碲的影响</w:t>
      </w:r>
    </w:p>
    <w:p>
      <w:pPr>
        <w:adjustRightInd w:val="0"/>
        <w:spacing w:line="360" w:lineRule="auto"/>
        <w:rPr>
          <w:rFonts w:ascii="宋体" w:hAnsi="宋体"/>
          <w:szCs w:val="21"/>
        </w:rPr>
      </w:pPr>
      <w:r>
        <w:rPr>
          <w:rFonts w:hint="eastAsia" w:ascii="宋体" w:hAnsi="宋体"/>
          <w:szCs w:val="21"/>
        </w:rPr>
        <w:t>2.2.6.1 本方法使用盐酸羟胺沉淀硒，用滤纸过滤硒沉淀达到硒和碲的分离，然后用亚硫酸和盐酸联铵还原沉淀碲，用G4坩埚过滤碲；在本方法中不对滤纸上残留的碲量和G4坩埚的滤液的碲进行补正，需要考察残留碲的影响情况。</w:t>
      </w:r>
    </w:p>
    <w:p>
      <w:pPr>
        <w:adjustRightInd w:val="0"/>
        <w:spacing w:line="360" w:lineRule="auto"/>
        <w:ind w:firstLine="429"/>
        <w:rPr>
          <w:rFonts w:ascii="宋体" w:hAnsi="宋体" w:cs="宋体"/>
          <w:szCs w:val="21"/>
        </w:rPr>
      </w:pPr>
      <w:r>
        <w:rPr>
          <w:rFonts w:hint="eastAsia" w:ascii="宋体" w:hAnsi="宋体"/>
          <w:szCs w:val="21"/>
        </w:rPr>
        <w:t>选择使用1#、2#、3#、4#样品，按照以上</w:t>
      </w:r>
      <w:r>
        <w:rPr>
          <w:rFonts w:hint="eastAsia" w:ascii="宋体" w:hAnsi="宋体" w:cs="宋体"/>
          <w:szCs w:val="21"/>
        </w:rPr>
        <w:t>按照以上1.1方法进行，将滤纸用王水溶解，转移定容于200毫升容量瓶中，用ICP-OES检测溶液中的碲含量；用G4坩埚过滤后，滤液转移定容于500毫升容量瓶中，用ICP-OES检测溶液中的碲含量；检测结果如下表5：</w:t>
      </w:r>
    </w:p>
    <w:p>
      <w:pPr>
        <w:adjustRightInd w:val="0"/>
        <w:spacing w:line="360" w:lineRule="auto"/>
        <w:ind w:firstLine="429"/>
        <w:rPr>
          <w:rFonts w:ascii="宋体" w:hAnsi="宋体"/>
          <w:szCs w:val="21"/>
        </w:rPr>
      </w:pPr>
      <w:r>
        <w:rPr>
          <w:rFonts w:ascii="宋体" w:hAnsi="宋体" w:cs="宋体"/>
          <w:szCs w:val="21"/>
        </w:rPr>
        <w:t xml:space="preserve">           表</w:t>
      </w:r>
      <w:r>
        <w:rPr>
          <w:rFonts w:hint="eastAsia" w:ascii="宋体" w:hAnsi="宋体" w:cs="宋体"/>
          <w:szCs w:val="21"/>
        </w:rPr>
        <w:t>5  沉淀硒后滤纸上残留的碲和碲沉淀后滤液中的碲的含量</w: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27"/>
        <w:gridCol w:w="899"/>
        <w:gridCol w:w="1700"/>
        <w:gridCol w:w="1133"/>
        <w:gridCol w:w="1982"/>
        <w:gridCol w:w="1133"/>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7" w:type="dxa"/>
            <w:shd w:val="clear" w:color="auto" w:fill="auto"/>
            <w:vAlign w:val="center"/>
          </w:tcPr>
          <w:p>
            <w:pPr>
              <w:adjustRightInd w:val="0"/>
              <w:spacing w:line="360" w:lineRule="auto"/>
              <w:rPr>
                <w:rFonts w:ascii="宋体" w:hAnsi="宋体"/>
                <w:szCs w:val="21"/>
              </w:rPr>
            </w:pPr>
            <w:r>
              <w:rPr>
                <w:rFonts w:hint="eastAsia" w:ascii="宋体" w:hAnsi="宋体"/>
                <w:szCs w:val="21"/>
              </w:rPr>
              <w:t>样品编号</w:t>
            </w:r>
          </w:p>
        </w:tc>
        <w:tc>
          <w:tcPr>
            <w:tcW w:w="899" w:type="dxa"/>
            <w:shd w:val="clear" w:color="auto" w:fill="auto"/>
          </w:tcPr>
          <w:p>
            <w:pPr>
              <w:adjustRightInd w:val="0"/>
              <w:spacing w:line="360" w:lineRule="auto"/>
              <w:rPr>
                <w:rFonts w:ascii="宋体" w:hAnsi="宋体"/>
                <w:szCs w:val="21"/>
              </w:rPr>
            </w:pPr>
            <w:r>
              <w:rPr>
                <w:rFonts w:hint="eastAsia" w:ascii="宋体" w:hAnsi="宋体"/>
                <w:szCs w:val="21"/>
              </w:rPr>
              <w:t>称取的样品量（g）</w:t>
            </w:r>
          </w:p>
        </w:tc>
        <w:tc>
          <w:tcPr>
            <w:tcW w:w="1701" w:type="dxa"/>
            <w:shd w:val="clear" w:color="auto" w:fill="auto"/>
          </w:tcPr>
          <w:p>
            <w:pPr>
              <w:adjustRightInd w:val="0"/>
              <w:spacing w:line="360" w:lineRule="auto"/>
              <w:rPr>
                <w:rFonts w:ascii="宋体" w:hAnsi="宋体"/>
                <w:szCs w:val="21"/>
              </w:rPr>
            </w:pPr>
            <w:r>
              <w:rPr>
                <w:rFonts w:hint="eastAsia" w:ascii="宋体" w:hAnsi="宋体"/>
                <w:szCs w:val="21"/>
              </w:rPr>
              <w:t>滤纸溶解后定容于200毫升容量瓶的溶液中的碲含量（ug/ml）</w:t>
            </w:r>
          </w:p>
        </w:tc>
        <w:tc>
          <w:tcPr>
            <w:tcW w:w="1134" w:type="dxa"/>
            <w:shd w:val="clear" w:color="auto" w:fill="auto"/>
          </w:tcPr>
          <w:p>
            <w:pPr>
              <w:adjustRightInd w:val="0"/>
              <w:spacing w:line="360" w:lineRule="auto"/>
              <w:rPr>
                <w:rFonts w:ascii="宋体" w:hAnsi="宋体"/>
                <w:szCs w:val="21"/>
              </w:rPr>
            </w:pPr>
            <w:r>
              <w:rPr>
                <w:rFonts w:hint="eastAsia" w:ascii="宋体" w:hAnsi="宋体"/>
                <w:szCs w:val="21"/>
              </w:rPr>
              <w:t>滤纸上残留碲相对于样品的含量(%)</w:t>
            </w:r>
          </w:p>
        </w:tc>
        <w:tc>
          <w:tcPr>
            <w:tcW w:w="1984" w:type="dxa"/>
            <w:shd w:val="clear" w:color="auto" w:fill="auto"/>
          </w:tcPr>
          <w:p>
            <w:pPr>
              <w:adjustRightInd w:val="0"/>
              <w:spacing w:line="360" w:lineRule="auto"/>
              <w:rPr>
                <w:rFonts w:ascii="宋体" w:hAnsi="宋体"/>
                <w:szCs w:val="21"/>
              </w:rPr>
            </w:pPr>
            <w:r>
              <w:rPr>
                <w:rFonts w:hint="eastAsia" w:ascii="宋体" w:hAnsi="宋体"/>
                <w:szCs w:val="21"/>
              </w:rPr>
              <w:t>G4坩埚过滤碲沉淀后定容于500毫升容量瓶的溶液中的碲含量（ug/m</w:t>
            </w:r>
            <w:r>
              <w:rPr>
                <w:rFonts w:ascii="宋体" w:hAnsi="宋体"/>
                <w:szCs w:val="21"/>
              </w:rPr>
              <w:t>L</w:t>
            </w:r>
            <w:r>
              <w:rPr>
                <w:rFonts w:hint="eastAsia" w:ascii="宋体" w:hAnsi="宋体"/>
                <w:szCs w:val="21"/>
              </w:rPr>
              <w:t>）</w:t>
            </w:r>
          </w:p>
        </w:tc>
        <w:tc>
          <w:tcPr>
            <w:tcW w:w="1134" w:type="dxa"/>
            <w:shd w:val="clear" w:color="auto" w:fill="auto"/>
          </w:tcPr>
          <w:p>
            <w:pPr>
              <w:adjustRightInd w:val="0"/>
              <w:spacing w:line="360" w:lineRule="auto"/>
              <w:rPr>
                <w:rFonts w:ascii="宋体" w:hAnsi="宋体"/>
                <w:szCs w:val="21"/>
              </w:rPr>
            </w:pPr>
            <w:r>
              <w:rPr>
                <w:rFonts w:hint="eastAsia" w:ascii="宋体" w:hAnsi="宋体"/>
                <w:szCs w:val="21"/>
              </w:rPr>
              <w:t>G4</w:t>
            </w:r>
            <w:r>
              <w:rPr>
                <w:rFonts w:ascii="宋体" w:hAnsi="宋体"/>
                <w:szCs w:val="21"/>
              </w:rPr>
              <w:t>坩埚滤液中碲相对于样品的含量</w:t>
            </w:r>
          </w:p>
        </w:tc>
        <w:tc>
          <w:tcPr>
            <w:tcW w:w="1049" w:type="dxa"/>
            <w:shd w:val="clear" w:color="auto" w:fill="auto"/>
          </w:tcPr>
          <w:p>
            <w:pPr>
              <w:adjustRightInd w:val="0"/>
              <w:spacing w:line="360" w:lineRule="auto"/>
              <w:rPr>
                <w:rFonts w:ascii="宋体" w:hAnsi="宋体"/>
                <w:szCs w:val="21"/>
              </w:rPr>
            </w:pPr>
            <w:r>
              <w:rPr>
                <w:rFonts w:hint="eastAsia" w:ascii="宋体" w:hAnsi="宋体"/>
                <w:szCs w:val="21"/>
              </w:rPr>
              <w:t>样品的碲的检测结果（%）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7" w:type="dxa"/>
            <w:vMerge w:val="restart"/>
            <w:shd w:val="clear" w:color="auto" w:fill="auto"/>
            <w:vAlign w:val="center"/>
          </w:tcPr>
          <w:p>
            <w:pPr>
              <w:adjustRightInd w:val="0"/>
              <w:spacing w:line="360" w:lineRule="auto"/>
              <w:rPr>
                <w:rFonts w:ascii="宋体" w:hAnsi="宋体"/>
                <w:szCs w:val="21"/>
              </w:rPr>
            </w:pPr>
            <w:r>
              <w:rPr>
                <w:rFonts w:hint="eastAsia" w:ascii="宋体" w:hAnsi="宋体"/>
                <w:szCs w:val="21"/>
              </w:rPr>
              <w:t>1#</w:t>
            </w:r>
          </w:p>
        </w:tc>
        <w:tc>
          <w:tcPr>
            <w:tcW w:w="899" w:type="dxa"/>
            <w:shd w:val="clear" w:color="auto" w:fill="auto"/>
            <w:vAlign w:val="center"/>
          </w:tcPr>
          <w:p>
            <w:pPr>
              <w:adjustRightInd w:val="0"/>
              <w:spacing w:line="360" w:lineRule="auto"/>
              <w:rPr>
                <w:rFonts w:ascii="宋体" w:hAnsi="宋体"/>
                <w:szCs w:val="21"/>
              </w:rPr>
            </w:pPr>
            <w:r>
              <w:rPr>
                <w:rFonts w:hint="eastAsia" w:ascii="宋体" w:hAnsi="宋体"/>
                <w:szCs w:val="21"/>
              </w:rPr>
              <w:t>2.0135</w:t>
            </w:r>
          </w:p>
        </w:tc>
        <w:tc>
          <w:tcPr>
            <w:tcW w:w="1701" w:type="dxa"/>
            <w:shd w:val="clear" w:color="auto" w:fill="auto"/>
            <w:vAlign w:val="center"/>
          </w:tcPr>
          <w:p>
            <w:pPr>
              <w:adjustRightInd w:val="0"/>
              <w:spacing w:line="360" w:lineRule="auto"/>
              <w:rPr>
                <w:rFonts w:ascii="宋体" w:hAnsi="宋体"/>
                <w:szCs w:val="21"/>
              </w:rPr>
            </w:pPr>
            <w:r>
              <w:rPr>
                <w:rFonts w:hint="eastAsia" w:ascii="宋体" w:hAnsi="宋体"/>
                <w:szCs w:val="21"/>
              </w:rPr>
              <w:t>0.604</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0.006</w:t>
            </w:r>
          </w:p>
        </w:tc>
        <w:tc>
          <w:tcPr>
            <w:tcW w:w="1984" w:type="dxa"/>
            <w:shd w:val="clear" w:color="auto" w:fill="auto"/>
            <w:vAlign w:val="center"/>
          </w:tcPr>
          <w:p>
            <w:pPr>
              <w:adjustRightInd w:val="0"/>
              <w:spacing w:line="360" w:lineRule="auto"/>
              <w:rPr>
                <w:rFonts w:ascii="宋体" w:hAnsi="宋体"/>
                <w:szCs w:val="21"/>
              </w:rPr>
            </w:pPr>
            <w:r>
              <w:rPr>
                <w:rFonts w:hint="eastAsia" w:ascii="宋体" w:hAnsi="宋体"/>
                <w:szCs w:val="21"/>
              </w:rPr>
              <w:t>0.</w:t>
            </w:r>
            <w:r>
              <w:rPr>
                <w:rFonts w:ascii="宋体" w:hAnsi="宋体"/>
                <w:szCs w:val="21"/>
              </w:rPr>
              <w:t>5</w:t>
            </w:r>
            <w:r>
              <w:rPr>
                <w:rFonts w:hint="eastAsia" w:ascii="宋体" w:hAnsi="宋体"/>
                <w:szCs w:val="21"/>
              </w:rPr>
              <w:t>1</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w:t>
            </w:r>
            <w:r>
              <w:rPr>
                <w:rFonts w:ascii="宋体" w:hAnsi="宋体"/>
                <w:szCs w:val="21"/>
              </w:rPr>
              <w:t>1</w:t>
            </w:r>
          </w:p>
        </w:tc>
        <w:tc>
          <w:tcPr>
            <w:tcW w:w="1049" w:type="dxa"/>
            <w:shd w:val="clear" w:color="auto" w:fill="auto"/>
            <w:vAlign w:val="center"/>
          </w:tcPr>
          <w:p>
            <w:pPr>
              <w:adjustRightInd w:val="0"/>
              <w:spacing w:line="360" w:lineRule="auto"/>
              <w:rPr>
                <w:rFonts w:ascii="宋体" w:hAnsi="宋体"/>
                <w:szCs w:val="21"/>
              </w:rPr>
            </w:pPr>
            <w:r>
              <w:rPr>
                <w:rFonts w:hint="eastAsia" w:ascii="宋体" w:hAnsi="宋体"/>
                <w:szCs w:val="21"/>
              </w:rPr>
              <w:t>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7" w:type="dxa"/>
            <w:vMerge w:val="continue"/>
            <w:shd w:val="clear" w:color="auto" w:fill="auto"/>
            <w:vAlign w:val="center"/>
          </w:tcPr>
          <w:p>
            <w:pPr>
              <w:adjustRightInd w:val="0"/>
              <w:spacing w:line="360" w:lineRule="auto"/>
              <w:rPr>
                <w:rFonts w:ascii="宋体" w:hAnsi="宋体"/>
                <w:szCs w:val="21"/>
              </w:rPr>
            </w:pPr>
          </w:p>
        </w:tc>
        <w:tc>
          <w:tcPr>
            <w:tcW w:w="899" w:type="dxa"/>
            <w:shd w:val="clear" w:color="auto" w:fill="auto"/>
            <w:vAlign w:val="center"/>
          </w:tcPr>
          <w:p>
            <w:pPr>
              <w:adjustRightInd w:val="0"/>
              <w:spacing w:line="360" w:lineRule="auto"/>
              <w:rPr>
                <w:rFonts w:ascii="宋体" w:hAnsi="宋体"/>
                <w:szCs w:val="21"/>
              </w:rPr>
            </w:pPr>
            <w:r>
              <w:rPr>
                <w:rFonts w:hint="eastAsia" w:ascii="宋体" w:hAnsi="宋体"/>
                <w:szCs w:val="21"/>
              </w:rPr>
              <w:t>2.0</w:t>
            </w:r>
            <w:r>
              <w:rPr>
                <w:rFonts w:ascii="宋体" w:hAnsi="宋体"/>
                <w:szCs w:val="21"/>
              </w:rPr>
              <w:t>9</w:t>
            </w:r>
            <w:r>
              <w:rPr>
                <w:rFonts w:hint="eastAsia" w:ascii="宋体" w:hAnsi="宋体"/>
                <w:szCs w:val="21"/>
              </w:rPr>
              <w:t>39</w:t>
            </w:r>
          </w:p>
        </w:tc>
        <w:tc>
          <w:tcPr>
            <w:tcW w:w="1701" w:type="dxa"/>
            <w:shd w:val="clear" w:color="auto" w:fill="auto"/>
            <w:vAlign w:val="center"/>
          </w:tcPr>
          <w:p>
            <w:pPr>
              <w:adjustRightInd w:val="0"/>
              <w:spacing w:line="360" w:lineRule="auto"/>
              <w:rPr>
                <w:rFonts w:ascii="宋体" w:hAnsi="宋体"/>
                <w:szCs w:val="21"/>
              </w:rPr>
            </w:pPr>
            <w:r>
              <w:rPr>
                <w:rFonts w:hint="eastAsia" w:ascii="宋体" w:hAnsi="宋体"/>
                <w:szCs w:val="21"/>
              </w:rPr>
              <w:t>1.043</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0.009</w:t>
            </w:r>
          </w:p>
        </w:tc>
        <w:tc>
          <w:tcPr>
            <w:tcW w:w="1984" w:type="dxa"/>
            <w:shd w:val="clear" w:color="auto" w:fill="auto"/>
            <w:vAlign w:val="center"/>
          </w:tcPr>
          <w:p>
            <w:pPr>
              <w:adjustRightInd w:val="0"/>
              <w:spacing w:line="360" w:lineRule="auto"/>
              <w:rPr>
                <w:rFonts w:ascii="宋体" w:hAnsi="宋体"/>
                <w:szCs w:val="21"/>
              </w:rPr>
            </w:pPr>
            <w:r>
              <w:rPr>
                <w:rFonts w:hint="eastAsia" w:ascii="宋体" w:hAnsi="宋体"/>
                <w:szCs w:val="21"/>
              </w:rPr>
              <w:t>0.32</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0.008</w:t>
            </w:r>
          </w:p>
        </w:tc>
        <w:tc>
          <w:tcPr>
            <w:tcW w:w="1049" w:type="dxa"/>
            <w:shd w:val="clear" w:color="auto" w:fill="auto"/>
            <w:vAlign w:val="center"/>
          </w:tcPr>
          <w:p>
            <w:pPr>
              <w:adjustRightInd w:val="0"/>
              <w:spacing w:line="360" w:lineRule="auto"/>
              <w:rPr>
                <w:rFonts w:ascii="宋体" w:hAnsi="宋体"/>
                <w:szCs w:val="21"/>
              </w:rPr>
            </w:pPr>
            <w:r>
              <w:rPr>
                <w:rFonts w:hint="eastAsia" w:ascii="宋体" w:hAnsi="宋体"/>
                <w:szCs w:val="21"/>
              </w:rPr>
              <w:t>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7" w:type="dxa"/>
            <w:vMerge w:val="restart"/>
            <w:shd w:val="clear" w:color="auto" w:fill="auto"/>
            <w:vAlign w:val="center"/>
          </w:tcPr>
          <w:p>
            <w:pPr>
              <w:adjustRightInd w:val="0"/>
              <w:spacing w:line="360" w:lineRule="auto"/>
              <w:rPr>
                <w:rFonts w:ascii="宋体" w:hAnsi="宋体"/>
                <w:szCs w:val="21"/>
              </w:rPr>
            </w:pPr>
            <w:r>
              <w:rPr>
                <w:rFonts w:hint="eastAsia" w:ascii="宋体" w:hAnsi="宋体"/>
                <w:szCs w:val="21"/>
              </w:rPr>
              <w:t>2#</w:t>
            </w:r>
          </w:p>
        </w:tc>
        <w:tc>
          <w:tcPr>
            <w:tcW w:w="899" w:type="dxa"/>
            <w:shd w:val="clear" w:color="auto" w:fill="auto"/>
            <w:vAlign w:val="center"/>
          </w:tcPr>
          <w:p>
            <w:pPr>
              <w:adjustRightInd w:val="0"/>
              <w:spacing w:line="360" w:lineRule="auto"/>
              <w:rPr>
                <w:rFonts w:ascii="宋体" w:hAnsi="宋体"/>
                <w:szCs w:val="21"/>
              </w:rPr>
            </w:pPr>
            <w:r>
              <w:rPr>
                <w:rFonts w:hint="eastAsia" w:ascii="宋体" w:hAnsi="宋体"/>
                <w:szCs w:val="21"/>
              </w:rPr>
              <w:t>2.1003</w:t>
            </w:r>
          </w:p>
        </w:tc>
        <w:tc>
          <w:tcPr>
            <w:tcW w:w="1701" w:type="dxa"/>
            <w:shd w:val="clear" w:color="auto" w:fill="auto"/>
            <w:vAlign w:val="center"/>
          </w:tcPr>
          <w:p>
            <w:pPr>
              <w:adjustRightInd w:val="0"/>
              <w:spacing w:line="360" w:lineRule="auto"/>
              <w:rPr>
                <w:rFonts w:ascii="宋体" w:hAnsi="宋体"/>
                <w:szCs w:val="21"/>
              </w:rPr>
            </w:pPr>
            <w:r>
              <w:rPr>
                <w:rFonts w:hint="eastAsia" w:ascii="宋体" w:hAnsi="宋体"/>
                <w:szCs w:val="21"/>
              </w:rPr>
              <w:t>1.253</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0.01</w:t>
            </w:r>
          </w:p>
        </w:tc>
        <w:tc>
          <w:tcPr>
            <w:tcW w:w="1984" w:type="dxa"/>
            <w:shd w:val="clear" w:color="auto" w:fill="auto"/>
            <w:vAlign w:val="center"/>
          </w:tcPr>
          <w:p>
            <w:pPr>
              <w:adjustRightInd w:val="0"/>
              <w:spacing w:line="360" w:lineRule="auto"/>
              <w:rPr>
                <w:rFonts w:ascii="宋体" w:hAnsi="宋体"/>
                <w:szCs w:val="21"/>
              </w:rPr>
            </w:pPr>
            <w:r>
              <w:rPr>
                <w:rFonts w:hint="eastAsia" w:ascii="宋体" w:hAnsi="宋体"/>
                <w:szCs w:val="21"/>
              </w:rPr>
              <w:t>0.19</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0.004</w:t>
            </w:r>
          </w:p>
        </w:tc>
        <w:tc>
          <w:tcPr>
            <w:tcW w:w="1049" w:type="dxa"/>
            <w:shd w:val="clear" w:color="auto" w:fill="auto"/>
            <w:vAlign w:val="center"/>
          </w:tcPr>
          <w:p>
            <w:pPr>
              <w:adjustRightInd w:val="0"/>
              <w:spacing w:line="360" w:lineRule="auto"/>
              <w:rPr>
                <w:rFonts w:ascii="宋体" w:hAnsi="宋体"/>
                <w:szCs w:val="21"/>
              </w:rPr>
            </w:pPr>
            <w:r>
              <w:rPr>
                <w:rFonts w:hint="eastAsia" w:ascii="宋体" w:hAnsi="宋体"/>
                <w:szCs w:val="21"/>
              </w:rPr>
              <w:t>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7" w:type="dxa"/>
            <w:vMerge w:val="continue"/>
            <w:shd w:val="clear" w:color="auto" w:fill="auto"/>
            <w:vAlign w:val="center"/>
          </w:tcPr>
          <w:p>
            <w:pPr>
              <w:adjustRightInd w:val="0"/>
              <w:spacing w:line="360" w:lineRule="auto"/>
              <w:rPr>
                <w:rFonts w:ascii="宋体" w:hAnsi="宋体"/>
                <w:szCs w:val="21"/>
              </w:rPr>
            </w:pPr>
          </w:p>
        </w:tc>
        <w:tc>
          <w:tcPr>
            <w:tcW w:w="899" w:type="dxa"/>
            <w:shd w:val="clear" w:color="auto" w:fill="auto"/>
            <w:vAlign w:val="center"/>
          </w:tcPr>
          <w:p>
            <w:pPr>
              <w:adjustRightInd w:val="0"/>
              <w:spacing w:line="360" w:lineRule="auto"/>
              <w:rPr>
                <w:rFonts w:ascii="宋体" w:hAnsi="宋体"/>
                <w:szCs w:val="21"/>
              </w:rPr>
            </w:pPr>
            <w:r>
              <w:rPr>
                <w:rFonts w:hint="eastAsia" w:ascii="宋体" w:hAnsi="宋体"/>
                <w:szCs w:val="21"/>
              </w:rPr>
              <w:t>2.0097</w:t>
            </w:r>
          </w:p>
        </w:tc>
        <w:tc>
          <w:tcPr>
            <w:tcW w:w="1701" w:type="dxa"/>
            <w:shd w:val="clear" w:color="auto" w:fill="auto"/>
            <w:vAlign w:val="center"/>
          </w:tcPr>
          <w:p>
            <w:pPr>
              <w:adjustRightInd w:val="0"/>
              <w:spacing w:line="360" w:lineRule="auto"/>
              <w:rPr>
                <w:rFonts w:ascii="宋体" w:hAnsi="宋体"/>
                <w:szCs w:val="21"/>
              </w:rPr>
            </w:pPr>
            <w:r>
              <w:rPr>
                <w:rFonts w:ascii="宋体" w:hAnsi="宋体"/>
                <w:szCs w:val="21"/>
              </w:rPr>
              <w:t>1</w:t>
            </w:r>
            <w:r>
              <w:rPr>
                <w:rFonts w:hint="eastAsia" w:ascii="宋体" w:hAnsi="宋体"/>
                <w:szCs w:val="21"/>
              </w:rPr>
              <w:t>.</w:t>
            </w:r>
            <w:r>
              <w:rPr>
                <w:rFonts w:ascii="宋体" w:hAnsi="宋体"/>
                <w:szCs w:val="21"/>
              </w:rPr>
              <w:t>0</w:t>
            </w:r>
            <w:r>
              <w:rPr>
                <w:rFonts w:hint="eastAsia" w:ascii="宋体" w:hAnsi="宋体"/>
                <w:szCs w:val="21"/>
              </w:rPr>
              <w:t>6</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w:t>
            </w:r>
            <w:r>
              <w:rPr>
                <w:rFonts w:ascii="宋体" w:hAnsi="宋体"/>
                <w:szCs w:val="21"/>
              </w:rPr>
              <w:t>1</w:t>
            </w:r>
          </w:p>
        </w:tc>
        <w:tc>
          <w:tcPr>
            <w:tcW w:w="1984" w:type="dxa"/>
            <w:shd w:val="clear" w:color="auto" w:fill="auto"/>
            <w:vAlign w:val="center"/>
          </w:tcPr>
          <w:p>
            <w:pPr>
              <w:adjustRightInd w:val="0"/>
              <w:spacing w:line="360" w:lineRule="auto"/>
              <w:rPr>
                <w:rFonts w:ascii="宋体" w:hAnsi="宋体"/>
                <w:szCs w:val="21"/>
              </w:rPr>
            </w:pPr>
            <w:r>
              <w:rPr>
                <w:rFonts w:hint="eastAsia" w:ascii="宋体" w:hAnsi="宋体"/>
                <w:szCs w:val="21"/>
              </w:rPr>
              <w:t>0.20</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0.005</w:t>
            </w:r>
          </w:p>
        </w:tc>
        <w:tc>
          <w:tcPr>
            <w:tcW w:w="1049" w:type="dxa"/>
            <w:shd w:val="clear" w:color="auto" w:fill="auto"/>
            <w:vAlign w:val="center"/>
          </w:tcPr>
          <w:p>
            <w:pPr>
              <w:adjustRightInd w:val="0"/>
              <w:spacing w:line="360" w:lineRule="auto"/>
              <w:rPr>
                <w:rFonts w:ascii="宋体" w:hAnsi="宋体"/>
                <w:szCs w:val="21"/>
              </w:rPr>
            </w:pPr>
            <w:r>
              <w:rPr>
                <w:rFonts w:hint="eastAsia" w:ascii="宋体" w:hAnsi="宋体"/>
                <w:szCs w:val="21"/>
              </w:rPr>
              <w:t>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7" w:type="dxa"/>
            <w:vMerge w:val="restart"/>
            <w:shd w:val="clear" w:color="auto" w:fill="auto"/>
            <w:vAlign w:val="center"/>
          </w:tcPr>
          <w:p>
            <w:pPr>
              <w:adjustRightInd w:val="0"/>
              <w:spacing w:line="360" w:lineRule="auto"/>
              <w:rPr>
                <w:rFonts w:ascii="宋体" w:hAnsi="宋体"/>
                <w:szCs w:val="21"/>
              </w:rPr>
            </w:pPr>
            <w:r>
              <w:rPr>
                <w:rFonts w:hint="eastAsia" w:ascii="宋体" w:hAnsi="宋体"/>
                <w:szCs w:val="21"/>
              </w:rPr>
              <w:t>3#</w:t>
            </w:r>
          </w:p>
        </w:tc>
        <w:tc>
          <w:tcPr>
            <w:tcW w:w="899" w:type="dxa"/>
            <w:shd w:val="clear" w:color="auto" w:fill="auto"/>
            <w:vAlign w:val="center"/>
          </w:tcPr>
          <w:p>
            <w:pPr>
              <w:adjustRightInd w:val="0"/>
              <w:spacing w:line="360" w:lineRule="auto"/>
              <w:rPr>
                <w:rFonts w:ascii="宋体" w:hAnsi="宋体"/>
                <w:szCs w:val="21"/>
              </w:rPr>
            </w:pPr>
            <w:r>
              <w:rPr>
                <w:rFonts w:hint="eastAsia" w:ascii="宋体" w:hAnsi="宋体"/>
                <w:szCs w:val="21"/>
              </w:rPr>
              <w:t>2.0147</w:t>
            </w:r>
          </w:p>
        </w:tc>
        <w:tc>
          <w:tcPr>
            <w:tcW w:w="1701" w:type="dxa"/>
            <w:shd w:val="clear" w:color="auto" w:fill="auto"/>
            <w:vAlign w:val="center"/>
          </w:tcPr>
          <w:p>
            <w:pPr>
              <w:adjustRightInd w:val="0"/>
              <w:spacing w:line="360" w:lineRule="auto"/>
              <w:rPr>
                <w:rFonts w:ascii="宋体" w:hAnsi="宋体"/>
                <w:szCs w:val="21"/>
              </w:rPr>
            </w:pPr>
            <w:r>
              <w:rPr>
                <w:rFonts w:hint="eastAsia" w:ascii="宋体" w:hAnsi="宋体"/>
                <w:szCs w:val="21"/>
              </w:rPr>
              <w:t>1.316</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0.01</w:t>
            </w:r>
          </w:p>
        </w:tc>
        <w:tc>
          <w:tcPr>
            <w:tcW w:w="1984" w:type="dxa"/>
            <w:shd w:val="clear" w:color="auto" w:fill="auto"/>
            <w:vAlign w:val="center"/>
          </w:tcPr>
          <w:p>
            <w:pPr>
              <w:adjustRightInd w:val="0"/>
              <w:spacing w:line="360" w:lineRule="auto"/>
              <w:rPr>
                <w:rFonts w:ascii="宋体" w:hAnsi="宋体"/>
                <w:szCs w:val="21"/>
              </w:rPr>
            </w:pPr>
            <w:r>
              <w:rPr>
                <w:rFonts w:hint="eastAsia" w:ascii="宋体" w:hAnsi="宋体"/>
                <w:szCs w:val="21"/>
              </w:rPr>
              <w:t>0.17</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0.004</w:t>
            </w:r>
          </w:p>
        </w:tc>
        <w:tc>
          <w:tcPr>
            <w:tcW w:w="1049" w:type="dxa"/>
            <w:shd w:val="clear" w:color="auto" w:fill="auto"/>
            <w:vAlign w:val="center"/>
          </w:tcPr>
          <w:p>
            <w:pPr>
              <w:adjustRightInd w:val="0"/>
              <w:spacing w:line="360" w:lineRule="auto"/>
              <w:rPr>
                <w:rFonts w:ascii="宋体" w:hAnsi="宋体"/>
                <w:szCs w:val="21"/>
              </w:rPr>
            </w:pPr>
            <w:r>
              <w:rPr>
                <w:rFonts w:hint="eastAsia" w:ascii="宋体" w:hAnsi="宋体"/>
                <w:szCs w:val="21"/>
              </w:rPr>
              <w:t>14.92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7" w:type="dxa"/>
            <w:vMerge w:val="continue"/>
            <w:shd w:val="clear" w:color="auto" w:fill="auto"/>
            <w:vAlign w:val="center"/>
          </w:tcPr>
          <w:p>
            <w:pPr>
              <w:adjustRightInd w:val="0"/>
              <w:spacing w:line="360" w:lineRule="auto"/>
              <w:rPr>
                <w:rFonts w:ascii="宋体" w:hAnsi="宋体"/>
                <w:szCs w:val="21"/>
              </w:rPr>
            </w:pPr>
          </w:p>
        </w:tc>
        <w:tc>
          <w:tcPr>
            <w:tcW w:w="899" w:type="dxa"/>
            <w:shd w:val="clear" w:color="auto" w:fill="auto"/>
            <w:vAlign w:val="center"/>
          </w:tcPr>
          <w:p>
            <w:pPr>
              <w:adjustRightInd w:val="0"/>
              <w:spacing w:line="360" w:lineRule="auto"/>
              <w:rPr>
                <w:rFonts w:ascii="宋体" w:hAnsi="宋体"/>
                <w:szCs w:val="21"/>
              </w:rPr>
            </w:pPr>
            <w:r>
              <w:rPr>
                <w:rFonts w:hint="eastAsia" w:ascii="宋体" w:hAnsi="宋体"/>
                <w:szCs w:val="21"/>
              </w:rPr>
              <w:t>2.0068</w:t>
            </w:r>
          </w:p>
        </w:tc>
        <w:tc>
          <w:tcPr>
            <w:tcW w:w="1701" w:type="dxa"/>
            <w:shd w:val="clear" w:color="auto" w:fill="auto"/>
            <w:vAlign w:val="center"/>
          </w:tcPr>
          <w:p>
            <w:pPr>
              <w:adjustRightInd w:val="0"/>
              <w:spacing w:line="360" w:lineRule="auto"/>
              <w:rPr>
                <w:rFonts w:ascii="宋体" w:hAnsi="宋体"/>
                <w:szCs w:val="21"/>
              </w:rPr>
            </w:pPr>
            <w:r>
              <w:rPr>
                <w:rFonts w:hint="eastAsia" w:ascii="宋体" w:hAnsi="宋体"/>
                <w:szCs w:val="21"/>
              </w:rPr>
              <w:t>1.223</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0.01</w:t>
            </w:r>
          </w:p>
        </w:tc>
        <w:tc>
          <w:tcPr>
            <w:tcW w:w="1984" w:type="dxa"/>
            <w:shd w:val="clear" w:color="auto" w:fill="auto"/>
            <w:vAlign w:val="center"/>
          </w:tcPr>
          <w:p>
            <w:pPr>
              <w:adjustRightInd w:val="0"/>
              <w:spacing w:line="360" w:lineRule="auto"/>
              <w:rPr>
                <w:rFonts w:ascii="宋体" w:hAnsi="宋体"/>
                <w:szCs w:val="21"/>
              </w:rPr>
            </w:pPr>
            <w:r>
              <w:rPr>
                <w:rFonts w:hint="eastAsia" w:ascii="宋体" w:hAnsi="宋体"/>
                <w:szCs w:val="21"/>
              </w:rPr>
              <w:t>0.37</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0.009</w:t>
            </w:r>
          </w:p>
        </w:tc>
        <w:tc>
          <w:tcPr>
            <w:tcW w:w="1049" w:type="dxa"/>
            <w:shd w:val="clear" w:color="auto" w:fill="auto"/>
            <w:vAlign w:val="center"/>
          </w:tcPr>
          <w:p>
            <w:pPr>
              <w:adjustRightInd w:val="0"/>
              <w:spacing w:line="360" w:lineRule="auto"/>
              <w:rPr>
                <w:rFonts w:ascii="宋体" w:hAnsi="宋体"/>
                <w:szCs w:val="21"/>
              </w:rPr>
            </w:pPr>
            <w:r>
              <w:rPr>
                <w:rFonts w:hint="eastAsia" w:ascii="宋体" w:hAnsi="宋体"/>
                <w:szCs w:val="21"/>
              </w:rPr>
              <w:t>14.92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7" w:type="dxa"/>
            <w:vMerge w:val="restart"/>
            <w:shd w:val="clear" w:color="auto" w:fill="auto"/>
            <w:vAlign w:val="center"/>
          </w:tcPr>
          <w:p>
            <w:pPr>
              <w:adjustRightInd w:val="0"/>
              <w:spacing w:line="360" w:lineRule="auto"/>
              <w:rPr>
                <w:rFonts w:ascii="宋体" w:hAnsi="宋体"/>
                <w:szCs w:val="21"/>
              </w:rPr>
            </w:pPr>
            <w:r>
              <w:rPr>
                <w:rFonts w:hint="eastAsia" w:ascii="宋体" w:hAnsi="宋体"/>
                <w:szCs w:val="21"/>
              </w:rPr>
              <w:t>4#</w:t>
            </w:r>
          </w:p>
        </w:tc>
        <w:tc>
          <w:tcPr>
            <w:tcW w:w="899" w:type="dxa"/>
            <w:shd w:val="clear" w:color="auto" w:fill="auto"/>
            <w:vAlign w:val="center"/>
          </w:tcPr>
          <w:p>
            <w:pPr>
              <w:adjustRightInd w:val="0"/>
              <w:spacing w:line="360" w:lineRule="auto"/>
              <w:rPr>
                <w:rFonts w:ascii="宋体" w:hAnsi="宋体"/>
                <w:szCs w:val="21"/>
              </w:rPr>
            </w:pPr>
            <w:r>
              <w:rPr>
                <w:rFonts w:hint="eastAsia" w:ascii="宋体" w:hAnsi="宋体"/>
                <w:szCs w:val="21"/>
              </w:rPr>
              <w:t>2.0391</w:t>
            </w:r>
          </w:p>
        </w:tc>
        <w:tc>
          <w:tcPr>
            <w:tcW w:w="1701" w:type="dxa"/>
            <w:shd w:val="clear" w:color="auto" w:fill="auto"/>
            <w:vAlign w:val="center"/>
          </w:tcPr>
          <w:p>
            <w:pPr>
              <w:adjustRightInd w:val="0"/>
              <w:spacing w:line="360" w:lineRule="auto"/>
              <w:rPr>
                <w:rFonts w:ascii="宋体" w:hAnsi="宋体"/>
                <w:szCs w:val="21"/>
              </w:rPr>
            </w:pPr>
            <w:r>
              <w:rPr>
                <w:rFonts w:hint="eastAsia" w:ascii="宋体" w:hAnsi="宋体"/>
                <w:szCs w:val="21"/>
              </w:rPr>
              <w:t>1.161</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0.01</w:t>
            </w:r>
          </w:p>
        </w:tc>
        <w:tc>
          <w:tcPr>
            <w:tcW w:w="1984" w:type="dxa"/>
            <w:shd w:val="clear" w:color="auto" w:fill="auto"/>
            <w:vAlign w:val="center"/>
          </w:tcPr>
          <w:p>
            <w:pPr>
              <w:adjustRightInd w:val="0"/>
              <w:spacing w:line="360" w:lineRule="auto"/>
              <w:rPr>
                <w:rFonts w:ascii="宋体" w:hAnsi="宋体"/>
                <w:szCs w:val="21"/>
              </w:rPr>
            </w:pPr>
            <w:r>
              <w:rPr>
                <w:rFonts w:hint="eastAsia" w:ascii="宋体" w:hAnsi="宋体"/>
                <w:szCs w:val="21"/>
              </w:rPr>
              <w:t>0.23</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0.006</w:t>
            </w:r>
          </w:p>
        </w:tc>
        <w:tc>
          <w:tcPr>
            <w:tcW w:w="1049" w:type="dxa"/>
            <w:shd w:val="clear" w:color="auto" w:fill="auto"/>
            <w:vAlign w:val="center"/>
          </w:tcPr>
          <w:p>
            <w:pPr>
              <w:adjustRightInd w:val="0"/>
              <w:spacing w:line="360" w:lineRule="auto"/>
              <w:rPr>
                <w:rFonts w:ascii="宋体" w:hAnsi="宋体"/>
                <w:szCs w:val="21"/>
              </w:rPr>
            </w:pPr>
            <w:r>
              <w:rPr>
                <w:rFonts w:hint="eastAsia" w:ascii="宋体" w:hAnsi="宋体"/>
                <w:szCs w:val="21"/>
              </w:rPr>
              <w:t>19.95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7" w:type="dxa"/>
            <w:vMerge w:val="continue"/>
            <w:shd w:val="clear" w:color="auto" w:fill="auto"/>
            <w:vAlign w:val="center"/>
          </w:tcPr>
          <w:p>
            <w:pPr>
              <w:adjustRightInd w:val="0"/>
              <w:spacing w:line="360" w:lineRule="auto"/>
              <w:rPr>
                <w:rFonts w:ascii="宋体" w:hAnsi="宋体"/>
                <w:szCs w:val="21"/>
              </w:rPr>
            </w:pPr>
          </w:p>
        </w:tc>
        <w:tc>
          <w:tcPr>
            <w:tcW w:w="899" w:type="dxa"/>
            <w:shd w:val="clear" w:color="auto" w:fill="auto"/>
            <w:vAlign w:val="center"/>
          </w:tcPr>
          <w:p>
            <w:pPr>
              <w:adjustRightInd w:val="0"/>
              <w:spacing w:line="360" w:lineRule="auto"/>
              <w:rPr>
                <w:rFonts w:ascii="宋体" w:hAnsi="宋体"/>
                <w:szCs w:val="21"/>
              </w:rPr>
            </w:pPr>
            <w:r>
              <w:rPr>
                <w:rFonts w:hint="eastAsia" w:ascii="宋体" w:hAnsi="宋体"/>
                <w:szCs w:val="21"/>
              </w:rPr>
              <w:t>2.0068</w:t>
            </w:r>
          </w:p>
        </w:tc>
        <w:tc>
          <w:tcPr>
            <w:tcW w:w="1701" w:type="dxa"/>
            <w:shd w:val="clear" w:color="auto" w:fill="auto"/>
            <w:vAlign w:val="center"/>
          </w:tcPr>
          <w:p>
            <w:pPr>
              <w:adjustRightInd w:val="0"/>
              <w:spacing w:line="360" w:lineRule="auto"/>
              <w:rPr>
                <w:rFonts w:ascii="宋体" w:hAnsi="宋体"/>
                <w:szCs w:val="21"/>
              </w:rPr>
            </w:pPr>
            <w:r>
              <w:rPr>
                <w:rFonts w:hint="eastAsia" w:ascii="宋体" w:hAnsi="宋体"/>
                <w:szCs w:val="21"/>
              </w:rPr>
              <w:t>2.112</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0.02</w:t>
            </w:r>
          </w:p>
        </w:tc>
        <w:tc>
          <w:tcPr>
            <w:tcW w:w="1984" w:type="dxa"/>
            <w:shd w:val="clear" w:color="auto" w:fill="auto"/>
            <w:vAlign w:val="center"/>
          </w:tcPr>
          <w:p>
            <w:pPr>
              <w:adjustRightInd w:val="0"/>
              <w:spacing w:line="360" w:lineRule="auto"/>
              <w:rPr>
                <w:rFonts w:ascii="宋体" w:hAnsi="宋体"/>
                <w:szCs w:val="21"/>
              </w:rPr>
            </w:pPr>
            <w:r>
              <w:rPr>
                <w:rFonts w:hint="eastAsia" w:ascii="宋体" w:hAnsi="宋体"/>
                <w:szCs w:val="21"/>
              </w:rPr>
              <w:t>0.32</w:t>
            </w:r>
          </w:p>
        </w:tc>
        <w:tc>
          <w:tcPr>
            <w:tcW w:w="1134" w:type="dxa"/>
            <w:shd w:val="clear" w:color="auto" w:fill="auto"/>
            <w:vAlign w:val="center"/>
          </w:tcPr>
          <w:p>
            <w:pPr>
              <w:adjustRightInd w:val="0"/>
              <w:spacing w:line="360" w:lineRule="auto"/>
              <w:rPr>
                <w:rFonts w:ascii="宋体" w:hAnsi="宋体"/>
                <w:szCs w:val="21"/>
              </w:rPr>
            </w:pPr>
            <w:r>
              <w:rPr>
                <w:rFonts w:hint="eastAsia" w:ascii="宋体" w:hAnsi="宋体"/>
                <w:szCs w:val="21"/>
              </w:rPr>
              <w:t>0.008</w:t>
            </w:r>
          </w:p>
        </w:tc>
        <w:tc>
          <w:tcPr>
            <w:tcW w:w="1049" w:type="dxa"/>
            <w:shd w:val="clear" w:color="auto" w:fill="auto"/>
            <w:vAlign w:val="center"/>
          </w:tcPr>
          <w:p>
            <w:pPr>
              <w:adjustRightInd w:val="0"/>
              <w:spacing w:line="360" w:lineRule="auto"/>
              <w:rPr>
                <w:rFonts w:ascii="宋体" w:hAnsi="宋体"/>
                <w:szCs w:val="21"/>
              </w:rPr>
            </w:pPr>
            <w:r>
              <w:rPr>
                <w:rFonts w:hint="eastAsia" w:ascii="宋体" w:hAnsi="宋体"/>
                <w:szCs w:val="21"/>
              </w:rPr>
              <w:t>19.89</w:t>
            </w:r>
          </w:p>
        </w:tc>
      </w:tr>
    </w:tbl>
    <w:p>
      <w:pPr>
        <w:adjustRightInd w:val="0"/>
        <w:spacing w:line="360" w:lineRule="auto"/>
        <w:ind w:firstLine="429"/>
        <w:rPr>
          <w:rFonts w:ascii="宋体" w:hAnsi="宋体"/>
          <w:szCs w:val="21"/>
        </w:rPr>
      </w:pPr>
    </w:p>
    <w:p>
      <w:pPr>
        <w:adjustRightInd w:val="0"/>
        <w:spacing w:line="360" w:lineRule="auto"/>
        <w:rPr>
          <w:rFonts w:ascii="宋体" w:hAnsi="宋体" w:cs="宋体"/>
          <w:szCs w:val="21"/>
        </w:rPr>
      </w:pPr>
      <w:r>
        <w:rPr>
          <w:rFonts w:hint="eastAsia" w:ascii="宋体" w:hAnsi="宋体" w:cs="宋体"/>
          <w:szCs w:val="21"/>
        </w:rPr>
        <w:t>2.2.6.2 从上表可知，还原沉淀过滤硒后滤纸上会残留碲，但残留量极低，8次测定中除一个测定残留为0.02%外，其余均为0.01%或低于0.01%。测定还原碲后滤液中也会残留未还原的碲，但残留量及低，8个测定值除一个残留为0.01%外，其余均小于0.01%。</w:t>
      </w:r>
    </w:p>
    <w:p>
      <w:pPr>
        <w:adjustRightInd w:val="0"/>
        <w:spacing w:line="360" w:lineRule="auto"/>
        <w:rPr>
          <w:rFonts w:ascii="宋体" w:hAnsi="宋体" w:cs="宋体"/>
          <w:szCs w:val="21"/>
        </w:rPr>
      </w:pPr>
      <w:r>
        <w:rPr>
          <w:rFonts w:hint="eastAsia" w:ascii="宋体" w:hAnsi="宋体" w:cs="宋体"/>
          <w:szCs w:val="21"/>
        </w:rPr>
        <w:t>2.2.6.3 从上表可知，完成碲的测定后虽然在还原沉淀硒的滤纸上和过滤碲沉淀的滤液中会残留碲，但因为残留量极低，考虑在碲沉淀物中也会有氧化及共沉淀杂质等因素，所以在本方法中不进行滤纸残留碲和滤液残留碲的补正。</w:t>
      </w:r>
    </w:p>
    <w:p>
      <w:pPr>
        <w:adjustRightInd w:val="0"/>
        <w:spacing w:line="360" w:lineRule="auto"/>
        <w:rPr>
          <w:rFonts w:ascii="宋体" w:hAnsi="宋体" w:cs="宋体"/>
          <w:b/>
          <w:szCs w:val="21"/>
        </w:rPr>
      </w:pPr>
      <w:r>
        <w:rPr>
          <w:rFonts w:hint="eastAsia" w:ascii="宋体" w:hAnsi="宋体" w:cs="宋体"/>
          <w:b/>
          <w:szCs w:val="21"/>
        </w:rPr>
        <w:t>2.2.7 碲沉淀物中还原试剂共沉淀和沉淀物是否被氧化的影响</w:t>
      </w:r>
    </w:p>
    <w:p>
      <w:pPr>
        <w:adjustRightInd w:val="0"/>
        <w:spacing w:line="360" w:lineRule="auto"/>
        <w:rPr>
          <w:rFonts w:ascii="宋体" w:hAnsi="宋体" w:cs="宋体"/>
          <w:szCs w:val="21"/>
        </w:rPr>
      </w:pPr>
      <w:r>
        <w:rPr>
          <w:rFonts w:hint="eastAsia" w:ascii="宋体" w:hAnsi="宋体" w:cs="宋体"/>
          <w:szCs w:val="21"/>
        </w:rPr>
        <w:t>2.2.7.1 本方法是使用盐酸羟胺沉淀分离硒，然后用亚硫酸和盐酸联胺还原沉淀碲，用恒温干燥箱在105°C下烘干碲沉淀物，称重得到碲含量，需要考还原试剂在碲沉淀物中共沉淀的影响，也要验证在该烘干条件下单质碲是否会被氧化。使用2#、</w:t>
      </w:r>
      <w:r>
        <w:rPr>
          <w:rFonts w:ascii="宋体" w:hAnsi="宋体" w:cs="宋体"/>
          <w:szCs w:val="21"/>
        </w:rPr>
        <w:t>3</w:t>
      </w:r>
      <w:r>
        <w:rPr>
          <w:rFonts w:hint="eastAsia" w:ascii="宋体" w:hAnsi="宋体" w:cs="宋体"/>
          <w:szCs w:val="21"/>
        </w:rPr>
        <w:t>#样品，各称取6份样品，按照以上1.1的方法，得到1</w:t>
      </w:r>
      <w:r>
        <w:rPr>
          <w:rFonts w:ascii="宋体" w:hAnsi="宋体" w:cs="宋体"/>
          <w:szCs w:val="21"/>
        </w:rPr>
        <w:t>2</w:t>
      </w:r>
      <w:r>
        <w:rPr>
          <w:rFonts w:hint="eastAsia" w:ascii="宋体" w:hAnsi="宋体" w:cs="宋体"/>
          <w:szCs w:val="21"/>
        </w:rPr>
        <w:t>个碲沉淀物，称重，然后沉淀物按照以下方法处理：</w:t>
      </w:r>
    </w:p>
    <w:p>
      <w:pPr>
        <w:adjustRightInd w:val="0"/>
        <w:spacing w:line="360" w:lineRule="auto"/>
        <w:rPr>
          <w:rFonts w:ascii="宋体" w:hAnsi="宋体" w:cs="宋体"/>
          <w:szCs w:val="21"/>
        </w:rPr>
      </w:pPr>
      <w:r>
        <w:rPr>
          <w:rFonts w:ascii="宋体" w:hAnsi="宋体" w:cs="宋体"/>
          <w:szCs w:val="21"/>
        </w:rPr>
        <w:t>A</w:t>
      </w:r>
      <w:r>
        <w:rPr>
          <w:rFonts w:hint="eastAsia" w:ascii="宋体" w:hAnsi="宋体" w:cs="宋体"/>
          <w:szCs w:val="21"/>
        </w:rPr>
        <w:t>、两个沉淀物用测氧仪测定氧含量，得到沉淀物中氧含量；</w:t>
      </w:r>
    </w:p>
    <w:p>
      <w:pPr>
        <w:adjustRightInd w:val="0"/>
        <w:spacing w:line="360" w:lineRule="auto"/>
        <w:rPr>
          <w:rFonts w:ascii="宋体" w:hAnsi="宋体" w:cs="宋体"/>
          <w:szCs w:val="21"/>
        </w:rPr>
      </w:pPr>
      <w:r>
        <w:rPr>
          <w:rFonts w:ascii="宋体" w:hAnsi="宋体" w:cs="宋体"/>
          <w:szCs w:val="21"/>
        </w:rPr>
        <w:t>B</w:t>
      </w:r>
      <w:r>
        <w:rPr>
          <w:rFonts w:hint="eastAsia" w:ascii="宋体" w:hAnsi="宋体" w:cs="宋体"/>
          <w:szCs w:val="21"/>
        </w:rPr>
        <w:t>、两个沉淀物转移到烧杯中，加入</w:t>
      </w:r>
      <w:r>
        <w:rPr>
          <w:rFonts w:ascii="宋体" w:hAnsi="宋体" w:cs="宋体"/>
          <w:szCs w:val="21"/>
        </w:rPr>
        <w:t>5</w:t>
      </w:r>
      <w:r>
        <w:rPr>
          <w:rFonts w:hint="eastAsia" w:ascii="宋体" w:hAnsi="宋体" w:cs="宋体"/>
          <w:szCs w:val="21"/>
        </w:rPr>
        <w:t>毫升硝酸、10毫升盐酸，溶解，转移定容于100毫升容量瓶中，用ICP-</w:t>
      </w:r>
      <w:r>
        <w:rPr>
          <w:rFonts w:ascii="宋体" w:hAnsi="宋体" w:cs="宋体"/>
          <w:szCs w:val="21"/>
        </w:rPr>
        <w:t>OES测定</w:t>
      </w:r>
      <w:r>
        <w:rPr>
          <w:rFonts w:hint="eastAsia" w:ascii="宋体" w:hAnsi="宋体" w:cs="宋体"/>
          <w:szCs w:val="21"/>
        </w:rPr>
        <w:t>溶液中硫含量；</w:t>
      </w:r>
    </w:p>
    <w:p>
      <w:pPr>
        <w:adjustRightInd w:val="0"/>
        <w:spacing w:line="360" w:lineRule="auto"/>
        <w:rPr>
          <w:rFonts w:ascii="宋体" w:hAnsi="宋体" w:cs="宋体"/>
          <w:szCs w:val="21"/>
        </w:rPr>
      </w:pPr>
      <w:r>
        <w:rPr>
          <w:rFonts w:hint="eastAsia" w:ascii="宋体" w:hAnsi="宋体" w:cs="宋体"/>
          <w:szCs w:val="21"/>
        </w:rPr>
        <w:t>C、两个沉淀物转移至烧杯中，加入10毫升1:1硝酸，加热溶解，用1:</w:t>
      </w:r>
      <w:r>
        <w:rPr>
          <w:rFonts w:ascii="宋体" w:hAnsi="宋体" w:cs="宋体"/>
          <w:szCs w:val="21"/>
        </w:rPr>
        <w:t>4</w:t>
      </w:r>
      <w:r>
        <w:rPr>
          <w:rFonts w:hint="eastAsia" w:ascii="宋体" w:hAnsi="宋体" w:cs="宋体"/>
          <w:szCs w:val="21"/>
        </w:rPr>
        <w:t>硝酸溶液稀释转移至50毫升比色管中，加入100g/</w:t>
      </w:r>
      <w:r>
        <w:rPr>
          <w:rFonts w:ascii="宋体" w:hAnsi="宋体" w:cs="宋体"/>
          <w:szCs w:val="21"/>
        </w:rPr>
        <w:t>L的硝酸银溶液</w:t>
      </w:r>
      <w:r>
        <w:rPr>
          <w:rFonts w:hint="eastAsia" w:ascii="宋体" w:hAnsi="宋体" w:cs="宋体"/>
          <w:szCs w:val="21"/>
        </w:rPr>
        <w:t>2毫升，摇匀，和标准溶液比色，测定溶液中氯含量。</w:t>
      </w:r>
    </w:p>
    <w:p>
      <w:pPr>
        <w:adjustRightInd w:val="0"/>
        <w:spacing w:line="360" w:lineRule="auto"/>
        <w:rPr>
          <w:rFonts w:ascii="宋体" w:hAnsi="宋体" w:cs="宋体"/>
          <w:szCs w:val="21"/>
        </w:rPr>
      </w:pPr>
      <w:r>
        <w:rPr>
          <w:rFonts w:hint="eastAsia" w:ascii="宋体" w:hAnsi="宋体" w:cs="宋体"/>
          <w:szCs w:val="21"/>
        </w:rPr>
        <w:t xml:space="preserve">   12份沉淀物按照以上A、B、C的要求测定，检测结果见下表6：</w:t>
      </w:r>
    </w:p>
    <w:p>
      <w:pPr>
        <w:adjustRightInd w:val="0"/>
        <w:spacing w:line="360" w:lineRule="auto"/>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表6 碲沉淀物中的氧、硫、氯含量</w:t>
      </w:r>
    </w:p>
    <w:tbl>
      <w:tblPr>
        <w:tblStyle w:val="23"/>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5"/>
        <w:gridCol w:w="1705"/>
        <w:gridCol w:w="1234"/>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样品编号</w:t>
            </w:r>
          </w:p>
        </w:tc>
        <w:tc>
          <w:tcPr>
            <w:tcW w:w="1705"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氧含量（%））</w:t>
            </w:r>
          </w:p>
        </w:tc>
        <w:tc>
          <w:tcPr>
            <w:tcW w:w="123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硫含量（%）</w:t>
            </w:r>
          </w:p>
        </w:tc>
        <w:tc>
          <w:tcPr>
            <w:tcW w:w="3969"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氯含量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restart"/>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2#</w:t>
            </w:r>
          </w:p>
        </w:tc>
        <w:tc>
          <w:tcPr>
            <w:tcW w:w="1705"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0.03</w:t>
            </w:r>
          </w:p>
        </w:tc>
        <w:tc>
          <w:tcPr>
            <w:tcW w:w="1234" w:type="dxa"/>
            <w:shd w:val="clear" w:color="auto" w:fill="auto"/>
            <w:vAlign w:val="center"/>
          </w:tcPr>
          <w:p>
            <w:pPr>
              <w:adjustRightInd w:val="0"/>
              <w:spacing w:line="360" w:lineRule="auto"/>
              <w:rPr>
                <w:rFonts w:ascii="宋体" w:hAnsi="宋体" w:cs="宋体"/>
                <w:szCs w:val="21"/>
              </w:rPr>
            </w:pPr>
          </w:p>
        </w:tc>
        <w:tc>
          <w:tcPr>
            <w:tcW w:w="3969" w:type="dxa"/>
            <w:shd w:val="clear" w:color="auto" w:fill="auto"/>
            <w:vAlign w:val="center"/>
          </w:tcPr>
          <w:p>
            <w:pPr>
              <w:adjustRightInd w:val="0"/>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rPr>
                <w:rFonts w:ascii="宋体" w:hAnsi="宋体" w:cs="宋体"/>
                <w:szCs w:val="21"/>
              </w:rPr>
            </w:pPr>
          </w:p>
        </w:tc>
        <w:tc>
          <w:tcPr>
            <w:tcW w:w="1705"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w:t>
            </w:r>
            <w:r>
              <w:rPr>
                <w:rFonts w:ascii="宋体" w:hAnsi="宋体" w:cs="宋体"/>
                <w:szCs w:val="21"/>
              </w:rPr>
              <w:t>.02</w:t>
            </w:r>
          </w:p>
        </w:tc>
        <w:tc>
          <w:tcPr>
            <w:tcW w:w="1234" w:type="dxa"/>
            <w:shd w:val="clear" w:color="auto" w:fill="auto"/>
            <w:vAlign w:val="center"/>
          </w:tcPr>
          <w:p>
            <w:pPr>
              <w:adjustRightInd w:val="0"/>
              <w:spacing w:line="360" w:lineRule="auto"/>
              <w:rPr>
                <w:rFonts w:ascii="宋体" w:hAnsi="宋体" w:cs="宋体"/>
                <w:szCs w:val="21"/>
              </w:rPr>
            </w:pPr>
          </w:p>
        </w:tc>
        <w:tc>
          <w:tcPr>
            <w:tcW w:w="3969" w:type="dxa"/>
            <w:shd w:val="clear" w:color="auto" w:fill="auto"/>
            <w:vAlign w:val="center"/>
          </w:tcPr>
          <w:p>
            <w:pPr>
              <w:adjustRightInd w:val="0"/>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rPr>
                <w:rFonts w:ascii="宋体" w:hAnsi="宋体" w:cs="宋体"/>
                <w:szCs w:val="21"/>
              </w:rPr>
            </w:pPr>
          </w:p>
        </w:tc>
        <w:tc>
          <w:tcPr>
            <w:tcW w:w="1705" w:type="dxa"/>
            <w:shd w:val="clear" w:color="auto" w:fill="auto"/>
            <w:vAlign w:val="center"/>
          </w:tcPr>
          <w:p>
            <w:pPr>
              <w:adjustRightInd w:val="0"/>
              <w:spacing w:line="360" w:lineRule="auto"/>
              <w:rPr>
                <w:rFonts w:ascii="宋体" w:hAnsi="宋体" w:cs="宋体"/>
                <w:szCs w:val="21"/>
              </w:rPr>
            </w:pPr>
          </w:p>
        </w:tc>
        <w:tc>
          <w:tcPr>
            <w:tcW w:w="123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0.06</w:t>
            </w:r>
          </w:p>
        </w:tc>
        <w:tc>
          <w:tcPr>
            <w:tcW w:w="3969" w:type="dxa"/>
            <w:shd w:val="clear" w:color="auto" w:fill="auto"/>
            <w:vAlign w:val="center"/>
          </w:tcPr>
          <w:p>
            <w:pPr>
              <w:adjustRightInd w:val="0"/>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rPr>
                <w:rFonts w:ascii="宋体" w:hAnsi="宋体" w:cs="宋体"/>
                <w:szCs w:val="21"/>
              </w:rPr>
            </w:pPr>
          </w:p>
        </w:tc>
        <w:tc>
          <w:tcPr>
            <w:tcW w:w="1705" w:type="dxa"/>
            <w:shd w:val="clear" w:color="auto" w:fill="auto"/>
            <w:vAlign w:val="center"/>
          </w:tcPr>
          <w:p>
            <w:pPr>
              <w:adjustRightInd w:val="0"/>
              <w:spacing w:line="360" w:lineRule="auto"/>
              <w:rPr>
                <w:rFonts w:ascii="宋体" w:hAnsi="宋体" w:cs="宋体"/>
                <w:szCs w:val="21"/>
              </w:rPr>
            </w:pPr>
          </w:p>
        </w:tc>
        <w:tc>
          <w:tcPr>
            <w:tcW w:w="123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0.03</w:t>
            </w:r>
          </w:p>
        </w:tc>
        <w:tc>
          <w:tcPr>
            <w:tcW w:w="3969" w:type="dxa"/>
            <w:shd w:val="clear" w:color="auto" w:fill="auto"/>
            <w:vAlign w:val="center"/>
          </w:tcPr>
          <w:p>
            <w:pPr>
              <w:adjustRightInd w:val="0"/>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rPr>
                <w:rFonts w:ascii="宋体" w:hAnsi="宋体" w:cs="宋体"/>
                <w:szCs w:val="21"/>
              </w:rPr>
            </w:pPr>
          </w:p>
        </w:tc>
        <w:tc>
          <w:tcPr>
            <w:tcW w:w="1705" w:type="dxa"/>
            <w:shd w:val="clear" w:color="auto" w:fill="auto"/>
            <w:vAlign w:val="center"/>
          </w:tcPr>
          <w:p>
            <w:pPr>
              <w:adjustRightInd w:val="0"/>
              <w:spacing w:line="360" w:lineRule="auto"/>
              <w:rPr>
                <w:rFonts w:ascii="宋体" w:hAnsi="宋体" w:cs="宋体"/>
                <w:szCs w:val="21"/>
              </w:rPr>
            </w:pPr>
          </w:p>
        </w:tc>
        <w:tc>
          <w:tcPr>
            <w:tcW w:w="1234" w:type="dxa"/>
            <w:shd w:val="clear" w:color="auto" w:fill="auto"/>
            <w:vAlign w:val="center"/>
          </w:tcPr>
          <w:p>
            <w:pPr>
              <w:adjustRightInd w:val="0"/>
              <w:spacing w:line="360" w:lineRule="auto"/>
              <w:rPr>
                <w:rFonts w:ascii="宋体" w:hAnsi="宋体" w:cs="宋体"/>
                <w:szCs w:val="21"/>
              </w:rPr>
            </w:pPr>
          </w:p>
        </w:tc>
        <w:tc>
          <w:tcPr>
            <w:tcW w:w="3969"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有白色沉淀，但沉淀的氯量＜0.05%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rPr>
                <w:rFonts w:ascii="宋体" w:hAnsi="宋体" w:cs="宋体"/>
                <w:szCs w:val="21"/>
              </w:rPr>
            </w:pPr>
          </w:p>
        </w:tc>
        <w:tc>
          <w:tcPr>
            <w:tcW w:w="1705" w:type="dxa"/>
            <w:shd w:val="clear" w:color="auto" w:fill="auto"/>
            <w:vAlign w:val="center"/>
          </w:tcPr>
          <w:p>
            <w:pPr>
              <w:adjustRightInd w:val="0"/>
              <w:spacing w:line="360" w:lineRule="auto"/>
              <w:rPr>
                <w:rFonts w:ascii="宋体" w:hAnsi="宋体" w:cs="宋体"/>
                <w:szCs w:val="21"/>
              </w:rPr>
            </w:pPr>
          </w:p>
        </w:tc>
        <w:tc>
          <w:tcPr>
            <w:tcW w:w="1234" w:type="dxa"/>
            <w:shd w:val="clear" w:color="auto" w:fill="auto"/>
            <w:vAlign w:val="center"/>
          </w:tcPr>
          <w:p>
            <w:pPr>
              <w:adjustRightInd w:val="0"/>
              <w:spacing w:line="360" w:lineRule="auto"/>
              <w:rPr>
                <w:rFonts w:ascii="宋体" w:hAnsi="宋体" w:cs="宋体"/>
                <w:szCs w:val="21"/>
              </w:rPr>
            </w:pPr>
          </w:p>
        </w:tc>
        <w:tc>
          <w:tcPr>
            <w:tcW w:w="3969"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有白色沉淀，但沉淀的氯量＜0.05%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restart"/>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3#</w:t>
            </w:r>
          </w:p>
        </w:tc>
        <w:tc>
          <w:tcPr>
            <w:tcW w:w="1705"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0.04</w:t>
            </w:r>
          </w:p>
        </w:tc>
        <w:tc>
          <w:tcPr>
            <w:tcW w:w="1234" w:type="dxa"/>
            <w:shd w:val="clear" w:color="auto" w:fill="auto"/>
            <w:vAlign w:val="center"/>
          </w:tcPr>
          <w:p>
            <w:pPr>
              <w:adjustRightInd w:val="0"/>
              <w:spacing w:line="360" w:lineRule="auto"/>
              <w:rPr>
                <w:rFonts w:ascii="宋体" w:hAnsi="宋体" w:cs="宋体"/>
                <w:szCs w:val="21"/>
              </w:rPr>
            </w:pPr>
          </w:p>
        </w:tc>
        <w:tc>
          <w:tcPr>
            <w:tcW w:w="3969" w:type="dxa"/>
            <w:shd w:val="clear" w:color="auto" w:fill="auto"/>
            <w:vAlign w:val="center"/>
          </w:tcPr>
          <w:p>
            <w:pPr>
              <w:adjustRightInd w:val="0"/>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rPr>
                <w:rFonts w:ascii="宋体" w:hAnsi="宋体" w:cs="宋体"/>
                <w:szCs w:val="21"/>
              </w:rPr>
            </w:pPr>
          </w:p>
        </w:tc>
        <w:tc>
          <w:tcPr>
            <w:tcW w:w="1705"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0.08</w:t>
            </w:r>
          </w:p>
        </w:tc>
        <w:tc>
          <w:tcPr>
            <w:tcW w:w="1234" w:type="dxa"/>
            <w:shd w:val="clear" w:color="auto" w:fill="auto"/>
            <w:vAlign w:val="center"/>
          </w:tcPr>
          <w:p>
            <w:pPr>
              <w:adjustRightInd w:val="0"/>
              <w:spacing w:line="360" w:lineRule="auto"/>
              <w:rPr>
                <w:rFonts w:ascii="宋体" w:hAnsi="宋体" w:cs="宋体"/>
                <w:szCs w:val="21"/>
              </w:rPr>
            </w:pPr>
          </w:p>
        </w:tc>
        <w:tc>
          <w:tcPr>
            <w:tcW w:w="3969" w:type="dxa"/>
            <w:shd w:val="clear" w:color="auto" w:fill="auto"/>
            <w:vAlign w:val="center"/>
          </w:tcPr>
          <w:p>
            <w:pPr>
              <w:adjustRightInd w:val="0"/>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rPr>
                <w:rFonts w:ascii="宋体" w:hAnsi="宋体" w:cs="宋体"/>
                <w:szCs w:val="21"/>
              </w:rPr>
            </w:pPr>
          </w:p>
        </w:tc>
        <w:tc>
          <w:tcPr>
            <w:tcW w:w="1705" w:type="dxa"/>
            <w:shd w:val="clear" w:color="auto" w:fill="auto"/>
            <w:vAlign w:val="center"/>
          </w:tcPr>
          <w:p>
            <w:pPr>
              <w:adjustRightInd w:val="0"/>
              <w:spacing w:line="360" w:lineRule="auto"/>
              <w:rPr>
                <w:rFonts w:ascii="宋体" w:hAnsi="宋体" w:cs="宋体"/>
                <w:szCs w:val="21"/>
              </w:rPr>
            </w:pPr>
          </w:p>
        </w:tc>
        <w:tc>
          <w:tcPr>
            <w:tcW w:w="123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0.04</w:t>
            </w:r>
          </w:p>
        </w:tc>
        <w:tc>
          <w:tcPr>
            <w:tcW w:w="3969" w:type="dxa"/>
            <w:shd w:val="clear" w:color="auto" w:fill="auto"/>
            <w:vAlign w:val="center"/>
          </w:tcPr>
          <w:p>
            <w:pPr>
              <w:adjustRightInd w:val="0"/>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rPr>
                <w:rFonts w:ascii="宋体" w:hAnsi="宋体" w:cs="宋体"/>
                <w:szCs w:val="21"/>
              </w:rPr>
            </w:pPr>
          </w:p>
        </w:tc>
        <w:tc>
          <w:tcPr>
            <w:tcW w:w="1705" w:type="dxa"/>
            <w:shd w:val="clear" w:color="auto" w:fill="auto"/>
            <w:vAlign w:val="center"/>
          </w:tcPr>
          <w:p>
            <w:pPr>
              <w:adjustRightInd w:val="0"/>
              <w:spacing w:line="360" w:lineRule="auto"/>
              <w:rPr>
                <w:rFonts w:ascii="宋体" w:hAnsi="宋体" w:cs="宋体"/>
                <w:szCs w:val="21"/>
              </w:rPr>
            </w:pPr>
          </w:p>
        </w:tc>
        <w:tc>
          <w:tcPr>
            <w:tcW w:w="123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0.08</w:t>
            </w:r>
          </w:p>
        </w:tc>
        <w:tc>
          <w:tcPr>
            <w:tcW w:w="3969" w:type="dxa"/>
            <w:shd w:val="clear" w:color="auto" w:fill="auto"/>
            <w:vAlign w:val="center"/>
          </w:tcPr>
          <w:p>
            <w:pPr>
              <w:adjustRightInd w:val="0"/>
              <w:spacing w:line="360" w:lineRule="auto"/>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rPr>
                <w:rFonts w:ascii="宋体" w:hAnsi="宋体" w:cs="宋体"/>
                <w:szCs w:val="21"/>
              </w:rPr>
            </w:pPr>
          </w:p>
        </w:tc>
        <w:tc>
          <w:tcPr>
            <w:tcW w:w="1705" w:type="dxa"/>
            <w:shd w:val="clear" w:color="auto" w:fill="auto"/>
            <w:vAlign w:val="center"/>
          </w:tcPr>
          <w:p>
            <w:pPr>
              <w:adjustRightInd w:val="0"/>
              <w:spacing w:line="360" w:lineRule="auto"/>
              <w:rPr>
                <w:rFonts w:ascii="宋体" w:hAnsi="宋体" w:cs="宋体"/>
                <w:szCs w:val="21"/>
              </w:rPr>
            </w:pPr>
          </w:p>
        </w:tc>
        <w:tc>
          <w:tcPr>
            <w:tcW w:w="1234" w:type="dxa"/>
            <w:shd w:val="clear" w:color="auto" w:fill="auto"/>
            <w:vAlign w:val="center"/>
          </w:tcPr>
          <w:p>
            <w:pPr>
              <w:adjustRightInd w:val="0"/>
              <w:spacing w:line="360" w:lineRule="auto"/>
              <w:rPr>
                <w:rFonts w:ascii="宋体" w:hAnsi="宋体" w:cs="宋体"/>
                <w:szCs w:val="21"/>
              </w:rPr>
            </w:pPr>
          </w:p>
        </w:tc>
        <w:tc>
          <w:tcPr>
            <w:tcW w:w="3969"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有白色沉淀，但沉淀的氯量＜0.05%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5" w:type="dxa"/>
            <w:vMerge w:val="continue"/>
            <w:shd w:val="clear" w:color="auto" w:fill="auto"/>
            <w:vAlign w:val="center"/>
          </w:tcPr>
          <w:p>
            <w:pPr>
              <w:adjustRightInd w:val="0"/>
              <w:spacing w:line="360" w:lineRule="auto"/>
              <w:rPr>
                <w:rFonts w:ascii="宋体" w:hAnsi="宋体" w:cs="宋体"/>
                <w:szCs w:val="21"/>
              </w:rPr>
            </w:pPr>
          </w:p>
        </w:tc>
        <w:tc>
          <w:tcPr>
            <w:tcW w:w="1705" w:type="dxa"/>
            <w:shd w:val="clear" w:color="auto" w:fill="auto"/>
            <w:vAlign w:val="center"/>
          </w:tcPr>
          <w:p>
            <w:pPr>
              <w:adjustRightInd w:val="0"/>
              <w:spacing w:line="360" w:lineRule="auto"/>
              <w:rPr>
                <w:rFonts w:ascii="宋体" w:hAnsi="宋体" w:cs="宋体"/>
                <w:szCs w:val="21"/>
              </w:rPr>
            </w:pPr>
          </w:p>
        </w:tc>
        <w:tc>
          <w:tcPr>
            <w:tcW w:w="1234" w:type="dxa"/>
            <w:shd w:val="clear" w:color="auto" w:fill="auto"/>
            <w:vAlign w:val="center"/>
          </w:tcPr>
          <w:p>
            <w:pPr>
              <w:adjustRightInd w:val="0"/>
              <w:spacing w:line="360" w:lineRule="auto"/>
              <w:rPr>
                <w:rFonts w:ascii="宋体" w:hAnsi="宋体" w:cs="宋体"/>
                <w:szCs w:val="21"/>
              </w:rPr>
            </w:pPr>
          </w:p>
        </w:tc>
        <w:tc>
          <w:tcPr>
            <w:tcW w:w="3969"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有白色沉淀，但沉淀的氯量＜0.05%</w:t>
            </w:r>
          </w:p>
        </w:tc>
      </w:tr>
    </w:tbl>
    <w:p>
      <w:pPr>
        <w:adjustRightInd w:val="0"/>
        <w:spacing w:line="360" w:lineRule="auto"/>
        <w:rPr>
          <w:rFonts w:ascii="宋体" w:hAnsi="宋体" w:cs="宋体"/>
          <w:szCs w:val="21"/>
        </w:rPr>
      </w:pPr>
      <w:r>
        <w:rPr>
          <w:rFonts w:hint="eastAsia" w:ascii="宋体" w:hAnsi="宋体" w:cs="宋体"/>
          <w:szCs w:val="21"/>
        </w:rPr>
        <w:t>注：以上结果均为相对于碲沉淀物的含量，以2#样计算，对碲含量的结果影响＜0.01%。</w:t>
      </w:r>
    </w:p>
    <w:p>
      <w:pPr>
        <w:adjustRightInd w:val="0"/>
        <w:spacing w:line="360" w:lineRule="auto"/>
        <w:rPr>
          <w:rFonts w:ascii="宋体" w:hAnsi="宋体" w:cs="宋体"/>
          <w:b/>
          <w:szCs w:val="21"/>
        </w:rPr>
      </w:pPr>
      <w:r>
        <w:rPr>
          <w:rFonts w:hint="eastAsia" w:ascii="宋体" w:hAnsi="宋体" w:cs="宋体"/>
          <w:szCs w:val="21"/>
        </w:rPr>
        <w:t xml:space="preserve">2.2.7.2 </w:t>
      </w:r>
      <w:r>
        <w:rPr>
          <w:rFonts w:ascii="宋体" w:hAnsi="宋体" w:cs="宋体"/>
          <w:szCs w:val="21"/>
        </w:rPr>
        <w:t xml:space="preserve"> 从上表</w:t>
      </w:r>
      <w:r>
        <w:rPr>
          <w:rFonts w:hint="eastAsia" w:ascii="宋体" w:hAnsi="宋体" w:cs="宋体"/>
          <w:szCs w:val="21"/>
        </w:rPr>
        <w:t>6中可知，碲沉淀物含有氧、硫、氯，但结果均很低，考虑到抵消滤纸上残留碲及滤液中残留碲的因素，可以不考虑沉淀物的氧化问题、硒还原沉淀剂和碲还原沉淀剂的影响。</w:t>
      </w:r>
    </w:p>
    <w:p>
      <w:pPr>
        <w:adjustRightInd w:val="0"/>
        <w:spacing w:line="360" w:lineRule="auto"/>
        <w:rPr>
          <w:rFonts w:ascii="宋体" w:hAnsi="宋体" w:cs="宋体"/>
          <w:b/>
          <w:szCs w:val="21"/>
        </w:rPr>
      </w:pPr>
      <w:r>
        <w:rPr>
          <w:rFonts w:hint="eastAsia" w:ascii="宋体" w:hAnsi="宋体" w:cs="宋体"/>
          <w:b/>
          <w:szCs w:val="21"/>
        </w:rPr>
        <w:t>2.2.8 贵金属金、银、钯在测定中的影响</w:t>
      </w:r>
    </w:p>
    <w:p>
      <w:pPr>
        <w:adjustRightInd w:val="0"/>
        <w:spacing w:line="360" w:lineRule="auto"/>
        <w:rPr>
          <w:rFonts w:ascii="宋体" w:hAnsi="宋体" w:cs="宋体"/>
          <w:szCs w:val="21"/>
        </w:rPr>
      </w:pPr>
      <w:r>
        <w:rPr>
          <w:rFonts w:hint="eastAsia" w:ascii="宋体" w:hAnsi="宋体" w:cs="宋体"/>
          <w:szCs w:val="21"/>
        </w:rPr>
        <w:t>2.2.8.1 有些粗硒样品含有贵金属金、银、钯，甚至含有较高的贵金属金、银、钯，需要对这类物料进行验证试验，考察在本方法条件下对碲沉淀反应的影响。验证试验如下：取一种含贵金属粗硒样品（X#样品），该样品含金0.0225%、银1.859%、碲0.33%、钯0.0</w:t>
      </w:r>
      <w:r>
        <w:rPr>
          <w:rFonts w:ascii="宋体" w:hAnsi="宋体" w:cs="宋体"/>
          <w:szCs w:val="21"/>
        </w:rPr>
        <w:t>2</w:t>
      </w:r>
      <w:r>
        <w:rPr>
          <w:rFonts w:hint="eastAsia" w:ascii="宋体" w:hAnsi="宋体" w:cs="宋体"/>
          <w:szCs w:val="21"/>
        </w:rPr>
        <w:t>1%，以该样品为基础，加入相应的碲量形成含碲含量大约10%、20%的粗硒样品，按照以上1.1的方法测定碲含量，将碲沉淀物用王水溶解，定容于</w:t>
      </w:r>
      <w:r>
        <w:rPr>
          <w:rFonts w:ascii="宋体" w:hAnsi="宋体" w:cs="宋体"/>
          <w:szCs w:val="21"/>
        </w:rPr>
        <w:t>500</w:t>
      </w:r>
      <w:r>
        <w:rPr>
          <w:rFonts w:hint="eastAsia" w:ascii="宋体" w:hAnsi="宋体" w:cs="宋体"/>
          <w:szCs w:val="21"/>
        </w:rPr>
        <w:t>毫升容量瓶中，用ICP-OES检测溶液中的金、银、钯量，检测结果统计见下表7</w:t>
      </w:r>
    </w:p>
    <w:p>
      <w:pPr>
        <w:adjustRightInd w:val="0"/>
        <w:spacing w:line="360" w:lineRule="auto"/>
        <w:rPr>
          <w:rFonts w:ascii="宋体" w:hAnsi="宋体" w:cs="宋体"/>
          <w:szCs w:val="21"/>
        </w:rPr>
      </w:pPr>
      <w:r>
        <w:rPr>
          <w:rFonts w:ascii="宋体" w:hAnsi="宋体" w:cs="宋体"/>
          <w:szCs w:val="21"/>
        </w:rPr>
        <w:t xml:space="preserve">                 </w:t>
      </w:r>
    </w:p>
    <w:p>
      <w:pPr>
        <w:adjustRightInd w:val="0"/>
        <w:spacing w:line="360" w:lineRule="auto"/>
        <w:ind w:firstLine="1680" w:firstLineChars="800"/>
        <w:rPr>
          <w:rFonts w:ascii="宋体" w:hAnsi="宋体" w:cs="宋体"/>
          <w:szCs w:val="21"/>
        </w:rPr>
      </w:pPr>
      <w:r>
        <w:rPr>
          <w:rFonts w:ascii="宋体" w:hAnsi="宋体" w:cs="宋体"/>
          <w:szCs w:val="21"/>
        </w:rPr>
        <w:t>表</w:t>
      </w:r>
      <w:r>
        <w:rPr>
          <w:rFonts w:hint="eastAsia" w:ascii="宋体" w:hAnsi="宋体" w:cs="宋体"/>
          <w:szCs w:val="21"/>
        </w:rPr>
        <w:t>7 含贵金属金、银、钯的粗硒中的碲含量测定统计</w:t>
      </w:r>
    </w:p>
    <w:tbl>
      <w:tblPr>
        <w:tblStyle w:val="23"/>
        <w:tblW w:w="10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899"/>
        <w:gridCol w:w="806"/>
        <w:gridCol w:w="850"/>
        <w:gridCol w:w="992"/>
        <w:gridCol w:w="993"/>
        <w:gridCol w:w="992"/>
        <w:gridCol w:w="1135"/>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X#样品</w:t>
            </w:r>
            <w:r>
              <w:rPr>
                <w:rFonts w:ascii="宋体" w:hAnsi="宋体" w:cs="宋体"/>
                <w:szCs w:val="21"/>
              </w:rPr>
              <w:t>称样量（</w:t>
            </w:r>
            <w:r>
              <w:rPr>
                <w:rFonts w:hint="eastAsia" w:ascii="宋体" w:hAnsi="宋体" w:cs="宋体"/>
                <w:szCs w:val="21"/>
              </w:rPr>
              <w:t>g</w:t>
            </w:r>
            <w:r>
              <w:rPr>
                <w:rFonts w:ascii="宋体" w:hAnsi="宋体" w:cs="宋体"/>
                <w:szCs w:val="21"/>
              </w:rPr>
              <w:t>）</w:t>
            </w:r>
          </w:p>
        </w:tc>
        <w:tc>
          <w:tcPr>
            <w:tcW w:w="899"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该样品中的碲量（g）</w:t>
            </w:r>
          </w:p>
        </w:tc>
        <w:tc>
          <w:tcPr>
            <w:tcW w:w="806"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加入样品中的碲量（g）</w:t>
            </w:r>
          </w:p>
        </w:tc>
        <w:tc>
          <w:tcPr>
            <w:tcW w:w="850"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形成的试验样的理论碲含量（%）</w:t>
            </w:r>
          </w:p>
        </w:tc>
        <w:tc>
          <w:tcPr>
            <w:tcW w:w="992"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碲沉淀物溶解溶液中的银</w:t>
            </w:r>
            <w:r>
              <w:rPr>
                <w:rFonts w:ascii="宋体" w:hAnsi="宋体" w:cs="宋体"/>
                <w:szCs w:val="21"/>
              </w:rPr>
              <w:t>含量</w:t>
            </w:r>
            <w:r>
              <w:rPr>
                <w:rFonts w:hint="eastAsia" w:ascii="宋体" w:hAnsi="宋体" w:cs="宋体"/>
                <w:szCs w:val="21"/>
              </w:rPr>
              <w:t>（微克/毫升）</w:t>
            </w:r>
          </w:p>
        </w:tc>
        <w:tc>
          <w:tcPr>
            <w:tcW w:w="993" w:type="dxa"/>
            <w:shd w:val="clear" w:color="auto" w:fill="auto"/>
            <w:vAlign w:val="center"/>
          </w:tcPr>
          <w:p>
            <w:pPr>
              <w:adjustRightInd w:val="0"/>
              <w:spacing w:line="360" w:lineRule="auto"/>
              <w:rPr>
                <w:rFonts w:ascii="宋体" w:hAnsi="宋体" w:cs="宋体"/>
                <w:szCs w:val="21"/>
              </w:rPr>
            </w:pPr>
            <w:r>
              <w:rPr>
                <w:rFonts w:ascii="宋体" w:hAnsi="宋体" w:cs="宋体"/>
                <w:szCs w:val="21"/>
              </w:rPr>
              <w:t>碲沉淀物溶解溶液中的金含量</w:t>
            </w:r>
            <w:r>
              <w:rPr>
                <w:rFonts w:hint="eastAsia" w:ascii="宋体" w:hAnsi="宋体" w:cs="宋体"/>
                <w:szCs w:val="21"/>
              </w:rPr>
              <w:t>（微克/毫升）</w:t>
            </w:r>
          </w:p>
        </w:tc>
        <w:tc>
          <w:tcPr>
            <w:tcW w:w="992"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碲沉淀物溶解溶液中的钯含量（微克/毫升）</w:t>
            </w:r>
          </w:p>
        </w:tc>
        <w:tc>
          <w:tcPr>
            <w:tcW w:w="1135"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碲沉淀物溶解溶液中的银、金、钯总含量（微克/毫升）</w:t>
            </w:r>
          </w:p>
        </w:tc>
        <w:tc>
          <w:tcPr>
            <w:tcW w:w="113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碲的检测测定值</w:t>
            </w:r>
          </w:p>
        </w:tc>
        <w:tc>
          <w:tcPr>
            <w:tcW w:w="1133" w:type="dxa"/>
            <w:shd w:val="clear" w:color="auto" w:fill="auto"/>
          </w:tcPr>
          <w:p>
            <w:pPr>
              <w:adjustRightInd w:val="0"/>
              <w:spacing w:line="360" w:lineRule="auto"/>
              <w:rPr>
                <w:rFonts w:ascii="宋体" w:hAnsi="宋体" w:cs="宋体"/>
                <w:szCs w:val="21"/>
              </w:rPr>
            </w:pPr>
            <w:r>
              <w:rPr>
                <w:rFonts w:hint="eastAsia" w:ascii="宋体" w:hAnsi="宋体" w:cs="宋体"/>
                <w:szCs w:val="21"/>
              </w:rPr>
              <w:t>碲沉淀物中的金、银、钯对碲检测结果的影响值(%)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widowControl/>
              <w:rPr>
                <w:kern w:val="0"/>
                <w:szCs w:val="21"/>
              </w:rPr>
            </w:pPr>
            <w:r>
              <w:rPr>
                <w:rFonts w:hint="eastAsia"/>
                <w:szCs w:val="21"/>
              </w:rPr>
              <w:t>1.8056</w:t>
            </w:r>
          </w:p>
        </w:tc>
        <w:tc>
          <w:tcPr>
            <w:tcW w:w="899" w:type="dxa"/>
            <w:shd w:val="clear" w:color="auto" w:fill="auto"/>
            <w:vAlign w:val="center"/>
          </w:tcPr>
          <w:p>
            <w:pPr>
              <w:rPr>
                <w:szCs w:val="21"/>
              </w:rPr>
            </w:pPr>
            <w:r>
              <w:rPr>
                <w:rFonts w:hint="eastAsia"/>
                <w:szCs w:val="21"/>
              </w:rPr>
              <w:t>0.00595</w:t>
            </w:r>
          </w:p>
        </w:tc>
        <w:tc>
          <w:tcPr>
            <w:tcW w:w="806" w:type="dxa"/>
            <w:shd w:val="clear" w:color="auto" w:fill="auto"/>
            <w:vAlign w:val="center"/>
          </w:tcPr>
          <w:p>
            <w:pPr>
              <w:rPr>
                <w:szCs w:val="21"/>
              </w:rPr>
            </w:pPr>
            <w:r>
              <w:rPr>
                <w:rFonts w:hint="eastAsia"/>
                <w:szCs w:val="21"/>
              </w:rPr>
              <w:t>0.1723</w:t>
            </w:r>
          </w:p>
        </w:tc>
        <w:tc>
          <w:tcPr>
            <w:tcW w:w="850" w:type="dxa"/>
            <w:shd w:val="clear" w:color="auto" w:fill="auto"/>
            <w:vAlign w:val="center"/>
          </w:tcPr>
          <w:p>
            <w:pPr>
              <w:jc w:val="center"/>
              <w:rPr>
                <w:sz w:val="24"/>
              </w:rPr>
            </w:pPr>
            <w:r>
              <w:rPr>
                <w:rFonts w:hint="eastAsia"/>
              </w:rPr>
              <w:t>9.87</w:t>
            </w:r>
          </w:p>
        </w:tc>
        <w:tc>
          <w:tcPr>
            <w:tcW w:w="992" w:type="dxa"/>
            <w:shd w:val="clear" w:color="auto" w:fill="auto"/>
            <w:vAlign w:val="center"/>
          </w:tcPr>
          <w:p>
            <w:pPr>
              <w:widowControl/>
              <w:rPr>
                <w:kern w:val="0"/>
                <w:szCs w:val="21"/>
              </w:rPr>
            </w:pPr>
            <w:r>
              <w:rPr>
                <w:rFonts w:hint="eastAsia"/>
                <w:szCs w:val="21"/>
              </w:rPr>
              <w:t>1.11</w:t>
            </w:r>
          </w:p>
        </w:tc>
        <w:tc>
          <w:tcPr>
            <w:tcW w:w="993" w:type="dxa"/>
            <w:shd w:val="clear" w:color="auto" w:fill="auto"/>
            <w:vAlign w:val="center"/>
          </w:tcPr>
          <w:p>
            <w:pPr>
              <w:rPr>
                <w:szCs w:val="21"/>
              </w:rPr>
            </w:pPr>
            <w:r>
              <w:rPr>
                <w:rFonts w:hint="eastAsia"/>
                <w:szCs w:val="21"/>
              </w:rPr>
              <w:t>0.1</w:t>
            </w:r>
          </w:p>
        </w:tc>
        <w:tc>
          <w:tcPr>
            <w:tcW w:w="992" w:type="dxa"/>
            <w:shd w:val="clear" w:color="auto" w:fill="auto"/>
            <w:vAlign w:val="center"/>
          </w:tcPr>
          <w:p>
            <w:pPr>
              <w:rPr>
                <w:szCs w:val="21"/>
              </w:rPr>
            </w:pPr>
            <w:r>
              <w:rPr>
                <w:rFonts w:hint="eastAsia"/>
                <w:szCs w:val="21"/>
              </w:rPr>
              <w:t>0.09</w:t>
            </w:r>
          </w:p>
        </w:tc>
        <w:tc>
          <w:tcPr>
            <w:tcW w:w="1135" w:type="dxa"/>
            <w:shd w:val="clear" w:color="auto" w:fill="auto"/>
            <w:vAlign w:val="center"/>
          </w:tcPr>
          <w:p>
            <w:pPr>
              <w:jc w:val="center"/>
              <w:rPr>
                <w:szCs w:val="21"/>
              </w:rPr>
            </w:pPr>
            <w:r>
              <w:rPr>
                <w:szCs w:val="21"/>
              </w:rPr>
              <w:t>1.3</w:t>
            </w:r>
          </w:p>
        </w:tc>
        <w:tc>
          <w:tcPr>
            <w:tcW w:w="1133" w:type="dxa"/>
            <w:shd w:val="clear" w:color="auto" w:fill="auto"/>
            <w:vAlign w:val="center"/>
          </w:tcPr>
          <w:p>
            <w:pPr>
              <w:widowControl/>
              <w:jc w:val="center"/>
            </w:pPr>
            <w:r>
              <w:rPr>
                <w:rFonts w:hint="eastAsia"/>
              </w:rPr>
              <w:t>9.84</w:t>
            </w:r>
          </w:p>
        </w:tc>
        <w:tc>
          <w:tcPr>
            <w:tcW w:w="1133" w:type="dxa"/>
            <w:shd w:val="clear" w:color="auto" w:fill="auto"/>
            <w:vAlign w:val="bottom"/>
          </w:tcPr>
          <w:p>
            <w:pPr>
              <w:widowControl/>
              <w:jc w:val="center"/>
              <w:rPr>
                <w:kern w:val="0"/>
                <w:sz w:val="24"/>
              </w:rPr>
            </w:pPr>
            <w:r>
              <w:rPr>
                <w:rFonts w:hint="eastAsia"/>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1.8036</w:t>
            </w:r>
          </w:p>
        </w:tc>
        <w:tc>
          <w:tcPr>
            <w:tcW w:w="899" w:type="dxa"/>
            <w:shd w:val="clear" w:color="auto" w:fill="auto"/>
            <w:vAlign w:val="center"/>
          </w:tcPr>
          <w:p>
            <w:pPr>
              <w:rPr>
                <w:szCs w:val="21"/>
              </w:rPr>
            </w:pPr>
            <w:r>
              <w:rPr>
                <w:rFonts w:hint="eastAsia"/>
                <w:szCs w:val="21"/>
              </w:rPr>
              <w:t>0.00595</w:t>
            </w:r>
          </w:p>
        </w:tc>
        <w:tc>
          <w:tcPr>
            <w:tcW w:w="806" w:type="dxa"/>
            <w:shd w:val="clear" w:color="auto" w:fill="auto"/>
            <w:vAlign w:val="center"/>
          </w:tcPr>
          <w:p>
            <w:pPr>
              <w:rPr>
                <w:szCs w:val="21"/>
              </w:rPr>
            </w:pPr>
            <w:r>
              <w:rPr>
                <w:rFonts w:hint="eastAsia"/>
                <w:szCs w:val="21"/>
              </w:rPr>
              <w:t>0.1769</w:t>
            </w:r>
          </w:p>
        </w:tc>
        <w:tc>
          <w:tcPr>
            <w:tcW w:w="850" w:type="dxa"/>
            <w:shd w:val="clear" w:color="auto" w:fill="auto"/>
            <w:vAlign w:val="center"/>
          </w:tcPr>
          <w:p>
            <w:pPr>
              <w:jc w:val="center"/>
              <w:rPr>
                <w:sz w:val="24"/>
              </w:rPr>
            </w:pPr>
            <w:r>
              <w:rPr>
                <w:rFonts w:hint="eastAsia"/>
              </w:rPr>
              <w:t>10.14</w:t>
            </w:r>
          </w:p>
        </w:tc>
        <w:tc>
          <w:tcPr>
            <w:tcW w:w="992" w:type="dxa"/>
            <w:shd w:val="clear" w:color="auto" w:fill="auto"/>
            <w:vAlign w:val="center"/>
          </w:tcPr>
          <w:p>
            <w:pPr>
              <w:rPr>
                <w:rFonts w:ascii="宋体" w:hAnsi="宋体" w:cs="宋体"/>
                <w:szCs w:val="21"/>
              </w:rPr>
            </w:pPr>
            <w:r>
              <w:rPr>
                <w:rFonts w:hint="eastAsia"/>
                <w:szCs w:val="21"/>
              </w:rPr>
              <w:t>0.92</w:t>
            </w:r>
          </w:p>
        </w:tc>
        <w:tc>
          <w:tcPr>
            <w:tcW w:w="993" w:type="dxa"/>
            <w:shd w:val="clear" w:color="auto" w:fill="auto"/>
            <w:vAlign w:val="center"/>
          </w:tcPr>
          <w:p>
            <w:pPr>
              <w:rPr>
                <w:szCs w:val="21"/>
              </w:rPr>
            </w:pPr>
            <w:r>
              <w:rPr>
                <w:rFonts w:hint="eastAsia"/>
                <w:szCs w:val="21"/>
              </w:rPr>
              <w:t>0.12</w:t>
            </w:r>
          </w:p>
        </w:tc>
        <w:tc>
          <w:tcPr>
            <w:tcW w:w="992" w:type="dxa"/>
            <w:shd w:val="clear" w:color="auto" w:fill="auto"/>
            <w:vAlign w:val="center"/>
          </w:tcPr>
          <w:p>
            <w:pPr>
              <w:rPr>
                <w:szCs w:val="21"/>
              </w:rPr>
            </w:pPr>
            <w:r>
              <w:rPr>
                <w:rFonts w:hint="eastAsia"/>
                <w:szCs w:val="21"/>
              </w:rPr>
              <w:t>0.06</w:t>
            </w:r>
          </w:p>
        </w:tc>
        <w:tc>
          <w:tcPr>
            <w:tcW w:w="1135" w:type="dxa"/>
            <w:shd w:val="clear" w:color="auto" w:fill="auto"/>
            <w:vAlign w:val="center"/>
          </w:tcPr>
          <w:p>
            <w:pPr>
              <w:jc w:val="center"/>
              <w:rPr>
                <w:szCs w:val="21"/>
              </w:rPr>
            </w:pPr>
            <w:r>
              <w:rPr>
                <w:szCs w:val="21"/>
              </w:rPr>
              <w:t>1.1</w:t>
            </w:r>
          </w:p>
        </w:tc>
        <w:tc>
          <w:tcPr>
            <w:tcW w:w="1133" w:type="dxa"/>
            <w:shd w:val="clear" w:color="auto" w:fill="auto"/>
            <w:vAlign w:val="center"/>
          </w:tcPr>
          <w:p>
            <w:pPr>
              <w:jc w:val="center"/>
            </w:pPr>
            <w:r>
              <w:rPr>
                <w:rFonts w:hint="eastAsia"/>
              </w:rPr>
              <w:t>10.12</w:t>
            </w:r>
          </w:p>
        </w:tc>
        <w:tc>
          <w:tcPr>
            <w:tcW w:w="1133" w:type="dxa"/>
            <w:shd w:val="clear" w:color="auto" w:fill="auto"/>
            <w:vAlign w:val="bottom"/>
          </w:tcPr>
          <w:p>
            <w:pPr>
              <w:jc w:val="center"/>
            </w:pPr>
            <w:r>
              <w:rPr>
                <w:rFonts w:hint="eastAsia"/>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1.7992</w:t>
            </w:r>
          </w:p>
        </w:tc>
        <w:tc>
          <w:tcPr>
            <w:tcW w:w="899" w:type="dxa"/>
            <w:shd w:val="clear" w:color="auto" w:fill="auto"/>
            <w:vAlign w:val="center"/>
          </w:tcPr>
          <w:p>
            <w:pPr>
              <w:rPr>
                <w:szCs w:val="21"/>
              </w:rPr>
            </w:pPr>
            <w:r>
              <w:rPr>
                <w:rFonts w:hint="eastAsia"/>
                <w:szCs w:val="21"/>
              </w:rPr>
              <w:t>0.00593</w:t>
            </w:r>
          </w:p>
        </w:tc>
        <w:tc>
          <w:tcPr>
            <w:tcW w:w="806" w:type="dxa"/>
            <w:shd w:val="clear" w:color="auto" w:fill="auto"/>
            <w:vAlign w:val="center"/>
          </w:tcPr>
          <w:p>
            <w:pPr>
              <w:rPr>
                <w:szCs w:val="21"/>
              </w:rPr>
            </w:pPr>
            <w:r>
              <w:rPr>
                <w:rFonts w:hint="eastAsia"/>
                <w:szCs w:val="21"/>
              </w:rPr>
              <w:t>0.1755</w:t>
            </w:r>
          </w:p>
        </w:tc>
        <w:tc>
          <w:tcPr>
            <w:tcW w:w="850" w:type="dxa"/>
            <w:shd w:val="clear" w:color="auto" w:fill="auto"/>
            <w:vAlign w:val="center"/>
          </w:tcPr>
          <w:p>
            <w:pPr>
              <w:jc w:val="center"/>
              <w:rPr>
                <w:sz w:val="24"/>
              </w:rPr>
            </w:pPr>
            <w:r>
              <w:rPr>
                <w:rFonts w:hint="eastAsia"/>
              </w:rPr>
              <w:t>10.08</w:t>
            </w:r>
          </w:p>
        </w:tc>
        <w:tc>
          <w:tcPr>
            <w:tcW w:w="992" w:type="dxa"/>
            <w:shd w:val="clear" w:color="auto" w:fill="auto"/>
            <w:vAlign w:val="center"/>
          </w:tcPr>
          <w:p>
            <w:pPr>
              <w:rPr>
                <w:rFonts w:ascii="宋体" w:hAnsi="宋体" w:cs="宋体"/>
                <w:szCs w:val="21"/>
              </w:rPr>
            </w:pPr>
            <w:r>
              <w:rPr>
                <w:rFonts w:hint="eastAsia"/>
                <w:szCs w:val="21"/>
              </w:rPr>
              <w:t>0.67</w:t>
            </w:r>
          </w:p>
        </w:tc>
        <w:tc>
          <w:tcPr>
            <w:tcW w:w="993" w:type="dxa"/>
            <w:shd w:val="clear" w:color="auto" w:fill="auto"/>
            <w:vAlign w:val="center"/>
          </w:tcPr>
          <w:p>
            <w:pPr>
              <w:rPr>
                <w:szCs w:val="21"/>
              </w:rPr>
            </w:pPr>
            <w:r>
              <w:rPr>
                <w:rFonts w:hint="eastAsia"/>
                <w:szCs w:val="21"/>
              </w:rPr>
              <w:t>0.18</w:t>
            </w:r>
          </w:p>
        </w:tc>
        <w:tc>
          <w:tcPr>
            <w:tcW w:w="992" w:type="dxa"/>
            <w:shd w:val="clear" w:color="auto" w:fill="auto"/>
            <w:vAlign w:val="center"/>
          </w:tcPr>
          <w:p>
            <w:pPr>
              <w:rPr>
                <w:szCs w:val="21"/>
              </w:rPr>
            </w:pPr>
            <w:r>
              <w:rPr>
                <w:rFonts w:hint="eastAsia"/>
                <w:szCs w:val="21"/>
              </w:rPr>
              <w:t>0.09</w:t>
            </w:r>
          </w:p>
        </w:tc>
        <w:tc>
          <w:tcPr>
            <w:tcW w:w="1135" w:type="dxa"/>
            <w:shd w:val="clear" w:color="auto" w:fill="auto"/>
            <w:vAlign w:val="center"/>
          </w:tcPr>
          <w:p>
            <w:pPr>
              <w:jc w:val="center"/>
              <w:rPr>
                <w:szCs w:val="21"/>
              </w:rPr>
            </w:pPr>
            <w:r>
              <w:rPr>
                <w:szCs w:val="21"/>
              </w:rPr>
              <w:t>1.24</w:t>
            </w:r>
          </w:p>
        </w:tc>
        <w:tc>
          <w:tcPr>
            <w:tcW w:w="1133" w:type="dxa"/>
            <w:shd w:val="clear" w:color="auto" w:fill="auto"/>
            <w:vAlign w:val="center"/>
          </w:tcPr>
          <w:p>
            <w:pPr>
              <w:jc w:val="center"/>
            </w:pPr>
            <w:r>
              <w:rPr>
                <w:rFonts w:hint="eastAsia"/>
              </w:rPr>
              <w:t>10.15</w:t>
            </w:r>
          </w:p>
        </w:tc>
        <w:tc>
          <w:tcPr>
            <w:tcW w:w="1133" w:type="dxa"/>
            <w:shd w:val="clear" w:color="auto" w:fill="auto"/>
            <w:vAlign w:val="bottom"/>
          </w:tcPr>
          <w:p>
            <w:pPr>
              <w:jc w:val="center"/>
            </w:pPr>
            <w:r>
              <w:rPr>
                <w:rFonts w:hint="eastAsia"/>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1.8137</w:t>
            </w:r>
          </w:p>
        </w:tc>
        <w:tc>
          <w:tcPr>
            <w:tcW w:w="899" w:type="dxa"/>
            <w:shd w:val="clear" w:color="auto" w:fill="auto"/>
            <w:vAlign w:val="center"/>
          </w:tcPr>
          <w:p>
            <w:pPr>
              <w:rPr>
                <w:szCs w:val="21"/>
              </w:rPr>
            </w:pPr>
            <w:r>
              <w:rPr>
                <w:rFonts w:hint="eastAsia"/>
                <w:szCs w:val="21"/>
              </w:rPr>
              <w:t>0.00598</w:t>
            </w:r>
          </w:p>
        </w:tc>
        <w:tc>
          <w:tcPr>
            <w:tcW w:w="806" w:type="dxa"/>
            <w:shd w:val="clear" w:color="auto" w:fill="auto"/>
            <w:vAlign w:val="center"/>
          </w:tcPr>
          <w:p>
            <w:pPr>
              <w:rPr>
                <w:szCs w:val="21"/>
              </w:rPr>
            </w:pPr>
            <w:r>
              <w:rPr>
                <w:rFonts w:hint="eastAsia"/>
                <w:szCs w:val="21"/>
              </w:rPr>
              <w:t>0.1728</w:t>
            </w:r>
          </w:p>
        </w:tc>
        <w:tc>
          <w:tcPr>
            <w:tcW w:w="850" w:type="dxa"/>
            <w:shd w:val="clear" w:color="auto" w:fill="auto"/>
            <w:vAlign w:val="center"/>
          </w:tcPr>
          <w:p>
            <w:pPr>
              <w:jc w:val="center"/>
              <w:rPr>
                <w:sz w:val="24"/>
              </w:rPr>
            </w:pPr>
            <w:r>
              <w:rPr>
                <w:rFonts w:hint="eastAsia"/>
              </w:rPr>
              <w:t>9.86</w:t>
            </w:r>
          </w:p>
        </w:tc>
        <w:tc>
          <w:tcPr>
            <w:tcW w:w="992" w:type="dxa"/>
            <w:shd w:val="clear" w:color="auto" w:fill="auto"/>
            <w:vAlign w:val="center"/>
          </w:tcPr>
          <w:p>
            <w:pPr>
              <w:rPr>
                <w:rFonts w:ascii="宋体" w:hAnsi="宋体" w:cs="宋体"/>
                <w:szCs w:val="21"/>
              </w:rPr>
            </w:pPr>
            <w:r>
              <w:rPr>
                <w:rFonts w:hint="eastAsia"/>
                <w:szCs w:val="21"/>
              </w:rPr>
              <w:t>1.1</w:t>
            </w:r>
          </w:p>
        </w:tc>
        <w:tc>
          <w:tcPr>
            <w:tcW w:w="993" w:type="dxa"/>
            <w:shd w:val="clear" w:color="auto" w:fill="auto"/>
            <w:vAlign w:val="center"/>
          </w:tcPr>
          <w:p>
            <w:pPr>
              <w:rPr>
                <w:szCs w:val="21"/>
              </w:rPr>
            </w:pPr>
            <w:r>
              <w:rPr>
                <w:rFonts w:hint="eastAsia"/>
                <w:szCs w:val="21"/>
              </w:rPr>
              <w:t>0.1</w:t>
            </w:r>
          </w:p>
        </w:tc>
        <w:tc>
          <w:tcPr>
            <w:tcW w:w="992" w:type="dxa"/>
            <w:shd w:val="clear" w:color="auto" w:fill="auto"/>
            <w:vAlign w:val="center"/>
          </w:tcPr>
          <w:p>
            <w:pPr>
              <w:rPr>
                <w:szCs w:val="21"/>
              </w:rPr>
            </w:pPr>
            <w:r>
              <w:rPr>
                <w:rFonts w:hint="eastAsia"/>
                <w:szCs w:val="21"/>
              </w:rPr>
              <w:t>0.03</w:t>
            </w:r>
          </w:p>
        </w:tc>
        <w:tc>
          <w:tcPr>
            <w:tcW w:w="1135" w:type="dxa"/>
            <w:shd w:val="clear" w:color="auto" w:fill="auto"/>
            <w:vAlign w:val="center"/>
          </w:tcPr>
          <w:p>
            <w:pPr>
              <w:jc w:val="center"/>
              <w:rPr>
                <w:szCs w:val="21"/>
              </w:rPr>
            </w:pPr>
            <w:r>
              <w:rPr>
                <w:szCs w:val="21"/>
              </w:rPr>
              <w:t>1.23</w:t>
            </w:r>
          </w:p>
        </w:tc>
        <w:tc>
          <w:tcPr>
            <w:tcW w:w="1133" w:type="dxa"/>
            <w:shd w:val="clear" w:color="auto" w:fill="auto"/>
            <w:vAlign w:val="center"/>
          </w:tcPr>
          <w:p>
            <w:pPr>
              <w:jc w:val="center"/>
            </w:pPr>
            <w:r>
              <w:rPr>
                <w:rFonts w:hint="eastAsia"/>
              </w:rPr>
              <w:t>9.96</w:t>
            </w:r>
          </w:p>
        </w:tc>
        <w:tc>
          <w:tcPr>
            <w:tcW w:w="1133" w:type="dxa"/>
            <w:shd w:val="clear" w:color="auto" w:fill="auto"/>
            <w:vAlign w:val="bottom"/>
          </w:tcPr>
          <w:p>
            <w:pPr>
              <w:jc w:val="center"/>
            </w:pPr>
            <w:r>
              <w:rPr>
                <w:rFonts w:hint="eastAsia"/>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1.8245</w:t>
            </w:r>
          </w:p>
        </w:tc>
        <w:tc>
          <w:tcPr>
            <w:tcW w:w="899" w:type="dxa"/>
            <w:shd w:val="clear" w:color="auto" w:fill="auto"/>
            <w:vAlign w:val="center"/>
          </w:tcPr>
          <w:p>
            <w:pPr>
              <w:rPr>
                <w:szCs w:val="21"/>
              </w:rPr>
            </w:pPr>
            <w:r>
              <w:rPr>
                <w:rFonts w:hint="eastAsia"/>
                <w:szCs w:val="21"/>
              </w:rPr>
              <w:t>0.00602</w:t>
            </w:r>
          </w:p>
        </w:tc>
        <w:tc>
          <w:tcPr>
            <w:tcW w:w="806" w:type="dxa"/>
            <w:shd w:val="clear" w:color="auto" w:fill="auto"/>
            <w:vAlign w:val="center"/>
          </w:tcPr>
          <w:p>
            <w:pPr>
              <w:rPr>
                <w:szCs w:val="21"/>
              </w:rPr>
            </w:pPr>
            <w:r>
              <w:rPr>
                <w:rFonts w:hint="eastAsia"/>
                <w:szCs w:val="21"/>
              </w:rPr>
              <w:t>0.1767</w:t>
            </w:r>
          </w:p>
        </w:tc>
        <w:tc>
          <w:tcPr>
            <w:tcW w:w="850" w:type="dxa"/>
            <w:shd w:val="clear" w:color="auto" w:fill="auto"/>
            <w:vAlign w:val="center"/>
          </w:tcPr>
          <w:p>
            <w:pPr>
              <w:jc w:val="center"/>
              <w:rPr>
                <w:sz w:val="24"/>
              </w:rPr>
            </w:pPr>
            <w:r>
              <w:rPr>
                <w:rFonts w:hint="eastAsia"/>
              </w:rPr>
              <w:t>10.01</w:t>
            </w:r>
          </w:p>
        </w:tc>
        <w:tc>
          <w:tcPr>
            <w:tcW w:w="992" w:type="dxa"/>
            <w:shd w:val="clear" w:color="auto" w:fill="auto"/>
            <w:vAlign w:val="center"/>
          </w:tcPr>
          <w:p>
            <w:pPr>
              <w:rPr>
                <w:rFonts w:ascii="宋体" w:hAnsi="宋体" w:cs="宋体"/>
                <w:szCs w:val="21"/>
              </w:rPr>
            </w:pPr>
            <w:r>
              <w:rPr>
                <w:rFonts w:hint="eastAsia"/>
                <w:szCs w:val="21"/>
              </w:rPr>
              <w:t>1.51</w:t>
            </w:r>
          </w:p>
        </w:tc>
        <w:tc>
          <w:tcPr>
            <w:tcW w:w="993" w:type="dxa"/>
            <w:shd w:val="clear" w:color="auto" w:fill="auto"/>
            <w:vAlign w:val="center"/>
          </w:tcPr>
          <w:p>
            <w:pPr>
              <w:rPr>
                <w:szCs w:val="21"/>
              </w:rPr>
            </w:pPr>
            <w:r>
              <w:rPr>
                <w:rFonts w:hint="eastAsia"/>
                <w:szCs w:val="21"/>
              </w:rPr>
              <w:t>0.04</w:t>
            </w:r>
          </w:p>
        </w:tc>
        <w:tc>
          <w:tcPr>
            <w:tcW w:w="992" w:type="dxa"/>
            <w:shd w:val="clear" w:color="auto" w:fill="auto"/>
            <w:vAlign w:val="center"/>
          </w:tcPr>
          <w:p>
            <w:pPr>
              <w:rPr>
                <w:szCs w:val="21"/>
              </w:rPr>
            </w:pPr>
            <w:r>
              <w:rPr>
                <w:rFonts w:hint="eastAsia"/>
                <w:szCs w:val="21"/>
              </w:rPr>
              <w:t>0.11</w:t>
            </w:r>
          </w:p>
        </w:tc>
        <w:tc>
          <w:tcPr>
            <w:tcW w:w="1135" w:type="dxa"/>
            <w:shd w:val="clear" w:color="auto" w:fill="auto"/>
            <w:vAlign w:val="center"/>
          </w:tcPr>
          <w:p>
            <w:pPr>
              <w:jc w:val="center"/>
              <w:rPr>
                <w:szCs w:val="21"/>
              </w:rPr>
            </w:pPr>
            <w:r>
              <w:rPr>
                <w:szCs w:val="21"/>
              </w:rPr>
              <w:t>1.66</w:t>
            </w:r>
          </w:p>
        </w:tc>
        <w:tc>
          <w:tcPr>
            <w:tcW w:w="1133" w:type="dxa"/>
            <w:shd w:val="clear" w:color="auto" w:fill="auto"/>
            <w:vAlign w:val="center"/>
          </w:tcPr>
          <w:p>
            <w:pPr>
              <w:jc w:val="center"/>
            </w:pPr>
            <w:r>
              <w:rPr>
                <w:rFonts w:hint="eastAsia"/>
              </w:rPr>
              <w:t>10.03</w:t>
            </w:r>
          </w:p>
        </w:tc>
        <w:tc>
          <w:tcPr>
            <w:tcW w:w="1133" w:type="dxa"/>
            <w:shd w:val="clear" w:color="auto" w:fill="auto"/>
            <w:vAlign w:val="bottom"/>
          </w:tcPr>
          <w:p>
            <w:pPr>
              <w:jc w:val="center"/>
            </w:pPr>
            <w:r>
              <w:rPr>
                <w:rFonts w:hint="eastAsia"/>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1.8</w:t>
            </w:r>
            <w:r>
              <w:rPr>
                <w:szCs w:val="21"/>
              </w:rPr>
              <w:t>000</w:t>
            </w:r>
          </w:p>
        </w:tc>
        <w:tc>
          <w:tcPr>
            <w:tcW w:w="899" w:type="dxa"/>
            <w:shd w:val="clear" w:color="auto" w:fill="auto"/>
            <w:vAlign w:val="center"/>
          </w:tcPr>
          <w:p>
            <w:pPr>
              <w:rPr>
                <w:szCs w:val="21"/>
              </w:rPr>
            </w:pPr>
            <w:r>
              <w:rPr>
                <w:rFonts w:hint="eastAsia"/>
                <w:szCs w:val="21"/>
              </w:rPr>
              <w:t>0.00594</w:t>
            </w:r>
          </w:p>
        </w:tc>
        <w:tc>
          <w:tcPr>
            <w:tcW w:w="806" w:type="dxa"/>
            <w:shd w:val="clear" w:color="auto" w:fill="auto"/>
            <w:vAlign w:val="center"/>
          </w:tcPr>
          <w:p>
            <w:pPr>
              <w:rPr>
                <w:szCs w:val="21"/>
              </w:rPr>
            </w:pPr>
            <w:r>
              <w:rPr>
                <w:rFonts w:hint="eastAsia"/>
                <w:szCs w:val="21"/>
              </w:rPr>
              <w:t>0.1708</w:t>
            </w:r>
          </w:p>
        </w:tc>
        <w:tc>
          <w:tcPr>
            <w:tcW w:w="850" w:type="dxa"/>
            <w:shd w:val="clear" w:color="auto" w:fill="auto"/>
            <w:vAlign w:val="center"/>
          </w:tcPr>
          <w:p>
            <w:pPr>
              <w:jc w:val="center"/>
              <w:rPr>
                <w:sz w:val="24"/>
              </w:rPr>
            </w:pPr>
            <w:r>
              <w:rPr>
                <w:rFonts w:hint="eastAsia"/>
              </w:rPr>
              <w:t>9.82</w:t>
            </w:r>
          </w:p>
        </w:tc>
        <w:tc>
          <w:tcPr>
            <w:tcW w:w="992" w:type="dxa"/>
            <w:shd w:val="clear" w:color="auto" w:fill="auto"/>
            <w:vAlign w:val="center"/>
          </w:tcPr>
          <w:p>
            <w:pPr>
              <w:rPr>
                <w:rFonts w:ascii="宋体" w:hAnsi="宋体" w:cs="宋体"/>
                <w:szCs w:val="21"/>
              </w:rPr>
            </w:pPr>
            <w:r>
              <w:rPr>
                <w:rFonts w:hint="eastAsia"/>
                <w:szCs w:val="21"/>
              </w:rPr>
              <w:t>0.41</w:t>
            </w:r>
          </w:p>
        </w:tc>
        <w:tc>
          <w:tcPr>
            <w:tcW w:w="993" w:type="dxa"/>
            <w:shd w:val="clear" w:color="auto" w:fill="auto"/>
            <w:vAlign w:val="center"/>
          </w:tcPr>
          <w:p>
            <w:pPr>
              <w:rPr>
                <w:szCs w:val="21"/>
              </w:rPr>
            </w:pPr>
            <w:r>
              <w:rPr>
                <w:rFonts w:hint="eastAsia"/>
                <w:szCs w:val="21"/>
              </w:rPr>
              <w:t>0.05</w:t>
            </w:r>
          </w:p>
        </w:tc>
        <w:tc>
          <w:tcPr>
            <w:tcW w:w="992" w:type="dxa"/>
            <w:shd w:val="clear" w:color="auto" w:fill="auto"/>
            <w:vAlign w:val="center"/>
          </w:tcPr>
          <w:p>
            <w:pPr>
              <w:rPr>
                <w:szCs w:val="21"/>
              </w:rPr>
            </w:pPr>
            <w:r>
              <w:rPr>
                <w:rFonts w:hint="eastAsia"/>
                <w:szCs w:val="21"/>
              </w:rPr>
              <w:t>0.06</w:t>
            </w:r>
          </w:p>
        </w:tc>
        <w:tc>
          <w:tcPr>
            <w:tcW w:w="1135" w:type="dxa"/>
            <w:shd w:val="clear" w:color="auto" w:fill="auto"/>
            <w:vAlign w:val="center"/>
          </w:tcPr>
          <w:p>
            <w:pPr>
              <w:jc w:val="center"/>
              <w:rPr>
                <w:szCs w:val="21"/>
              </w:rPr>
            </w:pPr>
            <w:r>
              <w:rPr>
                <w:szCs w:val="21"/>
              </w:rPr>
              <w:t>0.52</w:t>
            </w:r>
          </w:p>
        </w:tc>
        <w:tc>
          <w:tcPr>
            <w:tcW w:w="1133" w:type="dxa"/>
            <w:shd w:val="clear" w:color="auto" w:fill="auto"/>
            <w:vAlign w:val="center"/>
          </w:tcPr>
          <w:p>
            <w:pPr>
              <w:jc w:val="center"/>
            </w:pPr>
            <w:r>
              <w:rPr>
                <w:rFonts w:hint="eastAsia"/>
              </w:rPr>
              <w:t>9.95</w:t>
            </w:r>
          </w:p>
        </w:tc>
        <w:tc>
          <w:tcPr>
            <w:tcW w:w="1133" w:type="dxa"/>
            <w:shd w:val="clear" w:color="auto" w:fill="auto"/>
            <w:vAlign w:val="bottom"/>
          </w:tcPr>
          <w:p>
            <w:pPr>
              <w:jc w:val="center"/>
            </w:pPr>
            <w:r>
              <w:rPr>
                <w:rFonts w:hint="eastAsi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1.8064</w:t>
            </w:r>
          </w:p>
        </w:tc>
        <w:tc>
          <w:tcPr>
            <w:tcW w:w="899" w:type="dxa"/>
            <w:shd w:val="clear" w:color="auto" w:fill="auto"/>
            <w:vAlign w:val="center"/>
          </w:tcPr>
          <w:p>
            <w:pPr>
              <w:rPr>
                <w:szCs w:val="21"/>
              </w:rPr>
            </w:pPr>
            <w:r>
              <w:rPr>
                <w:rFonts w:hint="eastAsia"/>
                <w:szCs w:val="21"/>
              </w:rPr>
              <w:t>0.00596</w:t>
            </w:r>
          </w:p>
        </w:tc>
        <w:tc>
          <w:tcPr>
            <w:tcW w:w="806" w:type="dxa"/>
            <w:shd w:val="clear" w:color="auto" w:fill="auto"/>
            <w:vAlign w:val="center"/>
          </w:tcPr>
          <w:p>
            <w:pPr>
              <w:rPr>
                <w:szCs w:val="21"/>
              </w:rPr>
            </w:pPr>
            <w:r>
              <w:rPr>
                <w:rFonts w:hint="eastAsia"/>
                <w:szCs w:val="21"/>
              </w:rPr>
              <w:t>0.1746</w:t>
            </w:r>
          </w:p>
        </w:tc>
        <w:tc>
          <w:tcPr>
            <w:tcW w:w="850" w:type="dxa"/>
            <w:shd w:val="clear" w:color="auto" w:fill="auto"/>
            <w:vAlign w:val="center"/>
          </w:tcPr>
          <w:p>
            <w:pPr>
              <w:jc w:val="center"/>
              <w:rPr>
                <w:sz w:val="24"/>
              </w:rPr>
            </w:pPr>
            <w:r>
              <w:rPr>
                <w:rFonts w:hint="eastAsia"/>
              </w:rPr>
              <w:t>10.00</w:t>
            </w:r>
          </w:p>
        </w:tc>
        <w:tc>
          <w:tcPr>
            <w:tcW w:w="992" w:type="dxa"/>
            <w:shd w:val="clear" w:color="auto" w:fill="auto"/>
            <w:vAlign w:val="center"/>
          </w:tcPr>
          <w:p>
            <w:pPr>
              <w:rPr>
                <w:rFonts w:ascii="宋体" w:hAnsi="宋体" w:cs="宋体"/>
                <w:szCs w:val="21"/>
              </w:rPr>
            </w:pPr>
            <w:r>
              <w:rPr>
                <w:rFonts w:hint="eastAsia"/>
                <w:szCs w:val="21"/>
              </w:rPr>
              <w:t>0.36</w:t>
            </w:r>
          </w:p>
        </w:tc>
        <w:tc>
          <w:tcPr>
            <w:tcW w:w="993" w:type="dxa"/>
            <w:shd w:val="clear" w:color="auto" w:fill="auto"/>
            <w:vAlign w:val="center"/>
          </w:tcPr>
          <w:p>
            <w:pPr>
              <w:rPr>
                <w:szCs w:val="21"/>
              </w:rPr>
            </w:pPr>
            <w:r>
              <w:rPr>
                <w:rFonts w:hint="eastAsia"/>
                <w:szCs w:val="21"/>
              </w:rPr>
              <w:t>0.12</w:t>
            </w:r>
          </w:p>
        </w:tc>
        <w:tc>
          <w:tcPr>
            <w:tcW w:w="992" w:type="dxa"/>
            <w:shd w:val="clear" w:color="auto" w:fill="auto"/>
            <w:vAlign w:val="center"/>
          </w:tcPr>
          <w:p>
            <w:pPr>
              <w:rPr>
                <w:szCs w:val="21"/>
              </w:rPr>
            </w:pPr>
            <w:r>
              <w:rPr>
                <w:rFonts w:hint="eastAsia"/>
                <w:szCs w:val="21"/>
              </w:rPr>
              <w:t>0.14</w:t>
            </w:r>
          </w:p>
        </w:tc>
        <w:tc>
          <w:tcPr>
            <w:tcW w:w="1135" w:type="dxa"/>
            <w:shd w:val="clear" w:color="auto" w:fill="auto"/>
            <w:vAlign w:val="center"/>
          </w:tcPr>
          <w:p>
            <w:pPr>
              <w:jc w:val="center"/>
              <w:rPr>
                <w:szCs w:val="21"/>
              </w:rPr>
            </w:pPr>
            <w:r>
              <w:rPr>
                <w:szCs w:val="21"/>
              </w:rPr>
              <w:t>0.62</w:t>
            </w:r>
          </w:p>
        </w:tc>
        <w:tc>
          <w:tcPr>
            <w:tcW w:w="1133" w:type="dxa"/>
            <w:shd w:val="clear" w:color="auto" w:fill="auto"/>
            <w:vAlign w:val="center"/>
          </w:tcPr>
          <w:p>
            <w:pPr>
              <w:jc w:val="center"/>
            </w:pPr>
            <w:r>
              <w:rPr>
                <w:rFonts w:hint="eastAsia"/>
              </w:rPr>
              <w:t>10.03</w:t>
            </w:r>
          </w:p>
        </w:tc>
        <w:tc>
          <w:tcPr>
            <w:tcW w:w="1133" w:type="dxa"/>
            <w:shd w:val="clear" w:color="auto" w:fill="auto"/>
            <w:vAlign w:val="bottom"/>
          </w:tcPr>
          <w:p>
            <w:pPr>
              <w:jc w:val="center"/>
            </w:pPr>
            <w:r>
              <w:rPr>
                <w:rFonts w:hint="eastAsia"/>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1.6358</w:t>
            </w:r>
          </w:p>
        </w:tc>
        <w:tc>
          <w:tcPr>
            <w:tcW w:w="899" w:type="dxa"/>
            <w:shd w:val="clear" w:color="auto" w:fill="auto"/>
            <w:vAlign w:val="center"/>
          </w:tcPr>
          <w:p>
            <w:pPr>
              <w:rPr>
                <w:szCs w:val="21"/>
              </w:rPr>
            </w:pPr>
            <w:r>
              <w:rPr>
                <w:rFonts w:hint="eastAsia"/>
                <w:szCs w:val="21"/>
              </w:rPr>
              <w:t>0.00539</w:t>
            </w:r>
          </w:p>
        </w:tc>
        <w:tc>
          <w:tcPr>
            <w:tcW w:w="806" w:type="dxa"/>
            <w:shd w:val="clear" w:color="auto" w:fill="auto"/>
            <w:vAlign w:val="center"/>
          </w:tcPr>
          <w:p>
            <w:pPr>
              <w:rPr>
                <w:szCs w:val="21"/>
              </w:rPr>
            </w:pPr>
            <w:r>
              <w:rPr>
                <w:rFonts w:hint="eastAsia"/>
                <w:szCs w:val="21"/>
              </w:rPr>
              <w:t>0.321</w:t>
            </w:r>
          </w:p>
        </w:tc>
        <w:tc>
          <w:tcPr>
            <w:tcW w:w="850" w:type="dxa"/>
            <w:shd w:val="clear" w:color="auto" w:fill="auto"/>
            <w:vAlign w:val="center"/>
          </w:tcPr>
          <w:p>
            <w:pPr>
              <w:jc w:val="center"/>
              <w:rPr>
                <w:sz w:val="24"/>
              </w:rPr>
            </w:pPr>
            <w:r>
              <w:rPr>
                <w:rFonts w:hint="eastAsia"/>
              </w:rPr>
              <w:t>19.95</w:t>
            </w:r>
          </w:p>
        </w:tc>
        <w:tc>
          <w:tcPr>
            <w:tcW w:w="992" w:type="dxa"/>
            <w:shd w:val="clear" w:color="auto" w:fill="auto"/>
            <w:vAlign w:val="center"/>
          </w:tcPr>
          <w:p>
            <w:pPr>
              <w:rPr>
                <w:rFonts w:ascii="宋体" w:hAnsi="宋体" w:cs="宋体"/>
                <w:szCs w:val="21"/>
              </w:rPr>
            </w:pPr>
            <w:r>
              <w:rPr>
                <w:rFonts w:hint="eastAsia"/>
                <w:szCs w:val="21"/>
              </w:rPr>
              <w:t>0.37</w:t>
            </w:r>
          </w:p>
        </w:tc>
        <w:tc>
          <w:tcPr>
            <w:tcW w:w="993" w:type="dxa"/>
            <w:shd w:val="clear" w:color="auto" w:fill="auto"/>
            <w:vAlign w:val="center"/>
          </w:tcPr>
          <w:p>
            <w:pPr>
              <w:rPr>
                <w:szCs w:val="21"/>
              </w:rPr>
            </w:pPr>
            <w:r>
              <w:rPr>
                <w:rFonts w:hint="eastAsia"/>
                <w:szCs w:val="21"/>
              </w:rPr>
              <w:t>0.05</w:t>
            </w:r>
          </w:p>
        </w:tc>
        <w:tc>
          <w:tcPr>
            <w:tcW w:w="992" w:type="dxa"/>
            <w:shd w:val="clear" w:color="auto" w:fill="auto"/>
            <w:vAlign w:val="center"/>
          </w:tcPr>
          <w:p>
            <w:pPr>
              <w:rPr>
                <w:szCs w:val="21"/>
              </w:rPr>
            </w:pPr>
            <w:r>
              <w:rPr>
                <w:rFonts w:hint="eastAsia"/>
                <w:szCs w:val="21"/>
              </w:rPr>
              <w:t>0.17</w:t>
            </w:r>
          </w:p>
        </w:tc>
        <w:tc>
          <w:tcPr>
            <w:tcW w:w="1135" w:type="dxa"/>
            <w:shd w:val="clear" w:color="auto" w:fill="auto"/>
            <w:vAlign w:val="center"/>
          </w:tcPr>
          <w:p>
            <w:pPr>
              <w:jc w:val="center"/>
              <w:rPr>
                <w:szCs w:val="21"/>
              </w:rPr>
            </w:pPr>
            <w:r>
              <w:rPr>
                <w:szCs w:val="21"/>
              </w:rPr>
              <w:t>0.59</w:t>
            </w:r>
          </w:p>
        </w:tc>
        <w:tc>
          <w:tcPr>
            <w:tcW w:w="1133" w:type="dxa"/>
            <w:shd w:val="clear" w:color="auto" w:fill="auto"/>
            <w:vAlign w:val="center"/>
          </w:tcPr>
          <w:p>
            <w:pPr>
              <w:jc w:val="center"/>
            </w:pPr>
            <w:r>
              <w:rPr>
                <w:rFonts w:hint="eastAsia"/>
              </w:rPr>
              <w:t>19.98</w:t>
            </w:r>
          </w:p>
        </w:tc>
        <w:tc>
          <w:tcPr>
            <w:tcW w:w="1133" w:type="dxa"/>
            <w:shd w:val="clear" w:color="auto" w:fill="auto"/>
            <w:vAlign w:val="bottom"/>
          </w:tcPr>
          <w:p>
            <w:pPr>
              <w:jc w:val="center"/>
            </w:pPr>
            <w:r>
              <w:rPr>
                <w:rFonts w:hint="eastAsi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1.6998</w:t>
            </w:r>
          </w:p>
        </w:tc>
        <w:tc>
          <w:tcPr>
            <w:tcW w:w="899" w:type="dxa"/>
            <w:shd w:val="clear" w:color="auto" w:fill="auto"/>
            <w:vAlign w:val="center"/>
          </w:tcPr>
          <w:p>
            <w:pPr>
              <w:rPr>
                <w:szCs w:val="21"/>
              </w:rPr>
            </w:pPr>
            <w:r>
              <w:rPr>
                <w:rFonts w:hint="eastAsia"/>
                <w:szCs w:val="21"/>
              </w:rPr>
              <w:t>0.00560</w:t>
            </w:r>
          </w:p>
        </w:tc>
        <w:tc>
          <w:tcPr>
            <w:tcW w:w="806" w:type="dxa"/>
            <w:shd w:val="clear" w:color="auto" w:fill="auto"/>
            <w:vAlign w:val="center"/>
          </w:tcPr>
          <w:p>
            <w:pPr>
              <w:rPr>
                <w:szCs w:val="21"/>
              </w:rPr>
            </w:pPr>
            <w:r>
              <w:rPr>
                <w:rFonts w:hint="eastAsia"/>
                <w:szCs w:val="21"/>
              </w:rPr>
              <w:t>0.3225</w:t>
            </w:r>
          </w:p>
        </w:tc>
        <w:tc>
          <w:tcPr>
            <w:tcW w:w="850" w:type="dxa"/>
            <w:shd w:val="clear" w:color="auto" w:fill="auto"/>
            <w:vAlign w:val="center"/>
          </w:tcPr>
          <w:p>
            <w:pPr>
              <w:jc w:val="center"/>
              <w:rPr>
                <w:sz w:val="24"/>
              </w:rPr>
            </w:pPr>
            <w:r>
              <w:rPr>
                <w:rFonts w:hint="eastAsia"/>
              </w:rPr>
              <w:t>19.30</w:t>
            </w:r>
          </w:p>
        </w:tc>
        <w:tc>
          <w:tcPr>
            <w:tcW w:w="992" w:type="dxa"/>
            <w:shd w:val="clear" w:color="auto" w:fill="auto"/>
            <w:vAlign w:val="center"/>
          </w:tcPr>
          <w:p>
            <w:pPr>
              <w:rPr>
                <w:rFonts w:ascii="宋体" w:hAnsi="宋体" w:cs="宋体"/>
                <w:szCs w:val="21"/>
              </w:rPr>
            </w:pPr>
            <w:r>
              <w:rPr>
                <w:rFonts w:hint="eastAsia"/>
                <w:szCs w:val="21"/>
              </w:rPr>
              <w:t>0.65</w:t>
            </w:r>
          </w:p>
        </w:tc>
        <w:tc>
          <w:tcPr>
            <w:tcW w:w="993" w:type="dxa"/>
            <w:shd w:val="clear" w:color="auto" w:fill="auto"/>
            <w:vAlign w:val="center"/>
          </w:tcPr>
          <w:p>
            <w:pPr>
              <w:rPr>
                <w:szCs w:val="21"/>
              </w:rPr>
            </w:pPr>
            <w:r>
              <w:rPr>
                <w:rFonts w:hint="eastAsia"/>
                <w:szCs w:val="21"/>
              </w:rPr>
              <w:t>0.11</w:t>
            </w:r>
          </w:p>
        </w:tc>
        <w:tc>
          <w:tcPr>
            <w:tcW w:w="992" w:type="dxa"/>
            <w:shd w:val="clear" w:color="auto" w:fill="auto"/>
            <w:vAlign w:val="center"/>
          </w:tcPr>
          <w:p>
            <w:pPr>
              <w:rPr>
                <w:szCs w:val="21"/>
              </w:rPr>
            </w:pPr>
            <w:r>
              <w:rPr>
                <w:rFonts w:hint="eastAsia"/>
                <w:szCs w:val="21"/>
              </w:rPr>
              <w:t>0.06</w:t>
            </w:r>
          </w:p>
        </w:tc>
        <w:tc>
          <w:tcPr>
            <w:tcW w:w="1135" w:type="dxa"/>
            <w:shd w:val="clear" w:color="auto" w:fill="auto"/>
            <w:vAlign w:val="center"/>
          </w:tcPr>
          <w:p>
            <w:pPr>
              <w:jc w:val="center"/>
              <w:rPr>
                <w:szCs w:val="21"/>
              </w:rPr>
            </w:pPr>
            <w:r>
              <w:rPr>
                <w:szCs w:val="21"/>
              </w:rPr>
              <w:t>0.82</w:t>
            </w:r>
          </w:p>
        </w:tc>
        <w:tc>
          <w:tcPr>
            <w:tcW w:w="1133" w:type="dxa"/>
            <w:shd w:val="clear" w:color="auto" w:fill="auto"/>
            <w:vAlign w:val="center"/>
          </w:tcPr>
          <w:p>
            <w:pPr>
              <w:jc w:val="center"/>
            </w:pPr>
            <w:r>
              <w:rPr>
                <w:rFonts w:hint="eastAsia"/>
              </w:rPr>
              <w:t>19.42</w:t>
            </w:r>
          </w:p>
        </w:tc>
        <w:tc>
          <w:tcPr>
            <w:tcW w:w="1133" w:type="dxa"/>
            <w:shd w:val="clear" w:color="auto" w:fill="auto"/>
            <w:vAlign w:val="bottom"/>
          </w:tcPr>
          <w:p>
            <w:pPr>
              <w:jc w:val="center"/>
            </w:pPr>
            <w:r>
              <w:rPr>
                <w:rFonts w:hint="eastAsia"/>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1.7023</w:t>
            </w:r>
          </w:p>
        </w:tc>
        <w:tc>
          <w:tcPr>
            <w:tcW w:w="899" w:type="dxa"/>
            <w:shd w:val="clear" w:color="auto" w:fill="auto"/>
            <w:vAlign w:val="center"/>
          </w:tcPr>
          <w:p>
            <w:pPr>
              <w:rPr>
                <w:szCs w:val="21"/>
              </w:rPr>
            </w:pPr>
            <w:r>
              <w:rPr>
                <w:rFonts w:hint="eastAsia"/>
                <w:szCs w:val="21"/>
              </w:rPr>
              <w:t>0.00561</w:t>
            </w:r>
          </w:p>
        </w:tc>
        <w:tc>
          <w:tcPr>
            <w:tcW w:w="806" w:type="dxa"/>
            <w:shd w:val="clear" w:color="auto" w:fill="auto"/>
            <w:vAlign w:val="center"/>
          </w:tcPr>
          <w:p>
            <w:pPr>
              <w:rPr>
                <w:szCs w:val="21"/>
              </w:rPr>
            </w:pPr>
            <w:r>
              <w:rPr>
                <w:rFonts w:hint="eastAsia"/>
                <w:szCs w:val="21"/>
              </w:rPr>
              <w:t>0.3369</w:t>
            </w:r>
          </w:p>
        </w:tc>
        <w:tc>
          <w:tcPr>
            <w:tcW w:w="850" w:type="dxa"/>
            <w:shd w:val="clear" w:color="auto" w:fill="auto"/>
            <w:vAlign w:val="center"/>
          </w:tcPr>
          <w:p>
            <w:pPr>
              <w:jc w:val="center"/>
              <w:rPr>
                <w:sz w:val="24"/>
              </w:rPr>
            </w:pPr>
            <w:r>
              <w:rPr>
                <w:rFonts w:hint="eastAsia"/>
              </w:rPr>
              <w:t>20.12</w:t>
            </w:r>
          </w:p>
        </w:tc>
        <w:tc>
          <w:tcPr>
            <w:tcW w:w="992" w:type="dxa"/>
            <w:shd w:val="clear" w:color="auto" w:fill="auto"/>
            <w:vAlign w:val="center"/>
          </w:tcPr>
          <w:p>
            <w:pPr>
              <w:rPr>
                <w:rFonts w:ascii="宋体" w:hAnsi="宋体" w:cs="宋体"/>
                <w:szCs w:val="21"/>
              </w:rPr>
            </w:pPr>
            <w:r>
              <w:rPr>
                <w:rFonts w:hint="eastAsia"/>
                <w:szCs w:val="21"/>
              </w:rPr>
              <w:t>1.02</w:t>
            </w:r>
          </w:p>
        </w:tc>
        <w:tc>
          <w:tcPr>
            <w:tcW w:w="993" w:type="dxa"/>
            <w:shd w:val="clear" w:color="auto" w:fill="auto"/>
            <w:vAlign w:val="center"/>
          </w:tcPr>
          <w:p>
            <w:pPr>
              <w:rPr>
                <w:szCs w:val="21"/>
              </w:rPr>
            </w:pPr>
            <w:r>
              <w:rPr>
                <w:rFonts w:hint="eastAsia"/>
                <w:szCs w:val="21"/>
              </w:rPr>
              <w:t>0.06</w:t>
            </w:r>
          </w:p>
        </w:tc>
        <w:tc>
          <w:tcPr>
            <w:tcW w:w="992" w:type="dxa"/>
            <w:shd w:val="clear" w:color="auto" w:fill="auto"/>
            <w:vAlign w:val="center"/>
          </w:tcPr>
          <w:p>
            <w:pPr>
              <w:rPr>
                <w:szCs w:val="21"/>
              </w:rPr>
            </w:pPr>
            <w:r>
              <w:rPr>
                <w:rFonts w:hint="eastAsia"/>
                <w:szCs w:val="21"/>
              </w:rPr>
              <w:t>0.05</w:t>
            </w:r>
          </w:p>
        </w:tc>
        <w:tc>
          <w:tcPr>
            <w:tcW w:w="1135" w:type="dxa"/>
            <w:shd w:val="clear" w:color="auto" w:fill="auto"/>
            <w:vAlign w:val="center"/>
          </w:tcPr>
          <w:p>
            <w:pPr>
              <w:jc w:val="center"/>
              <w:rPr>
                <w:szCs w:val="21"/>
              </w:rPr>
            </w:pPr>
            <w:r>
              <w:rPr>
                <w:szCs w:val="21"/>
              </w:rPr>
              <w:t>1.13</w:t>
            </w:r>
          </w:p>
        </w:tc>
        <w:tc>
          <w:tcPr>
            <w:tcW w:w="1133" w:type="dxa"/>
            <w:shd w:val="clear" w:color="auto" w:fill="auto"/>
            <w:vAlign w:val="center"/>
          </w:tcPr>
          <w:p>
            <w:pPr>
              <w:jc w:val="center"/>
            </w:pPr>
            <w:r>
              <w:rPr>
                <w:rFonts w:hint="eastAsia"/>
              </w:rPr>
              <w:t>20.10</w:t>
            </w:r>
          </w:p>
        </w:tc>
        <w:tc>
          <w:tcPr>
            <w:tcW w:w="1133" w:type="dxa"/>
            <w:shd w:val="clear" w:color="auto" w:fill="auto"/>
            <w:vAlign w:val="bottom"/>
          </w:tcPr>
          <w:p>
            <w:pPr>
              <w:jc w:val="center"/>
            </w:pPr>
            <w:r>
              <w:rPr>
                <w:rFonts w:hint="eastAsia"/>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1.6009</w:t>
            </w:r>
          </w:p>
        </w:tc>
        <w:tc>
          <w:tcPr>
            <w:tcW w:w="899" w:type="dxa"/>
            <w:shd w:val="clear" w:color="auto" w:fill="auto"/>
            <w:vAlign w:val="center"/>
          </w:tcPr>
          <w:p>
            <w:pPr>
              <w:rPr>
                <w:szCs w:val="21"/>
              </w:rPr>
            </w:pPr>
            <w:r>
              <w:rPr>
                <w:rFonts w:hint="eastAsia"/>
                <w:szCs w:val="21"/>
              </w:rPr>
              <w:t>0.00528</w:t>
            </w:r>
          </w:p>
        </w:tc>
        <w:tc>
          <w:tcPr>
            <w:tcW w:w="806" w:type="dxa"/>
            <w:shd w:val="clear" w:color="auto" w:fill="auto"/>
            <w:vAlign w:val="center"/>
          </w:tcPr>
          <w:p>
            <w:pPr>
              <w:rPr>
                <w:szCs w:val="21"/>
              </w:rPr>
            </w:pPr>
            <w:r>
              <w:rPr>
                <w:rFonts w:hint="eastAsia"/>
                <w:szCs w:val="21"/>
              </w:rPr>
              <w:t>0.3264</w:t>
            </w:r>
          </w:p>
        </w:tc>
        <w:tc>
          <w:tcPr>
            <w:tcW w:w="850" w:type="dxa"/>
            <w:shd w:val="clear" w:color="auto" w:fill="auto"/>
            <w:vAlign w:val="center"/>
          </w:tcPr>
          <w:p>
            <w:pPr>
              <w:jc w:val="center"/>
              <w:rPr>
                <w:sz w:val="24"/>
              </w:rPr>
            </w:pPr>
            <w:r>
              <w:rPr>
                <w:rFonts w:hint="eastAsia"/>
              </w:rPr>
              <w:t>20.72</w:t>
            </w:r>
          </w:p>
        </w:tc>
        <w:tc>
          <w:tcPr>
            <w:tcW w:w="992" w:type="dxa"/>
            <w:shd w:val="clear" w:color="auto" w:fill="auto"/>
            <w:vAlign w:val="center"/>
          </w:tcPr>
          <w:p>
            <w:pPr>
              <w:rPr>
                <w:rFonts w:ascii="宋体" w:hAnsi="宋体" w:cs="宋体"/>
                <w:szCs w:val="21"/>
              </w:rPr>
            </w:pPr>
            <w:r>
              <w:rPr>
                <w:rFonts w:hint="eastAsia"/>
                <w:szCs w:val="21"/>
              </w:rPr>
              <w:t>0.25</w:t>
            </w:r>
          </w:p>
        </w:tc>
        <w:tc>
          <w:tcPr>
            <w:tcW w:w="993" w:type="dxa"/>
            <w:shd w:val="clear" w:color="auto" w:fill="auto"/>
            <w:vAlign w:val="center"/>
          </w:tcPr>
          <w:p>
            <w:pPr>
              <w:rPr>
                <w:szCs w:val="21"/>
              </w:rPr>
            </w:pPr>
            <w:r>
              <w:rPr>
                <w:rFonts w:hint="eastAsia"/>
                <w:szCs w:val="21"/>
              </w:rPr>
              <w:t>0.02</w:t>
            </w:r>
          </w:p>
        </w:tc>
        <w:tc>
          <w:tcPr>
            <w:tcW w:w="992" w:type="dxa"/>
            <w:shd w:val="clear" w:color="auto" w:fill="auto"/>
            <w:vAlign w:val="center"/>
          </w:tcPr>
          <w:p>
            <w:pPr>
              <w:rPr>
                <w:szCs w:val="21"/>
              </w:rPr>
            </w:pPr>
            <w:r>
              <w:rPr>
                <w:rFonts w:hint="eastAsia"/>
                <w:szCs w:val="21"/>
              </w:rPr>
              <w:t>0.18</w:t>
            </w:r>
          </w:p>
        </w:tc>
        <w:tc>
          <w:tcPr>
            <w:tcW w:w="1135" w:type="dxa"/>
            <w:shd w:val="clear" w:color="auto" w:fill="auto"/>
            <w:vAlign w:val="center"/>
          </w:tcPr>
          <w:p>
            <w:pPr>
              <w:jc w:val="center"/>
              <w:rPr>
                <w:szCs w:val="21"/>
              </w:rPr>
            </w:pPr>
            <w:r>
              <w:rPr>
                <w:szCs w:val="21"/>
              </w:rPr>
              <w:t>0.45</w:t>
            </w:r>
          </w:p>
        </w:tc>
        <w:tc>
          <w:tcPr>
            <w:tcW w:w="1133" w:type="dxa"/>
            <w:shd w:val="clear" w:color="auto" w:fill="auto"/>
            <w:vAlign w:val="center"/>
          </w:tcPr>
          <w:p>
            <w:pPr>
              <w:jc w:val="center"/>
            </w:pPr>
            <w:r>
              <w:rPr>
                <w:rFonts w:hint="eastAsia"/>
              </w:rPr>
              <w:t>20.69</w:t>
            </w:r>
          </w:p>
        </w:tc>
        <w:tc>
          <w:tcPr>
            <w:tcW w:w="1133" w:type="dxa"/>
            <w:shd w:val="clear" w:color="auto" w:fill="auto"/>
            <w:vAlign w:val="bottom"/>
          </w:tcPr>
          <w:p>
            <w:pPr>
              <w:jc w:val="center"/>
            </w:pPr>
            <w:r>
              <w:rPr>
                <w:rFonts w:hint="eastAsi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1.6892</w:t>
            </w:r>
          </w:p>
        </w:tc>
        <w:tc>
          <w:tcPr>
            <w:tcW w:w="899" w:type="dxa"/>
            <w:shd w:val="clear" w:color="auto" w:fill="auto"/>
            <w:vAlign w:val="center"/>
          </w:tcPr>
          <w:p>
            <w:pPr>
              <w:rPr>
                <w:szCs w:val="21"/>
              </w:rPr>
            </w:pPr>
            <w:r>
              <w:rPr>
                <w:rFonts w:hint="eastAsia"/>
                <w:szCs w:val="21"/>
              </w:rPr>
              <w:t>0.00557</w:t>
            </w:r>
          </w:p>
        </w:tc>
        <w:tc>
          <w:tcPr>
            <w:tcW w:w="806" w:type="dxa"/>
            <w:shd w:val="clear" w:color="auto" w:fill="auto"/>
            <w:vAlign w:val="center"/>
          </w:tcPr>
          <w:p>
            <w:pPr>
              <w:rPr>
                <w:szCs w:val="21"/>
              </w:rPr>
            </w:pPr>
            <w:r>
              <w:rPr>
                <w:rFonts w:hint="eastAsia"/>
                <w:szCs w:val="21"/>
              </w:rPr>
              <w:t>0.3199</w:t>
            </w:r>
          </w:p>
        </w:tc>
        <w:tc>
          <w:tcPr>
            <w:tcW w:w="850" w:type="dxa"/>
            <w:shd w:val="clear" w:color="auto" w:fill="auto"/>
            <w:vAlign w:val="center"/>
          </w:tcPr>
          <w:p>
            <w:pPr>
              <w:jc w:val="center"/>
              <w:rPr>
                <w:sz w:val="24"/>
              </w:rPr>
            </w:pPr>
            <w:r>
              <w:rPr>
                <w:rFonts w:hint="eastAsia"/>
              </w:rPr>
              <w:t>19.27</w:t>
            </w:r>
          </w:p>
        </w:tc>
        <w:tc>
          <w:tcPr>
            <w:tcW w:w="992" w:type="dxa"/>
            <w:shd w:val="clear" w:color="auto" w:fill="auto"/>
            <w:vAlign w:val="center"/>
          </w:tcPr>
          <w:p>
            <w:pPr>
              <w:rPr>
                <w:rFonts w:ascii="宋体" w:hAnsi="宋体" w:cs="宋体"/>
                <w:szCs w:val="21"/>
              </w:rPr>
            </w:pPr>
            <w:r>
              <w:rPr>
                <w:rFonts w:hint="eastAsia"/>
                <w:szCs w:val="21"/>
              </w:rPr>
              <w:t>0.09</w:t>
            </w:r>
          </w:p>
        </w:tc>
        <w:tc>
          <w:tcPr>
            <w:tcW w:w="993" w:type="dxa"/>
            <w:shd w:val="clear" w:color="auto" w:fill="auto"/>
            <w:vAlign w:val="center"/>
          </w:tcPr>
          <w:p>
            <w:pPr>
              <w:rPr>
                <w:szCs w:val="21"/>
              </w:rPr>
            </w:pPr>
            <w:r>
              <w:rPr>
                <w:rFonts w:hint="eastAsia"/>
                <w:szCs w:val="21"/>
              </w:rPr>
              <w:t>0.03</w:t>
            </w:r>
          </w:p>
        </w:tc>
        <w:tc>
          <w:tcPr>
            <w:tcW w:w="992" w:type="dxa"/>
            <w:shd w:val="clear" w:color="auto" w:fill="auto"/>
            <w:vAlign w:val="center"/>
          </w:tcPr>
          <w:p>
            <w:pPr>
              <w:rPr>
                <w:szCs w:val="21"/>
              </w:rPr>
            </w:pPr>
            <w:r>
              <w:rPr>
                <w:rFonts w:hint="eastAsia"/>
                <w:szCs w:val="21"/>
              </w:rPr>
              <w:t>0.15</w:t>
            </w:r>
          </w:p>
        </w:tc>
        <w:tc>
          <w:tcPr>
            <w:tcW w:w="1135" w:type="dxa"/>
            <w:shd w:val="clear" w:color="auto" w:fill="auto"/>
            <w:vAlign w:val="center"/>
          </w:tcPr>
          <w:p>
            <w:pPr>
              <w:jc w:val="center"/>
              <w:rPr>
                <w:szCs w:val="21"/>
              </w:rPr>
            </w:pPr>
            <w:r>
              <w:rPr>
                <w:szCs w:val="21"/>
              </w:rPr>
              <w:t>0.27</w:t>
            </w:r>
          </w:p>
        </w:tc>
        <w:tc>
          <w:tcPr>
            <w:tcW w:w="1133" w:type="dxa"/>
            <w:shd w:val="clear" w:color="auto" w:fill="auto"/>
            <w:vAlign w:val="center"/>
          </w:tcPr>
          <w:p>
            <w:pPr>
              <w:jc w:val="center"/>
            </w:pPr>
            <w:r>
              <w:rPr>
                <w:rFonts w:hint="eastAsia"/>
              </w:rPr>
              <w:t>19.31</w:t>
            </w:r>
          </w:p>
        </w:tc>
        <w:tc>
          <w:tcPr>
            <w:tcW w:w="1133" w:type="dxa"/>
            <w:shd w:val="clear" w:color="auto" w:fill="auto"/>
            <w:vAlign w:val="bottom"/>
          </w:tcPr>
          <w:p>
            <w:pPr>
              <w:jc w:val="center"/>
            </w:pPr>
            <w:r>
              <w:rPr>
                <w:rFonts w:hint="eastAsi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1.6557</w:t>
            </w:r>
          </w:p>
        </w:tc>
        <w:tc>
          <w:tcPr>
            <w:tcW w:w="899" w:type="dxa"/>
            <w:shd w:val="clear" w:color="auto" w:fill="auto"/>
            <w:vAlign w:val="center"/>
          </w:tcPr>
          <w:p>
            <w:pPr>
              <w:rPr>
                <w:szCs w:val="21"/>
              </w:rPr>
            </w:pPr>
            <w:r>
              <w:rPr>
                <w:rFonts w:hint="eastAsia"/>
                <w:szCs w:val="21"/>
              </w:rPr>
              <w:t>0.00546</w:t>
            </w:r>
          </w:p>
        </w:tc>
        <w:tc>
          <w:tcPr>
            <w:tcW w:w="806" w:type="dxa"/>
            <w:shd w:val="clear" w:color="auto" w:fill="auto"/>
            <w:vAlign w:val="center"/>
          </w:tcPr>
          <w:p>
            <w:pPr>
              <w:rPr>
                <w:szCs w:val="21"/>
              </w:rPr>
            </w:pPr>
            <w:r>
              <w:rPr>
                <w:rFonts w:hint="eastAsia"/>
                <w:szCs w:val="21"/>
              </w:rPr>
              <w:t>0.3187</w:t>
            </w:r>
          </w:p>
        </w:tc>
        <w:tc>
          <w:tcPr>
            <w:tcW w:w="850" w:type="dxa"/>
            <w:shd w:val="clear" w:color="auto" w:fill="auto"/>
            <w:vAlign w:val="center"/>
          </w:tcPr>
          <w:p>
            <w:pPr>
              <w:jc w:val="center"/>
              <w:rPr>
                <w:sz w:val="24"/>
              </w:rPr>
            </w:pPr>
            <w:r>
              <w:rPr>
                <w:rFonts w:hint="eastAsia"/>
              </w:rPr>
              <w:t>19.58</w:t>
            </w:r>
          </w:p>
        </w:tc>
        <w:tc>
          <w:tcPr>
            <w:tcW w:w="992" w:type="dxa"/>
            <w:shd w:val="clear" w:color="auto" w:fill="auto"/>
            <w:vAlign w:val="center"/>
          </w:tcPr>
          <w:p>
            <w:pPr>
              <w:rPr>
                <w:rFonts w:ascii="宋体" w:hAnsi="宋体" w:cs="宋体"/>
                <w:szCs w:val="21"/>
              </w:rPr>
            </w:pPr>
            <w:r>
              <w:rPr>
                <w:rFonts w:hint="eastAsia"/>
                <w:szCs w:val="21"/>
              </w:rPr>
              <w:t>1.04</w:t>
            </w:r>
          </w:p>
        </w:tc>
        <w:tc>
          <w:tcPr>
            <w:tcW w:w="993" w:type="dxa"/>
            <w:shd w:val="clear" w:color="auto" w:fill="auto"/>
            <w:vAlign w:val="center"/>
          </w:tcPr>
          <w:p>
            <w:pPr>
              <w:rPr>
                <w:szCs w:val="21"/>
              </w:rPr>
            </w:pPr>
            <w:r>
              <w:rPr>
                <w:rFonts w:hint="eastAsia"/>
                <w:szCs w:val="21"/>
              </w:rPr>
              <w:t>0.1</w:t>
            </w:r>
          </w:p>
        </w:tc>
        <w:tc>
          <w:tcPr>
            <w:tcW w:w="992" w:type="dxa"/>
            <w:shd w:val="clear" w:color="auto" w:fill="auto"/>
            <w:vAlign w:val="center"/>
          </w:tcPr>
          <w:p>
            <w:pPr>
              <w:rPr>
                <w:szCs w:val="21"/>
              </w:rPr>
            </w:pPr>
            <w:r>
              <w:rPr>
                <w:rFonts w:hint="eastAsia"/>
                <w:szCs w:val="21"/>
              </w:rPr>
              <w:t>0.16</w:t>
            </w:r>
          </w:p>
        </w:tc>
        <w:tc>
          <w:tcPr>
            <w:tcW w:w="1135" w:type="dxa"/>
            <w:shd w:val="clear" w:color="auto" w:fill="auto"/>
            <w:vAlign w:val="center"/>
          </w:tcPr>
          <w:p>
            <w:pPr>
              <w:jc w:val="center"/>
              <w:rPr>
                <w:szCs w:val="21"/>
              </w:rPr>
            </w:pPr>
            <w:r>
              <w:rPr>
                <w:szCs w:val="21"/>
              </w:rPr>
              <w:t>1.3</w:t>
            </w:r>
          </w:p>
        </w:tc>
        <w:tc>
          <w:tcPr>
            <w:tcW w:w="1133" w:type="dxa"/>
            <w:shd w:val="clear" w:color="auto" w:fill="auto"/>
            <w:vAlign w:val="center"/>
          </w:tcPr>
          <w:p>
            <w:pPr>
              <w:jc w:val="center"/>
            </w:pPr>
            <w:r>
              <w:rPr>
                <w:rFonts w:hint="eastAsia"/>
              </w:rPr>
              <w:t>19.60</w:t>
            </w:r>
          </w:p>
        </w:tc>
        <w:tc>
          <w:tcPr>
            <w:tcW w:w="1133" w:type="dxa"/>
            <w:shd w:val="clear" w:color="auto" w:fill="auto"/>
            <w:vAlign w:val="bottom"/>
          </w:tcPr>
          <w:p>
            <w:pPr>
              <w:jc w:val="center"/>
            </w:pPr>
            <w:r>
              <w:rPr>
                <w:rFonts w:hint="eastAsia"/>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7" w:type="dxa"/>
            <w:shd w:val="clear" w:color="auto" w:fill="auto"/>
            <w:vAlign w:val="center"/>
          </w:tcPr>
          <w:p>
            <w:pPr>
              <w:rPr>
                <w:szCs w:val="21"/>
              </w:rPr>
            </w:pPr>
            <w:r>
              <w:rPr>
                <w:rFonts w:hint="eastAsia"/>
                <w:szCs w:val="21"/>
              </w:rPr>
              <w:t>1.6824</w:t>
            </w:r>
          </w:p>
        </w:tc>
        <w:tc>
          <w:tcPr>
            <w:tcW w:w="899" w:type="dxa"/>
            <w:shd w:val="clear" w:color="auto" w:fill="auto"/>
            <w:vAlign w:val="center"/>
          </w:tcPr>
          <w:p>
            <w:pPr>
              <w:rPr>
                <w:szCs w:val="21"/>
              </w:rPr>
            </w:pPr>
            <w:r>
              <w:rPr>
                <w:rFonts w:hint="eastAsia"/>
                <w:szCs w:val="21"/>
              </w:rPr>
              <w:t>0.00555</w:t>
            </w:r>
          </w:p>
        </w:tc>
        <w:tc>
          <w:tcPr>
            <w:tcW w:w="806" w:type="dxa"/>
            <w:shd w:val="clear" w:color="auto" w:fill="auto"/>
            <w:vAlign w:val="center"/>
          </w:tcPr>
          <w:p>
            <w:pPr>
              <w:rPr>
                <w:szCs w:val="21"/>
              </w:rPr>
            </w:pPr>
            <w:r>
              <w:rPr>
                <w:rFonts w:hint="eastAsia"/>
                <w:szCs w:val="21"/>
              </w:rPr>
              <w:t>0.3203</w:t>
            </w:r>
          </w:p>
        </w:tc>
        <w:tc>
          <w:tcPr>
            <w:tcW w:w="850" w:type="dxa"/>
            <w:shd w:val="clear" w:color="auto" w:fill="auto"/>
            <w:vAlign w:val="center"/>
          </w:tcPr>
          <w:p>
            <w:pPr>
              <w:jc w:val="center"/>
              <w:rPr>
                <w:sz w:val="24"/>
              </w:rPr>
            </w:pPr>
            <w:r>
              <w:rPr>
                <w:rFonts w:hint="eastAsia"/>
              </w:rPr>
              <w:t>19.37</w:t>
            </w:r>
          </w:p>
        </w:tc>
        <w:tc>
          <w:tcPr>
            <w:tcW w:w="992" w:type="dxa"/>
            <w:shd w:val="clear" w:color="auto" w:fill="auto"/>
            <w:vAlign w:val="center"/>
          </w:tcPr>
          <w:p>
            <w:pPr>
              <w:rPr>
                <w:rFonts w:ascii="宋体" w:hAnsi="宋体" w:cs="宋体"/>
                <w:szCs w:val="21"/>
              </w:rPr>
            </w:pPr>
            <w:r>
              <w:rPr>
                <w:rFonts w:hint="eastAsia"/>
                <w:szCs w:val="21"/>
              </w:rPr>
              <w:t>0.33</w:t>
            </w:r>
          </w:p>
        </w:tc>
        <w:tc>
          <w:tcPr>
            <w:tcW w:w="993" w:type="dxa"/>
            <w:shd w:val="clear" w:color="auto" w:fill="auto"/>
            <w:vAlign w:val="center"/>
          </w:tcPr>
          <w:p>
            <w:pPr>
              <w:rPr>
                <w:szCs w:val="21"/>
              </w:rPr>
            </w:pPr>
            <w:r>
              <w:rPr>
                <w:rFonts w:hint="eastAsia"/>
                <w:szCs w:val="21"/>
              </w:rPr>
              <w:t>0.09</w:t>
            </w:r>
          </w:p>
        </w:tc>
        <w:tc>
          <w:tcPr>
            <w:tcW w:w="992" w:type="dxa"/>
            <w:shd w:val="clear" w:color="auto" w:fill="auto"/>
            <w:vAlign w:val="center"/>
          </w:tcPr>
          <w:p>
            <w:pPr>
              <w:rPr>
                <w:szCs w:val="21"/>
              </w:rPr>
            </w:pPr>
            <w:r>
              <w:rPr>
                <w:rFonts w:hint="eastAsia"/>
                <w:szCs w:val="21"/>
              </w:rPr>
              <w:t>0.23</w:t>
            </w:r>
          </w:p>
        </w:tc>
        <w:tc>
          <w:tcPr>
            <w:tcW w:w="1135" w:type="dxa"/>
            <w:shd w:val="clear" w:color="auto" w:fill="auto"/>
            <w:vAlign w:val="center"/>
          </w:tcPr>
          <w:p>
            <w:pPr>
              <w:jc w:val="center"/>
              <w:rPr>
                <w:szCs w:val="21"/>
              </w:rPr>
            </w:pPr>
            <w:r>
              <w:rPr>
                <w:szCs w:val="21"/>
              </w:rPr>
              <w:t>0.65</w:t>
            </w:r>
          </w:p>
        </w:tc>
        <w:tc>
          <w:tcPr>
            <w:tcW w:w="1133" w:type="dxa"/>
            <w:shd w:val="clear" w:color="auto" w:fill="auto"/>
            <w:vAlign w:val="center"/>
          </w:tcPr>
          <w:p>
            <w:pPr>
              <w:jc w:val="center"/>
            </w:pPr>
            <w:r>
              <w:rPr>
                <w:rFonts w:hint="eastAsia"/>
              </w:rPr>
              <w:t>19.39</w:t>
            </w:r>
          </w:p>
        </w:tc>
        <w:tc>
          <w:tcPr>
            <w:tcW w:w="1133" w:type="dxa"/>
            <w:shd w:val="clear" w:color="auto" w:fill="auto"/>
            <w:vAlign w:val="bottom"/>
          </w:tcPr>
          <w:p>
            <w:pPr>
              <w:jc w:val="center"/>
            </w:pPr>
            <w:r>
              <w:rPr>
                <w:rFonts w:hint="eastAsia"/>
              </w:rPr>
              <w:t>0.02</w:t>
            </w:r>
          </w:p>
        </w:tc>
      </w:tr>
    </w:tbl>
    <w:p>
      <w:pPr>
        <w:adjustRightInd w:val="0"/>
        <w:spacing w:line="360" w:lineRule="auto"/>
        <w:rPr>
          <w:rFonts w:ascii="宋体" w:hAnsi="宋体" w:cs="宋体"/>
          <w:szCs w:val="21"/>
        </w:rPr>
      </w:pPr>
    </w:p>
    <w:p>
      <w:pPr>
        <w:adjustRightInd w:val="0"/>
        <w:spacing w:line="360" w:lineRule="auto"/>
        <w:rPr>
          <w:rFonts w:ascii="宋体" w:hAnsi="宋体" w:cs="宋体"/>
          <w:szCs w:val="21"/>
        </w:rPr>
      </w:pPr>
      <w:r>
        <w:rPr>
          <w:rFonts w:hint="eastAsia" w:ascii="宋体" w:hAnsi="宋体" w:cs="宋体"/>
          <w:szCs w:val="21"/>
        </w:rPr>
        <w:t>2.2.8.2从上表7可知当样品中含有1.8%的银、0.02</w:t>
      </w:r>
      <w:r>
        <w:rPr>
          <w:rFonts w:ascii="宋体" w:hAnsi="宋体" w:cs="宋体"/>
          <w:szCs w:val="21"/>
        </w:rPr>
        <w:t>2</w:t>
      </w:r>
      <w:r>
        <w:rPr>
          <w:rFonts w:hint="eastAsia" w:ascii="宋体" w:hAnsi="宋体" w:cs="宋体"/>
          <w:szCs w:val="21"/>
        </w:rPr>
        <w:t>%的金、0.02</w:t>
      </w:r>
      <w:r>
        <w:rPr>
          <w:rFonts w:ascii="宋体" w:hAnsi="宋体" w:cs="宋体"/>
          <w:szCs w:val="21"/>
        </w:rPr>
        <w:t>2</w:t>
      </w:r>
      <w:r>
        <w:rPr>
          <w:rFonts w:hint="eastAsia" w:ascii="宋体" w:hAnsi="宋体" w:cs="宋体"/>
          <w:szCs w:val="21"/>
        </w:rPr>
        <w:t>%的钯含量时，使用该方法进行碲量的测定，碲沉淀物中共沉淀的金、银、钯对碲的检测结果的影响基本上为不大于0.02%，考虑碲在滤纸和滤液的残留，可以不考虑碲沉淀物中共沉淀的金、银、钯杂质对碲检测结果的影响。</w:t>
      </w:r>
    </w:p>
    <w:p>
      <w:pPr>
        <w:adjustRightInd w:val="0"/>
        <w:spacing w:line="360" w:lineRule="auto"/>
        <w:rPr>
          <w:rFonts w:ascii="宋体" w:hAnsi="宋体" w:cs="宋体"/>
          <w:b/>
          <w:szCs w:val="21"/>
        </w:rPr>
      </w:pPr>
      <w:r>
        <w:rPr>
          <w:rFonts w:ascii="宋体" w:hAnsi="宋体" w:cs="宋体"/>
          <w:b/>
          <w:szCs w:val="21"/>
        </w:rPr>
        <w:t>2.2.9 主体元素硒</w:t>
      </w:r>
      <w:r>
        <w:rPr>
          <w:rFonts w:hint="eastAsia" w:ascii="宋体" w:hAnsi="宋体" w:cs="宋体"/>
          <w:b/>
          <w:szCs w:val="21"/>
        </w:rPr>
        <w:t>及其他杂质</w:t>
      </w:r>
      <w:r>
        <w:rPr>
          <w:rFonts w:ascii="宋体" w:hAnsi="宋体" w:cs="宋体"/>
          <w:b/>
          <w:szCs w:val="21"/>
        </w:rPr>
        <w:t>在碲的重量法测试碲含量的影响</w:t>
      </w:r>
    </w:p>
    <w:p>
      <w:pPr>
        <w:adjustRightInd w:val="0"/>
        <w:spacing w:line="360" w:lineRule="auto"/>
        <w:rPr>
          <w:rFonts w:ascii="宋体" w:hAnsi="宋体" w:cs="宋体"/>
          <w:szCs w:val="21"/>
        </w:rPr>
      </w:pPr>
      <w:r>
        <w:rPr>
          <w:rFonts w:hint="eastAsia" w:ascii="宋体" w:hAnsi="宋体" w:cs="宋体"/>
          <w:szCs w:val="21"/>
        </w:rPr>
        <w:t>2.2.9.1 测试的样品主体是硒，所以要考察碲沉淀物中硒残留的问题，在以上2.2.3</w:t>
      </w:r>
      <w:r>
        <w:rPr>
          <w:rFonts w:ascii="宋体" w:hAnsi="宋体" w:cs="宋体"/>
          <w:szCs w:val="21"/>
        </w:rPr>
        <w:t>.2已有硒残留对碲重量法检测结果的影响统计和分析</w:t>
      </w:r>
      <w:r>
        <w:rPr>
          <w:rFonts w:hint="eastAsia" w:ascii="宋体" w:hAnsi="宋体" w:cs="宋体"/>
          <w:szCs w:val="21"/>
        </w:rPr>
        <w:t>，</w:t>
      </w:r>
      <w:r>
        <w:rPr>
          <w:rFonts w:ascii="宋体" w:hAnsi="宋体" w:cs="宋体"/>
          <w:szCs w:val="21"/>
        </w:rPr>
        <w:t>因为没有被还原沉淀分离的硒可以基本全部在还原沉淀碲的时候被沉淀下来</w:t>
      </w:r>
      <w:r>
        <w:rPr>
          <w:rFonts w:hint="eastAsia" w:ascii="宋体" w:hAnsi="宋体" w:cs="宋体"/>
          <w:szCs w:val="21"/>
        </w:rPr>
        <w:t>，在2.2.3.2 中按照文本标准的方法，影响不大于0.02%。</w:t>
      </w:r>
    </w:p>
    <w:p>
      <w:pPr>
        <w:adjustRightInd w:val="0"/>
        <w:spacing w:line="360" w:lineRule="auto"/>
        <w:rPr>
          <w:rFonts w:ascii="宋体" w:hAnsi="宋体" w:cs="宋体"/>
          <w:szCs w:val="21"/>
        </w:rPr>
      </w:pPr>
      <w:r>
        <w:rPr>
          <w:rFonts w:hint="eastAsia" w:ascii="宋体" w:hAnsi="宋体" w:cs="宋体"/>
          <w:szCs w:val="21"/>
        </w:rPr>
        <w:t>2.2.9.2 在进行以下2.2.13精密度测试时，对所有重复性试验产生的碲沉淀物均进行了硒、锑、铅、汞、铁等共沉淀残留检测，检测方法为:将沉淀物用20毫升王水溶解，定容于200毫升容量瓶中，用ICP-OES检测溶液中的硒、锑、铅、汞、铁的含量，检测结果见下表8</w:t>
      </w:r>
    </w:p>
    <w:p>
      <w:pPr>
        <w:adjustRightInd w:val="0"/>
        <w:spacing w:line="360" w:lineRule="auto"/>
        <w:ind w:firstLine="630" w:firstLineChars="300"/>
        <w:rPr>
          <w:rFonts w:ascii="宋体" w:hAnsi="宋体" w:cs="宋体"/>
          <w:szCs w:val="21"/>
        </w:rPr>
      </w:pPr>
      <w:r>
        <w:rPr>
          <w:rFonts w:ascii="宋体" w:hAnsi="宋体" w:cs="宋体"/>
          <w:szCs w:val="21"/>
        </w:rPr>
        <w:t>表</w:t>
      </w:r>
      <w:r>
        <w:rPr>
          <w:rFonts w:hint="eastAsia" w:ascii="宋体" w:hAnsi="宋体" w:cs="宋体"/>
          <w:szCs w:val="21"/>
        </w:rPr>
        <w:t>8 碲沉淀物溶解溶液中硒、锑、铅、汞、铁的含量（单位：微克/毫升）</w:t>
      </w:r>
    </w:p>
    <w:tbl>
      <w:tblPr>
        <w:tblStyle w:val="2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22"/>
        <w:gridCol w:w="1222"/>
        <w:gridCol w:w="1223"/>
        <w:gridCol w:w="1223"/>
        <w:gridCol w:w="1224"/>
        <w:gridCol w:w="1224"/>
        <w:gridCol w:w="1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样品编号</w:t>
            </w: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检测序号</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硒含量</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锑含量</w:t>
            </w:r>
          </w:p>
        </w:tc>
        <w:tc>
          <w:tcPr>
            <w:tcW w:w="1225"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铅含量</w:t>
            </w:r>
          </w:p>
        </w:tc>
        <w:tc>
          <w:tcPr>
            <w:tcW w:w="1225"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汞含量</w:t>
            </w:r>
          </w:p>
        </w:tc>
        <w:tc>
          <w:tcPr>
            <w:tcW w:w="118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铁含量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restart"/>
            <w:shd w:val="clear" w:color="auto" w:fill="auto"/>
            <w:vAlign w:val="center"/>
          </w:tcPr>
          <w:p>
            <w:pPr>
              <w:adjustRightInd w:val="0"/>
              <w:spacing w:line="360" w:lineRule="auto"/>
              <w:ind w:firstLine="420" w:firstLineChars="200"/>
              <w:rPr>
                <w:rFonts w:ascii="宋体" w:hAnsi="宋体" w:cs="宋体"/>
                <w:szCs w:val="21"/>
              </w:rPr>
            </w:pPr>
            <w:r>
              <w:rPr>
                <w:rFonts w:hint="eastAsia" w:ascii="宋体" w:hAnsi="宋体" w:cs="宋体"/>
                <w:szCs w:val="21"/>
              </w:rPr>
              <w:t>1</w:t>
            </w: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1</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0.6</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2</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0.2</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3</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0.3</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4</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0.2</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5</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0.1</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6</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0.09</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7</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1.1</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restart"/>
            <w:shd w:val="clear" w:color="auto" w:fill="auto"/>
            <w:vAlign w:val="center"/>
          </w:tcPr>
          <w:p>
            <w:pPr>
              <w:adjustRightInd w:val="0"/>
              <w:spacing w:line="360" w:lineRule="auto"/>
              <w:ind w:firstLine="420" w:firstLineChars="200"/>
              <w:rPr>
                <w:rFonts w:ascii="宋体" w:hAnsi="宋体" w:cs="宋体"/>
                <w:szCs w:val="21"/>
              </w:rPr>
            </w:pPr>
            <w:r>
              <w:rPr>
                <w:rFonts w:hint="eastAsia" w:ascii="宋体" w:hAnsi="宋体" w:cs="宋体"/>
                <w:szCs w:val="21"/>
              </w:rPr>
              <w:t>2</w:t>
            </w: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1</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0.2</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2</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0.3</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3</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w:t>
            </w:r>
            <w:r>
              <w:rPr>
                <w:rFonts w:ascii="宋体" w:hAnsi="宋体" w:cs="宋体"/>
                <w:szCs w:val="21"/>
              </w:rPr>
              <w:t>.3</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4</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0.8</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5</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0.4</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6</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0.2</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7</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0.1</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restart"/>
            <w:shd w:val="clear" w:color="auto" w:fill="auto"/>
            <w:vAlign w:val="center"/>
          </w:tcPr>
          <w:p>
            <w:pPr>
              <w:adjustRightInd w:val="0"/>
              <w:spacing w:line="360" w:lineRule="auto"/>
              <w:ind w:firstLine="420" w:firstLineChars="200"/>
              <w:rPr>
                <w:rFonts w:ascii="宋体" w:hAnsi="宋体" w:cs="宋体"/>
                <w:szCs w:val="21"/>
              </w:rPr>
            </w:pPr>
            <w:r>
              <w:rPr>
                <w:rFonts w:hint="eastAsia" w:ascii="宋体" w:hAnsi="宋体" w:cs="宋体"/>
                <w:szCs w:val="21"/>
              </w:rPr>
              <w:t>3</w:t>
            </w: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1</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0.2</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2</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0.6</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3</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1.0</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4</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1.2</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5</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0.6</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6</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0.2</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7</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0.7</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restart"/>
            <w:shd w:val="clear" w:color="auto" w:fill="auto"/>
            <w:vAlign w:val="center"/>
          </w:tcPr>
          <w:p>
            <w:pPr>
              <w:adjustRightInd w:val="0"/>
              <w:spacing w:line="360" w:lineRule="auto"/>
              <w:ind w:firstLine="420" w:firstLineChars="200"/>
              <w:rPr>
                <w:rFonts w:ascii="宋体" w:hAnsi="宋体" w:cs="宋体"/>
                <w:szCs w:val="21"/>
              </w:rPr>
            </w:pPr>
            <w:r>
              <w:rPr>
                <w:rFonts w:hint="eastAsia" w:ascii="宋体" w:hAnsi="宋体" w:cs="宋体"/>
                <w:szCs w:val="21"/>
              </w:rPr>
              <w:t>4</w:t>
            </w: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1</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0.3</w:t>
            </w:r>
          </w:p>
        </w:tc>
        <w:tc>
          <w:tcPr>
            <w:tcW w:w="1224" w:type="dxa"/>
            <w:shd w:val="clear" w:color="auto" w:fill="auto"/>
            <w:vAlign w:val="center"/>
          </w:tcPr>
          <w:p>
            <w:r>
              <w:rPr>
                <w:rFonts w:ascii="宋体" w:hAnsi="宋体" w:cs="宋体"/>
                <w:szCs w:val="21"/>
              </w:rPr>
              <w:t>0.015</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2</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0.4</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3</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0.6</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4</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0.2</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5</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0.8</w:t>
            </w:r>
          </w:p>
        </w:tc>
        <w:tc>
          <w:tcPr>
            <w:tcW w:w="1224" w:type="dxa"/>
            <w:shd w:val="clear" w:color="auto" w:fill="auto"/>
            <w:vAlign w:val="center"/>
          </w:tcPr>
          <w:p>
            <w:r>
              <w:rPr>
                <w:rFonts w:ascii="宋体" w:hAnsi="宋体" w:cs="宋体"/>
                <w:szCs w:val="21"/>
              </w:rPr>
              <w:t>0.011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6</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0.6</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23" w:type="dxa"/>
            <w:vMerge w:val="continue"/>
            <w:shd w:val="clear" w:color="auto" w:fill="auto"/>
            <w:vAlign w:val="center"/>
          </w:tcPr>
          <w:p>
            <w:pPr>
              <w:adjustRightInd w:val="0"/>
              <w:spacing w:line="360" w:lineRule="auto"/>
              <w:rPr>
                <w:rFonts w:ascii="宋体" w:hAnsi="宋体" w:cs="宋体"/>
                <w:szCs w:val="21"/>
              </w:rPr>
            </w:pPr>
          </w:p>
        </w:tc>
        <w:tc>
          <w:tcPr>
            <w:tcW w:w="1223"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7</w:t>
            </w:r>
          </w:p>
        </w:tc>
        <w:tc>
          <w:tcPr>
            <w:tcW w:w="1224" w:type="dxa"/>
            <w:shd w:val="clear" w:color="auto" w:fill="auto"/>
            <w:vAlign w:val="center"/>
          </w:tcPr>
          <w:p>
            <w:pPr>
              <w:adjustRightInd w:val="0"/>
              <w:spacing w:line="360" w:lineRule="auto"/>
              <w:rPr>
                <w:rFonts w:ascii="宋体" w:hAnsi="宋体" w:cs="宋体"/>
                <w:szCs w:val="21"/>
              </w:rPr>
            </w:pPr>
            <w:r>
              <w:rPr>
                <w:rFonts w:hint="eastAsia" w:ascii="宋体" w:hAnsi="宋体" w:cs="宋体"/>
                <w:szCs w:val="21"/>
              </w:rPr>
              <w:t>0.1</w:t>
            </w:r>
          </w:p>
        </w:tc>
        <w:tc>
          <w:tcPr>
            <w:tcW w:w="1224"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225" w:type="dxa"/>
            <w:shd w:val="clear" w:color="auto" w:fill="auto"/>
            <w:vAlign w:val="center"/>
          </w:tcPr>
          <w:p>
            <w:r>
              <w:rPr>
                <w:rFonts w:hint="eastAsia" w:ascii="宋体" w:hAnsi="宋体" w:cs="宋体"/>
                <w:szCs w:val="21"/>
              </w:rPr>
              <w:t>&lt;0.0</w:t>
            </w:r>
            <w:r>
              <w:rPr>
                <w:rFonts w:ascii="宋体" w:hAnsi="宋体" w:cs="宋体"/>
                <w:szCs w:val="21"/>
              </w:rPr>
              <w:t>1</w:t>
            </w:r>
          </w:p>
        </w:tc>
        <w:tc>
          <w:tcPr>
            <w:tcW w:w="1184" w:type="dxa"/>
            <w:shd w:val="clear" w:color="auto" w:fill="auto"/>
            <w:vAlign w:val="center"/>
          </w:tcPr>
          <w:p>
            <w:r>
              <w:rPr>
                <w:rFonts w:hint="eastAsia" w:ascii="宋体" w:hAnsi="宋体" w:cs="宋体"/>
                <w:szCs w:val="21"/>
              </w:rPr>
              <w:t>&lt;0.0</w:t>
            </w:r>
            <w:r>
              <w:rPr>
                <w:rFonts w:ascii="宋体" w:hAnsi="宋体" w:cs="宋体"/>
                <w:szCs w:val="21"/>
              </w:rPr>
              <w:t>1</w:t>
            </w:r>
          </w:p>
        </w:tc>
      </w:tr>
    </w:tbl>
    <w:p>
      <w:pPr>
        <w:adjustRightInd w:val="0"/>
        <w:spacing w:line="360" w:lineRule="auto"/>
        <w:rPr>
          <w:rFonts w:ascii="宋体" w:hAnsi="宋体" w:cs="宋体"/>
          <w:szCs w:val="21"/>
        </w:rPr>
      </w:pPr>
    </w:p>
    <w:p>
      <w:pPr>
        <w:adjustRightInd w:val="0"/>
        <w:spacing w:line="360" w:lineRule="auto"/>
        <w:rPr>
          <w:rFonts w:ascii="宋体" w:hAnsi="宋体" w:cs="宋体"/>
          <w:szCs w:val="21"/>
        </w:rPr>
      </w:pPr>
      <w:r>
        <w:rPr>
          <w:rFonts w:hint="eastAsia" w:ascii="宋体" w:hAnsi="宋体" w:cs="宋体"/>
          <w:szCs w:val="21"/>
        </w:rPr>
        <w:t>2.2.9.3</w:t>
      </w:r>
      <w:r>
        <w:rPr>
          <w:rFonts w:ascii="宋体" w:hAnsi="宋体" w:cs="宋体"/>
          <w:szCs w:val="21"/>
        </w:rPr>
        <w:t xml:space="preserve"> 从上表</w:t>
      </w:r>
      <w:r>
        <w:rPr>
          <w:rFonts w:hint="eastAsia" w:ascii="宋体" w:hAnsi="宋体" w:cs="宋体"/>
          <w:szCs w:val="21"/>
        </w:rPr>
        <w:t>8可知，在本方法的碲沉淀物中，粗硒样品中的主体元素硒有极少量共沉淀在沉淀物中，但因为含量极低，可和方法中碲残留相抵消不予补正。其他常见杂质如锑、铅、汞、铁均不影响测定。</w:t>
      </w:r>
    </w:p>
    <w:p>
      <w:pPr>
        <w:adjustRightInd w:val="0"/>
        <w:spacing w:line="360" w:lineRule="auto"/>
        <w:rPr>
          <w:rFonts w:ascii="宋体" w:hAnsi="宋体" w:cs="宋体"/>
          <w:b/>
          <w:szCs w:val="21"/>
        </w:rPr>
      </w:pPr>
      <w:r>
        <w:rPr>
          <w:rFonts w:hint="eastAsia" w:ascii="宋体" w:hAnsi="宋体" w:cs="宋体"/>
          <w:b/>
          <w:szCs w:val="21"/>
        </w:rPr>
        <w:t>2.2.10 两次</w:t>
      </w:r>
      <w:r>
        <w:rPr>
          <w:rFonts w:ascii="宋体" w:hAnsi="宋体" w:cs="宋体"/>
          <w:b/>
          <w:szCs w:val="21"/>
        </w:rPr>
        <w:t>沉淀物的</w:t>
      </w:r>
      <w:r>
        <w:rPr>
          <w:rFonts w:hint="eastAsia" w:ascii="宋体" w:hAnsi="宋体" w:cs="宋体"/>
          <w:b/>
          <w:szCs w:val="21"/>
        </w:rPr>
        <w:t>加热方式的影响</w:t>
      </w:r>
    </w:p>
    <w:p>
      <w:pPr>
        <w:adjustRightInd w:val="0"/>
        <w:spacing w:line="360" w:lineRule="auto"/>
        <w:ind w:firstLine="420" w:firstLineChars="200"/>
        <w:rPr>
          <w:rFonts w:hint="eastAsia" w:ascii="宋体" w:hAnsi="宋体" w:cs="宋体"/>
          <w:szCs w:val="21"/>
        </w:rPr>
      </w:pPr>
      <w:r>
        <w:rPr>
          <w:rFonts w:hint="eastAsia" w:ascii="宋体" w:hAnsi="宋体" w:cs="宋体"/>
          <w:szCs w:val="21"/>
        </w:rPr>
        <w:t>在加入盐酸羟胺沉淀硒后，需要低温加热以促进硒的还原和凝聚，在加入亚硫酸和盐酸联铵测定碲后需要低温加热促进碲的还原和凝聚，低温加热方式一般有电热板低温加热和水浴加热两种方式，以上试验均为电热板加热方式，在预审会议后有较多专家建议用水浴加热方式取代以直观控制，取1#、2#、3#、4#样品，每个样品称取平行两份样品，按照以上方法处理样品，除硒沉淀和碲沉淀后的加热方式更改为水浴加热外，其他步骤均按照以上方法进行，用ICP检测硒沉淀后的滤液中的硒含量，用ICP检测经过王水溶解处理后的硒沉淀物中的碲含量，用ICP检测碲沉淀后滤液中的碲含量，用ICP检测用王水溶解后的碲沉淀物中的硫、硒含量，检测结果见下表9：</w:t>
      </w:r>
    </w:p>
    <w:p>
      <w:pPr>
        <w:adjustRightInd w:val="0"/>
        <w:spacing w:line="360" w:lineRule="auto"/>
        <w:rPr>
          <w:rFonts w:hint="eastAsia" w:ascii="宋体" w:hAnsi="宋体" w:cs="宋体"/>
          <w:szCs w:val="21"/>
        </w:rPr>
      </w:pPr>
      <w:r>
        <w:rPr>
          <w:rFonts w:hint="eastAsia" w:ascii="宋体" w:hAnsi="宋体" w:cs="宋体"/>
          <w:szCs w:val="21"/>
        </w:rPr>
        <w:t xml:space="preserve">                     表9 水浴加热后试验情况及碲含量结果</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787"/>
        <w:gridCol w:w="1382"/>
        <w:gridCol w:w="1382"/>
        <w:gridCol w:w="1382"/>
        <w:gridCol w:w="138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p>
          <w:p>
            <w:pPr>
              <w:adjustRightInd w:val="0"/>
              <w:spacing w:line="360" w:lineRule="auto"/>
              <w:rPr>
                <w:rFonts w:hint="eastAsia" w:ascii="宋体" w:hAnsi="宋体" w:cs="宋体"/>
                <w:kern w:val="0"/>
                <w:sz w:val="20"/>
                <w:szCs w:val="21"/>
              </w:rPr>
            </w:pPr>
          </w:p>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样品编号</w:t>
            </w:r>
          </w:p>
        </w:tc>
        <w:tc>
          <w:tcPr>
            <w:tcW w:w="78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p>
          <w:p>
            <w:pPr>
              <w:adjustRightInd w:val="0"/>
              <w:spacing w:line="360" w:lineRule="auto"/>
              <w:rPr>
                <w:rFonts w:hint="eastAsia" w:ascii="宋体" w:hAnsi="宋体" w:cs="宋体"/>
                <w:kern w:val="0"/>
                <w:sz w:val="20"/>
                <w:szCs w:val="21"/>
              </w:rPr>
            </w:pPr>
          </w:p>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次数</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沉淀硒的滤液中硒含量（mg/l）（取1毫滤液加4毫升1+9盐酸）</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硒沉淀物中的碲含量（%）（王水溶解硒沉淀，定容于200毫升容量瓶中）</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沉淀碲后滤液中的的含量（%）（滤液定容于500毫升容量瓶中）</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碲沉淀中硫含量（将碲沉淀王水溶解，定容于100毫升容量瓶中）</w:t>
            </w:r>
          </w:p>
        </w:tc>
        <w:tc>
          <w:tcPr>
            <w:tcW w:w="851"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样品中碲含量（%）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Merge w:val="restart"/>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w:t>
            </w:r>
          </w:p>
        </w:tc>
        <w:tc>
          <w:tcPr>
            <w:tcW w:w="78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0.2</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0.82</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0.51</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1.51</w:t>
            </w:r>
          </w:p>
        </w:tc>
        <w:tc>
          <w:tcPr>
            <w:tcW w:w="851"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78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2</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0.2</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1.53</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0.21</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1.68</w:t>
            </w:r>
          </w:p>
        </w:tc>
        <w:tc>
          <w:tcPr>
            <w:tcW w:w="851"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Merge w:val="restart"/>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2</w:t>
            </w:r>
          </w:p>
        </w:tc>
        <w:tc>
          <w:tcPr>
            <w:tcW w:w="78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0.3</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1.17</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0.12</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1.02</w:t>
            </w:r>
          </w:p>
        </w:tc>
        <w:tc>
          <w:tcPr>
            <w:tcW w:w="851"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78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2</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0.3</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0.62</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0.34</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2.57</w:t>
            </w:r>
          </w:p>
        </w:tc>
        <w:tc>
          <w:tcPr>
            <w:tcW w:w="851"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Merge w:val="restart"/>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3</w:t>
            </w:r>
          </w:p>
        </w:tc>
        <w:tc>
          <w:tcPr>
            <w:tcW w:w="78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0.2</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2.01</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0.22</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0.69</w:t>
            </w:r>
          </w:p>
        </w:tc>
        <w:tc>
          <w:tcPr>
            <w:tcW w:w="851"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78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2</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0.3</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0.91</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0.19</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1.76</w:t>
            </w:r>
          </w:p>
        </w:tc>
        <w:tc>
          <w:tcPr>
            <w:tcW w:w="851"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Merge w:val="restart"/>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4</w:t>
            </w:r>
          </w:p>
        </w:tc>
        <w:tc>
          <w:tcPr>
            <w:tcW w:w="78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0.1</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0.51</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0.35</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0.89</w:t>
            </w:r>
          </w:p>
        </w:tc>
        <w:tc>
          <w:tcPr>
            <w:tcW w:w="851"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787"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2</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0.3</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1.23</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0.27</w:t>
            </w:r>
          </w:p>
        </w:tc>
        <w:tc>
          <w:tcPr>
            <w:tcW w:w="1382"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2.33</w:t>
            </w:r>
          </w:p>
        </w:tc>
        <w:tc>
          <w:tcPr>
            <w:tcW w:w="851" w:type="dxa"/>
            <w:tcBorders>
              <w:top w:val="single" w:color="auto" w:sz="4" w:space="0"/>
              <w:left w:val="single" w:color="auto" w:sz="4" w:space="0"/>
              <w:bottom w:val="single" w:color="auto" w:sz="4" w:space="0"/>
              <w:right w:val="single" w:color="auto" w:sz="4" w:space="0"/>
            </w:tcBorders>
          </w:tcPr>
          <w:p>
            <w:pPr>
              <w:adjustRightInd w:val="0"/>
              <w:spacing w:line="360" w:lineRule="auto"/>
              <w:rPr>
                <w:rFonts w:hint="eastAsia" w:ascii="宋体" w:hAnsi="宋体" w:cs="宋体"/>
                <w:kern w:val="0"/>
                <w:sz w:val="20"/>
                <w:szCs w:val="21"/>
              </w:rPr>
            </w:pPr>
            <w:r>
              <w:rPr>
                <w:rFonts w:hint="eastAsia" w:ascii="宋体" w:hAnsi="宋体" w:cs="宋体"/>
                <w:kern w:val="0"/>
                <w:sz w:val="20"/>
                <w:szCs w:val="21"/>
              </w:rPr>
              <w:t>19.91</w:t>
            </w:r>
          </w:p>
        </w:tc>
      </w:tr>
    </w:tbl>
    <w:p>
      <w:pPr>
        <w:adjustRightInd w:val="0"/>
        <w:spacing w:line="360" w:lineRule="auto"/>
        <w:ind w:firstLine="420" w:firstLineChars="200"/>
        <w:rPr>
          <w:rFonts w:hint="eastAsia" w:ascii="宋体" w:hAnsi="宋体" w:cs="宋体"/>
          <w:szCs w:val="21"/>
        </w:rPr>
      </w:pPr>
      <w:r>
        <w:rPr>
          <w:rFonts w:hint="eastAsia" w:ascii="宋体" w:hAnsi="宋体" w:cs="宋体"/>
          <w:szCs w:val="21"/>
        </w:rPr>
        <w:t>从上表可知，硒沉淀及碲沉淀的加热</w:t>
      </w:r>
      <w:r>
        <w:rPr>
          <w:rFonts w:ascii="宋体" w:hAnsi="宋体" w:cs="宋体"/>
          <w:szCs w:val="21"/>
        </w:rPr>
        <w:t>方式更改</w:t>
      </w:r>
      <w:r>
        <w:rPr>
          <w:rFonts w:hint="eastAsia" w:ascii="宋体" w:hAnsi="宋体" w:cs="宋体"/>
          <w:szCs w:val="21"/>
        </w:rPr>
        <w:t>为水浴加热，和电热板低温加热方式的检测结果和现象一致，但方法的缺点是，需要更多的加热设备。</w:t>
      </w:r>
    </w:p>
    <w:p>
      <w:pPr>
        <w:adjustRightInd w:val="0"/>
        <w:spacing w:line="360" w:lineRule="auto"/>
        <w:rPr>
          <w:rFonts w:hint="eastAsia" w:ascii="宋体" w:hAnsi="宋体" w:cs="宋体"/>
          <w:b/>
          <w:szCs w:val="21"/>
        </w:rPr>
      </w:pPr>
      <w:r>
        <w:rPr>
          <w:rFonts w:hint="eastAsia" w:ascii="宋体" w:hAnsi="宋体" w:cs="宋体"/>
          <w:b/>
          <w:szCs w:val="21"/>
        </w:rPr>
        <w:t>2.2.11加标回收试验</w:t>
      </w:r>
    </w:p>
    <w:p>
      <w:pPr>
        <w:adjustRightInd w:val="0"/>
        <w:spacing w:line="360" w:lineRule="auto"/>
        <w:rPr>
          <w:rFonts w:hint="eastAsia" w:ascii="宋体" w:hAnsi="宋体" w:cs="宋体"/>
          <w:szCs w:val="21"/>
        </w:rPr>
      </w:pPr>
      <w:r>
        <w:rPr>
          <w:rFonts w:hint="eastAsia" w:ascii="宋体" w:hAnsi="宋体" w:cs="宋体"/>
          <w:szCs w:val="21"/>
        </w:rPr>
        <w:t>2.2.11.1 使用含碲量＜0.01%的粗硒，分别加入相应的碲，形成碲含量5%、10%、15%、20%的样品，按照以上1.1方法要求，进行加标回收试验，加标回收试验结果见下表10</w:t>
      </w:r>
    </w:p>
    <w:p>
      <w:pPr>
        <w:adjustRightInd w:val="0"/>
        <w:spacing w:line="360" w:lineRule="auto"/>
        <w:rPr>
          <w:rFonts w:hint="eastAsia" w:ascii="宋体" w:hAnsi="宋体" w:cs="宋体"/>
          <w:szCs w:val="21"/>
        </w:rPr>
      </w:pPr>
      <w:r>
        <w:rPr>
          <w:rFonts w:hint="eastAsia" w:ascii="宋体" w:hAnsi="宋体" w:cs="宋体"/>
          <w:szCs w:val="21"/>
        </w:rPr>
        <w:t xml:space="preserve">                     表10 粗硒加碲的碲含量测试加标回收统计表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4"/>
        <w:gridCol w:w="1705"/>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称取的粗硒质量（g）</w:t>
            </w:r>
          </w:p>
        </w:tc>
        <w:tc>
          <w:tcPr>
            <w:tcW w:w="17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加入的碲量(g)</w:t>
            </w:r>
          </w:p>
        </w:tc>
        <w:tc>
          <w:tcPr>
            <w:tcW w:w="170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碲的理论结果含量（%）</w:t>
            </w:r>
          </w:p>
        </w:tc>
        <w:tc>
          <w:tcPr>
            <w:tcW w:w="170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测定的碲含量（%）</w:t>
            </w:r>
          </w:p>
        </w:tc>
        <w:tc>
          <w:tcPr>
            <w:tcW w:w="1706"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kern w:val="0"/>
                <w:szCs w:val="21"/>
              </w:rPr>
            </w:pPr>
            <w:r>
              <w:rPr>
                <w:szCs w:val="21"/>
              </w:rPr>
              <w:t>1.9021</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0.1023</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sz w:val="24"/>
              </w:rPr>
            </w:pPr>
            <w:r>
              <w:t>5.10</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5.06</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1.9002</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0.1002</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sz w:val="24"/>
              </w:rPr>
            </w:pPr>
            <w:r>
              <w:t>5.01</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5.06</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101.02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1.8026</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0.2007</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sz w:val="24"/>
              </w:rPr>
            </w:pPr>
            <w:r>
              <w:t>10.02</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10.03</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100.12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1.8157</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0.2011</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sz w:val="24"/>
              </w:rPr>
            </w:pPr>
            <w:r>
              <w:t>9.97</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10.02</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100.49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1.7029</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0.3001</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sz w:val="24"/>
              </w:rPr>
            </w:pPr>
            <w:r>
              <w:t>14.98</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14.89</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1.7119</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0.2994</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sz w:val="24"/>
              </w:rPr>
            </w:pPr>
            <w:r>
              <w:t>14.89</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14.96</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100.50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1.6023</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0.4055</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sz w:val="24"/>
              </w:rPr>
            </w:pPr>
            <w:r>
              <w:t>20.20</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20.12</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99.62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1.6008</w:t>
            </w:r>
          </w:p>
        </w:tc>
        <w:tc>
          <w:tcPr>
            <w:tcW w:w="17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0.4012</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rPr>
                <w:sz w:val="24"/>
              </w:rPr>
            </w:pPr>
            <w:r>
              <w:t>20.04</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20.11</w:t>
            </w:r>
          </w:p>
        </w:tc>
        <w:tc>
          <w:tcPr>
            <w:tcW w:w="1706" w:type="dxa"/>
            <w:tcBorders>
              <w:top w:val="single" w:color="auto" w:sz="4" w:space="0"/>
              <w:left w:val="single" w:color="auto" w:sz="4" w:space="0"/>
              <w:bottom w:val="single" w:color="auto" w:sz="4" w:space="0"/>
              <w:right w:val="single" w:color="auto" w:sz="4" w:space="0"/>
            </w:tcBorders>
            <w:vAlign w:val="center"/>
          </w:tcPr>
          <w:p>
            <w:pPr>
              <w:jc w:val="center"/>
            </w:pPr>
            <w:r>
              <w:t>100.35</w:t>
            </w:r>
          </w:p>
        </w:tc>
      </w:tr>
    </w:tbl>
    <w:p>
      <w:pPr>
        <w:adjustRightInd w:val="0"/>
        <w:spacing w:line="360" w:lineRule="auto"/>
        <w:rPr>
          <w:rFonts w:ascii="宋体" w:hAnsi="宋体" w:cs="宋体"/>
          <w:szCs w:val="21"/>
        </w:rPr>
      </w:pPr>
    </w:p>
    <w:p>
      <w:pPr>
        <w:adjustRightInd w:val="0"/>
        <w:spacing w:line="360" w:lineRule="auto"/>
        <w:rPr>
          <w:rFonts w:hint="eastAsia" w:ascii="宋体" w:hAnsi="宋体" w:cs="黑体"/>
          <w:b/>
          <w:szCs w:val="21"/>
        </w:rPr>
      </w:pPr>
      <w:r>
        <w:rPr>
          <w:rFonts w:hint="eastAsia" w:ascii="宋体" w:hAnsi="宋体" w:cs="宋体"/>
          <w:b/>
          <w:color w:val="000000"/>
          <w:kern w:val="0"/>
          <w:szCs w:val="21"/>
        </w:rPr>
        <w:t>2.2.12标准方法的空白试验</w:t>
      </w:r>
    </w:p>
    <w:p>
      <w:pPr>
        <w:adjustRightInd w:val="0"/>
        <w:spacing w:line="360" w:lineRule="auto"/>
        <w:ind w:firstLine="420" w:firstLineChars="200"/>
        <w:rPr>
          <w:rFonts w:hint="eastAsia" w:ascii="宋体" w:hAnsi="宋体" w:cs="黑体"/>
          <w:szCs w:val="21"/>
        </w:rPr>
      </w:pPr>
      <w:r>
        <w:rPr>
          <w:rFonts w:hint="eastAsia" w:ascii="宋体" w:hAnsi="宋体" w:cs="宋体"/>
          <w:color w:val="000000"/>
          <w:kern w:val="0"/>
          <w:szCs w:val="21"/>
        </w:rPr>
        <w:t>本方法使用氧化还原反应沉淀分离硒，使用滤纸过滤溶解不溶物，使用的氧化还原反应沉淀剂均为易溶解和过滤洗涤的常用试剂，结合2.2.7的验证试验情况，可以判断试验无空白残留现象，无需进行空白条件试验。</w:t>
      </w:r>
    </w:p>
    <w:p>
      <w:pPr>
        <w:adjustRightInd w:val="0"/>
        <w:spacing w:line="360" w:lineRule="auto"/>
        <w:rPr>
          <w:rFonts w:hint="eastAsia" w:ascii="宋体" w:hAnsi="宋体" w:cs="宋体"/>
          <w:b/>
          <w:szCs w:val="21"/>
        </w:rPr>
      </w:pPr>
      <w:r>
        <w:rPr>
          <w:rFonts w:hint="eastAsia" w:ascii="宋体" w:hAnsi="宋体" w:cs="宋体"/>
          <w:b/>
          <w:szCs w:val="21"/>
        </w:rPr>
        <w:t>2.2.13 其他检测方法的比对</w:t>
      </w:r>
    </w:p>
    <w:p>
      <w:pPr>
        <w:adjustRightInd w:val="0"/>
        <w:spacing w:line="360" w:lineRule="auto"/>
        <w:rPr>
          <w:rFonts w:hint="eastAsia" w:ascii="宋体" w:hAnsi="宋体" w:cs="宋体"/>
          <w:szCs w:val="21"/>
        </w:rPr>
      </w:pPr>
      <w:r>
        <w:rPr>
          <w:rFonts w:hint="eastAsia" w:ascii="宋体" w:hAnsi="宋体" w:cs="宋体"/>
          <w:szCs w:val="21"/>
        </w:rPr>
        <w:t>2.2.13.1 粗硒的碲含量＞1%时，使用ICP-OES内标法也是检测样品中的碲含量的很好的检测方法，用钇做内标元素使用内标法测定1#、2#、3#、4#样品中碲，同时用硒加纯碲作为受控样品，检测结果见下表11</w:t>
      </w:r>
    </w:p>
    <w:p>
      <w:pPr>
        <w:adjustRightInd w:val="0"/>
        <w:spacing w:line="360" w:lineRule="auto"/>
        <w:rPr>
          <w:rFonts w:hint="eastAsia" w:ascii="宋体" w:hAnsi="宋体" w:cs="宋体"/>
          <w:szCs w:val="21"/>
        </w:rPr>
      </w:pPr>
      <w:r>
        <w:rPr>
          <w:rFonts w:hint="eastAsia" w:ascii="宋体" w:hAnsi="宋体" w:cs="宋体"/>
          <w:szCs w:val="21"/>
        </w:rPr>
        <w:t xml:space="preserve">                          </w:t>
      </w:r>
    </w:p>
    <w:p>
      <w:pPr>
        <w:adjustRightInd w:val="0"/>
        <w:spacing w:line="360" w:lineRule="auto"/>
        <w:ind w:firstLine="2520" w:firstLineChars="1200"/>
        <w:rPr>
          <w:rFonts w:hint="eastAsia" w:ascii="宋体" w:hAnsi="宋体" w:cs="宋体"/>
          <w:szCs w:val="21"/>
        </w:rPr>
      </w:pPr>
      <w:r>
        <w:rPr>
          <w:rFonts w:hint="eastAsia" w:ascii="宋体" w:hAnsi="宋体" w:cs="宋体"/>
          <w:szCs w:val="21"/>
        </w:rPr>
        <w:t xml:space="preserve"> 表11内标法检测结果统计表</w:t>
      </w:r>
    </w:p>
    <w:tbl>
      <w:tblPr>
        <w:tblStyle w:val="23"/>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53"/>
        <w:gridCol w:w="2153"/>
        <w:gridCol w:w="2153"/>
        <w:gridCol w:w="2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trPr>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样品编号</w:t>
            </w: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检测结果（%）</w:t>
            </w: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样品编号</w:t>
            </w:r>
          </w:p>
        </w:tc>
        <w:tc>
          <w:tcPr>
            <w:tcW w:w="215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QC-1(碲量理论值5.51%</w:t>
            </w: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5.55</w:t>
            </w: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QC-3(碲含量理论值13.61%)</w:t>
            </w:r>
          </w:p>
        </w:tc>
        <w:tc>
          <w:tcPr>
            <w:tcW w:w="215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13.71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1#</w:t>
            </w: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4.98</w:t>
            </w:r>
          </w:p>
        </w:tc>
        <w:tc>
          <w:tcPr>
            <w:tcW w:w="21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3#</w:t>
            </w:r>
          </w:p>
        </w:tc>
        <w:tc>
          <w:tcPr>
            <w:tcW w:w="215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14.84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Cs w:val="21"/>
              </w:rPr>
            </w:pP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4.96</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Cs w:val="21"/>
              </w:rPr>
            </w:pPr>
          </w:p>
        </w:tc>
        <w:tc>
          <w:tcPr>
            <w:tcW w:w="215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14.82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Cs w:val="21"/>
              </w:rPr>
            </w:pP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4.97</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Cs w:val="21"/>
              </w:rPr>
            </w:pPr>
          </w:p>
        </w:tc>
        <w:tc>
          <w:tcPr>
            <w:tcW w:w="215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14.88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2#</w:t>
            </w: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9.94</w:t>
            </w:r>
          </w:p>
        </w:tc>
        <w:tc>
          <w:tcPr>
            <w:tcW w:w="2153"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4#</w:t>
            </w:r>
          </w:p>
        </w:tc>
        <w:tc>
          <w:tcPr>
            <w:tcW w:w="215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19.87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Cs w:val="21"/>
              </w:rPr>
            </w:pP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10.04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Cs w:val="21"/>
              </w:rPr>
            </w:pPr>
          </w:p>
        </w:tc>
        <w:tc>
          <w:tcPr>
            <w:tcW w:w="215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19.82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Cs w:val="21"/>
              </w:rPr>
            </w:pP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9.94</w:t>
            </w: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szCs w:val="21"/>
              </w:rPr>
            </w:pPr>
          </w:p>
        </w:tc>
        <w:tc>
          <w:tcPr>
            <w:tcW w:w="215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19.94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QC-2(碲理论值14.41%)</w:t>
            </w: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14.47</w:t>
            </w:r>
          </w:p>
        </w:tc>
        <w:tc>
          <w:tcPr>
            <w:tcW w:w="2153"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QC-4(碲含量理论值20.81%)</w:t>
            </w:r>
          </w:p>
        </w:tc>
        <w:tc>
          <w:tcPr>
            <w:tcW w:w="2154"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center"/>
              <w:rPr>
                <w:rFonts w:hint="eastAsia" w:ascii="宋体" w:hAnsi="宋体" w:cs="宋体"/>
                <w:szCs w:val="21"/>
              </w:rPr>
            </w:pPr>
            <w:r>
              <w:rPr>
                <w:rFonts w:hint="eastAsia" w:ascii="宋体" w:hAnsi="宋体" w:cs="宋体"/>
                <w:szCs w:val="21"/>
              </w:rPr>
              <w:t>20.91</w:t>
            </w:r>
          </w:p>
        </w:tc>
      </w:tr>
    </w:tbl>
    <w:p>
      <w:pPr>
        <w:adjustRightInd w:val="0"/>
        <w:spacing w:line="360" w:lineRule="auto"/>
        <w:jc w:val="center"/>
        <w:rPr>
          <w:rFonts w:hint="eastAsia" w:ascii="宋体" w:hAnsi="宋体" w:cs="宋体"/>
          <w:szCs w:val="21"/>
        </w:rPr>
      </w:pPr>
    </w:p>
    <w:p>
      <w:pPr>
        <w:adjustRightInd w:val="0"/>
        <w:spacing w:line="360" w:lineRule="auto"/>
        <w:rPr>
          <w:rFonts w:hint="eastAsia" w:ascii="宋体" w:hAnsi="宋体" w:cs="宋体"/>
          <w:szCs w:val="21"/>
        </w:rPr>
      </w:pPr>
      <w:r>
        <w:rPr>
          <w:rFonts w:hint="eastAsia" w:ascii="宋体" w:hAnsi="宋体" w:cs="宋体"/>
          <w:szCs w:val="21"/>
        </w:rPr>
        <w:t>2.2.13.2 从上表的样品和受控样的检测结果来看，以上1.1方法和内标法均可检测粗硒中碲的含量，因为内标法需要使用ICP-OES，所以文本确认使用重量法测定样品。</w:t>
      </w:r>
    </w:p>
    <w:p>
      <w:pPr>
        <w:adjustRightInd w:val="0"/>
        <w:spacing w:line="360" w:lineRule="auto"/>
        <w:rPr>
          <w:rFonts w:hint="eastAsia" w:ascii="宋体" w:hAnsi="宋体" w:cs="宋体"/>
          <w:b/>
          <w:szCs w:val="21"/>
        </w:rPr>
      </w:pPr>
      <w:r>
        <w:rPr>
          <w:rFonts w:hint="eastAsia" w:ascii="宋体" w:hAnsi="宋体" w:cs="宋体"/>
          <w:b/>
          <w:szCs w:val="21"/>
        </w:rPr>
        <w:t>2.2.14 精密度试验</w:t>
      </w:r>
    </w:p>
    <w:p>
      <w:pPr>
        <w:adjustRightInd w:val="0"/>
        <w:spacing w:line="360" w:lineRule="auto"/>
        <w:ind w:firstLine="210" w:firstLineChars="100"/>
        <w:rPr>
          <w:rFonts w:hint="eastAsia" w:ascii="宋体" w:hAnsi="宋体" w:cs="宋体"/>
          <w:szCs w:val="21"/>
        </w:rPr>
      </w:pPr>
      <w:r>
        <w:rPr>
          <w:rFonts w:hint="eastAsia" w:ascii="宋体" w:hAnsi="宋体" w:cs="宋体"/>
          <w:szCs w:val="21"/>
        </w:rPr>
        <w:t>按照以上1.1方法要求，对1#、2#、3#、4#样品各进行7次试验，检测结果精密度统计如下表12：</w:t>
      </w:r>
    </w:p>
    <w:p>
      <w:pPr>
        <w:adjustRightInd w:val="0"/>
        <w:spacing w:line="360" w:lineRule="auto"/>
        <w:rPr>
          <w:rFonts w:hint="eastAsia" w:ascii="宋体" w:hAnsi="宋体" w:cs="宋体"/>
          <w:szCs w:val="21"/>
        </w:rPr>
      </w:pPr>
      <w:r>
        <w:rPr>
          <w:rFonts w:hint="eastAsia" w:ascii="宋体" w:hAnsi="宋体" w:cs="宋体"/>
          <w:szCs w:val="21"/>
        </w:rPr>
        <w:t xml:space="preserve">                     表12     1#、2#、3#、4#验证精密度统计表            </w:t>
      </w:r>
    </w:p>
    <w:tbl>
      <w:tblPr>
        <w:tblStyle w:val="24"/>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493"/>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62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0"/>
              </w:rPr>
            </w:pPr>
            <w:r>
              <w:rPr>
                <w:rFonts w:hint="eastAsia"/>
                <w:kern w:val="0"/>
                <w:sz w:val="20"/>
              </w:rPr>
              <w:t>样品编号</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color w:val="000000"/>
                <w:kern w:val="0"/>
                <w:sz w:val="20"/>
              </w:rPr>
            </w:pPr>
            <w:r>
              <w:rPr>
                <w:color w:val="000000"/>
                <w:kern w:val="0"/>
                <w:sz w:val="20"/>
              </w:rPr>
              <w:t>1#</w:t>
            </w:r>
          </w:p>
        </w:tc>
        <w:tc>
          <w:tcPr>
            <w:tcW w:w="138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4"/>
              </w:rPr>
            </w:pPr>
            <w:r>
              <w:rPr>
                <w:rFonts w:hint="eastAsia" w:ascii="宋体" w:hAnsi="宋体" w:cs="宋体"/>
                <w:kern w:val="0"/>
                <w:sz w:val="24"/>
              </w:rPr>
              <w:t xml:space="preserve">     2#</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rPr>
            </w:pPr>
            <w:r>
              <w:rPr>
                <w:rFonts w:hint="eastAsia" w:ascii="宋体" w:hAnsi="宋体" w:cs="宋体"/>
                <w:kern w:val="0"/>
                <w:sz w:val="24"/>
              </w:rPr>
              <w:t>3#</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tcBorders>
              <w:top w:val="single" w:color="auto" w:sz="4" w:space="0"/>
              <w:left w:val="single" w:color="auto" w:sz="4" w:space="0"/>
              <w:bottom w:val="single" w:color="auto" w:sz="4" w:space="0"/>
              <w:right w:val="single" w:color="auto" w:sz="4" w:space="0"/>
            </w:tcBorders>
          </w:tcPr>
          <w:p>
            <w:pPr>
              <w:adjustRightInd w:val="0"/>
              <w:spacing w:line="360" w:lineRule="auto"/>
              <w:ind w:firstLine="200" w:firstLineChars="100"/>
              <w:rPr>
                <w:rFonts w:hint="eastAsia" w:ascii="宋体" w:hAnsi="宋体" w:cs="宋体"/>
                <w:kern w:val="0"/>
                <w:sz w:val="20"/>
                <w:szCs w:val="21"/>
              </w:rPr>
            </w:pPr>
          </w:p>
          <w:p>
            <w:pPr>
              <w:adjustRightInd w:val="0"/>
              <w:spacing w:line="360" w:lineRule="auto"/>
              <w:ind w:firstLine="200" w:firstLineChars="100"/>
              <w:rPr>
                <w:rFonts w:hint="eastAsia" w:ascii="宋体" w:hAnsi="宋体" w:cs="宋体"/>
                <w:kern w:val="0"/>
                <w:sz w:val="20"/>
                <w:szCs w:val="21"/>
              </w:rPr>
            </w:pPr>
            <w:r>
              <w:rPr>
                <w:rFonts w:hint="eastAsia" w:ascii="宋体" w:hAnsi="宋体" w:cs="宋体"/>
                <w:kern w:val="0"/>
                <w:sz w:val="20"/>
                <w:szCs w:val="21"/>
              </w:rPr>
              <w:t>检</w:t>
            </w:r>
          </w:p>
          <w:p>
            <w:pPr>
              <w:adjustRightInd w:val="0"/>
              <w:spacing w:line="360" w:lineRule="auto"/>
              <w:ind w:firstLine="200" w:firstLineChars="100"/>
              <w:rPr>
                <w:rFonts w:hint="eastAsia" w:ascii="宋体" w:hAnsi="宋体" w:cs="宋体"/>
                <w:kern w:val="0"/>
                <w:sz w:val="20"/>
                <w:szCs w:val="21"/>
              </w:rPr>
            </w:pPr>
            <w:r>
              <w:rPr>
                <w:rFonts w:hint="eastAsia" w:ascii="宋体" w:hAnsi="宋体" w:cs="宋体"/>
                <w:kern w:val="0"/>
                <w:sz w:val="20"/>
                <w:szCs w:val="21"/>
              </w:rPr>
              <w:t>测</w:t>
            </w:r>
          </w:p>
          <w:p>
            <w:pPr>
              <w:adjustRightInd w:val="0"/>
              <w:spacing w:line="360" w:lineRule="auto"/>
              <w:ind w:firstLine="200" w:firstLineChars="100"/>
              <w:rPr>
                <w:rFonts w:hint="eastAsia" w:ascii="宋体" w:hAnsi="宋体" w:cs="宋体"/>
                <w:kern w:val="0"/>
                <w:sz w:val="20"/>
                <w:szCs w:val="21"/>
              </w:rPr>
            </w:pPr>
            <w:r>
              <w:rPr>
                <w:rFonts w:hint="eastAsia" w:ascii="宋体" w:hAnsi="宋体" w:cs="宋体"/>
                <w:kern w:val="0"/>
                <w:sz w:val="20"/>
                <w:szCs w:val="21"/>
              </w:rPr>
              <w:t>结</w:t>
            </w:r>
          </w:p>
          <w:p>
            <w:pPr>
              <w:adjustRightInd w:val="0"/>
              <w:spacing w:line="360" w:lineRule="auto"/>
              <w:ind w:firstLine="200" w:firstLineChars="100"/>
              <w:rPr>
                <w:rFonts w:hint="eastAsia" w:ascii="宋体" w:hAnsi="宋体" w:cs="宋体"/>
                <w:kern w:val="0"/>
                <w:sz w:val="20"/>
                <w:szCs w:val="21"/>
              </w:rPr>
            </w:pPr>
            <w:r>
              <w:rPr>
                <w:rFonts w:hint="eastAsia" w:ascii="宋体" w:hAnsi="宋体" w:cs="宋体"/>
                <w:kern w:val="0"/>
                <w:sz w:val="20"/>
                <w:szCs w:val="21"/>
              </w:rPr>
              <w:t>果</w:t>
            </w: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r>
              <w:rPr>
                <w:kern w:val="0"/>
                <w:sz w:val="24"/>
              </w:rPr>
              <w:t>1</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szCs w:val="22"/>
              </w:rPr>
            </w:pPr>
            <w:r>
              <w:rPr>
                <w:color w:val="000000"/>
                <w:kern w:val="0"/>
                <w:sz w:val="22"/>
                <w:szCs w:val="22"/>
              </w:rPr>
              <w:t>5.04</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szCs w:val="22"/>
              </w:rPr>
            </w:pPr>
            <w:r>
              <w:rPr>
                <w:color w:val="000000"/>
                <w:kern w:val="0"/>
                <w:sz w:val="22"/>
                <w:szCs w:val="22"/>
              </w:rPr>
              <w:t>9.85</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szCs w:val="22"/>
              </w:rPr>
            </w:pPr>
            <w:r>
              <w:rPr>
                <w:color w:val="000000"/>
                <w:kern w:val="0"/>
                <w:sz w:val="22"/>
                <w:szCs w:val="22"/>
              </w:rPr>
              <w:t>14.83</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szCs w:val="22"/>
              </w:rPr>
            </w:pPr>
            <w:r>
              <w:rPr>
                <w:color w:val="000000"/>
                <w:kern w:val="0"/>
                <w:sz w:val="22"/>
                <w:szCs w:val="22"/>
              </w:rPr>
              <w:t>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2</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5.06</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9.88</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14.76</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3</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5.04</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9.86</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14.82</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4</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5.07</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9.86</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14.82</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5</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5.02</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9.87</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14.89</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6</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5.05</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9.88</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14.86</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kern w:val="0"/>
                <w:sz w:val="24"/>
              </w:rPr>
              <w:t>7</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5.05</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9.92</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14.87</w:t>
            </w:r>
          </w:p>
        </w:tc>
        <w:tc>
          <w:tcPr>
            <w:tcW w:w="1383" w:type="dxa"/>
            <w:tcBorders>
              <w:top w:val="nil"/>
              <w:left w:val="single" w:color="auto" w:sz="4" w:space="0"/>
              <w:bottom w:val="single" w:color="auto" w:sz="4" w:space="0"/>
              <w:right w:val="single" w:color="auto" w:sz="4" w:space="0"/>
            </w:tcBorders>
            <w:vAlign w:val="center"/>
          </w:tcPr>
          <w:p>
            <w:pPr>
              <w:jc w:val="center"/>
              <w:rPr>
                <w:color w:val="000000"/>
                <w:kern w:val="0"/>
                <w:sz w:val="22"/>
                <w:szCs w:val="22"/>
              </w:rPr>
            </w:pPr>
            <w:r>
              <w:rPr>
                <w:color w:val="000000"/>
                <w:kern w:val="0"/>
                <w:sz w:val="22"/>
                <w:szCs w:val="22"/>
              </w:rPr>
              <w:t>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kern w:val="0"/>
                <w:sz w:val="24"/>
              </w:rPr>
            </w:pPr>
            <w:r>
              <w:rPr>
                <w:rFonts w:hint="eastAsia"/>
                <w:kern w:val="0"/>
                <w:sz w:val="24"/>
              </w:rPr>
              <w:t>平均值</w:t>
            </w:r>
            <w:r>
              <w:rPr>
                <w:kern w:val="0"/>
                <w:sz w:val="24"/>
              </w:rPr>
              <w:t>%</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5.05</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9.87</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14.84</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r>
              <w:rPr>
                <w:kern w:val="0"/>
                <w:sz w:val="24"/>
              </w:rPr>
              <w:t>SD%</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rPr>
            </w:pPr>
            <w:r>
              <w:rPr>
                <w:rFonts w:hint="eastAsia" w:ascii="宋体" w:hAnsi="宋体" w:cs="宋体"/>
                <w:color w:val="000000"/>
                <w:kern w:val="0"/>
                <w:sz w:val="24"/>
                <w:lang w:bidi="ar"/>
              </w:rPr>
              <w:t>1.60</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3.28</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4.27</w:t>
            </w:r>
          </w:p>
        </w:tc>
        <w:tc>
          <w:tcPr>
            <w:tcW w:w="13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kern w:val="0"/>
                <w:sz w:val="24"/>
              </w:rPr>
            </w:pPr>
            <w:r>
              <w:rPr>
                <w:rFonts w:hint="eastAsia" w:ascii="宋体" w:hAnsi="宋体" w:cs="宋体"/>
                <w:kern w:val="0"/>
                <w:sz w:val="24"/>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24"/>
              </w:rPr>
            </w:pPr>
            <w:r>
              <w:rPr>
                <w:kern w:val="0"/>
                <w:sz w:val="24"/>
              </w:rPr>
              <w:t>RSD%</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0.32</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rPr>
            </w:pPr>
            <w:r>
              <w:rPr>
                <w:rFonts w:hint="eastAsia" w:ascii="宋体" w:hAnsi="宋体" w:cs="宋体"/>
                <w:kern w:val="0"/>
                <w:sz w:val="24"/>
              </w:rPr>
              <w:t>0.33</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rPr>
            </w:pPr>
            <w:r>
              <w:rPr>
                <w:rFonts w:hint="eastAsia" w:ascii="宋体" w:hAnsi="宋体" w:cs="宋体"/>
                <w:kern w:val="0"/>
                <w:sz w:val="24"/>
              </w:rPr>
              <w:t>0.29</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24"/>
              </w:rPr>
            </w:pPr>
            <w:r>
              <w:rPr>
                <w:rFonts w:hint="eastAsia" w:ascii="宋体" w:hAnsi="宋体" w:cs="宋体"/>
                <w:kern w:val="0"/>
                <w:sz w:val="24"/>
              </w:rPr>
              <w:t>0.27</w:t>
            </w:r>
          </w:p>
        </w:tc>
      </w:tr>
    </w:tbl>
    <w:p>
      <w:pPr>
        <w:adjustRightInd w:val="0"/>
        <w:spacing w:line="360" w:lineRule="auto"/>
        <w:rPr>
          <w:rFonts w:hint="eastAsia" w:ascii="宋体" w:hAnsi="宋体" w:cs="宋体"/>
          <w:szCs w:val="21"/>
        </w:rPr>
      </w:pPr>
    </w:p>
    <w:p>
      <w:pPr>
        <w:adjustRightInd w:val="0"/>
        <w:spacing w:line="360" w:lineRule="auto"/>
        <w:rPr>
          <w:rFonts w:asciiTheme="minorEastAsia" w:hAnsiTheme="minorEastAsia" w:eastAsiaTheme="minorEastAsia"/>
          <w:b/>
          <w:kern w:val="0"/>
          <w:szCs w:val="21"/>
        </w:rPr>
      </w:pPr>
      <w:r>
        <w:rPr>
          <w:rFonts w:hint="eastAsia" w:asciiTheme="minorEastAsia" w:hAnsiTheme="minorEastAsia" w:eastAsiaTheme="minorEastAsia"/>
          <w:b/>
          <w:kern w:val="0"/>
          <w:szCs w:val="21"/>
        </w:rPr>
        <w:t>9 结论</w:t>
      </w:r>
    </w:p>
    <w:p>
      <w:pPr>
        <w:adjustRightInd w:val="0"/>
        <w:spacing w:line="360" w:lineRule="auto"/>
        <w:outlineLvl w:val="0"/>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.1、该</w:t>
      </w:r>
      <w:r>
        <w:rPr>
          <w:rFonts w:asciiTheme="minorEastAsia" w:hAnsiTheme="minorEastAsia" w:eastAsiaTheme="minorEastAsia"/>
          <w:szCs w:val="21"/>
        </w:rPr>
        <w:t>方法是一个创新方法，有一定的创新</w:t>
      </w:r>
      <w:r>
        <w:rPr>
          <w:rFonts w:hint="eastAsia" w:asciiTheme="minorEastAsia" w:hAnsiTheme="minorEastAsia" w:eastAsiaTheme="minorEastAsia"/>
          <w:szCs w:val="21"/>
        </w:rPr>
        <w:t>技术</w:t>
      </w:r>
      <w:r>
        <w:rPr>
          <w:rFonts w:asciiTheme="minorEastAsia" w:hAnsiTheme="minorEastAsia" w:eastAsiaTheme="minorEastAsia"/>
          <w:szCs w:val="21"/>
        </w:rPr>
        <w:t>水平</w:t>
      </w:r>
    </w:p>
    <w:p>
      <w:pPr>
        <w:adjustRightInd w:val="0"/>
        <w:spacing w:line="360" w:lineRule="auto"/>
        <w:outlineLvl w:val="0"/>
        <w:rPr>
          <w:rFonts w:asciiTheme="minorEastAsia" w:hAnsiTheme="minorEastAsia" w:eastAsiaTheme="minorEastAsia"/>
          <w:szCs w:val="21"/>
        </w:rPr>
      </w:pPr>
      <w:r>
        <w:rPr>
          <w:rFonts w:asciiTheme="minorEastAsia" w:hAnsiTheme="minorEastAsia" w:eastAsiaTheme="minorEastAsia"/>
          <w:szCs w:val="21"/>
        </w:rPr>
        <w:t>9.2</w:t>
      </w:r>
      <w:r>
        <w:rPr>
          <w:rFonts w:hint="eastAsia" w:asciiTheme="minorEastAsia" w:hAnsiTheme="minorEastAsia" w:eastAsiaTheme="minorEastAsia"/>
          <w:szCs w:val="21"/>
        </w:rPr>
        <w:t>、 该方法适应粗硒中碲含量是检测，方法简单易掌握。</w:t>
      </w:r>
    </w:p>
    <w:p>
      <w:pPr>
        <w:adjustRightInd w:val="0"/>
        <w:spacing w:line="360" w:lineRule="auto"/>
        <w:outlineLvl w:val="0"/>
        <w:rPr>
          <w:rFonts w:asciiTheme="minorEastAsia" w:hAnsiTheme="minorEastAsia" w:eastAsiaTheme="minorEastAsia"/>
          <w:szCs w:val="21"/>
        </w:rPr>
      </w:pPr>
      <w:r>
        <w:rPr>
          <w:rFonts w:hint="eastAsia" w:asciiTheme="minorEastAsia" w:hAnsiTheme="minorEastAsia" w:eastAsiaTheme="minorEastAsia"/>
          <w:szCs w:val="21"/>
        </w:rPr>
        <w:t>9.3、该方法可以作为行业标准推荐使用。</w:t>
      </w:r>
    </w:p>
    <w:p>
      <w:pPr>
        <w:adjustRightInd w:val="0"/>
        <w:spacing w:line="360" w:lineRule="auto"/>
        <w:rPr>
          <w:rFonts w:ascii="黑体" w:eastAsia="黑体"/>
          <w:sz w:val="24"/>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附件2：</w:t>
      </w:r>
    </w:p>
    <w:p>
      <w:pPr>
        <w:spacing w:line="360" w:lineRule="auto"/>
        <w:ind w:firstLine="2409" w:firstLineChars="1000"/>
        <w:rPr>
          <w:rFonts w:ascii="宋体" w:hAnsi="宋体" w:cs="宋体"/>
          <w:b/>
          <w:kern w:val="0"/>
          <w:sz w:val="24"/>
        </w:rPr>
      </w:pPr>
      <w:r>
        <w:rPr>
          <w:rFonts w:hint="eastAsia" w:ascii="宋体" w:hAnsi="宋体" w:cs="宋体"/>
          <w:b/>
          <w:kern w:val="0"/>
          <w:sz w:val="24"/>
        </w:rPr>
        <w:t>各验证单位精密度试验数据统计分析</w:t>
      </w:r>
    </w:p>
    <w:p>
      <w:pPr>
        <w:spacing w:line="360" w:lineRule="auto"/>
        <w:rPr>
          <w:rFonts w:ascii="黑体" w:hAnsi="黑体" w:eastAsia="黑体" w:cs="黑体"/>
          <w:color w:val="000000"/>
          <w:szCs w:val="21"/>
        </w:rPr>
      </w:pPr>
      <w:r>
        <w:rPr>
          <w:rFonts w:hint="eastAsia" w:ascii="黑体" w:hAnsi="黑体" w:eastAsia="黑体" w:cs="黑体"/>
          <w:color w:val="000000"/>
          <w:szCs w:val="21"/>
        </w:rPr>
        <w:t>1、验证实验室验证</w:t>
      </w:r>
      <w:r>
        <w:rPr>
          <w:rFonts w:ascii="黑体" w:hAnsi="黑体" w:eastAsia="黑体" w:cs="黑体"/>
          <w:color w:val="000000"/>
          <w:szCs w:val="21"/>
        </w:rPr>
        <w:t>情况</w:t>
      </w:r>
    </w:p>
    <w:p>
      <w:pPr>
        <w:spacing w:line="360" w:lineRule="auto"/>
        <w:ind w:firstLine="573"/>
        <w:rPr>
          <w:color w:val="000000"/>
          <w:szCs w:val="21"/>
        </w:rPr>
      </w:pPr>
      <w:r>
        <w:rPr>
          <w:rFonts w:hint="eastAsia"/>
          <w:color w:val="000000"/>
          <w:szCs w:val="21"/>
        </w:rPr>
        <w:t>有</w:t>
      </w:r>
      <w:r>
        <w:rPr>
          <w:color w:val="000000"/>
          <w:szCs w:val="21"/>
        </w:rPr>
        <w:t>16</w:t>
      </w:r>
      <w:r>
        <w:rPr>
          <w:rFonts w:hint="eastAsia"/>
          <w:color w:val="000000"/>
          <w:szCs w:val="21"/>
        </w:rPr>
        <w:t>实验室参加了验证试验，安徽光智科技有限公司</w:t>
      </w:r>
      <w:r>
        <w:rPr>
          <w:color w:val="000000"/>
          <w:szCs w:val="21"/>
        </w:rPr>
        <w:t>是起草单位，一</w:t>
      </w:r>
      <w:r>
        <w:rPr>
          <w:rFonts w:hint="eastAsia"/>
          <w:color w:val="000000"/>
          <w:szCs w:val="21"/>
        </w:rPr>
        <w:t>验</w:t>
      </w:r>
      <w:r>
        <w:rPr>
          <w:color w:val="000000"/>
          <w:szCs w:val="21"/>
        </w:rPr>
        <w:t>单位5家</w:t>
      </w:r>
      <w:r>
        <w:rPr>
          <w:rFonts w:hint="eastAsia"/>
          <w:color w:val="000000"/>
          <w:szCs w:val="21"/>
        </w:rPr>
        <w:t>，</w:t>
      </w:r>
      <w:r>
        <w:rPr>
          <w:color w:val="000000"/>
          <w:szCs w:val="21"/>
        </w:rPr>
        <w:t>二验单位为10</w:t>
      </w:r>
      <w:r>
        <w:rPr>
          <w:rFonts w:hint="eastAsia"/>
          <w:color w:val="000000"/>
          <w:szCs w:val="21"/>
        </w:rPr>
        <w:t>家</w:t>
      </w:r>
      <w:r>
        <w:rPr>
          <w:color w:val="000000"/>
          <w:szCs w:val="21"/>
        </w:rPr>
        <w:t>，</w:t>
      </w:r>
      <w:r>
        <w:rPr>
          <w:rFonts w:hint="eastAsia"/>
          <w:color w:val="000000"/>
          <w:szCs w:val="21"/>
        </w:rPr>
        <w:t>详见表1。</w:t>
      </w:r>
    </w:p>
    <w:p>
      <w:pPr>
        <w:spacing w:line="360" w:lineRule="auto"/>
        <w:ind w:firstLine="2415" w:firstLineChars="1150"/>
        <w:rPr>
          <w:color w:val="000000"/>
          <w:szCs w:val="21"/>
        </w:rPr>
      </w:pPr>
      <w:r>
        <w:rPr>
          <w:rFonts w:hint="eastAsia"/>
          <w:color w:val="000000"/>
          <w:szCs w:val="21"/>
        </w:rPr>
        <w:t>表1   验证实验室及其编号</w:t>
      </w:r>
    </w:p>
    <w:tbl>
      <w:tblPr>
        <w:tblStyle w:val="2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079"/>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序号</w:t>
            </w:r>
          </w:p>
        </w:tc>
        <w:tc>
          <w:tcPr>
            <w:tcW w:w="4079"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单位名称</w:t>
            </w:r>
          </w:p>
        </w:tc>
        <w:tc>
          <w:tcPr>
            <w:tcW w:w="3762" w:type="dxa"/>
          </w:tcPr>
          <w:p>
            <w:pPr>
              <w:jc w:val="center"/>
              <w:rPr>
                <w:rFonts w:cs="黑体" w:asciiTheme="minorEastAsia" w:hAnsiTheme="minorEastAsia" w:eastAsiaTheme="minorEastAsia"/>
                <w:kern w:val="0"/>
                <w:sz w:val="20"/>
                <w:szCs w:val="21"/>
              </w:rPr>
            </w:pPr>
            <w:r>
              <w:rPr>
                <w:rFonts w:hint="eastAsia" w:cs="黑体" w:asciiTheme="minorEastAsia" w:hAnsiTheme="minorEastAsia" w:eastAsiaTheme="minorEastAsia"/>
                <w:kern w:val="0"/>
                <w:sz w:val="20"/>
                <w:szCs w:val="21"/>
              </w:rPr>
              <w:t>起草或</w:t>
            </w:r>
            <w:r>
              <w:rPr>
                <w:rFonts w:cs="黑体" w:asciiTheme="minorEastAsia" w:hAnsiTheme="minorEastAsia" w:eastAsiaTheme="minorEastAsia"/>
                <w:kern w:val="0"/>
                <w:sz w:val="20"/>
                <w:szCs w:val="21"/>
              </w:rPr>
              <w:t>验证情况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w:t>
            </w:r>
          </w:p>
        </w:tc>
        <w:tc>
          <w:tcPr>
            <w:tcW w:w="4079"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安徽光智科技有限公司</w:t>
            </w:r>
          </w:p>
        </w:tc>
        <w:tc>
          <w:tcPr>
            <w:tcW w:w="3762"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2</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北矿检测技术有限公司</w:t>
            </w:r>
          </w:p>
        </w:tc>
        <w:tc>
          <w:tcPr>
            <w:tcW w:w="3762" w:type="dxa"/>
          </w:tcPr>
          <w:p>
            <w:pPr>
              <w:ind w:firstLine="1200" w:firstLineChars="6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3</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深圳市中金岭南有色金属股份有限公司</w:t>
            </w:r>
          </w:p>
        </w:tc>
        <w:tc>
          <w:tcPr>
            <w:tcW w:w="3762" w:type="dxa"/>
          </w:tcPr>
          <w:p>
            <w:pPr>
              <w:ind w:firstLine="1200" w:firstLineChars="6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4</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紫金铜业有限公司</w:t>
            </w:r>
          </w:p>
        </w:tc>
        <w:tc>
          <w:tcPr>
            <w:tcW w:w="3762" w:type="dxa"/>
          </w:tcPr>
          <w:p>
            <w:pPr>
              <w:ind w:firstLine="1400" w:firstLineChars="7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5</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铜陵有色金属股份有限公司</w:t>
            </w:r>
          </w:p>
        </w:tc>
        <w:tc>
          <w:tcPr>
            <w:tcW w:w="3762" w:type="dxa"/>
          </w:tcPr>
          <w:p>
            <w:pPr>
              <w:ind w:firstLine="1400" w:firstLineChars="7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w:t>
            </w:r>
            <w:r>
              <w:rPr>
                <w:rFonts w:cs="宋体" w:asciiTheme="minorEastAsia" w:hAnsiTheme="minorEastAsia" w:eastAsiaTheme="minorEastAsia"/>
                <w:kern w:val="0"/>
                <w:sz w:val="2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6</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广东省科学院分析测试中心</w:t>
            </w:r>
          </w:p>
        </w:tc>
        <w:tc>
          <w:tcPr>
            <w:tcW w:w="3762" w:type="dxa"/>
          </w:tcPr>
          <w:p>
            <w:pPr>
              <w:ind w:firstLine="1400" w:firstLineChars="700"/>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一验单位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7</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江西铜业股份有限公司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8</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国标（北京）检验认证有限公司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9</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大冶有色设计研究院有限公司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10</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山东恒邦冶炼股份有限公司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11</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郴州市商品质量监督检验所</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12</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中国检验认证集团广西有限公司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13</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山西北方铜业股份有限公司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w:t>
            </w:r>
            <w:r>
              <w:rPr>
                <w:rFonts w:cs="宋体" w:asciiTheme="minorEastAsia" w:hAnsiTheme="minorEastAsia" w:eastAsiaTheme="minorEastAsia"/>
                <w:kern w:val="0"/>
                <w:sz w:val="20"/>
                <w:szCs w:val="21"/>
              </w:rPr>
              <w:t>4</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asciiTheme="minorEastAsia" w:hAnsiTheme="minorEastAsia" w:eastAsiaTheme="minorEastAsia"/>
                <w:kern w:val="0"/>
                <w:sz w:val="20"/>
                <w:szCs w:val="21"/>
              </w:rPr>
              <w:t>中国有色桂林矿产地质研究院有限公司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15</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kern w:val="0"/>
                <w:sz w:val="20"/>
                <w:szCs w:val="21"/>
              </w:rPr>
            </w:pPr>
            <w:r>
              <w:rPr>
                <w:rFonts w:hint="eastAsia"/>
                <w:kern w:val="0"/>
                <w:sz w:val="20"/>
                <w:szCs w:val="20"/>
              </w:rPr>
              <w:t>昆明</w:t>
            </w:r>
            <w:r>
              <w:rPr>
                <w:kern w:val="0"/>
                <w:sz w:val="20"/>
                <w:szCs w:val="20"/>
              </w:rPr>
              <w:t>冶金研究院有限公司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31" w:type="dxa"/>
          </w:tcPr>
          <w:p>
            <w:pPr>
              <w:jc w:val="center"/>
              <w:rPr>
                <w:rFonts w:cs="宋体" w:asciiTheme="minorEastAsia" w:hAnsiTheme="minorEastAsia" w:eastAsiaTheme="minorEastAsia"/>
                <w:kern w:val="0"/>
                <w:sz w:val="20"/>
                <w:szCs w:val="21"/>
              </w:rPr>
            </w:pPr>
            <w:r>
              <w:rPr>
                <w:rFonts w:hint="eastAsia" w:cs="宋体" w:asciiTheme="minorEastAsia" w:hAnsiTheme="minorEastAsia" w:eastAsiaTheme="minorEastAsia"/>
                <w:kern w:val="0"/>
                <w:sz w:val="20"/>
                <w:szCs w:val="21"/>
              </w:rPr>
              <w:t>16</w:t>
            </w:r>
          </w:p>
        </w:tc>
        <w:tc>
          <w:tcPr>
            <w:tcW w:w="4079"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0"/>
              </w:rPr>
            </w:pPr>
            <w:r>
              <w:rPr>
                <w:kern w:val="0"/>
                <w:sz w:val="20"/>
                <w:szCs w:val="20"/>
              </w:rPr>
              <w:t>广西南丹南方金属有限公司</w:t>
            </w:r>
          </w:p>
        </w:tc>
        <w:tc>
          <w:tcPr>
            <w:tcW w:w="3762" w:type="dxa"/>
          </w:tcPr>
          <w:p>
            <w:pPr>
              <w:jc w:val="center"/>
              <w:rPr>
                <w:kern w:val="0"/>
                <w:sz w:val="20"/>
              </w:rPr>
            </w:pPr>
            <w:r>
              <w:rPr>
                <w:rFonts w:hint="eastAsia" w:cs="宋体" w:asciiTheme="minorEastAsia" w:hAnsiTheme="minorEastAsia" w:eastAsiaTheme="minorEastAsia"/>
                <w:kern w:val="0"/>
                <w:sz w:val="20"/>
                <w:szCs w:val="21"/>
              </w:rPr>
              <w:t>二验单位</w:t>
            </w:r>
          </w:p>
        </w:tc>
      </w:tr>
    </w:tbl>
    <w:p>
      <w:pPr>
        <w:spacing w:line="360" w:lineRule="auto"/>
        <w:rPr>
          <w:color w:val="000000"/>
          <w:szCs w:val="21"/>
        </w:rPr>
      </w:pPr>
    </w:p>
    <w:p>
      <w:pPr>
        <w:spacing w:line="360" w:lineRule="auto"/>
        <w:rPr>
          <w:rFonts w:ascii="黑体" w:hAnsi="黑体" w:eastAsia="黑体" w:cs="黑体"/>
          <w:bCs/>
          <w:color w:val="FF0000"/>
          <w:szCs w:val="21"/>
        </w:rPr>
      </w:pPr>
      <w:r>
        <w:rPr>
          <w:rFonts w:hint="eastAsia" w:ascii="黑体" w:hAnsi="黑体" w:eastAsia="黑体" w:cs="黑体"/>
          <w:bCs/>
          <w:color w:val="000000"/>
          <w:szCs w:val="21"/>
        </w:rPr>
        <w:t>2、原始数据</w:t>
      </w:r>
    </w:p>
    <w:p>
      <w:pPr>
        <w:spacing w:line="360" w:lineRule="auto"/>
        <w:ind w:left="360"/>
        <w:rPr>
          <w:color w:val="000000"/>
          <w:szCs w:val="21"/>
        </w:rPr>
      </w:pPr>
      <w:r>
        <w:rPr>
          <w:rFonts w:hint="eastAsia"/>
          <w:color w:val="000000"/>
          <w:szCs w:val="21"/>
        </w:rPr>
        <w:t>根据各实验室提交的验证报告，将其原始检测数据列于表2。</w:t>
      </w:r>
    </w:p>
    <w:p>
      <w:pPr>
        <w:spacing w:line="360" w:lineRule="auto"/>
        <w:jc w:val="center"/>
        <w:rPr>
          <w:color w:val="000000"/>
          <w:szCs w:val="21"/>
        </w:rPr>
      </w:pPr>
      <w:r>
        <w:rPr>
          <w:rFonts w:hint="eastAsia"/>
          <w:color w:val="000000"/>
          <w:szCs w:val="21"/>
        </w:rPr>
        <w:t>表2 各验证实验室的原始数据</w:t>
      </w:r>
    </w:p>
    <w:tbl>
      <w:tblPr>
        <w:tblStyle w:val="23"/>
        <w:tblW w:w="8440" w:type="dxa"/>
        <w:tblInd w:w="0" w:type="dxa"/>
        <w:tblLayout w:type="autofit"/>
        <w:tblCellMar>
          <w:top w:w="0" w:type="dxa"/>
          <w:left w:w="0" w:type="dxa"/>
          <w:bottom w:w="0" w:type="dxa"/>
          <w:right w:w="0" w:type="dxa"/>
        </w:tblCellMar>
      </w:tblPr>
      <w:tblGrid>
        <w:gridCol w:w="2689"/>
        <w:gridCol w:w="1417"/>
        <w:gridCol w:w="1418"/>
        <w:gridCol w:w="1417"/>
        <w:gridCol w:w="1499"/>
      </w:tblGrid>
      <w:tr>
        <w:tblPrEx>
          <w:tblCellMar>
            <w:top w:w="0" w:type="dxa"/>
            <w:left w:w="0" w:type="dxa"/>
            <w:bottom w:w="0" w:type="dxa"/>
            <w:right w:w="0" w:type="dxa"/>
          </w:tblCellMar>
        </w:tblPrEx>
        <w:trPr>
          <w:trHeight w:val="285" w:hRule="atLeast"/>
        </w:trPr>
        <w:tc>
          <w:tcPr>
            <w:tcW w:w="26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rPr>
                <w:color w:val="000000"/>
                <w:szCs w:val="21"/>
              </w:rPr>
            </w:pPr>
            <w:r>
              <w:rPr>
                <w:rFonts w:hint="eastAsia"/>
                <w:color w:val="000000"/>
                <w:szCs w:val="21"/>
              </w:rPr>
              <w:t>实验室i</w:t>
            </w:r>
          </w:p>
        </w:tc>
        <w:tc>
          <w:tcPr>
            <w:tcW w:w="141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Cs w:val="21"/>
              </w:rPr>
            </w:pPr>
            <w:r>
              <w:rPr>
                <w:rFonts w:hint="eastAsia"/>
                <w:color w:val="000000"/>
                <w:szCs w:val="21"/>
              </w:rPr>
              <w:t>1#</w:t>
            </w:r>
          </w:p>
        </w:tc>
        <w:tc>
          <w:tcPr>
            <w:tcW w:w="141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Cs w:val="21"/>
              </w:rPr>
            </w:pPr>
            <w:r>
              <w:rPr>
                <w:rFonts w:hint="eastAsia"/>
                <w:color w:val="000000"/>
                <w:szCs w:val="21"/>
              </w:rPr>
              <w:t>2#</w:t>
            </w:r>
          </w:p>
        </w:tc>
        <w:tc>
          <w:tcPr>
            <w:tcW w:w="141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Cs w:val="21"/>
              </w:rPr>
            </w:pPr>
            <w:r>
              <w:rPr>
                <w:rFonts w:hint="eastAsia"/>
                <w:color w:val="000000"/>
                <w:szCs w:val="21"/>
              </w:rPr>
              <w:t>3#</w:t>
            </w:r>
          </w:p>
        </w:tc>
        <w:tc>
          <w:tcPr>
            <w:tcW w:w="149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Cs w:val="21"/>
              </w:rPr>
            </w:pPr>
            <w:r>
              <w:rPr>
                <w:rFonts w:hint="eastAsia"/>
                <w:color w:val="000000"/>
                <w:szCs w:val="21"/>
              </w:rPr>
              <w:t>4#</w:t>
            </w:r>
          </w:p>
        </w:tc>
      </w:tr>
      <w:tr>
        <w:tblPrEx>
          <w:tblCellMar>
            <w:top w:w="0" w:type="dxa"/>
            <w:left w:w="0" w:type="dxa"/>
            <w:bottom w:w="0" w:type="dxa"/>
            <w:right w:w="0" w:type="dxa"/>
          </w:tblCellMar>
        </w:tblPrEx>
        <w:trPr>
          <w:trHeight w:val="30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color w:val="000000"/>
                <w:szCs w:val="21"/>
              </w:rPr>
            </w:pPr>
            <w:r>
              <w:rPr>
                <w:rFonts w:hint="eastAsia"/>
                <w:color w:val="000000"/>
                <w:szCs w:val="21"/>
              </w:rPr>
              <w:t>1（安徽光智科技有限公司）</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5.04</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9.85</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14.83</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19.87</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5.06</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9.88</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14.76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19.81</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5.04</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9.86</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19.76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5.07</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9.86</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19.83</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5.02</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9.87</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14.89</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19.93</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5.05</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9.88</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5.05</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9.92</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14.87</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19.78</w:t>
            </w:r>
          </w:p>
        </w:tc>
      </w:tr>
      <w:tr>
        <w:tblPrEx>
          <w:tblCellMar>
            <w:top w:w="0" w:type="dxa"/>
            <w:left w:w="0" w:type="dxa"/>
            <w:bottom w:w="0" w:type="dxa"/>
            <w:right w:w="0" w:type="dxa"/>
          </w:tblCellMar>
        </w:tblPrEx>
        <w:trPr>
          <w:trHeight w:val="30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2（北矿检测技术有限公司）</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4.95</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9.87</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14.86</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19.88</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4.96</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9.85</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14.90</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19.92</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4.90</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9.90</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14.94</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4.89</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9.89</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14.84</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4.92</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9.92</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14.98</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19.82</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4.95</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9.92</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14.95</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4.95</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9.85</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14.92</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19.85</w:t>
            </w:r>
          </w:p>
        </w:tc>
      </w:tr>
      <w:tr>
        <w:tblPrEx>
          <w:tblCellMar>
            <w:top w:w="0" w:type="dxa"/>
            <w:left w:w="0" w:type="dxa"/>
            <w:bottom w:w="0" w:type="dxa"/>
            <w:right w:w="0" w:type="dxa"/>
          </w:tblCellMar>
        </w:tblPrEx>
        <w:trPr>
          <w:trHeight w:val="30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3（深圳市中金岭南有色金属股份有限公司）</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5.10</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10.02</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14.74</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5.03</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9.99</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14.75</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5.02</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10.04</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14.84</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19.84</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5.09</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9.88</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19.89</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4.93</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9.79</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14.88</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19.88</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4.95</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9.89</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14.89</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4.91</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9.98</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14.74</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19.99</w:t>
            </w:r>
          </w:p>
        </w:tc>
      </w:tr>
      <w:tr>
        <w:tblPrEx>
          <w:tblCellMar>
            <w:top w:w="0" w:type="dxa"/>
            <w:left w:w="0" w:type="dxa"/>
            <w:bottom w:w="0" w:type="dxa"/>
            <w:right w:w="0" w:type="dxa"/>
          </w:tblCellMar>
        </w:tblPrEx>
        <w:trPr>
          <w:trHeight w:val="30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4（紫金铜业有限公司）</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5.15</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9.91</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14.78</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19.76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5.13</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9.86</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14.74</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19.73</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5.10</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9.85</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14.76</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19.77</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5.03</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9.79</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14.68</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19.70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5.07</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9.78</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14.71</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19.84</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5.18</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9.89</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14.75</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19.76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5.16</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9.84</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14.71</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19.83</w:t>
            </w:r>
          </w:p>
        </w:tc>
      </w:tr>
      <w:tr>
        <w:tblPrEx>
          <w:tblCellMar>
            <w:top w:w="0" w:type="dxa"/>
            <w:left w:w="0" w:type="dxa"/>
            <w:bottom w:w="0" w:type="dxa"/>
            <w:right w:w="0" w:type="dxa"/>
          </w:tblCellMar>
        </w:tblPrEx>
        <w:trPr>
          <w:trHeight w:val="39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5（铜陵有色金属股份有限公司）</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4.69</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9.55</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14.32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19.34</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4.70</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9.51</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14.34</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19.36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4.72</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9.56</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14.27</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19.38</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4.68</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9.52</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14.32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19.37</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4.71</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9.57</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14.28</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19.40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4.72</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9.55</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14.33</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19.42</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4.70</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9.60</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14.31</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19.36</w:t>
            </w:r>
          </w:p>
        </w:tc>
      </w:tr>
      <w:tr>
        <w:tblPrEx>
          <w:tblCellMar>
            <w:top w:w="0" w:type="dxa"/>
            <w:left w:w="0" w:type="dxa"/>
            <w:bottom w:w="0" w:type="dxa"/>
            <w:right w:w="0" w:type="dxa"/>
          </w:tblCellMar>
        </w:tblPrEx>
        <w:trPr>
          <w:trHeight w:val="30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6（广东省科学院分析测试中心）</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4.88</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9.74</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14.78</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4.84</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9.79</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4.90</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9.86</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14.76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19.82</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4.89</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9.82</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4.91</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9.90</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14.81</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4.95</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9.88</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14.85</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4.83</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9.95</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14.79</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19.93</w:t>
            </w:r>
          </w:p>
        </w:tc>
      </w:tr>
      <w:tr>
        <w:tblPrEx>
          <w:tblCellMar>
            <w:top w:w="0" w:type="dxa"/>
            <w:left w:w="0" w:type="dxa"/>
            <w:bottom w:w="0" w:type="dxa"/>
            <w:right w:w="0" w:type="dxa"/>
          </w:tblCellMar>
        </w:tblPrEx>
        <w:trPr>
          <w:trHeight w:val="30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7（江西铜业股份有限公司</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4.86</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9.91</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14.72</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20.05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4.90</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10.01</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14.87</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20.01</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4.72</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9.77</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14.73</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19.92</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4.77</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9.83</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14.96</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19.77</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4.81</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9.92</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14.77</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19.88</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4.89</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9.96</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14.99</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19.96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4.83</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10.00</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14.83</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19.81</w:t>
            </w:r>
          </w:p>
        </w:tc>
      </w:tr>
      <w:tr>
        <w:tblPrEx>
          <w:tblCellMar>
            <w:top w:w="0" w:type="dxa"/>
            <w:left w:w="0" w:type="dxa"/>
            <w:bottom w:w="0" w:type="dxa"/>
            <w:right w:w="0" w:type="dxa"/>
          </w:tblCellMar>
        </w:tblPrEx>
        <w:trPr>
          <w:trHeight w:val="30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8（国标（北京）检验认证有限公司）</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4.93</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9.86</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14.79</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19.75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4.86</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9.84</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14.85</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19.65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4.97</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9.81</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14.79</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19.76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4.96</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9.75</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14.69</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19.83</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4.92</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9.88</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14.76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19.69</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4.90</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9.78</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14.82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19.74</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4.88</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9.83</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14.77</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tcPr>
          <w:p>
            <w:pPr>
              <w:jc w:val="center"/>
              <w:rPr>
                <w:rFonts w:eastAsia="等线"/>
                <w:sz w:val="22"/>
                <w:szCs w:val="22"/>
              </w:rPr>
            </w:pPr>
            <w:r>
              <w:rPr>
                <w:rFonts w:eastAsia="等线"/>
                <w:sz w:val="22"/>
                <w:szCs w:val="22"/>
              </w:rPr>
              <w:t>19.82</w:t>
            </w:r>
          </w:p>
        </w:tc>
      </w:tr>
      <w:tr>
        <w:tblPrEx>
          <w:tblCellMar>
            <w:top w:w="0" w:type="dxa"/>
            <w:left w:w="0" w:type="dxa"/>
            <w:bottom w:w="0" w:type="dxa"/>
            <w:right w:w="0" w:type="dxa"/>
          </w:tblCellMar>
        </w:tblPrEx>
        <w:trPr>
          <w:trHeight w:val="30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9（大冶有色设计研究院有限公司）</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4.99</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9.98</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14.90</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19.89</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4.97</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9.98</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5.01</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9.97</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4.98</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9.93</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14.91</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4.98</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9.95</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14.90</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19.89</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4.98</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9.95</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14.91</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19.89</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4.99</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9.97</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14.90</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19.91</w:t>
            </w:r>
          </w:p>
        </w:tc>
      </w:tr>
      <w:tr>
        <w:tblPrEx>
          <w:tblCellMar>
            <w:top w:w="0" w:type="dxa"/>
            <w:left w:w="0" w:type="dxa"/>
            <w:bottom w:w="0" w:type="dxa"/>
            <w:right w:w="0" w:type="dxa"/>
          </w:tblCellMar>
        </w:tblPrEx>
        <w:trPr>
          <w:trHeight w:val="30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10（山东恒邦冶炼股份有限公司）</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4.84</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9.87</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14.66</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19.64</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4.88</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9.85</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14.56</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19.56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4.94</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9.87</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14.76</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19.60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4.90</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9.92</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14.66</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19.60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4.84</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9.87</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14.59</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19.57</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4.83</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9.79</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14.63</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19.58</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4.92</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9.84</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14.65</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19.67</w:t>
            </w:r>
          </w:p>
        </w:tc>
      </w:tr>
      <w:tr>
        <w:tblPrEx>
          <w:tblCellMar>
            <w:top w:w="0" w:type="dxa"/>
            <w:left w:w="0" w:type="dxa"/>
            <w:bottom w:w="0" w:type="dxa"/>
            <w:right w:w="0" w:type="dxa"/>
          </w:tblCellMar>
        </w:tblPrEx>
        <w:trPr>
          <w:trHeight w:val="30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11（郴州市商品质量监督检验所）</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5.04</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9.92</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14.85</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19.92</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4.97</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9.96</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14.97</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4.96</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9.99</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15.01</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19.98</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4.98</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9.97</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14.79</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20.03</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5.03</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10.03</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20.01</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5.04</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10.01</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19.97</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4.95</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9.96</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14.79</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19.93</w:t>
            </w:r>
          </w:p>
        </w:tc>
      </w:tr>
      <w:tr>
        <w:tblPrEx>
          <w:tblCellMar>
            <w:top w:w="0" w:type="dxa"/>
            <w:left w:w="0" w:type="dxa"/>
            <w:bottom w:w="0" w:type="dxa"/>
            <w:right w:w="0" w:type="dxa"/>
          </w:tblCellMar>
        </w:tblPrEx>
        <w:trPr>
          <w:trHeight w:val="300"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12(中国检验认证集团广西有限公司)</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5.01</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9.89</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14.89</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19.91</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5.07</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9.92</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19.88</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4.98</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9.82</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14.85</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5.00</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9.84</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14.84</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19.76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5.07</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9.89</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14.72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19.82</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4.97</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9.91</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4.90</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9.87</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19.86</w:t>
            </w:r>
          </w:p>
        </w:tc>
      </w:tr>
      <w:tr>
        <w:tblPrEx>
          <w:tblCellMar>
            <w:top w:w="0" w:type="dxa"/>
            <w:left w:w="0" w:type="dxa"/>
            <w:bottom w:w="0" w:type="dxa"/>
            <w:right w:w="0" w:type="dxa"/>
          </w:tblCellMar>
        </w:tblPrEx>
        <w:trPr>
          <w:trHeight w:val="315"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13(山西北方铜业有限公司)</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5.08</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9.87</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14.88</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5.12</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10.00</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14.90</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5.08</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9.91</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14.96</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19.93</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5.06</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9.88</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14.88</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19.79</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5.15</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9.86</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14.90</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19.92</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5.07</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9.92</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5.10</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9.85</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19.90</w:t>
            </w:r>
          </w:p>
        </w:tc>
      </w:tr>
      <w:tr>
        <w:tblPrEx>
          <w:tblCellMar>
            <w:top w:w="0" w:type="dxa"/>
            <w:left w:w="0" w:type="dxa"/>
            <w:bottom w:w="0" w:type="dxa"/>
            <w:right w:w="0" w:type="dxa"/>
          </w:tblCellMar>
        </w:tblPrEx>
        <w:trPr>
          <w:trHeight w:val="315"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14(中国有色桂林矿产地质研究院有限公司)</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5.05</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10.02</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14.87</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19.87</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4.99</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9.96</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14.72</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19.90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4.99</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10.01</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14.85</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19.99</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4.96</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9.92</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14.72</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19.85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4.95</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9.94</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14.78</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19.92</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4.98</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9.96</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14.87</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19.95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5.03</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10.00</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14.77</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20.02</w:t>
            </w:r>
          </w:p>
        </w:tc>
      </w:tr>
      <w:tr>
        <w:tblPrEx>
          <w:tblCellMar>
            <w:top w:w="0" w:type="dxa"/>
            <w:left w:w="0" w:type="dxa"/>
            <w:bottom w:w="0" w:type="dxa"/>
            <w:right w:w="0" w:type="dxa"/>
          </w:tblCellMar>
        </w:tblPrEx>
        <w:trPr>
          <w:trHeight w:val="315"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15(昆明冶金研究院有限公司)</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5.01</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9.90</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14.85</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20.00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4.92</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10.00</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14.97</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4.89</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10.02</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14.82</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20.06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4.93</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10.13</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14.80</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20.05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5.04</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9.95</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14.89</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19.90</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4.99</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9.98</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14.87</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19.87</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5.06</w:t>
            </w:r>
          </w:p>
        </w:tc>
        <w:tc>
          <w:tcPr>
            <w:tcW w:w="141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9.96</w:t>
            </w:r>
          </w:p>
        </w:tc>
        <w:tc>
          <w:tcPr>
            <w:tcW w:w="141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14.81</w:t>
            </w:r>
          </w:p>
        </w:tc>
        <w:tc>
          <w:tcPr>
            <w:tcW w:w="14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eastAsia="等线"/>
                <w:sz w:val="22"/>
                <w:szCs w:val="22"/>
              </w:rPr>
            </w:pPr>
            <w:r>
              <w:rPr>
                <w:rFonts w:eastAsia="等线"/>
                <w:sz w:val="22"/>
                <w:szCs w:val="22"/>
              </w:rPr>
              <w:t>19.99</w:t>
            </w:r>
          </w:p>
        </w:tc>
      </w:tr>
      <w:tr>
        <w:tblPrEx>
          <w:tblCellMar>
            <w:top w:w="0" w:type="dxa"/>
            <w:left w:w="0" w:type="dxa"/>
            <w:bottom w:w="0" w:type="dxa"/>
            <w:right w:w="0" w:type="dxa"/>
          </w:tblCellMar>
        </w:tblPrEx>
        <w:trPr>
          <w:trHeight w:val="315" w:hRule="atLeast"/>
        </w:trPr>
        <w:tc>
          <w:tcPr>
            <w:tcW w:w="2689" w:type="dxa"/>
            <w:vMerge w:val="restar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cs="宋体"/>
                <w:color w:val="000000"/>
                <w:szCs w:val="21"/>
              </w:rPr>
            </w:pPr>
            <w:r>
              <w:rPr>
                <w:rFonts w:hint="eastAsia"/>
                <w:color w:val="000000"/>
                <w:szCs w:val="21"/>
              </w:rPr>
              <w:t>16(广西南丹南方金属有限公司)</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4.97</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9.86</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14.60</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19.57</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4.87</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9.87</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14.64</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19.49</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4.93</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9.63</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14.58</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19.55</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4.97</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9.61</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14.46</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19.48</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5.09</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9.68</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14.51</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19.56</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4.90</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9.64</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14.47</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19.44</w:t>
            </w:r>
          </w:p>
        </w:tc>
      </w:tr>
      <w:tr>
        <w:tblPrEx>
          <w:tblCellMar>
            <w:top w:w="0" w:type="dxa"/>
            <w:left w:w="0" w:type="dxa"/>
            <w:bottom w:w="0" w:type="dxa"/>
            <w:right w:w="0" w:type="dxa"/>
          </w:tblCellMar>
        </w:tblPrEx>
        <w:trPr>
          <w:trHeight w:val="300" w:hRule="atLeast"/>
        </w:trPr>
        <w:tc>
          <w:tcPr>
            <w:tcW w:w="268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Cs w:val="21"/>
              </w:rPr>
            </w:pP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4.96</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9.70</w:t>
            </w:r>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14.64</w:t>
            </w:r>
          </w:p>
        </w:tc>
        <w:tc>
          <w:tcPr>
            <w:tcW w:w="149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eastAsia="等线"/>
                <w:sz w:val="22"/>
                <w:szCs w:val="22"/>
              </w:rPr>
            </w:pPr>
            <w:r>
              <w:rPr>
                <w:rFonts w:eastAsia="等线"/>
                <w:sz w:val="22"/>
                <w:szCs w:val="22"/>
              </w:rPr>
              <w:t>19.45</w:t>
            </w:r>
          </w:p>
        </w:tc>
      </w:tr>
    </w:tbl>
    <w:p>
      <w:pPr>
        <w:spacing w:line="360" w:lineRule="auto"/>
        <w:rPr>
          <w:rFonts w:ascii="黑体" w:hAnsi="黑体" w:eastAsia="黑体" w:cs="黑体"/>
          <w:szCs w:val="21"/>
        </w:rPr>
      </w:pPr>
      <w:r>
        <w:rPr>
          <w:rFonts w:hint="eastAsia" w:ascii="黑体" w:hAnsi="黑体" w:eastAsia="黑体" w:cs="黑体"/>
          <w:szCs w:val="21"/>
        </w:rPr>
        <w:t xml:space="preserve"> 3、单元平均值</w:t>
      </w:r>
    </w:p>
    <w:p>
      <w:pPr>
        <w:spacing w:line="360" w:lineRule="auto"/>
        <w:ind w:firstLine="420" w:firstLineChars="200"/>
        <w:rPr>
          <w:rFonts w:ascii="宋体" w:hAnsi="宋体" w:cs="宋体"/>
          <w:szCs w:val="21"/>
        </w:rPr>
      </w:pPr>
      <w:r>
        <w:rPr>
          <w:rFonts w:hint="eastAsia" w:ascii="宋体" w:hAnsi="宋体" w:cs="宋体"/>
          <w:szCs w:val="21"/>
        </w:rPr>
        <w:t>按式（1）计算表2中各单元平均值，列于表3.</w:t>
      </w:r>
    </w:p>
    <w:p>
      <w:pPr>
        <w:spacing w:line="360" w:lineRule="auto"/>
        <w:ind w:firstLine="1470" w:firstLineChars="700"/>
        <w:rPr>
          <w:rFonts w:ascii="宋体" w:hAnsi="宋体" w:cs="宋体"/>
          <w:szCs w:val="21"/>
        </w:rPr>
      </w:pPr>
      <w:r>
        <w:rPr>
          <w:position w:val="-28"/>
          <w:szCs w:val="20"/>
        </w:rPr>
        <w:object>
          <v:shape id="_x0000_i1025" o:spt="75" type="#_x0000_t75" style="height:36pt;width:65.1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szCs w:val="20"/>
        </w:rPr>
        <w:t>…………………………………………………（1）</w:t>
      </w:r>
    </w:p>
    <w:p>
      <w:pPr>
        <w:spacing w:line="360" w:lineRule="auto"/>
        <w:jc w:val="center"/>
        <w:rPr>
          <w:rFonts w:ascii="黑体" w:hAnsi="黑体" w:eastAsia="黑体" w:cs="黑体"/>
          <w:szCs w:val="21"/>
        </w:rPr>
      </w:pPr>
    </w:p>
    <w:p>
      <w:pPr>
        <w:spacing w:line="360" w:lineRule="auto"/>
        <w:jc w:val="center"/>
        <w:rPr>
          <w:rFonts w:ascii="黑体" w:hAnsi="黑体" w:eastAsia="黑体" w:cs="黑体"/>
          <w:szCs w:val="21"/>
        </w:rPr>
      </w:pPr>
    </w:p>
    <w:p>
      <w:pPr>
        <w:spacing w:line="360" w:lineRule="auto"/>
        <w:jc w:val="center"/>
        <w:rPr>
          <w:rFonts w:ascii="黑体" w:hAnsi="黑体" w:eastAsia="黑体" w:cs="黑体"/>
          <w:szCs w:val="21"/>
        </w:rPr>
      </w:pPr>
      <w:r>
        <w:rPr>
          <w:rFonts w:hint="eastAsia" w:ascii="黑体" w:hAnsi="黑体" w:eastAsia="黑体" w:cs="黑体"/>
          <w:szCs w:val="21"/>
        </w:rPr>
        <w:t>表3  单元平均值（n=7）</w:t>
      </w:r>
    </w:p>
    <w:tbl>
      <w:tblPr>
        <w:tblStyle w:val="23"/>
        <w:tblW w:w="8080" w:type="dxa"/>
        <w:tblInd w:w="137" w:type="dxa"/>
        <w:tblLayout w:type="autofit"/>
        <w:tblCellMar>
          <w:top w:w="0" w:type="dxa"/>
          <w:left w:w="0" w:type="dxa"/>
          <w:bottom w:w="0" w:type="dxa"/>
          <w:right w:w="0" w:type="dxa"/>
        </w:tblCellMar>
      </w:tblPr>
      <w:tblGrid>
        <w:gridCol w:w="1276"/>
        <w:gridCol w:w="1701"/>
        <w:gridCol w:w="1701"/>
        <w:gridCol w:w="1701"/>
        <w:gridCol w:w="1701"/>
      </w:tblGrid>
      <w:tr>
        <w:tblPrEx>
          <w:tblCellMar>
            <w:top w:w="0" w:type="dxa"/>
            <w:left w:w="0" w:type="dxa"/>
            <w:bottom w:w="0" w:type="dxa"/>
            <w:right w:w="0" w:type="dxa"/>
          </w:tblCellMar>
        </w:tblPrEx>
        <w:trPr>
          <w:trHeight w:val="285" w:hRule="atLeast"/>
        </w:trPr>
        <w:tc>
          <w:tcPr>
            <w:tcW w:w="127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等线" w:hAnsi="等线" w:eastAsia="等线"/>
                <w:color w:val="000000"/>
                <w:sz w:val="22"/>
                <w:szCs w:val="22"/>
              </w:rPr>
            </w:pPr>
            <w:r>
              <w:rPr>
                <w:rFonts w:hint="eastAsia" w:ascii="等线" w:hAnsi="等线" w:eastAsia="等线"/>
                <w:color w:val="000000"/>
                <w:sz w:val="22"/>
                <w:szCs w:val="22"/>
              </w:rPr>
              <w:t>实验室i</w:t>
            </w:r>
          </w:p>
        </w:tc>
        <w:tc>
          <w:tcPr>
            <w:tcW w:w="170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w:t>
            </w:r>
          </w:p>
        </w:tc>
        <w:tc>
          <w:tcPr>
            <w:tcW w:w="170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2#</w:t>
            </w:r>
          </w:p>
        </w:tc>
        <w:tc>
          <w:tcPr>
            <w:tcW w:w="170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3#</w:t>
            </w:r>
          </w:p>
        </w:tc>
        <w:tc>
          <w:tcPr>
            <w:tcW w:w="1701"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5.05</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9.87</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14.84</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19.83</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2</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4.93</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9.89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14.91</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19.85</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3</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5.00</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9.94</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14.81</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19.91</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5.12</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9.85</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14.73</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19.77</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6</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4.89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9.85</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14.81</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19.86</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7</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4.83</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9.91</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14.84</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19.91</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8</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4.92</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9.82</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14.78</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19.75</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4.99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9.96</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14.90</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19.89</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10</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4.88</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9.86</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14.64</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19.60</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11</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5.00</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9.98</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14.89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19.97</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12</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5.00</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9.88</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14.83</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19.85</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13</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5.09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9.90</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14.88</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19.89</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4.99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9.97</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14.80</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19.93</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15</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4.97</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9.99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14.86</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19.97</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16</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4.96</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9.71</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14.56</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19.51</w:t>
            </w:r>
          </w:p>
        </w:tc>
      </w:tr>
      <w:tr>
        <w:tblPrEx>
          <w:tblCellMar>
            <w:top w:w="0" w:type="dxa"/>
            <w:left w:w="108" w:type="dxa"/>
            <w:bottom w:w="0" w:type="dxa"/>
            <w:right w:w="108"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等线" w:hAnsi="等线" w:eastAsia="等线"/>
                <w:color w:val="000000"/>
                <w:sz w:val="22"/>
                <w:szCs w:val="22"/>
              </w:rPr>
            </w:pPr>
            <w:r>
              <w:rPr>
                <w:rFonts w:hint="eastAsia" w:ascii="等线" w:hAnsi="等线" w:eastAsia="等线"/>
                <w:color w:val="000000"/>
                <w:sz w:val="22"/>
                <w:szCs w:val="22"/>
              </w:rPr>
              <w:t>　</w:t>
            </w:r>
            <w:r>
              <w:drawing>
                <wp:inline distT="0" distB="0" distL="0" distR="0">
                  <wp:extent cx="203200" cy="241300"/>
                  <wp:effectExtent l="0" t="0" r="6350" b="6350"/>
                  <wp:docPr id="3" name="图片 2"/>
                  <wp:cNvGraphicFramePr/>
                  <a:graphic xmlns:a="http://schemas.openxmlformats.org/drawingml/2006/main">
                    <a:graphicData uri="http://schemas.openxmlformats.org/drawingml/2006/picture">
                      <pic:pic xmlns:pic="http://schemas.openxmlformats.org/drawingml/2006/picture">
                        <pic:nvPicPr>
                          <pic:cNvPr id="3" name="图片 2"/>
                          <pic:cNvPicPr/>
                        </pic:nvPicPr>
                        <pic:blipFill>
                          <a:blip r:embed="rId7">
                            <a:extLst>
                              <a:ext uri="{28A0092B-C50C-407E-A947-70E740481C1C}">
                                <a14:useLocalDpi xmlns:a14="http://schemas.microsoft.com/office/drawing/2010/main" val="0"/>
                              </a:ext>
                            </a:extLst>
                          </a:blip>
                          <a:stretch>
                            <a:fillRect/>
                          </a:stretch>
                        </pic:blipFill>
                        <pic:spPr>
                          <a:xfrm>
                            <a:off x="0" y="0"/>
                            <a:ext cx="203200" cy="241300"/>
                          </a:xfrm>
                          <a:prstGeom prst="rect">
                            <a:avLst/>
                          </a:prstGeom>
                        </pic:spPr>
                      </pic:pic>
                    </a:graphicData>
                  </a:graphic>
                </wp:inline>
              </w:drawing>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22"/>
                <w:szCs w:val="22"/>
              </w:rPr>
            </w:pPr>
            <w:r>
              <w:rPr>
                <w:rFonts w:hint="eastAsia" w:ascii="等线" w:hAnsi="等线" w:eastAsia="等线"/>
                <w:color w:val="000000"/>
                <w:sz w:val="22"/>
                <w:szCs w:val="22"/>
              </w:rPr>
              <w:t>4.97</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22"/>
                <w:szCs w:val="22"/>
              </w:rPr>
            </w:pPr>
            <w:r>
              <w:rPr>
                <w:rFonts w:hint="eastAsia" w:ascii="等线" w:hAnsi="等线" w:eastAsia="等线"/>
                <w:color w:val="000000"/>
                <w:sz w:val="22"/>
                <w:szCs w:val="22"/>
              </w:rPr>
              <w:t>9.89</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22"/>
                <w:szCs w:val="22"/>
              </w:rPr>
            </w:pPr>
            <w:r>
              <w:rPr>
                <w:rFonts w:hint="eastAsia" w:ascii="等线" w:hAnsi="等线" w:eastAsia="等线"/>
                <w:color w:val="000000"/>
                <w:sz w:val="22"/>
                <w:szCs w:val="22"/>
              </w:rPr>
              <w:t>14.81</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等线" w:hAnsi="等线" w:eastAsia="等线"/>
                <w:color w:val="000000"/>
                <w:sz w:val="22"/>
                <w:szCs w:val="22"/>
              </w:rPr>
            </w:pPr>
            <w:r>
              <w:rPr>
                <w:rFonts w:hint="eastAsia" w:ascii="等线" w:hAnsi="等线" w:eastAsia="等线"/>
                <w:color w:val="000000"/>
                <w:sz w:val="22"/>
                <w:szCs w:val="22"/>
              </w:rPr>
              <w:t>19.83</w:t>
            </w:r>
          </w:p>
        </w:tc>
      </w:tr>
    </w:tbl>
    <w:p>
      <w:pPr>
        <w:spacing w:before="156" w:beforeLines="50" w:line="360" w:lineRule="auto"/>
        <w:rPr>
          <w:rFonts w:ascii="黑体" w:hAnsi="黑体" w:eastAsia="黑体" w:cs="黑体"/>
          <w:szCs w:val="21"/>
        </w:rPr>
      </w:pPr>
      <w:r>
        <w:rPr>
          <w:rFonts w:hint="eastAsia" w:ascii="黑体" w:hAnsi="黑体" w:eastAsia="黑体" w:cs="黑体"/>
          <w:szCs w:val="21"/>
        </w:rPr>
        <w:t xml:space="preserve"> 4、单元标准差和单元方差</w:t>
      </w:r>
    </w:p>
    <w:p>
      <w:pPr>
        <w:spacing w:before="156" w:beforeLines="50" w:line="360" w:lineRule="auto"/>
        <w:rPr>
          <w:rFonts w:ascii="黑体" w:hAnsi="黑体" w:eastAsia="黑体" w:cs="黑体"/>
          <w:szCs w:val="21"/>
        </w:rPr>
      </w:pPr>
      <w:r>
        <w:rPr>
          <w:rFonts w:hint="eastAsia" w:ascii="黑体" w:hAnsi="黑体" w:eastAsia="黑体" w:cs="黑体"/>
          <w:szCs w:val="21"/>
        </w:rPr>
        <w:t>4.1  单元标准差</w:t>
      </w:r>
    </w:p>
    <w:p>
      <w:pPr>
        <w:spacing w:before="156" w:beforeLines="50" w:line="360" w:lineRule="auto"/>
        <w:ind w:firstLine="420" w:firstLineChars="200"/>
        <w:rPr>
          <w:szCs w:val="21"/>
        </w:rPr>
      </w:pPr>
      <w:r>
        <w:rPr>
          <w:rFonts w:hint="eastAsia"/>
          <w:szCs w:val="21"/>
        </w:rPr>
        <w:t>计算表2中的单元标准差，列于表4。</w:t>
      </w:r>
    </w:p>
    <w:p>
      <w:pPr>
        <w:spacing w:before="156" w:beforeLines="50" w:line="360" w:lineRule="auto"/>
        <w:ind w:firstLine="420" w:firstLineChars="200"/>
        <w:jc w:val="center"/>
        <w:rPr>
          <w:szCs w:val="21"/>
        </w:rPr>
      </w:pPr>
      <w:r>
        <w:rPr>
          <w:rFonts w:hint="eastAsia"/>
          <w:szCs w:val="21"/>
        </w:rPr>
        <w:t>表4  单元标准差</w:t>
      </w:r>
    </w:p>
    <w:tbl>
      <w:tblPr>
        <w:tblStyle w:val="23"/>
        <w:tblW w:w="8080" w:type="dxa"/>
        <w:tblInd w:w="137" w:type="dxa"/>
        <w:tblLayout w:type="autofit"/>
        <w:tblCellMar>
          <w:top w:w="0" w:type="dxa"/>
          <w:left w:w="0" w:type="dxa"/>
          <w:bottom w:w="0" w:type="dxa"/>
          <w:right w:w="0" w:type="dxa"/>
        </w:tblCellMar>
      </w:tblPr>
      <w:tblGrid>
        <w:gridCol w:w="1276"/>
        <w:gridCol w:w="1737"/>
        <w:gridCol w:w="1665"/>
        <w:gridCol w:w="1701"/>
        <w:gridCol w:w="1701"/>
      </w:tblGrid>
      <w:tr>
        <w:tblPrEx>
          <w:tblCellMar>
            <w:top w:w="0" w:type="dxa"/>
            <w:left w:w="0" w:type="dxa"/>
            <w:bottom w:w="0" w:type="dxa"/>
            <w:right w:w="0" w:type="dxa"/>
          </w:tblCellMar>
        </w:tblPrEx>
        <w:trPr>
          <w:trHeight w:val="285" w:hRule="atLeast"/>
        </w:trPr>
        <w:tc>
          <w:tcPr>
            <w:tcW w:w="1276" w:type="dxa"/>
            <w:vMerge w:val="restart"/>
            <w:tcBorders>
              <w:top w:val="single" w:color="auto" w:sz="4" w:space="0"/>
              <w:left w:val="single" w:color="auto"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widowControl/>
              <w:jc w:val="center"/>
              <w:rPr>
                <w:rFonts w:ascii="等线" w:hAnsi="等线" w:eastAsia="等线"/>
                <w:color w:val="000000"/>
                <w:sz w:val="22"/>
                <w:szCs w:val="22"/>
              </w:rPr>
            </w:pPr>
            <w:r>
              <w:rPr>
                <w:rFonts w:hint="eastAsia" w:ascii="等线" w:hAnsi="等线" w:eastAsia="等线"/>
                <w:color w:val="000000"/>
                <w:sz w:val="22"/>
                <w:szCs w:val="22"/>
              </w:rPr>
              <w:t>实验室i</w:t>
            </w:r>
          </w:p>
        </w:tc>
        <w:tc>
          <w:tcPr>
            <w:tcW w:w="6804"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水平j</w:t>
            </w:r>
          </w:p>
        </w:tc>
      </w:tr>
      <w:tr>
        <w:tblPrEx>
          <w:tblCellMar>
            <w:top w:w="0" w:type="dxa"/>
            <w:left w:w="0" w:type="dxa"/>
            <w:bottom w:w="0" w:type="dxa"/>
            <w:right w:w="0" w:type="dxa"/>
          </w:tblCellMar>
        </w:tblPrEx>
        <w:trPr>
          <w:trHeight w:val="285" w:hRule="atLeast"/>
        </w:trPr>
        <w:tc>
          <w:tcPr>
            <w:tcW w:w="1276" w:type="dxa"/>
            <w:vMerge w:val="continue"/>
            <w:tcBorders>
              <w:top w:val="single" w:color="auto" w:sz="4" w:space="0"/>
              <w:left w:val="single" w:color="auto" w:sz="4" w:space="0"/>
              <w:bottom w:val="single" w:color="000000" w:sz="4" w:space="0"/>
              <w:right w:val="single" w:color="auto" w:sz="4" w:space="0"/>
            </w:tcBorders>
            <w:vAlign w:val="center"/>
          </w:tcPr>
          <w:p>
            <w:pPr>
              <w:rPr>
                <w:rFonts w:ascii="等线" w:hAnsi="等线" w:eastAsia="等线" w:cs="宋体"/>
                <w:color w:val="000000"/>
                <w:sz w:val="22"/>
                <w:szCs w:val="22"/>
              </w:rPr>
            </w:pP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2#</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3#</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0.0148</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0.0213</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0.0396</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0.0537</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2</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0.0259</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0.0277</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0.0462</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0.0407</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3</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0.0711</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0.0842</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0.0634</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0.0529</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4</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0.0495</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0.0444</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0.0319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0.0466</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5</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0.0139</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0.0280</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0.0239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0.0250</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6</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0.0381</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0.0656</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0.0338</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0.0412</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7</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0.0602</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0.0816</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0.0995</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0.0945</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8</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0.0373</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0.0419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0.0467</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0.0599</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9</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0.0127</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0.0173</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0.0161</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0.0141</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10</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0.0402</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0.0364</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0.0588</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0.0365</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11</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0.0366</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0.0337</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0.0830</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0.0368</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12</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0.0550</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0.0337</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0.0507</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0.0440</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13</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0.0292</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0.0476</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0.0454</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0.0515</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14</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0.0333</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0.0349</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0.0613</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0.0574</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15</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0.0596</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0.0668</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0.0538</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0.0714</w:t>
            </w:r>
          </w:p>
        </w:tc>
      </w:tr>
      <w:tr>
        <w:tblPrEx>
          <w:tblCellMar>
            <w:top w:w="0" w:type="dxa"/>
            <w:left w:w="0" w:type="dxa"/>
            <w:bottom w:w="0" w:type="dxa"/>
            <w:right w:w="0" w:type="dxa"/>
          </w:tblCellMar>
        </w:tblPrEx>
        <w:trPr>
          <w:trHeight w:val="285" w:hRule="atLeast"/>
        </w:trPr>
        <w:tc>
          <w:tcPr>
            <w:tcW w:w="1276" w:type="dxa"/>
            <w:tcBorders>
              <w:top w:val="nil"/>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16</w:t>
            </w:r>
          </w:p>
        </w:tc>
        <w:tc>
          <w:tcPr>
            <w:tcW w:w="173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0.0650</w:t>
            </w:r>
          </w:p>
        </w:tc>
        <w:tc>
          <w:tcPr>
            <w:tcW w:w="16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0.1002</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0.0711</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等线" w:hAnsi="等线" w:eastAsia="等线"/>
                <w:color w:val="000000"/>
                <w:sz w:val="22"/>
                <w:szCs w:val="22"/>
              </w:rPr>
            </w:pPr>
            <w:r>
              <w:rPr>
                <w:rFonts w:hint="eastAsia" w:ascii="等线" w:hAnsi="等线" w:eastAsia="等线"/>
                <w:color w:val="000000"/>
                <w:sz w:val="22"/>
                <w:szCs w:val="22"/>
              </w:rPr>
              <w:t>0.0498</w:t>
            </w:r>
          </w:p>
        </w:tc>
      </w:tr>
    </w:tbl>
    <w:p>
      <w:pPr>
        <w:spacing w:before="156" w:beforeLines="50" w:line="360" w:lineRule="auto"/>
        <w:rPr>
          <w:rFonts w:ascii="黑体" w:hAnsi="黑体" w:eastAsia="黑体" w:cs="黑体"/>
          <w:szCs w:val="21"/>
        </w:rPr>
      </w:pPr>
      <w:r>
        <w:rPr>
          <w:rFonts w:hint="eastAsia" w:ascii="黑体" w:hAnsi="黑体" w:eastAsia="黑体" w:cs="黑体"/>
          <w:szCs w:val="21"/>
        </w:rPr>
        <w:t xml:space="preserve"> 4.2  单元方差</w:t>
      </w:r>
    </w:p>
    <w:p>
      <w:pPr>
        <w:spacing w:before="156" w:beforeLines="50" w:line="360" w:lineRule="auto"/>
        <w:ind w:firstLine="420" w:firstLineChars="200"/>
        <w:rPr>
          <w:szCs w:val="21"/>
        </w:rPr>
      </w:pPr>
      <w:r>
        <w:rPr>
          <w:rFonts w:hint="eastAsia"/>
          <w:szCs w:val="21"/>
        </w:rPr>
        <w:t>计算表2中的单元方差，列于表5。</w:t>
      </w:r>
    </w:p>
    <w:p>
      <w:pPr>
        <w:spacing w:before="156" w:beforeLines="50" w:line="360" w:lineRule="auto"/>
        <w:ind w:firstLine="420" w:firstLineChars="200"/>
        <w:jc w:val="center"/>
        <w:rPr>
          <w:szCs w:val="21"/>
        </w:rPr>
      </w:pPr>
      <w:r>
        <w:rPr>
          <w:rFonts w:hint="eastAsia"/>
          <w:szCs w:val="21"/>
        </w:rPr>
        <w:t>表5  单元方差</w:t>
      </w:r>
    </w:p>
    <w:tbl>
      <w:tblPr>
        <w:tblStyle w:val="23"/>
        <w:tblpPr w:leftFromText="180" w:rightFromText="180" w:vertAnchor="text" w:horzAnchor="margin" w:tblpXSpec="center" w:tblpY="64"/>
        <w:tblW w:w="8222" w:type="dxa"/>
        <w:tblInd w:w="0" w:type="dxa"/>
        <w:tblLayout w:type="autofit"/>
        <w:tblCellMar>
          <w:top w:w="0" w:type="dxa"/>
          <w:left w:w="108" w:type="dxa"/>
          <w:bottom w:w="0" w:type="dxa"/>
          <w:right w:w="108" w:type="dxa"/>
        </w:tblCellMar>
      </w:tblPr>
      <w:tblGrid>
        <w:gridCol w:w="1418"/>
        <w:gridCol w:w="1701"/>
        <w:gridCol w:w="1701"/>
        <w:gridCol w:w="1701"/>
        <w:gridCol w:w="1701"/>
      </w:tblGrid>
      <w:tr>
        <w:tblPrEx>
          <w:tblCellMar>
            <w:top w:w="0" w:type="dxa"/>
            <w:left w:w="108" w:type="dxa"/>
            <w:bottom w:w="0" w:type="dxa"/>
            <w:right w:w="108" w:type="dxa"/>
          </w:tblCellMar>
        </w:tblPrEx>
        <w:trPr>
          <w:trHeight w:val="285" w:hRule="atLeast"/>
        </w:trPr>
        <w:tc>
          <w:tcPr>
            <w:tcW w:w="14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实验室i</w:t>
            </w:r>
          </w:p>
        </w:tc>
        <w:tc>
          <w:tcPr>
            <w:tcW w:w="680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水平j</w:t>
            </w:r>
          </w:p>
        </w:tc>
      </w:tr>
      <w:tr>
        <w:tblPrEx>
          <w:tblCellMar>
            <w:top w:w="0" w:type="dxa"/>
            <w:left w:w="108" w:type="dxa"/>
            <w:bottom w:w="0" w:type="dxa"/>
            <w:right w:w="108" w:type="dxa"/>
          </w:tblCellMar>
        </w:tblPrEx>
        <w:trPr>
          <w:trHeight w:val="285" w:hRule="atLeast"/>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0.000220</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0.000453</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0.001567</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0.002882</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0.000669</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0.000767</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0.002135</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0.001653</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0.005055</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0.007095</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0.004017</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0.002798</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0.002449</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0.001967</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0.001020</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0.002171</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0.000192</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0.000784</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0.000571</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0.000624</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0.001453</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0.004298</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0.001143</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0.001698</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0.003624</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0.006653</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0.009898</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0.008939</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0.001392</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0.001755</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0.002184</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0.003584</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0.000162</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0.000299</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0.000258</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0.000199</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0.001612</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0.001327</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0.003453</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0.001335</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0.001339</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0.001135</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0.006886</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0.001355</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0.003029</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0.001135</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0.002567</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0.001935</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0.000853</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0.002269</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0.002057</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0.002653</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0.001106</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0.001220</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0.003763</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0.003298</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0.003547</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0.004460</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0.002893</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0.005097</w:t>
            </w:r>
          </w:p>
        </w:tc>
      </w:tr>
      <w:tr>
        <w:tblPrEx>
          <w:tblCellMar>
            <w:top w:w="0" w:type="dxa"/>
            <w:left w:w="108" w:type="dxa"/>
            <w:bottom w:w="0" w:type="dxa"/>
            <w:right w:w="108" w:type="dxa"/>
          </w:tblCellMar>
        </w:tblPrEx>
        <w:trPr>
          <w:trHeight w:val="285" w:hRule="atLeast"/>
        </w:trPr>
        <w:tc>
          <w:tcPr>
            <w:tcW w:w="141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0.004224</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0.010049</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0.005049</w:t>
            </w:r>
          </w:p>
        </w:tc>
        <w:tc>
          <w:tcPr>
            <w:tcW w:w="1701" w:type="dxa"/>
            <w:tcBorders>
              <w:top w:val="nil"/>
              <w:left w:val="nil"/>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0.002482</w:t>
            </w:r>
          </w:p>
        </w:tc>
      </w:tr>
    </w:tbl>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5  检验</w:t>
      </w:r>
    </w:p>
    <w:p>
      <w:pPr>
        <w:spacing w:before="156" w:beforeLines="50" w:after="156" w:afterLines="50" w:line="360" w:lineRule="auto"/>
        <w:rPr>
          <w:rFonts w:ascii="黑体" w:hAnsi="黑体" w:eastAsia="黑体" w:cs="黑体"/>
          <w:szCs w:val="21"/>
        </w:rPr>
      </w:pPr>
      <w:r>
        <w:rPr>
          <w:rFonts w:hint="eastAsia" w:ascii="黑体" w:hAnsi="黑体" w:eastAsia="黑体" w:cs="黑体"/>
          <w:szCs w:val="21"/>
        </w:rPr>
        <w:t>5.1 曼德尔一致性检查</w:t>
      </w:r>
    </w:p>
    <w:p>
      <w:pPr>
        <w:spacing w:before="156" w:beforeLines="50" w:line="360" w:lineRule="auto"/>
        <w:rPr>
          <w:szCs w:val="20"/>
        </w:rPr>
      </w:pPr>
      <w:r>
        <w:rPr>
          <w:rFonts w:hint="eastAsia"/>
          <w:szCs w:val="20"/>
        </w:rPr>
        <w:t>5.1.1 按照式（3）计算出曼德尔统计量h，结果列于表6，并绘制出图1。</w:t>
      </w:r>
    </w:p>
    <w:p>
      <w:pPr>
        <w:adjustRightInd w:val="0"/>
        <w:snapToGrid w:val="0"/>
        <w:spacing w:before="156" w:beforeLines="50" w:line="360" w:lineRule="auto"/>
        <w:rPr>
          <w:szCs w:val="20"/>
        </w:rPr>
      </w:pPr>
      <w:r>
        <w:rPr>
          <w:position w:val="-76"/>
          <w:szCs w:val="20"/>
        </w:rPr>
        <w:object>
          <v:shape id="_x0000_i1026" o:spt="75" type="#_x0000_t75" style="height:65.1pt;width:137.1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szCs w:val="20"/>
        </w:rPr>
        <w:t>…………………………………………（3）</w:t>
      </w:r>
    </w:p>
    <w:p>
      <w:pPr>
        <w:spacing w:before="156" w:beforeLines="50" w:line="360" w:lineRule="auto"/>
        <w:ind w:firstLine="420" w:firstLineChars="200"/>
        <w:rPr>
          <w:szCs w:val="20"/>
        </w:rPr>
      </w:pPr>
      <w:r>
        <w:rPr>
          <w:rFonts w:hint="eastAsia"/>
          <w:szCs w:val="20"/>
        </w:rPr>
        <w:t>式中</w:t>
      </w:r>
    </w:p>
    <w:p>
      <w:pPr>
        <w:spacing w:before="156" w:beforeLines="50" w:line="360" w:lineRule="auto"/>
        <w:ind w:firstLine="840" w:firstLineChars="400"/>
        <w:rPr>
          <w:szCs w:val="20"/>
        </w:rPr>
      </w:pPr>
      <w:r>
        <w:rPr>
          <w:position w:val="-14"/>
          <w:szCs w:val="20"/>
        </w:rPr>
        <w:object>
          <v:shape id="_x0000_i1027" o:spt="75" type="#_x0000_t75" style="height:21.45pt;width:14.5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szCs w:val="20"/>
        </w:rPr>
        <w:t>—曼德尔统计量；</w:t>
      </w:r>
    </w:p>
    <w:p>
      <w:pPr>
        <w:spacing w:before="156" w:beforeLines="50" w:line="360" w:lineRule="auto"/>
        <w:ind w:firstLine="840" w:firstLineChars="400"/>
        <w:rPr>
          <w:szCs w:val="20"/>
        </w:rPr>
      </w:pPr>
      <w:r>
        <w:rPr>
          <w:rFonts w:hint="eastAsia"/>
          <w:i/>
          <w:szCs w:val="20"/>
        </w:rPr>
        <w:t>p</w:t>
      </w:r>
      <w:r>
        <w:rPr>
          <w:rFonts w:hint="eastAsia"/>
          <w:i/>
          <w:szCs w:val="20"/>
          <w:vertAlign w:val="subscript"/>
        </w:rPr>
        <w:t>j</w:t>
      </w:r>
      <w:r>
        <w:rPr>
          <w:rFonts w:hint="eastAsia"/>
          <w:szCs w:val="20"/>
        </w:rPr>
        <w:t>—j水平下的实验室数；</w:t>
      </w:r>
    </w:p>
    <w:p>
      <w:pPr>
        <w:spacing w:before="156" w:beforeLines="50" w:line="360" w:lineRule="auto"/>
        <w:ind w:firstLine="840" w:firstLineChars="400"/>
        <w:rPr>
          <w:szCs w:val="20"/>
        </w:rPr>
      </w:pPr>
      <w:r>
        <w:rPr>
          <w:position w:val="-14"/>
          <w:szCs w:val="20"/>
        </w:rPr>
        <w:object>
          <v:shape id="_x0000_i1028" o:spt="75" type="#_x0000_t75" style="height:21.45pt;width:14.5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szCs w:val="20"/>
        </w:rPr>
        <w:t>—j水平下的总平均值；</w:t>
      </w:r>
    </w:p>
    <w:p>
      <w:pPr>
        <w:spacing w:before="156" w:beforeLines="50" w:line="360" w:lineRule="auto"/>
        <w:ind w:firstLine="840" w:firstLineChars="400"/>
        <w:rPr>
          <w:szCs w:val="20"/>
        </w:rPr>
      </w:pPr>
      <w:r>
        <w:rPr>
          <w:position w:val="-14"/>
          <w:szCs w:val="20"/>
        </w:rPr>
        <w:object>
          <v:shape id="_x0000_i1029" o:spt="75" type="#_x0000_t75" style="height:21.45pt;width:14.5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eastAsia"/>
          <w:szCs w:val="20"/>
        </w:rPr>
        <w:t>—单元平均值。</w:t>
      </w:r>
    </w:p>
    <w:p>
      <w:pPr>
        <w:spacing w:before="156" w:beforeLines="50" w:line="360" w:lineRule="auto"/>
        <w:jc w:val="center"/>
        <w:rPr>
          <w:rFonts w:ascii="黑体" w:eastAsia="黑体"/>
          <w:szCs w:val="21"/>
        </w:rPr>
      </w:pPr>
      <w:r>
        <w:rPr>
          <w:rFonts w:hint="eastAsia" w:ascii="黑体" w:eastAsia="黑体"/>
          <w:szCs w:val="21"/>
        </w:rPr>
        <w:t>表6  曼德尔统计量h计算结果</w:t>
      </w:r>
    </w:p>
    <w:tbl>
      <w:tblPr>
        <w:tblStyle w:val="23"/>
        <w:tblW w:w="8092" w:type="dxa"/>
        <w:tblInd w:w="-5" w:type="dxa"/>
        <w:tblLayout w:type="autofit"/>
        <w:tblCellMar>
          <w:top w:w="0" w:type="dxa"/>
          <w:left w:w="108" w:type="dxa"/>
          <w:bottom w:w="0" w:type="dxa"/>
          <w:right w:w="108" w:type="dxa"/>
        </w:tblCellMar>
      </w:tblPr>
      <w:tblGrid>
        <w:gridCol w:w="1080"/>
        <w:gridCol w:w="1755"/>
        <w:gridCol w:w="1701"/>
        <w:gridCol w:w="1843"/>
        <w:gridCol w:w="1713"/>
      </w:tblGrid>
      <w:tr>
        <w:tblPrEx>
          <w:tblCellMar>
            <w:top w:w="0" w:type="dxa"/>
            <w:left w:w="108" w:type="dxa"/>
            <w:bottom w:w="0" w:type="dxa"/>
            <w:right w:w="108" w:type="dxa"/>
          </w:tblCellMar>
        </w:tblPrEx>
        <w:trPr>
          <w:trHeight w:val="285"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实验室i</w:t>
            </w:r>
          </w:p>
        </w:tc>
        <w:tc>
          <w:tcPr>
            <w:tcW w:w="701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水平j</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szCs w:val="22"/>
              </w:rPr>
            </w:pP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0.8870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0.0326</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0.3938</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0.1357</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-0.2483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0.1361</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0.8901</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0.2537</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0.4567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0.6160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0.2375</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0.6043</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1.5737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-0.2261</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-0.2681</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-0.1930</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-2.4909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-2.8909</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-2.9888</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-2.5193</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-0.6969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-0.2003</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0.2283</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0.3296</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-1.2855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0.3948</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0.4121</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0.6583</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-0.3885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-0.4460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0.0445</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-0.3194</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0.2843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0.8165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0.8010</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0.5226</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-0.7669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-0.1097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-0.8379</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-1.1791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0.3824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0.9640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0.7430</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0.9954</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0.4244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0.0585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0.3846</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0.2621</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1.3495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0.2525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0.6787</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0.4897</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0.3543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0.9252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0.1456</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0.7425</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0.1749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1.1063</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0.5344</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0.9693</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16</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-0.0101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-1.4292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-1.3987</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-1.7523</w:t>
            </w:r>
          </w:p>
        </w:tc>
      </w:tr>
    </w:tbl>
    <w:p>
      <w:pPr>
        <w:spacing w:before="156" w:beforeLines="50" w:after="156" w:afterLines="50"/>
        <w:rPr>
          <w:szCs w:val="21"/>
        </w:rPr>
      </w:pPr>
      <w:r>
        <w:drawing>
          <wp:inline distT="0" distB="0" distL="0" distR="0">
            <wp:extent cx="5274310" cy="2529840"/>
            <wp:effectExtent l="0" t="0" r="2540" b="38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before="156" w:beforeLines="50" w:after="156" w:afterLines="50" w:line="360" w:lineRule="auto"/>
        <w:ind w:firstLine="420" w:firstLineChars="200"/>
        <w:rPr>
          <w:szCs w:val="21"/>
        </w:rPr>
      </w:pPr>
      <w:r>
        <w:rPr>
          <w:rFonts w:hint="eastAsia"/>
          <w:szCs w:val="21"/>
        </w:rPr>
        <w:t>当p=</w:t>
      </w:r>
      <w:r>
        <w:rPr>
          <w:szCs w:val="21"/>
        </w:rPr>
        <w:t>16</w:t>
      </w:r>
      <w:r>
        <w:rPr>
          <w:rFonts w:hint="eastAsia"/>
          <w:szCs w:val="21"/>
        </w:rPr>
        <w:t>时，显著性水平为1%时的曼德尔h统计量的临界值h=</w:t>
      </w:r>
      <w:r>
        <w:rPr>
          <w:szCs w:val="21"/>
        </w:rPr>
        <w:t>2.33</w:t>
      </w:r>
      <w:r>
        <w:rPr>
          <w:rFonts w:hint="eastAsia"/>
          <w:szCs w:val="21"/>
        </w:rPr>
        <w:t>，显著性水平为5%时的曼德尔h统计量的临界值h=</w:t>
      </w:r>
      <w:r>
        <w:rPr>
          <w:szCs w:val="21"/>
        </w:rPr>
        <w:t>1.86</w:t>
      </w:r>
      <w:r>
        <w:rPr>
          <w:rFonts w:hint="eastAsia"/>
          <w:szCs w:val="21"/>
        </w:rPr>
        <w:t>。实验室</w:t>
      </w:r>
      <w:r>
        <w:rPr>
          <w:szCs w:val="21"/>
        </w:rPr>
        <w:t>5</w:t>
      </w:r>
      <w:r>
        <w:rPr>
          <w:rFonts w:hint="eastAsia"/>
          <w:szCs w:val="21"/>
        </w:rPr>
        <w:t>的</w:t>
      </w:r>
      <w:r>
        <w:rPr>
          <w:szCs w:val="21"/>
        </w:rPr>
        <w:t>1#</w:t>
      </w:r>
      <w:r>
        <w:rPr>
          <w:rFonts w:hint="eastAsia"/>
          <w:szCs w:val="21"/>
        </w:rPr>
        <w:t>、2#、3#、4#样品的数值为离群值。经过讨论，这些数据均予以剔除统计。</w:t>
      </w:r>
    </w:p>
    <w:p>
      <w:pPr>
        <w:spacing w:line="360" w:lineRule="auto"/>
        <w:rPr>
          <w:szCs w:val="20"/>
        </w:rPr>
      </w:pPr>
      <w:r>
        <w:rPr>
          <w:rFonts w:hint="eastAsia"/>
          <w:szCs w:val="20"/>
        </w:rPr>
        <w:t>5.2 有效的精密度试验有效数据见表10。</w:t>
      </w:r>
    </w:p>
    <w:p>
      <w:pPr>
        <w:spacing w:before="156" w:beforeLines="50" w:after="156" w:afterLines="50"/>
        <w:jc w:val="center"/>
        <w:rPr>
          <w:rFonts w:ascii="黑体" w:eastAsia="黑体"/>
          <w:szCs w:val="21"/>
        </w:rPr>
      </w:pPr>
      <w:r>
        <w:rPr>
          <w:rFonts w:hint="eastAsia" w:ascii="黑体" w:eastAsia="黑体"/>
          <w:szCs w:val="21"/>
        </w:rPr>
        <w:t>表10  精密度试验有效数据</w:t>
      </w:r>
    </w:p>
    <w:tbl>
      <w:tblPr>
        <w:tblStyle w:val="23"/>
        <w:tblW w:w="8440" w:type="dxa"/>
        <w:tblInd w:w="-5" w:type="dxa"/>
        <w:tblLayout w:type="autofit"/>
        <w:tblCellMar>
          <w:top w:w="0" w:type="dxa"/>
          <w:left w:w="108" w:type="dxa"/>
          <w:bottom w:w="0" w:type="dxa"/>
          <w:right w:w="108" w:type="dxa"/>
        </w:tblCellMar>
      </w:tblPr>
      <w:tblGrid>
        <w:gridCol w:w="1276"/>
        <w:gridCol w:w="1701"/>
        <w:gridCol w:w="1701"/>
        <w:gridCol w:w="1843"/>
        <w:gridCol w:w="1919"/>
      </w:tblGrid>
      <w:tr>
        <w:tblPrEx>
          <w:tblCellMar>
            <w:top w:w="0" w:type="dxa"/>
            <w:left w:w="108" w:type="dxa"/>
            <w:bottom w:w="0" w:type="dxa"/>
            <w:right w:w="108" w:type="dxa"/>
          </w:tblCellMar>
        </w:tblPrEx>
        <w:trPr>
          <w:trHeight w:val="285"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实验室i</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9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14.83</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19.87</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9.88</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14.76</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19.81</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9.86</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14.82</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19.76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9.86</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14.82</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19.83</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9.87</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14.89</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19.93</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9.88</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14.86</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14.87</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19.78</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14.86</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19.88</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14.90</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19.92</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9.90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14.94</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4.89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9.89</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14.84</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9.92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14.98</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19.82</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9.92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14.95</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14.92</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19.85</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10.02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14.74</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9.99</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14.75</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10.04</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14.84</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19.84</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9.88</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14.86</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19.89</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9.79</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14.88</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19.88</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9.89</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14.89</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9.98</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14.74</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19.99</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5.15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9.91</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14.78</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19.76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5.13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9.86</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14.74</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19.73</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5.10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14.76</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19.77</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5.03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9.79</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14.68</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19.70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5.07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9.78</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14.71</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19.84</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5.18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9.89</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14.75</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19.76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5.16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9.84</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14.71</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19.83</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　</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4.88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9.74</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14.78</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4.84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9.79</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14.82</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9.86</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14.76</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19.82</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4.89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14.86</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14.81</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9.88</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14.85</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4.83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14.79</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19.93</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4.86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9.91</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14.72</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20.05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10.01</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14.87</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20.01</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4.72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9.77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14.73</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19.92</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4.77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9.83</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14.96</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19.77</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4.81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9.92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14.77</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19.88</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4.89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9.96</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14.99</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19.96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4.83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10.00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14.83</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19.81</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4.93</w:t>
            </w: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9.86</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14.79</w:t>
            </w:r>
          </w:p>
        </w:tc>
        <w:tc>
          <w:tcPr>
            <w:tcW w:w="1919"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19.75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4.86</w:t>
            </w: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9.84</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14.85</w:t>
            </w:r>
          </w:p>
        </w:tc>
        <w:tc>
          <w:tcPr>
            <w:tcW w:w="1919"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19.65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4.97</w:t>
            </w: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9.81</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14.79</w:t>
            </w:r>
          </w:p>
        </w:tc>
        <w:tc>
          <w:tcPr>
            <w:tcW w:w="1919"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19.76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4.96</w:t>
            </w: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9.75</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14.69</w:t>
            </w:r>
          </w:p>
        </w:tc>
        <w:tc>
          <w:tcPr>
            <w:tcW w:w="1919"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19.83</w:t>
            </w:r>
          </w:p>
        </w:tc>
      </w:tr>
      <w:tr>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4.92</w:t>
            </w: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9.88</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14.76</w:t>
            </w:r>
          </w:p>
        </w:tc>
        <w:tc>
          <w:tcPr>
            <w:tcW w:w="1919"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19.69</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4.90</w:t>
            </w: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9.78</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14.82</w:t>
            </w:r>
          </w:p>
        </w:tc>
        <w:tc>
          <w:tcPr>
            <w:tcW w:w="1919"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19.74</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4.88</w:t>
            </w:r>
          </w:p>
        </w:tc>
        <w:tc>
          <w:tcPr>
            <w:tcW w:w="1701"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9.83</w:t>
            </w:r>
          </w:p>
        </w:tc>
        <w:tc>
          <w:tcPr>
            <w:tcW w:w="1843"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14.77</w:t>
            </w:r>
          </w:p>
        </w:tc>
        <w:tc>
          <w:tcPr>
            <w:tcW w:w="1919" w:type="dxa"/>
            <w:tcBorders>
              <w:top w:val="nil"/>
              <w:left w:val="nil"/>
              <w:bottom w:val="single" w:color="auto" w:sz="4" w:space="0"/>
              <w:right w:val="single" w:color="auto" w:sz="4" w:space="0"/>
            </w:tcBorders>
            <w:shd w:val="clear" w:color="auto" w:fill="auto"/>
            <w:vAlign w:val="bottom"/>
          </w:tcPr>
          <w:p>
            <w:pPr>
              <w:widowControl/>
              <w:jc w:val="center"/>
              <w:rPr>
                <w:rFonts w:eastAsia="等线"/>
                <w:kern w:val="0"/>
                <w:sz w:val="22"/>
                <w:szCs w:val="22"/>
              </w:rPr>
            </w:pPr>
            <w:r>
              <w:rPr>
                <w:rFonts w:eastAsia="等线"/>
                <w:kern w:val="0"/>
                <w:sz w:val="22"/>
                <w:szCs w:val="22"/>
              </w:rPr>
              <w:t>19.82</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9.98</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14.90</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19.89</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9.98</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14.86</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9.97</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14.92</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14.91</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14.90</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19.89</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14.91</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19.89</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9.97</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14.90</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19.91</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4.84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14.66</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19.64</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4.88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9.85</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14.56</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19.56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14.76</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19.60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9.92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14.66</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19.60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4.84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14.59</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19.57</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4.83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9.79</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14.63</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19.58</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9.84</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14.65</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19.67</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14.85</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19.92</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9.96</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14.97</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9.99</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15.01</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19.98</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9.97</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14.79</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20.03</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10.03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14.86</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20.01</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10.01</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14.96</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19.97</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9.96</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14.79</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19.93</w:t>
            </w:r>
          </w:p>
        </w:tc>
      </w:tr>
      <w:tr>
        <w:tblPrEx>
          <w:tblCellMar>
            <w:top w:w="0" w:type="dxa"/>
            <w:left w:w="108" w:type="dxa"/>
            <w:bottom w:w="0" w:type="dxa"/>
            <w:right w:w="108" w:type="dxa"/>
          </w:tblCellMar>
        </w:tblPrEx>
        <w:trPr>
          <w:trHeight w:val="300"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9.89</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14.89</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19.91</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14.86</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19.88</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14.85</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9.84</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14.84</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19.76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9.89</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14.72</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19.82</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9.91</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14.86</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9.87</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14.82</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19.86</w:t>
            </w:r>
          </w:p>
        </w:tc>
      </w:tr>
      <w:tr>
        <w:tblPrEx>
          <w:tblCellMar>
            <w:top w:w="0" w:type="dxa"/>
            <w:left w:w="108" w:type="dxa"/>
            <w:bottom w:w="0" w:type="dxa"/>
            <w:right w:w="108" w:type="dxa"/>
          </w:tblCellMar>
        </w:tblPrEx>
        <w:trPr>
          <w:trHeight w:val="315"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9.87</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14.88</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5.12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10.00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14.90</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9.91</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14.96</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19.93</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9.88</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14.88</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19.79</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5.15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9.86</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14.90</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19.92</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14.82</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9.85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14.82</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19.90</w:t>
            </w:r>
          </w:p>
        </w:tc>
      </w:tr>
      <w:tr>
        <w:tblPrEx>
          <w:tblCellMar>
            <w:top w:w="0" w:type="dxa"/>
            <w:left w:w="108" w:type="dxa"/>
            <w:bottom w:w="0" w:type="dxa"/>
            <w:right w:w="108" w:type="dxa"/>
          </w:tblCellMar>
        </w:tblPrEx>
        <w:trPr>
          <w:trHeight w:val="315"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5.05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10.02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14.87</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19.87</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9.96</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14.72</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19.90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10.01</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14.85</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19.99</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9.92</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14.72</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19.85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9.94</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14.78</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19.92</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9.96</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14.87</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19.95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5.03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10.00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14.77</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20.02</w:t>
            </w:r>
          </w:p>
        </w:tc>
      </w:tr>
      <w:tr>
        <w:tblPrEx>
          <w:tblCellMar>
            <w:top w:w="0" w:type="dxa"/>
            <w:left w:w="108" w:type="dxa"/>
            <w:bottom w:w="0" w:type="dxa"/>
            <w:right w:w="108" w:type="dxa"/>
          </w:tblCellMar>
        </w:tblPrEx>
        <w:trPr>
          <w:trHeight w:val="315"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14.85</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20.00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10.00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14.97</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19.90</w:t>
            </w:r>
          </w:p>
        </w:tc>
      </w:tr>
      <w:tr>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4.89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10.02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14.82</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20.06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10.13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14.80</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20.05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9.95</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14.89</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19.90</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4.99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9.98</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14.87</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19.87</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5.06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9.96</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14.81</w:t>
            </w:r>
          </w:p>
        </w:tc>
        <w:tc>
          <w:tcPr>
            <w:tcW w:w="1919" w:type="dxa"/>
            <w:tcBorders>
              <w:top w:val="nil"/>
              <w:left w:val="nil"/>
              <w:bottom w:val="single" w:color="auto" w:sz="4" w:space="0"/>
              <w:right w:val="single" w:color="auto" w:sz="4" w:space="0"/>
            </w:tcBorders>
            <w:shd w:val="clear" w:color="auto" w:fill="auto"/>
            <w:vAlign w:val="center"/>
          </w:tcPr>
          <w:p>
            <w:pPr>
              <w:widowControl/>
              <w:jc w:val="center"/>
              <w:rPr>
                <w:rFonts w:eastAsia="等线"/>
                <w:kern w:val="0"/>
                <w:sz w:val="22"/>
                <w:szCs w:val="22"/>
              </w:rPr>
            </w:pPr>
            <w:r>
              <w:rPr>
                <w:rFonts w:eastAsia="等线"/>
                <w:kern w:val="0"/>
                <w:sz w:val="22"/>
                <w:szCs w:val="22"/>
              </w:rPr>
              <w:t>19.99</w:t>
            </w:r>
          </w:p>
        </w:tc>
      </w:tr>
      <w:tr>
        <w:tblPrEx>
          <w:tblCellMar>
            <w:top w:w="0" w:type="dxa"/>
            <w:left w:w="108" w:type="dxa"/>
            <w:bottom w:w="0" w:type="dxa"/>
            <w:right w:w="108" w:type="dxa"/>
          </w:tblCellMar>
        </w:tblPrEx>
        <w:trPr>
          <w:trHeight w:val="315" w:hRule="atLeast"/>
        </w:trPr>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9.86</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14.60</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19.57</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4.87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9.87</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14.64</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19.49</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9.63</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14.58</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19.55</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9.61</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14.46</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19.48</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5.09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9.68</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14.51</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19.56</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9.64</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14.47</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19.44</w:t>
            </w:r>
          </w:p>
        </w:tc>
      </w:tr>
      <w:tr>
        <w:tblPrEx>
          <w:tblCellMar>
            <w:top w:w="0" w:type="dxa"/>
            <w:left w:w="108" w:type="dxa"/>
            <w:bottom w:w="0" w:type="dxa"/>
            <w:right w:w="108" w:type="dxa"/>
          </w:tblCellMar>
        </w:tblPrEx>
        <w:trPr>
          <w:trHeight w:val="300" w:hRule="atLeast"/>
        </w:trPr>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4.96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9.70</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14.64</w:t>
            </w:r>
          </w:p>
        </w:tc>
        <w:tc>
          <w:tcPr>
            <w:tcW w:w="1919"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kern w:val="0"/>
                <w:sz w:val="22"/>
                <w:szCs w:val="22"/>
              </w:rPr>
            </w:pPr>
            <w:r>
              <w:rPr>
                <w:rFonts w:eastAsia="等线"/>
                <w:kern w:val="0"/>
                <w:sz w:val="22"/>
                <w:szCs w:val="22"/>
              </w:rPr>
              <w:t>19.45</w:t>
            </w:r>
          </w:p>
        </w:tc>
      </w:tr>
    </w:tbl>
    <w:p>
      <w:pPr>
        <w:rPr>
          <w:rFonts w:ascii="黑体" w:hAnsi="黑体" w:eastAsia="黑体" w:cs="黑体"/>
          <w:bCs/>
          <w:szCs w:val="21"/>
        </w:rPr>
      </w:pPr>
    </w:p>
    <w:p>
      <w:pPr>
        <w:rPr>
          <w:rFonts w:ascii="黑体" w:hAnsi="黑体" w:eastAsia="黑体" w:cs="黑体"/>
          <w:bCs/>
          <w:szCs w:val="21"/>
        </w:rPr>
      </w:pPr>
      <w:r>
        <w:rPr>
          <w:rFonts w:hint="eastAsia" w:ascii="黑体" w:hAnsi="黑体" w:eastAsia="黑体" w:cs="黑体"/>
          <w:bCs/>
          <w:szCs w:val="21"/>
        </w:rPr>
        <w:t>6  精密度计算及分析</w:t>
      </w:r>
    </w:p>
    <w:p>
      <w:pPr>
        <w:spacing w:before="156" w:beforeLines="50" w:after="156" w:afterLines="50" w:line="360" w:lineRule="auto"/>
        <w:rPr>
          <w:rFonts w:ascii="黑体" w:hAnsi="黑体" w:eastAsia="黑体" w:cs="黑体"/>
          <w:bCs/>
          <w:szCs w:val="21"/>
        </w:rPr>
      </w:pPr>
      <w:r>
        <w:rPr>
          <w:rFonts w:hint="eastAsia" w:ascii="黑体" w:hAnsi="黑体" w:eastAsia="黑体" w:cs="黑体"/>
          <w:bCs/>
          <w:szCs w:val="21"/>
        </w:rPr>
        <w:t>6.1 重复性、再现性及其标准差计算</w:t>
      </w:r>
    </w:p>
    <w:p>
      <w:pPr>
        <w:spacing w:before="156" w:beforeLines="50" w:after="156" w:afterLines="50" w:line="360" w:lineRule="auto"/>
        <w:rPr>
          <w:rFonts w:ascii="黑体" w:hAnsi="黑体" w:eastAsia="黑体" w:cs="黑体"/>
          <w:bCs/>
          <w:szCs w:val="21"/>
        </w:rPr>
      </w:pPr>
      <w:r>
        <w:rPr>
          <w:rFonts w:hint="eastAsia" w:hAnsi="宋体"/>
          <w:color w:val="000000"/>
          <w:szCs w:val="21"/>
        </w:rPr>
        <w:t>按式（9）~式（12）计算表10中数据的</w:t>
      </w:r>
      <w:r>
        <w:rPr>
          <w:rFonts w:hAnsi="宋体"/>
          <w:color w:val="000000"/>
          <w:szCs w:val="21"/>
        </w:rPr>
        <w:t>总平均值和方差（</w:t>
      </w:r>
      <w:r>
        <w:rPr>
          <w:color w:val="000000"/>
          <w:position w:val="-14"/>
          <w:szCs w:val="21"/>
        </w:rPr>
        <w:object>
          <v:shape id="_x0000_i1030" o:spt="75" type="#_x0000_t75" style="height:21.45pt;width:14.55pt;" o:ole="t" filled="f" o:preferrelative="t" stroked="f" coordsize="21600,21600">
            <v:path/>
            <v:fill on="f" focussize="0,0"/>
            <v:stroke on="f" joinstyle="miter"/>
            <v:imagedata r:id="rId18" o:title=""/>
            <o:lock v:ext="edit" aspectratio="t"/>
            <w10:wrap type="none"/>
            <w10:anchorlock/>
          </v:shape>
          <o:OLEObject Type="Embed" ProgID="Equation.3" ShapeID="_x0000_i1030" DrawAspect="Content" ObjectID="_1468075730" r:id="rId17">
            <o:LockedField>false</o:LockedField>
          </o:OLEObject>
        </w:object>
      </w:r>
      <w:r>
        <w:rPr>
          <w:rFonts w:hAnsi="宋体"/>
          <w:color w:val="000000"/>
          <w:szCs w:val="21"/>
        </w:rPr>
        <w:t>、</w:t>
      </w:r>
      <w:r>
        <w:rPr>
          <w:color w:val="000000"/>
          <w:position w:val="-14"/>
          <w:szCs w:val="21"/>
        </w:rPr>
        <w:object>
          <v:shape id="_x0000_i1031" o:spt="75" type="#_x0000_t75" style="height:21.45pt;width:21.45pt;" o:ole="t" filled="f" o:preferrelative="t" stroked="f" coordsize="21600,21600">
            <v:path/>
            <v:fill on="f" focussize="0,0"/>
            <v:stroke on="f" joinstyle="miter"/>
            <v:imagedata r:id="rId20" o:title=""/>
            <o:lock v:ext="edit" aspectratio="t"/>
            <w10:wrap type="none"/>
            <w10:anchorlock/>
          </v:shape>
          <o:OLEObject Type="Embed" ProgID="Equation.3" ShapeID="_x0000_i1031" DrawAspect="Content" ObjectID="_1468075731" r:id="rId19">
            <o:LockedField>false</o:LockedField>
          </o:OLEObject>
        </w:object>
      </w:r>
      <w:r>
        <w:rPr>
          <w:rFonts w:hAnsi="宋体"/>
          <w:color w:val="000000"/>
          <w:szCs w:val="21"/>
        </w:rPr>
        <w:t>、</w:t>
      </w:r>
      <w:r>
        <w:rPr>
          <w:color w:val="000000"/>
          <w:position w:val="-14"/>
          <w:szCs w:val="21"/>
        </w:rPr>
        <w:object>
          <v:shape id="_x0000_i1032" o:spt="75" type="#_x0000_t75" style="height:21.45pt;width:21.4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1">
            <o:LockedField>false</o:LockedField>
          </o:OLEObject>
        </w:object>
      </w:r>
      <w:r>
        <w:rPr>
          <w:rFonts w:hAnsi="宋体"/>
          <w:color w:val="000000"/>
          <w:szCs w:val="21"/>
        </w:rPr>
        <w:t>、</w:t>
      </w:r>
      <w:r>
        <w:rPr>
          <w:color w:val="000000"/>
          <w:position w:val="-14"/>
          <w:szCs w:val="21"/>
        </w:rPr>
        <w:object>
          <v:shape id="_x0000_i1033" o:spt="75" type="#_x0000_t75" style="height:21.45pt;width:21.45pt;" o:ole="t" filled="f" o:preferrelative="t" stroked="f" coordsize="21600,21600">
            <v:path/>
            <v:fill on="f" focussize="0,0"/>
            <v:stroke on="f" joinstyle="miter"/>
            <v:imagedata r:id="rId24" o:title=""/>
            <o:lock v:ext="edit" aspectratio="t"/>
            <w10:wrap type="none"/>
            <w10:anchorlock/>
          </v:shape>
          <o:OLEObject Type="Embed" ProgID="Equation.3" ShapeID="_x0000_i1033" DrawAspect="Content" ObjectID="_1468075733" r:id="rId23">
            <o:LockedField>false</o:LockedField>
          </o:OLEObject>
        </w:object>
      </w:r>
      <w:r>
        <w:rPr>
          <w:rFonts w:hAnsi="宋体"/>
          <w:color w:val="000000"/>
          <w:szCs w:val="21"/>
        </w:rPr>
        <w:t>）</w:t>
      </w:r>
      <w:r>
        <w:rPr>
          <w:rFonts w:hint="eastAsia" w:hAnsi="宋体"/>
          <w:color w:val="000000"/>
          <w:szCs w:val="21"/>
        </w:rPr>
        <w:t>。</w:t>
      </w:r>
    </w:p>
    <w:p>
      <w:pPr>
        <w:spacing w:line="360" w:lineRule="auto"/>
        <w:ind w:firstLine="420" w:firstLineChars="200"/>
        <w:rPr>
          <w:color w:val="000000"/>
          <w:szCs w:val="21"/>
        </w:rPr>
      </w:pPr>
      <w:r>
        <w:rPr>
          <w:rFonts w:hint="eastAsia"/>
          <w:color w:val="000000"/>
          <w:szCs w:val="21"/>
        </w:rPr>
        <w:t>总平均值</w:t>
      </w:r>
      <w:r>
        <w:rPr>
          <w:b/>
          <w:color w:val="000000"/>
          <w:position w:val="-14"/>
          <w:szCs w:val="21"/>
        </w:rPr>
        <w:object>
          <v:shape id="_x0000_i1034" o:spt="75" type="#_x0000_t75" style="height:21.45pt;width:14.55pt;" o:ole="t" filled="f" o:preferrelative="t" stroked="f" coordsize="21600,21600">
            <v:path/>
            <v:fill on="f" focussize="0,0"/>
            <v:stroke on="f" joinstyle="miter"/>
            <v:imagedata r:id="rId18" o:title=""/>
            <o:lock v:ext="edit" aspectratio="t"/>
            <w10:wrap type="none"/>
            <w10:anchorlock/>
          </v:shape>
          <o:OLEObject Type="Embed" ProgID="Equation.3" ShapeID="_x0000_i1034" DrawAspect="Content" ObjectID="_1468075734" r:id="rId25">
            <o:LockedField>false</o:LockedField>
          </o:OLEObject>
        </w:object>
      </w:r>
      <w:r>
        <w:rPr>
          <w:rFonts w:hint="eastAsia"/>
          <w:color w:val="000000"/>
          <w:szCs w:val="21"/>
        </w:rPr>
        <w:t>的计算</w:t>
      </w:r>
    </w:p>
    <w:p>
      <w:pPr>
        <w:spacing w:line="360" w:lineRule="auto"/>
        <w:ind w:firstLine="420" w:firstLineChars="200"/>
        <w:rPr>
          <w:color w:val="000000"/>
          <w:szCs w:val="21"/>
        </w:rPr>
      </w:pPr>
      <w:r>
        <w:rPr>
          <w:color w:val="000000"/>
          <w:position w:val="-14"/>
          <w:szCs w:val="21"/>
        </w:rPr>
        <w:object>
          <v:shape id="_x0000_i1035" o:spt="75" type="#_x0000_t75" style="height:21.45pt;width:14.55pt;" o:ole="t" filled="f" o:preferrelative="t" stroked="f" coordsize="21600,21600">
            <v:path/>
            <v:fill on="f" focussize="0,0"/>
            <v:stroke on="f" joinstyle="miter"/>
            <v:imagedata r:id="rId18" o:title=""/>
            <o:lock v:ext="edit" aspectratio="t"/>
            <w10:wrap type="none"/>
            <w10:anchorlock/>
          </v:shape>
          <o:OLEObject Type="Embed" ProgID="Equation.3" ShapeID="_x0000_i1035" DrawAspect="Content" ObjectID="_1468075735" r:id="rId26">
            <o:LockedField>false</o:LockedField>
          </o:OLEObject>
        </w:object>
      </w:r>
      <w:r>
        <w:rPr>
          <w:rFonts w:hint="eastAsia"/>
          <w:color w:val="000000"/>
          <w:szCs w:val="21"/>
        </w:rPr>
        <w:t>=</w:t>
      </w:r>
      <w:r>
        <w:rPr>
          <w:color w:val="000000"/>
          <w:position w:val="-10"/>
          <w:szCs w:val="21"/>
        </w:rPr>
        <w:object>
          <v:shape id="_x0000_i1036" o:spt="75" type="#_x0000_t75" style="height:14.55pt;width:6.9pt;" o:ole="t"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6" r:id="rId27">
            <o:LockedField>false</o:LockedField>
          </o:OLEObject>
        </w:object>
      </w:r>
      <w:r>
        <w:rPr>
          <w:color w:val="000000"/>
          <w:position w:val="-62"/>
          <w:szCs w:val="21"/>
        </w:rPr>
        <w:object>
          <v:shape id="_x0000_i1037" o:spt="75" type="#_x0000_t75" style="height:65.1pt;width:72pt;" o:ole="t"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7" r:id="rId29">
            <o:LockedField>false</o:LockedField>
          </o:OLEObject>
        </w:object>
      </w:r>
      <w:r>
        <w:rPr>
          <w:rFonts w:hint="eastAsia"/>
          <w:color w:val="000000"/>
          <w:szCs w:val="21"/>
        </w:rPr>
        <w:t>…………………………………………（9）</w:t>
      </w:r>
    </w:p>
    <w:p>
      <w:pPr>
        <w:spacing w:line="360" w:lineRule="auto"/>
        <w:ind w:firstLine="420"/>
        <w:rPr>
          <w:color w:val="000000"/>
          <w:szCs w:val="21"/>
        </w:rPr>
      </w:pPr>
      <w:r>
        <w:rPr>
          <w:rFonts w:hint="eastAsia"/>
          <w:color w:val="000000"/>
          <w:szCs w:val="21"/>
        </w:rPr>
        <w:t>重复性方差</w:t>
      </w:r>
      <w:r>
        <w:rPr>
          <w:color w:val="000000"/>
          <w:position w:val="-14"/>
          <w:szCs w:val="21"/>
        </w:rPr>
        <w:object>
          <v:shape id="_x0000_i1038" o:spt="75" type="#_x0000_t75" style="height:21.45pt;width:21.45pt;" o:ole="t" filled="f" o:preferrelative="t" stroked="f" coordsize="21600,21600">
            <v:path/>
            <v:fill on="f" focussize="0,0"/>
            <v:stroke on="f" joinstyle="miter"/>
            <v:imagedata r:id="rId20" o:title=""/>
            <o:lock v:ext="edit" aspectratio="t"/>
            <w10:wrap type="none"/>
            <w10:anchorlock/>
          </v:shape>
          <o:OLEObject Type="Embed" ProgID="Equation.3" ShapeID="_x0000_i1038" DrawAspect="Content" ObjectID="_1468075738" r:id="rId31">
            <o:LockedField>false</o:LockedField>
          </o:OLEObject>
        </w:object>
      </w:r>
      <w:r>
        <w:rPr>
          <w:rFonts w:hint="eastAsia"/>
          <w:color w:val="000000"/>
          <w:szCs w:val="21"/>
        </w:rPr>
        <w:t>的计算</w:t>
      </w:r>
    </w:p>
    <w:p>
      <w:pPr>
        <w:spacing w:line="360" w:lineRule="auto"/>
        <w:ind w:firstLine="420"/>
        <w:rPr>
          <w:color w:val="000000"/>
          <w:szCs w:val="21"/>
        </w:rPr>
      </w:pPr>
      <w:r>
        <w:rPr>
          <w:color w:val="000000"/>
          <w:position w:val="-62"/>
          <w:szCs w:val="21"/>
        </w:rPr>
        <w:object>
          <v:shape id="_x0000_i1039" o:spt="75" type="#_x0000_t75" style="height:65.1pt;width:93.45pt;" o:ole="t" filled="f" o:preferrelative="t" stroked="f" coordsize="21600,21600">
            <v:path/>
            <v:fill on="f" focussize="0,0"/>
            <v:stroke on="f" joinstyle="miter"/>
            <v:imagedata r:id="rId33" o:title=""/>
            <o:lock v:ext="edit" aspectratio="t"/>
            <w10:wrap type="none"/>
            <w10:anchorlock/>
          </v:shape>
          <o:OLEObject Type="Embed" ProgID="Equation.3" ShapeID="_x0000_i1039" DrawAspect="Content" ObjectID="_1468075739" r:id="rId32">
            <o:LockedField>false</o:LockedField>
          </o:OLEObject>
        </w:object>
      </w:r>
      <w:r>
        <w:rPr>
          <w:rFonts w:hint="eastAsia"/>
          <w:color w:val="000000"/>
          <w:szCs w:val="21"/>
        </w:rPr>
        <w:t>……………………………………………（10）</w:t>
      </w:r>
    </w:p>
    <w:p>
      <w:pPr>
        <w:spacing w:line="360" w:lineRule="auto"/>
        <w:ind w:firstLine="420"/>
        <w:rPr>
          <w:color w:val="000000"/>
          <w:szCs w:val="21"/>
        </w:rPr>
      </w:pPr>
      <w:r>
        <w:rPr>
          <w:rFonts w:hint="eastAsia"/>
          <w:color w:val="000000"/>
          <w:szCs w:val="21"/>
        </w:rPr>
        <w:t>实验室间方差</w:t>
      </w:r>
      <w:r>
        <w:rPr>
          <w:color w:val="000000"/>
          <w:position w:val="-14"/>
          <w:szCs w:val="21"/>
        </w:rPr>
        <w:object>
          <v:shape id="_x0000_i1040" o:spt="75" type="#_x0000_t75" style="height:21.45pt;width:21.45pt;" o:ole="t" filled="f" o:preferrelative="t" stroked="f" coordsize="21600,21600">
            <v:path/>
            <v:fill on="f" focussize="0,0"/>
            <v:stroke on="f" joinstyle="miter"/>
            <v:imagedata r:id="rId22" o:title=""/>
            <o:lock v:ext="edit" aspectratio="t"/>
            <w10:wrap type="none"/>
            <w10:anchorlock/>
          </v:shape>
          <o:OLEObject Type="Embed" ProgID="Equation.3" ShapeID="_x0000_i1040" DrawAspect="Content" ObjectID="_1468075740" r:id="rId34">
            <o:LockedField>false</o:LockedField>
          </o:OLEObject>
        </w:object>
      </w:r>
      <w:r>
        <w:rPr>
          <w:rFonts w:hint="eastAsia"/>
          <w:color w:val="000000"/>
          <w:szCs w:val="21"/>
        </w:rPr>
        <w:t>的计算</w:t>
      </w:r>
    </w:p>
    <w:p>
      <w:pPr>
        <w:spacing w:line="360" w:lineRule="auto"/>
        <w:ind w:firstLine="420"/>
        <w:rPr>
          <w:color w:val="000000"/>
          <w:szCs w:val="21"/>
        </w:rPr>
      </w:pPr>
      <w:r>
        <w:rPr>
          <w:color w:val="000000"/>
          <w:position w:val="-44"/>
          <w:szCs w:val="21"/>
        </w:rPr>
        <w:object>
          <v:shape id="_x0000_i1041" o:spt="75" type="#_x0000_t75" style="height:42.9pt;width:65.1pt;" o:ole="t" filled="f" o:preferrelative="t" stroked="f" coordsize="21600,21600">
            <v:path/>
            <v:fill on="f" focussize="0,0"/>
            <v:stroke on="f" joinstyle="miter"/>
            <v:imagedata r:id="rId36" o:title=""/>
            <o:lock v:ext="edit" aspectratio="t"/>
            <w10:wrap type="none"/>
            <w10:anchorlock/>
          </v:shape>
          <o:OLEObject Type="Embed" ProgID="Equation.3" ShapeID="_x0000_i1041" DrawAspect="Content" ObjectID="_1468075741" r:id="rId35">
            <o:LockedField>false</o:LockedField>
          </o:OLEObject>
        </w:object>
      </w:r>
      <w:r>
        <w:rPr>
          <w:rFonts w:hint="eastAsia"/>
          <w:color w:val="000000"/>
          <w:szCs w:val="21"/>
        </w:rPr>
        <w:t>…………………………………………………（11）</w:t>
      </w:r>
    </w:p>
    <w:p>
      <w:pPr>
        <w:tabs>
          <w:tab w:val="left" w:pos="6489"/>
        </w:tabs>
        <w:spacing w:line="360" w:lineRule="auto"/>
        <w:ind w:firstLine="1155" w:firstLineChars="550"/>
        <w:rPr>
          <w:color w:val="000000"/>
          <w:szCs w:val="21"/>
        </w:rPr>
      </w:pPr>
      <w:r>
        <w:rPr>
          <w:rFonts w:hint="eastAsia"/>
          <w:color w:val="000000"/>
          <w:szCs w:val="21"/>
        </w:rPr>
        <w:t>其中</w:t>
      </w:r>
      <w:r>
        <w:rPr>
          <w:color w:val="000000"/>
          <w:position w:val="-28"/>
          <w:szCs w:val="21"/>
        </w:rPr>
        <w:object>
          <v:shape id="_x0000_i1042" o:spt="75" type="#_x0000_t75" style="height:36pt;width:137.1pt;" o:ole="t" filled="f" o:preferrelative="t" stroked="f" coordsize="21600,21600">
            <v:path/>
            <v:fill on="f" focussize="0,0"/>
            <v:stroke on="f" joinstyle="miter"/>
            <v:imagedata r:id="rId38" o:title=""/>
            <o:lock v:ext="edit" aspectratio="t"/>
            <w10:wrap type="none"/>
            <w10:anchorlock/>
          </v:shape>
          <o:OLEObject Type="Embed" ProgID="Equation.3" ShapeID="_x0000_i1042" DrawAspect="Content" ObjectID="_1468075742" r:id="rId37">
            <o:LockedField>false</o:LockedField>
          </o:OLEObject>
        </w:object>
      </w:r>
      <w:r>
        <w:rPr>
          <w:rFonts w:hint="eastAsia"/>
          <w:color w:val="000000"/>
          <w:szCs w:val="21"/>
        </w:rPr>
        <w:tab/>
      </w:r>
    </w:p>
    <w:p>
      <w:pPr>
        <w:spacing w:line="360" w:lineRule="auto"/>
        <w:ind w:firstLine="420"/>
        <w:rPr>
          <w:color w:val="000000"/>
          <w:szCs w:val="21"/>
        </w:rPr>
      </w:pPr>
      <w:r>
        <w:rPr>
          <w:rFonts w:hint="eastAsia"/>
          <w:color w:val="000000"/>
          <w:szCs w:val="21"/>
        </w:rPr>
        <w:t>再现性方差</w:t>
      </w:r>
      <w:r>
        <w:rPr>
          <w:color w:val="000000"/>
          <w:position w:val="-14"/>
          <w:szCs w:val="21"/>
        </w:rPr>
        <w:object>
          <v:shape id="_x0000_i1043" o:spt="75" type="#_x0000_t75" style="height:21.45pt;width:21.45pt;" o:ole="t" filled="f" o:preferrelative="t" stroked="f" coordsize="21600,21600">
            <v:path/>
            <v:fill on="f" focussize="0,0"/>
            <v:stroke on="f" joinstyle="miter"/>
            <v:imagedata r:id="rId24" o:title=""/>
            <o:lock v:ext="edit" aspectratio="t"/>
            <w10:wrap type="none"/>
            <w10:anchorlock/>
          </v:shape>
          <o:OLEObject Type="Embed" ProgID="Equation.3" ShapeID="_x0000_i1043" DrawAspect="Content" ObjectID="_1468075743" r:id="rId39">
            <o:LockedField>false</o:LockedField>
          </o:OLEObject>
        </w:object>
      </w:r>
      <w:r>
        <w:rPr>
          <w:rFonts w:hint="eastAsia"/>
          <w:color w:val="000000"/>
          <w:szCs w:val="21"/>
        </w:rPr>
        <w:t>的计算</w:t>
      </w:r>
    </w:p>
    <w:p>
      <w:pPr>
        <w:spacing w:line="360" w:lineRule="auto"/>
        <w:ind w:firstLine="420"/>
        <w:rPr>
          <w:color w:val="000000"/>
          <w:szCs w:val="21"/>
        </w:rPr>
      </w:pPr>
      <w:r>
        <w:rPr>
          <w:color w:val="000000"/>
          <w:position w:val="-14"/>
          <w:szCs w:val="21"/>
        </w:rPr>
        <w:object>
          <v:shape id="_x0000_i1044" o:spt="75" type="#_x0000_t75" style="height:21.45pt;width:65.1pt;" o:ole="t" filled="f" o:preferrelative="t" stroked="f" coordsize="21600,21600">
            <v:path/>
            <v:fill on="f" focussize="0,0"/>
            <v:stroke on="f" joinstyle="miter"/>
            <v:imagedata r:id="rId41" o:title=""/>
            <o:lock v:ext="edit" aspectratio="t"/>
            <w10:wrap type="none"/>
            <w10:anchorlock/>
          </v:shape>
          <o:OLEObject Type="Embed" ProgID="Equation.3" ShapeID="_x0000_i1044" DrawAspect="Content" ObjectID="_1468075744" r:id="rId40">
            <o:LockedField>false</o:LockedField>
          </o:OLEObject>
        </w:object>
      </w:r>
      <w:r>
        <w:rPr>
          <w:rFonts w:hint="eastAsia"/>
          <w:color w:val="000000"/>
          <w:szCs w:val="21"/>
        </w:rPr>
        <w:t>…………………………………………………………（12）</w:t>
      </w:r>
    </w:p>
    <w:p>
      <w:pPr>
        <w:spacing w:before="156" w:beforeLines="50" w:after="156" w:afterLines="50" w:line="360" w:lineRule="auto"/>
        <w:jc w:val="center"/>
        <w:rPr>
          <w:szCs w:val="21"/>
        </w:rPr>
      </w:pPr>
      <w:r>
        <w:rPr>
          <w:rFonts w:hint="eastAsia"/>
          <w:szCs w:val="21"/>
        </w:rPr>
        <w:t>再计算</w:t>
      </w:r>
      <w:r>
        <w:rPr>
          <w:rFonts w:ascii="宋体" w:hAnsi="宋体"/>
          <w:color w:val="000000"/>
          <w:kern w:val="0"/>
          <w:position w:val="-14"/>
          <w:szCs w:val="21"/>
        </w:rPr>
        <w:object>
          <v:shape id="_x0000_i1045" o:spt="75" type="#_x0000_t75" style="height:21.45pt;width:14.55pt;" o:ole="t" filled="f" o:preferrelative="t" stroked="f" coordsize="21600,21600">
            <v:path/>
            <v:fill on="f" focussize="0,0"/>
            <v:stroke on="f" joinstyle="miter"/>
            <v:imagedata r:id="rId43" o:title=""/>
            <o:lock v:ext="edit" aspectratio="t"/>
            <w10:wrap type="none"/>
            <w10:anchorlock/>
          </v:shape>
          <o:OLEObject Type="Embed" ProgID="Equation.3" ShapeID="_x0000_i1045" DrawAspect="Content" ObjectID="_1468075745" r:id="rId42">
            <o:LockedField>false</o:LockedField>
          </o:OLEObject>
        </w:object>
      </w:r>
      <w:r>
        <w:rPr>
          <w:rFonts w:hint="eastAsia"/>
          <w:szCs w:val="21"/>
        </w:rPr>
        <w:t>、S</w:t>
      </w:r>
      <w:r>
        <w:rPr>
          <w:rFonts w:hint="eastAsia"/>
          <w:szCs w:val="21"/>
          <w:vertAlign w:val="subscript"/>
        </w:rPr>
        <w:t>r</w:t>
      </w:r>
      <w:r>
        <w:rPr>
          <w:rFonts w:hint="eastAsia"/>
          <w:szCs w:val="21"/>
        </w:rPr>
        <w:t>、r、S</w:t>
      </w:r>
      <w:r>
        <w:rPr>
          <w:rFonts w:hint="eastAsia"/>
          <w:szCs w:val="21"/>
          <w:vertAlign w:val="subscript"/>
        </w:rPr>
        <w:t>R</w:t>
      </w:r>
      <w:r>
        <w:rPr>
          <w:rFonts w:hint="eastAsia"/>
          <w:szCs w:val="21"/>
        </w:rPr>
        <w:t>、R，结果列于表11。</w:t>
      </w:r>
    </w:p>
    <w:p>
      <w:pPr>
        <w:spacing w:before="156" w:beforeLines="50" w:after="156" w:afterLines="50" w:line="360" w:lineRule="auto"/>
        <w:jc w:val="center"/>
        <w:rPr>
          <w:szCs w:val="21"/>
        </w:rPr>
      </w:pPr>
      <w:r>
        <w:rPr>
          <w:rFonts w:hint="eastAsia"/>
          <w:szCs w:val="21"/>
        </w:rPr>
        <w:t>表11  重复性标准偏差、再现性标准差、重复性限、再现性限计算结果</w:t>
      </w:r>
    </w:p>
    <w:tbl>
      <w:tblPr>
        <w:tblStyle w:val="23"/>
        <w:tblW w:w="8440" w:type="dxa"/>
        <w:tblInd w:w="-5" w:type="dxa"/>
        <w:tblLayout w:type="autofit"/>
        <w:tblCellMar>
          <w:top w:w="0" w:type="dxa"/>
          <w:left w:w="108" w:type="dxa"/>
          <w:bottom w:w="0" w:type="dxa"/>
          <w:right w:w="108" w:type="dxa"/>
        </w:tblCellMar>
      </w:tblPr>
      <w:tblGrid>
        <w:gridCol w:w="1701"/>
        <w:gridCol w:w="1701"/>
        <w:gridCol w:w="1701"/>
        <w:gridCol w:w="1701"/>
        <w:gridCol w:w="1636"/>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　</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16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r>
      <w:tr>
        <w:tblPrEx>
          <w:tblCellMar>
            <w:top w:w="0" w:type="dxa"/>
            <w:left w:w="108" w:type="dxa"/>
            <w:bottom w:w="0" w:type="dxa"/>
            <w:right w:w="108" w:type="dxa"/>
          </w:tblCellMar>
        </w:tblPrEx>
        <w:trPr>
          <w:trHeight w:val="345"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w:t>
            </w:r>
            <w:r>
              <w:rPr>
                <w:rFonts w:hint="eastAsia" w:ascii="等线" w:hAnsi="等线" w:eastAsia="等线" w:cs="宋体"/>
                <w:color w:val="000000"/>
                <w:kern w:val="0"/>
                <w:sz w:val="22"/>
                <w:szCs w:val="22"/>
                <w:vertAlign w:val="subscript"/>
              </w:rPr>
              <w:t>rj</w:t>
            </w:r>
            <w:r>
              <w:rPr>
                <w:rFonts w:hint="eastAsia" w:ascii="等线" w:hAnsi="等线" w:eastAsia="等线" w:cs="宋体"/>
                <w:color w:val="000000"/>
                <w:kern w:val="0"/>
                <w:sz w:val="22"/>
                <w:szCs w:val="22"/>
                <w:vertAlign w:val="superscript"/>
              </w:rPr>
              <w:t>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0.0030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0.0033</w:t>
            </w:r>
          </w:p>
        </w:tc>
        <w:tc>
          <w:tcPr>
            <w:tcW w:w="163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0.0028</w:t>
            </w:r>
          </w:p>
        </w:tc>
      </w:tr>
      <w:tr>
        <w:tblPrEx>
          <w:tblCellMar>
            <w:top w:w="0" w:type="dxa"/>
            <w:left w:w="108" w:type="dxa"/>
            <w:bottom w:w="0" w:type="dxa"/>
            <w:right w:w="108" w:type="dxa"/>
          </w:tblCellMar>
        </w:tblPrEx>
        <w:trPr>
          <w:trHeight w:val="345"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w:t>
            </w:r>
            <w:r>
              <w:rPr>
                <w:rFonts w:hint="eastAsia" w:ascii="等线" w:hAnsi="等线" w:eastAsia="等线" w:cs="宋体"/>
                <w:color w:val="000000"/>
                <w:kern w:val="0"/>
                <w:sz w:val="22"/>
                <w:szCs w:val="22"/>
                <w:vertAlign w:val="subscript"/>
              </w:rPr>
              <w:t>dj</w:t>
            </w:r>
            <w:r>
              <w:rPr>
                <w:rFonts w:hint="eastAsia" w:ascii="等线" w:hAnsi="等线" w:eastAsia="等线" w:cs="宋体"/>
                <w:color w:val="000000"/>
                <w:kern w:val="0"/>
                <w:sz w:val="22"/>
                <w:szCs w:val="22"/>
                <w:vertAlign w:val="superscript"/>
              </w:rPr>
              <w:t>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0.0435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0.0371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0.0661</w:t>
            </w:r>
          </w:p>
        </w:tc>
        <w:tc>
          <w:tcPr>
            <w:tcW w:w="163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0.1182</w:t>
            </w:r>
          </w:p>
        </w:tc>
      </w:tr>
      <w:tr>
        <w:tblPrEx>
          <w:tblCellMar>
            <w:top w:w="0" w:type="dxa"/>
            <w:left w:w="108" w:type="dxa"/>
            <w:bottom w:w="0" w:type="dxa"/>
            <w:right w:w="108" w:type="dxa"/>
          </w:tblCellMar>
        </w:tblPrEx>
        <w:trPr>
          <w:trHeight w:val="345"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w:t>
            </w:r>
            <w:r>
              <w:rPr>
                <w:rFonts w:hint="eastAsia" w:ascii="等线" w:hAnsi="等线" w:eastAsia="等线" w:cs="宋体"/>
                <w:color w:val="000000"/>
                <w:kern w:val="0"/>
                <w:sz w:val="22"/>
                <w:szCs w:val="22"/>
                <w:vertAlign w:val="subscript"/>
              </w:rPr>
              <w:t>Lj</w:t>
            </w:r>
            <w:r>
              <w:rPr>
                <w:rFonts w:hint="eastAsia" w:ascii="等线" w:hAnsi="等线" w:eastAsia="等线" w:cs="宋体"/>
                <w:color w:val="000000"/>
                <w:kern w:val="0"/>
                <w:sz w:val="22"/>
                <w:szCs w:val="22"/>
                <w:vertAlign w:val="superscript"/>
              </w:rPr>
              <w:t>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0.0059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0.0049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0.0090</w:t>
            </w:r>
          </w:p>
        </w:tc>
        <w:tc>
          <w:tcPr>
            <w:tcW w:w="163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0.0165</w:t>
            </w:r>
          </w:p>
        </w:tc>
      </w:tr>
      <w:tr>
        <w:tblPrEx>
          <w:tblCellMar>
            <w:top w:w="0" w:type="dxa"/>
            <w:left w:w="108" w:type="dxa"/>
            <w:bottom w:w="0" w:type="dxa"/>
            <w:right w:w="108" w:type="dxa"/>
          </w:tblCellMar>
        </w:tblPrEx>
        <w:trPr>
          <w:trHeight w:val="345"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w:t>
            </w:r>
            <w:r>
              <w:rPr>
                <w:rFonts w:hint="eastAsia" w:ascii="等线" w:hAnsi="等线" w:eastAsia="等线" w:cs="宋体"/>
                <w:color w:val="000000"/>
                <w:kern w:val="0"/>
                <w:sz w:val="22"/>
                <w:szCs w:val="22"/>
                <w:vertAlign w:val="subscript"/>
              </w:rPr>
              <w:t>Rj</w:t>
            </w:r>
            <w:r>
              <w:rPr>
                <w:rFonts w:hint="eastAsia" w:ascii="等线" w:hAnsi="等线" w:eastAsia="等线" w:cs="宋体"/>
                <w:color w:val="000000"/>
                <w:kern w:val="0"/>
                <w:sz w:val="22"/>
                <w:szCs w:val="22"/>
                <w:vertAlign w:val="superscript"/>
              </w:rPr>
              <w:t>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0.0079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0.0122</w:t>
            </w:r>
          </w:p>
        </w:tc>
        <w:tc>
          <w:tcPr>
            <w:tcW w:w="163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0.0193</w:t>
            </w:r>
          </w:p>
        </w:tc>
      </w:tr>
      <w:tr>
        <w:tblPrEx>
          <w:tblCellMar>
            <w:top w:w="0" w:type="dxa"/>
            <w:left w:w="108" w:type="dxa"/>
            <w:bottom w:w="0" w:type="dxa"/>
            <w:right w:w="108" w:type="dxa"/>
          </w:tblCellMar>
        </w:tblPrEx>
        <w:trPr>
          <w:trHeight w:val="345"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w:t>
            </w:r>
            <w:r>
              <w:rPr>
                <w:rFonts w:hint="eastAsia" w:ascii="等线" w:hAnsi="等线" w:eastAsia="等线" w:cs="宋体"/>
                <w:color w:val="000000"/>
                <w:kern w:val="0"/>
                <w:sz w:val="22"/>
                <w:szCs w:val="22"/>
                <w:vertAlign w:val="subscript"/>
              </w:rPr>
              <w:t>rj</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0.0453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0.0547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0.0571</w:t>
            </w:r>
          </w:p>
        </w:tc>
        <w:tc>
          <w:tcPr>
            <w:tcW w:w="163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0.0530</w:t>
            </w:r>
          </w:p>
        </w:tc>
      </w:tr>
      <w:tr>
        <w:tblPrEx>
          <w:tblCellMar>
            <w:top w:w="0" w:type="dxa"/>
            <w:left w:w="108" w:type="dxa"/>
            <w:bottom w:w="0" w:type="dxa"/>
            <w:right w:w="108" w:type="dxa"/>
          </w:tblCellMar>
        </w:tblPrEx>
        <w:trPr>
          <w:trHeight w:val="345"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S</w:t>
            </w:r>
            <w:r>
              <w:rPr>
                <w:rFonts w:hint="eastAsia" w:ascii="等线" w:hAnsi="等线" w:eastAsia="等线" w:cs="宋体"/>
                <w:color w:val="000000"/>
                <w:kern w:val="0"/>
                <w:sz w:val="22"/>
                <w:szCs w:val="22"/>
                <w:vertAlign w:val="subscript"/>
              </w:rPr>
              <w:t>Rj</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0.0893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0.0887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0.1106</w:t>
            </w:r>
          </w:p>
        </w:tc>
        <w:tc>
          <w:tcPr>
            <w:tcW w:w="163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0.1389</w:t>
            </w:r>
          </w:p>
        </w:tc>
      </w:tr>
      <w:tr>
        <w:tblPrEx>
          <w:tblCellMar>
            <w:top w:w="0" w:type="dxa"/>
            <w:left w:w="108" w:type="dxa"/>
            <w:bottom w:w="0" w:type="dxa"/>
            <w:right w:w="108" w:type="dxa"/>
          </w:tblCellMar>
        </w:tblPrEx>
        <w:trPr>
          <w:trHeight w:val="285"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r</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0.1267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0.1532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0.1599</w:t>
            </w:r>
          </w:p>
        </w:tc>
        <w:tc>
          <w:tcPr>
            <w:tcW w:w="163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0.1483</w:t>
            </w:r>
          </w:p>
        </w:tc>
      </w:tr>
      <w:tr>
        <w:tblPrEx>
          <w:tblCellMar>
            <w:top w:w="0" w:type="dxa"/>
            <w:left w:w="108" w:type="dxa"/>
            <w:bottom w:w="0" w:type="dxa"/>
            <w:right w:w="108" w:type="dxa"/>
          </w:tblCellMar>
        </w:tblPrEx>
        <w:trPr>
          <w:trHeight w:val="285" w:hRule="atLeast"/>
        </w:trPr>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R</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0.2501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0.2483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0.3097</w:t>
            </w:r>
          </w:p>
        </w:tc>
        <w:tc>
          <w:tcPr>
            <w:tcW w:w="1636"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0.3889</w:t>
            </w:r>
          </w:p>
        </w:tc>
      </w:tr>
    </w:tbl>
    <w:p>
      <w:pPr>
        <w:spacing w:line="360" w:lineRule="auto"/>
        <w:rPr>
          <w:rFonts w:ascii="宋体" w:hAnsi="宋体"/>
          <w:b/>
          <w:bCs/>
          <w:kern w:val="44"/>
          <w:sz w:val="44"/>
          <w:szCs w:val="44"/>
        </w:rPr>
      </w:pPr>
    </w:p>
    <w:p>
      <w:pPr>
        <w:spacing w:line="360" w:lineRule="auto"/>
        <w:rPr>
          <w:rFonts w:ascii="宋体" w:hAnsi="宋体"/>
          <w:b/>
          <w:bCs/>
          <w:kern w:val="44"/>
          <w:sz w:val="44"/>
          <w:szCs w:val="44"/>
        </w:rPr>
      </w:pPr>
    </w:p>
    <w:p>
      <w:pPr>
        <w:spacing w:line="360" w:lineRule="auto"/>
        <w:rPr>
          <w:rFonts w:ascii="宋体" w:hAnsi="宋体"/>
          <w:b/>
          <w:bCs/>
          <w:kern w:val="44"/>
          <w:sz w:val="24"/>
        </w:rPr>
      </w:pPr>
    </w:p>
    <w:p>
      <w:pPr>
        <w:spacing w:line="360" w:lineRule="auto"/>
        <w:rPr>
          <w:rFonts w:ascii="宋体" w:hAnsi="宋体"/>
          <w:b/>
          <w:bCs/>
          <w:kern w:val="44"/>
          <w:sz w:val="24"/>
        </w:rPr>
      </w:pPr>
      <w:r>
        <w:rPr>
          <w:rFonts w:ascii="宋体" w:hAnsi="宋体"/>
          <w:b/>
          <w:bCs/>
          <w:kern w:val="44"/>
          <w:sz w:val="24"/>
        </w:rPr>
        <w:t>附件三</w:t>
      </w:r>
    </w:p>
    <w:p>
      <w:pPr>
        <w:spacing w:line="360" w:lineRule="auto"/>
        <w:jc w:val="center"/>
        <w:rPr>
          <w:rFonts w:ascii="宋体" w:hAnsi="宋体"/>
          <w:b/>
          <w:bCs/>
          <w:kern w:val="44"/>
          <w:sz w:val="24"/>
        </w:rPr>
      </w:pPr>
      <w:r>
        <w:rPr>
          <w:rFonts w:hint="eastAsia" w:ascii="宋体" w:hAnsi="宋体"/>
          <w:b/>
          <w:bCs/>
          <w:kern w:val="44"/>
          <w:sz w:val="24"/>
        </w:rPr>
        <w:t>验证说明</w:t>
      </w:r>
    </w:p>
    <w:p>
      <w:pPr>
        <w:spacing w:line="360" w:lineRule="auto"/>
        <w:ind w:firstLine="525" w:firstLineChars="250"/>
        <w:rPr>
          <w:rFonts w:eastAsia="黑体"/>
          <w:szCs w:val="21"/>
        </w:rPr>
      </w:pPr>
      <w:r>
        <w:rPr>
          <w:szCs w:val="21"/>
        </w:rPr>
        <w:t>2022年7月</w:t>
      </w:r>
      <w:r>
        <w:rPr>
          <w:rFonts w:hint="eastAsia"/>
          <w:szCs w:val="21"/>
        </w:rPr>
        <w:t>2</w:t>
      </w:r>
      <w:r>
        <w:rPr>
          <w:szCs w:val="21"/>
        </w:rPr>
        <w:t>2</w:t>
      </w:r>
      <w:r>
        <w:rPr>
          <w:rFonts w:hint="eastAsia"/>
          <w:szCs w:val="21"/>
        </w:rPr>
        <w:t>日</w:t>
      </w:r>
      <w:r>
        <w:rPr>
          <w:rFonts w:hint="eastAsia" w:ascii="宋体" w:hAnsi="宋体"/>
          <w:szCs w:val="21"/>
        </w:rPr>
        <w:t>，全国有色金属标准化技术委员会召开了《粗硒化学分析方法 第4部分 碲含量的测定 重量法》任务落实会议，会议确定有先导公司提供4个梯度的验证样品，</w:t>
      </w:r>
      <w:r>
        <w:rPr>
          <w:rFonts w:ascii="宋体" w:hAnsi="宋体"/>
          <w:szCs w:val="21"/>
        </w:rPr>
        <w:t>16家验证单位参与验证</w:t>
      </w:r>
      <w:r>
        <w:rPr>
          <w:rFonts w:hint="eastAsia" w:ascii="宋体" w:hAnsi="宋体"/>
          <w:szCs w:val="21"/>
        </w:rPr>
        <w:t>，</w:t>
      </w:r>
      <w:r>
        <w:rPr>
          <w:rFonts w:ascii="宋体" w:hAnsi="宋体"/>
          <w:szCs w:val="21"/>
        </w:rPr>
        <w:t>2023年</w:t>
      </w:r>
      <w:r>
        <w:rPr>
          <w:rFonts w:hint="eastAsia" w:ascii="宋体" w:hAnsi="宋体"/>
          <w:szCs w:val="21"/>
        </w:rPr>
        <w:t>3月前完成样品制备，5月完成样品验证报告，</w:t>
      </w:r>
      <w:r>
        <w:rPr>
          <w:rFonts w:ascii="宋体" w:hAnsi="宋体"/>
          <w:szCs w:val="21"/>
        </w:rPr>
        <w:t>6</w:t>
      </w:r>
      <w:r>
        <w:rPr>
          <w:rFonts w:hint="eastAsia" w:ascii="宋体" w:hAnsi="宋体"/>
          <w:szCs w:val="21"/>
        </w:rPr>
        <w:t>月预审，9月审定。</w:t>
      </w:r>
    </w:p>
    <w:p>
      <w:pPr>
        <w:numPr>
          <w:ilvl w:val="0"/>
          <w:numId w:val="7"/>
        </w:numPr>
        <w:spacing w:before="156" w:beforeLines="50" w:line="360" w:lineRule="auto"/>
        <w:rPr>
          <w:rFonts w:ascii="Calibri" w:hAnsi="Calibri"/>
          <w:b/>
          <w:szCs w:val="21"/>
        </w:rPr>
      </w:pPr>
      <w:r>
        <w:rPr>
          <w:rFonts w:ascii="Calibri" w:hAnsi="Calibri"/>
          <w:b/>
          <w:szCs w:val="21"/>
        </w:rPr>
        <w:t>原始数据及检验</w:t>
      </w:r>
      <w:r>
        <w:rPr>
          <w:rFonts w:hint="eastAsia" w:ascii="Calibri" w:hAnsi="Calibri"/>
          <w:b/>
          <w:szCs w:val="21"/>
        </w:rPr>
        <w:t>（2021年共12家），各家单位的验证原始数据见下表1</w:t>
      </w:r>
      <w:r>
        <w:rPr>
          <w:rFonts w:hint="eastAsia" w:ascii="宋体" w:hAnsi="宋体"/>
          <w:b/>
          <w:szCs w:val="21"/>
        </w:rPr>
        <w:t>～16</w:t>
      </w:r>
    </w:p>
    <w:p>
      <w:pPr>
        <w:spacing w:line="360" w:lineRule="auto"/>
        <w:ind w:firstLine="422" w:firstLineChars="200"/>
        <w:jc w:val="left"/>
        <w:outlineLvl w:val="1"/>
        <w:rPr>
          <w:szCs w:val="21"/>
        </w:rPr>
      </w:pPr>
      <w:r>
        <w:rPr>
          <w:rFonts w:hint="eastAsia"/>
          <w:b/>
          <w:szCs w:val="21"/>
        </w:rPr>
        <w:t xml:space="preserve">   </w:t>
      </w:r>
      <w:r>
        <w:rPr>
          <w:szCs w:val="21"/>
        </w:rPr>
        <w:t xml:space="preserve">  </w:t>
      </w:r>
      <w:r>
        <w:rPr>
          <w:rFonts w:hint="eastAsia"/>
          <w:szCs w:val="21"/>
        </w:rPr>
        <w:t xml:space="preserve"> </w:t>
      </w:r>
      <w:r>
        <w:rPr>
          <w:szCs w:val="21"/>
        </w:rPr>
        <w:t xml:space="preserve">           表</w:t>
      </w:r>
      <w:r>
        <w:rPr>
          <w:rFonts w:hint="eastAsia"/>
          <w:szCs w:val="21"/>
        </w:rPr>
        <w:t>1 安徽光智科技有限公司验证数据</w:t>
      </w:r>
    </w:p>
    <w:tbl>
      <w:tblPr>
        <w:tblStyle w:val="2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493"/>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769" w:type="dxa"/>
            <w:gridSpan w:val="2"/>
            <w:vAlign w:val="center"/>
          </w:tcPr>
          <w:p>
            <w:pPr>
              <w:jc w:val="center"/>
              <w:rPr>
                <w:kern w:val="0"/>
                <w:sz w:val="21"/>
                <w:szCs w:val="21"/>
              </w:rPr>
            </w:pPr>
            <w:r>
              <w:rPr>
                <w:rFonts w:hint="eastAsia"/>
                <w:kern w:val="0"/>
                <w:sz w:val="21"/>
                <w:szCs w:val="21"/>
              </w:rPr>
              <w:t>样品编号</w:t>
            </w:r>
          </w:p>
        </w:tc>
        <w:tc>
          <w:tcPr>
            <w:tcW w:w="1383" w:type="dxa"/>
            <w:vAlign w:val="center"/>
          </w:tcPr>
          <w:p>
            <w:pPr>
              <w:jc w:val="center"/>
              <w:rPr>
                <w:color w:val="000000"/>
                <w:kern w:val="0"/>
                <w:sz w:val="21"/>
                <w:szCs w:val="21"/>
              </w:rPr>
            </w:pPr>
            <w:r>
              <w:rPr>
                <w:rFonts w:hint="eastAsia"/>
                <w:color w:val="000000"/>
                <w:kern w:val="0"/>
                <w:sz w:val="21"/>
                <w:szCs w:val="21"/>
              </w:rPr>
              <w:t>1#</w:t>
            </w:r>
          </w:p>
        </w:tc>
        <w:tc>
          <w:tcPr>
            <w:tcW w:w="1383" w:type="dxa"/>
            <w:vAlign w:val="center"/>
          </w:tcPr>
          <w:p>
            <w:pPr>
              <w:rPr>
                <w:rFonts w:ascii="宋体" w:hAnsi="宋体" w:cs="宋体"/>
                <w:kern w:val="0"/>
                <w:sz w:val="21"/>
                <w:szCs w:val="21"/>
              </w:rPr>
            </w:pPr>
            <w:r>
              <w:rPr>
                <w:rFonts w:hint="eastAsia" w:ascii="宋体" w:hAnsi="宋体" w:cs="宋体"/>
                <w:kern w:val="0"/>
                <w:sz w:val="21"/>
                <w:szCs w:val="21"/>
              </w:rPr>
              <w:t xml:space="preserve">     2#</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3#</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tcPr>
          <w:p>
            <w:pPr>
              <w:adjustRightInd w:val="0"/>
              <w:spacing w:line="360" w:lineRule="auto"/>
              <w:ind w:firstLine="210" w:firstLineChars="100"/>
              <w:rPr>
                <w:rFonts w:ascii="宋体" w:hAnsi="宋体" w:cs="宋体"/>
                <w:kern w:val="0"/>
                <w:sz w:val="21"/>
                <w:szCs w:val="21"/>
              </w:rPr>
            </w:pP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检</w:t>
            </w: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测</w:t>
            </w: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结</w:t>
            </w: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果</w:t>
            </w:r>
          </w:p>
        </w:tc>
        <w:tc>
          <w:tcPr>
            <w:tcW w:w="1493" w:type="dxa"/>
            <w:vAlign w:val="center"/>
          </w:tcPr>
          <w:p>
            <w:pPr>
              <w:jc w:val="center"/>
              <w:rPr>
                <w:kern w:val="0"/>
                <w:sz w:val="21"/>
                <w:szCs w:val="21"/>
              </w:rPr>
            </w:pPr>
            <w:r>
              <w:rPr>
                <w:rFonts w:hint="eastAsia"/>
                <w:kern w:val="0"/>
                <w:sz w:val="21"/>
                <w:szCs w:val="21"/>
              </w:rPr>
              <w:t>1</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int="eastAsia"/>
                <w:color w:val="000000"/>
                <w:kern w:val="0"/>
                <w:sz w:val="21"/>
                <w:szCs w:val="21"/>
              </w:rPr>
              <w:t>5.04</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int="eastAsia"/>
                <w:color w:val="000000"/>
                <w:kern w:val="0"/>
                <w:sz w:val="21"/>
                <w:szCs w:val="21"/>
              </w:rPr>
              <w:t>9.85</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int="eastAsia"/>
                <w:color w:val="000000"/>
                <w:kern w:val="0"/>
                <w:sz w:val="21"/>
                <w:szCs w:val="21"/>
              </w:rPr>
              <w:t>14.83</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1"/>
                <w:szCs w:val="21"/>
              </w:rPr>
            </w:pPr>
            <w:r>
              <w:rPr>
                <w:rFonts w:hint="eastAsia"/>
                <w:color w:val="000000"/>
                <w:kern w:val="0"/>
                <w:sz w:val="21"/>
                <w:szCs w:val="21"/>
              </w:rPr>
              <w:t>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2</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5.06</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9.88</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14.76</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3</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5.04</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9.86</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14.82</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19.7</w:t>
            </w:r>
            <w:r>
              <w:rPr>
                <w:color w:val="000000"/>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4</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5.07</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9.86</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14.82</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5</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5.02</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9.87</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14.89</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6</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5.05</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9.88</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14.86</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7</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5.05</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9.92</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14.87</w:t>
            </w:r>
          </w:p>
        </w:tc>
        <w:tc>
          <w:tcPr>
            <w:tcW w:w="138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kern w:val="0"/>
                <w:sz w:val="21"/>
                <w:szCs w:val="21"/>
              </w:rPr>
            </w:pPr>
            <w:r>
              <w:rPr>
                <w:rFonts w:hint="eastAsia"/>
                <w:color w:val="000000"/>
                <w:kern w:val="0"/>
                <w:sz w:val="21"/>
                <w:szCs w:val="21"/>
              </w:rPr>
              <w:t>19.</w:t>
            </w:r>
            <w:r>
              <w:rPr>
                <w:color w:val="000000"/>
                <w:kern w:val="0"/>
                <w:sz w:val="21"/>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平均值%</w:t>
            </w: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5.0</w:t>
            </w:r>
            <w:r>
              <w:rPr>
                <w:rFonts w:ascii="宋体" w:hAnsi="宋体" w:cs="宋体"/>
                <w:color w:val="000000"/>
                <w:kern w:val="0"/>
                <w:sz w:val="21"/>
                <w:szCs w:val="21"/>
                <w:lang w:bidi="ar"/>
              </w:rPr>
              <w:t>5</w:t>
            </w: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kern w:val="0"/>
                <w:sz w:val="21"/>
                <w:szCs w:val="21"/>
              </w:rPr>
              <w:t>9.</w:t>
            </w:r>
            <w:r>
              <w:rPr>
                <w:rFonts w:ascii="宋体" w:hAnsi="宋体" w:cs="宋体"/>
                <w:kern w:val="0"/>
                <w:sz w:val="21"/>
                <w:szCs w:val="21"/>
              </w:rPr>
              <w:t>87</w:t>
            </w: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kern w:val="0"/>
                <w:sz w:val="21"/>
                <w:szCs w:val="21"/>
              </w:rPr>
              <w:t>14.8</w:t>
            </w:r>
            <w:r>
              <w:rPr>
                <w:rFonts w:ascii="宋体" w:hAnsi="宋体" w:cs="宋体"/>
                <w:kern w:val="0"/>
                <w:sz w:val="21"/>
                <w:szCs w:val="21"/>
              </w:rPr>
              <w:t>4</w:t>
            </w: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kern w:val="0"/>
                <w:sz w:val="21"/>
                <w:szCs w:val="21"/>
              </w:rPr>
              <w:t>19.8</w:t>
            </w:r>
            <w:r>
              <w:rPr>
                <w:rFonts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SD%</w:t>
            </w:r>
          </w:p>
        </w:tc>
        <w:tc>
          <w:tcPr>
            <w:tcW w:w="1383" w:type="dxa"/>
            <w:vAlign w:val="center"/>
          </w:tcPr>
          <w:p>
            <w:pPr>
              <w:widowControl/>
              <w:jc w:val="center"/>
              <w:textAlignment w:val="center"/>
              <w:rPr>
                <w:rFonts w:ascii="宋体" w:hAnsi="宋体" w:cs="宋体"/>
                <w:kern w:val="0"/>
                <w:sz w:val="21"/>
                <w:szCs w:val="21"/>
              </w:rPr>
            </w:pPr>
            <w:r>
              <w:rPr>
                <w:rFonts w:ascii="宋体" w:hAnsi="宋体" w:cs="宋体"/>
                <w:color w:val="000000"/>
                <w:kern w:val="0"/>
                <w:sz w:val="21"/>
                <w:szCs w:val="21"/>
                <w:lang w:bidi="ar"/>
              </w:rPr>
              <w:t>1.60</w:t>
            </w:r>
          </w:p>
        </w:tc>
        <w:tc>
          <w:tcPr>
            <w:tcW w:w="1383" w:type="dxa"/>
            <w:vAlign w:val="center"/>
          </w:tcPr>
          <w:p>
            <w:pPr>
              <w:widowControl/>
              <w:jc w:val="center"/>
              <w:textAlignment w:val="center"/>
              <w:rPr>
                <w:rFonts w:ascii="宋体" w:hAnsi="宋体" w:cs="宋体"/>
                <w:kern w:val="0"/>
                <w:sz w:val="21"/>
                <w:szCs w:val="21"/>
              </w:rPr>
            </w:pPr>
            <w:r>
              <w:rPr>
                <w:rFonts w:ascii="宋体" w:hAnsi="宋体" w:cs="宋体"/>
                <w:kern w:val="0"/>
                <w:sz w:val="21"/>
                <w:szCs w:val="21"/>
              </w:rPr>
              <w:t>3.28</w:t>
            </w: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kern w:val="0"/>
                <w:sz w:val="21"/>
                <w:szCs w:val="21"/>
              </w:rPr>
              <w:t>4.</w:t>
            </w:r>
            <w:r>
              <w:rPr>
                <w:rFonts w:ascii="宋体" w:hAnsi="宋体" w:cs="宋体"/>
                <w:kern w:val="0"/>
                <w:sz w:val="21"/>
                <w:szCs w:val="21"/>
              </w:rPr>
              <w:t>27</w:t>
            </w:r>
          </w:p>
        </w:tc>
        <w:tc>
          <w:tcPr>
            <w:tcW w:w="1383" w:type="dxa"/>
            <w:vAlign w:val="center"/>
          </w:tcPr>
          <w:p>
            <w:pPr>
              <w:widowControl/>
              <w:jc w:val="center"/>
              <w:textAlignment w:val="center"/>
              <w:rPr>
                <w:rFonts w:ascii="宋体" w:hAnsi="宋体" w:cs="宋体"/>
                <w:kern w:val="0"/>
                <w:sz w:val="21"/>
                <w:szCs w:val="21"/>
              </w:rPr>
            </w:pPr>
            <w:r>
              <w:rPr>
                <w:rFonts w:ascii="宋体" w:hAnsi="宋体" w:cs="宋体"/>
                <w:kern w:val="0"/>
                <w:sz w:val="21"/>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RSD%</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0.</w:t>
            </w:r>
            <w:r>
              <w:rPr>
                <w:rFonts w:ascii="宋体" w:hAnsi="宋体" w:cs="宋体"/>
                <w:kern w:val="0"/>
                <w:sz w:val="21"/>
                <w:szCs w:val="21"/>
              </w:rPr>
              <w:t>32</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0.</w:t>
            </w:r>
            <w:r>
              <w:rPr>
                <w:rFonts w:ascii="宋体" w:hAnsi="宋体" w:cs="宋体"/>
                <w:kern w:val="0"/>
                <w:sz w:val="21"/>
                <w:szCs w:val="21"/>
              </w:rPr>
              <w:t>33</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0.</w:t>
            </w:r>
            <w:r>
              <w:rPr>
                <w:rFonts w:ascii="宋体" w:hAnsi="宋体" w:cs="宋体"/>
                <w:kern w:val="0"/>
                <w:sz w:val="21"/>
                <w:szCs w:val="21"/>
              </w:rPr>
              <w:t>29</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0.</w:t>
            </w:r>
            <w:r>
              <w:rPr>
                <w:rFonts w:ascii="宋体" w:hAnsi="宋体" w:cs="宋体"/>
                <w:kern w:val="0"/>
                <w:sz w:val="21"/>
                <w:szCs w:val="21"/>
              </w:rPr>
              <w:t>27</w:t>
            </w:r>
          </w:p>
        </w:tc>
      </w:tr>
    </w:tbl>
    <w:p>
      <w:pPr>
        <w:spacing w:line="360" w:lineRule="auto"/>
        <w:jc w:val="left"/>
        <w:outlineLvl w:val="1"/>
        <w:rPr>
          <w:szCs w:val="21"/>
        </w:rPr>
      </w:pPr>
      <w:r>
        <w:rPr>
          <w:szCs w:val="21"/>
        </w:rPr>
        <w:t xml:space="preserve">        </w:t>
      </w:r>
    </w:p>
    <w:p>
      <w:pPr>
        <w:spacing w:line="360" w:lineRule="auto"/>
        <w:ind w:firstLine="2310" w:firstLineChars="1100"/>
        <w:jc w:val="left"/>
        <w:outlineLvl w:val="1"/>
        <w:rPr>
          <w:szCs w:val="21"/>
        </w:rPr>
      </w:pPr>
      <w:r>
        <w:rPr>
          <w:szCs w:val="21"/>
        </w:rPr>
        <w:t>表</w:t>
      </w:r>
      <w:r>
        <w:rPr>
          <w:rFonts w:hint="eastAsia"/>
          <w:szCs w:val="21"/>
        </w:rPr>
        <w:t>2 北矿检测技术有限公司的试验数据</w:t>
      </w:r>
      <w:r>
        <w:rPr>
          <w:szCs w:val="21"/>
        </w:rPr>
        <w:t xml:space="preserve"> </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1733"/>
        <w:gridCol w:w="1734"/>
        <w:gridCol w:w="1733"/>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2" w:type="pct"/>
            <w:noWrap/>
            <w:vAlign w:val="center"/>
          </w:tcPr>
          <w:p>
            <w:pPr>
              <w:widowControl/>
              <w:jc w:val="center"/>
              <w:rPr>
                <w:color w:val="000000"/>
                <w:kern w:val="0"/>
                <w:szCs w:val="21"/>
              </w:rPr>
            </w:pPr>
            <w:r>
              <w:rPr>
                <w:color w:val="000000"/>
                <w:kern w:val="0"/>
                <w:szCs w:val="21"/>
              </w:rPr>
              <w:t>样品编号</w:t>
            </w:r>
          </w:p>
        </w:tc>
        <w:tc>
          <w:tcPr>
            <w:tcW w:w="1017" w:type="pct"/>
            <w:noWrap/>
            <w:vAlign w:val="center"/>
          </w:tcPr>
          <w:p>
            <w:pPr>
              <w:widowControl/>
              <w:jc w:val="center"/>
              <w:rPr>
                <w:color w:val="000000"/>
                <w:kern w:val="0"/>
                <w:szCs w:val="21"/>
              </w:rPr>
            </w:pPr>
            <w:r>
              <w:rPr>
                <w:color w:val="000000"/>
                <w:kern w:val="0"/>
                <w:szCs w:val="21"/>
              </w:rPr>
              <w:t>1</w:t>
            </w:r>
            <w:r>
              <w:rPr>
                <w:rFonts w:hint="eastAsia"/>
                <w:color w:val="000000"/>
                <w:kern w:val="0"/>
                <w:szCs w:val="21"/>
              </w:rPr>
              <w:t>#</w:t>
            </w:r>
          </w:p>
        </w:tc>
        <w:tc>
          <w:tcPr>
            <w:tcW w:w="1018" w:type="pct"/>
            <w:noWrap/>
            <w:vAlign w:val="center"/>
          </w:tcPr>
          <w:p>
            <w:pPr>
              <w:widowControl/>
              <w:jc w:val="center"/>
              <w:rPr>
                <w:color w:val="000000"/>
                <w:kern w:val="0"/>
                <w:szCs w:val="21"/>
              </w:rPr>
            </w:pPr>
            <w:r>
              <w:rPr>
                <w:color w:val="000000"/>
                <w:kern w:val="0"/>
                <w:szCs w:val="21"/>
              </w:rPr>
              <w:t>2</w:t>
            </w:r>
            <w:r>
              <w:rPr>
                <w:rFonts w:hint="eastAsia"/>
                <w:color w:val="000000"/>
                <w:kern w:val="0"/>
                <w:szCs w:val="21"/>
              </w:rPr>
              <w:t>#</w:t>
            </w:r>
          </w:p>
        </w:tc>
        <w:tc>
          <w:tcPr>
            <w:tcW w:w="1017" w:type="pct"/>
            <w:noWrap/>
            <w:vAlign w:val="center"/>
          </w:tcPr>
          <w:p>
            <w:pPr>
              <w:widowControl/>
              <w:jc w:val="center"/>
              <w:rPr>
                <w:color w:val="000000"/>
                <w:kern w:val="0"/>
                <w:szCs w:val="21"/>
              </w:rPr>
            </w:pPr>
            <w:r>
              <w:rPr>
                <w:rFonts w:hint="eastAsia"/>
                <w:color w:val="000000"/>
                <w:kern w:val="0"/>
                <w:szCs w:val="21"/>
              </w:rPr>
              <w:t>3#</w:t>
            </w:r>
          </w:p>
        </w:tc>
        <w:tc>
          <w:tcPr>
            <w:tcW w:w="1017" w:type="pct"/>
            <w:noWrap/>
            <w:vAlign w:val="center"/>
          </w:tcPr>
          <w:p>
            <w:pPr>
              <w:widowControl/>
              <w:jc w:val="center"/>
              <w:rPr>
                <w:color w:val="000000"/>
                <w:kern w:val="0"/>
                <w:szCs w:val="21"/>
              </w:rPr>
            </w:pPr>
            <w:r>
              <w:rPr>
                <w:rFonts w:hint="eastAsia"/>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32" w:type="pct"/>
            <w:vMerge w:val="restart"/>
            <w:noWrap/>
            <w:vAlign w:val="center"/>
          </w:tcPr>
          <w:p>
            <w:pPr>
              <w:jc w:val="center"/>
              <w:rPr>
                <w:color w:val="000000"/>
                <w:kern w:val="0"/>
                <w:szCs w:val="21"/>
              </w:rPr>
            </w:pPr>
            <w:r>
              <w:rPr>
                <w:color w:val="000000"/>
                <w:kern w:val="0"/>
                <w:szCs w:val="21"/>
              </w:rPr>
              <w:t>测定结果/%</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4.95</w:t>
            </w:r>
          </w:p>
        </w:tc>
        <w:tc>
          <w:tcPr>
            <w:tcW w:w="1018"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9.87</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14.86</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32" w:type="pct"/>
            <w:vMerge w:val="continue"/>
            <w:noWrap/>
            <w:vAlign w:val="center"/>
          </w:tcPr>
          <w:p>
            <w:pPr>
              <w:jc w:val="center"/>
              <w:rPr>
                <w:color w:val="000000"/>
                <w:kern w:val="0"/>
                <w:szCs w:val="21"/>
              </w:rPr>
            </w:pP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4.96</w:t>
            </w:r>
          </w:p>
        </w:tc>
        <w:tc>
          <w:tcPr>
            <w:tcW w:w="1018"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9.85</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14.9</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32" w:type="pct"/>
            <w:vMerge w:val="continue"/>
            <w:noWrap/>
            <w:vAlign w:val="center"/>
          </w:tcPr>
          <w:p>
            <w:pPr>
              <w:jc w:val="center"/>
              <w:rPr>
                <w:color w:val="000000"/>
                <w:kern w:val="0"/>
                <w:szCs w:val="21"/>
              </w:rPr>
            </w:pP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4.90</w:t>
            </w:r>
          </w:p>
        </w:tc>
        <w:tc>
          <w:tcPr>
            <w:tcW w:w="1018"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9.90</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14.94</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2" w:type="pct"/>
            <w:vMerge w:val="continue"/>
            <w:noWrap/>
            <w:vAlign w:val="center"/>
          </w:tcPr>
          <w:p>
            <w:pPr>
              <w:jc w:val="center"/>
              <w:rPr>
                <w:color w:val="000000"/>
                <w:kern w:val="0"/>
                <w:szCs w:val="21"/>
              </w:rPr>
            </w:pP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4.89</w:t>
            </w:r>
          </w:p>
        </w:tc>
        <w:tc>
          <w:tcPr>
            <w:tcW w:w="1018"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9.89</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14.84</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32" w:type="pct"/>
            <w:vMerge w:val="continue"/>
            <w:noWrap/>
            <w:vAlign w:val="center"/>
          </w:tcPr>
          <w:p>
            <w:pPr>
              <w:jc w:val="center"/>
              <w:rPr>
                <w:color w:val="000000"/>
                <w:kern w:val="0"/>
                <w:szCs w:val="21"/>
              </w:rPr>
            </w:pP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4.92</w:t>
            </w:r>
          </w:p>
        </w:tc>
        <w:tc>
          <w:tcPr>
            <w:tcW w:w="1018"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9.92</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14.98</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32" w:type="pct"/>
            <w:vMerge w:val="continue"/>
            <w:noWrap/>
            <w:vAlign w:val="center"/>
          </w:tcPr>
          <w:p>
            <w:pPr>
              <w:jc w:val="center"/>
              <w:rPr>
                <w:color w:val="000000"/>
                <w:kern w:val="0"/>
                <w:szCs w:val="21"/>
              </w:rPr>
            </w:pP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4.95</w:t>
            </w:r>
          </w:p>
        </w:tc>
        <w:tc>
          <w:tcPr>
            <w:tcW w:w="1018"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9.92</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14.95</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32" w:type="pct"/>
            <w:vMerge w:val="continue"/>
            <w:noWrap/>
            <w:vAlign w:val="center"/>
          </w:tcPr>
          <w:p>
            <w:pPr>
              <w:jc w:val="center"/>
              <w:rPr>
                <w:color w:val="000000"/>
                <w:kern w:val="0"/>
                <w:szCs w:val="21"/>
              </w:rPr>
            </w:pP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4.95</w:t>
            </w:r>
          </w:p>
        </w:tc>
        <w:tc>
          <w:tcPr>
            <w:tcW w:w="1018"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9.85</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14.92</w:t>
            </w:r>
          </w:p>
        </w:tc>
        <w:tc>
          <w:tcPr>
            <w:tcW w:w="1017" w:type="pct"/>
            <w:noWrap/>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2" w:type="pct"/>
            <w:noWrap/>
            <w:vAlign w:val="center"/>
          </w:tcPr>
          <w:p>
            <w:pPr>
              <w:widowControl/>
              <w:jc w:val="center"/>
              <w:rPr>
                <w:color w:val="000000"/>
                <w:kern w:val="0"/>
                <w:szCs w:val="21"/>
              </w:rPr>
            </w:pPr>
            <w:r>
              <w:rPr>
                <w:rFonts w:hint="eastAsia"/>
                <w:color w:val="000000"/>
                <w:kern w:val="0"/>
                <w:szCs w:val="21"/>
              </w:rPr>
              <w:t>平</w:t>
            </w:r>
            <w:r>
              <w:rPr>
                <w:color w:val="000000"/>
                <w:kern w:val="0"/>
                <w:szCs w:val="21"/>
              </w:rPr>
              <w:t>均值/%</w:t>
            </w:r>
          </w:p>
        </w:tc>
        <w:tc>
          <w:tcPr>
            <w:tcW w:w="1017"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4.93</w:t>
            </w:r>
          </w:p>
        </w:tc>
        <w:tc>
          <w:tcPr>
            <w:tcW w:w="1018"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9.89</w:t>
            </w:r>
          </w:p>
        </w:tc>
        <w:tc>
          <w:tcPr>
            <w:tcW w:w="1017"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14.91</w:t>
            </w:r>
          </w:p>
        </w:tc>
        <w:tc>
          <w:tcPr>
            <w:tcW w:w="1017"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32" w:type="pct"/>
            <w:noWrap/>
            <w:vAlign w:val="center"/>
          </w:tcPr>
          <w:p>
            <w:pPr>
              <w:widowControl/>
              <w:jc w:val="center"/>
              <w:rPr>
                <w:color w:val="000000"/>
                <w:kern w:val="0"/>
                <w:szCs w:val="21"/>
              </w:rPr>
            </w:pPr>
            <w:r>
              <w:rPr>
                <w:color w:val="000000"/>
                <w:kern w:val="0"/>
                <w:szCs w:val="21"/>
              </w:rPr>
              <w:t>标准偏差</w:t>
            </w:r>
          </w:p>
        </w:tc>
        <w:tc>
          <w:tcPr>
            <w:tcW w:w="1017"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2.59</w:t>
            </w:r>
          </w:p>
        </w:tc>
        <w:tc>
          <w:tcPr>
            <w:tcW w:w="1018"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2.77</w:t>
            </w:r>
          </w:p>
        </w:tc>
        <w:tc>
          <w:tcPr>
            <w:tcW w:w="1017"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4.62</w:t>
            </w:r>
          </w:p>
        </w:tc>
        <w:tc>
          <w:tcPr>
            <w:tcW w:w="1017"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32" w:type="pct"/>
            <w:noWrap/>
            <w:vAlign w:val="center"/>
          </w:tcPr>
          <w:p>
            <w:pPr>
              <w:widowControl/>
              <w:jc w:val="center"/>
              <w:rPr>
                <w:color w:val="000000"/>
                <w:kern w:val="0"/>
                <w:szCs w:val="21"/>
              </w:rPr>
            </w:pPr>
            <w:r>
              <w:rPr>
                <w:color w:val="000000"/>
                <w:kern w:val="0"/>
                <w:szCs w:val="21"/>
              </w:rPr>
              <w:t>RSD/%</w:t>
            </w:r>
          </w:p>
        </w:tc>
        <w:tc>
          <w:tcPr>
            <w:tcW w:w="1017"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0.52</w:t>
            </w:r>
          </w:p>
        </w:tc>
        <w:tc>
          <w:tcPr>
            <w:tcW w:w="1018"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0.28</w:t>
            </w:r>
          </w:p>
        </w:tc>
        <w:tc>
          <w:tcPr>
            <w:tcW w:w="1017"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0.31</w:t>
            </w:r>
          </w:p>
        </w:tc>
        <w:tc>
          <w:tcPr>
            <w:tcW w:w="1017" w:type="pct"/>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0.20</w:t>
            </w:r>
          </w:p>
        </w:tc>
      </w:tr>
    </w:tbl>
    <w:p>
      <w:pPr>
        <w:spacing w:line="360" w:lineRule="auto"/>
        <w:ind w:firstLine="420" w:firstLineChars="200"/>
        <w:jc w:val="left"/>
        <w:outlineLvl w:val="1"/>
        <w:rPr>
          <w:szCs w:val="21"/>
        </w:rPr>
      </w:pPr>
      <w:r>
        <w:rPr>
          <w:szCs w:val="21"/>
        </w:rPr>
        <w:t xml:space="preserve">   </w:t>
      </w:r>
    </w:p>
    <w:p>
      <w:pPr>
        <w:spacing w:line="360" w:lineRule="auto"/>
        <w:ind w:firstLine="1260" w:firstLineChars="600"/>
        <w:jc w:val="left"/>
        <w:outlineLvl w:val="1"/>
        <w:rPr>
          <w:szCs w:val="21"/>
        </w:rPr>
      </w:pPr>
      <w:r>
        <w:rPr>
          <w:szCs w:val="21"/>
        </w:rPr>
        <w:t>表</w:t>
      </w:r>
      <w:r>
        <w:rPr>
          <w:rFonts w:hint="eastAsia"/>
          <w:szCs w:val="21"/>
        </w:rPr>
        <w:t>3</w:t>
      </w:r>
      <w:r>
        <w:rPr>
          <w:szCs w:val="21"/>
        </w:rPr>
        <w:t xml:space="preserve"> </w:t>
      </w:r>
      <w:r>
        <w:rPr>
          <w:rFonts w:hint="eastAsia"/>
          <w:szCs w:val="21"/>
        </w:rPr>
        <w:t>深圳市中金岭南有色金属股份有限公司验证数据</w:t>
      </w:r>
    </w:p>
    <w:tbl>
      <w:tblPr>
        <w:tblStyle w:val="23"/>
        <w:tblW w:w="5000" w:type="pct"/>
        <w:tblInd w:w="0" w:type="dxa"/>
        <w:tblLayout w:type="fixed"/>
        <w:tblCellMar>
          <w:top w:w="0" w:type="dxa"/>
          <w:left w:w="108" w:type="dxa"/>
          <w:bottom w:w="0" w:type="dxa"/>
          <w:right w:w="108" w:type="dxa"/>
        </w:tblCellMar>
      </w:tblPr>
      <w:tblGrid>
        <w:gridCol w:w="727"/>
        <w:gridCol w:w="789"/>
        <w:gridCol w:w="973"/>
        <w:gridCol w:w="949"/>
        <w:gridCol w:w="784"/>
        <w:gridCol w:w="784"/>
        <w:gridCol w:w="784"/>
        <w:gridCol w:w="907"/>
        <w:gridCol w:w="1006"/>
        <w:gridCol w:w="820"/>
      </w:tblGrid>
      <w:tr>
        <w:tblPrEx>
          <w:tblCellMar>
            <w:top w:w="0" w:type="dxa"/>
            <w:left w:w="108" w:type="dxa"/>
            <w:bottom w:w="0" w:type="dxa"/>
            <w:right w:w="108" w:type="dxa"/>
          </w:tblCellMar>
        </w:tblPrEx>
        <w:trPr>
          <w:trHeight w:val="285" w:hRule="atLeast"/>
        </w:trPr>
        <w:tc>
          <w:tcPr>
            <w:tcW w:w="4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Cs w:val="2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宋体" w:hAnsi="宋体" w:cs="宋体"/>
                <w:color w:val="000000" w:themeColor="text1"/>
                <w:kern w:val="0"/>
                <w:szCs w:val="21"/>
                <w:lang w:bidi="ar"/>
                <w14:shadow w14:blurRad="38100" w14:dist="19050" w14:dir="2700000" w14:sx="100000" w14:sy="100000" w14:kx="0" w14:ky="0" w14:algn="tl">
                  <w14:schemeClr w14:val="dk1">
                    <w14:alpha w14:val="60000"/>
                  </w14:schemeClr>
                </w14:shadow>
                <w14:textFill>
                  <w14:solidFill>
                    <w14:schemeClr w14:val="tx1"/>
                  </w14:solidFill>
                </w14:textFill>
              </w:rPr>
              <w:t>样品编号</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Cs w:val="2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宋体" w:hAnsi="宋体" w:cs="宋体"/>
                <w:color w:val="000000" w:themeColor="text1"/>
                <w:kern w:val="0"/>
                <w:szCs w:val="21"/>
                <w:lang w:bidi="ar"/>
                <w14:shadow w14:blurRad="38100" w14:dist="19050" w14:dir="2700000" w14:sx="100000" w14:sy="100000" w14:kx="0" w14:ky="0" w14:algn="tl">
                  <w14:schemeClr w14:val="dk1">
                    <w14:alpha w14:val="60000"/>
                  </w14:schemeClr>
                </w14:shadow>
                <w14:textFill>
                  <w14:solidFill>
                    <w14:schemeClr w14:val="tx1"/>
                  </w14:solidFill>
                </w14:textFill>
              </w:rPr>
              <w:t>1</w:t>
            </w:r>
          </w:p>
        </w:tc>
        <w:tc>
          <w:tcPr>
            <w:tcW w:w="5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Cs w:val="2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宋体" w:hAnsi="宋体" w:cs="宋体"/>
                <w:color w:val="000000" w:themeColor="text1"/>
                <w:kern w:val="0"/>
                <w:szCs w:val="21"/>
                <w:lang w:bidi="ar"/>
                <w14:shadow w14:blurRad="38100" w14:dist="19050" w14:dir="2700000" w14:sx="100000" w14:sy="100000" w14:kx="0" w14:ky="0" w14:algn="tl">
                  <w14:schemeClr w14:val="dk1">
                    <w14:alpha w14:val="60000"/>
                  </w14:schemeClr>
                </w14:shadow>
                <w14:textFill>
                  <w14:solidFill>
                    <w14:schemeClr w14:val="tx1"/>
                  </w14:solidFill>
                </w14:textFill>
              </w:rPr>
              <w:t>2</w:t>
            </w:r>
          </w:p>
        </w:tc>
        <w:tc>
          <w:tcPr>
            <w:tcW w:w="5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Cs w:val="2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宋体" w:hAnsi="宋体" w:cs="宋体"/>
                <w:color w:val="000000" w:themeColor="text1"/>
                <w:kern w:val="0"/>
                <w:szCs w:val="21"/>
                <w:lang w:bidi="ar"/>
                <w14:shadow w14:blurRad="38100" w14:dist="19050" w14:dir="2700000" w14:sx="100000" w14:sy="100000" w14:kx="0" w14:ky="0" w14:algn="tl">
                  <w14:schemeClr w14:val="dk1">
                    <w14:alpha w14:val="60000"/>
                  </w14:schemeClr>
                </w14:shadow>
                <w14:textFill>
                  <w14:solidFill>
                    <w14:schemeClr w14:val="tx1"/>
                  </w14:solidFill>
                </w14:textFill>
              </w:rPr>
              <w:t>3</w:t>
            </w:r>
          </w:p>
        </w:tc>
        <w:tc>
          <w:tcPr>
            <w:tcW w:w="4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Cs w:val="2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宋体" w:hAnsi="宋体" w:cs="宋体"/>
                <w:color w:val="000000" w:themeColor="text1"/>
                <w:kern w:val="0"/>
                <w:szCs w:val="21"/>
                <w:lang w:bidi="ar"/>
                <w14:shadow w14:blurRad="38100" w14:dist="19050" w14:dir="2700000" w14:sx="100000" w14:sy="100000" w14:kx="0" w14:ky="0" w14:algn="tl">
                  <w14:schemeClr w14:val="dk1">
                    <w14:alpha w14:val="60000"/>
                  </w14:schemeClr>
                </w14:shadow>
                <w14:textFill>
                  <w14:solidFill>
                    <w14:schemeClr w14:val="tx1"/>
                  </w14:solidFill>
                </w14:textFill>
              </w:rPr>
              <w:t>4</w:t>
            </w:r>
          </w:p>
        </w:tc>
        <w:tc>
          <w:tcPr>
            <w:tcW w:w="4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Cs w:val="2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宋体" w:hAnsi="宋体" w:cs="宋体"/>
                <w:color w:val="000000" w:themeColor="text1"/>
                <w:kern w:val="0"/>
                <w:szCs w:val="21"/>
                <w:lang w:bidi="ar"/>
                <w14:shadow w14:blurRad="38100" w14:dist="19050" w14:dir="2700000" w14:sx="100000" w14:sy="100000" w14:kx="0" w14:ky="0" w14:algn="tl">
                  <w14:schemeClr w14:val="dk1">
                    <w14:alpha w14:val="60000"/>
                  </w14:schemeClr>
                </w14:shadow>
                <w14:textFill>
                  <w14:solidFill>
                    <w14:schemeClr w14:val="tx1"/>
                  </w14:solidFill>
                </w14:textFill>
              </w:rPr>
              <w:t>5</w:t>
            </w:r>
          </w:p>
        </w:tc>
        <w:tc>
          <w:tcPr>
            <w:tcW w:w="4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Cs w:val="2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宋体" w:hAnsi="宋体" w:cs="宋体"/>
                <w:color w:val="000000" w:themeColor="text1"/>
                <w:kern w:val="0"/>
                <w:szCs w:val="21"/>
                <w:lang w:bidi="ar"/>
                <w14:shadow w14:blurRad="38100" w14:dist="19050" w14:dir="2700000" w14:sx="100000" w14:sy="100000" w14:kx="0" w14:ky="0" w14:algn="tl">
                  <w14:schemeClr w14:val="dk1">
                    <w14:alpha w14:val="60000"/>
                  </w14:schemeClr>
                </w14:shadow>
                <w14:textFill>
                  <w14:solidFill>
                    <w14:schemeClr w14:val="tx1"/>
                  </w14:solidFill>
                </w14:textFill>
              </w:rPr>
              <w:t>6</w:t>
            </w:r>
          </w:p>
        </w:tc>
        <w:tc>
          <w:tcPr>
            <w:tcW w:w="5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Cs w:val="2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宋体" w:hAnsi="宋体" w:cs="宋体"/>
                <w:color w:val="000000" w:themeColor="text1"/>
                <w:kern w:val="0"/>
                <w:szCs w:val="21"/>
                <w:lang w:bidi="ar"/>
                <w14:shadow w14:blurRad="38100" w14:dist="19050" w14:dir="2700000" w14:sx="100000" w14:sy="100000" w14:kx="0" w14:ky="0" w14:algn="tl">
                  <w14:schemeClr w14:val="dk1">
                    <w14:alpha w14:val="60000"/>
                  </w14:schemeClr>
                </w14:shadow>
                <w14:textFill>
                  <w14:solidFill>
                    <w14:schemeClr w14:val="tx1"/>
                  </w14:solidFill>
                </w14:textFill>
              </w:rPr>
              <w:t>7</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Cs w:val="2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宋体" w:hAnsi="宋体" w:cs="宋体"/>
                <w:color w:val="000000" w:themeColor="text1"/>
                <w:kern w:val="0"/>
                <w:szCs w:val="21"/>
                <w:lang w:bidi="ar"/>
                <w14:shadow w14:blurRad="38100" w14:dist="19050" w14:dir="2700000" w14:sx="100000" w14:sy="100000" w14:kx="0" w14:ky="0" w14:algn="tl">
                  <w14:schemeClr w14:val="dk1">
                    <w14:alpha w14:val="60000"/>
                  </w14:schemeClr>
                </w14:shadow>
                <w14:textFill>
                  <w14:solidFill>
                    <w14:schemeClr w14:val="tx1"/>
                  </w14:solidFill>
                </w14:textFill>
              </w:rPr>
              <w:t>平均值</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themeColor="text1"/>
                <w:szCs w:val="21"/>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宋体" w:hAnsi="宋体" w:cs="宋体"/>
                <w:color w:val="000000" w:themeColor="text1"/>
                <w:kern w:val="0"/>
                <w:szCs w:val="21"/>
                <w:lang w:bidi="ar"/>
                <w14:shadow w14:blurRad="38100" w14:dist="19050" w14:dir="2700000" w14:sx="100000" w14:sy="100000" w14:kx="0" w14:ky="0" w14:algn="tl">
                  <w14:schemeClr w14:val="dk1">
                    <w14:alpha w14:val="60000"/>
                  </w14:schemeClr>
                </w14:shadow>
                <w14:textFill>
                  <w14:solidFill>
                    <w14:schemeClr w14:val="tx1"/>
                  </w14:solidFill>
                </w14:textFill>
              </w:rPr>
              <w:t>标准偏差</w:t>
            </w:r>
          </w:p>
        </w:tc>
      </w:tr>
      <w:tr>
        <w:tblPrEx>
          <w:tblCellMar>
            <w:top w:w="0" w:type="dxa"/>
            <w:left w:w="108" w:type="dxa"/>
            <w:bottom w:w="0" w:type="dxa"/>
            <w:right w:w="108" w:type="dxa"/>
          </w:tblCellMar>
        </w:tblPrEx>
        <w:trPr>
          <w:trHeight w:val="285" w:hRule="atLeast"/>
        </w:trPr>
        <w:tc>
          <w:tcPr>
            <w:tcW w:w="4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p>
        </w:tc>
        <w:tc>
          <w:tcPr>
            <w:tcW w:w="4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5.098</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5.032</w:t>
            </w:r>
          </w:p>
        </w:tc>
        <w:tc>
          <w:tcPr>
            <w:tcW w:w="5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5.015</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5.093</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4.926</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4.946</w:t>
            </w:r>
          </w:p>
        </w:tc>
        <w:tc>
          <w:tcPr>
            <w:tcW w:w="5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4.913</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5.003</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0.0768</w:t>
            </w:r>
          </w:p>
        </w:tc>
      </w:tr>
      <w:tr>
        <w:tblPrEx>
          <w:tblCellMar>
            <w:top w:w="0" w:type="dxa"/>
            <w:left w:w="108" w:type="dxa"/>
            <w:bottom w:w="0" w:type="dxa"/>
            <w:right w:w="108" w:type="dxa"/>
          </w:tblCellMar>
        </w:tblPrEx>
        <w:trPr>
          <w:trHeight w:val="285" w:hRule="atLeast"/>
        </w:trPr>
        <w:tc>
          <w:tcPr>
            <w:tcW w:w="4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2#</w:t>
            </w:r>
          </w:p>
        </w:tc>
        <w:tc>
          <w:tcPr>
            <w:tcW w:w="4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10.023</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9.986</w:t>
            </w:r>
          </w:p>
        </w:tc>
        <w:tc>
          <w:tcPr>
            <w:tcW w:w="5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10.035</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9.879</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9.786</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9.886</w:t>
            </w:r>
          </w:p>
        </w:tc>
        <w:tc>
          <w:tcPr>
            <w:tcW w:w="5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9.976</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9.939</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0.0910</w:t>
            </w:r>
          </w:p>
        </w:tc>
      </w:tr>
      <w:tr>
        <w:tblPrEx>
          <w:tblCellMar>
            <w:top w:w="0" w:type="dxa"/>
            <w:left w:w="108" w:type="dxa"/>
            <w:bottom w:w="0" w:type="dxa"/>
            <w:right w:w="108" w:type="dxa"/>
          </w:tblCellMar>
        </w:tblPrEx>
        <w:trPr>
          <w:trHeight w:val="285" w:hRule="atLeast"/>
        </w:trPr>
        <w:tc>
          <w:tcPr>
            <w:tcW w:w="4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3#</w:t>
            </w:r>
          </w:p>
        </w:tc>
        <w:tc>
          <w:tcPr>
            <w:tcW w:w="4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14.736</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14.746</w:t>
            </w:r>
          </w:p>
        </w:tc>
        <w:tc>
          <w:tcPr>
            <w:tcW w:w="5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14.836</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14.858</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14.879</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14.886</w:t>
            </w:r>
          </w:p>
        </w:tc>
        <w:tc>
          <w:tcPr>
            <w:tcW w:w="5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14.739</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14.811</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0.0684</w:t>
            </w:r>
          </w:p>
        </w:tc>
      </w:tr>
      <w:tr>
        <w:tblPrEx>
          <w:tblCellMar>
            <w:top w:w="0" w:type="dxa"/>
            <w:left w:w="108" w:type="dxa"/>
            <w:bottom w:w="0" w:type="dxa"/>
            <w:right w:w="108" w:type="dxa"/>
          </w:tblCellMar>
        </w:tblPrEx>
        <w:trPr>
          <w:trHeight w:val="285" w:hRule="atLeast"/>
        </w:trPr>
        <w:tc>
          <w:tcPr>
            <w:tcW w:w="42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4#</w:t>
            </w:r>
          </w:p>
        </w:tc>
        <w:tc>
          <w:tcPr>
            <w:tcW w:w="4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19.953</w:t>
            </w:r>
          </w:p>
        </w:tc>
        <w:tc>
          <w:tcPr>
            <w:tcW w:w="57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19.846</w:t>
            </w:r>
          </w:p>
        </w:tc>
        <w:tc>
          <w:tcPr>
            <w:tcW w:w="55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19.839</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19.886</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19.879</w:t>
            </w:r>
          </w:p>
        </w:tc>
        <w:tc>
          <w:tcPr>
            <w:tcW w:w="4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19.946</w:t>
            </w:r>
          </w:p>
        </w:tc>
        <w:tc>
          <w:tcPr>
            <w:tcW w:w="53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19.987</w:t>
            </w:r>
          </w:p>
        </w:tc>
        <w:tc>
          <w:tcPr>
            <w:tcW w:w="5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19.905</w:t>
            </w:r>
          </w:p>
        </w:tc>
        <w:tc>
          <w:tcPr>
            <w:tcW w:w="4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0.0571</w:t>
            </w:r>
          </w:p>
        </w:tc>
      </w:tr>
    </w:tbl>
    <w:p>
      <w:pPr>
        <w:spacing w:line="360" w:lineRule="auto"/>
        <w:ind w:firstLine="1680" w:firstLineChars="800"/>
        <w:jc w:val="left"/>
        <w:outlineLvl w:val="1"/>
        <w:rPr>
          <w:szCs w:val="21"/>
        </w:rPr>
      </w:pPr>
    </w:p>
    <w:p>
      <w:pPr>
        <w:spacing w:line="360" w:lineRule="auto"/>
        <w:ind w:firstLine="2100" w:firstLineChars="1000"/>
        <w:jc w:val="left"/>
        <w:outlineLvl w:val="1"/>
        <w:rPr>
          <w:szCs w:val="21"/>
        </w:rPr>
      </w:pPr>
      <w:r>
        <w:rPr>
          <w:szCs w:val="21"/>
        </w:rPr>
        <w:t>表4</w:t>
      </w:r>
      <w:r>
        <w:rPr>
          <w:rFonts w:hint="eastAsia"/>
          <w:szCs w:val="21"/>
        </w:rPr>
        <w:t xml:space="preserve"> 紫金铜业公司验证数据</w:t>
      </w:r>
    </w:p>
    <w:tbl>
      <w:tblPr>
        <w:tblStyle w:val="23"/>
        <w:tblpPr w:leftFromText="180" w:rightFromText="180" w:vertAnchor="text" w:horzAnchor="page" w:tblpX="1838" w:tblpY="224"/>
        <w:tblOverlap w:val="never"/>
        <w:tblW w:w="8217" w:type="dxa"/>
        <w:tblInd w:w="0" w:type="dxa"/>
        <w:tblLayout w:type="fixed"/>
        <w:tblCellMar>
          <w:top w:w="0" w:type="dxa"/>
          <w:left w:w="108" w:type="dxa"/>
          <w:bottom w:w="0" w:type="dxa"/>
          <w:right w:w="108" w:type="dxa"/>
        </w:tblCellMar>
      </w:tblPr>
      <w:tblGrid>
        <w:gridCol w:w="1558"/>
        <w:gridCol w:w="1664"/>
        <w:gridCol w:w="1665"/>
        <w:gridCol w:w="1665"/>
        <w:gridCol w:w="1665"/>
      </w:tblGrid>
      <w:tr>
        <w:tblPrEx>
          <w:tblCellMar>
            <w:top w:w="0" w:type="dxa"/>
            <w:left w:w="108" w:type="dxa"/>
            <w:bottom w:w="0" w:type="dxa"/>
            <w:right w:w="108" w:type="dxa"/>
          </w:tblCellMar>
        </w:tblPrEx>
        <w:trPr>
          <w:trHeight w:val="285" w:hRule="atLeast"/>
        </w:trPr>
        <w:tc>
          <w:tcPr>
            <w:tcW w:w="1558"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样品编号</w:t>
            </w:r>
          </w:p>
        </w:tc>
        <w:tc>
          <w:tcPr>
            <w:tcW w:w="166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lang w:bidi="ar"/>
              </w:rPr>
            </w:pPr>
            <w:r>
              <w:rPr>
                <w:rFonts w:ascii="宋体" w:hAnsi="宋体" w:cs="宋体"/>
                <w:kern w:val="0"/>
                <w:szCs w:val="21"/>
                <w:lang w:bidi="ar"/>
              </w:rPr>
              <w:t>1#</w:t>
            </w:r>
          </w:p>
        </w:tc>
        <w:tc>
          <w:tcPr>
            <w:tcW w:w="166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lang w:bidi="ar"/>
              </w:rPr>
            </w:pPr>
            <w:r>
              <w:rPr>
                <w:rFonts w:ascii="宋体" w:hAnsi="宋体" w:cs="宋体"/>
                <w:kern w:val="0"/>
                <w:szCs w:val="21"/>
                <w:lang w:bidi="ar"/>
              </w:rPr>
              <w:t>2#</w:t>
            </w:r>
          </w:p>
        </w:tc>
        <w:tc>
          <w:tcPr>
            <w:tcW w:w="166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lang w:bidi="ar"/>
              </w:rPr>
            </w:pPr>
            <w:r>
              <w:rPr>
                <w:rFonts w:ascii="宋体" w:hAnsi="宋体" w:cs="宋体"/>
                <w:kern w:val="0"/>
                <w:szCs w:val="21"/>
                <w:lang w:bidi="ar"/>
              </w:rPr>
              <w:t>3#</w:t>
            </w:r>
          </w:p>
        </w:tc>
        <w:tc>
          <w:tcPr>
            <w:tcW w:w="166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lang w:bidi="ar"/>
              </w:rPr>
            </w:pPr>
            <w:r>
              <w:rPr>
                <w:rFonts w:ascii="宋体" w:hAnsi="宋体" w:cs="宋体"/>
                <w:kern w:val="0"/>
                <w:szCs w:val="21"/>
                <w:lang w:bidi="ar"/>
              </w:rPr>
              <w:t>4#</w:t>
            </w:r>
          </w:p>
        </w:tc>
      </w:tr>
      <w:tr>
        <w:tblPrEx>
          <w:tblCellMar>
            <w:top w:w="0" w:type="dxa"/>
            <w:left w:w="108" w:type="dxa"/>
            <w:bottom w:w="0" w:type="dxa"/>
            <w:right w:w="108" w:type="dxa"/>
          </w:tblCellMar>
        </w:tblPrEx>
        <w:trPr>
          <w:trHeight w:val="285" w:hRule="atLeast"/>
        </w:trPr>
        <w:tc>
          <w:tcPr>
            <w:tcW w:w="1558"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测定结果（%）</w:t>
            </w: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5.15</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9.91</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14.78</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19.76</w:t>
            </w:r>
          </w:p>
        </w:tc>
      </w:tr>
      <w:tr>
        <w:tblPrEx>
          <w:tblCellMar>
            <w:top w:w="0" w:type="dxa"/>
            <w:left w:w="108" w:type="dxa"/>
            <w:bottom w:w="0" w:type="dxa"/>
            <w:right w:w="108" w:type="dxa"/>
          </w:tblCellMar>
        </w:tblPrEx>
        <w:trPr>
          <w:trHeight w:val="285" w:hRule="atLeast"/>
        </w:trPr>
        <w:tc>
          <w:tcPr>
            <w:tcW w:w="1558" w:type="dxa"/>
            <w:vMerge w:val="continue"/>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kern w:val="0"/>
                <w:szCs w:val="21"/>
                <w:lang w:bidi="ar"/>
              </w:rPr>
            </w:pP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5.13</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9.86</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14.74</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19.73</w:t>
            </w:r>
          </w:p>
        </w:tc>
      </w:tr>
      <w:tr>
        <w:tblPrEx>
          <w:tblCellMar>
            <w:top w:w="0" w:type="dxa"/>
            <w:left w:w="108" w:type="dxa"/>
            <w:bottom w:w="0" w:type="dxa"/>
            <w:right w:w="108" w:type="dxa"/>
          </w:tblCellMar>
        </w:tblPrEx>
        <w:trPr>
          <w:trHeight w:val="285" w:hRule="atLeast"/>
        </w:trPr>
        <w:tc>
          <w:tcPr>
            <w:tcW w:w="1558" w:type="dxa"/>
            <w:vMerge w:val="continue"/>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kern w:val="0"/>
                <w:szCs w:val="21"/>
                <w:lang w:bidi="ar"/>
              </w:rPr>
            </w:pP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5.10</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9.85</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14.76</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19.77</w:t>
            </w:r>
          </w:p>
        </w:tc>
      </w:tr>
      <w:tr>
        <w:tblPrEx>
          <w:tblCellMar>
            <w:top w:w="0" w:type="dxa"/>
            <w:left w:w="108" w:type="dxa"/>
            <w:bottom w:w="0" w:type="dxa"/>
            <w:right w:w="108" w:type="dxa"/>
          </w:tblCellMar>
        </w:tblPrEx>
        <w:trPr>
          <w:trHeight w:val="285" w:hRule="atLeast"/>
        </w:trPr>
        <w:tc>
          <w:tcPr>
            <w:tcW w:w="1558" w:type="dxa"/>
            <w:vMerge w:val="continue"/>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kern w:val="0"/>
                <w:szCs w:val="21"/>
                <w:lang w:bidi="ar"/>
              </w:rPr>
            </w:pP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5.03</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9.79</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14.68</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19.70</w:t>
            </w:r>
          </w:p>
        </w:tc>
      </w:tr>
      <w:tr>
        <w:tblPrEx>
          <w:tblCellMar>
            <w:top w:w="0" w:type="dxa"/>
            <w:left w:w="108" w:type="dxa"/>
            <w:bottom w:w="0" w:type="dxa"/>
            <w:right w:w="108" w:type="dxa"/>
          </w:tblCellMar>
        </w:tblPrEx>
        <w:trPr>
          <w:trHeight w:val="285" w:hRule="atLeast"/>
        </w:trPr>
        <w:tc>
          <w:tcPr>
            <w:tcW w:w="1558" w:type="dxa"/>
            <w:vMerge w:val="continue"/>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kern w:val="0"/>
                <w:szCs w:val="21"/>
                <w:lang w:bidi="ar"/>
              </w:rPr>
            </w:pP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5.07</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9.78</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14.71</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19.84</w:t>
            </w:r>
          </w:p>
        </w:tc>
      </w:tr>
      <w:tr>
        <w:tblPrEx>
          <w:tblCellMar>
            <w:top w:w="0" w:type="dxa"/>
            <w:left w:w="108" w:type="dxa"/>
            <w:bottom w:w="0" w:type="dxa"/>
            <w:right w:w="108" w:type="dxa"/>
          </w:tblCellMar>
        </w:tblPrEx>
        <w:trPr>
          <w:trHeight w:val="285" w:hRule="atLeast"/>
        </w:trPr>
        <w:tc>
          <w:tcPr>
            <w:tcW w:w="1558" w:type="dxa"/>
            <w:vMerge w:val="continue"/>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kern w:val="0"/>
                <w:szCs w:val="21"/>
                <w:lang w:bidi="ar"/>
              </w:rPr>
            </w:pP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5.18</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9.89</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14.75</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19.76</w:t>
            </w:r>
          </w:p>
        </w:tc>
      </w:tr>
      <w:tr>
        <w:tblPrEx>
          <w:tblCellMar>
            <w:top w:w="0" w:type="dxa"/>
            <w:left w:w="108" w:type="dxa"/>
            <w:bottom w:w="0" w:type="dxa"/>
            <w:right w:w="108" w:type="dxa"/>
          </w:tblCellMar>
        </w:tblPrEx>
        <w:trPr>
          <w:trHeight w:val="285" w:hRule="atLeast"/>
        </w:trPr>
        <w:tc>
          <w:tcPr>
            <w:tcW w:w="1558" w:type="dxa"/>
            <w:vMerge w:val="continue"/>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cs="宋体"/>
                <w:kern w:val="0"/>
                <w:szCs w:val="21"/>
                <w:lang w:bidi="ar"/>
              </w:rPr>
            </w:pPr>
          </w:p>
        </w:tc>
        <w:tc>
          <w:tcPr>
            <w:tcW w:w="16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5.16</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9.84</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14.71</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19.83</w:t>
            </w:r>
          </w:p>
        </w:tc>
      </w:tr>
      <w:tr>
        <w:tblPrEx>
          <w:tblCellMar>
            <w:top w:w="0" w:type="dxa"/>
            <w:left w:w="108" w:type="dxa"/>
            <w:bottom w:w="0" w:type="dxa"/>
            <w:right w:w="108" w:type="dxa"/>
          </w:tblCellMar>
        </w:tblPrEx>
        <w:trPr>
          <w:trHeight w:val="285" w:hRule="atLeast"/>
        </w:trPr>
        <w:tc>
          <w:tcPr>
            <w:tcW w:w="1558"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平均值（%）</w:t>
            </w:r>
          </w:p>
        </w:tc>
        <w:tc>
          <w:tcPr>
            <w:tcW w:w="1664" w:type="dxa"/>
            <w:tcBorders>
              <w:top w:val="nil"/>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 xml:space="preserve">5.12 </w:t>
            </w:r>
          </w:p>
        </w:tc>
        <w:tc>
          <w:tcPr>
            <w:tcW w:w="1665" w:type="dxa"/>
            <w:tcBorders>
              <w:top w:val="nil"/>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 xml:space="preserve">9.84 </w:t>
            </w:r>
          </w:p>
        </w:tc>
        <w:tc>
          <w:tcPr>
            <w:tcW w:w="1665" w:type="dxa"/>
            <w:tcBorders>
              <w:top w:val="nil"/>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 xml:space="preserve">14.73 </w:t>
            </w:r>
          </w:p>
        </w:tc>
        <w:tc>
          <w:tcPr>
            <w:tcW w:w="1665" w:type="dxa"/>
            <w:tcBorders>
              <w:top w:val="nil"/>
              <w:left w:val="single" w:color="000000" w:sz="4" w:space="0"/>
              <w:bottom w:val="single" w:color="000000" w:sz="4" w:space="0"/>
              <w:right w:val="single" w:color="000000" w:sz="4" w:space="0"/>
            </w:tcBorders>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 xml:space="preserve">19.77 </w:t>
            </w:r>
          </w:p>
        </w:tc>
      </w:tr>
    </w:tbl>
    <w:p>
      <w:pPr>
        <w:spacing w:line="360" w:lineRule="auto"/>
        <w:jc w:val="left"/>
        <w:outlineLvl w:val="1"/>
        <w:rPr>
          <w:szCs w:val="21"/>
        </w:rPr>
      </w:pPr>
    </w:p>
    <w:p>
      <w:pPr>
        <w:spacing w:line="360" w:lineRule="auto"/>
        <w:ind w:firstLine="1890" w:firstLineChars="900"/>
        <w:jc w:val="left"/>
        <w:outlineLvl w:val="1"/>
        <w:rPr>
          <w:szCs w:val="21"/>
        </w:rPr>
      </w:pPr>
      <w:r>
        <w:rPr>
          <w:rFonts w:hint="eastAsia"/>
          <w:szCs w:val="21"/>
        </w:rPr>
        <w:t>表5 铜陵有色金属股份有限公司验证数据</w:t>
      </w:r>
    </w:p>
    <w:tbl>
      <w:tblPr>
        <w:tblStyle w:val="23"/>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1701"/>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宋体" w:hAnsi="宋体"/>
              </w:rPr>
            </w:pPr>
            <w:r>
              <w:rPr>
                <w:rFonts w:hint="eastAsia" w:ascii="宋体" w:hAnsi="宋体"/>
              </w:rPr>
              <w:t>元素</w:t>
            </w:r>
          </w:p>
        </w:tc>
        <w:tc>
          <w:tcPr>
            <w:tcW w:w="1701" w:type="dxa"/>
            <w:vAlign w:val="center"/>
          </w:tcPr>
          <w:p>
            <w:pPr>
              <w:jc w:val="center"/>
              <w:rPr>
                <w:rFonts w:ascii="宋体" w:hAnsi="宋体"/>
              </w:rPr>
            </w:pPr>
            <w:r>
              <w:rPr>
                <w:rFonts w:hint="eastAsia" w:ascii="宋体" w:hAnsi="宋体"/>
              </w:rPr>
              <w:t>1#</w:t>
            </w:r>
          </w:p>
        </w:tc>
        <w:tc>
          <w:tcPr>
            <w:tcW w:w="1701" w:type="dxa"/>
            <w:vAlign w:val="center"/>
          </w:tcPr>
          <w:p>
            <w:pPr>
              <w:jc w:val="center"/>
              <w:rPr>
                <w:rFonts w:ascii="宋体" w:hAnsi="宋体"/>
              </w:rPr>
            </w:pPr>
            <w:r>
              <w:rPr>
                <w:rFonts w:hint="eastAsia" w:ascii="宋体" w:hAnsi="宋体"/>
              </w:rPr>
              <w:t>2#</w:t>
            </w:r>
          </w:p>
        </w:tc>
        <w:tc>
          <w:tcPr>
            <w:tcW w:w="1559" w:type="dxa"/>
            <w:vAlign w:val="center"/>
          </w:tcPr>
          <w:p>
            <w:pPr>
              <w:jc w:val="center"/>
              <w:rPr>
                <w:rFonts w:ascii="宋体" w:hAnsi="宋体"/>
              </w:rPr>
            </w:pPr>
            <w:r>
              <w:rPr>
                <w:rFonts w:hint="eastAsia" w:ascii="宋体" w:hAnsi="宋体"/>
              </w:rPr>
              <w:t>3#</w:t>
            </w:r>
          </w:p>
        </w:tc>
        <w:tc>
          <w:tcPr>
            <w:tcW w:w="1701" w:type="dxa"/>
            <w:vAlign w:val="center"/>
          </w:tcPr>
          <w:p>
            <w:pPr>
              <w:jc w:val="center"/>
              <w:rPr>
                <w:rFonts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jc w:val="center"/>
              <w:rPr>
                <w:rFonts w:ascii="宋体" w:hAnsi="宋体"/>
              </w:rPr>
            </w:pPr>
            <w:r>
              <w:rPr>
                <w:rFonts w:hint="eastAsia" w:ascii="宋体" w:hAnsi="宋体"/>
              </w:rPr>
              <w:t>Te</w:t>
            </w:r>
          </w:p>
        </w:tc>
        <w:tc>
          <w:tcPr>
            <w:tcW w:w="1701" w:type="dxa"/>
            <w:vAlign w:val="center"/>
          </w:tcPr>
          <w:p>
            <w:pPr>
              <w:jc w:val="center"/>
              <w:rPr>
                <w:rFonts w:ascii="宋体" w:hAnsi="宋体"/>
              </w:rPr>
            </w:pPr>
            <w:r>
              <w:rPr>
                <w:rFonts w:hint="eastAsia" w:ascii="宋体" w:hAnsi="宋体"/>
              </w:rPr>
              <w:t>4.69</w:t>
            </w:r>
          </w:p>
        </w:tc>
        <w:tc>
          <w:tcPr>
            <w:tcW w:w="1701" w:type="dxa"/>
            <w:vAlign w:val="center"/>
          </w:tcPr>
          <w:p>
            <w:pPr>
              <w:jc w:val="center"/>
              <w:rPr>
                <w:rFonts w:ascii="宋体" w:hAnsi="宋体"/>
              </w:rPr>
            </w:pPr>
            <w:r>
              <w:rPr>
                <w:rFonts w:hint="eastAsia" w:ascii="宋体" w:hAnsi="宋体"/>
              </w:rPr>
              <w:t>9.55</w:t>
            </w:r>
          </w:p>
        </w:tc>
        <w:tc>
          <w:tcPr>
            <w:tcW w:w="1559" w:type="dxa"/>
            <w:vAlign w:val="center"/>
          </w:tcPr>
          <w:p>
            <w:pPr>
              <w:jc w:val="center"/>
              <w:rPr>
                <w:rFonts w:ascii="宋体" w:hAnsi="宋体"/>
              </w:rPr>
            </w:pPr>
            <w:r>
              <w:rPr>
                <w:rFonts w:hint="eastAsia" w:ascii="宋体" w:hAnsi="宋体"/>
              </w:rPr>
              <w:t>14.32</w:t>
            </w:r>
          </w:p>
        </w:tc>
        <w:tc>
          <w:tcPr>
            <w:tcW w:w="1701" w:type="dxa"/>
            <w:vAlign w:val="center"/>
          </w:tcPr>
          <w:p>
            <w:pPr>
              <w:jc w:val="center"/>
              <w:rPr>
                <w:rFonts w:ascii="宋体" w:hAnsi="宋体"/>
              </w:rPr>
            </w:pPr>
            <w:r>
              <w:rPr>
                <w:rFonts w:hint="eastAsia" w:ascii="宋体" w:hAnsi="宋体"/>
              </w:rPr>
              <w:t>19.34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rFonts w:ascii="宋体" w:hAnsi="宋体"/>
              </w:rPr>
            </w:pPr>
          </w:p>
        </w:tc>
        <w:tc>
          <w:tcPr>
            <w:tcW w:w="1701" w:type="dxa"/>
            <w:vAlign w:val="center"/>
          </w:tcPr>
          <w:p>
            <w:pPr>
              <w:jc w:val="center"/>
              <w:rPr>
                <w:rFonts w:ascii="宋体" w:hAnsi="宋体"/>
              </w:rPr>
            </w:pPr>
            <w:r>
              <w:rPr>
                <w:rFonts w:hint="eastAsia" w:ascii="宋体" w:hAnsi="宋体"/>
              </w:rPr>
              <w:t>4.70</w:t>
            </w:r>
          </w:p>
        </w:tc>
        <w:tc>
          <w:tcPr>
            <w:tcW w:w="1701" w:type="dxa"/>
            <w:vAlign w:val="center"/>
          </w:tcPr>
          <w:p>
            <w:pPr>
              <w:jc w:val="center"/>
              <w:rPr>
                <w:rFonts w:ascii="宋体" w:hAnsi="宋体"/>
              </w:rPr>
            </w:pPr>
            <w:r>
              <w:rPr>
                <w:rFonts w:hint="eastAsia" w:ascii="宋体" w:hAnsi="宋体"/>
              </w:rPr>
              <w:t>9.51</w:t>
            </w:r>
          </w:p>
        </w:tc>
        <w:tc>
          <w:tcPr>
            <w:tcW w:w="1559" w:type="dxa"/>
            <w:vAlign w:val="center"/>
          </w:tcPr>
          <w:p>
            <w:pPr>
              <w:jc w:val="center"/>
              <w:rPr>
                <w:rFonts w:ascii="宋体" w:hAnsi="宋体"/>
              </w:rPr>
            </w:pPr>
            <w:r>
              <w:rPr>
                <w:rFonts w:hint="eastAsia" w:ascii="宋体" w:hAnsi="宋体"/>
              </w:rPr>
              <w:t>14.34</w:t>
            </w:r>
          </w:p>
        </w:tc>
        <w:tc>
          <w:tcPr>
            <w:tcW w:w="1701" w:type="dxa"/>
            <w:vAlign w:val="center"/>
          </w:tcPr>
          <w:p>
            <w:pPr>
              <w:jc w:val="center"/>
              <w:rPr>
                <w:rFonts w:ascii="宋体" w:hAnsi="宋体"/>
              </w:rPr>
            </w:pPr>
            <w:r>
              <w:rPr>
                <w:rFonts w:hint="eastAsia" w:ascii="宋体" w:hAnsi="宋体"/>
              </w:rPr>
              <w:t>19.36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rFonts w:ascii="宋体" w:hAnsi="宋体"/>
              </w:rPr>
            </w:pPr>
          </w:p>
        </w:tc>
        <w:tc>
          <w:tcPr>
            <w:tcW w:w="1701" w:type="dxa"/>
            <w:vAlign w:val="center"/>
          </w:tcPr>
          <w:p>
            <w:pPr>
              <w:jc w:val="center"/>
              <w:rPr>
                <w:rFonts w:ascii="宋体" w:hAnsi="宋体"/>
              </w:rPr>
            </w:pPr>
            <w:r>
              <w:rPr>
                <w:rFonts w:hint="eastAsia" w:ascii="宋体" w:hAnsi="宋体"/>
              </w:rPr>
              <w:t>4.72</w:t>
            </w:r>
          </w:p>
        </w:tc>
        <w:tc>
          <w:tcPr>
            <w:tcW w:w="1701" w:type="dxa"/>
            <w:vAlign w:val="center"/>
          </w:tcPr>
          <w:p>
            <w:pPr>
              <w:jc w:val="center"/>
              <w:rPr>
                <w:rFonts w:ascii="宋体" w:hAnsi="宋体"/>
              </w:rPr>
            </w:pPr>
            <w:r>
              <w:rPr>
                <w:rFonts w:hint="eastAsia" w:ascii="宋体" w:hAnsi="宋体"/>
              </w:rPr>
              <w:t>9.56</w:t>
            </w:r>
          </w:p>
        </w:tc>
        <w:tc>
          <w:tcPr>
            <w:tcW w:w="1559" w:type="dxa"/>
            <w:vAlign w:val="center"/>
          </w:tcPr>
          <w:p>
            <w:pPr>
              <w:jc w:val="center"/>
              <w:rPr>
                <w:rFonts w:ascii="宋体" w:hAnsi="宋体"/>
              </w:rPr>
            </w:pPr>
            <w:r>
              <w:rPr>
                <w:rFonts w:hint="eastAsia" w:ascii="宋体" w:hAnsi="宋体"/>
              </w:rPr>
              <w:t>14.27</w:t>
            </w:r>
          </w:p>
        </w:tc>
        <w:tc>
          <w:tcPr>
            <w:tcW w:w="1701" w:type="dxa"/>
            <w:vAlign w:val="center"/>
          </w:tcPr>
          <w:p>
            <w:pPr>
              <w:jc w:val="center"/>
              <w:rPr>
                <w:rFonts w:ascii="宋体" w:hAnsi="宋体"/>
              </w:rPr>
            </w:pPr>
            <w:r>
              <w:rPr>
                <w:rFonts w:hint="eastAsia" w:ascii="宋体" w:hAnsi="宋体"/>
              </w:rP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rFonts w:ascii="宋体" w:hAnsi="宋体"/>
              </w:rPr>
            </w:pPr>
          </w:p>
        </w:tc>
        <w:tc>
          <w:tcPr>
            <w:tcW w:w="1701" w:type="dxa"/>
            <w:vAlign w:val="center"/>
          </w:tcPr>
          <w:p>
            <w:pPr>
              <w:jc w:val="center"/>
              <w:rPr>
                <w:rFonts w:ascii="宋体" w:hAnsi="宋体"/>
              </w:rPr>
            </w:pPr>
            <w:r>
              <w:rPr>
                <w:rFonts w:hint="eastAsia" w:ascii="宋体" w:hAnsi="宋体"/>
              </w:rPr>
              <w:t>4.68</w:t>
            </w:r>
          </w:p>
        </w:tc>
        <w:tc>
          <w:tcPr>
            <w:tcW w:w="1701" w:type="dxa"/>
            <w:vAlign w:val="center"/>
          </w:tcPr>
          <w:p>
            <w:pPr>
              <w:jc w:val="center"/>
              <w:rPr>
                <w:rFonts w:ascii="宋体" w:hAnsi="宋体"/>
              </w:rPr>
            </w:pPr>
            <w:r>
              <w:rPr>
                <w:rFonts w:hint="eastAsia" w:ascii="宋体" w:hAnsi="宋体"/>
              </w:rPr>
              <w:t>9.52</w:t>
            </w:r>
          </w:p>
        </w:tc>
        <w:tc>
          <w:tcPr>
            <w:tcW w:w="1559" w:type="dxa"/>
            <w:vAlign w:val="center"/>
          </w:tcPr>
          <w:p>
            <w:pPr>
              <w:jc w:val="center"/>
              <w:rPr>
                <w:rFonts w:ascii="宋体" w:hAnsi="宋体"/>
              </w:rPr>
            </w:pPr>
            <w:r>
              <w:rPr>
                <w:rFonts w:hint="eastAsia" w:ascii="宋体" w:hAnsi="宋体"/>
              </w:rPr>
              <w:t>14.32</w:t>
            </w:r>
          </w:p>
        </w:tc>
        <w:tc>
          <w:tcPr>
            <w:tcW w:w="1701" w:type="dxa"/>
            <w:vAlign w:val="center"/>
          </w:tcPr>
          <w:p>
            <w:pPr>
              <w:jc w:val="center"/>
              <w:rPr>
                <w:rFonts w:ascii="宋体" w:hAnsi="宋体"/>
              </w:rPr>
            </w:pPr>
            <w:r>
              <w:rPr>
                <w:rFonts w:hint="eastAsia" w:ascii="宋体" w:hAnsi="宋体"/>
              </w:rPr>
              <w:t>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rFonts w:ascii="宋体" w:hAnsi="宋体"/>
              </w:rPr>
            </w:pPr>
          </w:p>
        </w:tc>
        <w:tc>
          <w:tcPr>
            <w:tcW w:w="1701" w:type="dxa"/>
            <w:vAlign w:val="center"/>
          </w:tcPr>
          <w:p>
            <w:pPr>
              <w:jc w:val="center"/>
              <w:rPr>
                <w:rFonts w:ascii="宋体" w:hAnsi="宋体"/>
              </w:rPr>
            </w:pPr>
            <w:r>
              <w:rPr>
                <w:rFonts w:hint="eastAsia" w:ascii="宋体" w:hAnsi="宋体"/>
              </w:rPr>
              <w:t>4.71</w:t>
            </w:r>
          </w:p>
        </w:tc>
        <w:tc>
          <w:tcPr>
            <w:tcW w:w="1701" w:type="dxa"/>
            <w:vAlign w:val="center"/>
          </w:tcPr>
          <w:p>
            <w:pPr>
              <w:jc w:val="center"/>
              <w:rPr>
                <w:rFonts w:ascii="宋体" w:hAnsi="宋体"/>
              </w:rPr>
            </w:pPr>
            <w:r>
              <w:rPr>
                <w:rFonts w:hint="eastAsia" w:ascii="宋体" w:hAnsi="宋体"/>
              </w:rPr>
              <w:t>9.57</w:t>
            </w:r>
          </w:p>
        </w:tc>
        <w:tc>
          <w:tcPr>
            <w:tcW w:w="1559" w:type="dxa"/>
            <w:vAlign w:val="center"/>
          </w:tcPr>
          <w:p>
            <w:pPr>
              <w:jc w:val="center"/>
              <w:rPr>
                <w:rFonts w:ascii="宋体" w:hAnsi="宋体"/>
              </w:rPr>
            </w:pPr>
            <w:r>
              <w:rPr>
                <w:rFonts w:hint="eastAsia" w:ascii="宋体" w:hAnsi="宋体"/>
              </w:rPr>
              <w:t>14.28</w:t>
            </w:r>
          </w:p>
        </w:tc>
        <w:tc>
          <w:tcPr>
            <w:tcW w:w="1701" w:type="dxa"/>
            <w:vAlign w:val="center"/>
          </w:tcPr>
          <w:p>
            <w:pPr>
              <w:jc w:val="center"/>
              <w:rPr>
                <w:rFonts w:ascii="宋体" w:hAnsi="宋体"/>
              </w:rPr>
            </w:pPr>
            <w:r>
              <w:rPr>
                <w:rFonts w:hint="eastAsia" w:ascii="宋体" w:hAnsi="宋体"/>
              </w:rPr>
              <w:t>19.40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rFonts w:ascii="宋体" w:hAnsi="宋体"/>
              </w:rPr>
            </w:pPr>
          </w:p>
        </w:tc>
        <w:tc>
          <w:tcPr>
            <w:tcW w:w="1701" w:type="dxa"/>
            <w:vAlign w:val="center"/>
          </w:tcPr>
          <w:p>
            <w:pPr>
              <w:jc w:val="center"/>
              <w:rPr>
                <w:rFonts w:ascii="宋体" w:hAnsi="宋体"/>
              </w:rPr>
            </w:pPr>
            <w:r>
              <w:rPr>
                <w:rFonts w:hint="eastAsia" w:ascii="宋体" w:hAnsi="宋体"/>
              </w:rPr>
              <w:t>4.72</w:t>
            </w:r>
          </w:p>
        </w:tc>
        <w:tc>
          <w:tcPr>
            <w:tcW w:w="1701" w:type="dxa"/>
            <w:vAlign w:val="center"/>
          </w:tcPr>
          <w:p>
            <w:pPr>
              <w:jc w:val="center"/>
              <w:rPr>
                <w:rFonts w:ascii="宋体" w:hAnsi="宋体"/>
              </w:rPr>
            </w:pPr>
            <w:r>
              <w:rPr>
                <w:rFonts w:hint="eastAsia" w:ascii="宋体" w:hAnsi="宋体"/>
              </w:rPr>
              <w:t>9.55</w:t>
            </w:r>
          </w:p>
        </w:tc>
        <w:tc>
          <w:tcPr>
            <w:tcW w:w="1559" w:type="dxa"/>
            <w:vAlign w:val="center"/>
          </w:tcPr>
          <w:p>
            <w:pPr>
              <w:jc w:val="center"/>
              <w:rPr>
                <w:rFonts w:ascii="宋体" w:hAnsi="宋体"/>
              </w:rPr>
            </w:pPr>
            <w:r>
              <w:rPr>
                <w:rFonts w:hint="eastAsia" w:ascii="宋体" w:hAnsi="宋体"/>
              </w:rPr>
              <w:t>14.33</w:t>
            </w:r>
          </w:p>
        </w:tc>
        <w:tc>
          <w:tcPr>
            <w:tcW w:w="1701" w:type="dxa"/>
            <w:vAlign w:val="center"/>
          </w:tcPr>
          <w:p>
            <w:pPr>
              <w:jc w:val="center"/>
              <w:rPr>
                <w:rFonts w:ascii="宋体" w:hAnsi="宋体"/>
              </w:rPr>
            </w:pPr>
            <w:r>
              <w:rPr>
                <w:rFonts w:hint="eastAsia" w:ascii="宋体" w:hAnsi="宋体"/>
              </w:rPr>
              <w:t>19.42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jc w:val="center"/>
              <w:rPr>
                <w:rFonts w:ascii="宋体" w:hAnsi="宋体"/>
              </w:rPr>
            </w:pPr>
          </w:p>
        </w:tc>
        <w:tc>
          <w:tcPr>
            <w:tcW w:w="1701" w:type="dxa"/>
            <w:vAlign w:val="center"/>
          </w:tcPr>
          <w:p>
            <w:pPr>
              <w:jc w:val="center"/>
              <w:rPr>
                <w:rFonts w:ascii="宋体" w:hAnsi="宋体"/>
              </w:rPr>
            </w:pPr>
            <w:r>
              <w:rPr>
                <w:rFonts w:hint="eastAsia" w:ascii="宋体" w:hAnsi="宋体"/>
              </w:rPr>
              <w:t>4.70</w:t>
            </w:r>
          </w:p>
        </w:tc>
        <w:tc>
          <w:tcPr>
            <w:tcW w:w="1701" w:type="dxa"/>
            <w:vAlign w:val="center"/>
          </w:tcPr>
          <w:p>
            <w:pPr>
              <w:jc w:val="center"/>
              <w:rPr>
                <w:rFonts w:ascii="宋体" w:hAnsi="宋体"/>
              </w:rPr>
            </w:pPr>
            <w:r>
              <w:rPr>
                <w:rFonts w:hint="eastAsia" w:ascii="宋体" w:hAnsi="宋体"/>
              </w:rPr>
              <w:t>9.60</w:t>
            </w:r>
          </w:p>
        </w:tc>
        <w:tc>
          <w:tcPr>
            <w:tcW w:w="1559" w:type="dxa"/>
            <w:vAlign w:val="center"/>
          </w:tcPr>
          <w:p>
            <w:pPr>
              <w:jc w:val="center"/>
              <w:rPr>
                <w:rFonts w:ascii="宋体" w:hAnsi="宋体"/>
              </w:rPr>
            </w:pPr>
            <w:r>
              <w:rPr>
                <w:rFonts w:hint="eastAsia" w:ascii="宋体" w:hAnsi="宋体"/>
              </w:rPr>
              <w:t>14.31</w:t>
            </w:r>
          </w:p>
        </w:tc>
        <w:tc>
          <w:tcPr>
            <w:tcW w:w="1701" w:type="dxa"/>
            <w:vAlign w:val="center"/>
          </w:tcPr>
          <w:p>
            <w:pPr>
              <w:jc w:val="center"/>
              <w:rPr>
                <w:rFonts w:ascii="宋体" w:hAnsi="宋体"/>
              </w:rPr>
            </w:pPr>
            <w:r>
              <w:rPr>
                <w:rFonts w:hint="eastAsia" w:ascii="宋体" w:hAnsi="宋体"/>
              </w:rPr>
              <w:t>19.36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宋体" w:hAnsi="宋体"/>
              </w:rPr>
            </w:pPr>
            <w:r>
              <w:rPr>
                <w:rFonts w:hint="eastAsia" w:ascii="宋体" w:hAnsi="宋体"/>
              </w:rPr>
              <w:t>平均值/%</w:t>
            </w:r>
          </w:p>
        </w:tc>
        <w:tc>
          <w:tcPr>
            <w:tcW w:w="1701" w:type="dxa"/>
            <w:vAlign w:val="center"/>
          </w:tcPr>
          <w:p>
            <w:pPr>
              <w:jc w:val="center"/>
              <w:rPr>
                <w:rFonts w:ascii="宋体" w:hAnsi="宋体"/>
              </w:rPr>
            </w:pPr>
            <w:r>
              <w:rPr>
                <w:rFonts w:hint="eastAsia" w:ascii="宋体" w:hAnsi="宋体"/>
              </w:rPr>
              <w:t>4.70</w:t>
            </w:r>
          </w:p>
        </w:tc>
        <w:tc>
          <w:tcPr>
            <w:tcW w:w="1701" w:type="dxa"/>
            <w:vAlign w:val="center"/>
          </w:tcPr>
          <w:p>
            <w:pPr>
              <w:jc w:val="center"/>
              <w:rPr>
                <w:rFonts w:ascii="宋体" w:hAnsi="宋体"/>
              </w:rPr>
            </w:pPr>
            <w:r>
              <w:rPr>
                <w:rFonts w:hint="eastAsia" w:ascii="宋体" w:hAnsi="宋体"/>
              </w:rPr>
              <w:t>9.55</w:t>
            </w:r>
          </w:p>
        </w:tc>
        <w:tc>
          <w:tcPr>
            <w:tcW w:w="1559" w:type="dxa"/>
            <w:vAlign w:val="center"/>
          </w:tcPr>
          <w:p>
            <w:pPr>
              <w:jc w:val="center"/>
              <w:rPr>
                <w:rFonts w:ascii="宋体" w:hAnsi="宋体"/>
              </w:rPr>
            </w:pPr>
            <w:r>
              <w:rPr>
                <w:rFonts w:hint="eastAsia" w:ascii="宋体" w:hAnsi="宋体"/>
              </w:rPr>
              <w:t>14.31</w:t>
            </w:r>
          </w:p>
        </w:tc>
        <w:tc>
          <w:tcPr>
            <w:tcW w:w="1701" w:type="dxa"/>
            <w:vAlign w:val="center"/>
          </w:tcPr>
          <w:p>
            <w:pPr>
              <w:jc w:val="center"/>
              <w:rPr>
                <w:rFonts w:ascii="宋体" w:hAnsi="宋体"/>
              </w:rPr>
            </w:pPr>
            <w:r>
              <w:rPr>
                <w:rFonts w:hint="eastAsia" w:ascii="宋体" w:hAnsi="宋体"/>
              </w:rPr>
              <w:t>19.38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宋体" w:hAnsi="宋体"/>
              </w:rPr>
            </w:pPr>
            <w:r>
              <w:rPr>
                <w:rFonts w:hint="eastAsia" w:ascii="宋体" w:hAnsi="宋体"/>
              </w:rPr>
              <w:t>标准偏差</w:t>
            </w:r>
          </w:p>
        </w:tc>
        <w:tc>
          <w:tcPr>
            <w:tcW w:w="1701" w:type="dxa"/>
            <w:vAlign w:val="center"/>
          </w:tcPr>
          <w:p>
            <w:pPr>
              <w:jc w:val="center"/>
              <w:rPr>
                <w:rFonts w:ascii="宋体" w:hAnsi="宋体"/>
              </w:rPr>
            </w:pPr>
            <w:r>
              <w:rPr>
                <w:rFonts w:hint="eastAsia" w:ascii="宋体" w:hAnsi="宋体"/>
              </w:rPr>
              <w:t>0.015</w:t>
            </w:r>
          </w:p>
        </w:tc>
        <w:tc>
          <w:tcPr>
            <w:tcW w:w="1701" w:type="dxa"/>
            <w:vAlign w:val="center"/>
          </w:tcPr>
          <w:p>
            <w:pPr>
              <w:jc w:val="center"/>
              <w:rPr>
                <w:rFonts w:ascii="宋体" w:hAnsi="宋体"/>
              </w:rPr>
            </w:pPr>
            <w:r>
              <w:rPr>
                <w:rFonts w:hint="eastAsia" w:ascii="宋体" w:hAnsi="宋体"/>
              </w:rPr>
              <w:t>0.030</w:t>
            </w:r>
          </w:p>
        </w:tc>
        <w:tc>
          <w:tcPr>
            <w:tcW w:w="1559" w:type="dxa"/>
            <w:vAlign w:val="center"/>
          </w:tcPr>
          <w:p>
            <w:pPr>
              <w:jc w:val="center"/>
              <w:rPr>
                <w:rFonts w:ascii="宋体" w:hAnsi="宋体"/>
              </w:rPr>
            </w:pPr>
            <w:r>
              <w:rPr>
                <w:rFonts w:hint="eastAsia" w:ascii="宋体" w:hAnsi="宋体"/>
              </w:rPr>
              <w:t>0.026</w:t>
            </w:r>
          </w:p>
        </w:tc>
        <w:tc>
          <w:tcPr>
            <w:tcW w:w="1701" w:type="dxa"/>
            <w:vAlign w:val="center"/>
          </w:tcPr>
          <w:p>
            <w:pPr>
              <w:jc w:val="center"/>
              <w:rPr>
                <w:rFonts w:ascii="宋体" w:hAnsi="宋体"/>
              </w:rPr>
            </w:pPr>
            <w:r>
              <w:rPr>
                <w:rFonts w:hint="eastAsia" w:ascii="宋体" w:hAnsi="宋体"/>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jc w:val="center"/>
              <w:rPr>
                <w:rFonts w:ascii="宋体" w:hAnsi="宋体"/>
              </w:rPr>
            </w:pPr>
            <w:r>
              <w:rPr>
                <w:rFonts w:hint="eastAsia" w:ascii="宋体" w:hAnsi="宋体"/>
              </w:rPr>
              <w:t>RSD/%</w:t>
            </w:r>
          </w:p>
        </w:tc>
        <w:tc>
          <w:tcPr>
            <w:tcW w:w="1701" w:type="dxa"/>
            <w:vAlign w:val="center"/>
          </w:tcPr>
          <w:p>
            <w:pPr>
              <w:jc w:val="center"/>
              <w:rPr>
                <w:rFonts w:ascii="宋体" w:hAnsi="宋体"/>
              </w:rPr>
            </w:pPr>
            <w:r>
              <w:rPr>
                <w:rFonts w:hint="eastAsia" w:ascii="宋体" w:hAnsi="宋体"/>
              </w:rPr>
              <w:t>0.32</w:t>
            </w:r>
          </w:p>
        </w:tc>
        <w:tc>
          <w:tcPr>
            <w:tcW w:w="1701" w:type="dxa"/>
            <w:vAlign w:val="center"/>
          </w:tcPr>
          <w:p>
            <w:pPr>
              <w:jc w:val="center"/>
              <w:rPr>
                <w:rFonts w:ascii="宋体" w:hAnsi="宋体"/>
              </w:rPr>
            </w:pPr>
            <w:r>
              <w:rPr>
                <w:rFonts w:hint="eastAsia" w:ascii="宋体" w:hAnsi="宋体"/>
              </w:rPr>
              <w:t>0.32</w:t>
            </w:r>
          </w:p>
        </w:tc>
        <w:tc>
          <w:tcPr>
            <w:tcW w:w="1559" w:type="dxa"/>
            <w:vAlign w:val="center"/>
          </w:tcPr>
          <w:p>
            <w:pPr>
              <w:jc w:val="center"/>
              <w:rPr>
                <w:rFonts w:ascii="宋体" w:hAnsi="宋体"/>
              </w:rPr>
            </w:pPr>
            <w:r>
              <w:rPr>
                <w:rFonts w:hint="eastAsia" w:ascii="宋体" w:hAnsi="宋体"/>
              </w:rPr>
              <w:t>0.18</w:t>
            </w:r>
          </w:p>
        </w:tc>
        <w:tc>
          <w:tcPr>
            <w:tcW w:w="1701" w:type="dxa"/>
            <w:vAlign w:val="center"/>
          </w:tcPr>
          <w:p>
            <w:pPr>
              <w:jc w:val="center"/>
              <w:rPr>
                <w:rFonts w:ascii="宋体" w:hAnsi="宋体"/>
              </w:rPr>
            </w:pPr>
            <w:r>
              <w:rPr>
                <w:rFonts w:hint="eastAsia" w:ascii="宋体" w:hAnsi="宋体"/>
              </w:rPr>
              <w:t>0.14</w:t>
            </w:r>
          </w:p>
        </w:tc>
      </w:tr>
    </w:tbl>
    <w:p>
      <w:pPr>
        <w:spacing w:line="360" w:lineRule="auto"/>
        <w:jc w:val="left"/>
        <w:outlineLvl w:val="1"/>
        <w:rPr>
          <w:szCs w:val="21"/>
        </w:rPr>
      </w:pPr>
    </w:p>
    <w:p>
      <w:pPr>
        <w:spacing w:line="360" w:lineRule="auto"/>
        <w:ind w:firstLine="2100" w:firstLineChars="1000"/>
        <w:jc w:val="left"/>
        <w:outlineLvl w:val="1"/>
        <w:rPr>
          <w:szCs w:val="21"/>
        </w:rPr>
      </w:pPr>
      <w:r>
        <w:rPr>
          <w:rFonts w:hint="eastAsia"/>
          <w:szCs w:val="21"/>
        </w:rPr>
        <w:t>表6 广东省科学院分析测试中心验证数据</w:t>
      </w:r>
    </w:p>
    <w:tbl>
      <w:tblPr>
        <w:tblStyle w:val="24"/>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493"/>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627" w:type="dxa"/>
            <w:gridSpan w:val="2"/>
            <w:vAlign w:val="center"/>
          </w:tcPr>
          <w:p>
            <w:pPr>
              <w:jc w:val="center"/>
              <w:rPr>
                <w:kern w:val="0"/>
                <w:sz w:val="21"/>
                <w:szCs w:val="21"/>
              </w:rPr>
            </w:pPr>
            <w:r>
              <w:rPr>
                <w:rFonts w:hint="eastAsia"/>
                <w:kern w:val="0"/>
                <w:sz w:val="21"/>
                <w:szCs w:val="21"/>
              </w:rPr>
              <w:t>样品编号</w:t>
            </w:r>
          </w:p>
        </w:tc>
        <w:tc>
          <w:tcPr>
            <w:tcW w:w="1383" w:type="dxa"/>
            <w:vAlign w:val="center"/>
          </w:tcPr>
          <w:p>
            <w:pPr>
              <w:jc w:val="center"/>
              <w:rPr>
                <w:color w:val="000000"/>
                <w:kern w:val="0"/>
                <w:sz w:val="21"/>
                <w:szCs w:val="21"/>
              </w:rPr>
            </w:pPr>
            <w:r>
              <w:rPr>
                <w:rFonts w:hint="eastAsia"/>
                <w:color w:val="000000"/>
                <w:kern w:val="0"/>
                <w:sz w:val="21"/>
                <w:szCs w:val="21"/>
              </w:rPr>
              <w:t>1#</w:t>
            </w:r>
          </w:p>
        </w:tc>
        <w:tc>
          <w:tcPr>
            <w:tcW w:w="1383" w:type="dxa"/>
            <w:vAlign w:val="center"/>
          </w:tcPr>
          <w:p>
            <w:pPr>
              <w:rPr>
                <w:rFonts w:ascii="宋体" w:hAnsi="宋体" w:cs="宋体"/>
                <w:kern w:val="0"/>
                <w:sz w:val="21"/>
                <w:szCs w:val="21"/>
              </w:rPr>
            </w:pPr>
            <w:r>
              <w:rPr>
                <w:rFonts w:hint="eastAsia" w:ascii="宋体" w:hAnsi="宋体" w:cs="宋体"/>
                <w:kern w:val="0"/>
                <w:sz w:val="21"/>
                <w:szCs w:val="21"/>
              </w:rPr>
              <w:t xml:space="preserve">     2#</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3#</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tcPr>
          <w:p>
            <w:pPr>
              <w:adjustRightInd w:val="0"/>
              <w:spacing w:line="360" w:lineRule="auto"/>
              <w:ind w:firstLine="210" w:firstLineChars="100"/>
              <w:rPr>
                <w:rFonts w:ascii="宋体" w:hAnsi="宋体" w:cs="宋体"/>
                <w:kern w:val="0"/>
                <w:sz w:val="21"/>
                <w:szCs w:val="21"/>
              </w:rPr>
            </w:pP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检</w:t>
            </w: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测</w:t>
            </w: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结</w:t>
            </w: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果</w:t>
            </w:r>
          </w:p>
        </w:tc>
        <w:tc>
          <w:tcPr>
            <w:tcW w:w="1493" w:type="dxa"/>
            <w:vAlign w:val="center"/>
          </w:tcPr>
          <w:p>
            <w:pPr>
              <w:jc w:val="center"/>
              <w:rPr>
                <w:kern w:val="0"/>
                <w:sz w:val="21"/>
                <w:szCs w:val="21"/>
              </w:rPr>
            </w:pPr>
            <w:r>
              <w:rPr>
                <w:rFonts w:hint="eastAsia"/>
                <w:kern w:val="0"/>
                <w:sz w:val="21"/>
                <w:szCs w:val="21"/>
              </w:rPr>
              <w:t>1</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4</w:t>
            </w:r>
            <w:r>
              <w:rPr>
                <w:rFonts w:ascii="宋体" w:hAnsi="宋体"/>
                <w:kern w:val="0"/>
                <w:sz w:val="21"/>
                <w:szCs w:val="21"/>
              </w:rPr>
              <w:t>.88</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9</w:t>
            </w:r>
            <w:r>
              <w:rPr>
                <w:rFonts w:ascii="宋体" w:hAnsi="宋体"/>
                <w:kern w:val="0"/>
                <w:sz w:val="21"/>
                <w:szCs w:val="21"/>
              </w:rPr>
              <w:t>.74</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1</w:t>
            </w:r>
            <w:r>
              <w:rPr>
                <w:rFonts w:ascii="宋体" w:hAnsi="宋体"/>
                <w:kern w:val="0"/>
                <w:sz w:val="21"/>
                <w:szCs w:val="21"/>
              </w:rPr>
              <w:t>4.78</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1</w:t>
            </w:r>
            <w:r>
              <w:rPr>
                <w:rFonts w:ascii="宋体" w:hAnsi="宋体"/>
                <w:kern w:val="0"/>
                <w:sz w:val="21"/>
                <w:szCs w:val="21"/>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2</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4</w:t>
            </w:r>
            <w:r>
              <w:rPr>
                <w:rFonts w:ascii="宋体" w:hAnsi="宋体"/>
                <w:kern w:val="0"/>
                <w:sz w:val="21"/>
                <w:szCs w:val="21"/>
              </w:rPr>
              <w:t>.84</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9</w:t>
            </w:r>
            <w:r>
              <w:rPr>
                <w:rFonts w:ascii="宋体" w:hAnsi="宋体"/>
                <w:kern w:val="0"/>
                <w:sz w:val="21"/>
                <w:szCs w:val="21"/>
              </w:rPr>
              <w:t>.79</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1</w:t>
            </w:r>
            <w:r>
              <w:rPr>
                <w:rFonts w:ascii="宋体" w:hAnsi="宋体"/>
                <w:kern w:val="0"/>
                <w:sz w:val="21"/>
                <w:szCs w:val="21"/>
              </w:rPr>
              <w:t>4.82</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1</w:t>
            </w:r>
            <w:r>
              <w:rPr>
                <w:rFonts w:ascii="宋体" w:hAnsi="宋体"/>
                <w:kern w:val="0"/>
                <w:sz w:val="21"/>
                <w:szCs w:val="21"/>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3</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4</w:t>
            </w:r>
            <w:r>
              <w:rPr>
                <w:rFonts w:ascii="宋体" w:hAnsi="宋体"/>
                <w:kern w:val="0"/>
                <w:sz w:val="21"/>
                <w:szCs w:val="21"/>
              </w:rPr>
              <w:t>.90</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9</w:t>
            </w:r>
            <w:r>
              <w:rPr>
                <w:rFonts w:ascii="宋体" w:hAnsi="宋体"/>
                <w:kern w:val="0"/>
                <w:sz w:val="21"/>
                <w:szCs w:val="21"/>
              </w:rPr>
              <w:t>.86</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1</w:t>
            </w:r>
            <w:r>
              <w:rPr>
                <w:rFonts w:ascii="宋体" w:hAnsi="宋体"/>
                <w:kern w:val="0"/>
                <w:sz w:val="21"/>
                <w:szCs w:val="21"/>
              </w:rPr>
              <w:t>4.76</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1</w:t>
            </w:r>
            <w:r>
              <w:rPr>
                <w:rFonts w:ascii="宋体" w:hAnsi="宋体"/>
                <w:kern w:val="0"/>
                <w:sz w:val="21"/>
                <w:szCs w:val="21"/>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4</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4</w:t>
            </w:r>
            <w:r>
              <w:rPr>
                <w:rFonts w:ascii="宋体" w:hAnsi="宋体" w:cs="宋体"/>
                <w:kern w:val="0"/>
                <w:sz w:val="21"/>
                <w:szCs w:val="21"/>
              </w:rPr>
              <w:t>.89</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9</w:t>
            </w:r>
            <w:r>
              <w:rPr>
                <w:rFonts w:ascii="宋体" w:hAnsi="宋体" w:cs="宋体"/>
                <w:kern w:val="0"/>
                <w:sz w:val="21"/>
                <w:szCs w:val="21"/>
              </w:rPr>
              <w:t>.82</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4.86</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5</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4</w:t>
            </w:r>
            <w:r>
              <w:rPr>
                <w:rFonts w:ascii="宋体" w:hAnsi="宋体" w:cs="宋体"/>
                <w:kern w:val="0"/>
                <w:sz w:val="21"/>
                <w:szCs w:val="21"/>
              </w:rPr>
              <w:t>.91</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9</w:t>
            </w:r>
            <w:r>
              <w:rPr>
                <w:rFonts w:ascii="宋体" w:hAnsi="宋体" w:cs="宋体"/>
                <w:kern w:val="0"/>
                <w:sz w:val="21"/>
                <w:szCs w:val="21"/>
              </w:rPr>
              <w:t>.90</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4.81</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6</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4</w:t>
            </w:r>
            <w:r>
              <w:rPr>
                <w:rFonts w:ascii="宋体" w:hAnsi="宋体" w:cs="宋体"/>
                <w:kern w:val="0"/>
                <w:sz w:val="21"/>
                <w:szCs w:val="21"/>
              </w:rPr>
              <w:t>.95</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9</w:t>
            </w:r>
            <w:r>
              <w:rPr>
                <w:rFonts w:ascii="宋体" w:hAnsi="宋体" w:cs="宋体"/>
                <w:kern w:val="0"/>
                <w:sz w:val="21"/>
                <w:szCs w:val="21"/>
              </w:rPr>
              <w:t>.88</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4.85</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7</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4</w:t>
            </w:r>
            <w:r>
              <w:rPr>
                <w:rFonts w:ascii="宋体" w:hAnsi="宋体" w:cs="宋体"/>
                <w:kern w:val="0"/>
                <w:sz w:val="21"/>
                <w:szCs w:val="21"/>
              </w:rPr>
              <w:t>.83</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9</w:t>
            </w:r>
            <w:r>
              <w:rPr>
                <w:rFonts w:ascii="宋体" w:hAnsi="宋体" w:cs="宋体"/>
                <w:kern w:val="0"/>
                <w:sz w:val="21"/>
                <w:szCs w:val="21"/>
              </w:rPr>
              <w:t>.95</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cs="宋体"/>
                <w:kern w:val="0"/>
                <w:sz w:val="21"/>
                <w:szCs w:val="21"/>
              </w:rPr>
              <w:t>1</w:t>
            </w:r>
            <w:r>
              <w:rPr>
                <w:rFonts w:ascii="宋体" w:hAnsi="宋体" w:cs="宋体"/>
                <w:kern w:val="0"/>
                <w:sz w:val="21"/>
                <w:szCs w:val="21"/>
              </w:rPr>
              <w:t>4.79</w:t>
            </w:r>
          </w:p>
        </w:tc>
        <w:tc>
          <w:tcPr>
            <w:tcW w:w="1383" w:type="dxa"/>
            <w:shd w:val="clear" w:color="auto" w:fill="auto"/>
            <w:vAlign w:val="center"/>
          </w:tcPr>
          <w:p>
            <w:pPr>
              <w:adjustRightInd w:val="0"/>
              <w:spacing w:line="360" w:lineRule="auto"/>
              <w:jc w:val="center"/>
              <w:rPr>
                <w:rFonts w:ascii="宋体" w:hAnsi="宋体" w:cs="宋体"/>
                <w:kern w:val="0"/>
                <w:sz w:val="21"/>
                <w:szCs w:val="21"/>
              </w:rPr>
            </w:pPr>
            <w:r>
              <w:rPr>
                <w:rFonts w:hint="eastAsia" w:ascii="宋体" w:hAnsi="宋体"/>
                <w:kern w:val="0"/>
                <w:sz w:val="21"/>
                <w:szCs w:val="21"/>
              </w:rPr>
              <w:t>1</w:t>
            </w:r>
            <w:r>
              <w:rPr>
                <w:rFonts w:ascii="宋体" w:hAnsi="宋体"/>
                <w:kern w:val="0"/>
                <w:sz w:val="21"/>
                <w:szCs w:val="21"/>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平均值%</w:t>
            </w:r>
          </w:p>
        </w:tc>
        <w:tc>
          <w:tcPr>
            <w:tcW w:w="1383" w:type="dxa"/>
            <w:vAlign w:val="center"/>
          </w:tcPr>
          <w:p>
            <w:pPr>
              <w:widowControl/>
              <w:jc w:val="center"/>
              <w:textAlignment w:val="center"/>
              <w:rPr>
                <w:rFonts w:ascii="宋体" w:hAnsi="宋体" w:cs="宋体"/>
                <w:kern w:val="0"/>
                <w:sz w:val="21"/>
                <w:szCs w:val="21"/>
              </w:rPr>
            </w:pPr>
            <w:r>
              <w:rPr>
                <w:rFonts w:ascii="宋体" w:hAnsi="宋体" w:cs="宋体"/>
                <w:color w:val="000000"/>
                <w:kern w:val="0"/>
                <w:sz w:val="21"/>
                <w:szCs w:val="21"/>
                <w:lang w:bidi="ar"/>
              </w:rPr>
              <w:t>4.88</w:t>
            </w: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kern w:val="0"/>
                <w:sz w:val="21"/>
                <w:szCs w:val="21"/>
              </w:rPr>
              <w:t>9.</w:t>
            </w:r>
            <w:r>
              <w:rPr>
                <w:rFonts w:ascii="宋体" w:hAnsi="宋体" w:cs="宋体"/>
                <w:kern w:val="0"/>
                <w:sz w:val="21"/>
                <w:szCs w:val="21"/>
              </w:rPr>
              <w:t>85</w:t>
            </w: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kern w:val="0"/>
                <w:sz w:val="21"/>
                <w:szCs w:val="21"/>
              </w:rPr>
              <w:t>14.8</w:t>
            </w:r>
            <w:r>
              <w:rPr>
                <w:rFonts w:ascii="宋体" w:hAnsi="宋体" w:cs="宋体"/>
                <w:kern w:val="0"/>
                <w:sz w:val="21"/>
                <w:szCs w:val="21"/>
              </w:rPr>
              <w:t>1</w:t>
            </w: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kern w:val="0"/>
                <w:sz w:val="21"/>
                <w:szCs w:val="21"/>
              </w:rPr>
              <w:t>19.8</w:t>
            </w:r>
            <w:r>
              <w:rPr>
                <w:rFonts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RSD%</w:t>
            </w:r>
          </w:p>
        </w:tc>
        <w:tc>
          <w:tcPr>
            <w:tcW w:w="1383" w:type="dxa"/>
            <w:vAlign w:val="center"/>
          </w:tcPr>
          <w:p>
            <w:pPr>
              <w:jc w:val="center"/>
              <w:rPr>
                <w:rFonts w:ascii="宋体" w:hAnsi="宋体" w:cs="宋体"/>
                <w:kern w:val="0"/>
                <w:sz w:val="21"/>
                <w:szCs w:val="21"/>
              </w:rPr>
            </w:pPr>
            <w:r>
              <w:rPr>
                <w:rFonts w:ascii="宋体" w:hAnsi="宋体" w:cs="宋体"/>
                <w:kern w:val="0"/>
                <w:sz w:val="21"/>
                <w:szCs w:val="21"/>
              </w:rPr>
              <w:t>0.84</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0.</w:t>
            </w:r>
            <w:r>
              <w:rPr>
                <w:rFonts w:ascii="宋体" w:hAnsi="宋体" w:cs="宋体"/>
                <w:kern w:val="0"/>
                <w:sz w:val="21"/>
                <w:szCs w:val="21"/>
              </w:rPr>
              <w:t>72</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0.</w:t>
            </w:r>
            <w:r>
              <w:rPr>
                <w:rFonts w:ascii="宋体" w:hAnsi="宋体" w:cs="宋体"/>
                <w:kern w:val="0"/>
                <w:sz w:val="21"/>
                <w:szCs w:val="21"/>
              </w:rPr>
              <w:t>25</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0.</w:t>
            </w:r>
            <w:r>
              <w:rPr>
                <w:rFonts w:ascii="宋体" w:hAnsi="宋体" w:cs="宋体"/>
                <w:kern w:val="0"/>
                <w:sz w:val="21"/>
                <w:szCs w:val="21"/>
              </w:rPr>
              <w:t>25</w:t>
            </w:r>
          </w:p>
        </w:tc>
      </w:tr>
    </w:tbl>
    <w:p>
      <w:pPr>
        <w:spacing w:line="360" w:lineRule="auto"/>
        <w:jc w:val="left"/>
        <w:outlineLvl w:val="1"/>
        <w:rPr>
          <w:szCs w:val="21"/>
        </w:rPr>
      </w:pPr>
    </w:p>
    <w:p>
      <w:pPr>
        <w:spacing w:line="360" w:lineRule="auto"/>
        <w:ind w:firstLine="1890" w:firstLineChars="900"/>
        <w:jc w:val="left"/>
        <w:outlineLvl w:val="1"/>
        <w:rPr>
          <w:szCs w:val="21"/>
        </w:rPr>
      </w:pPr>
      <w:r>
        <w:rPr>
          <w:szCs w:val="21"/>
        </w:rPr>
        <w:t>表</w:t>
      </w:r>
      <w:r>
        <w:rPr>
          <w:rFonts w:hint="eastAsia"/>
          <w:szCs w:val="21"/>
        </w:rPr>
        <w:t>7</w:t>
      </w:r>
      <w:r>
        <w:rPr>
          <w:szCs w:val="21"/>
        </w:rPr>
        <w:t xml:space="preserve"> </w:t>
      </w:r>
      <w:r>
        <w:rPr>
          <w:rFonts w:hint="eastAsia"/>
          <w:szCs w:val="21"/>
        </w:rPr>
        <w:t>江西铜业公司</w:t>
      </w:r>
      <w:r>
        <w:rPr>
          <w:szCs w:val="21"/>
        </w:rPr>
        <w:t>股份有限公司验证数据</w:t>
      </w:r>
    </w:p>
    <w:tbl>
      <w:tblPr>
        <w:tblStyle w:val="24"/>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493"/>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627" w:type="dxa"/>
            <w:gridSpan w:val="2"/>
            <w:vAlign w:val="center"/>
          </w:tcPr>
          <w:p>
            <w:pPr>
              <w:jc w:val="center"/>
              <w:rPr>
                <w:kern w:val="0"/>
                <w:sz w:val="21"/>
                <w:szCs w:val="21"/>
              </w:rPr>
            </w:pPr>
            <w:r>
              <w:rPr>
                <w:rFonts w:hint="eastAsia"/>
                <w:kern w:val="0"/>
                <w:sz w:val="21"/>
                <w:szCs w:val="21"/>
              </w:rPr>
              <w:t>样品编号</w:t>
            </w:r>
          </w:p>
        </w:tc>
        <w:tc>
          <w:tcPr>
            <w:tcW w:w="1383" w:type="dxa"/>
            <w:vAlign w:val="center"/>
          </w:tcPr>
          <w:p>
            <w:pPr>
              <w:jc w:val="center"/>
              <w:rPr>
                <w:color w:val="000000"/>
                <w:kern w:val="0"/>
                <w:sz w:val="21"/>
                <w:szCs w:val="21"/>
              </w:rPr>
            </w:pPr>
            <w:r>
              <w:rPr>
                <w:rFonts w:hint="eastAsia"/>
                <w:color w:val="000000"/>
                <w:kern w:val="0"/>
                <w:sz w:val="21"/>
                <w:szCs w:val="21"/>
              </w:rPr>
              <w:t>1#</w:t>
            </w:r>
          </w:p>
        </w:tc>
        <w:tc>
          <w:tcPr>
            <w:tcW w:w="1383" w:type="dxa"/>
            <w:vAlign w:val="center"/>
          </w:tcPr>
          <w:p>
            <w:pPr>
              <w:rPr>
                <w:rFonts w:ascii="宋体" w:hAnsi="宋体" w:cs="宋体"/>
                <w:kern w:val="0"/>
                <w:sz w:val="21"/>
                <w:szCs w:val="21"/>
              </w:rPr>
            </w:pPr>
            <w:r>
              <w:rPr>
                <w:rFonts w:hint="eastAsia" w:ascii="宋体" w:hAnsi="宋体" w:cs="宋体"/>
                <w:kern w:val="0"/>
                <w:sz w:val="21"/>
                <w:szCs w:val="21"/>
              </w:rPr>
              <w:t xml:space="preserve">     2#</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3#</w:t>
            </w:r>
          </w:p>
        </w:tc>
        <w:tc>
          <w:tcPr>
            <w:tcW w:w="1383" w:type="dxa"/>
            <w:vAlign w:val="center"/>
          </w:tcPr>
          <w:p>
            <w:pPr>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tcPr>
          <w:p>
            <w:pPr>
              <w:adjustRightInd w:val="0"/>
              <w:spacing w:line="360" w:lineRule="auto"/>
              <w:ind w:firstLine="210" w:firstLineChars="100"/>
              <w:rPr>
                <w:rFonts w:ascii="宋体" w:hAnsi="宋体" w:cs="宋体"/>
                <w:kern w:val="0"/>
                <w:sz w:val="21"/>
                <w:szCs w:val="21"/>
              </w:rPr>
            </w:pP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检</w:t>
            </w: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测</w:t>
            </w: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结</w:t>
            </w:r>
          </w:p>
          <w:p>
            <w:pPr>
              <w:adjustRightInd w:val="0"/>
              <w:spacing w:line="360" w:lineRule="auto"/>
              <w:ind w:firstLine="210" w:firstLineChars="100"/>
              <w:rPr>
                <w:rFonts w:ascii="宋体" w:hAnsi="宋体" w:cs="宋体"/>
                <w:kern w:val="0"/>
                <w:sz w:val="21"/>
                <w:szCs w:val="21"/>
              </w:rPr>
            </w:pPr>
            <w:r>
              <w:rPr>
                <w:rFonts w:ascii="宋体" w:hAnsi="宋体" w:cs="宋体"/>
                <w:kern w:val="0"/>
                <w:sz w:val="21"/>
                <w:szCs w:val="21"/>
              </w:rPr>
              <w:t>果</w:t>
            </w:r>
          </w:p>
        </w:tc>
        <w:tc>
          <w:tcPr>
            <w:tcW w:w="1493" w:type="dxa"/>
            <w:vAlign w:val="center"/>
          </w:tcPr>
          <w:p>
            <w:pPr>
              <w:jc w:val="center"/>
              <w:rPr>
                <w:kern w:val="0"/>
                <w:sz w:val="21"/>
                <w:szCs w:val="21"/>
              </w:rPr>
            </w:pPr>
            <w:r>
              <w:rPr>
                <w:rFonts w:hint="eastAsia"/>
                <w:kern w:val="0"/>
                <w:sz w:val="21"/>
                <w:szCs w:val="21"/>
              </w:rPr>
              <w:t>1</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4.86</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9.91</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14.72</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2</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4.90</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10.01</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14.87</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3</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4.72</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9.77</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14.73</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4</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4.77</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9.83</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14.96</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5</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4.81</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9.92</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14.77</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6</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4.89</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9.96</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14.99</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7</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4.83</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10.00</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14.83</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平均值%</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4.83</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9.91</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14.84</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SD%</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0.065</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0.088</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0.107</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tcPr>
          <w:p>
            <w:pPr>
              <w:adjustRightInd w:val="0"/>
              <w:spacing w:line="360" w:lineRule="auto"/>
              <w:rPr>
                <w:rFonts w:ascii="宋体" w:hAnsi="宋体" w:cs="宋体"/>
                <w:kern w:val="0"/>
                <w:sz w:val="21"/>
                <w:szCs w:val="21"/>
              </w:rPr>
            </w:pPr>
          </w:p>
        </w:tc>
        <w:tc>
          <w:tcPr>
            <w:tcW w:w="1493" w:type="dxa"/>
            <w:vAlign w:val="center"/>
          </w:tcPr>
          <w:p>
            <w:pPr>
              <w:jc w:val="center"/>
              <w:rPr>
                <w:kern w:val="0"/>
                <w:sz w:val="21"/>
                <w:szCs w:val="21"/>
              </w:rPr>
            </w:pPr>
            <w:r>
              <w:rPr>
                <w:rFonts w:hint="eastAsia"/>
                <w:kern w:val="0"/>
                <w:sz w:val="21"/>
                <w:szCs w:val="21"/>
              </w:rPr>
              <w:t>RSD%</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ind w:firstLine="440"/>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1.348</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0.889</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0.724</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bidi="ar"/>
              </w:rPr>
              <w:t>0.513</w:t>
            </w:r>
          </w:p>
        </w:tc>
      </w:tr>
    </w:tbl>
    <w:p>
      <w:pPr>
        <w:rPr>
          <w:szCs w:val="21"/>
        </w:rPr>
      </w:pPr>
    </w:p>
    <w:p>
      <w:pPr>
        <w:spacing w:line="360" w:lineRule="auto"/>
        <w:ind w:firstLine="1260" w:firstLineChars="600"/>
        <w:jc w:val="left"/>
        <w:outlineLvl w:val="1"/>
        <w:rPr>
          <w:szCs w:val="21"/>
        </w:rPr>
      </w:pPr>
      <w:r>
        <w:rPr>
          <w:szCs w:val="21"/>
        </w:rPr>
        <w:t xml:space="preserve">  表</w:t>
      </w:r>
      <w:r>
        <w:rPr>
          <w:rFonts w:hint="eastAsia"/>
          <w:szCs w:val="21"/>
        </w:rPr>
        <w:t xml:space="preserve">8 国标（北京）检验认证有限公司的验证数据    </w:t>
      </w:r>
    </w:p>
    <w:tbl>
      <w:tblPr>
        <w:tblStyle w:val="23"/>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2"/>
        <w:gridCol w:w="1636"/>
        <w:gridCol w:w="1637"/>
        <w:gridCol w:w="1637"/>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72" w:type="dxa"/>
            <w:vMerge w:val="restart"/>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rFonts w:hint="eastAsia"/>
                <w:szCs w:val="21"/>
              </w:rPr>
              <w:t>测定次数</w:t>
            </w:r>
          </w:p>
        </w:tc>
        <w:tc>
          <w:tcPr>
            <w:tcW w:w="6645" w:type="dxa"/>
            <w:gridSpan w:val="4"/>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rFonts w:hint="eastAsia"/>
                <w:szCs w:val="21"/>
              </w:rPr>
              <w:t>Te质量分数</w:t>
            </w:r>
            <w:r>
              <w:rPr>
                <w:szCs w:val="21"/>
              </w:rPr>
              <w:t xml:space="preserve">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72"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420"/>
              <w:jc w:val="left"/>
              <w:rPr>
                <w:szCs w:val="21"/>
              </w:rPr>
            </w:pPr>
          </w:p>
        </w:tc>
        <w:tc>
          <w:tcPr>
            <w:tcW w:w="1636"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rFonts w:hint="eastAsia"/>
                <w:szCs w:val="21"/>
              </w:rPr>
              <w:t>1</w:t>
            </w:r>
            <w:r>
              <w:rPr>
                <w:szCs w:val="21"/>
                <w:vertAlign w:val="superscript"/>
              </w:rPr>
              <w:t>#</w:t>
            </w:r>
          </w:p>
        </w:tc>
        <w:tc>
          <w:tcPr>
            <w:tcW w:w="1637"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rFonts w:hint="eastAsia"/>
                <w:szCs w:val="21"/>
              </w:rPr>
              <w:t>2</w:t>
            </w:r>
            <w:r>
              <w:rPr>
                <w:szCs w:val="21"/>
                <w:vertAlign w:val="superscript"/>
              </w:rPr>
              <w:t>#</w:t>
            </w:r>
          </w:p>
        </w:tc>
        <w:tc>
          <w:tcPr>
            <w:tcW w:w="1637"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rFonts w:hint="eastAsia"/>
                <w:szCs w:val="21"/>
              </w:rPr>
              <w:t>3</w:t>
            </w:r>
            <w:r>
              <w:rPr>
                <w:szCs w:val="21"/>
                <w:vertAlign w:val="superscript"/>
              </w:rPr>
              <w:t>#</w:t>
            </w:r>
          </w:p>
        </w:tc>
        <w:tc>
          <w:tcPr>
            <w:tcW w:w="1735"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rFonts w:hint="eastAsia"/>
                <w:szCs w:val="21"/>
              </w:rPr>
              <w:t>4</w:t>
            </w:r>
            <w:r>
              <w:rPr>
                <w:szCs w:val="21"/>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szCs w:val="21"/>
              </w:rPr>
              <w:t>1</w:t>
            </w:r>
          </w:p>
        </w:tc>
        <w:tc>
          <w:tcPr>
            <w:tcW w:w="1636"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4.93</w:t>
            </w:r>
          </w:p>
        </w:tc>
        <w:tc>
          <w:tcPr>
            <w:tcW w:w="1637"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9.86</w:t>
            </w:r>
          </w:p>
        </w:tc>
        <w:tc>
          <w:tcPr>
            <w:tcW w:w="1637"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14.79</w:t>
            </w:r>
          </w:p>
        </w:tc>
        <w:tc>
          <w:tcPr>
            <w:tcW w:w="1735" w:type="dxa"/>
            <w:tcBorders>
              <w:top w:val="nil"/>
              <w:left w:val="nil"/>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szCs w:val="21"/>
              </w:rPr>
              <w:t>2</w:t>
            </w:r>
          </w:p>
        </w:tc>
        <w:tc>
          <w:tcPr>
            <w:tcW w:w="1636"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4.86</w:t>
            </w:r>
          </w:p>
        </w:tc>
        <w:tc>
          <w:tcPr>
            <w:tcW w:w="1637"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9.84</w:t>
            </w:r>
          </w:p>
        </w:tc>
        <w:tc>
          <w:tcPr>
            <w:tcW w:w="1637"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14.85</w:t>
            </w:r>
          </w:p>
        </w:tc>
        <w:tc>
          <w:tcPr>
            <w:tcW w:w="1735" w:type="dxa"/>
            <w:tcBorders>
              <w:top w:val="nil"/>
              <w:left w:val="nil"/>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szCs w:val="21"/>
              </w:rPr>
              <w:t>3</w:t>
            </w:r>
          </w:p>
        </w:tc>
        <w:tc>
          <w:tcPr>
            <w:tcW w:w="1636"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4.97</w:t>
            </w:r>
          </w:p>
        </w:tc>
        <w:tc>
          <w:tcPr>
            <w:tcW w:w="1637"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9.81</w:t>
            </w:r>
          </w:p>
        </w:tc>
        <w:tc>
          <w:tcPr>
            <w:tcW w:w="1637"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14.79</w:t>
            </w:r>
          </w:p>
        </w:tc>
        <w:tc>
          <w:tcPr>
            <w:tcW w:w="1735" w:type="dxa"/>
            <w:tcBorders>
              <w:top w:val="nil"/>
              <w:left w:val="nil"/>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szCs w:val="21"/>
              </w:rPr>
              <w:t>4</w:t>
            </w:r>
          </w:p>
        </w:tc>
        <w:tc>
          <w:tcPr>
            <w:tcW w:w="1636"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4.96</w:t>
            </w:r>
          </w:p>
        </w:tc>
        <w:tc>
          <w:tcPr>
            <w:tcW w:w="1637"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9.75</w:t>
            </w:r>
          </w:p>
        </w:tc>
        <w:tc>
          <w:tcPr>
            <w:tcW w:w="1637"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14.69</w:t>
            </w:r>
          </w:p>
        </w:tc>
        <w:tc>
          <w:tcPr>
            <w:tcW w:w="1735" w:type="dxa"/>
            <w:tcBorders>
              <w:top w:val="nil"/>
              <w:left w:val="nil"/>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szCs w:val="21"/>
              </w:rPr>
              <w:t>5</w:t>
            </w:r>
          </w:p>
        </w:tc>
        <w:tc>
          <w:tcPr>
            <w:tcW w:w="1636" w:type="dxa"/>
            <w:tcBorders>
              <w:top w:val="nil"/>
              <w:left w:val="single" w:color="auto" w:sz="8" w:space="0"/>
              <w:bottom w:val="single" w:color="auto" w:sz="8"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4.92</w:t>
            </w:r>
          </w:p>
        </w:tc>
        <w:tc>
          <w:tcPr>
            <w:tcW w:w="1637" w:type="dxa"/>
            <w:tcBorders>
              <w:top w:val="nil"/>
              <w:left w:val="single" w:color="auto" w:sz="8" w:space="0"/>
              <w:bottom w:val="single" w:color="auto" w:sz="4"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9.88</w:t>
            </w:r>
          </w:p>
        </w:tc>
        <w:tc>
          <w:tcPr>
            <w:tcW w:w="1637" w:type="dxa"/>
            <w:tcBorders>
              <w:top w:val="nil"/>
              <w:left w:val="single" w:color="auto" w:sz="8" w:space="0"/>
              <w:bottom w:val="single" w:color="auto" w:sz="4"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14.76</w:t>
            </w:r>
          </w:p>
        </w:tc>
        <w:tc>
          <w:tcPr>
            <w:tcW w:w="1735" w:type="dxa"/>
            <w:tcBorders>
              <w:top w:val="nil"/>
              <w:left w:val="nil"/>
              <w:bottom w:val="single" w:color="auto" w:sz="4" w:space="0"/>
              <w:right w:val="single" w:color="auto" w:sz="8"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rFonts w:hint="eastAsia"/>
                <w:szCs w:val="21"/>
              </w:rPr>
              <w:t>6</w:t>
            </w:r>
          </w:p>
        </w:tc>
        <w:tc>
          <w:tcPr>
            <w:tcW w:w="1636" w:type="dxa"/>
            <w:tcBorders>
              <w:top w:val="nil"/>
              <w:left w:val="single" w:color="auto" w:sz="8" w:space="0"/>
              <w:bottom w:val="single" w:color="auto" w:sz="8" w:space="0"/>
              <w:right w:val="single" w:color="auto" w:sz="4"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4.90</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9.78</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14.82</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rFonts w:hint="eastAsia"/>
                <w:szCs w:val="21"/>
              </w:rPr>
              <w:t>7</w:t>
            </w:r>
          </w:p>
        </w:tc>
        <w:tc>
          <w:tcPr>
            <w:tcW w:w="1636" w:type="dxa"/>
            <w:tcBorders>
              <w:top w:val="nil"/>
              <w:left w:val="single" w:color="auto" w:sz="8" w:space="0"/>
              <w:bottom w:val="single" w:color="auto" w:sz="8" w:space="0"/>
              <w:right w:val="single" w:color="auto" w:sz="4"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4.88</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9.83</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14.77</w:t>
            </w:r>
          </w:p>
        </w:tc>
        <w:tc>
          <w:tcPr>
            <w:tcW w:w="1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jc w:val="center"/>
              <w:textAlignment w:val="bottom"/>
              <w:rPr>
                <w:szCs w:val="21"/>
              </w:rPr>
            </w:pPr>
            <w:r>
              <w:rPr>
                <w:rFonts w:eastAsia="Tahoma"/>
                <w:color w:val="000000"/>
                <w:kern w:val="0"/>
                <w:szCs w:val="21"/>
                <w:lang w:bidi="ar"/>
              </w:rPr>
              <w:t>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平均值</w:t>
            </w:r>
            <w:r>
              <w:rPr>
                <w:szCs w:val="21"/>
              </w:rPr>
              <w:t>/%</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4.92</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9.82</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14.78</w:t>
            </w:r>
          </w:p>
        </w:tc>
        <w:tc>
          <w:tcPr>
            <w:tcW w:w="1735"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19.75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tcBorders>
              <w:top w:val="single" w:color="auto" w:sz="4" w:space="0"/>
              <w:left w:val="single" w:color="auto" w:sz="4" w:space="0"/>
              <w:bottom w:val="single" w:color="auto" w:sz="4" w:space="0"/>
              <w:right w:val="single" w:color="auto" w:sz="4" w:space="0"/>
            </w:tcBorders>
          </w:tcPr>
          <w:p>
            <w:pPr>
              <w:spacing w:line="400" w:lineRule="exact"/>
              <w:rPr>
                <w:szCs w:val="21"/>
              </w:rPr>
            </w:pPr>
            <w:r>
              <w:rPr>
                <w:rFonts w:hint="eastAsia"/>
                <w:szCs w:val="21"/>
              </w:rPr>
              <w:t>标准偏差（</w:t>
            </w:r>
            <w:r>
              <w:rPr>
                <w:szCs w:val="21"/>
              </w:rPr>
              <w:t>SD</w:t>
            </w:r>
            <w:r>
              <w:rPr>
                <w:rFonts w:hint="eastAsia"/>
                <w:szCs w:val="21"/>
              </w:rPr>
              <w:t>）</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0.040</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0.045</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0.050</w:t>
            </w:r>
          </w:p>
        </w:tc>
        <w:tc>
          <w:tcPr>
            <w:tcW w:w="1735"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2" w:type="dxa"/>
            <w:tcBorders>
              <w:top w:val="single" w:color="auto" w:sz="4" w:space="0"/>
              <w:left w:val="single" w:color="auto" w:sz="4" w:space="0"/>
              <w:bottom w:val="single" w:color="auto" w:sz="4" w:space="0"/>
              <w:right w:val="single" w:color="auto" w:sz="4" w:space="0"/>
            </w:tcBorders>
          </w:tcPr>
          <w:p>
            <w:pPr>
              <w:spacing w:line="400" w:lineRule="exact"/>
              <w:ind w:firstLine="420"/>
              <w:jc w:val="center"/>
              <w:rPr>
                <w:szCs w:val="21"/>
              </w:rPr>
            </w:pPr>
            <w:r>
              <w:rPr>
                <w:szCs w:val="21"/>
              </w:rPr>
              <w:t>RSD/%</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0.82</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0.46</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0.34</w:t>
            </w:r>
          </w:p>
        </w:tc>
        <w:tc>
          <w:tcPr>
            <w:tcW w:w="1735" w:type="dxa"/>
            <w:tcBorders>
              <w:top w:val="single" w:color="auto" w:sz="4" w:space="0"/>
              <w:left w:val="single" w:color="auto" w:sz="4" w:space="0"/>
              <w:bottom w:val="single" w:color="auto" w:sz="4" w:space="0"/>
              <w:right w:val="single" w:color="auto" w:sz="4" w:space="0"/>
            </w:tcBorders>
            <w:vAlign w:val="center"/>
          </w:tcPr>
          <w:p>
            <w:pPr>
              <w:widowControl/>
              <w:ind w:firstLine="440"/>
              <w:jc w:val="center"/>
              <w:textAlignment w:val="bottom"/>
              <w:rPr>
                <w:szCs w:val="21"/>
              </w:rPr>
            </w:pPr>
            <w:r>
              <w:rPr>
                <w:rFonts w:eastAsia="Tahoma"/>
                <w:color w:val="000000"/>
                <w:kern w:val="0"/>
                <w:szCs w:val="21"/>
                <w:lang w:bidi="ar"/>
              </w:rPr>
              <w:t>0.33</w:t>
            </w:r>
          </w:p>
        </w:tc>
      </w:tr>
    </w:tbl>
    <w:p>
      <w:pPr>
        <w:rPr>
          <w:szCs w:val="21"/>
        </w:rPr>
      </w:pPr>
    </w:p>
    <w:p>
      <w:pPr>
        <w:rPr>
          <w:szCs w:val="21"/>
        </w:rPr>
      </w:pPr>
    </w:p>
    <w:p>
      <w:pPr>
        <w:rPr>
          <w:szCs w:val="21"/>
        </w:rPr>
      </w:pPr>
      <w:r>
        <w:rPr>
          <w:rFonts w:hint="eastAsia"/>
          <w:szCs w:val="21"/>
        </w:rPr>
        <w:t xml:space="preserve">                       </w:t>
      </w:r>
      <w:r>
        <w:rPr>
          <w:szCs w:val="21"/>
        </w:rPr>
        <w:t xml:space="preserve"> 表</w:t>
      </w:r>
      <w:r>
        <w:rPr>
          <w:rFonts w:hint="eastAsia"/>
          <w:szCs w:val="21"/>
        </w:rPr>
        <w:t>9 大冶有色设计研究院有限公司验证数据</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1806"/>
        <w:gridCol w:w="1809"/>
        <w:gridCol w:w="180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2" w:type="pct"/>
            <w:noWrap/>
            <w:vAlign w:val="center"/>
          </w:tcPr>
          <w:p>
            <w:pPr>
              <w:widowControl/>
              <w:jc w:val="center"/>
              <w:rPr>
                <w:color w:val="000000"/>
                <w:kern w:val="0"/>
                <w:szCs w:val="21"/>
              </w:rPr>
            </w:pPr>
            <w:r>
              <w:rPr>
                <w:color w:val="000000"/>
                <w:kern w:val="0"/>
                <w:szCs w:val="21"/>
              </w:rPr>
              <w:t>样品编号</w:t>
            </w:r>
          </w:p>
        </w:tc>
        <w:tc>
          <w:tcPr>
            <w:tcW w:w="1071" w:type="pct"/>
            <w:noWrap/>
            <w:vAlign w:val="center"/>
          </w:tcPr>
          <w:p>
            <w:pPr>
              <w:widowControl/>
              <w:jc w:val="center"/>
              <w:rPr>
                <w:color w:val="000000"/>
                <w:kern w:val="0"/>
                <w:szCs w:val="21"/>
              </w:rPr>
            </w:pPr>
            <w:r>
              <w:rPr>
                <w:color w:val="000000"/>
                <w:kern w:val="0"/>
                <w:szCs w:val="21"/>
              </w:rPr>
              <w:t>1</w:t>
            </w:r>
            <w:r>
              <w:rPr>
                <w:rFonts w:hint="eastAsia"/>
                <w:color w:val="000000"/>
                <w:kern w:val="0"/>
                <w:szCs w:val="21"/>
              </w:rPr>
              <w:t>#</w:t>
            </w:r>
          </w:p>
        </w:tc>
        <w:tc>
          <w:tcPr>
            <w:tcW w:w="1072" w:type="pct"/>
            <w:noWrap/>
            <w:vAlign w:val="center"/>
          </w:tcPr>
          <w:p>
            <w:pPr>
              <w:widowControl/>
              <w:jc w:val="center"/>
              <w:rPr>
                <w:color w:val="000000"/>
                <w:kern w:val="0"/>
                <w:szCs w:val="21"/>
              </w:rPr>
            </w:pPr>
            <w:r>
              <w:rPr>
                <w:color w:val="000000"/>
                <w:kern w:val="0"/>
                <w:szCs w:val="21"/>
              </w:rPr>
              <w:t>2</w:t>
            </w:r>
            <w:r>
              <w:rPr>
                <w:rFonts w:hint="eastAsia"/>
                <w:color w:val="000000"/>
                <w:kern w:val="0"/>
                <w:szCs w:val="21"/>
              </w:rPr>
              <w:t>#</w:t>
            </w:r>
          </w:p>
        </w:tc>
        <w:tc>
          <w:tcPr>
            <w:tcW w:w="1071" w:type="pct"/>
            <w:noWrap/>
            <w:vAlign w:val="center"/>
          </w:tcPr>
          <w:p>
            <w:pPr>
              <w:widowControl/>
              <w:jc w:val="center"/>
              <w:rPr>
                <w:color w:val="000000"/>
                <w:kern w:val="0"/>
                <w:szCs w:val="21"/>
              </w:rPr>
            </w:pPr>
            <w:r>
              <w:rPr>
                <w:rFonts w:hint="eastAsia"/>
                <w:color w:val="000000"/>
                <w:kern w:val="0"/>
                <w:szCs w:val="21"/>
              </w:rPr>
              <w:t>3#</w:t>
            </w:r>
          </w:p>
        </w:tc>
        <w:tc>
          <w:tcPr>
            <w:tcW w:w="1071" w:type="pct"/>
            <w:noWrap/>
            <w:vAlign w:val="center"/>
          </w:tcPr>
          <w:p>
            <w:pPr>
              <w:widowControl/>
              <w:jc w:val="center"/>
              <w:rPr>
                <w:color w:val="000000"/>
                <w:kern w:val="0"/>
                <w:szCs w:val="21"/>
              </w:rPr>
            </w:pPr>
            <w:r>
              <w:rPr>
                <w:rFonts w:hint="eastAsia"/>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12" w:type="pct"/>
            <w:vMerge w:val="restart"/>
            <w:noWrap/>
            <w:vAlign w:val="center"/>
          </w:tcPr>
          <w:p>
            <w:pPr>
              <w:jc w:val="center"/>
              <w:rPr>
                <w:color w:val="000000"/>
                <w:kern w:val="0"/>
                <w:szCs w:val="21"/>
              </w:rPr>
            </w:pPr>
            <w:r>
              <w:rPr>
                <w:color w:val="000000"/>
                <w:kern w:val="0"/>
                <w:szCs w:val="21"/>
              </w:rPr>
              <w:t>测定结果/%</w:t>
            </w:r>
          </w:p>
        </w:tc>
        <w:tc>
          <w:tcPr>
            <w:tcW w:w="1071" w:type="pct"/>
            <w:noWrap/>
            <w:vAlign w:val="center"/>
          </w:tcPr>
          <w:p>
            <w:pPr>
              <w:widowControl/>
              <w:jc w:val="center"/>
              <w:rPr>
                <w:color w:val="000000"/>
                <w:kern w:val="0"/>
                <w:szCs w:val="21"/>
              </w:rPr>
            </w:pPr>
            <w:r>
              <w:rPr>
                <w:rFonts w:hint="eastAsia"/>
                <w:color w:val="000000"/>
                <w:kern w:val="0"/>
                <w:szCs w:val="21"/>
              </w:rPr>
              <w:t>4.</w:t>
            </w:r>
            <w:r>
              <w:rPr>
                <w:color w:val="000000"/>
                <w:kern w:val="0"/>
                <w:szCs w:val="21"/>
              </w:rPr>
              <w:t>99</w:t>
            </w:r>
          </w:p>
        </w:tc>
        <w:tc>
          <w:tcPr>
            <w:tcW w:w="1072" w:type="pct"/>
            <w:noWrap/>
            <w:vAlign w:val="center"/>
          </w:tcPr>
          <w:p>
            <w:pPr>
              <w:widowControl/>
              <w:jc w:val="center"/>
              <w:rPr>
                <w:color w:val="000000"/>
                <w:kern w:val="0"/>
                <w:szCs w:val="21"/>
              </w:rPr>
            </w:pPr>
            <w:r>
              <w:rPr>
                <w:rFonts w:hint="eastAsia"/>
                <w:color w:val="000000"/>
                <w:kern w:val="0"/>
                <w:szCs w:val="21"/>
              </w:rPr>
              <w:t>9.</w:t>
            </w:r>
            <w:r>
              <w:rPr>
                <w:color w:val="000000"/>
                <w:kern w:val="0"/>
                <w:szCs w:val="21"/>
              </w:rPr>
              <w:t>98</w:t>
            </w:r>
          </w:p>
        </w:tc>
        <w:tc>
          <w:tcPr>
            <w:tcW w:w="1071" w:type="pct"/>
            <w:noWrap/>
            <w:vAlign w:val="center"/>
          </w:tcPr>
          <w:p>
            <w:pPr>
              <w:jc w:val="center"/>
              <w:rPr>
                <w:color w:val="000000"/>
                <w:szCs w:val="21"/>
              </w:rPr>
            </w:pPr>
            <w:r>
              <w:rPr>
                <w:rFonts w:hint="eastAsia"/>
                <w:color w:val="000000"/>
                <w:szCs w:val="21"/>
              </w:rPr>
              <w:t>14.</w:t>
            </w:r>
            <w:r>
              <w:rPr>
                <w:color w:val="000000"/>
                <w:szCs w:val="21"/>
              </w:rPr>
              <w:t>90</w:t>
            </w:r>
          </w:p>
        </w:tc>
        <w:tc>
          <w:tcPr>
            <w:tcW w:w="1071" w:type="pct"/>
            <w:noWrap/>
            <w:vAlign w:val="center"/>
          </w:tcPr>
          <w:p>
            <w:pPr>
              <w:jc w:val="center"/>
              <w:rPr>
                <w:color w:val="000000"/>
                <w:szCs w:val="21"/>
              </w:rPr>
            </w:pPr>
            <w:r>
              <w:rPr>
                <w:rFonts w:hint="eastAsia"/>
                <w:color w:val="000000"/>
                <w:szCs w:val="21"/>
              </w:rPr>
              <w:t>19.</w:t>
            </w:r>
            <w:r>
              <w:rPr>
                <w:color w:val="000000"/>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rFonts w:hint="eastAsia"/>
                <w:color w:val="000000"/>
                <w:szCs w:val="21"/>
              </w:rPr>
              <w:t>4.</w:t>
            </w:r>
            <w:r>
              <w:rPr>
                <w:color w:val="000000"/>
                <w:szCs w:val="21"/>
              </w:rPr>
              <w:t>97</w:t>
            </w:r>
          </w:p>
        </w:tc>
        <w:tc>
          <w:tcPr>
            <w:tcW w:w="1072" w:type="pct"/>
            <w:noWrap/>
            <w:vAlign w:val="center"/>
          </w:tcPr>
          <w:p>
            <w:pPr>
              <w:jc w:val="center"/>
              <w:rPr>
                <w:color w:val="000000"/>
                <w:szCs w:val="21"/>
              </w:rPr>
            </w:pPr>
            <w:r>
              <w:rPr>
                <w:rFonts w:hint="eastAsia"/>
                <w:color w:val="000000"/>
                <w:szCs w:val="21"/>
              </w:rPr>
              <w:t>9.98</w:t>
            </w:r>
          </w:p>
        </w:tc>
        <w:tc>
          <w:tcPr>
            <w:tcW w:w="1071" w:type="pct"/>
            <w:noWrap/>
            <w:vAlign w:val="center"/>
          </w:tcPr>
          <w:p>
            <w:pPr>
              <w:jc w:val="center"/>
              <w:rPr>
                <w:color w:val="000000"/>
                <w:szCs w:val="21"/>
              </w:rPr>
            </w:pPr>
            <w:r>
              <w:rPr>
                <w:rFonts w:hint="eastAsia"/>
                <w:color w:val="000000"/>
                <w:szCs w:val="21"/>
              </w:rPr>
              <w:t>14.86</w:t>
            </w:r>
          </w:p>
        </w:tc>
        <w:tc>
          <w:tcPr>
            <w:tcW w:w="1071" w:type="pct"/>
            <w:noWrap/>
            <w:vAlign w:val="center"/>
          </w:tcPr>
          <w:p>
            <w:pPr>
              <w:jc w:val="center"/>
              <w:rPr>
                <w:color w:val="000000"/>
                <w:szCs w:val="21"/>
              </w:rPr>
            </w:pPr>
            <w:r>
              <w:rPr>
                <w:rFonts w:hint="eastAsia"/>
                <w:color w:val="000000"/>
                <w:szCs w:val="21"/>
              </w:rPr>
              <w:t>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color w:val="000000"/>
                <w:szCs w:val="21"/>
              </w:rPr>
              <w:t>5.01</w:t>
            </w:r>
          </w:p>
        </w:tc>
        <w:tc>
          <w:tcPr>
            <w:tcW w:w="1072" w:type="pct"/>
            <w:noWrap/>
            <w:vAlign w:val="center"/>
          </w:tcPr>
          <w:p>
            <w:pPr>
              <w:jc w:val="center"/>
              <w:rPr>
                <w:color w:val="000000"/>
                <w:szCs w:val="21"/>
              </w:rPr>
            </w:pPr>
            <w:r>
              <w:rPr>
                <w:rFonts w:hint="eastAsia"/>
                <w:color w:val="000000"/>
                <w:szCs w:val="21"/>
              </w:rPr>
              <w:t>9.97</w:t>
            </w:r>
          </w:p>
        </w:tc>
        <w:tc>
          <w:tcPr>
            <w:tcW w:w="1071" w:type="pct"/>
            <w:noWrap/>
            <w:vAlign w:val="center"/>
          </w:tcPr>
          <w:p>
            <w:pPr>
              <w:jc w:val="center"/>
              <w:rPr>
                <w:color w:val="000000"/>
                <w:szCs w:val="21"/>
              </w:rPr>
            </w:pPr>
            <w:r>
              <w:rPr>
                <w:rFonts w:hint="eastAsia"/>
                <w:color w:val="000000"/>
                <w:szCs w:val="21"/>
              </w:rPr>
              <w:t>14.92</w:t>
            </w:r>
          </w:p>
        </w:tc>
        <w:tc>
          <w:tcPr>
            <w:tcW w:w="1071" w:type="pct"/>
            <w:noWrap/>
            <w:vAlign w:val="center"/>
          </w:tcPr>
          <w:p>
            <w:pPr>
              <w:jc w:val="center"/>
              <w:rPr>
                <w:color w:val="000000"/>
                <w:szCs w:val="21"/>
              </w:rPr>
            </w:pPr>
            <w:r>
              <w:rPr>
                <w:rFonts w:hint="eastAsia"/>
                <w:color w:val="000000"/>
                <w:szCs w:val="21"/>
              </w:rPr>
              <w:t>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rFonts w:hint="eastAsia"/>
                <w:color w:val="000000"/>
                <w:szCs w:val="21"/>
              </w:rPr>
              <w:t>4.9</w:t>
            </w:r>
            <w:r>
              <w:rPr>
                <w:color w:val="000000"/>
                <w:szCs w:val="21"/>
              </w:rPr>
              <w:t>8</w:t>
            </w:r>
          </w:p>
        </w:tc>
        <w:tc>
          <w:tcPr>
            <w:tcW w:w="1072" w:type="pct"/>
            <w:noWrap/>
            <w:vAlign w:val="center"/>
          </w:tcPr>
          <w:p>
            <w:pPr>
              <w:jc w:val="center"/>
              <w:rPr>
                <w:color w:val="000000"/>
                <w:szCs w:val="21"/>
              </w:rPr>
            </w:pPr>
            <w:r>
              <w:rPr>
                <w:rFonts w:hint="eastAsia"/>
                <w:color w:val="000000"/>
                <w:szCs w:val="21"/>
              </w:rPr>
              <w:t>9.93</w:t>
            </w:r>
          </w:p>
        </w:tc>
        <w:tc>
          <w:tcPr>
            <w:tcW w:w="1071" w:type="pct"/>
            <w:noWrap/>
            <w:vAlign w:val="center"/>
          </w:tcPr>
          <w:p>
            <w:pPr>
              <w:jc w:val="center"/>
              <w:rPr>
                <w:color w:val="000000"/>
                <w:szCs w:val="21"/>
              </w:rPr>
            </w:pPr>
            <w:r>
              <w:rPr>
                <w:rFonts w:hint="eastAsia"/>
                <w:color w:val="000000"/>
                <w:szCs w:val="21"/>
              </w:rPr>
              <w:t>14.91</w:t>
            </w:r>
          </w:p>
        </w:tc>
        <w:tc>
          <w:tcPr>
            <w:tcW w:w="1071" w:type="pct"/>
            <w:noWrap/>
            <w:vAlign w:val="center"/>
          </w:tcPr>
          <w:p>
            <w:pPr>
              <w:jc w:val="center"/>
              <w:rPr>
                <w:color w:val="000000"/>
                <w:szCs w:val="21"/>
              </w:rPr>
            </w:pPr>
            <w:r>
              <w:rPr>
                <w:rFonts w:hint="eastAsia"/>
                <w:color w:val="000000"/>
                <w:szCs w:val="21"/>
              </w:rPr>
              <w:t>19.86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rFonts w:hint="eastAsia"/>
                <w:color w:val="000000"/>
                <w:szCs w:val="21"/>
              </w:rPr>
              <w:t>4.</w:t>
            </w:r>
            <w:r>
              <w:rPr>
                <w:color w:val="000000"/>
                <w:szCs w:val="21"/>
              </w:rPr>
              <w:t>98</w:t>
            </w:r>
          </w:p>
        </w:tc>
        <w:tc>
          <w:tcPr>
            <w:tcW w:w="1072" w:type="pct"/>
            <w:noWrap/>
            <w:vAlign w:val="center"/>
          </w:tcPr>
          <w:p>
            <w:pPr>
              <w:jc w:val="center"/>
              <w:rPr>
                <w:color w:val="000000"/>
                <w:szCs w:val="21"/>
              </w:rPr>
            </w:pPr>
            <w:r>
              <w:rPr>
                <w:rFonts w:hint="eastAsia"/>
                <w:color w:val="000000"/>
                <w:szCs w:val="21"/>
              </w:rPr>
              <w:t>9.95</w:t>
            </w:r>
          </w:p>
        </w:tc>
        <w:tc>
          <w:tcPr>
            <w:tcW w:w="1071" w:type="pct"/>
            <w:noWrap/>
            <w:vAlign w:val="center"/>
          </w:tcPr>
          <w:p>
            <w:pPr>
              <w:jc w:val="center"/>
              <w:rPr>
                <w:color w:val="000000"/>
                <w:szCs w:val="21"/>
              </w:rPr>
            </w:pPr>
            <w:r>
              <w:rPr>
                <w:rFonts w:hint="eastAsia"/>
                <w:color w:val="000000"/>
                <w:szCs w:val="21"/>
              </w:rPr>
              <w:t>14.90</w:t>
            </w:r>
          </w:p>
        </w:tc>
        <w:tc>
          <w:tcPr>
            <w:tcW w:w="1071" w:type="pct"/>
            <w:noWrap/>
            <w:vAlign w:val="center"/>
          </w:tcPr>
          <w:p>
            <w:pPr>
              <w:jc w:val="center"/>
              <w:rPr>
                <w:color w:val="000000"/>
                <w:szCs w:val="21"/>
              </w:rPr>
            </w:pPr>
            <w:r>
              <w:rPr>
                <w:rFonts w:hint="eastAsia"/>
                <w:color w:val="000000"/>
                <w:szCs w:val="21"/>
              </w:rPr>
              <w:t>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rFonts w:hint="eastAsia"/>
                <w:color w:val="000000"/>
                <w:szCs w:val="21"/>
              </w:rPr>
              <w:t>4.</w:t>
            </w:r>
            <w:r>
              <w:rPr>
                <w:color w:val="000000"/>
                <w:szCs w:val="21"/>
              </w:rPr>
              <w:t>98</w:t>
            </w:r>
          </w:p>
        </w:tc>
        <w:tc>
          <w:tcPr>
            <w:tcW w:w="1072" w:type="pct"/>
            <w:noWrap/>
            <w:vAlign w:val="center"/>
          </w:tcPr>
          <w:p>
            <w:pPr>
              <w:jc w:val="center"/>
              <w:rPr>
                <w:color w:val="000000"/>
                <w:szCs w:val="21"/>
              </w:rPr>
            </w:pPr>
            <w:r>
              <w:rPr>
                <w:rFonts w:hint="eastAsia"/>
                <w:color w:val="000000"/>
                <w:szCs w:val="21"/>
              </w:rPr>
              <w:t>9.95</w:t>
            </w:r>
          </w:p>
        </w:tc>
        <w:tc>
          <w:tcPr>
            <w:tcW w:w="1071" w:type="pct"/>
            <w:noWrap/>
            <w:vAlign w:val="center"/>
          </w:tcPr>
          <w:p>
            <w:pPr>
              <w:jc w:val="center"/>
              <w:rPr>
                <w:color w:val="000000"/>
                <w:szCs w:val="21"/>
              </w:rPr>
            </w:pPr>
            <w:r>
              <w:rPr>
                <w:rFonts w:hint="eastAsia"/>
                <w:color w:val="000000"/>
                <w:szCs w:val="21"/>
              </w:rPr>
              <w:t>14.91</w:t>
            </w:r>
          </w:p>
        </w:tc>
        <w:tc>
          <w:tcPr>
            <w:tcW w:w="1071" w:type="pct"/>
            <w:noWrap/>
            <w:vAlign w:val="center"/>
          </w:tcPr>
          <w:p>
            <w:pPr>
              <w:jc w:val="center"/>
              <w:rPr>
                <w:color w:val="000000"/>
                <w:szCs w:val="21"/>
              </w:rPr>
            </w:pPr>
            <w:r>
              <w:rPr>
                <w:rFonts w:hint="eastAsia"/>
                <w:color w:val="000000"/>
                <w:szCs w:val="21"/>
              </w:rPr>
              <w:t>19.89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rFonts w:hint="eastAsia"/>
                <w:color w:val="000000"/>
                <w:szCs w:val="21"/>
              </w:rPr>
              <w:t>4.9</w:t>
            </w:r>
            <w:r>
              <w:rPr>
                <w:color w:val="000000"/>
                <w:szCs w:val="21"/>
              </w:rPr>
              <w:t>9</w:t>
            </w:r>
          </w:p>
        </w:tc>
        <w:tc>
          <w:tcPr>
            <w:tcW w:w="1072" w:type="pct"/>
            <w:noWrap/>
            <w:vAlign w:val="center"/>
          </w:tcPr>
          <w:p>
            <w:pPr>
              <w:jc w:val="center"/>
              <w:rPr>
                <w:color w:val="000000"/>
                <w:szCs w:val="21"/>
              </w:rPr>
            </w:pPr>
            <w:r>
              <w:rPr>
                <w:rFonts w:hint="eastAsia"/>
                <w:color w:val="000000"/>
                <w:szCs w:val="21"/>
              </w:rPr>
              <w:t>9.97</w:t>
            </w:r>
          </w:p>
        </w:tc>
        <w:tc>
          <w:tcPr>
            <w:tcW w:w="1071" w:type="pct"/>
            <w:noWrap/>
            <w:vAlign w:val="center"/>
          </w:tcPr>
          <w:p>
            <w:pPr>
              <w:jc w:val="center"/>
              <w:rPr>
                <w:color w:val="000000"/>
                <w:szCs w:val="21"/>
              </w:rPr>
            </w:pPr>
            <w:r>
              <w:rPr>
                <w:rFonts w:hint="eastAsia"/>
                <w:color w:val="000000"/>
                <w:szCs w:val="21"/>
              </w:rPr>
              <w:t>14.90</w:t>
            </w:r>
          </w:p>
        </w:tc>
        <w:tc>
          <w:tcPr>
            <w:tcW w:w="1071" w:type="pct"/>
            <w:noWrap/>
            <w:vAlign w:val="center"/>
          </w:tcPr>
          <w:p>
            <w:pPr>
              <w:jc w:val="center"/>
              <w:rPr>
                <w:color w:val="000000"/>
                <w:szCs w:val="21"/>
              </w:rPr>
            </w:pPr>
            <w:r>
              <w:rPr>
                <w:rFonts w:hint="eastAsia"/>
                <w:color w:val="000000"/>
                <w:szCs w:val="21"/>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pct"/>
            <w:noWrap/>
            <w:vAlign w:val="center"/>
          </w:tcPr>
          <w:p>
            <w:pPr>
              <w:widowControl/>
              <w:jc w:val="center"/>
              <w:rPr>
                <w:color w:val="000000"/>
                <w:kern w:val="0"/>
                <w:szCs w:val="21"/>
              </w:rPr>
            </w:pPr>
            <w:r>
              <w:rPr>
                <w:rFonts w:hint="eastAsia"/>
                <w:color w:val="000000"/>
                <w:kern w:val="0"/>
                <w:szCs w:val="21"/>
              </w:rPr>
              <w:t>平</w:t>
            </w:r>
            <w:r>
              <w:rPr>
                <w:color w:val="000000"/>
                <w:kern w:val="0"/>
                <w:szCs w:val="21"/>
              </w:rPr>
              <w:t>均值/%</w:t>
            </w:r>
          </w:p>
        </w:tc>
        <w:tc>
          <w:tcPr>
            <w:tcW w:w="1071" w:type="pct"/>
            <w:noWrap/>
            <w:vAlign w:val="center"/>
          </w:tcPr>
          <w:p>
            <w:pPr>
              <w:jc w:val="center"/>
              <w:rPr>
                <w:color w:val="000000"/>
                <w:szCs w:val="21"/>
              </w:rPr>
            </w:pPr>
            <w:r>
              <w:rPr>
                <w:rFonts w:hint="eastAsia"/>
                <w:color w:val="000000"/>
                <w:szCs w:val="21"/>
              </w:rPr>
              <w:t>4.</w:t>
            </w:r>
            <w:r>
              <w:rPr>
                <w:color w:val="000000"/>
                <w:szCs w:val="21"/>
              </w:rPr>
              <w:t>99</w:t>
            </w:r>
          </w:p>
        </w:tc>
        <w:tc>
          <w:tcPr>
            <w:tcW w:w="1072" w:type="pct"/>
            <w:noWrap/>
            <w:vAlign w:val="center"/>
          </w:tcPr>
          <w:p>
            <w:pPr>
              <w:jc w:val="center"/>
              <w:rPr>
                <w:color w:val="000000"/>
                <w:szCs w:val="21"/>
              </w:rPr>
            </w:pPr>
            <w:r>
              <w:rPr>
                <w:rFonts w:hint="eastAsia"/>
                <w:color w:val="000000"/>
                <w:szCs w:val="21"/>
              </w:rPr>
              <w:t>9.96</w:t>
            </w:r>
          </w:p>
        </w:tc>
        <w:tc>
          <w:tcPr>
            <w:tcW w:w="1071" w:type="pct"/>
            <w:noWrap/>
            <w:vAlign w:val="center"/>
          </w:tcPr>
          <w:p>
            <w:pPr>
              <w:jc w:val="center"/>
              <w:rPr>
                <w:color w:val="000000"/>
                <w:szCs w:val="21"/>
              </w:rPr>
            </w:pPr>
            <w:r>
              <w:rPr>
                <w:rFonts w:hint="eastAsia"/>
                <w:color w:val="000000"/>
                <w:szCs w:val="21"/>
              </w:rPr>
              <w:t>14.</w:t>
            </w:r>
            <w:r>
              <w:rPr>
                <w:color w:val="000000"/>
                <w:szCs w:val="21"/>
              </w:rPr>
              <w:t>90</w:t>
            </w:r>
          </w:p>
        </w:tc>
        <w:tc>
          <w:tcPr>
            <w:tcW w:w="1071" w:type="pct"/>
            <w:noWrap/>
            <w:vAlign w:val="center"/>
          </w:tcPr>
          <w:p>
            <w:pPr>
              <w:jc w:val="center"/>
              <w:rPr>
                <w:color w:val="000000"/>
                <w:szCs w:val="21"/>
              </w:rPr>
            </w:pPr>
            <w:r>
              <w:rPr>
                <w:rFonts w:hint="eastAsia"/>
                <w:color w:val="000000"/>
                <w:szCs w:val="21"/>
              </w:rPr>
              <w:t>19.</w:t>
            </w:r>
            <w:r>
              <w:rPr>
                <w:color w:val="000000"/>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2" w:type="pct"/>
            <w:noWrap/>
            <w:vAlign w:val="center"/>
          </w:tcPr>
          <w:p>
            <w:pPr>
              <w:widowControl/>
              <w:jc w:val="center"/>
              <w:rPr>
                <w:color w:val="000000"/>
                <w:kern w:val="0"/>
                <w:szCs w:val="21"/>
              </w:rPr>
            </w:pPr>
            <w:r>
              <w:rPr>
                <w:color w:val="000000"/>
                <w:kern w:val="0"/>
                <w:szCs w:val="21"/>
              </w:rPr>
              <w:t>标准偏差</w:t>
            </w:r>
          </w:p>
        </w:tc>
        <w:tc>
          <w:tcPr>
            <w:tcW w:w="1071" w:type="pct"/>
            <w:noWrap/>
            <w:vAlign w:val="center"/>
          </w:tcPr>
          <w:p>
            <w:pPr>
              <w:jc w:val="center"/>
              <w:rPr>
                <w:color w:val="000000"/>
                <w:szCs w:val="21"/>
              </w:rPr>
            </w:pPr>
            <w:r>
              <w:rPr>
                <w:rFonts w:hint="eastAsia"/>
                <w:color w:val="000000"/>
                <w:szCs w:val="21"/>
              </w:rPr>
              <w:t>0.0</w:t>
            </w:r>
            <w:r>
              <w:rPr>
                <w:color w:val="000000"/>
                <w:szCs w:val="21"/>
              </w:rPr>
              <w:t>14</w:t>
            </w:r>
          </w:p>
        </w:tc>
        <w:tc>
          <w:tcPr>
            <w:tcW w:w="1072" w:type="pct"/>
            <w:noWrap/>
            <w:vAlign w:val="center"/>
          </w:tcPr>
          <w:p>
            <w:pPr>
              <w:jc w:val="center"/>
              <w:rPr>
                <w:color w:val="000000"/>
                <w:szCs w:val="21"/>
              </w:rPr>
            </w:pPr>
            <w:r>
              <w:rPr>
                <w:rFonts w:hint="eastAsia"/>
                <w:color w:val="000000"/>
                <w:szCs w:val="21"/>
              </w:rPr>
              <w:t>0.0</w:t>
            </w:r>
            <w:r>
              <w:rPr>
                <w:color w:val="000000"/>
                <w:szCs w:val="21"/>
              </w:rPr>
              <w:t>19</w:t>
            </w:r>
          </w:p>
        </w:tc>
        <w:tc>
          <w:tcPr>
            <w:tcW w:w="1071" w:type="pct"/>
            <w:noWrap/>
            <w:vAlign w:val="center"/>
          </w:tcPr>
          <w:p>
            <w:pPr>
              <w:jc w:val="center"/>
              <w:rPr>
                <w:szCs w:val="21"/>
              </w:rPr>
            </w:pPr>
            <w:r>
              <w:rPr>
                <w:rFonts w:hint="eastAsia"/>
                <w:szCs w:val="21"/>
              </w:rPr>
              <w:t>0.0017</w:t>
            </w:r>
          </w:p>
        </w:tc>
        <w:tc>
          <w:tcPr>
            <w:tcW w:w="1071" w:type="pct"/>
            <w:noWrap/>
            <w:vAlign w:val="center"/>
          </w:tcPr>
          <w:p>
            <w:pPr>
              <w:jc w:val="center"/>
              <w:rPr>
                <w:szCs w:val="21"/>
              </w:rPr>
            </w:pPr>
            <w:r>
              <w:rPr>
                <w:rFonts w:hint="eastAsia"/>
                <w:szCs w:val="21"/>
              </w:rPr>
              <w:t>0.0</w:t>
            </w: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12" w:type="pct"/>
            <w:noWrap/>
            <w:vAlign w:val="center"/>
          </w:tcPr>
          <w:p>
            <w:pPr>
              <w:widowControl/>
              <w:jc w:val="center"/>
              <w:rPr>
                <w:color w:val="000000"/>
                <w:kern w:val="0"/>
                <w:szCs w:val="21"/>
              </w:rPr>
            </w:pPr>
            <w:r>
              <w:rPr>
                <w:color w:val="000000"/>
                <w:kern w:val="0"/>
                <w:szCs w:val="21"/>
              </w:rPr>
              <w:t>RSD/%</w:t>
            </w:r>
          </w:p>
        </w:tc>
        <w:tc>
          <w:tcPr>
            <w:tcW w:w="1071" w:type="pct"/>
            <w:noWrap/>
            <w:vAlign w:val="center"/>
          </w:tcPr>
          <w:p>
            <w:pPr>
              <w:jc w:val="center"/>
              <w:rPr>
                <w:color w:val="000000"/>
                <w:szCs w:val="21"/>
              </w:rPr>
            </w:pPr>
            <w:r>
              <w:rPr>
                <w:rFonts w:hint="eastAsia"/>
                <w:color w:val="000000"/>
                <w:szCs w:val="21"/>
              </w:rPr>
              <w:t>0.</w:t>
            </w:r>
            <w:r>
              <w:rPr>
                <w:color w:val="000000"/>
                <w:szCs w:val="21"/>
              </w:rPr>
              <w:t>28</w:t>
            </w:r>
          </w:p>
        </w:tc>
        <w:tc>
          <w:tcPr>
            <w:tcW w:w="1072" w:type="pct"/>
            <w:noWrap/>
            <w:vAlign w:val="center"/>
          </w:tcPr>
          <w:p>
            <w:pPr>
              <w:jc w:val="center"/>
              <w:rPr>
                <w:color w:val="000000"/>
                <w:szCs w:val="21"/>
              </w:rPr>
            </w:pPr>
            <w:r>
              <w:rPr>
                <w:rFonts w:hint="eastAsia"/>
                <w:color w:val="000000"/>
                <w:szCs w:val="21"/>
              </w:rPr>
              <w:t>0.</w:t>
            </w:r>
            <w:r>
              <w:rPr>
                <w:color w:val="000000"/>
                <w:szCs w:val="21"/>
              </w:rPr>
              <w:t>19</w:t>
            </w:r>
          </w:p>
        </w:tc>
        <w:tc>
          <w:tcPr>
            <w:tcW w:w="1071" w:type="pct"/>
            <w:noWrap/>
            <w:vAlign w:val="center"/>
          </w:tcPr>
          <w:p>
            <w:pPr>
              <w:jc w:val="center"/>
              <w:rPr>
                <w:szCs w:val="21"/>
              </w:rPr>
            </w:pPr>
            <w:r>
              <w:rPr>
                <w:rFonts w:hint="eastAsia"/>
                <w:szCs w:val="21"/>
              </w:rPr>
              <w:t>0.12</w:t>
            </w:r>
          </w:p>
        </w:tc>
        <w:tc>
          <w:tcPr>
            <w:tcW w:w="1071" w:type="pct"/>
            <w:noWrap/>
            <w:vAlign w:val="center"/>
          </w:tcPr>
          <w:p>
            <w:pPr>
              <w:jc w:val="center"/>
              <w:rPr>
                <w:szCs w:val="21"/>
              </w:rPr>
            </w:pPr>
            <w:r>
              <w:rPr>
                <w:rFonts w:hint="eastAsia"/>
                <w:szCs w:val="21"/>
              </w:rPr>
              <w:t>0.08</w:t>
            </w:r>
          </w:p>
        </w:tc>
      </w:tr>
    </w:tbl>
    <w:p>
      <w:pPr>
        <w:rPr>
          <w:szCs w:val="21"/>
        </w:rPr>
      </w:pPr>
    </w:p>
    <w:p>
      <w:pPr>
        <w:rPr>
          <w:szCs w:val="21"/>
        </w:rPr>
      </w:pPr>
      <w:r>
        <w:rPr>
          <w:rFonts w:hint="eastAsia"/>
          <w:szCs w:val="21"/>
        </w:rPr>
        <w:t xml:space="preserve">                       </w:t>
      </w:r>
      <w:r>
        <w:rPr>
          <w:szCs w:val="21"/>
        </w:rPr>
        <w:t xml:space="preserve">  </w:t>
      </w:r>
      <w:r>
        <w:rPr>
          <w:rFonts w:hint="eastAsia"/>
          <w:szCs w:val="21"/>
        </w:rPr>
        <w:t>表10 山东恒邦冶炼股份有限公司验证数据</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1806"/>
        <w:gridCol w:w="1809"/>
        <w:gridCol w:w="180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2" w:type="pct"/>
            <w:noWrap/>
            <w:vAlign w:val="center"/>
          </w:tcPr>
          <w:p>
            <w:pPr>
              <w:widowControl/>
              <w:jc w:val="center"/>
              <w:rPr>
                <w:color w:val="000000"/>
                <w:kern w:val="0"/>
                <w:szCs w:val="21"/>
              </w:rPr>
            </w:pPr>
            <w:r>
              <w:rPr>
                <w:color w:val="000000"/>
                <w:kern w:val="0"/>
                <w:szCs w:val="21"/>
              </w:rPr>
              <w:t>样品编号</w:t>
            </w:r>
          </w:p>
        </w:tc>
        <w:tc>
          <w:tcPr>
            <w:tcW w:w="1071" w:type="pct"/>
            <w:noWrap/>
            <w:vAlign w:val="center"/>
          </w:tcPr>
          <w:p>
            <w:pPr>
              <w:widowControl/>
              <w:jc w:val="center"/>
              <w:rPr>
                <w:color w:val="000000"/>
                <w:kern w:val="0"/>
                <w:szCs w:val="21"/>
              </w:rPr>
            </w:pPr>
            <w:r>
              <w:rPr>
                <w:color w:val="000000"/>
                <w:kern w:val="0"/>
                <w:szCs w:val="21"/>
              </w:rPr>
              <w:t>1</w:t>
            </w:r>
            <w:r>
              <w:rPr>
                <w:rFonts w:hint="eastAsia"/>
                <w:color w:val="000000"/>
                <w:kern w:val="0"/>
                <w:szCs w:val="21"/>
              </w:rPr>
              <w:t>#</w:t>
            </w:r>
          </w:p>
        </w:tc>
        <w:tc>
          <w:tcPr>
            <w:tcW w:w="1072" w:type="pct"/>
            <w:noWrap/>
            <w:vAlign w:val="center"/>
          </w:tcPr>
          <w:p>
            <w:pPr>
              <w:widowControl/>
              <w:jc w:val="center"/>
              <w:rPr>
                <w:color w:val="000000"/>
                <w:kern w:val="0"/>
                <w:szCs w:val="21"/>
              </w:rPr>
            </w:pPr>
            <w:r>
              <w:rPr>
                <w:color w:val="000000"/>
                <w:kern w:val="0"/>
                <w:szCs w:val="21"/>
              </w:rPr>
              <w:t>2</w:t>
            </w:r>
            <w:r>
              <w:rPr>
                <w:rFonts w:hint="eastAsia"/>
                <w:color w:val="000000"/>
                <w:kern w:val="0"/>
                <w:szCs w:val="21"/>
              </w:rPr>
              <w:t>#</w:t>
            </w:r>
          </w:p>
        </w:tc>
        <w:tc>
          <w:tcPr>
            <w:tcW w:w="1071" w:type="pct"/>
            <w:noWrap/>
            <w:vAlign w:val="center"/>
          </w:tcPr>
          <w:p>
            <w:pPr>
              <w:widowControl/>
              <w:jc w:val="center"/>
              <w:rPr>
                <w:color w:val="000000"/>
                <w:kern w:val="0"/>
                <w:szCs w:val="21"/>
              </w:rPr>
            </w:pPr>
            <w:r>
              <w:rPr>
                <w:rFonts w:hint="eastAsia"/>
                <w:color w:val="000000"/>
                <w:kern w:val="0"/>
                <w:szCs w:val="21"/>
              </w:rPr>
              <w:t>3#</w:t>
            </w:r>
          </w:p>
        </w:tc>
        <w:tc>
          <w:tcPr>
            <w:tcW w:w="1071" w:type="pct"/>
            <w:noWrap/>
            <w:vAlign w:val="center"/>
          </w:tcPr>
          <w:p>
            <w:pPr>
              <w:widowControl/>
              <w:jc w:val="center"/>
              <w:rPr>
                <w:color w:val="000000"/>
                <w:kern w:val="0"/>
                <w:szCs w:val="21"/>
              </w:rPr>
            </w:pPr>
            <w:r>
              <w:rPr>
                <w:rFonts w:hint="eastAsia"/>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12" w:type="pct"/>
            <w:vMerge w:val="restart"/>
            <w:noWrap/>
            <w:vAlign w:val="center"/>
          </w:tcPr>
          <w:p>
            <w:pPr>
              <w:jc w:val="center"/>
              <w:rPr>
                <w:color w:val="000000"/>
                <w:kern w:val="0"/>
                <w:szCs w:val="21"/>
              </w:rPr>
            </w:pPr>
            <w:r>
              <w:rPr>
                <w:color w:val="000000"/>
                <w:kern w:val="0"/>
                <w:szCs w:val="21"/>
              </w:rPr>
              <w:t>测定结果/%</w:t>
            </w:r>
          </w:p>
        </w:tc>
        <w:tc>
          <w:tcPr>
            <w:tcW w:w="1071" w:type="pct"/>
            <w:noWrap/>
            <w:vAlign w:val="center"/>
          </w:tcPr>
          <w:p>
            <w:pPr>
              <w:widowControl/>
              <w:jc w:val="center"/>
              <w:rPr>
                <w:color w:val="000000"/>
                <w:kern w:val="0"/>
                <w:szCs w:val="21"/>
              </w:rPr>
            </w:pPr>
            <w:r>
              <w:rPr>
                <w:rFonts w:hint="eastAsia"/>
                <w:color w:val="000000"/>
                <w:kern w:val="0"/>
                <w:szCs w:val="21"/>
              </w:rPr>
              <w:t>4.84</w:t>
            </w:r>
          </w:p>
        </w:tc>
        <w:tc>
          <w:tcPr>
            <w:tcW w:w="1072" w:type="pct"/>
            <w:noWrap/>
            <w:vAlign w:val="center"/>
          </w:tcPr>
          <w:p>
            <w:pPr>
              <w:widowControl/>
              <w:jc w:val="center"/>
              <w:rPr>
                <w:color w:val="000000"/>
                <w:kern w:val="0"/>
                <w:szCs w:val="21"/>
              </w:rPr>
            </w:pPr>
            <w:r>
              <w:rPr>
                <w:rFonts w:hint="eastAsia"/>
                <w:color w:val="000000"/>
                <w:kern w:val="0"/>
                <w:szCs w:val="21"/>
              </w:rPr>
              <w:t>9.87</w:t>
            </w:r>
          </w:p>
        </w:tc>
        <w:tc>
          <w:tcPr>
            <w:tcW w:w="1071" w:type="pct"/>
            <w:noWrap/>
            <w:vAlign w:val="center"/>
          </w:tcPr>
          <w:p>
            <w:pPr>
              <w:jc w:val="center"/>
              <w:rPr>
                <w:color w:val="000000"/>
                <w:szCs w:val="21"/>
              </w:rPr>
            </w:pPr>
            <w:r>
              <w:rPr>
                <w:rFonts w:hint="eastAsia"/>
                <w:color w:val="000000"/>
                <w:szCs w:val="21"/>
              </w:rPr>
              <w:t>14.66</w:t>
            </w:r>
          </w:p>
        </w:tc>
        <w:tc>
          <w:tcPr>
            <w:tcW w:w="1071" w:type="pct"/>
            <w:noWrap/>
            <w:vAlign w:val="center"/>
          </w:tcPr>
          <w:p>
            <w:pPr>
              <w:jc w:val="center"/>
              <w:rPr>
                <w:color w:val="000000"/>
                <w:szCs w:val="21"/>
              </w:rPr>
            </w:pPr>
            <w:r>
              <w:rPr>
                <w:rFonts w:hint="eastAsia"/>
                <w:color w:val="000000"/>
                <w:szCs w:val="21"/>
              </w:rPr>
              <w:t>19.64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rFonts w:hint="eastAsia"/>
                <w:color w:val="000000"/>
                <w:szCs w:val="21"/>
              </w:rPr>
              <w:t>4.88</w:t>
            </w:r>
          </w:p>
        </w:tc>
        <w:tc>
          <w:tcPr>
            <w:tcW w:w="1072" w:type="pct"/>
            <w:noWrap/>
            <w:vAlign w:val="center"/>
          </w:tcPr>
          <w:p>
            <w:pPr>
              <w:jc w:val="center"/>
              <w:rPr>
                <w:color w:val="000000"/>
                <w:szCs w:val="21"/>
              </w:rPr>
            </w:pPr>
            <w:r>
              <w:rPr>
                <w:rFonts w:hint="eastAsia"/>
                <w:color w:val="000000"/>
                <w:szCs w:val="21"/>
              </w:rPr>
              <w:t>9.85</w:t>
            </w:r>
          </w:p>
        </w:tc>
        <w:tc>
          <w:tcPr>
            <w:tcW w:w="1071" w:type="pct"/>
            <w:noWrap/>
            <w:vAlign w:val="center"/>
          </w:tcPr>
          <w:p>
            <w:pPr>
              <w:jc w:val="center"/>
              <w:rPr>
                <w:color w:val="000000"/>
                <w:szCs w:val="21"/>
              </w:rPr>
            </w:pPr>
            <w:r>
              <w:rPr>
                <w:rFonts w:hint="eastAsia"/>
                <w:color w:val="000000"/>
                <w:szCs w:val="21"/>
              </w:rPr>
              <w:t>14.56</w:t>
            </w:r>
          </w:p>
        </w:tc>
        <w:tc>
          <w:tcPr>
            <w:tcW w:w="1071" w:type="pct"/>
            <w:noWrap/>
            <w:vAlign w:val="center"/>
          </w:tcPr>
          <w:p>
            <w:pPr>
              <w:jc w:val="center"/>
              <w:rPr>
                <w:color w:val="000000"/>
                <w:szCs w:val="21"/>
              </w:rPr>
            </w:pPr>
            <w:r>
              <w:rPr>
                <w:rFonts w:hint="eastAsia"/>
                <w:color w:val="000000"/>
                <w:szCs w:val="21"/>
              </w:rPr>
              <w:t>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rFonts w:hint="eastAsia"/>
                <w:color w:val="000000"/>
                <w:szCs w:val="21"/>
              </w:rPr>
              <w:t>4.94</w:t>
            </w:r>
          </w:p>
        </w:tc>
        <w:tc>
          <w:tcPr>
            <w:tcW w:w="1072" w:type="pct"/>
            <w:noWrap/>
            <w:vAlign w:val="center"/>
          </w:tcPr>
          <w:p>
            <w:pPr>
              <w:jc w:val="center"/>
              <w:rPr>
                <w:color w:val="000000"/>
                <w:szCs w:val="21"/>
              </w:rPr>
            </w:pPr>
            <w:r>
              <w:rPr>
                <w:rFonts w:hint="eastAsia"/>
                <w:color w:val="000000"/>
                <w:szCs w:val="21"/>
              </w:rPr>
              <w:t>9.87</w:t>
            </w:r>
          </w:p>
        </w:tc>
        <w:tc>
          <w:tcPr>
            <w:tcW w:w="1071" w:type="pct"/>
            <w:noWrap/>
            <w:vAlign w:val="center"/>
          </w:tcPr>
          <w:p>
            <w:pPr>
              <w:jc w:val="center"/>
              <w:rPr>
                <w:color w:val="000000"/>
                <w:szCs w:val="21"/>
              </w:rPr>
            </w:pPr>
            <w:r>
              <w:rPr>
                <w:rFonts w:hint="eastAsia"/>
                <w:color w:val="000000"/>
                <w:szCs w:val="21"/>
              </w:rPr>
              <w:t>14.76</w:t>
            </w:r>
          </w:p>
        </w:tc>
        <w:tc>
          <w:tcPr>
            <w:tcW w:w="1071" w:type="pct"/>
            <w:noWrap/>
            <w:vAlign w:val="center"/>
          </w:tcPr>
          <w:p>
            <w:pPr>
              <w:jc w:val="center"/>
              <w:rPr>
                <w:color w:val="000000"/>
                <w:szCs w:val="21"/>
              </w:rPr>
            </w:pPr>
            <w:r>
              <w:rPr>
                <w:rFonts w:hint="eastAsia"/>
                <w:color w:val="000000"/>
                <w:szCs w:val="21"/>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rFonts w:hint="eastAsia"/>
                <w:color w:val="000000"/>
                <w:szCs w:val="21"/>
              </w:rPr>
              <w:t>4.90</w:t>
            </w:r>
          </w:p>
        </w:tc>
        <w:tc>
          <w:tcPr>
            <w:tcW w:w="1072" w:type="pct"/>
            <w:noWrap/>
            <w:vAlign w:val="center"/>
          </w:tcPr>
          <w:p>
            <w:pPr>
              <w:jc w:val="center"/>
              <w:rPr>
                <w:color w:val="000000"/>
                <w:szCs w:val="21"/>
              </w:rPr>
            </w:pPr>
            <w:r>
              <w:rPr>
                <w:rFonts w:hint="eastAsia"/>
                <w:color w:val="000000"/>
                <w:szCs w:val="21"/>
              </w:rPr>
              <w:t>9.92</w:t>
            </w:r>
          </w:p>
        </w:tc>
        <w:tc>
          <w:tcPr>
            <w:tcW w:w="1071" w:type="pct"/>
            <w:noWrap/>
            <w:vAlign w:val="center"/>
          </w:tcPr>
          <w:p>
            <w:pPr>
              <w:jc w:val="center"/>
              <w:rPr>
                <w:color w:val="000000"/>
                <w:szCs w:val="21"/>
              </w:rPr>
            </w:pPr>
            <w:r>
              <w:rPr>
                <w:rFonts w:hint="eastAsia"/>
                <w:color w:val="000000"/>
                <w:szCs w:val="21"/>
              </w:rPr>
              <w:t>14.66</w:t>
            </w:r>
          </w:p>
        </w:tc>
        <w:tc>
          <w:tcPr>
            <w:tcW w:w="1071" w:type="pct"/>
            <w:noWrap/>
            <w:vAlign w:val="center"/>
          </w:tcPr>
          <w:p>
            <w:pPr>
              <w:jc w:val="center"/>
              <w:rPr>
                <w:color w:val="000000"/>
                <w:szCs w:val="21"/>
              </w:rPr>
            </w:pPr>
            <w:r>
              <w:rPr>
                <w:rFonts w:hint="eastAsia"/>
                <w:color w:val="000000"/>
                <w:szCs w:val="21"/>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rFonts w:hint="eastAsia"/>
                <w:color w:val="000000"/>
                <w:szCs w:val="21"/>
              </w:rPr>
              <w:t>4.84</w:t>
            </w:r>
          </w:p>
        </w:tc>
        <w:tc>
          <w:tcPr>
            <w:tcW w:w="1072" w:type="pct"/>
            <w:noWrap/>
            <w:vAlign w:val="center"/>
          </w:tcPr>
          <w:p>
            <w:pPr>
              <w:jc w:val="center"/>
              <w:rPr>
                <w:color w:val="000000"/>
                <w:szCs w:val="21"/>
              </w:rPr>
            </w:pPr>
            <w:r>
              <w:rPr>
                <w:rFonts w:hint="eastAsia"/>
                <w:color w:val="000000"/>
                <w:szCs w:val="21"/>
              </w:rPr>
              <w:t>9.87</w:t>
            </w:r>
          </w:p>
        </w:tc>
        <w:tc>
          <w:tcPr>
            <w:tcW w:w="1071" w:type="pct"/>
            <w:noWrap/>
            <w:vAlign w:val="center"/>
          </w:tcPr>
          <w:p>
            <w:pPr>
              <w:jc w:val="center"/>
              <w:rPr>
                <w:color w:val="000000"/>
                <w:szCs w:val="21"/>
              </w:rPr>
            </w:pPr>
            <w:r>
              <w:rPr>
                <w:rFonts w:hint="eastAsia"/>
                <w:color w:val="000000"/>
                <w:szCs w:val="21"/>
              </w:rPr>
              <w:t>14.59</w:t>
            </w:r>
          </w:p>
        </w:tc>
        <w:tc>
          <w:tcPr>
            <w:tcW w:w="1071" w:type="pct"/>
            <w:noWrap/>
            <w:vAlign w:val="center"/>
          </w:tcPr>
          <w:p>
            <w:pPr>
              <w:jc w:val="center"/>
              <w:rPr>
                <w:color w:val="000000"/>
                <w:szCs w:val="21"/>
              </w:rPr>
            </w:pPr>
            <w:r>
              <w:rPr>
                <w:rFonts w:hint="eastAsia"/>
                <w:color w:val="000000"/>
                <w:szCs w:val="21"/>
              </w:rPr>
              <w:t>19.57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rFonts w:hint="eastAsia"/>
                <w:color w:val="000000"/>
                <w:szCs w:val="21"/>
              </w:rPr>
              <w:t>4.83</w:t>
            </w:r>
          </w:p>
        </w:tc>
        <w:tc>
          <w:tcPr>
            <w:tcW w:w="1072" w:type="pct"/>
            <w:noWrap/>
            <w:vAlign w:val="center"/>
          </w:tcPr>
          <w:p>
            <w:pPr>
              <w:jc w:val="center"/>
              <w:rPr>
                <w:color w:val="000000"/>
                <w:szCs w:val="21"/>
              </w:rPr>
            </w:pPr>
            <w:r>
              <w:rPr>
                <w:rFonts w:hint="eastAsia"/>
                <w:color w:val="000000"/>
                <w:szCs w:val="21"/>
              </w:rPr>
              <w:t>9.79</w:t>
            </w:r>
          </w:p>
        </w:tc>
        <w:tc>
          <w:tcPr>
            <w:tcW w:w="1071" w:type="pct"/>
            <w:noWrap/>
            <w:vAlign w:val="center"/>
          </w:tcPr>
          <w:p>
            <w:pPr>
              <w:jc w:val="center"/>
              <w:rPr>
                <w:color w:val="000000"/>
                <w:szCs w:val="21"/>
              </w:rPr>
            </w:pPr>
            <w:r>
              <w:rPr>
                <w:rFonts w:hint="eastAsia"/>
                <w:color w:val="000000"/>
                <w:szCs w:val="21"/>
              </w:rPr>
              <w:t>14.63</w:t>
            </w:r>
          </w:p>
        </w:tc>
        <w:tc>
          <w:tcPr>
            <w:tcW w:w="1071" w:type="pct"/>
            <w:noWrap/>
            <w:vAlign w:val="center"/>
          </w:tcPr>
          <w:p>
            <w:pPr>
              <w:jc w:val="center"/>
              <w:rPr>
                <w:color w:val="000000"/>
                <w:szCs w:val="21"/>
              </w:rPr>
            </w:pPr>
            <w:r>
              <w:rPr>
                <w:rFonts w:hint="eastAsia"/>
                <w:color w:val="000000"/>
                <w:szCs w:val="21"/>
              </w:rPr>
              <w:t>19.58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2" w:type="pct"/>
            <w:vMerge w:val="continue"/>
            <w:noWrap/>
            <w:vAlign w:val="center"/>
          </w:tcPr>
          <w:p>
            <w:pPr>
              <w:jc w:val="center"/>
              <w:rPr>
                <w:color w:val="000000"/>
                <w:kern w:val="0"/>
                <w:szCs w:val="21"/>
              </w:rPr>
            </w:pPr>
          </w:p>
        </w:tc>
        <w:tc>
          <w:tcPr>
            <w:tcW w:w="1071" w:type="pct"/>
            <w:noWrap/>
            <w:vAlign w:val="center"/>
          </w:tcPr>
          <w:p>
            <w:pPr>
              <w:jc w:val="center"/>
              <w:rPr>
                <w:color w:val="000000"/>
                <w:szCs w:val="21"/>
              </w:rPr>
            </w:pPr>
            <w:r>
              <w:rPr>
                <w:rFonts w:hint="eastAsia"/>
                <w:color w:val="000000"/>
                <w:szCs w:val="21"/>
              </w:rPr>
              <w:t>4.92</w:t>
            </w:r>
          </w:p>
        </w:tc>
        <w:tc>
          <w:tcPr>
            <w:tcW w:w="1072" w:type="pct"/>
            <w:noWrap/>
            <w:vAlign w:val="center"/>
          </w:tcPr>
          <w:p>
            <w:pPr>
              <w:jc w:val="center"/>
              <w:rPr>
                <w:color w:val="000000"/>
                <w:szCs w:val="21"/>
              </w:rPr>
            </w:pPr>
            <w:r>
              <w:rPr>
                <w:rFonts w:hint="eastAsia"/>
                <w:color w:val="000000"/>
                <w:szCs w:val="21"/>
              </w:rPr>
              <w:t>9.84</w:t>
            </w:r>
          </w:p>
        </w:tc>
        <w:tc>
          <w:tcPr>
            <w:tcW w:w="1071" w:type="pct"/>
            <w:noWrap/>
            <w:vAlign w:val="center"/>
          </w:tcPr>
          <w:p>
            <w:pPr>
              <w:jc w:val="center"/>
              <w:rPr>
                <w:color w:val="000000"/>
                <w:szCs w:val="21"/>
              </w:rPr>
            </w:pPr>
            <w:r>
              <w:rPr>
                <w:rFonts w:hint="eastAsia"/>
                <w:color w:val="000000"/>
                <w:szCs w:val="21"/>
              </w:rPr>
              <w:t>14.65</w:t>
            </w:r>
          </w:p>
        </w:tc>
        <w:tc>
          <w:tcPr>
            <w:tcW w:w="1071" w:type="pct"/>
            <w:noWrap/>
            <w:vAlign w:val="center"/>
          </w:tcPr>
          <w:p>
            <w:pPr>
              <w:jc w:val="center"/>
              <w:rPr>
                <w:color w:val="000000"/>
                <w:szCs w:val="21"/>
              </w:rPr>
            </w:pPr>
            <w:r>
              <w:rPr>
                <w:rFonts w:hint="eastAsia"/>
                <w:color w:val="000000"/>
                <w:szCs w:val="21"/>
              </w:rPr>
              <w:t>19.67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2" w:type="pct"/>
            <w:noWrap/>
            <w:vAlign w:val="center"/>
          </w:tcPr>
          <w:p>
            <w:pPr>
              <w:widowControl/>
              <w:jc w:val="center"/>
              <w:rPr>
                <w:color w:val="000000"/>
                <w:kern w:val="0"/>
                <w:szCs w:val="21"/>
              </w:rPr>
            </w:pPr>
            <w:r>
              <w:rPr>
                <w:rFonts w:hint="eastAsia"/>
                <w:color w:val="000000"/>
                <w:kern w:val="0"/>
                <w:szCs w:val="21"/>
              </w:rPr>
              <w:t>平</w:t>
            </w:r>
            <w:r>
              <w:rPr>
                <w:color w:val="000000"/>
                <w:kern w:val="0"/>
                <w:szCs w:val="21"/>
              </w:rPr>
              <w:t>均值/%</w:t>
            </w:r>
          </w:p>
        </w:tc>
        <w:tc>
          <w:tcPr>
            <w:tcW w:w="1071" w:type="pct"/>
            <w:noWrap/>
            <w:vAlign w:val="center"/>
          </w:tcPr>
          <w:p>
            <w:pPr>
              <w:jc w:val="center"/>
              <w:rPr>
                <w:color w:val="000000"/>
                <w:szCs w:val="21"/>
              </w:rPr>
            </w:pPr>
            <w:r>
              <w:rPr>
                <w:rFonts w:hint="eastAsia"/>
                <w:color w:val="000000"/>
                <w:szCs w:val="21"/>
              </w:rPr>
              <w:t>4.88</w:t>
            </w:r>
          </w:p>
        </w:tc>
        <w:tc>
          <w:tcPr>
            <w:tcW w:w="1072" w:type="pct"/>
            <w:noWrap/>
            <w:vAlign w:val="center"/>
          </w:tcPr>
          <w:p>
            <w:pPr>
              <w:jc w:val="center"/>
              <w:rPr>
                <w:color w:val="000000"/>
                <w:szCs w:val="21"/>
              </w:rPr>
            </w:pPr>
            <w:r>
              <w:rPr>
                <w:rFonts w:hint="eastAsia"/>
                <w:color w:val="000000"/>
                <w:szCs w:val="21"/>
              </w:rPr>
              <w:t>9.86</w:t>
            </w:r>
          </w:p>
        </w:tc>
        <w:tc>
          <w:tcPr>
            <w:tcW w:w="1071" w:type="pct"/>
            <w:noWrap/>
            <w:vAlign w:val="center"/>
          </w:tcPr>
          <w:p>
            <w:pPr>
              <w:jc w:val="center"/>
              <w:rPr>
                <w:color w:val="000000"/>
                <w:szCs w:val="21"/>
              </w:rPr>
            </w:pPr>
            <w:r>
              <w:rPr>
                <w:rFonts w:hint="eastAsia"/>
                <w:color w:val="000000"/>
                <w:szCs w:val="21"/>
              </w:rPr>
              <w:t>14.64</w:t>
            </w:r>
          </w:p>
        </w:tc>
        <w:tc>
          <w:tcPr>
            <w:tcW w:w="1071" w:type="pct"/>
            <w:noWrap/>
            <w:vAlign w:val="center"/>
          </w:tcPr>
          <w:p>
            <w:pPr>
              <w:jc w:val="center"/>
              <w:rPr>
                <w:color w:val="000000"/>
                <w:szCs w:val="21"/>
              </w:rPr>
            </w:pPr>
            <w:r>
              <w:rPr>
                <w:rFonts w:hint="eastAsia"/>
                <w:color w:val="000000"/>
                <w:szCs w:val="21"/>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12" w:type="pct"/>
            <w:noWrap/>
            <w:vAlign w:val="center"/>
          </w:tcPr>
          <w:p>
            <w:pPr>
              <w:widowControl/>
              <w:jc w:val="center"/>
              <w:rPr>
                <w:color w:val="000000"/>
                <w:kern w:val="0"/>
                <w:szCs w:val="21"/>
              </w:rPr>
            </w:pPr>
            <w:r>
              <w:rPr>
                <w:color w:val="000000"/>
                <w:kern w:val="0"/>
                <w:szCs w:val="21"/>
              </w:rPr>
              <w:t>标准偏差</w:t>
            </w:r>
          </w:p>
        </w:tc>
        <w:tc>
          <w:tcPr>
            <w:tcW w:w="1071" w:type="pct"/>
            <w:noWrap/>
            <w:vAlign w:val="center"/>
          </w:tcPr>
          <w:p>
            <w:pPr>
              <w:jc w:val="center"/>
              <w:rPr>
                <w:color w:val="000000"/>
                <w:szCs w:val="21"/>
              </w:rPr>
            </w:pPr>
            <w:r>
              <w:rPr>
                <w:rFonts w:hint="eastAsia"/>
                <w:color w:val="000000"/>
                <w:szCs w:val="21"/>
              </w:rPr>
              <w:t>0.043</w:t>
            </w:r>
          </w:p>
        </w:tc>
        <w:tc>
          <w:tcPr>
            <w:tcW w:w="1072" w:type="pct"/>
            <w:noWrap/>
            <w:vAlign w:val="center"/>
          </w:tcPr>
          <w:p>
            <w:pPr>
              <w:jc w:val="center"/>
              <w:rPr>
                <w:color w:val="000000"/>
                <w:szCs w:val="21"/>
              </w:rPr>
            </w:pPr>
            <w:r>
              <w:rPr>
                <w:rFonts w:hint="eastAsia"/>
                <w:color w:val="000000"/>
                <w:szCs w:val="21"/>
              </w:rPr>
              <w:t>0.039</w:t>
            </w:r>
          </w:p>
        </w:tc>
        <w:tc>
          <w:tcPr>
            <w:tcW w:w="1071" w:type="pct"/>
            <w:noWrap/>
            <w:vAlign w:val="center"/>
          </w:tcPr>
          <w:p>
            <w:pPr>
              <w:jc w:val="center"/>
              <w:rPr>
                <w:szCs w:val="21"/>
              </w:rPr>
            </w:pPr>
            <w:r>
              <w:rPr>
                <w:rFonts w:hint="eastAsia"/>
                <w:szCs w:val="21"/>
              </w:rPr>
              <w:t>0.063</w:t>
            </w:r>
          </w:p>
        </w:tc>
        <w:tc>
          <w:tcPr>
            <w:tcW w:w="1071" w:type="pct"/>
            <w:noWrap/>
            <w:vAlign w:val="center"/>
          </w:tcPr>
          <w:p>
            <w:pPr>
              <w:jc w:val="center"/>
              <w:rPr>
                <w:szCs w:val="21"/>
              </w:rPr>
            </w:pPr>
            <w:r>
              <w:rPr>
                <w:rFonts w:hint="eastAsia"/>
                <w:szCs w:val="21"/>
              </w:rPr>
              <w:t>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12" w:type="pct"/>
            <w:noWrap/>
            <w:vAlign w:val="center"/>
          </w:tcPr>
          <w:p>
            <w:pPr>
              <w:widowControl/>
              <w:jc w:val="center"/>
              <w:rPr>
                <w:color w:val="000000"/>
                <w:kern w:val="0"/>
                <w:szCs w:val="21"/>
              </w:rPr>
            </w:pPr>
            <w:r>
              <w:rPr>
                <w:color w:val="000000"/>
                <w:kern w:val="0"/>
                <w:szCs w:val="21"/>
              </w:rPr>
              <w:t>RSD/%</w:t>
            </w:r>
          </w:p>
        </w:tc>
        <w:tc>
          <w:tcPr>
            <w:tcW w:w="1071" w:type="pct"/>
            <w:noWrap/>
            <w:vAlign w:val="center"/>
          </w:tcPr>
          <w:p>
            <w:pPr>
              <w:jc w:val="center"/>
              <w:rPr>
                <w:color w:val="000000"/>
                <w:szCs w:val="21"/>
              </w:rPr>
            </w:pPr>
            <w:r>
              <w:rPr>
                <w:rFonts w:hint="eastAsia"/>
                <w:color w:val="000000"/>
                <w:szCs w:val="21"/>
              </w:rPr>
              <w:t>0.88</w:t>
            </w:r>
          </w:p>
        </w:tc>
        <w:tc>
          <w:tcPr>
            <w:tcW w:w="1072" w:type="pct"/>
            <w:noWrap/>
            <w:vAlign w:val="center"/>
          </w:tcPr>
          <w:p>
            <w:pPr>
              <w:jc w:val="center"/>
              <w:rPr>
                <w:color w:val="000000"/>
                <w:szCs w:val="21"/>
              </w:rPr>
            </w:pPr>
            <w:r>
              <w:rPr>
                <w:rFonts w:hint="eastAsia"/>
                <w:color w:val="000000"/>
                <w:szCs w:val="21"/>
              </w:rPr>
              <w:t>0.40</w:t>
            </w:r>
          </w:p>
        </w:tc>
        <w:tc>
          <w:tcPr>
            <w:tcW w:w="1071" w:type="pct"/>
            <w:noWrap/>
            <w:vAlign w:val="center"/>
          </w:tcPr>
          <w:p>
            <w:pPr>
              <w:jc w:val="center"/>
              <w:rPr>
                <w:szCs w:val="21"/>
              </w:rPr>
            </w:pPr>
            <w:r>
              <w:rPr>
                <w:rFonts w:hint="eastAsia"/>
                <w:szCs w:val="21"/>
              </w:rPr>
              <w:t>0.43</w:t>
            </w:r>
          </w:p>
        </w:tc>
        <w:tc>
          <w:tcPr>
            <w:tcW w:w="1071" w:type="pct"/>
            <w:noWrap/>
            <w:vAlign w:val="center"/>
          </w:tcPr>
          <w:p>
            <w:pPr>
              <w:jc w:val="center"/>
              <w:rPr>
                <w:szCs w:val="21"/>
              </w:rPr>
            </w:pPr>
            <w:r>
              <w:rPr>
                <w:rFonts w:hint="eastAsia"/>
                <w:szCs w:val="21"/>
              </w:rPr>
              <w:t>0.20</w:t>
            </w:r>
          </w:p>
        </w:tc>
      </w:tr>
    </w:tbl>
    <w:p>
      <w:pPr>
        <w:rPr>
          <w:szCs w:val="21"/>
        </w:rPr>
      </w:pPr>
    </w:p>
    <w:p>
      <w:pPr>
        <w:rPr>
          <w:szCs w:val="21"/>
        </w:rPr>
      </w:pPr>
      <w:r>
        <w:rPr>
          <w:rFonts w:hint="eastAsia"/>
          <w:szCs w:val="21"/>
        </w:rPr>
        <w:t xml:space="preserve">                        表11 郴州市产品质量监督检验站验证数据</w:t>
      </w:r>
    </w:p>
    <w:tbl>
      <w:tblPr>
        <w:tblStyle w:val="24"/>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460"/>
        <w:gridCol w:w="859"/>
        <w:gridCol w:w="859"/>
        <w:gridCol w:w="859"/>
        <w:gridCol w:w="859"/>
        <w:gridCol w:w="859"/>
        <w:gridCol w:w="859"/>
        <w:gridCol w:w="867"/>
        <w:gridCol w:w="84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434" w:type="dxa"/>
            <w:vAlign w:val="center"/>
          </w:tcPr>
          <w:p>
            <w:pPr>
              <w:jc w:val="center"/>
              <w:rPr>
                <w:color w:val="000000"/>
                <w:kern w:val="0"/>
                <w:sz w:val="21"/>
                <w:szCs w:val="21"/>
              </w:rPr>
            </w:pPr>
            <w:r>
              <w:rPr>
                <w:rFonts w:hint="eastAsia"/>
                <w:color w:val="000000"/>
                <w:kern w:val="0"/>
                <w:sz w:val="21"/>
                <w:szCs w:val="21"/>
              </w:rPr>
              <w:t>编号</w:t>
            </w:r>
          </w:p>
        </w:tc>
        <w:tc>
          <w:tcPr>
            <w:tcW w:w="460" w:type="dxa"/>
            <w:vAlign w:val="center"/>
          </w:tcPr>
          <w:p>
            <w:pPr>
              <w:jc w:val="center"/>
              <w:rPr>
                <w:color w:val="000000"/>
                <w:kern w:val="0"/>
                <w:sz w:val="21"/>
                <w:szCs w:val="21"/>
              </w:rPr>
            </w:pPr>
            <w:r>
              <w:rPr>
                <w:rFonts w:hint="eastAsia"/>
                <w:color w:val="000000"/>
                <w:kern w:val="0"/>
                <w:sz w:val="21"/>
                <w:szCs w:val="21"/>
              </w:rPr>
              <w:t>元素</w:t>
            </w:r>
          </w:p>
        </w:tc>
        <w:tc>
          <w:tcPr>
            <w:tcW w:w="6021" w:type="dxa"/>
            <w:gridSpan w:val="7"/>
            <w:vAlign w:val="center"/>
          </w:tcPr>
          <w:p>
            <w:pPr>
              <w:jc w:val="center"/>
              <w:rPr>
                <w:color w:val="000000"/>
                <w:kern w:val="0"/>
                <w:sz w:val="21"/>
                <w:szCs w:val="21"/>
              </w:rPr>
            </w:pPr>
            <w:r>
              <w:rPr>
                <w:color w:val="000000"/>
                <w:kern w:val="0"/>
                <w:sz w:val="21"/>
                <w:szCs w:val="21"/>
              </w:rPr>
              <w:t>含量/</w:t>
            </w:r>
            <w:r>
              <w:rPr>
                <w:rFonts w:hint="eastAsia"/>
                <w:color w:val="000000"/>
                <w:kern w:val="0"/>
                <w:sz w:val="21"/>
                <w:szCs w:val="21"/>
              </w:rPr>
              <w:t>%</w:t>
            </w:r>
          </w:p>
        </w:tc>
        <w:tc>
          <w:tcPr>
            <w:tcW w:w="847" w:type="dxa"/>
            <w:vAlign w:val="center"/>
          </w:tcPr>
          <w:p>
            <w:pPr>
              <w:jc w:val="center"/>
              <w:rPr>
                <w:color w:val="000000"/>
                <w:kern w:val="0"/>
                <w:sz w:val="21"/>
                <w:szCs w:val="21"/>
              </w:rPr>
            </w:pPr>
            <w:r>
              <w:rPr>
                <w:rFonts w:hint="eastAsia"/>
                <w:color w:val="000000"/>
                <w:kern w:val="0"/>
                <w:sz w:val="21"/>
                <w:szCs w:val="21"/>
              </w:rPr>
              <w:t>平均值</w:t>
            </w:r>
            <w:r>
              <w:rPr>
                <w:color w:val="000000"/>
                <w:kern w:val="0"/>
                <w:sz w:val="21"/>
                <w:szCs w:val="21"/>
              </w:rPr>
              <w:t>/</w:t>
            </w:r>
            <w:r>
              <w:rPr>
                <w:rFonts w:hint="eastAsia"/>
                <w:color w:val="000000"/>
                <w:kern w:val="0"/>
                <w:sz w:val="21"/>
                <w:szCs w:val="21"/>
              </w:rPr>
              <w:t>%</w:t>
            </w:r>
          </w:p>
        </w:tc>
        <w:tc>
          <w:tcPr>
            <w:tcW w:w="997" w:type="dxa"/>
            <w:vAlign w:val="center"/>
          </w:tcPr>
          <w:p>
            <w:pPr>
              <w:jc w:val="center"/>
              <w:rPr>
                <w:color w:val="000000"/>
                <w:kern w:val="0"/>
                <w:sz w:val="21"/>
                <w:szCs w:val="21"/>
              </w:rPr>
            </w:pPr>
            <w:r>
              <w:rPr>
                <w:rFonts w:hint="eastAsia"/>
                <w:color w:val="000000"/>
                <w:kern w:val="0"/>
                <w:sz w:val="21"/>
                <w:szCs w:val="21"/>
              </w:rPr>
              <w:t>相对标准偏差</w:t>
            </w:r>
            <w:r>
              <w:rPr>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34" w:type="dxa"/>
            <w:vAlign w:val="center"/>
          </w:tcPr>
          <w:p>
            <w:pPr>
              <w:jc w:val="center"/>
              <w:rPr>
                <w:color w:val="000000"/>
                <w:kern w:val="0"/>
                <w:sz w:val="21"/>
                <w:szCs w:val="21"/>
              </w:rPr>
            </w:pPr>
            <w:r>
              <w:rPr>
                <w:rFonts w:hint="eastAsia"/>
                <w:color w:val="000000"/>
                <w:kern w:val="0"/>
                <w:sz w:val="21"/>
                <w:szCs w:val="21"/>
              </w:rPr>
              <w:t>1#</w:t>
            </w:r>
          </w:p>
        </w:tc>
        <w:tc>
          <w:tcPr>
            <w:tcW w:w="460" w:type="dxa"/>
            <w:vAlign w:val="center"/>
          </w:tcPr>
          <w:p>
            <w:pPr>
              <w:jc w:val="center"/>
              <w:rPr>
                <w:color w:val="000000"/>
                <w:kern w:val="0"/>
                <w:sz w:val="21"/>
                <w:szCs w:val="21"/>
              </w:rPr>
            </w:pPr>
            <w:r>
              <w:rPr>
                <w:rFonts w:hint="eastAsia"/>
                <w:color w:val="000000"/>
                <w:kern w:val="0"/>
                <w:sz w:val="21"/>
                <w:szCs w:val="21"/>
              </w:rPr>
              <w:t>碲</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5.04</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4.97</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4.96</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4.98</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5.03</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5.04</w:t>
            </w:r>
          </w:p>
        </w:tc>
        <w:tc>
          <w:tcPr>
            <w:tcW w:w="867"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4.95</w:t>
            </w:r>
          </w:p>
        </w:tc>
        <w:tc>
          <w:tcPr>
            <w:tcW w:w="847" w:type="dxa"/>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5.00</w:t>
            </w:r>
          </w:p>
        </w:tc>
        <w:tc>
          <w:tcPr>
            <w:tcW w:w="997" w:type="dxa"/>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34" w:type="dxa"/>
            <w:vAlign w:val="center"/>
          </w:tcPr>
          <w:p>
            <w:pPr>
              <w:jc w:val="center"/>
              <w:rPr>
                <w:color w:val="000000"/>
                <w:kern w:val="0"/>
                <w:sz w:val="21"/>
                <w:szCs w:val="21"/>
              </w:rPr>
            </w:pPr>
            <w:r>
              <w:rPr>
                <w:rFonts w:hint="eastAsia"/>
                <w:color w:val="000000"/>
                <w:kern w:val="0"/>
                <w:sz w:val="21"/>
                <w:szCs w:val="21"/>
              </w:rPr>
              <w:t>2#</w:t>
            </w:r>
          </w:p>
        </w:tc>
        <w:tc>
          <w:tcPr>
            <w:tcW w:w="460" w:type="dxa"/>
            <w:vAlign w:val="center"/>
          </w:tcPr>
          <w:p>
            <w:pPr>
              <w:jc w:val="center"/>
              <w:rPr>
                <w:color w:val="000000"/>
                <w:kern w:val="0"/>
                <w:sz w:val="21"/>
                <w:szCs w:val="21"/>
              </w:rPr>
            </w:pPr>
            <w:r>
              <w:rPr>
                <w:rFonts w:hint="eastAsia"/>
                <w:color w:val="000000"/>
                <w:kern w:val="0"/>
                <w:sz w:val="21"/>
                <w:szCs w:val="21"/>
              </w:rPr>
              <w:t>碲</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9.92</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9.96</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9.99</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9.97</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10.03</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10.01</w:t>
            </w:r>
          </w:p>
        </w:tc>
        <w:tc>
          <w:tcPr>
            <w:tcW w:w="867"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9.96</w:t>
            </w:r>
          </w:p>
        </w:tc>
        <w:tc>
          <w:tcPr>
            <w:tcW w:w="847" w:type="dxa"/>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9.98</w:t>
            </w:r>
          </w:p>
        </w:tc>
        <w:tc>
          <w:tcPr>
            <w:tcW w:w="997" w:type="dxa"/>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34" w:type="dxa"/>
            <w:vAlign w:val="center"/>
          </w:tcPr>
          <w:p>
            <w:pPr>
              <w:jc w:val="center"/>
              <w:rPr>
                <w:color w:val="000000"/>
                <w:kern w:val="0"/>
                <w:sz w:val="21"/>
                <w:szCs w:val="21"/>
              </w:rPr>
            </w:pPr>
            <w:r>
              <w:rPr>
                <w:rFonts w:hint="eastAsia"/>
                <w:color w:val="000000"/>
                <w:kern w:val="0"/>
                <w:sz w:val="21"/>
                <w:szCs w:val="21"/>
              </w:rPr>
              <w:t>3#</w:t>
            </w:r>
          </w:p>
        </w:tc>
        <w:tc>
          <w:tcPr>
            <w:tcW w:w="460" w:type="dxa"/>
            <w:vAlign w:val="center"/>
          </w:tcPr>
          <w:p>
            <w:pPr>
              <w:jc w:val="center"/>
              <w:rPr>
                <w:color w:val="000000"/>
                <w:kern w:val="0"/>
                <w:sz w:val="21"/>
                <w:szCs w:val="21"/>
              </w:rPr>
            </w:pPr>
            <w:r>
              <w:rPr>
                <w:rFonts w:hint="eastAsia"/>
                <w:color w:val="000000"/>
                <w:kern w:val="0"/>
                <w:sz w:val="21"/>
                <w:szCs w:val="21"/>
              </w:rPr>
              <w:t>碲</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14.85</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14.97</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15.01</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14.79</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14.86</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14.96</w:t>
            </w:r>
          </w:p>
        </w:tc>
        <w:tc>
          <w:tcPr>
            <w:tcW w:w="867"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14.79</w:t>
            </w:r>
          </w:p>
        </w:tc>
        <w:tc>
          <w:tcPr>
            <w:tcW w:w="847" w:type="dxa"/>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14.89</w:t>
            </w:r>
          </w:p>
        </w:tc>
        <w:tc>
          <w:tcPr>
            <w:tcW w:w="997" w:type="dxa"/>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434" w:type="dxa"/>
            <w:vAlign w:val="center"/>
          </w:tcPr>
          <w:p>
            <w:pPr>
              <w:jc w:val="center"/>
              <w:rPr>
                <w:color w:val="000000"/>
                <w:kern w:val="0"/>
                <w:sz w:val="21"/>
                <w:szCs w:val="21"/>
              </w:rPr>
            </w:pPr>
            <w:r>
              <w:rPr>
                <w:rFonts w:hint="eastAsia"/>
                <w:color w:val="000000"/>
                <w:kern w:val="0"/>
                <w:sz w:val="21"/>
                <w:szCs w:val="21"/>
              </w:rPr>
              <w:t>4#</w:t>
            </w:r>
          </w:p>
        </w:tc>
        <w:tc>
          <w:tcPr>
            <w:tcW w:w="460" w:type="dxa"/>
            <w:vAlign w:val="center"/>
          </w:tcPr>
          <w:p>
            <w:pPr>
              <w:jc w:val="center"/>
              <w:rPr>
                <w:color w:val="000000"/>
                <w:kern w:val="0"/>
                <w:sz w:val="21"/>
                <w:szCs w:val="21"/>
              </w:rPr>
            </w:pPr>
            <w:r>
              <w:rPr>
                <w:rFonts w:hint="eastAsia"/>
                <w:color w:val="000000"/>
                <w:kern w:val="0"/>
                <w:sz w:val="21"/>
                <w:szCs w:val="21"/>
              </w:rPr>
              <w:t>碲</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19.92</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19.96</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19.98</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20.03</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20.01</w:t>
            </w:r>
          </w:p>
        </w:tc>
        <w:tc>
          <w:tcPr>
            <w:tcW w:w="859"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19.97</w:t>
            </w:r>
          </w:p>
        </w:tc>
        <w:tc>
          <w:tcPr>
            <w:tcW w:w="867" w:type="dxa"/>
            <w:vAlign w:val="center"/>
          </w:tcPr>
          <w:p>
            <w:pPr>
              <w:widowControl/>
              <w:jc w:val="right"/>
              <w:textAlignment w:val="center"/>
              <w:rPr>
                <w:color w:val="000000"/>
                <w:kern w:val="0"/>
                <w:sz w:val="21"/>
                <w:szCs w:val="21"/>
              </w:rPr>
            </w:pPr>
            <w:r>
              <w:rPr>
                <w:rFonts w:hint="eastAsia" w:ascii="宋体" w:hAnsi="宋体" w:cs="宋体"/>
                <w:color w:val="000000"/>
                <w:kern w:val="0"/>
                <w:sz w:val="21"/>
                <w:szCs w:val="21"/>
                <w:lang w:bidi="ar"/>
              </w:rPr>
              <w:t>19.93</w:t>
            </w:r>
          </w:p>
        </w:tc>
        <w:tc>
          <w:tcPr>
            <w:tcW w:w="847" w:type="dxa"/>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19.97</w:t>
            </w:r>
          </w:p>
        </w:tc>
        <w:tc>
          <w:tcPr>
            <w:tcW w:w="997" w:type="dxa"/>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0.20</w:t>
            </w:r>
          </w:p>
        </w:tc>
      </w:tr>
    </w:tbl>
    <w:p>
      <w:pPr>
        <w:rPr>
          <w:szCs w:val="21"/>
        </w:rPr>
      </w:pPr>
    </w:p>
    <w:p>
      <w:pPr>
        <w:rPr>
          <w:szCs w:val="21"/>
        </w:rPr>
      </w:pPr>
    </w:p>
    <w:p>
      <w:pPr>
        <w:rPr>
          <w:szCs w:val="21"/>
        </w:rPr>
      </w:pPr>
      <w:r>
        <w:rPr>
          <w:rFonts w:hint="eastAsia"/>
          <w:szCs w:val="21"/>
        </w:rPr>
        <w:t xml:space="preserve">  </w:t>
      </w:r>
      <w:r>
        <w:rPr>
          <w:szCs w:val="21"/>
        </w:rPr>
        <w:t xml:space="preserve">                  表</w:t>
      </w:r>
      <w:r>
        <w:rPr>
          <w:rFonts w:hint="eastAsia"/>
          <w:szCs w:val="21"/>
        </w:rPr>
        <w:t>12</w:t>
      </w:r>
      <w:r>
        <w:rPr>
          <w:szCs w:val="21"/>
        </w:rPr>
        <w:t xml:space="preserve"> 中国检验认证集团广西有限公司验证数据</w:t>
      </w:r>
    </w:p>
    <w:tbl>
      <w:tblPr>
        <w:tblStyle w:val="23"/>
        <w:tblW w:w="0" w:type="auto"/>
        <w:jc w:val="center"/>
        <w:tblLayout w:type="fixed"/>
        <w:tblCellMar>
          <w:top w:w="15" w:type="dxa"/>
          <w:left w:w="15" w:type="dxa"/>
          <w:bottom w:w="15" w:type="dxa"/>
          <w:right w:w="15" w:type="dxa"/>
        </w:tblCellMar>
      </w:tblPr>
      <w:tblGrid>
        <w:gridCol w:w="1467"/>
        <w:gridCol w:w="1764"/>
        <w:gridCol w:w="1764"/>
        <w:gridCol w:w="1764"/>
        <w:gridCol w:w="1765"/>
      </w:tblGrid>
      <w:tr>
        <w:tblPrEx>
          <w:tblCellMar>
            <w:top w:w="15" w:type="dxa"/>
            <w:left w:w="15" w:type="dxa"/>
            <w:bottom w:w="15" w:type="dxa"/>
            <w:right w:w="15" w:type="dxa"/>
          </w:tblCellMar>
        </w:tblPrEx>
        <w:trPr>
          <w:trHeight w:val="423" w:hRule="atLeast"/>
          <w:jc w:val="center"/>
        </w:trPr>
        <w:tc>
          <w:tcPr>
            <w:tcW w:w="1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lang w:bidi="ar"/>
              </w:rPr>
              <w:t>试样编号</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lang w:bidi="ar"/>
              </w:rPr>
              <w:t>1#</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lang w:bidi="ar"/>
              </w:rPr>
              <w:t>2#</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lang w:bidi="ar"/>
              </w:rPr>
              <w:t>3#</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lang w:bidi="ar"/>
              </w:rPr>
              <w:t>4#</w:t>
            </w:r>
          </w:p>
        </w:tc>
      </w:tr>
      <w:tr>
        <w:tblPrEx>
          <w:tblCellMar>
            <w:top w:w="15" w:type="dxa"/>
            <w:left w:w="15" w:type="dxa"/>
            <w:bottom w:w="15" w:type="dxa"/>
            <w:right w:w="15" w:type="dxa"/>
          </w:tblCellMar>
        </w:tblPrEx>
        <w:trPr>
          <w:trHeight w:val="423" w:hRule="atLeast"/>
          <w:jc w:val="center"/>
        </w:trPr>
        <w:tc>
          <w:tcPr>
            <w:tcW w:w="1467" w:type="dxa"/>
            <w:vMerge w:val="restart"/>
            <w:tcBorders>
              <w:top w:val="single" w:color="000000" w:sz="4" w:space="0"/>
              <w:left w:val="single" w:color="000000" w:sz="4" w:space="0"/>
              <w:right w:val="single" w:color="000000" w:sz="4" w:space="0"/>
            </w:tcBorders>
            <w:vAlign w:val="center"/>
          </w:tcPr>
          <w:p>
            <w:pPr>
              <w:widowControl/>
              <w:tabs>
                <w:tab w:val="left" w:pos="521"/>
              </w:tabs>
              <w:jc w:val="center"/>
              <w:textAlignment w:val="center"/>
              <w:rPr>
                <w:color w:val="000000"/>
                <w:szCs w:val="21"/>
              </w:rPr>
            </w:pPr>
            <w:r>
              <w:rPr>
                <w:color w:val="000000"/>
                <w:szCs w:val="21"/>
              </w:rPr>
              <w:t>Te(%)</w:t>
            </w:r>
          </w:p>
          <w:p>
            <w:pPr>
              <w:widowControl/>
              <w:tabs>
                <w:tab w:val="left" w:pos="521"/>
              </w:tabs>
              <w:jc w:val="center"/>
              <w:textAlignment w:val="center"/>
              <w:rPr>
                <w:color w:val="000000"/>
                <w:szCs w:val="21"/>
              </w:rPr>
            </w:pPr>
            <w:r>
              <w:rPr>
                <w:color w:val="000000"/>
                <w:szCs w:val="21"/>
              </w:rPr>
              <w:t>n=12</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5.01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9.89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14.89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19.91 </w:t>
            </w:r>
          </w:p>
        </w:tc>
      </w:tr>
      <w:tr>
        <w:tblPrEx>
          <w:tblCellMar>
            <w:top w:w="15" w:type="dxa"/>
            <w:left w:w="15" w:type="dxa"/>
            <w:bottom w:w="15" w:type="dxa"/>
            <w:right w:w="15" w:type="dxa"/>
          </w:tblCellMar>
        </w:tblPrEx>
        <w:trPr>
          <w:trHeight w:val="423" w:hRule="atLeast"/>
          <w:jc w:val="center"/>
        </w:trPr>
        <w:tc>
          <w:tcPr>
            <w:tcW w:w="1467" w:type="dxa"/>
            <w:vMerge w:val="continue"/>
            <w:tcBorders>
              <w:left w:val="single" w:color="000000" w:sz="4" w:space="0"/>
              <w:right w:val="single" w:color="000000" w:sz="4" w:space="0"/>
            </w:tcBorders>
            <w:vAlign w:val="center"/>
          </w:tcPr>
          <w:p>
            <w:pPr>
              <w:widowControl/>
              <w:jc w:val="center"/>
              <w:textAlignment w:val="center"/>
              <w:rPr>
                <w:color w:val="000000"/>
                <w:szCs w:val="21"/>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5.07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9.92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14.86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19.88 </w:t>
            </w:r>
          </w:p>
        </w:tc>
      </w:tr>
      <w:tr>
        <w:tblPrEx>
          <w:tblCellMar>
            <w:top w:w="15" w:type="dxa"/>
            <w:left w:w="15" w:type="dxa"/>
            <w:bottom w:w="15" w:type="dxa"/>
            <w:right w:w="15" w:type="dxa"/>
          </w:tblCellMar>
        </w:tblPrEx>
        <w:trPr>
          <w:trHeight w:val="423" w:hRule="atLeast"/>
          <w:jc w:val="center"/>
        </w:trPr>
        <w:tc>
          <w:tcPr>
            <w:tcW w:w="1467" w:type="dxa"/>
            <w:vMerge w:val="continue"/>
            <w:tcBorders>
              <w:left w:val="single" w:color="000000" w:sz="4" w:space="0"/>
              <w:right w:val="single" w:color="000000" w:sz="4" w:space="0"/>
            </w:tcBorders>
            <w:vAlign w:val="center"/>
          </w:tcPr>
          <w:p>
            <w:pPr>
              <w:widowControl/>
              <w:jc w:val="center"/>
              <w:textAlignment w:val="center"/>
              <w:rPr>
                <w:color w:val="000000"/>
                <w:szCs w:val="21"/>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4.98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9.82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14.85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19.85 </w:t>
            </w:r>
          </w:p>
        </w:tc>
      </w:tr>
      <w:tr>
        <w:tblPrEx>
          <w:tblCellMar>
            <w:top w:w="15" w:type="dxa"/>
            <w:left w:w="15" w:type="dxa"/>
            <w:bottom w:w="15" w:type="dxa"/>
            <w:right w:w="15" w:type="dxa"/>
          </w:tblCellMar>
        </w:tblPrEx>
        <w:trPr>
          <w:trHeight w:val="423" w:hRule="atLeast"/>
          <w:jc w:val="center"/>
        </w:trPr>
        <w:tc>
          <w:tcPr>
            <w:tcW w:w="1467" w:type="dxa"/>
            <w:vMerge w:val="continue"/>
            <w:tcBorders>
              <w:left w:val="single" w:color="000000" w:sz="4" w:space="0"/>
              <w:right w:val="single" w:color="000000" w:sz="4" w:space="0"/>
            </w:tcBorders>
            <w:vAlign w:val="center"/>
          </w:tcPr>
          <w:p>
            <w:pPr>
              <w:widowControl/>
              <w:jc w:val="center"/>
              <w:textAlignment w:val="center"/>
              <w:rPr>
                <w:color w:val="000000"/>
                <w:szCs w:val="21"/>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5.00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9.84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14.84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19.76 </w:t>
            </w:r>
          </w:p>
        </w:tc>
      </w:tr>
      <w:tr>
        <w:tblPrEx>
          <w:tblCellMar>
            <w:top w:w="15" w:type="dxa"/>
            <w:left w:w="15" w:type="dxa"/>
            <w:bottom w:w="15" w:type="dxa"/>
            <w:right w:w="15" w:type="dxa"/>
          </w:tblCellMar>
        </w:tblPrEx>
        <w:trPr>
          <w:trHeight w:val="423" w:hRule="atLeast"/>
          <w:jc w:val="center"/>
        </w:trPr>
        <w:tc>
          <w:tcPr>
            <w:tcW w:w="1467" w:type="dxa"/>
            <w:vMerge w:val="continue"/>
            <w:tcBorders>
              <w:left w:val="single" w:color="000000" w:sz="4" w:space="0"/>
              <w:right w:val="single" w:color="000000" w:sz="4" w:space="0"/>
            </w:tcBorders>
            <w:vAlign w:val="center"/>
          </w:tcPr>
          <w:p>
            <w:pPr>
              <w:widowControl/>
              <w:jc w:val="center"/>
              <w:textAlignment w:val="center"/>
              <w:rPr>
                <w:color w:val="000000"/>
                <w:szCs w:val="21"/>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5.07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9.89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14.72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19.82 </w:t>
            </w:r>
          </w:p>
        </w:tc>
      </w:tr>
      <w:tr>
        <w:tblPrEx>
          <w:tblCellMar>
            <w:top w:w="15" w:type="dxa"/>
            <w:left w:w="15" w:type="dxa"/>
            <w:bottom w:w="15" w:type="dxa"/>
            <w:right w:w="15" w:type="dxa"/>
          </w:tblCellMar>
        </w:tblPrEx>
        <w:trPr>
          <w:trHeight w:val="423" w:hRule="atLeast"/>
          <w:jc w:val="center"/>
        </w:trPr>
        <w:tc>
          <w:tcPr>
            <w:tcW w:w="1467" w:type="dxa"/>
            <w:vMerge w:val="continue"/>
            <w:tcBorders>
              <w:left w:val="single" w:color="000000" w:sz="4" w:space="0"/>
              <w:right w:val="single" w:color="000000" w:sz="4" w:space="0"/>
            </w:tcBorders>
            <w:vAlign w:val="center"/>
          </w:tcPr>
          <w:p>
            <w:pPr>
              <w:widowControl/>
              <w:jc w:val="center"/>
              <w:textAlignment w:val="center"/>
              <w:rPr>
                <w:color w:val="000000"/>
                <w:szCs w:val="21"/>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4.97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9.91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14.86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19.85 </w:t>
            </w:r>
          </w:p>
        </w:tc>
      </w:tr>
      <w:tr>
        <w:tblPrEx>
          <w:tblCellMar>
            <w:top w:w="15" w:type="dxa"/>
            <w:left w:w="15" w:type="dxa"/>
            <w:bottom w:w="15" w:type="dxa"/>
            <w:right w:w="15" w:type="dxa"/>
          </w:tblCellMar>
        </w:tblPrEx>
        <w:trPr>
          <w:trHeight w:val="423" w:hRule="atLeast"/>
          <w:jc w:val="center"/>
        </w:trPr>
        <w:tc>
          <w:tcPr>
            <w:tcW w:w="1467" w:type="dxa"/>
            <w:vMerge w:val="continue"/>
            <w:tcBorders>
              <w:left w:val="single" w:color="000000" w:sz="4" w:space="0"/>
              <w:right w:val="single" w:color="000000" w:sz="4" w:space="0"/>
            </w:tcBorders>
            <w:vAlign w:val="center"/>
          </w:tcPr>
          <w:p>
            <w:pPr>
              <w:widowControl/>
              <w:jc w:val="center"/>
              <w:textAlignment w:val="center"/>
              <w:rPr>
                <w:color w:val="000000"/>
                <w:szCs w:val="21"/>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4.90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9.87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14.82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19.86 </w:t>
            </w:r>
          </w:p>
        </w:tc>
      </w:tr>
      <w:tr>
        <w:tblPrEx>
          <w:tblCellMar>
            <w:top w:w="15" w:type="dxa"/>
            <w:left w:w="15" w:type="dxa"/>
            <w:bottom w:w="15" w:type="dxa"/>
            <w:right w:w="15" w:type="dxa"/>
          </w:tblCellMar>
        </w:tblPrEx>
        <w:trPr>
          <w:trHeight w:val="423" w:hRule="atLeast"/>
          <w:jc w:val="center"/>
        </w:trPr>
        <w:tc>
          <w:tcPr>
            <w:tcW w:w="1467" w:type="dxa"/>
            <w:vMerge w:val="continue"/>
            <w:tcBorders>
              <w:left w:val="single" w:color="000000" w:sz="4" w:space="0"/>
              <w:right w:val="single" w:color="000000" w:sz="4" w:space="0"/>
            </w:tcBorders>
            <w:vAlign w:val="center"/>
          </w:tcPr>
          <w:p>
            <w:pPr>
              <w:widowControl/>
              <w:jc w:val="center"/>
              <w:textAlignment w:val="center"/>
              <w:rPr>
                <w:color w:val="000000"/>
                <w:szCs w:val="21"/>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5.05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9.79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14.97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19.97 </w:t>
            </w:r>
          </w:p>
        </w:tc>
      </w:tr>
      <w:tr>
        <w:tblPrEx>
          <w:tblCellMar>
            <w:top w:w="15" w:type="dxa"/>
            <w:left w:w="15" w:type="dxa"/>
            <w:bottom w:w="15" w:type="dxa"/>
            <w:right w:w="15" w:type="dxa"/>
          </w:tblCellMar>
        </w:tblPrEx>
        <w:trPr>
          <w:trHeight w:val="423" w:hRule="atLeast"/>
          <w:jc w:val="center"/>
        </w:trPr>
        <w:tc>
          <w:tcPr>
            <w:tcW w:w="1467" w:type="dxa"/>
            <w:vMerge w:val="continue"/>
            <w:tcBorders>
              <w:left w:val="single" w:color="000000" w:sz="4" w:space="0"/>
              <w:right w:val="single" w:color="000000" w:sz="4" w:space="0"/>
            </w:tcBorders>
            <w:vAlign w:val="center"/>
          </w:tcPr>
          <w:p>
            <w:pPr>
              <w:widowControl/>
              <w:jc w:val="center"/>
              <w:textAlignment w:val="center"/>
              <w:rPr>
                <w:color w:val="000000"/>
                <w:szCs w:val="21"/>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5.03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9.89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14.87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19.87 </w:t>
            </w:r>
          </w:p>
        </w:tc>
      </w:tr>
      <w:tr>
        <w:tblPrEx>
          <w:tblCellMar>
            <w:top w:w="15" w:type="dxa"/>
            <w:left w:w="15" w:type="dxa"/>
            <w:bottom w:w="15" w:type="dxa"/>
            <w:right w:w="15" w:type="dxa"/>
          </w:tblCellMar>
        </w:tblPrEx>
        <w:trPr>
          <w:trHeight w:val="423" w:hRule="atLeast"/>
          <w:jc w:val="center"/>
        </w:trPr>
        <w:tc>
          <w:tcPr>
            <w:tcW w:w="1467" w:type="dxa"/>
            <w:vMerge w:val="continue"/>
            <w:tcBorders>
              <w:left w:val="single" w:color="000000" w:sz="4" w:space="0"/>
              <w:right w:val="single" w:color="000000" w:sz="4" w:space="0"/>
            </w:tcBorders>
            <w:vAlign w:val="center"/>
          </w:tcPr>
          <w:p>
            <w:pPr>
              <w:widowControl/>
              <w:jc w:val="center"/>
              <w:textAlignment w:val="center"/>
              <w:rPr>
                <w:color w:val="000000"/>
                <w:szCs w:val="21"/>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5.01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9.82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14.91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19.79 </w:t>
            </w:r>
          </w:p>
        </w:tc>
      </w:tr>
      <w:tr>
        <w:tblPrEx>
          <w:tblCellMar>
            <w:top w:w="15" w:type="dxa"/>
            <w:left w:w="15" w:type="dxa"/>
            <w:bottom w:w="15" w:type="dxa"/>
            <w:right w:w="15" w:type="dxa"/>
          </w:tblCellMar>
        </w:tblPrEx>
        <w:trPr>
          <w:trHeight w:val="423" w:hRule="atLeast"/>
          <w:jc w:val="center"/>
        </w:trPr>
        <w:tc>
          <w:tcPr>
            <w:tcW w:w="1467" w:type="dxa"/>
            <w:vMerge w:val="continue"/>
            <w:tcBorders>
              <w:left w:val="single" w:color="000000" w:sz="4" w:space="0"/>
              <w:right w:val="single" w:color="000000" w:sz="4" w:space="0"/>
            </w:tcBorders>
            <w:vAlign w:val="center"/>
          </w:tcPr>
          <w:p>
            <w:pPr>
              <w:widowControl/>
              <w:jc w:val="center"/>
              <w:textAlignment w:val="center"/>
              <w:rPr>
                <w:color w:val="000000"/>
                <w:szCs w:val="21"/>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4.95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9.85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14.92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19.78 </w:t>
            </w:r>
          </w:p>
        </w:tc>
      </w:tr>
      <w:tr>
        <w:tblPrEx>
          <w:tblCellMar>
            <w:top w:w="15" w:type="dxa"/>
            <w:left w:w="15" w:type="dxa"/>
            <w:bottom w:w="15" w:type="dxa"/>
            <w:right w:w="15" w:type="dxa"/>
          </w:tblCellMar>
        </w:tblPrEx>
        <w:trPr>
          <w:trHeight w:val="423" w:hRule="atLeast"/>
          <w:jc w:val="center"/>
        </w:trPr>
        <w:tc>
          <w:tcPr>
            <w:tcW w:w="1467" w:type="dxa"/>
            <w:vMerge w:val="continue"/>
            <w:tcBorders>
              <w:left w:val="single" w:color="000000" w:sz="4" w:space="0"/>
              <w:right w:val="single" w:color="000000" w:sz="4" w:space="0"/>
            </w:tcBorders>
            <w:vAlign w:val="center"/>
          </w:tcPr>
          <w:p>
            <w:pPr>
              <w:widowControl/>
              <w:jc w:val="center"/>
              <w:textAlignment w:val="center"/>
              <w:rPr>
                <w:color w:val="000000"/>
                <w:szCs w:val="21"/>
              </w:rPr>
            </w:pP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4.86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9.91 </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14.85 </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 xml:space="preserve">19.86 </w:t>
            </w:r>
          </w:p>
        </w:tc>
      </w:tr>
      <w:tr>
        <w:tblPrEx>
          <w:tblCellMar>
            <w:top w:w="15" w:type="dxa"/>
            <w:left w:w="15" w:type="dxa"/>
            <w:bottom w:w="15" w:type="dxa"/>
            <w:right w:w="15" w:type="dxa"/>
          </w:tblCellMar>
        </w:tblPrEx>
        <w:trPr>
          <w:trHeight w:val="423" w:hRule="atLeast"/>
          <w:jc w:val="center"/>
        </w:trPr>
        <w:tc>
          <w:tcPr>
            <w:tcW w:w="1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lang w:bidi="ar"/>
              </w:rPr>
              <w:t>平均值</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4.99</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9.87</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14.86</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19.85</w:t>
            </w:r>
          </w:p>
        </w:tc>
      </w:tr>
      <w:tr>
        <w:tblPrEx>
          <w:tblCellMar>
            <w:top w:w="15" w:type="dxa"/>
            <w:left w:w="15" w:type="dxa"/>
            <w:bottom w:w="15" w:type="dxa"/>
            <w:right w:w="15" w:type="dxa"/>
          </w:tblCellMar>
        </w:tblPrEx>
        <w:trPr>
          <w:trHeight w:val="423" w:hRule="atLeast"/>
          <w:jc w:val="center"/>
        </w:trPr>
        <w:tc>
          <w:tcPr>
            <w:tcW w:w="146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color w:val="000000"/>
                <w:kern w:val="0"/>
                <w:szCs w:val="21"/>
                <w:lang w:bidi="ar"/>
              </w:rPr>
            </w:pPr>
            <w:r>
              <w:rPr>
                <w:color w:val="000000"/>
                <w:kern w:val="0"/>
                <w:szCs w:val="21"/>
                <w:lang w:bidi="ar"/>
              </w:rPr>
              <w:t>标准偏差（%）</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0.064</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0.041</w:t>
            </w:r>
          </w:p>
        </w:tc>
        <w:tc>
          <w:tcPr>
            <w:tcW w:w="17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0.60</w:t>
            </w:r>
          </w:p>
        </w:tc>
        <w:tc>
          <w:tcPr>
            <w:tcW w:w="1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lang w:bidi="ar"/>
              </w:rPr>
            </w:pPr>
            <w:r>
              <w:rPr>
                <w:color w:val="000000"/>
                <w:kern w:val="0"/>
                <w:szCs w:val="21"/>
                <w:lang w:bidi="ar"/>
              </w:rPr>
              <w:t>0.059</w:t>
            </w:r>
          </w:p>
        </w:tc>
      </w:tr>
      <w:tr>
        <w:tblPrEx>
          <w:tblCellMar>
            <w:top w:w="15" w:type="dxa"/>
            <w:left w:w="15" w:type="dxa"/>
            <w:bottom w:w="15" w:type="dxa"/>
            <w:right w:w="15" w:type="dxa"/>
          </w:tblCellMar>
        </w:tblPrEx>
        <w:trPr>
          <w:trHeight w:val="444" w:hRule="atLeast"/>
          <w:jc w:val="center"/>
        </w:trPr>
        <w:tc>
          <w:tcPr>
            <w:tcW w:w="14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lang w:bidi="ar"/>
              </w:rPr>
              <w:t>RSD%</w:t>
            </w:r>
          </w:p>
        </w:tc>
        <w:tc>
          <w:tcPr>
            <w:tcW w:w="1764"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color w:val="000000"/>
                <w:kern w:val="0"/>
                <w:szCs w:val="21"/>
                <w:lang w:bidi="ar"/>
              </w:rPr>
            </w:pPr>
            <w:r>
              <w:rPr>
                <w:color w:val="000000"/>
                <w:kern w:val="0"/>
                <w:szCs w:val="21"/>
                <w:lang w:bidi="ar"/>
              </w:rPr>
              <w:t>1.28</w:t>
            </w:r>
          </w:p>
        </w:tc>
        <w:tc>
          <w:tcPr>
            <w:tcW w:w="1764"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color w:val="000000"/>
                <w:kern w:val="0"/>
                <w:szCs w:val="21"/>
                <w:lang w:bidi="ar"/>
              </w:rPr>
            </w:pPr>
            <w:r>
              <w:rPr>
                <w:color w:val="000000"/>
                <w:kern w:val="0"/>
                <w:szCs w:val="21"/>
                <w:lang w:bidi="ar"/>
              </w:rPr>
              <w:t>0.42</w:t>
            </w:r>
          </w:p>
        </w:tc>
        <w:tc>
          <w:tcPr>
            <w:tcW w:w="1764"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color w:val="000000"/>
                <w:kern w:val="0"/>
                <w:szCs w:val="21"/>
                <w:lang w:bidi="ar"/>
              </w:rPr>
            </w:pPr>
            <w:r>
              <w:rPr>
                <w:color w:val="000000"/>
                <w:kern w:val="0"/>
                <w:szCs w:val="21"/>
                <w:lang w:bidi="ar"/>
              </w:rPr>
              <w:t>0.40</w:t>
            </w:r>
          </w:p>
        </w:tc>
        <w:tc>
          <w:tcPr>
            <w:tcW w:w="176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color w:val="000000"/>
                <w:kern w:val="0"/>
                <w:szCs w:val="21"/>
                <w:lang w:bidi="ar"/>
              </w:rPr>
            </w:pPr>
            <w:r>
              <w:rPr>
                <w:color w:val="000000"/>
                <w:kern w:val="0"/>
                <w:szCs w:val="21"/>
                <w:lang w:bidi="ar"/>
              </w:rPr>
              <w:t>0.30</w:t>
            </w:r>
          </w:p>
        </w:tc>
      </w:tr>
    </w:tbl>
    <w:p>
      <w:pPr>
        <w:rPr>
          <w:szCs w:val="21"/>
        </w:rPr>
      </w:pPr>
      <w:r>
        <w:rPr>
          <w:rFonts w:hint="eastAsia"/>
          <w:szCs w:val="21"/>
        </w:rPr>
        <w:t xml:space="preserve">                             </w:t>
      </w:r>
    </w:p>
    <w:p>
      <w:pPr>
        <w:ind w:firstLine="2520" w:firstLineChars="1200"/>
        <w:rPr>
          <w:szCs w:val="21"/>
        </w:rPr>
      </w:pPr>
      <w:r>
        <w:rPr>
          <w:rFonts w:hint="eastAsia"/>
          <w:szCs w:val="21"/>
        </w:rPr>
        <w:t xml:space="preserve">  </w:t>
      </w:r>
    </w:p>
    <w:p>
      <w:pPr>
        <w:ind w:firstLine="2520" w:firstLineChars="1200"/>
        <w:rPr>
          <w:szCs w:val="21"/>
        </w:rPr>
      </w:pPr>
      <w:r>
        <w:rPr>
          <w:rFonts w:hint="eastAsia"/>
          <w:szCs w:val="21"/>
        </w:rPr>
        <w:t>表13 山西北方铜业股份有限公司验证数据</w:t>
      </w:r>
    </w:p>
    <w:tbl>
      <w:tblPr>
        <w:tblStyle w:val="23"/>
        <w:tblW w:w="852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915"/>
        <w:gridCol w:w="1749"/>
        <w:gridCol w:w="1749"/>
        <w:gridCol w:w="1749"/>
        <w:gridCol w:w="1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6" w:type="dxa"/>
            <w:gridSpan w:val="2"/>
            <w:vAlign w:val="center"/>
          </w:tcPr>
          <w:p>
            <w:pPr>
              <w:jc w:val="center"/>
              <w:rPr>
                <w:szCs w:val="21"/>
              </w:rPr>
            </w:pPr>
            <w:r>
              <w:rPr>
                <w:rFonts w:hint="eastAsia"/>
                <w:szCs w:val="21"/>
              </w:rPr>
              <w:t>样品编号</w:t>
            </w:r>
          </w:p>
        </w:tc>
        <w:tc>
          <w:tcPr>
            <w:tcW w:w="1749" w:type="dxa"/>
            <w:vAlign w:val="center"/>
          </w:tcPr>
          <w:p>
            <w:pPr>
              <w:jc w:val="center"/>
              <w:rPr>
                <w:color w:val="000000"/>
                <w:szCs w:val="21"/>
              </w:rPr>
            </w:pPr>
            <w:r>
              <w:rPr>
                <w:rFonts w:hint="eastAsia"/>
                <w:color w:val="000000"/>
                <w:szCs w:val="21"/>
              </w:rPr>
              <w:t>水平1</w:t>
            </w:r>
          </w:p>
        </w:tc>
        <w:tc>
          <w:tcPr>
            <w:tcW w:w="1749" w:type="dxa"/>
            <w:vAlign w:val="center"/>
          </w:tcPr>
          <w:p>
            <w:pPr>
              <w:jc w:val="center"/>
              <w:rPr>
                <w:rFonts w:ascii="宋体" w:hAnsi="宋体" w:cs="宋体"/>
                <w:szCs w:val="21"/>
              </w:rPr>
            </w:pPr>
            <w:r>
              <w:rPr>
                <w:rFonts w:hint="eastAsia" w:ascii="宋体" w:hAnsi="宋体" w:cs="宋体"/>
                <w:szCs w:val="21"/>
              </w:rPr>
              <w:t>水平2</w:t>
            </w:r>
          </w:p>
        </w:tc>
        <w:tc>
          <w:tcPr>
            <w:tcW w:w="1749" w:type="dxa"/>
            <w:vAlign w:val="center"/>
          </w:tcPr>
          <w:p>
            <w:pPr>
              <w:jc w:val="center"/>
              <w:rPr>
                <w:rFonts w:ascii="宋体" w:hAnsi="宋体" w:cs="宋体"/>
                <w:szCs w:val="21"/>
              </w:rPr>
            </w:pPr>
            <w:r>
              <w:rPr>
                <w:rFonts w:hint="eastAsia" w:ascii="宋体" w:hAnsi="宋体" w:cs="宋体"/>
                <w:szCs w:val="21"/>
              </w:rPr>
              <w:t>水平3</w:t>
            </w:r>
          </w:p>
        </w:tc>
        <w:tc>
          <w:tcPr>
            <w:tcW w:w="1749" w:type="dxa"/>
            <w:vAlign w:val="center"/>
          </w:tcPr>
          <w:p>
            <w:pPr>
              <w:jc w:val="center"/>
              <w:rPr>
                <w:rFonts w:ascii="宋体" w:hAnsi="宋体" w:cs="宋体"/>
                <w:szCs w:val="21"/>
              </w:rPr>
            </w:pPr>
            <w:r>
              <w:rPr>
                <w:rFonts w:hint="eastAsia" w:ascii="宋体" w:hAnsi="宋体" w:cs="宋体"/>
                <w:szCs w:val="21"/>
              </w:rPr>
              <w:t>水平4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11" w:type="dxa"/>
            <w:vMerge w:val="restart"/>
            <w:vAlign w:val="center"/>
          </w:tcPr>
          <w:p>
            <w:pPr>
              <w:jc w:val="center"/>
              <w:rPr>
                <w:szCs w:val="21"/>
              </w:rPr>
            </w:pPr>
            <w:r>
              <w:rPr>
                <w:rFonts w:hint="eastAsia"/>
                <w:szCs w:val="21"/>
              </w:rPr>
              <w:t>测试结果</w:t>
            </w:r>
          </w:p>
          <w:p>
            <w:pPr>
              <w:jc w:val="center"/>
              <w:rPr>
                <w:szCs w:val="21"/>
              </w:rPr>
            </w:pPr>
            <w:r>
              <w:rPr>
                <w:rFonts w:hint="eastAsia"/>
                <w:szCs w:val="21"/>
              </w:rPr>
              <w:t>%</w:t>
            </w:r>
          </w:p>
        </w:tc>
        <w:tc>
          <w:tcPr>
            <w:tcW w:w="915" w:type="dxa"/>
            <w:vAlign w:val="center"/>
          </w:tcPr>
          <w:p>
            <w:pPr>
              <w:jc w:val="center"/>
              <w:rPr>
                <w:szCs w:val="21"/>
              </w:rPr>
            </w:pPr>
            <w:r>
              <w:rPr>
                <w:rFonts w:hint="eastAsia"/>
                <w:szCs w:val="21"/>
              </w:rPr>
              <w:t>1</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5.08</w:t>
            </w:r>
          </w:p>
        </w:tc>
        <w:tc>
          <w:tcPr>
            <w:tcW w:w="1749" w:type="dxa"/>
            <w:vAlign w:val="center"/>
          </w:tcPr>
          <w:p>
            <w:pPr>
              <w:jc w:val="center"/>
              <w:rPr>
                <w:rFonts w:ascii="宋体" w:hAnsi="宋体" w:cs="宋体"/>
                <w:szCs w:val="21"/>
              </w:rPr>
            </w:pPr>
            <w:r>
              <w:rPr>
                <w:rFonts w:hint="eastAsia" w:ascii="宋体" w:hAnsi="宋体" w:cs="宋体"/>
                <w:szCs w:val="21"/>
              </w:rPr>
              <w:t>9.87</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14.88</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19.85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11" w:type="dxa"/>
            <w:vMerge w:val="continue"/>
            <w:vAlign w:val="center"/>
          </w:tcPr>
          <w:p>
            <w:pPr>
              <w:jc w:val="center"/>
              <w:rPr>
                <w:szCs w:val="21"/>
              </w:rPr>
            </w:pPr>
          </w:p>
        </w:tc>
        <w:tc>
          <w:tcPr>
            <w:tcW w:w="915" w:type="dxa"/>
            <w:vAlign w:val="center"/>
          </w:tcPr>
          <w:p>
            <w:pPr>
              <w:jc w:val="center"/>
              <w:rPr>
                <w:szCs w:val="21"/>
              </w:rPr>
            </w:pPr>
            <w:r>
              <w:rPr>
                <w:rFonts w:hint="eastAsia"/>
                <w:szCs w:val="21"/>
              </w:rPr>
              <w:t>2</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5.12</w:t>
            </w:r>
          </w:p>
        </w:tc>
        <w:tc>
          <w:tcPr>
            <w:tcW w:w="1749" w:type="dxa"/>
            <w:vAlign w:val="center"/>
          </w:tcPr>
          <w:p>
            <w:pPr>
              <w:jc w:val="center"/>
              <w:rPr>
                <w:rFonts w:ascii="宋体" w:hAnsi="宋体" w:cs="宋体"/>
                <w:szCs w:val="21"/>
              </w:rPr>
            </w:pPr>
            <w:r>
              <w:rPr>
                <w:rFonts w:hint="eastAsia" w:ascii="宋体" w:hAnsi="宋体" w:cs="宋体"/>
                <w:szCs w:val="21"/>
              </w:rPr>
              <w:t>10.00</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14.90</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19.95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11" w:type="dxa"/>
            <w:vMerge w:val="continue"/>
            <w:vAlign w:val="center"/>
          </w:tcPr>
          <w:p>
            <w:pPr>
              <w:jc w:val="center"/>
              <w:rPr>
                <w:szCs w:val="21"/>
              </w:rPr>
            </w:pPr>
          </w:p>
        </w:tc>
        <w:tc>
          <w:tcPr>
            <w:tcW w:w="915" w:type="dxa"/>
            <w:vAlign w:val="center"/>
          </w:tcPr>
          <w:p>
            <w:pPr>
              <w:jc w:val="center"/>
              <w:rPr>
                <w:szCs w:val="21"/>
              </w:rPr>
            </w:pPr>
            <w:r>
              <w:rPr>
                <w:rFonts w:hint="eastAsia"/>
                <w:szCs w:val="21"/>
              </w:rPr>
              <w:t>3</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5.08</w:t>
            </w:r>
          </w:p>
        </w:tc>
        <w:tc>
          <w:tcPr>
            <w:tcW w:w="1749" w:type="dxa"/>
            <w:vAlign w:val="center"/>
          </w:tcPr>
          <w:p>
            <w:pPr>
              <w:jc w:val="center"/>
              <w:rPr>
                <w:rFonts w:ascii="宋体" w:hAnsi="宋体" w:cs="宋体"/>
                <w:szCs w:val="21"/>
              </w:rPr>
            </w:pPr>
            <w:r>
              <w:rPr>
                <w:rFonts w:hint="eastAsia" w:ascii="宋体" w:hAnsi="宋体" w:cs="宋体"/>
                <w:szCs w:val="21"/>
              </w:rPr>
              <w:t>9.91</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14.96</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19.93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11" w:type="dxa"/>
            <w:vMerge w:val="continue"/>
            <w:vAlign w:val="center"/>
          </w:tcPr>
          <w:p>
            <w:pPr>
              <w:jc w:val="center"/>
              <w:rPr>
                <w:szCs w:val="21"/>
              </w:rPr>
            </w:pPr>
          </w:p>
        </w:tc>
        <w:tc>
          <w:tcPr>
            <w:tcW w:w="915" w:type="dxa"/>
            <w:vAlign w:val="center"/>
          </w:tcPr>
          <w:p>
            <w:pPr>
              <w:jc w:val="center"/>
              <w:rPr>
                <w:szCs w:val="21"/>
              </w:rPr>
            </w:pPr>
            <w:r>
              <w:rPr>
                <w:rFonts w:hint="eastAsia"/>
                <w:szCs w:val="21"/>
              </w:rPr>
              <w:t>4</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5.06</w:t>
            </w:r>
          </w:p>
        </w:tc>
        <w:tc>
          <w:tcPr>
            <w:tcW w:w="1749" w:type="dxa"/>
            <w:vAlign w:val="center"/>
          </w:tcPr>
          <w:p>
            <w:pPr>
              <w:jc w:val="center"/>
              <w:rPr>
                <w:rFonts w:ascii="宋体" w:hAnsi="宋体" w:cs="宋体"/>
                <w:szCs w:val="21"/>
              </w:rPr>
            </w:pPr>
            <w:r>
              <w:rPr>
                <w:rFonts w:hint="eastAsia" w:ascii="宋体" w:hAnsi="宋体" w:cs="宋体"/>
                <w:szCs w:val="21"/>
              </w:rPr>
              <w:t>9.88</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14.88</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19.79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11" w:type="dxa"/>
            <w:vMerge w:val="continue"/>
            <w:vAlign w:val="center"/>
          </w:tcPr>
          <w:p>
            <w:pPr>
              <w:jc w:val="center"/>
              <w:rPr>
                <w:szCs w:val="21"/>
              </w:rPr>
            </w:pPr>
          </w:p>
        </w:tc>
        <w:tc>
          <w:tcPr>
            <w:tcW w:w="915" w:type="dxa"/>
            <w:vAlign w:val="center"/>
          </w:tcPr>
          <w:p>
            <w:pPr>
              <w:jc w:val="center"/>
              <w:rPr>
                <w:szCs w:val="21"/>
              </w:rPr>
            </w:pPr>
            <w:r>
              <w:rPr>
                <w:rFonts w:hint="eastAsia"/>
                <w:szCs w:val="21"/>
              </w:rPr>
              <w:t>5</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5.15</w:t>
            </w:r>
          </w:p>
        </w:tc>
        <w:tc>
          <w:tcPr>
            <w:tcW w:w="1749" w:type="dxa"/>
            <w:vAlign w:val="center"/>
          </w:tcPr>
          <w:p>
            <w:pPr>
              <w:jc w:val="center"/>
              <w:rPr>
                <w:rFonts w:ascii="宋体" w:hAnsi="宋体" w:cs="宋体"/>
                <w:szCs w:val="21"/>
              </w:rPr>
            </w:pPr>
            <w:r>
              <w:rPr>
                <w:rFonts w:hint="eastAsia" w:ascii="宋体" w:hAnsi="宋体" w:cs="宋体"/>
                <w:szCs w:val="21"/>
              </w:rPr>
              <w:t>9.86</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14.90</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19.92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11" w:type="dxa"/>
            <w:vMerge w:val="continue"/>
            <w:vAlign w:val="center"/>
          </w:tcPr>
          <w:p>
            <w:pPr>
              <w:jc w:val="center"/>
              <w:rPr>
                <w:szCs w:val="21"/>
              </w:rPr>
            </w:pPr>
          </w:p>
        </w:tc>
        <w:tc>
          <w:tcPr>
            <w:tcW w:w="915" w:type="dxa"/>
            <w:vAlign w:val="center"/>
          </w:tcPr>
          <w:p>
            <w:pPr>
              <w:jc w:val="center"/>
              <w:rPr>
                <w:szCs w:val="21"/>
              </w:rPr>
            </w:pPr>
            <w:r>
              <w:rPr>
                <w:rFonts w:hint="eastAsia"/>
                <w:szCs w:val="21"/>
              </w:rPr>
              <w:t>6</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5.07</w:t>
            </w:r>
          </w:p>
        </w:tc>
        <w:tc>
          <w:tcPr>
            <w:tcW w:w="1749" w:type="dxa"/>
            <w:vAlign w:val="center"/>
          </w:tcPr>
          <w:p>
            <w:pPr>
              <w:jc w:val="center"/>
              <w:rPr>
                <w:rFonts w:ascii="宋体" w:hAnsi="宋体" w:cs="宋体"/>
                <w:szCs w:val="21"/>
              </w:rPr>
            </w:pPr>
            <w:r>
              <w:rPr>
                <w:rFonts w:hint="eastAsia" w:ascii="宋体" w:hAnsi="宋体" w:cs="宋体"/>
                <w:szCs w:val="21"/>
              </w:rPr>
              <w:t>9.92</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14.82</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19.86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11" w:type="dxa"/>
            <w:vMerge w:val="continue"/>
            <w:vAlign w:val="center"/>
          </w:tcPr>
          <w:p>
            <w:pPr>
              <w:jc w:val="center"/>
              <w:rPr>
                <w:szCs w:val="21"/>
              </w:rPr>
            </w:pPr>
          </w:p>
        </w:tc>
        <w:tc>
          <w:tcPr>
            <w:tcW w:w="915" w:type="dxa"/>
            <w:vAlign w:val="center"/>
          </w:tcPr>
          <w:p>
            <w:pPr>
              <w:jc w:val="center"/>
              <w:rPr>
                <w:szCs w:val="21"/>
              </w:rPr>
            </w:pPr>
            <w:r>
              <w:rPr>
                <w:rFonts w:hint="eastAsia"/>
                <w:szCs w:val="21"/>
              </w:rPr>
              <w:t>7</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5.10</w:t>
            </w:r>
          </w:p>
        </w:tc>
        <w:tc>
          <w:tcPr>
            <w:tcW w:w="1749" w:type="dxa"/>
            <w:vAlign w:val="center"/>
          </w:tcPr>
          <w:p>
            <w:pPr>
              <w:jc w:val="center"/>
              <w:rPr>
                <w:rFonts w:ascii="宋体" w:hAnsi="宋体" w:cs="宋体"/>
                <w:szCs w:val="21"/>
              </w:rPr>
            </w:pPr>
            <w:r>
              <w:rPr>
                <w:rFonts w:hint="eastAsia" w:ascii="宋体" w:hAnsi="宋体" w:cs="宋体"/>
                <w:szCs w:val="21"/>
              </w:rPr>
              <w:t>9.85</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14.82</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19.90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11" w:type="dxa"/>
            <w:vMerge w:val="continue"/>
            <w:vAlign w:val="center"/>
          </w:tcPr>
          <w:p>
            <w:pPr>
              <w:jc w:val="center"/>
              <w:rPr>
                <w:szCs w:val="21"/>
              </w:rPr>
            </w:pPr>
          </w:p>
        </w:tc>
        <w:tc>
          <w:tcPr>
            <w:tcW w:w="915" w:type="dxa"/>
            <w:vAlign w:val="center"/>
          </w:tcPr>
          <w:p>
            <w:pPr>
              <w:jc w:val="center"/>
              <w:rPr>
                <w:szCs w:val="21"/>
              </w:rPr>
            </w:pPr>
            <w:r>
              <w:rPr>
                <w:rFonts w:hint="eastAsia"/>
                <w:szCs w:val="21"/>
              </w:rPr>
              <w:t>平均值%</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5.09</w:t>
            </w:r>
          </w:p>
        </w:tc>
        <w:tc>
          <w:tcPr>
            <w:tcW w:w="1749" w:type="dxa"/>
            <w:vAlign w:val="center"/>
          </w:tcPr>
          <w:p>
            <w:pPr>
              <w:widowControl/>
              <w:jc w:val="center"/>
              <w:textAlignment w:val="center"/>
              <w:rPr>
                <w:rFonts w:ascii="宋体" w:hAnsi="宋体" w:cs="宋体"/>
                <w:szCs w:val="21"/>
              </w:rPr>
            </w:pPr>
            <w:r>
              <w:rPr>
                <w:rFonts w:hint="eastAsia" w:ascii="宋体" w:hAnsi="宋体" w:cs="宋体"/>
                <w:szCs w:val="21"/>
              </w:rPr>
              <w:t>9.90</w:t>
            </w:r>
          </w:p>
        </w:tc>
        <w:tc>
          <w:tcPr>
            <w:tcW w:w="1749" w:type="dxa"/>
            <w:vAlign w:val="center"/>
          </w:tcPr>
          <w:p>
            <w:pPr>
              <w:widowControl/>
              <w:jc w:val="center"/>
              <w:textAlignment w:val="center"/>
              <w:rPr>
                <w:rFonts w:ascii="宋体" w:hAnsi="宋体" w:cs="宋体"/>
                <w:szCs w:val="21"/>
              </w:rPr>
            </w:pPr>
            <w:r>
              <w:rPr>
                <w:rFonts w:hint="eastAsia" w:ascii="宋体" w:hAnsi="宋体" w:cs="宋体"/>
                <w:szCs w:val="21"/>
              </w:rPr>
              <w:t>14.88</w:t>
            </w:r>
          </w:p>
        </w:tc>
        <w:tc>
          <w:tcPr>
            <w:tcW w:w="1749" w:type="dxa"/>
            <w:vAlign w:val="center"/>
          </w:tcPr>
          <w:p>
            <w:pPr>
              <w:widowControl/>
              <w:jc w:val="center"/>
              <w:textAlignment w:val="center"/>
              <w:rPr>
                <w:rFonts w:ascii="宋体" w:hAnsi="宋体" w:cs="宋体"/>
                <w:szCs w:val="21"/>
              </w:rPr>
            </w:pPr>
            <w:r>
              <w:rPr>
                <w:rFonts w:hint="eastAsia" w:ascii="宋体" w:hAnsi="宋体" w:cs="宋体"/>
                <w:szCs w:val="21"/>
              </w:rPr>
              <w:t>19.89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11" w:type="dxa"/>
            <w:vMerge w:val="continue"/>
            <w:vAlign w:val="center"/>
          </w:tcPr>
          <w:p>
            <w:pPr>
              <w:jc w:val="center"/>
              <w:rPr>
                <w:szCs w:val="21"/>
              </w:rPr>
            </w:pPr>
          </w:p>
        </w:tc>
        <w:tc>
          <w:tcPr>
            <w:tcW w:w="915" w:type="dxa"/>
            <w:vAlign w:val="center"/>
          </w:tcPr>
          <w:p>
            <w:pPr>
              <w:jc w:val="center"/>
              <w:rPr>
                <w:szCs w:val="21"/>
              </w:rPr>
            </w:pPr>
            <w:r>
              <w:rPr>
                <w:rFonts w:hint="eastAsia"/>
                <w:szCs w:val="21"/>
              </w:rPr>
              <w:t>SD%</w:t>
            </w:r>
          </w:p>
        </w:tc>
        <w:tc>
          <w:tcPr>
            <w:tcW w:w="1749" w:type="dxa"/>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3.15</w:t>
            </w:r>
          </w:p>
        </w:tc>
        <w:tc>
          <w:tcPr>
            <w:tcW w:w="1749" w:type="dxa"/>
            <w:vAlign w:val="center"/>
          </w:tcPr>
          <w:p>
            <w:pPr>
              <w:widowControl/>
              <w:jc w:val="center"/>
              <w:textAlignment w:val="center"/>
              <w:rPr>
                <w:rFonts w:ascii="宋体" w:hAnsi="宋体" w:cs="宋体"/>
                <w:szCs w:val="21"/>
              </w:rPr>
            </w:pPr>
            <w:r>
              <w:rPr>
                <w:rFonts w:hint="eastAsia" w:ascii="宋体" w:hAnsi="宋体" w:cs="宋体"/>
                <w:szCs w:val="21"/>
              </w:rPr>
              <w:t>5.15</w:t>
            </w:r>
          </w:p>
        </w:tc>
        <w:tc>
          <w:tcPr>
            <w:tcW w:w="1749" w:type="dxa"/>
            <w:vAlign w:val="center"/>
          </w:tcPr>
          <w:p>
            <w:pPr>
              <w:widowControl/>
              <w:jc w:val="center"/>
              <w:textAlignment w:val="center"/>
              <w:rPr>
                <w:rFonts w:ascii="宋体" w:hAnsi="宋体" w:cs="宋体"/>
                <w:szCs w:val="21"/>
              </w:rPr>
            </w:pPr>
            <w:r>
              <w:rPr>
                <w:rFonts w:hint="eastAsia" w:ascii="宋体" w:hAnsi="宋体" w:cs="宋体"/>
                <w:szCs w:val="21"/>
              </w:rPr>
              <w:t>4.90</w:t>
            </w:r>
          </w:p>
        </w:tc>
        <w:tc>
          <w:tcPr>
            <w:tcW w:w="1749" w:type="dxa"/>
            <w:vAlign w:val="center"/>
          </w:tcPr>
          <w:p>
            <w:pPr>
              <w:widowControl/>
              <w:jc w:val="center"/>
              <w:textAlignment w:val="center"/>
              <w:rPr>
                <w:rFonts w:ascii="宋体" w:hAnsi="宋体" w:cs="宋体"/>
                <w:szCs w:val="21"/>
              </w:rPr>
            </w:pPr>
            <w:r>
              <w:rPr>
                <w:rFonts w:hint="eastAsia" w:ascii="宋体" w:hAnsi="宋体" w:cs="宋体"/>
                <w:szCs w:val="21"/>
              </w:rPr>
              <w:t>5.56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11" w:type="dxa"/>
            <w:vMerge w:val="continue"/>
            <w:vAlign w:val="center"/>
          </w:tcPr>
          <w:p>
            <w:pPr>
              <w:jc w:val="center"/>
              <w:rPr>
                <w:szCs w:val="21"/>
              </w:rPr>
            </w:pPr>
          </w:p>
        </w:tc>
        <w:tc>
          <w:tcPr>
            <w:tcW w:w="915" w:type="dxa"/>
            <w:vAlign w:val="center"/>
          </w:tcPr>
          <w:p>
            <w:pPr>
              <w:jc w:val="center"/>
              <w:rPr>
                <w:szCs w:val="21"/>
              </w:rPr>
            </w:pPr>
            <w:r>
              <w:rPr>
                <w:rFonts w:hint="eastAsia"/>
                <w:szCs w:val="21"/>
              </w:rPr>
              <w:t>RSD%</w:t>
            </w:r>
          </w:p>
        </w:tc>
        <w:tc>
          <w:tcPr>
            <w:tcW w:w="1749" w:type="dxa"/>
            <w:vAlign w:val="center"/>
          </w:tcPr>
          <w:p>
            <w:pPr>
              <w:jc w:val="center"/>
              <w:rPr>
                <w:rFonts w:ascii="宋体" w:hAnsi="宋体" w:cs="宋体"/>
                <w:szCs w:val="21"/>
              </w:rPr>
            </w:pPr>
            <w:r>
              <w:rPr>
                <w:rFonts w:hint="eastAsia" w:ascii="宋体" w:hAnsi="宋体" w:cs="宋体"/>
                <w:szCs w:val="21"/>
              </w:rPr>
              <w:t>0.62</w:t>
            </w:r>
          </w:p>
        </w:tc>
        <w:tc>
          <w:tcPr>
            <w:tcW w:w="1749" w:type="dxa"/>
            <w:vAlign w:val="center"/>
          </w:tcPr>
          <w:p>
            <w:pPr>
              <w:jc w:val="center"/>
              <w:rPr>
                <w:rFonts w:ascii="宋体" w:hAnsi="宋体" w:cs="宋体"/>
                <w:szCs w:val="21"/>
              </w:rPr>
            </w:pPr>
            <w:r>
              <w:rPr>
                <w:rFonts w:hint="eastAsia" w:ascii="宋体" w:hAnsi="宋体" w:cs="宋体"/>
                <w:szCs w:val="21"/>
              </w:rPr>
              <w:t>0.52</w:t>
            </w:r>
          </w:p>
        </w:tc>
        <w:tc>
          <w:tcPr>
            <w:tcW w:w="1749" w:type="dxa"/>
            <w:vAlign w:val="center"/>
          </w:tcPr>
          <w:p>
            <w:pPr>
              <w:jc w:val="center"/>
              <w:rPr>
                <w:rFonts w:ascii="宋体" w:hAnsi="宋体" w:cs="宋体"/>
                <w:szCs w:val="21"/>
              </w:rPr>
            </w:pPr>
            <w:r>
              <w:rPr>
                <w:rFonts w:hint="eastAsia" w:ascii="宋体" w:hAnsi="宋体" w:cs="宋体"/>
                <w:szCs w:val="21"/>
              </w:rPr>
              <w:t>0.33</w:t>
            </w:r>
          </w:p>
        </w:tc>
        <w:tc>
          <w:tcPr>
            <w:tcW w:w="1749" w:type="dxa"/>
            <w:vAlign w:val="center"/>
          </w:tcPr>
          <w:p>
            <w:pPr>
              <w:jc w:val="center"/>
              <w:rPr>
                <w:rFonts w:ascii="宋体" w:hAnsi="宋体" w:cs="宋体"/>
                <w:szCs w:val="21"/>
              </w:rPr>
            </w:pPr>
            <w:r>
              <w:rPr>
                <w:rFonts w:hint="eastAsia" w:ascii="宋体" w:hAnsi="宋体" w:cs="宋体"/>
                <w:szCs w:val="21"/>
              </w:rPr>
              <w:t>0.28</w:t>
            </w:r>
          </w:p>
        </w:tc>
      </w:tr>
    </w:tbl>
    <w:p>
      <w:pPr>
        <w:rPr>
          <w:szCs w:val="21"/>
        </w:rPr>
      </w:pPr>
      <w:r>
        <w:rPr>
          <w:szCs w:val="21"/>
        </w:rPr>
        <w:t xml:space="preserve">    </w:t>
      </w:r>
    </w:p>
    <w:p>
      <w:pPr>
        <w:rPr>
          <w:szCs w:val="21"/>
        </w:rPr>
      </w:pPr>
      <w:r>
        <w:rPr>
          <w:szCs w:val="21"/>
        </w:rPr>
        <w:t xml:space="preserve">                        表</w:t>
      </w:r>
      <w:r>
        <w:rPr>
          <w:rFonts w:hint="eastAsia"/>
          <w:szCs w:val="21"/>
        </w:rPr>
        <w:t>14 中国有色桂林矿产地质研究院有限公司验证数据</w:t>
      </w:r>
    </w:p>
    <w:tbl>
      <w:tblPr>
        <w:tblStyle w:val="23"/>
        <w:tblW w:w="5086" w:type="pct"/>
        <w:tblInd w:w="137" w:type="dxa"/>
        <w:tblLayout w:type="fixed"/>
        <w:tblCellMar>
          <w:top w:w="0" w:type="dxa"/>
          <w:left w:w="108" w:type="dxa"/>
          <w:bottom w:w="0" w:type="dxa"/>
          <w:right w:w="108" w:type="dxa"/>
        </w:tblCellMar>
      </w:tblPr>
      <w:tblGrid>
        <w:gridCol w:w="1731"/>
        <w:gridCol w:w="1434"/>
        <w:gridCol w:w="1652"/>
        <w:gridCol w:w="1789"/>
        <w:gridCol w:w="2063"/>
      </w:tblGrid>
      <w:tr>
        <w:tblPrEx>
          <w:tblCellMar>
            <w:top w:w="0" w:type="dxa"/>
            <w:left w:w="108" w:type="dxa"/>
            <w:bottom w:w="0" w:type="dxa"/>
            <w:right w:w="108" w:type="dxa"/>
          </w:tblCellMar>
        </w:tblPrEx>
        <w:trPr>
          <w:trHeight w:val="823" w:hRule="atLeast"/>
        </w:trPr>
        <w:tc>
          <w:tcPr>
            <w:tcW w:w="9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试样</w:t>
            </w:r>
          </w:p>
        </w:tc>
        <w:tc>
          <w:tcPr>
            <w:tcW w:w="827" w:type="pct"/>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szCs w:val="21"/>
              </w:rPr>
              <w:t>1#</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rFonts w:hint="eastAsia"/>
                <w:szCs w:val="21"/>
              </w:rPr>
              <w:t>2#</w:t>
            </w:r>
          </w:p>
        </w:tc>
        <w:tc>
          <w:tcPr>
            <w:tcW w:w="10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3#</w:t>
            </w:r>
          </w:p>
        </w:tc>
        <w:tc>
          <w:tcPr>
            <w:tcW w:w="1190" w:type="pct"/>
            <w:tcBorders>
              <w:top w:val="single" w:color="auto" w:sz="4" w:space="0"/>
              <w:left w:val="nil"/>
              <w:bottom w:val="single" w:color="auto" w:sz="4" w:space="0"/>
              <w:right w:val="single" w:color="auto" w:sz="4" w:space="0"/>
            </w:tcBorders>
            <w:shd w:val="clear" w:color="auto" w:fill="auto"/>
            <w:vAlign w:val="center"/>
          </w:tcPr>
          <w:p>
            <w:pPr>
              <w:jc w:val="center"/>
              <w:rPr>
                <w:szCs w:val="21"/>
              </w:rPr>
            </w:pPr>
            <w:r>
              <w:rPr>
                <w:rFonts w:hint="eastAsia"/>
                <w:szCs w:val="21"/>
              </w:rPr>
              <w:t>4#</w:t>
            </w:r>
          </w:p>
        </w:tc>
      </w:tr>
      <w:tr>
        <w:tblPrEx>
          <w:tblCellMar>
            <w:top w:w="0" w:type="dxa"/>
            <w:left w:w="108" w:type="dxa"/>
            <w:bottom w:w="0" w:type="dxa"/>
            <w:right w:w="108" w:type="dxa"/>
          </w:tblCellMar>
        </w:tblPrEx>
        <w:trPr>
          <w:trHeight w:val="242" w:hRule="atLeast"/>
        </w:trPr>
        <w:tc>
          <w:tcPr>
            <w:tcW w:w="99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检测结果（%）</w:t>
            </w: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5.05</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10.02</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14.87</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19.87</w:t>
            </w:r>
          </w:p>
        </w:tc>
      </w:tr>
      <w:tr>
        <w:tblPrEx>
          <w:tblCellMar>
            <w:top w:w="0" w:type="dxa"/>
            <w:left w:w="108" w:type="dxa"/>
            <w:bottom w:w="0" w:type="dxa"/>
            <w:right w:w="108" w:type="dxa"/>
          </w:tblCellMar>
        </w:tblPrEx>
        <w:trPr>
          <w:trHeight w:val="282" w:hRule="atLeast"/>
        </w:trPr>
        <w:tc>
          <w:tcPr>
            <w:tcW w:w="99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4.99</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9.96</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14.72</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19.90</w:t>
            </w:r>
          </w:p>
        </w:tc>
      </w:tr>
      <w:tr>
        <w:tblPrEx>
          <w:tblCellMar>
            <w:top w:w="0" w:type="dxa"/>
            <w:left w:w="108" w:type="dxa"/>
            <w:bottom w:w="0" w:type="dxa"/>
            <w:right w:w="108" w:type="dxa"/>
          </w:tblCellMar>
        </w:tblPrEx>
        <w:trPr>
          <w:trHeight w:val="302" w:hRule="atLeast"/>
        </w:trPr>
        <w:tc>
          <w:tcPr>
            <w:tcW w:w="99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4.99</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10.01</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14.85</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19.99</w:t>
            </w:r>
          </w:p>
        </w:tc>
      </w:tr>
      <w:tr>
        <w:tblPrEx>
          <w:tblCellMar>
            <w:top w:w="0" w:type="dxa"/>
            <w:left w:w="108" w:type="dxa"/>
            <w:bottom w:w="0" w:type="dxa"/>
            <w:right w:w="108" w:type="dxa"/>
          </w:tblCellMar>
        </w:tblPrEx>
        <w:trPr>
          <w:trHeight w:val="323" w:hRule="atLeast"/>
        </w:trPr>
        <w:tc>
          <w:tcPr>
            <w:tcW w:w="99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4.96</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9.92</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14.72</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19.85</w:t>
            </w:r>
          </w:p>
        </w:tc>
      </w:tr>
      <w:tr>
        <w:tblPrEx>
          <w:tblCellMar>
            <w:top w:w="0" w:type="dxa"/>
            <w:left w:w="108" w:type="dxa"/>
            <w:bottom w:w="0" w:type="dxa"/>
            <w:right w:w="108" w:type="dxa"/>
          </w:tblCellMar>
        </w:tblPrEx>
        <w:trPr>
          <w:trHeight w:val="311" w:hRule="atLeast"/>
        </w:trPr>
        <w:tc>
          <w:tcPr>
            <w:tcW w:w="99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4.95</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9.94</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14.78</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19.92</w:t>
            </w:r>
          </w:p>
        </w:tc>
      </w:tr>
      <w:tr>
        <w:tblPrEx>
          <w:tblCellMar>
            <w:top w:w="0" w:type="dxa"/>
            <w:left w:w="108" w:type="dxa"/>
            <w:bottom w:w="0" w:type="dxa"/>
            <w:right w:w="108" w:type="dxa"/>
          </w:tblCellMar>
        </w:tblPrEx>
        <w:trPr>
          <w:trHeight w:val="332" w:hRule="atLeast"/>
        </w:trPr>
        <w:tc>
          <w:tcPr>
            <w:tcW w:w="99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4.98</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9.96</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14.87</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19.95</w:t>
            </w:r>
          </w:p>
        </w:tc>
      </w:tr>
      <w:tr>
        <w:tblPrEx>
          <w:tblCellMar>
            <w:top w:w="0" w:type="dxa"/>
            <w:left w:w="108" w:type="dxa"/>
            <w:bottom w:w="0" w:type="dxa"/>
            <w:right w:w="108" w:type="dxa"/>
          </w:tblCellMar>
        </w:tblPrEx>
        <w:trPr>
          <w:trHeight w:val="321" w:hRule="atLeast"/>
        </w:trPr>
        <w:tc>
          <w:tcPr>
            <w:tcW w:w="99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5.03</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10.00</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14.77</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20.02</w:t>
            </w:r>
          </w:p>
        </w:tc>
      </w:tr>
      <w:tr>
        <w:tblPrEx>
          <w:tblCellMar>
            <w:top w:w="0" w:type="dxa"/>
            <w:left w:w="108" w:type="dxa"/>
            <w:bottom w:w="0" w:type="dxa"/>
            <w:right w:w="108" w:type="dxa"/>
          </w:tblCellMar>
        </w:tblPrEx>
        <w:trPr>
          <w:trHeight w:val="325" w:hRule="atLeast"/>
        </w:trPr>
        <w:tc>
          <w:tcPr>
            <w:tcW w:w="99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5.02</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10.02</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14.75</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20.00</w:t>
            </w:r>
          </w:p>
        </w:tc>
      </w:tr>
      <w:tr>
        <w:tblPrEx>
          <w:tblCellMar>
            <w:top w:w="0" w:type="dxa"/>
            <w:left w:w="108" w:type="dxa"/>
            <w:bottom w:w="0" w:type="dxa"/>
            <w:right w:w="108" w:type="dxa"/>
          </w:tblCellMar>
        </w:tblPrEx>
        <w:trPr>
          <w:trHeight w:val="330" w:hRule="atLeast"/>
        </w:trPr>
        <w:tc>
          <w:tcPr>
            <w:tcW w:w="99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5.00</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9.92</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14.76</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20.03</w:t>
            </w:r>
          </w:p>
        </w:tc>
      </w:tr>
      <w:tr>
        <w:tblPrEx>
          <w:tblCellMar>
            <w:top w:w="0" w:type="dxa"/>
            <w:left w:w="108" w:type="dxa"/>
            <w:bottom w:w="0" w:type="dxa"/>
            <w:right w:w="108" w:type="dxa"/>
          </w:tblCellMar>
        </w:tblPrEx>
        <w:trPr>
          <w:trHeight w:val="318" w:hRule="atLeast"/>
        </w:trPr>
        <w:tc>
          <w:tcPr>
            <w:tcW w:w="99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5.02</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9.95</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14.82</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19.86</w:t>
            </w:r>
          </w:p>
        </w:tc>
      </w:tr>
      <w:tr>
        <w:tblPrEx>
          <w:tblCellMar>
            <w:top w:w="0" w:type="dxa"/>
            <w:left w:w="108" w:type="dxa"/>
            <w:bottom w:w="0" w:type="dxa"/>
            <w:right w:w="108" w:type="dxa"/>
          </w:tblCellMar>
        </w:tblPrEx>
        <w:trPr>
          <w:trHeight w:val="323" w:hRule="atLeast"/>
        </w:trPr>
        <w:tc>
          <w:tcPr>
            <w:tcW w:w="998" w:type="pct"/>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4.98</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10.03</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14.85</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19.85</w:t>
            </w:r>
          </w:p>
        </w:tc>
      </w:tr>
      <w:tr>
        <w:tblPrEx>
          <w:tblCellMar>
            <w:top w:w="0" w:type="dxa"/>
            <w:left w:w="108" w:type="dxa"/>
            <w:bottom w:w="0" w:type="dxa"/>
            <w:right w:w="108" w:type="dxa"/>
          </w:tblCellMar>
        </w:tblPrEx>
        <w:trPr>
          <w:trHeight w:val="311" w:hRule="atLeast"/>
        </w:trPr>
        <w:tc>
          <w:tcPr>
            <w:tcW w:w="99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平均值（%）</w:t>
            </w: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5.00</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9.98</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14.80</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19.93</w:t>
            </w:r>
          </w:p>
        </w:tc>
      </w:tr>
      <w:tr>
        <w:tblPrEx>
          <w:tblCellMar>
            <w:top w:w="0" w:type="dxa"/>
            <w:left w:w="108" w:type="dxa"/>
            <w:bottom w:w="0" w:type="dxa"/>
            <w:right w:w="108" w:type="dxa"/>
          </w:tblCellMar>
        </w:tblPrEx>
        <w:trPr>
          <w:trHeight w:val="316" w:hRule="atLeast"/>
        </w:trPr>
        <w:tc>
          <w:tcPr>
            <w:tcW w:w="99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SD（%）</w:t>
            </w: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0.03</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0.04</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0.06</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0.07</w:t>
            </w:r>
          </w:p>
        </w:tc>
      </w:tr>
      <w:tr>
        <w:tblPrEx>
          <w:tblCellMar>
            <w:top w:w="0" w:type="dxa"/>
            <w:left w:w="108" w:type="dxa"/>
            <w:bottom w:w="0" w:type="dxa"/>
            <w:right w:w="108" w:type="dxa"/>
          </w:tblCellMar>
        </w:tblPrEx>
        <w:trPr>
          <w:trHeight w:val="444" w:hRule="atLeast"/>
        </w:trPr>
        <w:tc>
          <w:tcPr>
            <w:tcW w:w="99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RSD（%）</w:t>
            </w:r>
          </w:p>
        </w:tc>
        <w:tc>
          <w:tcPr>
            <w:tcW w:w="827"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0.60</w:t>
            </w:r>
          </w:p>
        </w:tc>
        <w:tc>
          <w:tcPr>
            <w:tcW w:w="953" w:type="pct"/>
            <w:tcBorders>
              <w:top w:val="single" w:color="auto" w:sz="4" w:space="0"/>
              <w:left w:val="nil"/>
              <w:bottom w:val="single" w:color="auto" w:sz="4" w:space="0"/>
              <w:right w:val="single" w:color="auto" w:sz="4" w:space="0"/>
            </w:tcBorders>
            <w:vAlign w:val="center"/>
          </w:tcPr>
          <w:p>
            <w:pPr>
              <w:jc w:val="center"/>
              <w:rPr>
                <w:szCs w:val="21"/>
              </w:rPr>
            </w:pPr>
            <w:r>
              <w:rPr>
                <w:szCs w:val="21"/>
              </w:rPr>
              <w:t>0.41</w:t>
            </w:r>
          </w:p>
        </w:tc>
        <w:tc>
          <w:tcPr>
            <w:tcW w:w="1032" w:type="pc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0.39</w:t>
            </w:r>
          </w:p>
        </w:tc>
        <w:tc>
          <w:tcPr>
            <w:tcW w:w="1190" w:type="pct"/>
            <w:tcBorders>
              <w:top w:val="nil"/>
              <w:left w:val="nil"/>
              <w:bottom w:val="single" w:color="auto" w:sz="4" w:space="0"/>
              <w:right w:val="single" w:color="auto" w:sz="4" w:space="0"/>
            </w:tcBorders>
            <w:shd w:val="clear" w:color="auto" w:fill="auto"/>
            <w:noWrap/>
            <w:vAlign w:val="center"/>
          </w:tcPr>
          <w:p>
            <w:pPr>
              <w:jc w:val="center"/>
              <w:rPr>
                <w:szCs w:val="21"/>
              </w:rPr>
            </w:pPr>
            <w:r>
              <w:rPr>
                <w:szCs w:val="21"/>
              </w:rPr>
              <w:t>0.35</w:t>
            </w:r>
          </w:p>
        </w:tc>
      </w:tr>
    </w:tbl>
    <w:p>
      <w:pPr>
        <w:rPr>
          <w:szCs w:val="21"/>
        </w:rPr>
      </w:pPr>
    </w:p>
    <w:p>
      <w:pPr>
        <w:ind w:firstLine="2730" w:firstLineChars="1300"/>
        <w:rPr>
          <w:szCs w:val="21"/>
        </w:rPr>
      </w:pPr>
    </w:p>
    <w:p>
      <w:pPr>
        <w:ind w:firstLine="2730" w:firstLineChars="1300"/>
        <w:rPr>
          <w:szCs w:val="21"/>
        </w:rPr>
      </w:pPr>
    </w:p>
    <w:p>
      <w:pPr>
        <w:ind w:firstLine="2730" w:firstLineChars="1300"/>
        <w:rPr>
          <w:szCs w:val="21"/>
        </w:rPr>
      </w:pPr>
      <w:r>
        <w:rPr>
          <w:rFonts w:hint="eastAsia"/>
          <w:szCs w:val="21"/>
        </w:rPr>
        <w:t xml:space="preserve"> 表15 昆明冶金研究院有限公司验证数据</w:t>
      </w:r>
    </w:p>
    <w:tbl>
      <w:tblPr>
        <w:tblStyle w:val="2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830"/>
        <w:gridCol w:w="830"/>
        <w:gridCol w:w="830"/>
        <w:gridCol w:w="830"/>
        <w:gridCol w:w="830"/>
        <w:gridCol w:w="830"/>
        <w:gridCol w:w="830"/>
        <w:gridCol w:w="996"/>
        <w:gridCol w:w="852"/>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32" w:type="dxa"/>
          </w:tcPr>
          <w:p>
            <w:pPr>
              <w:jc w:val="center"/>
              <w:rPr>
                <w:kern w:val="0"/>
                <w:sz w:val="21"/>
                <w:szCs w:val="21"/>
              </w:rPr>
            </w:pPr>
            <w:r>
              <w:rPr>
                <w:rFonts w:hint="eastAsia"/>
                <w:kern w:val="0"/>
                <w:sz w:val="21"/>
                <w:szCs w:val="21"/>
              </w:rPr>
              <w:t>样品</w:t>
            </w:r>
          </w:p>
        </w:tc>
        <w:tc>
          <w:tcPr>
            <w:tcW w:w="8711" w:type="dxa"/>
            <w:gridSpan w:val="10"/>
          </w:tcPr>
          <w:p>
            <w:pPr>
              <w:jc w:val="center"/>
              <w:rPr>
                <w:kern w:val="0"/>
                <w:sz w:val="21"/>
                <w:szCs w:val="21"/>
              </w:rPr>
            </w:pPr>
            <w:r>
              <w:rPr>
                <w:rFonts w:hint="eastAsia"/>
                <w:kern w:val="0"/>
                <w:sz w:val="21"/>
                <w:szCs w:val="21"/>
              </w:rPr>
              <w:t>碲的质量分数（%）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32" w:type="dxa"/>
          </w:tcPr>
          <w:p>
            <w:pPr>
              <w:jc w:val="center"/>
              <w:rPr>
                <w:kern w:val="0"/>
                <w:sz w:val="21"/>
                <w:szCs w:val="21"/>
              </w:rPr>
            </w:pPr>
          </w:p>
        </w:tc>
        <w:tc>
          <w:tcPr>
            <w:tcW w:w="830" w:type="dxa"/>
          </w:tcPr>
          <w:p>
            <w:pPr>
              <w:jc w:val="center"/>
              <w:rPr>
                <w:kern w:val="0"/>
                <w:sz w:val="21"/>
                <w:szCs w:val="21"/>
              </w:rPr>
            </w:pPr>
            <w:r>
              <w:rPr>
                <w:rFonts w:hint="eastAsia"/>
                <w:kern w:val="0"/>
                <w:sz w:val="21"/>
                <w:szCs w:val="21"/>
              </w:rPr>
              <w:t>1</w:t>
            </w:r>
          </w:p>
        </w:tc>
        <w:tc>
          <w:tcPr>
            <w:tcW w:w="830" w:type="dxa"/>
          </w:tcPr>
          <w:p>
            <w:pPr>
              <w:jc w:val="center"/>
              <w:rPr>
                <w:kern w:val="0"/>
                <w:sz w:val="21"/>
                <w:szCs w:val="21"/>
              </w:rPr>
            </w:pPr>
            <w:r>
              <w:rPr>
                <w:rFonts w:hint="eastAsia"/>
                <w:kern w:val="0"/>
                <w:sz w:val="21"/>
                <w:szCs w:val="21"/>
              </w:rPr>
              <w:t>2</w:t>
            </w:r>
          </w:p>
        </w:tc>
        <w:tc>
          <w:tcPr>
            <w:tcW w:w="830" w:type="dxa"/>
          </w:tcPr>
          <w:p>
            <w:pPr>
              <w:jc w:val="center"/>
              <w:rPr>
                <w:kern w:val="0"/>
                <w:sz w:val="21"/>
                <w:szCs w:val="21"/>
              </w:rPr>
            </w:pPr>
            <w:r>
              <w:rPr>
                <w:rFonts w:hint="eastAsia"/>
                <w:kern w:val="0"/>
                <w:sz w:val="21"/>
                <w:szCs w:val="21"/>
              </w:rPr>
              <w:t>3</w:t>
            </w:r>
          </w:p>
        </w:tc>
        <w:tc>
          <w:tcPr>
            <w:tcW w:w="830" w:type="dxa"/>
          </w:tcPr>
          <w:p>
            <w:pPr>
              <w:jc w:val="center"/>
              <w:rPr>
                <w:kern w:val="0"/>
                <w:sz w:val="21"/>
                <w:szCs w:val="21"/>
              </w:rPr>
            </w:pPr>
            <w:r>
              <w:rPr>
                <w:rFonts w:hint="eastAsia"/>
                <w:kern w:val="0"/>
                <w:sz w:val="21"/>
                <w:szCs w:val="21"/>
              </w:rPr>
              <w:t>4</w:t>
            </w:r>
          </w:p>
        </w:tc>
        <w:tc>
          <w:tcPr>
            <w:tcW w:w="830" w:type="dxa"/>
          </w:tcPr>
          <w:p>
            <w:pPr>
              <w:jc w:val="center"/>
              <w:rPr>
                <w:kern w:val="0"/>
                <w:sz w:val="21"/>
                <w:szCs w:val="21"/>
              </w:rPr>
            </w:pPr>
            <w:r>
              <w:rPr>
                <w:rFonts w:hint="eastAsia"/>
                <w:kern w:val="0"/>
                <w:sz w:val="21"/>
                <w:szCs w:val="21"/>
              </w:rPr>
              <w:t>5</w:t>
            </w:r>
          </w:p>
        </w:tc>
        <w:tc>
          <w:tcPr>
            <w:tcW w:w="830" w:type="dxa"/>
          </w:tcPr>
          <w:p>
            <w:pPr>
              <w:jc w:val="center"/>
              <w:rPr>
                <w:kern w:val="0"/>
                <w:sz w:val="21"/>
                <w:szCs w:val="21"/>
              </w:rPr>
            </w:pPr>
            <w:r>
              <w:rPr>
                <w:rFonts w:hint="eastAsia"/>
                <w:kern w:val="0"/>
                <w:sz w:val="21"/>
                <w:szCs w:val="21"/>
              </w:rPr>
              <w:t>6</w:t>
            </w:r>
          </w:p>
        </w:tc>
        <w:tc>
          <w:tcPr>
            <w:tcW w:w="830" w:type="dxa"/>
          </w:tcPr>
          <w:p>
            <w:pPr>
              <w:jc w:val="center"/>
              <w:rPr>
                <w:kern w:val="0"/>
                <w:sz w:val="21"/>
                <w:szCs w:val="21"/>
              </w:rPr>
            </w:pPr>
            <w:r>
              <w:rPr>
                <w:rFonts w:hint="eastAsia"/>
                <w:kern w:val="0"/>
                <w:sz w:val="21"/>
                <w:szCs w:val="21"/>
              </w:rPr>
              <w:t>7</w:t>
            </w:r>
          </w:p>
        </w:tc>
        <w:tc>
          <w:tcPr>
            <w:tcW w:w="996" w:type="dxa"/>
          </w:tcPr>
          <w:p>
            <w:pPr>
              <w:jc w:val="center"/>
              <w:rPr>
                <w:kern w:val="0"/>
                <w:sz w:val="21"/>
                <w:szCs w:val="21"/>
              </w:rPr>
            </w:pPr>
            <w:r>
              <w:rPr>
                <w:rFonts w:hint="eastAsia"/>
                <w:kern w:val="0"/>
                <w:sz w:val="21"/>
                <w:szCs w:val="21"/>
              </w:rPr>
              <w:t>平均值w/%</w:t>
            </w:r>
          </w:p>
        </w:tc>
        <w:tc>
          <w:tcPr>
            <w:tcW w:w="852" w:type="dxa"/>
          </w:tcPr>
          <w:p>
            <w:pPr>
              <w:jc w:val="center"/>
              <w:rPr>
                <w:kern w:val="0"/>
                <w:sz w:val="21"/>
                <w:szCs w:val="21"/>
              </w:rPr>
            </w:pPr>
            <w:r>
              <w:rPr>
                <w:kern w:val="0"/>
                <w:sz w:val="21"/>
                <w:szCs w:val="21"/>
              </w:rPr>
              <w:t>SD/%</w:t>
            </w:r>
          </w:p>
        </w:tc>
        <w:tc>
          <w:tcPr>
            <w:tcW w:w="1053" w:type="dxa"/>
          </w:tcPr>
          <w:p>
            <w:pPr>
              <w:jc w:val="center"/>
              <w:rPr>
                <w:kern w:val="0"/>
                <w:sz w:val="21"/>
                <w:szCs w:val="21"/>
              </w:rPr>
            </w:pPr>
            <w:r>
              <w:rPr>
                <w:kern w:val="0"/>
                <w:sz w:val="21"/>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32" w:type="dxa"/>
          </w:tcPr>
          <w:p>
            <w:pPr>
              <w:jc w:val="center"/>
              <w:rPr>
                <w:kern w:val="0"/>
                <w:sz w:val="21"/>
                <w:szCs w:val="21"/>
              </w:rPr>
            </w:pPr>
            <w:r>
              <w:rPr>
                <w:rFonts w:hint="eastAsia"/>
                <w:kern w:val="0"/>
                <w:sz w:val="21"/>
                <w:szCs w:val="21"/>
              </w:rPr>
              <w:t>1#</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5.010</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4.923</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4.885</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4.926</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5.036</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4.986</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5.056</w:t>
            </w:r>
          </w:p>
        </w:tc>
        <w:tc>
          <w:tcPr>
            <w:tcW w:w="996" w:type="dxa"/>
            <w:vAlign w:val="center"/>
          </w:tcPr>
          <w:p>
            <w:pPr>
              <w:jc w:val="center"/>
              <w:rPr>
                <w:rFonts w:ascii="宋体" w:hAnsi="宋体" w:cs="宋体"/>
                <w:color w:val="000000"/>
                <w:kern w:val="0"/>
                <w:sz w:val="21"/>
                <w:szCs w:val="21"/>
              </w:rPr>
            </w:pPr>
            <w:r>
              <w:rPr>
                <w:rFonts w:hint="eastAsia"/>
                <w:color w:val="000000"/>
                <w:kern w:val="0"/>
                <w:sz w:val="21"/>
                <w:szCs w:val="21"/>
              </w:rPr>
              <w:t>4.97</w:t>
            </w:r>
          </w:p>
        </w:tc>
        <w:tc>
          <w:tcPr>
            <w:tcW w:w="852" w:type="dxa"/>
            <w:vAlign w:val="center"/>
          </w:tcPr>
          <w:p>
            <w:pPr>
              <w:jc w:val="center"/>
              <w:rPr>
                <w:rFonts w:ascii="宋体" w:hAnsi="宋体" w:cs="宋体"/>
                <w:color w:val="000000"/>
                <w:kern w:val="0"/>
                <w:sz w:val="21"/>
                <w:szCs w:val="21"/>
              </w:rPr>
            </w:pPr>
            <w:r>
              <w:rPr>
                <w:rFonts w:hint="eastAsia"/>
                <w:color w:val="000000"/>
                <w:kern w:val="0"/>
                <w:sz w:val="21"/>
                <w:szCs w:val="21"/>
              </w:rPr>
              <w:t>0.0643</w:t>
            </w:r>
          </w:p>
        </w:tc>
        <w:tc>
          <w:tcPr>
            <w:tcW w:w="1053" w:type="dxa"/>
            <w:vAlign w:val="center"/>
          </w:tcPr>
          <w:p>
            <w:pPr>
              <w:jc w:val="center"/>
              <w:rPr>
                <w:rFonts w:ascii="宋体" w:hAnsi="宋体" w:cs="宋体"/>
                <w:color w:val="000000"/>
                <w:kern w:val="0"/>
                <w:sz w:val="21"/>
                <w:szCs w:val="21"/>
              </w:rPr>
            </w:pPr>
            <w:r>
              <w:rPr>
                <w:rFonts w:hint="eastAsia"/>
                <w:color w:val="000000"/>
                <w:kern w:val="0"/>
                <w:sz w:val="21"/>
                <w:szCs w:val="21"/>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32" w:type="dxa"/>
          </w:tcPr>
          <w:p>
            <w:pPr>
              <w:jc w:val="center"/>
              <w:rPr>
                <w:kern w:val="0"/>
                <w:sz w:val="21"/>
                <w:szCs w:val="21"/>
              </w:rPr>
            </w:pPr>
            <w:r>
              <w:rPr>
                <w:rFonts w:hint="eastAsia"/>
                <w:kern w:val="0"/>
                <w:sz w:val="21"/>
                <w:szCs w:val="21"/>
              </w:rPr>
              <w:t>2#</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9.902</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9.998</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10.021</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10.132</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9.951</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9.984</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9.962</w:t>
            </w:r>
          </w:p>
        </w:tc>
        <w:tc>
          <w:tcPr>
            <w:tcW w:w="996" w:type="dxa"/>
            <w:vAlign w:val="center"/>
          </w:tcPr>
          <w:p>
            <w:pPr>
              <w:jc w:val="center"/>
              <w:rPr>
                <w:rFonts w:ascii="宋体" w:hAnsi="宋体" w:cs="宋体"/>
                <w:color w:val="000000"/>
                <w:kern w:val="0"/>
                <w:sz w:val="21"/>
                <w:szCs w:val="21"/>
              </w:rPr>
            </w:pPr>
            <w:r>
              <w:rPr>
                <w:rFonts w:hint="eastAsia"/>
                <w:color w:val="000000"/>
                <w:kern w:val="0"/>
                <w:sz w:val="21"/>
                <w:szCs w:val="21"/>
              </w:rPr>
              <w:t>9.99</w:t>
            </w:r>
          </w:p>
        </w:tc>
        <w:tc>
          <w:tcPr>
            <w:tcW w:w="852" w:type="dxa"/>
            <w:vAlign w:val="center"/>
          </w:tcPr>
          <w:p>
            <w:pPr>
              <w:jc w:val="center"/>
              <w:rPr>
                <w:rFonts w:ascii="宋体" w:hAnsi="宋体" w:cs="宋体"/>
                <w:color w:val="000000"/>
                <w:kern w:val="0"/>
                <w:sz w:val="21"/>
                <w:szCs w:val="21"/>
              </w:rPr>
            </w:pPr>
            <w:r>
              <w:rPr>
                <w:rFonts w:hint="eastAsia"/>
                <w:color w:val="000000"/>
                <w:kern w:val="0"/>
                <w:sz w:val="21"/>
                <w:szCs w:val="21"/>
              </w:rPr>
              <w:t>0.0721</w:t>
            </w:r>
          </w:p>
        </w:tc>
        <w:tc>
          <w:tcPr>
            <w:tcW w:w="1053" w:type="dxa"/>
            <w:vAlign w:val="center"/>
          </w:tcPr>
          <w:p>
            <w:pPr>
              <w:jc w:val="center"/>
              <w:rPr>
                <w:rFonts w:ascii="宋体" w:hAnsi="宋体" w:cs="宋体"/>
                <w:color w:val="000000"/>
                <w:kern w:val="0"/>
                <w:sz w:val="21"/>
                <w:szCs w:val="21"/>
              </w:rPr>
            </w:pPr>
            <w:r>
              <w:rPr>
                <w:rFonts w:hint="eastAsia"/>
                <w:color w:val="000000"/>
                <w:kern w:val="0"/>
                <w:sz w:val="21"/>
                <w:szCs w:val="21"/>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32" w:type="dxa"/>
          </w:tcPr>
          <w:p>
            <w:pPr>
              <w:jc w:val="center"/>
              <w:rPr>
                <w:kern w:val="0"/>
                <w:sz w:val="21"/>
                <w:szCs w:val="21"/>
              </w:rPr>
            </w:pPr>
            <w:r>
              <w:rPr>
                <w:rFonts w:hint="eastAsia"/>
                <w:kern w:val="0"/>
                <w:sz w:val="21"/>
                <w:szCs w:val="21"/>
              </w:rPr>
              <w:t>3#</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14.852</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14.965</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14.823</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14.798</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14.892</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14.867</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14.806</w:t>
            </w:r>
          </w:p>
        </w:tc>
        <w:tc>
          <w:tcPr>
            <w:tcW w:w="996" w:type="dxa"/>
            <w:vAlign w:val="center"/>
          </w:tcPr>
          <w:p>
            <w:pPr>
              <w:jc w:val="center"/>
              <w:rPr>
                <w:rFonts w:ascii="宋体" w:hAnsi="宋体" w:cs="宋体"/>
                <w:color w:val="000000"/>
                <w:kern w:val="0"/>
                <w:sz w:val="21"/>
                <w:szCs w:val="21"/>
              </w:rPr>
            </w:pPr>
            <w:r>
              <w:rPr>
                <w:rFonts w:hint="eastAsia"/>
                <w:color w:val="000000"/>
                <w:kern w:val="0"/>
                <w:sz w:val="21"/>
                <w:szCs w:val="21"/>
              </w:rPr>
              <w:t>14.86</w:t>
            </w:r>
          </w:p>
        </w:tc>
        <w:tc>
          <w:tcPr>
            <w:tcW w:w="852" w:type="dxa"/>
            <w:vAlign w:val="center"/>
          </w:tcPr>
          <w:p>
            <w:pPr>
              <w:jc w:val="center"/>
              <w:rPr>
                <w:rFonts w:ascii="宋体" w:hAnsi="宋体" w:cs="宋体"/>
                <w:color w:val="000000"/>
                <w:kern w:val="0"/>
                <w:sz w:val="21"/>
                <w:szCs w:val="21"/>
              </w:rPr>
            </w:pPr>
            <w:r>
              <w:rPr>
                <w:rFonts w:hint="eastAsia"/>
                <w:color w:val="000000"/>
                <w:kern w:val="0"/>
                <w:sz w:val="21"/>
                <w:szCs w:val="21"/>
              </w:rPr>
              <w:t>0.0580</w:t>
            </w:r>
          </w:p>
        </w:tc>
        <w:tc>
          <w:tcPr>
            <w:tcW w:w="1053" w:type="dxa"/>
            <w:vAlign w:val="center"/>
          </w:tcPr>
          <w:p>
            <w:pPr>
              <w:jc w:val="center"/>
              <w:rPr>
                <w:rFonts w:ascii="宋体" w:hAnsi="宋体" w:cs="宋体"/>
                <w:color w:val="000000"/>
                <w:kern w:val="0"/>
                <w:sz w:val="21"/>
                <w:szCs w:val="21"/>
              </w:rPr>
            </w:pPr>
            <w:r>
              <w:rPr>
                <w:rFonts w:hint="eastAsia"/>
                <w:color w:val="000000"/>
                <w:kern w:val="0"/>
                <w:sz w:val="21"/>
                <w:szCs w:val="21"/>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32" w:type="dxa"/>
          </w:tcPr>
          <w:p>
            <w:pPr>
              <w:jc w:val="center"/>
              <w:rPr>
                <w:kern w:val="0"/>
                <w:sz w:val="21"/>
                <w:szCs w:val="21"/>
              </w:rPr>
            </w:pPr>
            <w:r>
              <w:rPr>
                <w:rFonts w:hint="eastAsia"/>
                <w:kern w:val="0"/>
                <w:sz w:val="21"/>
                <w:szCs w:val="21"/>
              </w:rPr>
              <w:t>4#</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19.995</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19.903</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20.064</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20.052</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19.899</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19.871</w:t>
            </w:r>
          </w:p>
        </w:tc>
        <w:tc>
          <w:tcPr>
            <w:tcW w:w="830" w:type="dxa"/>
            <w:vAlign w:val="center"/>
          </w:tcPr>
          <w:p>
            <w:pPr>
              <w:jc w:val="center"/>
              <w:rPr>
                <w:rFonts w:ascii="宋体" w:hAnsi="宋体" w:cs="宋体"/>
                <w:color w:val="000000"/>
                <w:kern w:val="0"/>
                <w:sz w:val="21"/>
                <w:szCs w:val="21"/>
              </w:rPr>
            </w:pPr>
            <w:r>
              <w:rPr>
                <w:rFonts w:hint="eastAsia"/>
                <w:color w:val="000000"/>
                <w:kern w:val="0"/>
                <w:sz w:val="21"/>
                <w:szCs w:val="21"/>
              </w:rPr>
              <w:t>19.985</w:t>
            </w:r>
          </w:p>
        </w:tc>
        <w:tc>
          <w:tcPr>
            <w:tcW w:w="996" w:type="dxa"/>
            <w:vAlign w:val="center"/>
          </w:tcPr>
          <w:p>
            <w:pPr>
              <w:jc w:val="center"/>
              <w:rPr>
                <w:rFonts w:ascii="宋体" w:hAnsi="宋体" w:cs="宋体"/>
                <w:color w:val="000000"/>
                <w:kern w:val="0"/>
                <w:sz w:val="21"/>
                <w:szCs w:val="21"/>
              </w:rPr>
            </w:pPr>
            <w:r>
              <w:rPr>
                <w:rFonts w:hint="eastAsia"/>
                <w:color w:val="000000"/>
                <w:kern w:val="0"/>
                <w:sz w:val="21"/>
                <w:szCs w:val="21"/>
              </w:rPr>
              <w:t>19.97</w:t>
            </w:r>
          </w:p>
        </w:tc>
        <w:tc>
          <w:tcPr>
            <w:tcW w:w="852" w:type="dxa"/>
            <w:vAlign w:val="center"/>
          </w:tcPr>
          <w:p>
            <w:pPr>
              <w:jc w:val="center"/>
              <w:rPr>
                <w:rFonts w:ascii="宋体" w:hAnsi="宋体" w:cs="宋体"/>
                <w:color w:val="000000"/>
                <w:kern w:val="0"/>
                <w:sz w:val="21"/>
                <w:szCs w:val="21"/>
              </w:rPr>
            </w:pPr>
            <w:r>
              <w:rPr>
                <w:rFonts w:hint="eastAsia"/>
                <w:color w:val="000000"/>
                <w:kern w:val="0"/>
                <w:sz w:val="21"/>
                <w:szCs w:val="21"/>
              </w:rPr>
              <w:t>0.0771</w:t>
            </w:r>
          </w:p>
        </w:tc>
        <w:tc>
          <w:tcPr>
            <w:tcW w:w="1053" w:type="dxa"/>
            <w:vAlign w:val="center"/>
          </w:tcPr>
          <w:p>
            <w:pPr>
              <w:jc w:val="center"/>
              <w:rPr>
                <w:rFonts w:ascii="宋体" w:hAnsi="宋体" w:cs="宋体"/>
                <w:color w:val="000000"/>
                <w:kern w:val="0"/>
                <w:sz w:val="21"/>
                <w:szCs w:val="21"/>
              </w:rPr>
            </w:pPr>
            <w:r>
              <w:rPr>
                <w:rFonts w:hint="eastAsia"/>
                <w:color w:val="000000"/>
                <w:kern w:val="0"/>
                <w:sz w:val="21"/>
                <w:szCs w:val="21"/>
              </w:rPr>
              <w:t>0.39</w:t>
            </w:r>
          </w:p>
        </w:tc>
      </w:tr>
    </w:tbl>
    <w:p>
      <w:pPr>
        <w:ind w:firstLine="2730" w:firstLineChars="1300"/>
        <w:rPr>
          <w:szCs w:val="21"/>
        </w:rPr>
      </w:pPr>
    </w:p>
    <w:p>
      <w:pPr>
        <w:rPr>
          <w:szCs w:val="21"/>
        </w:rPr>
      </w:pPr>
      <w:r>
        <w:rPr>
          <w:rFonts w:hint="eastAsia"/>
          <w:szCs w:val="21"/>
        </w:rPr>
        <w:t xml:space="preserve">                             表16 广西南丹南方金属有限公司验证数据</w:t>
      </w:r>
    </w:p>
    <w:tbl>
      <w:tblPr>
        <w:tblStyle w:val="24"/>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830"/>
        <w:gridCol w:w="830"/>
        <w:gridCol w:w="830"/>
        <w:gridCol w:w="830"/>
        <w:gridCol w:w="830"/>
        <w:gridCol w:w="830"/>
        <w:gridCol w:w="830"/>
        <w:gridCol w:w="996"/>
        <w:gridCol w:w="852"/>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32" w:type="dxa"/>
          </w:tcPr>
          <w:p>
            <w:pPr>
              <w:jc w:val="center"/>
              <w:rPr>
                <w:kern w:val="0"/>
                <w:sz w:val="21"/>
                <w:szCs w:val="21"/>
              </w:rPr>
            </w:pPr>
            <w:r>
              <w:rPr>
                <w:rFonts w:hint="eastAsia"/>
                <w:kern w:val="0"/>
                <w:sz w:val="21"/>
                <w:szCs w:val="21"/>
              </w:rPr>
              <w:t>样品</w:t>
            </w:r>
          </w:p>
        </w:tc>
        <w:tc>
          <w:tcPr>
            <w:tcW w:w="8711" w:type="dxa"/>
            <w:gridSpan w:val="10"/>
          </w:tcPr>
          <w:p>
            <w:pPr>
              <w:jc w:val="center"/>
              <w:rPr>
                <w:kern w:val="0"/>
                <w:sz w:val="21"/>
                <w:szCs w:val="21"/>
              </w:rPr>
            </w:pPr>
            <w:r>
              <w:rPr>
                <w:rFonts w:hint="eastAsia"/>
                <w:kern w:val="0"/>
                <w:sz w:val="21"/>
                <w:szCs w:val="21"/>
              </w:rPr>
              <w:t>碲的质量分数（%）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32" w:type="dxa"/>
          </w:tcPr>
          <w:p>
            <w:pPr>
              <w:jc w:val="center"/>
              <w:rPr>
                <w:kern w:val="0"/>
                <w:sz w:val="21"/>
                <w:szCs w:val="21"/>
              </w:rPr>
            </w:pPr>
          </w:p>
        </w:tc>
        <w:tc>
          <w:tcPr>
            <w:tcW w:w="830" w:type="dxa"/>
          </w:tcPr>
          <w:p>
            <w:pPr>
              <w:jc w:val="center"/>
              <w:rPr>
                <w:kern w:val="0"/>
                <w:sz w:val="21"/>
                <w:szCs w:val="21"/>
              </w:rPr>
            </w:pPr>
            <w:r>
              <w:rPr>
                <w:rFonts w:hint="eastAsia"/>
                <w:kern w:val="0"/>
                <w:sz w:val="21"/>
                <w:szCs w:val="21"/>
              </w:rPr>
              <w:t>1</w:t>
            </w:r>
          </w:p>
        </w:tc>
        <w:tc>
          <w:tcPr>
            <w:tcW w:w="830" w:type="dxa"/>
          </w:tcPr>
          <w:p>
            <w:pPr>
              <w:jc w:val="center"/>
              <w:rPr>
                <w:kern w:val="0"/>
                <w:sz w:val="21"/>
                <w:szCs w:val="21"/>
              </w:rPr>
            </w:pPr>
            <w:r>
              <w:rPr>
                <w:rFonts w:hint="eastAsia"/>
                <w:kern w:val="0"/>
                <w:sz w:val="21"/>
                <w:szCs w:val="21"/>
              </w:rPr>
              <w:t>2</w:t>
            </w:r>
          </w:p>
        </w:tc>
        <w:tc>
          <w:tcPr>
            <w:tcW w:w="830" w:type="dxa"/>
          </w:tcPr>
          <w:p>
            <w:pPr>
              <w:jc w:val="center"/>
              <w:rPr>
                <w:kern w:val="0"/>
                <w:sz w:val="21"/>
                <w:szCs w:val="21"/>
              </w:rPr>
            </w:pPr>
            <w:r>
              <w:rPr>
                <w:rFonts w:hint="eastAsia"/>
                <w:kern w:val="0"/>
                <w:sz w:val="21"/>
                <w:szCs w:val="21"/>
              </w:rPr>
              <w:t>3</w:t>
            </w:r>
          </w:p>
        </w:tc>
        <w:tc>
          <w:tcPr>
            <w:tcW w:w="830" w:type="dxa"/>
          </w:tcPr>
          <w:p>
            <w:pPr>
              <w:jc w:val="center"/>
              <w:rPr>
                <w:kern w:val="0"/>
                <w:sz w:val="21"/>
                <w:szCs w:val="21"/>
              </w:rPr>
            </w:pPr>
            <w:r>
              <w:rPr>
                <w:rFonts w:hint="eastAsia"/>
                <w:kern w:val="0"/>
                <w:sz w:val="21"/>
                <w:szCs w:val="21"/>
              </w:rPr>
              <w:t>4</w:t>
            </w:r>
          </w:p>
        </w:tc>
        <w:tc>
          <w:tcPr>
            <w:tcW w:w="830" w:type="dxa"/>
          </w:tcPr>
          <w:p>
            <w:pPr>
              <w:jc w:val="center"/>
              <w:rPr>
                <w:kern w:val="0"/>
                <w:sz w:val="21"/>
                <w:szCs w:val="21"/>
              </w:rPr>
            </w:pPr>
            <w:r>
              <w:rPr>
                <w:rFonts w:hint="eastAsia"/>
                <w:kern w:val="0"/>
                <w:sz w:val="21"/>
                <w:szCs w:val="21"/>
              </w:rPr>
              <w:t>5</w:t>
            </w:r>
          </w:p>
        </w:tc>
        <w:tc>
          <w:tcPr>
            <w:tcW w:w="830" w:type="dxa"/>
          </w:tcPr>
          <w:p>
            <w:pPr>
              <w:jc w:val="center"/>
              <w:rPr>
                <w:kern w:val="0"/>
                <w:sz w:val="21"/>
                <w:szCs w:val="21"/>
              </w:rPr>
            </w:pPr>
            <w:r>
              <w:rPr>
                <w:rFonts w:hint="eastAsia"/>
                <w:kern w:val="0"/>
                <w:sz w:val="21"/>
                <w:szCs w:val="21"/>
              </w:rPr>
              <w:t>6</w:t>
            </w:r>
          </w:p>
        </w:tc>
        <w:tc>
          <w:tcPr>
            <w:tcW w:w="830" w:type="dxa"/>
          </w:tcPr>
          <w:p>
            <w:pPr>
              <w:jc w:val="center"/>
              <w:rPr>
                <w:kern w:val="0"/>
                <w:sz w:val="21"/>
                <w:szCs w:val="21"/>
              </w:rPr>
            </w:pPr>
            <w:r>
              <w:rPr>
                <w:rFonts w:hint="eastAsia"/>
                <w:kern w:val="0"/>
                <w:sz w:val="21"/>
                <w:szCs w:val="21"/>
              </w:rPr>
              <w:t>7</w:t>
            </w:r>
          </w:p>
        </w:tc>
        <w:tc>
          <w:tcPr>
            <w:tcW w:w="996" w:type="dxa"/>
          </w:tcPr>
          <w:p>
            <w:pPr>
              <w:jc w:val="center"/>
              <w:rPr>
                <w:kern w:val="0"/>
                <w:sz w:val="21"/>
                <w:szCs w:val="21"/>
              </w:rPr>
            </w:pPr>
            <w:r>
              <w:rPr>
                <w:rFonts w:hint="eastAsia"/>
                <w:kern w:val="0"/>
                <w:sz w:val="21"/>
                <w:szCs w:val="21"/>
              </w:rPr>
              <w:t>平均值w/%</w:t>
            </w:r>
          </w:p>
        </w:tc>
        <w:tc>
          <w:tcPr>
            <w:tcW w:w="852" w:type="dxa"/>
          </w:tcPr>
          <w:p>
            <w:pPr>
              <w:jc w:val="center"/>
              <w:rPr>
                <w:kern w:val="0"/>
                <w:sz w:val="21"/>
                <w:szCs w:val="21"/>
              </w:rPr>
            </w:pPr>
            <w:r>
              <w:rPr>
                <w:kern w:val="0"/>
                <w:sz w:val="21"/>
                <w:szCs w:val="21"/>
              </w:rPr>
              <w:t>SD/%</w:t>
            </w:r>
          </w:p>
        </w:tc>
        <w:tc>
          <w:tcPr>
            <w:tcW w:w="1053" w:type="dxa"/>
          </w:tcPr>
          <w:p>
            <w:pPr>
              <w:jc w:val="center"/>
              <w:rPr>
                <w:kern w:val="0"/>
                <w:sz w:val="21"/>
                <w:szCs w:val="21"/>
              </w:rPr>
            </w:pPr>
            <w:r>
              <w:rPr>
                <w:kern w:val="0"/>
                <w:sz w:val="21"/>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32" w:type="dxa"/>
          </w:tcPr>
          <w:p>
            <w:pPr>
              <w:jc w:val="center"/>
              <w:rPr>
                <w:kern w:val="0"/>
                <w:sz w:val="21"/>
                <w:szCs w:val="21"/>
              </w:rPr>
            </w:pPr>
            <w:r>
              <w:rPr>
                <w:rFonts w:hint="eastAsia"/>
                <w:kern w:val="0"/>
                <w:sz w:val="21"/>
                <w:szCs w:val="21"/>
              </w:rPr>
              <w:t>1#</w:t>
            </w:r>
          </w:p>
        </w:tc>
        <w:tc>
          <w:tcPr>
            <w:tcW w:w="830" w:type="dxa"/>
            <w:shd w:val="clear" w:color="auto" w:fill="auto"/>
            <w:vAlign w:val="center"/>
          </w:tcPr>
          <w:p>
            <w:pPr>
              <w:widowControl/>
              <w:jc w:val="center"/>
              <w:rPr>
                <w:color w:val="000000"/>
                <w:kern w:val="0"/>
                <w:sz w:val="21"/>
                <w:szCs w:val="21"/>
              </w:rPr>
            </w:pPr>
            <w:r>
              <w:rPr>
                <w:rFonts w:hint="eastAsia"/>
                <w:color w:val="000000"/>
                <w:kern w:val="0"/>
                <w:sz w:val="21"/>
                <w:szCs w:val="21"/>
              </w:rPr>
              <w:t xml:space="preserve">4.97 </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 xml:space="preserve">4.87 </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 xml:space="preserve">4.93 </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 xml:space="preserve">4.97 </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 xml:space="preserve">5.09 </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 xml:space="preserve">4.90 </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 xml:space="preserve">4.96 </w:t>
            </w:r>
          </w:p>
        </w:tc>
        <w:tc>
          <w:tcPr>
            <w:tcW w:w="996" w:type="dxa"/>
            <w:shd w:val="clear" w:color="auto" w:fill="auto"/>
            <w:vAlign w:val="center"/>
          </w:tcPr>
          <w:p>
            <w:pPr>
              <w:jc w:val="center"/>
              <w:rPr>
                <w:color w:val="000000"/>
                <w:kern w:val="0"/>
                <w:sz w:val="21"/>
                <w:szCs w:val="21"/>
              </w:rPr>
            </w:pPr>
            <w:r>
              <w:rPr>
                <w:rFonts w:hint="eastAsia"/>
                <w:color w:val="000000"/>
                <w:kern w:val="0"/>
                <w:sz w:val="21"/>
                <w:szCs w:val="21"/>
              </w:rPr>
              <w:t xml:space="preserve">4.96 </w:t>
            </w:r>
          </w:p>
        </w:tc>
        <w:tc>
          <w:tcPr>
            <w:tcW w:w="852" w:type="dxa"/>
            <w:shd w:val="clear" w:color="auto" w:fill="auto"/>
            <w:vAlign w:val="center"/>
          </w:tcPr>
          <w:p>
            <w:pPr>
              <w:jc w:val="right"/>
              <w:rPr>
                <w:color w:val="000000"/>
                <w:kern w:val="0"/>
                <w:sz w:val="21"/>
                <w:szCs w:val="21"/>
              </w:rPr>
            </w:pPr>
            <w:r>
              <w:rPr>
                <w:color w:val="000000"/>
                <w:kern w:val="0"/>
                <w:sz w:val="21"/>
                <w:szCs w:val="21"/>
              </w:rPr>
              <w:t>7.02</w:t>
            </w:r>
          </w:p>
        </w:tc>
        <w:tc>
          <w:tcPr>
            <w:tcW w:w="1053" w:type="dxa"/>
            <w:shd w:val="clear" w:color="auto" w:fill="auto"/>
            <w:vAlign w:val="center"/>
          </w:tcPr>
          <w:p>
            <w:pPr>
              <w:jc w:val="right"/>
              <w:rPr>
                <w:color w:val="000000"/>
                <w:kern w:val="0"/>
                <w:sz w:val="21"/>
                <w:szCs w:val="21"/>
              </w:rPr>
            </w:pPr>
            <w:r>
              <w:rPr>
                <w:color w:val="000000"/>
                <w:kern w:val="0"/>
                <w:sz w:val="21"/>
                <w:szCs w:val="21"/>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32" w:type="dxa"/>
          </w:tcPr>
          <w:p>
            <w:pPr>
              <w:jc w:val="center"/>
              <w:rPr>
                <w:kern w:val="0"/>
                <w:sz w:val="21"/>
                <w:szCs w:val="21"/>
              </w:rPr>
            </w:pPr>
            <w:r>
              <w:rPr>
                <w:rFonts w:hint="eastAsia"/>
                <w:kern w:val="0"/>
                <w:sz w:val="21"/>
                <w:szCs w:val="21"/>
              </w:rPr>
              <w:t>2#</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9.86</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9.87</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9.63</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9.61</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9.68</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9.64</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 xml:space="preserve">9.70 </w:t>
            </w:r>
          </w:p>
        </w:tc>
        <w:tc>
          <w:tcPr>
            <w:tcW w:w="996" w:type="dxa"/>
            <w:shd w:val="clear" w:color="auto" w:fill="auto"/>
            <w:vAlign w:val="center"/>
          </w:tcPr>
          <w:p>
            <w:pPr>
              <w:jc w:val="center"/>
              <w:rPr>
                <w:color w:val="000000"/>
                <w:kern w:val="0"/>
                <w:sz w:val="21"/>
                <w:szCs w:val="21"/>
              </w:rPr>
            </w:pPr>
            <w:r>
              <w:rPr>
                <w:color w:val="000000"/>
                <w:kern w:val="0"/>
                <w:sz w:val="21"/>
                <w:szCs w:val="21"/>
              </w:rPr>
              <w:t>9.71</w:t>
            </w:r>
          </w:p>
        </w:tc>
        <w:tc>
          <w:tcPr>
            <w:tcW w:w="852" w:type="dxa"/>
            <w:shd w:val="clear" w:color="auto" w:fill="auto"/>
            <w:vAlign w:val="center"/>
          </w:tcPr>
          <w:p>
            <w:pPr>
              <w:jc w:val="right"/>
              <w:rPr>
                <w:color w:val="000000"/>
                <w:kern w:val="0"/>
                <w:sz w:val="21"/>
                <w:szCs w:val="21"/>
              </w:rPr>
            </w:pPr>
            <w:r>
              <w:rPr>
                <w:color w:val="000000"/>
                <w:kern w:val="0"/>
                <w:sz w:val="21"/>
                <w:szCs w:val="21"/>
              </w:rPr>
              <w:t>10.82</w:t>
            </w:r>
          </w:p>
        </w:tc>
        <w:tc>
          <w:tcPr>
            <w:tcW w:w="1053" w:type="dxa"/>
            <w:shd w:val="clear" w:color="auto" w:fill="auto"/>
            <w:vAlign w:val="center"/>
          </w:tcPr>
          <w:p>
            <w:pPr>
              <w:jc w:val="right"/>
              <w:rPr>
                <w:color w:val="000000"/>
                <w:kern w:val="0"/>
                <w:sz w:val="21"/>
                <w:szCs w:val="21"/>
              </w:rPr>
            </w:pPr>
            <w:r>
              <w:rPr>
                <w:color w:val="000000"/>
                <w:kern w:val="0"/>
                <w:sz w:val="21"/>
                <w:szCs w:val="21"/>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32" w:type="dxa"/>
          </w:tcPr>
          <w:p>
            <w:pPr>
              <w:jc w:val="center"/>
              <w:rPr>
                <w:kern w:val="0"/>
                <w:sz w:val="21"/>
                <w:szCs w:val="21"/>
              </w:rPr>
            </w:pPr>
            <w:r>
              <w:rPr>
                <w:rFonts w:hint="eastAsia"/>
                <w:kern w:val="0"/>
                <w:sz w:val="21"/>
                <w:szCs w:val="21"/>
              </w:rPr>
              <w:t>3#</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 xml:space="preserve">14.60 </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14.64</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14.58</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 xml:space="preserve">14.46 </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14.51</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14.47</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14.64</w:t>
            </w:r>
          </w:p>
        </w:tc>
        <w:tc>
          <w:tcPr>
            <w:tcW w:w="996" w:type="dxa"/>
            <w:shd w:val="clear" w:color="auto" w:fill="auto"/>
            <w:vAlign w:val="center"/>
          </w:tcPr>
          <w:p>
            <w:pPr>
              <w:jc w:val="center"/>
              <w:rPr>
                <w:color w:val="000000"/>
                <w:kern w:val="0"/>
                <w:sz w:val="21"/>
                <w:szCs w:val="21"/>
              </w:rPr>
            </w:pPr>
            <w:r>
              <w:rPr>
                <w:rFonts w:hint="eastAsia"/>
                <w:color w:val="000000"/>
                <w:kern w:val="0"/>
                <w:sz w:val="21"/>
                <w:szCs w:val="21"/>
              </w:rPr>
              <w:t xml:space="preserve">14.56 </w:t>
            </w:r>
          </w:p>
        </w:tc>
        <w:tc>
          <w:tcPr>
            <w:tcW w:w="852" w:type="dxa"/>
            <w:shd w:val="clear" w:color="auto" w:fill="auto"/>
            <w:vAlign w:val="center"/>
          </w:tcPr>
          <w:p>
            <w:pPr>
              <w:jc w:val="right"/>
              <w:rPr>
                <w:color w:val="000000"/>
                <w:kern w:val="0"/>
                <w:sz w:val="21"/>
                <w:szCs w:val="21"/>
              </w:rPr>
            </w:pPr>
            <w:r>
              <w:rPr>
                <w:color w:val="000000"/>
                <w:kern w:val="0"/>
                <w:sz w:val="21"/>
                <w:szCs w:val="21"/>
              </w:rPr>
              <w:t>7.67</w:t>
            </w:r>
          </w:p>
        </w:tc>
        <w:tc>
          <w:tcPr>
            <w:tcW w:w="1053" w:type="dxa"/>
            <w:shd w:val="clear" w:color="auto" w:fill="auto"/>
            <w:vAlign w:val="center"/>
          </w:tcPr>
          <w:p>
            <w:pPr>
              <w:jc w:val="right"/>
              <w:rPr>
                <w:color w:val="000000"/>
                <w:kern w:val="0"/>
                <w:sz w:val="21"/>
                <w:szCs w:val="21"/>
              </w:rPr>
            </w:pPr>
            <w:r>
              <w:rPr>
                <w:color w:val="000000"/>
                <w:kern w:val="0"/>
                <w:sz w:val="21"/>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32" w:type="dxa"/>
          </w:tcPr>
          <w:p>
            <w:pPr>
              <w:jc w:val="center"/>
              <w:rPr>
                <w:kern w:val="0"/>
                <w:sz w:val="21"/>
                <w:szCs w:val="21"/>
              </w:rPr>
            </w:pPr>
            <w:r>
              <w:rPr>
                <w:rFonts w:hint="eastAsia"/>
                <w:kern w:val="0"/>
                <w:sz w:val="21"/>
                <w:szCs w:val="21"/>
              </w:rPr>
              <w:t>4#</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19.57</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19.49</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 xml:space="preserve">19.55 </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19.48</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19.56</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19.44</w:t>
            </w:r>
          </w:p>
        </w:tc>
        <w:tc>
          <w:tcPr>
            <w:tcW w:w="830" w:type="dxa"/>
            <w:shd w:val="clear" w:color="auto" w:fill="auto"/>
            <w:vAlign w:val="center"/>
          </w:tcPr>
          <w:p>
            <w:pPr>
              <w:jc w:val="center"/>
              <w:rPr>
                <w:color w:val="000000"/>
                <w:kern w:val="0"/>
                <w:sz w:val="21"/>
                <w:szCs w:val="21"/>
              </w:rPr>
            </w:pPr>
            <w:r>
              <w:rPr>
                <w:rFonts w:hint="eastAsia"/>
                <w:color w:val="000000"/>
                <w:kern w:val="0"/>
                <w:sz w:val="21"/>
                <w:szCs w:val="21"/>
              </w:rPr>
              <w:t>19.45</w:t>
            </w:r>
          </w:p>
        </w:tc>
        <w:tc>
          <w:tcPr>
            <w:tcW w:w="996" w:type="dxa"/>
            <w:shd w:val="clear" w:color="auto" w:fill="auto"/>
            <w:vAlign w:val="center"/>
          </w:tcPr>
          <w:p>
            <w:pPr>
              <w:jc w:val="center"/>
              <w:rPr>
                <w:color w:val="000000"/>
                <w:kern w:val="0"/>
                <w:sz w:val="21"/>
                <w:szCs w:val="21"/>
              </w:rPr>
            </w:pPr>
            <w:r>
              <w:rPr>
                <w:rFonts w:hint="eastAsia"/>
                <w:color w:val="000000"/>
                <w:kern w:val="0"/>
                <w:sz w:val="21"/>
                <w:szCs w:val="21"/>
              </w:rPr>
              <w:t xml:space="preserve">19.51 </w:t>
            </w:r>
          </w:p>
        </w:tc>
        <w:tc>
          <w:tcPr>
            <w:tcW w:w="852" w:type="dxa"/>
            <w:shd w:val="clear" w:color="auto" w:fill="auto"/>
            <w:vAlign w:val="center"/>
          </w:tcPr>
          <w:p>
            <w:pPr>
              <w:jc w:val="right"/>
              <w:rPr>
                <w:color w:val="000000"/>
                <w:kern w:val="0"/>
                <w:sz w:val="21"/>
                <w:szCs w:val="21"/>
              </w:rPr>
            </w:pPr>
            <w:r>
              <w:rPr>
                <w:color w:val="000000"/>
                <w:kern w:val="0"/>
                <w:sz w:val="21"/>
                <w:szCs w:val="21"/>
              </w:rPr>
              <w:t>5.38</w:t>
            </w:r>
          </w:p>
        </w:tc>
        <w:tc>
          <w:tcPr>
            <w:tcW w:w="1053" w:type="dxa"/>
            <w:shd w:val="clear" w:color="auto" w:fill="auto"/>
            <w:vAlign w:val="center"/>
          </w:tcPr>
          <w:p>
            <w:pPr>
              <w:jc w:val="right"/>
              <w:rPr>
                <w:color w:val="000000"/>
                <w:kern w:val="0"/>
                <w:sz w:val="21"/>
                <w:szCs w:val="21"/>
              </w:rPr>
            </w:pPr>
            <w:r>
              <w:rPr>
                <w:color w:val="000000"/>
                <w:kern w:val="0"/>
                <w:sz w:val="21"/>
                <w:szCs w:val="21"/>
              </w:rPr>
              <w:t>0.28</w:t>
            </w:r>
          </w:p>
        </w:tc>
      </w:tr>
    </w:tbl>
    <w:p>
      <w:pPr>
        <w:rPr>
          <w:szCs w:val="21"/>
        </w:rPr>
      </w:pPr>
      <w:r>
        <w:rPr>
          <w:rFonts w:hint="eastAsia"/>
          <w:szCs w:val="21"/>
        </w:rPr>
        <w:t xml:space="preserve">                        </w:t>
      </w:r>
    </w:p>
    <w:p>
      <w:pPr>
        <w:rPr>
          <w:szCs w:val="21"/>
        </w:rPr>
      </w:pPr>
    </w:p>
    <w:p>
      <w:pPr>
        <w:rPr>
          <w:szCs w:val="21"/>
        </w:rPr>
      </w:pPr>
      <w:r>
        <w:rPr>
          <w:rFonts w:hint="eastAsia"/>
          <w:szCs w:val="21"/>
        </w:rPr>
        <w:t>结论：除实验室5外，15家单位的验证结果全部满足条件，说明此方法准确可靠。</w:t>
      </w:r>
    </w:p>
    <w:p>
      <w:pPr>
        <w:rPr>
          <w:szCs w:val="21"/>
        </w:rPr>
      </w:pPr>
    </w:p>
    <w:p>
      <w:pPr>
        <w:rPr>
          <w:szCs w:val="21"/>
        </w:rPr>
      </w:pPr>
    </w:p>
    <w:p>
      <w:pPr>
        <w:rPr>
          <w:szCs w:val="21"/>
        </w:rPr>
      </w:pPr>
    </w:p>
    <w:p>
      <w:pPr>
        <w:rPr>
          <w:szCs w:val="21"/>
        </w:rPr>
      </w:pPr>
    </w:p>
    <w:p>
      <w:pPr>
        <w:rPr>
          <w:szCs w:val="21"/>
        </w:rPr>
      </w:pPr>
    </w:p>
    <w:p>
      <w:pPr>
        <w:spacing w:before="156" w:beforeLines="50" w:after="156" w:afterLines="50" w:line="360" w:lineRule="auto"/>
        <w:rPr>
          <w:rFonts w:asciiTheme="minorEastAsia" w:hAnsiTheme="minorEastAsia" w:eastAsiaTheme="minorEastAsia"/>
          <w:b/>
          <w:sz w:val="24"/>
        </w:rPr>
      </w:pPr>
      <w:bookmarkStart w:id="0" w:name="_GoBack"/>
      <w:bookmarkEnd w:id="0"/>
      <w:r>
        <w:rPr>
          <w:rFonts w:asciiTheme="minorEastAsia" w:hAnsiTheme="minorEastAsia" w:eastAsiaTheme="minorEastAsia"/>
          <w:b/>
          <w:sz w:val="24"/>
        </w:rPr>
        <w:t>附件四</w:t>
      </w:r>
      <w:r>
        <w:rPr>
          <w:rFonts w:hint="eastAsia" w:asciiTheme="minorEastAsia" w:hAnsiTheme="minorEastAsia" w:eastAsiaTheme="minorEastAsia"/>
          <w:b/>
          <w:sz w:val="24"/>
        </w:rPr>
        <w:t>：</w:t>
      </w:r>
    </w:p>
    <w:p>
      <w:pPr>
        <w:spacing w:before="156" w:beforeLines="50" w:after="156" w:afterLines="50" w:line="360" w:lineRule="auto"/>
        <w:ind w:firstLine="2530" w:firstLineChars="900"/>
        <w:rPr>
          <w:rFonts w:eastAsia="黑体"/>
          <w:b/>
          <w:sz w:val="28"/>
          <w:szCs w:val="28"/>
        </w:rPr>
      </w:pPr>
      <w:r>
        <w:rPr>
          <w:rFonts w:eastAsia="黑体"/>
          <w:b/>
          <w:sz w:val="28"/>
          <w:szCs w:val="28"/>
        </w:rPr>
        <w:t>标准征求意见稿意见处理汇总表</w:t>
      </w:r>
    </w:p>
    <w:p>
      <w:pPr>
        <w:spacing w:line="360" w:lineRule="auto"/>
        <w:rPr>
          <w:color w:val="000000"/>
          <w:szCs w:val="21"/>
        </w:rPr>
      </w:pPr>
      <w:r>
        <w:rPr>
          <w:szCs w:val="21"/>
        </w:rPr>
        <w:t>标准项目名称</w:t>
      </w:r>
      <w:r>
        <w:rPr>
          <w:rFonts w:hint="eastAsia"/>
          <w:szCs w:val="21"/>
        </w:rPr>
        <w:t>：粗硒化学分析方法 第4部分</w:t>
      </w:r>
      <w:r>
        <w:rPr>
          <w:rFonts w:hint="eastAsia"/>
          <w:szCs w:val="21"/>
          <w:lang w:eastAsia="zh-CN"/>
        </w:rPr>
        <w:t>：</w:t>
      </w:r>
      <w:r>
        <w:rPr>
          <w:rFonts w:hint="eastAsia"/>
          <w:szCs w:val="21"/>
        </w:rPr>
        <w:t>碲含量的测定 重量法</w:t>
      </w:r>
    </w:p>
    <w:p>
      <w:pPr>
        <w:spacing w:line="360" w:lineRule="auto"/>
        <w:rPr>
          <w:szCs w:val="21"/>
        </w:rPr>
      </w:pPr>
      <w:r>
        <w:rPr>
          <w:rFonts w:hint="eastAsia"/>
          <w:szCs w:val="21"/>
        </w:rPr>
        <w:t xml:space="preserve">标准项目负责起草单位：广东先导稀材股份有限公司 </w:t>
      </w:r>
      <w:r>
        <w:rPr>
          <w:rFonts w:ascii="宋体" w:hAnsi="宋体" w:cs="宋体"/>
          <w:szCs w:val="21"/>
        </w:rPr>
        <w:t xml:space="preserve">  </w:t>
      </w:r>
      <w:r>
        <w:rPr>
          <w:szCs w:val="21"/>
        </w:rPr>
        <w:t>承办人</w:t>
      </w:r>
      <w:r>
        <w:rPr>
          <w:rFonts w:hint="eastAsia"/>
          <w:szCs w:val="21"/>
        </w:rPr>
        <w:t xml:space="preserve">：朱赞芳  </w:t>
      </w:r>
      <w:r>
        <w:rPr>
          <w:szCs w:val="21"/>
        </w:rPr>
        <w:t>电话：</w:t>
      </w:r>
      <w:r>
        <w:rPr>
          <w:rFonts w:hint="eastAsia"/>
          <w:szCs w:val="21"/>
        </w:rPr>
        <w:t>13927634646</w:t>
      </w:r>
      <w:r>
        <w:rPr>
          <w:szCs w:val="21"/>
        </w:rPr>
        <w:t xml:space="preserve">  </w:t>
      </w:r>
    </w:p>
    <w:p>
      <w:pPr>
        <w:rPr>
          <w:szCs w:val="21"/>
        </w:rPr>
      </w:pPr>
    </w:p>
    <w:tbl>
      <w:tblPr>
        <w:tblStyle w:val="23"/>
        <w:tblW w:w="9337" w:type="dxa"/>
        <w:tblInd w:w="-1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276"/>
        <w:gridCol w:w="3402"/>
        <w:gridCol w:w="1276"/>
        <w:gridCol w:w="708"/>
        <w:gridCol w:w="18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0" w:hRule="atLeast"/>
        </w:trPr>
        <w:tc>
          <w:tcPr>
            <w:tcW w:w="851" w:type="dxa"/>
            <w:vAlign w:val="center"/>
          </w:tcPr>
          <w:p>
            <w:pPr>
              <w:spacing w:line="360" w:lineRule="auto"/>
              <w:jc w:val="center"/>
              <w:rPr>
                <w:szCs w:val="21"/>
              </w:rPr>
            </w:pPr>
            <w:r>
              <w:rPr>
                <w:szCs w:val="21"/>
              </w:rPr>
              <w:t>序号</w:t>
            </w:r>
          </w:p>
        </w:tc>
        <w:tc>
          <w:tcPr>
            <w:tcW w:w="1276" w:type="dxa"/>
            <w:vAlign w:val="center"/>
          </w:tcPr>
          <w:p>
            <w:pPr>
              <w:spacing w:line="360" w:lineRule="auto"/>
              <w:jc w:val="center"/>
              <w:rPr>
                <w:szCs w:val="21"/>
              </w:rPr>
            </w:pPr>
            <w:r>
              <w:rPr>
                <w:szCs w:val="21"/>
              </w:rPr>
              <w:t>章条编号</w:t>
            </w:r>
          </w:p>
        </w:tc>
        <w:tc>
          <w:tcPr>
            <w:tcW w:w="3402" w:type="dxa"/>
            <w:vAlign w:val="center"/>
          </w:tcPr>
          <w:p>
            <w:pPr>
              <w:spacing w:line="360" w:lineRule="auto"/>
              <w:jc w:val="center"/>
              <w:rPr>
                <w:szCs w:val="21"/>
              </w:rPr>
            </w:pPr>
            <w:r>
              <w:rPr>
                <w:szCs w:val="21"/>
              </w:rPr>
              <w:t>意见内容</w:t>
            </w:r>
          </w:p>
        </w:tc>
        <w:tc>
          <w:tcPr>
            <w:tcW w:w="1276" w:type="dxa"/>
            <w:vAlign w:val="center"/>
          </w:tcPr>
          <w:p>
            <w:pPr>
              <w:spacing w:line="360" w:lineRule="auto"/>
              <w:jc w:val="center"/>
              <w:rPr>
                <w:szCs w:val="21"/>
              </w:rPr>
            </w:pPr>
            <w:r>
              <w:rPr>
                <w:szCs w:val="21"/>
              </w:rPr>
              <w:t>提出单位</w:t>
            </w:r>
          </w:p>
        </w:tc>
        <w:tc>
          <w:tcPr>
            <w:tcW w:w="708" w:type="dxa"/>
            <w:vAlign w:val="center"/>
          </w:tcPr>
          <w:p>
            <w:pPr>
              <w:spacing w:line="360" w:lineRule="auto"/>
              <w:jc w:val="center"/>
              <w:rPr>
                <w:szCs w:val="21"/>
              </w:rPr>
            </w:pPr>
            <w:r>
              <w:rPr>
                <w:szCs w:val="21"/>
              </w:rPr>
              <w:t>处理意见</w:t>
            </w:r>
          </w:p>
        </w:tc>
        <w:tc>
          <w:tcPr>
            <w:tcW w:w="1824" w:type="dxa"/>
            <w:vAlign w:val="center"/>
          </w:tcPr>
          <w:p>
            <w:pPr>
              <w:spacing w:line="360" w:lineRule="auto"/>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3" w:hRule="atLeast"/>
        </w:trPr>
        <w:tc>
          <w:tcPr>
            <w:tcW w:w="851" w:type="dxa"/>
            <w:vAlign w:val="center"/>
          </w:tcPr>
          <w:p>
            <w:pPr>
              <w:spacing w:line="360" w:lineRule="auto"/>
              <w:jc w:val="center"/>
              <w:rPr>
                <w:rFonts w:hint="eastAsia"/>
                <w:szCs w:val="21"/>
              </w:rPr>
            </w:pPr>
            <w:r>
              <w:rPr>
                <w:rFonts w:hint="eastAsia"/>
                <w:szCs w:val="21"/>
              </w:rPr>
              <w:t>1</w:t>
            </w:r>
          </w:p>
        </w:tc>
        <w:tc>
          <w:tcPr>
            <w:tcW w:w="1276" w:type="dxa"/>
            <w:vAlign w:val="center"/>
          </w:tcPr>
          <w:p>
            <w:pPr>
              <w:spacing w:line="360" w:lineRule="auto"/>
              <w:jc w:val="center"/>
              <w:rPr>
                <w:szCs w:val="21"/>
              </w:rPr>
            </w:pPr>
            <w:r>
              <w:rPr>
                <w:rFonts w:hint="eastAsia"/>
                <w:szCs w:val="21"/>
              </w:rPr>
              <w:t>4</w:t>
            </w:r>
          </w:p>
        </w:tc>
        <w:tc>
          <w:tcPr>
            <w:tcW w:w="3402" w:type="dxa"/>
            <w:vAlign w:val="center"/>
          </w:tcPr>
          <w:p>
            <w:pPr>
              <w:spacing w:line="360" w:lineRule="auto"/>
              <w:rPr>
                <w:rFonts w:hint="eastAsia" w:ascii="宋体" w:hAnsi="宋体" w:cs="宋体"/>
                <w:szCs w:val="21"/>
              </w:rPr>
            </w:pPr>
            <w:r>
              <w:rPr>
                <w:rFonts w:hint="eastAsia"/>
                <w:bCs/>
                <w:szCs w:val="21"/>
              </w:rPr>
              <w:t>方法草案“4方法原理”需修改。如“用盐酸羟胺测定分离硒”，应删除“测定”；注明干燥温度</w:t>
            </w:r>
          </w:p>
        </w:tc>
        <w:tc>
          <w:tcPr>
            <w:tcW w:w="1276" w:type="dxa"/>
            <w:vAlign w:val="center"/>
          </w:tcPr>
          <w:p>
            <w:pPr>
              <w:spacing w:line="360" w:lineRule="auto"/>
              <w:rPr>
                <w:rFonts w:hint="eastAsia"/>
                <w:szCs w:val="21"/>
              </w:rPr>
            </w:pPr>
            <w:r>
              <w:rPr>
                <w:rFonts w:hint="eastAsia"/>
                <w:szCs w:val="21"/>
              </w:rPr>
              <w:t>紫金矿业有限公司</w:t>
            </w:r>
          </w:p>
        </w:tc>
        <w:tc>
          <w:tcPr>
            <w:tcW w:w="708" w:type="dxa"/>
            <w:vAlign w:val="center"/>
          </w:tcPr>
          <w:p>
            <w:pPr>
              <w:spacing w:line="360" w:lineRule="auto"/>
              <w:jc w:val="center"/>
              <w:rPr>
                <w:szCs w:val="21"/>
              </w:rPr>
            </w:pPr>
            <w:r>
              <w:rPr>
                <w:szCs w:val="21"/>
              </w:rPr>
              <w:t>采纳</w:t>
            </w:r>
          </w:p>
        </w:tc>
        <w:tc>
          <w:tcPr>
            <w:tcW w:w="1824"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3" w:hRule="atLeast"/>
        </w:trPr>
        <w:tc>
          <w:tcPr>
            <w:tcW w:w="851" w:type="dxa"/>
            <w:vAlign w:val="center"/>
          </w:tcPr>
          <w:p>
            <w:pPr>
              <w:spacing w:line="360" w:lineRule="auto"/>
              <w:jc w:val="center"/>
              <w:rPr>
                <w:szCs w:val="21"/>
              </w:rPr>
            </w:pPr>
            <w:r>
              <w:rPr>
                <w:szCs w:val="21"/>
              </w:rPr>
              <w:t>2</w:t>
            </w:r>
          </w:p>
        </w:tc>
        <w:tc>
          <w:tcPr>
            <w:tcW w:w="1276" w:type="dxa"/>
            <w:vAlign w:val="center"/>
          </w:tcPr>
          <w:p>
            <w:pPr>
              <w:spacing w:line="360" w:lineRule="auto"/>
              <w:jc w:val="center"/>
              <w:rPr>
                <w:szCs w:val="21"/>
              </w:rPr>
            </w:pPr>
            <w:r>
              <w:rPr>
                <w:szCs w:val="21"/>
              </w:rPr>
              <w:t>7.1</w:t>
            </w:r>
          </w:p>
        </w:tc>
        <w:tc>
          <w:tcPr>
            <w:tcW w:w="3402" w:type="dxa"/>
            <w:vAlign w:val="center"/>
          </w:tcPr>
          <w:p>
            <w:pPr>
              <w:spacing w:line="360" w:lineRule="auto"/>
              <w:rPr>
                <w:szCs w:val="21"/>
              </w:rPr>
            </w:pPr>
            <w:r>
              <w:rPr>
                <w:rFonts w:hint="eastAsia" w:ascii="宋体" w:hAnsi="宋体" w:cs="宋体"/>
                <w:szCs w:val="21"/>
              </w:rPr>
              <w:t>称样量可减少至1.0g</w:t>
            </w:r>
          </w:p>
        </w:tc>
        <w:tc>
          <w:tcPr>
            <w:tcW w:w="1276" w:type="dxa"/>
            <w:vAlign w:val="center"/>
          </w:tcPr>
          <w:p>
            <w:pPr>
              <w:spacing w:line="360" w:lineRule="auto"/>
              <w:jc w:val="center"/>
              <w:rPr>
                <w:szCs w:val="21"/>
              </w:rPr>
            </w:pPr>
            <w:r>
              <w:rPr>
                <w:rFonts w:hint="eastAsia"/>
                <w:szCs w:val="21"/>
              </w:rPr>
              <w:t>中金岭南</w:t>
            </w:r>
            <w:r>
              <w:rPr>
                <w:szCs w:val="21"/>
              </w:rPr>
              <w:t>韶关冶炼厂</w:t>
            </w:r>
          </w:p>
        </w:tc>
        <w:tc>
          <w:tcPr>
            <w:tcW w:w="708" w:type="dxa"/>
            <w:vAlign w:val="center"/>
          </w:tcPr>
          <w:p>
            <w:pPr>
              <w:spacing w:line="360" w:lineRule="auto"/>
              <w:jc w:val="center"/>
              <w:rPr>
                <w:szCs w:val="21"/>
              </w:rPr>
            </w:pPr>
            <w:r>
              <w:rPr>
                <w:szCs w:val="21"/>
              </w:rPr>
              <w:t>不采纳</w:t>
            </w:r>
          </w:p>
        </w:tc>
        <w:tc>
          <w:tcPr>
            <w:tcW w:w="1824" w:type="dxa"/>
            <w:vAlign w:val="center"/>
          </w:tcPr>
          <w:p>
            <w:pPr>
              <w:spacing w:line="360" w:lineRule="auto"/>
              <w:rPr>
                <w:rFonts w:hint="eastAsia"/>
                <w:szCs w:val="21"/>
              </w:rPr>
            </w:pPr>
            <w:r>
              <w:rPr>
                <w:szCs w:val="21"/>
              </w:rPr>
              <w:t>会导致碲沉淀量过少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9" w:hRule="atLeast"/>
        </w:trPr>
        <w:tc>
          <w:tcPr>
            <w:tcW w:w="851" w:type="dxa"/>
            <w:vAlign w:val="center"/>
          </w:tcPr>
          <w:p>
            <w:pPr>
              <w:spacing w:line="360" w:lineRule="auto"/>
              <w:jc w:val="center"/>
              <w:rPr>
                <w:szCs w:val="21"/>
              </w:rPr>
            </w:pPr>
            <w:r>
              <w:rPr>
                <w:rFonts w:hint="eastAsia"/>
                <w:szCs w:val="21"/>
              </w:rPr>
              <w:t>3</w:t>
            </w:r>
          </w:p>
        </w:tc>
        <w:tc>
          <w:tcPr>
            <w:tcW w:w="1276" w:type="dxa"/>
            <w:vAlign w:val="center"/>
          </w:tcPr>
          <w:p>
            <w:pPr>
              <w:spacing w:line="360" w:lineRule="auto"/>
              <w:jc w:val="center"/>
              <w:rPr>
                <w:szCs w:val="21"/>
              </w:rPr>
            </w:pPr>
            <w:r>
              <w:rPr>
                <w:rFonts w:hint="eastAsia"/>
                <w:szCs w:val="21"/>
              </w:rPr>
              <w:t>7.</w:t>
            </w:r>
            <w:r>
              <w:rPr>
                <w:szCs w:val="21"/>
              </w:rPr>
              <w:t>4.2</w:t>
            </w:r>
          </w:p>
        </w:tc>
        <w:tc>
          <w:tcPr>
            <w:tcW w:w="3402" w:type="dxa"/>
            <w:vAlign w:val="center"/>
          </w:tcPr>
          <w:p>
            <w:pPr>
              <w:adjustRightInd w:val="0"/>
              <w:spacing w:line="360" w:lineRule="auto"/>
              <w:rPr>
                <w:rFonts w:ascii="宋体" w:hAnsi="宋体" w:cs="宋体"/>
                <w:szCs w:val="21"/>
              </w:rPr>
            </w:pPr>
            <w:r>
              <w:rPr>
                <w:rFonts w:hint="eastAsia" w:ascii="宋体" w:hAnsi="宋体"/>
                <w:szCs w:val="21"/>
              </w:rPr>
              <w:t>用硫酸冒烟挥发硒代替沉淀分离硒。</w:t>
            </w:r>
          </w:p>
          <w:p>
            <w:pPr>
              <w:spacing w:line="360" w:lineRule="auto"/>
              <w:jc w:val="center"/>
              <w:rPr>
                <w:rFonts w:hint="eastAsia"/>
                <w:szCs w:val="21"/>
              </w:rPr>
            </w:pPr>
          </w:p>
        </w:tc>
        <w:tc>
          <w:tcPr>
            <w:tcW w:w="1276" w:type="dxa"/>
            <w:vAlign w:val="center"/>
          </w:tcPr>
          <w:p>
            <w:pPr>
              <w:spacing w:line="360" w:lineRule="auto"/>
              <w:jc w:val="center"/>
              <w:rPr>
                <w:szCs w:val="21"/>
              </w:rPr>
            </w:pPr>
            <w:r>
              <w:rPr>
                <w:rFonts w:hint="eastAsia"/>
                <w:szCs w:val="21"/>
              </w:rPr>
              <w:t>中金岭南</w:t>
            </w:r>
            <w:r>
              <w:rPr>
                <w:szCs w:val="21"/>
              </w:rPr>
              <w:t>韶关冶炼厂</w:t>
            </w:r>
          </w:p>
        </w:tc>
        <w:tc>
          <w:tcPr>
            <w:tcW w:w="708" w:type="dxa"/>
            <w:vAlign w:val="center"/>
          </w:tcPr>
          <w:p>
            <w:pPr>
              <w:spacing w:line="360" w:lineRule="auto"/>
              <w:jc w:val="center"/>
              <w:rPr>
                <w:szCs w:val="21"/>
              </w:rPr>
            </w:pPr>
            <w:r>
              <w:rPr>
                <w:szCs w:val="21"/>
              </w:rPr>
              <w:t>不采纳</w:t>
            </w:r>
          </w:p>
        </w:tc>
        <w:tc>
          <w:tcPr>
            <w:tcW w:w="1824" w:type="dxa"/>
            <w:vAlign w:val="center"/>
          </w:tcPr>
          <w:p>
            <w:pPr>
              <w:spacing w:line="360" w:lineRule="auto"/>
              <w:jc w:val="center"/>
              <w:rPr>
                <w:rFonts w:hint="eastAsia"/>
                <w:szCs w:val="21"/>
              </w:rPr>
            </w:pPr>
            <w:r>
              <w:rPr>
                <w:szCs w:val="21"/>
              </w:rPr>
              <w:t>硫酸挥发硒易残留硒</w:t>
            </w:r>
            <w:r>
              <w:rPr>
                <w:rFonts w:hint="eastAsia"/>
                <w:szCs w:val="21"/>
              </w:rPr>
              <w:t>，</w:t>
            </w:r>
            <w:r>
              <w:rPr>
                <w:szCs w:val="21"/>
              </w:rPr>
              <w:t>冒净硫酸时间较长</w:t>
            </w:r>
            <w:r>
              <w:rPr>
                <w:rFonts w:hint="eastAsia"/>
                <w:szCs w:val="21"/>
              </w:rPr>
              <w:t>，没有冒净易</w:t>
            </w:r>
            <w:r>
              <w:rPr>
                <w:szCs w:val="21"/>
              </w:rPr>
              <w:t>残留不易洗净</w:t>
            </w:r>
            <w:r>
              <w:rPr>
                <w:rFonts w:hint="eastAsia"/>
                <w:szCs w:val="21"/>
              </w:rPr>
              <w:t>，</w:t>
            </w:r>
            <w:r>
              <w:rPr>
                <w:szCs w:val="21"/>
              </w:rPr>
              <w:t>环境污染较重</w:t>
            </w:r>
            <w:r>
              <w:rPr>
                <w:rFonts w:hint="eastAsia"/>
                <w:szCs w:val="21"/>
              </w:rPr>
              <w:t>，</w:t>
            </w:r>
            <w:r>
              <w:rPr>
                <w:szCs w:val="21"/>
              </w:rPr>
              <w:t>在样品含有钙铅时产生沉淀</w:t>
            </w:r>
            <w:r>
              <w:rPr>
                <w:rFonts w:hint="eastAsia"/>
                <w:szCs w:val="21"/>
              </w:rPr>
              <w:t>，</w:t>
            </w:r>
            <w:r>
              <w:rPr>
                <w:szCs w:val="21"/>
              </w:rPr>
              <w:t>该沉淀易穿滤</w:t>
            </w:r>
            <w:r>
              <w:rPr>
                <w:rFonts w:hint="eastAsia"/>
                <w:szCs w:val="21"/>
              </w:rPr>
              <w:t>最后</w:t>
            </w:r>
            <w:r>
              <w:rPr>
                <w:szCs w:val="21"/>
              </w:rPr>
              <w:t>影响碲沉淀上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9" w:hRule="atLeast"/>
        </w:trPr>
        <w:tc>
          <w:tcPr>
            <w:tcW w:w="851" w:type="dxa"/>
            <w:vAlign w:val="center"/>
          </w:tcPr>
          <w:p>
            <w:pPr>
              <w:spacing w:line="360" w:lineRule="auto"/>
              <w:jc w:val="center"/>
              <w:rPr>
                <w:szCs w:val="21"/>
              </w:rPr>
            </w:pPr>
            <w:r>
              <w:rPr>
                <w:rFonts w:hint="eastAsia"/>
                <w:szCs w:val="21"/>
              </w:rPr>
              <w:t>4</w:t>
            </w:r>
          </w:p>
        </w:tc>
        <w:tc>
          <w:tcPr>
            <w:tcW w:w="1276" w:type="dxa"/>
            <w:vAlign w:val="center"/>
          </w:tcPr>
          <w:p>
            <w:pPr>
              <w:spacing w:line="360" w:lineRule="auto"/>
              <w:jc w:val="center"/>
              <w:rPr>
                <w:szCs w:val="21"/>
              </w:rPr>
            </w:pPr>
            <w:r>
              <w:rPr>
                <w:rFonts w:hint="eastAsia"/>
                <w:szCs w:val="21"/>
              </w:rPr>
              <w:t>7.4.2</w:t>
            </w:r>
          </w:p>
        </w:tc>
        <w:tc>
          <w:tcPr>
            <w:tcW w:w="3402" w:type="dxa"/>
            <w:vAlign w:val="center"/>
          </w:tcPr>
          <w:p>
            <w:pPr>
              <w:spacing w:line="360" w:lineRule="auto"/>
              <w:rPr>
                <w:szCs w:val="21"/>
              </w:rPr>
            </w:pPr>
            <w:r>
              <w:rPr>
                <w:szCs w:val="21"/>
              </w:rPr>
              <w:t>两次沉淀的加热方式更改为水浴</w:t>
            </w:r>
          </w:p>
        </w:tc>
        <w:tc>
          <w:tcPr>
            <w:tcW w:w="1276" w:type="dxa"/>
            <w:vAlign w:val="center"/>
          </w:tcPr>
          <w:p>
            <w:pPr>
              <w:spacing w:line="360" w:lineRule="auto"/>
              <w:rPr>
                <w:szCs w:val="21"/>
              </w:rPr>
            </w:pPr>
            <w:r>
              <w:rPr>
                <w:rFonts w:hint="eastAsia"/>
                <w:szCs w:val="21"/>
              </w:rPr>
              <w:t>桂林有色地矿院</w:t>
            </w:r>
          </w:p>
        </w:tc>
        <w:tc>
          <w:tcPr>
            <w:tcW w:w="708" w:type="dxa"/>
            <w:vAlign w:val="center"/>
          </w:tcPr>
          <w:p>
            <w:pPr>
              <w:spacing w:line="360" w:lineRule="auto"/>
              <w:jc w:val="center"/>
              <w:rPr>
                <w:szCs w:val="21"/>
              </w:rPr>
            </w:pPr>
            <w:r>
              <w:rPr>
                <w:szCs w:val="21"/>
              </w:rPr>
              <w:t>采纳</w:t>
            </w:r>
          </w:p>
        </w:tc>
        <w:tc>
          <w:tcPr>
            <w:tcW w:w="1824"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1" w:hRule="atLeast"/>
        </w:trPr>
        <w:tc>
          <w:tcPr>
            <w:tcW w:w="851" w:type="dxa"/>
            <w:vAlign w:val="center"/>
          </w:tcPr>
          <w:p>
            <w:pPr>
              <w:spacing w:line="360" w:lineRule="auto"/>
              <w:jc w:val="center"/>
              <w:rPr>
                <w:szCs w:val="21"/>
              </w:rPr>
            </w:pPr>
            <w:r>
              <w:rPr>
                <w:szCs w:val="21"/>
              </w:rPr>
              <w:t>5</w:t>
            </w:r>
          </w:p>
        </w:tc>
        <w:tc>
          <w:tcPr>
            <w:tcW w:w="1276" w:type="dxa"/>
            <w:vAlign w:val="center"/>
          </w:tcPr>
          <w:p>
            <w:pPr>
              <w:spacing w:line="360" w:lineRule="auto"/>
              <w:jc w:val="center"/>
              <w:rPr>
                <w:szCs w:val="21"/>
              </w:rPr>
            </w:pPr>
            <w:r>
              <w:rPr>
                <w:rFonts w:hint="eastAsia"/>
                <w:szCs w:val="21"/>
              </w:rPr>
              <w:t>7.4.5</w:t>
            </w:r>
          </w:p>
        </w:tc>
        <w:tc>
          <w:tcPr>
            <w:tcW w:w="3402" w:type="dxa"/>
            <w:vAlign w:val="center"/>
          </w:tcPr>
          <w:p>
            <w:pPr>
              <w:rPr>
                <w:szCs w:val="21"/>
              </w:rPr>
            </w:pPr>
            <w:r>
              <w:rPr>
                <w:rFonts w:hint="eastAsia"/>
                <w:szCs w:val="21"/>
              </w:rPr>
              <w:t>完成过滤后再用水反复冲洗碲黑色沉淀”，建议给出水洗的次数或者次数范围。</w:t>
            </w:r>
          </w:p>
          <w:p>
            <w:pPr>
              <w:spacing w:line="360" w:lineRule="auto"/>
              <w:jc w:val="center"/>
              <w:rPr>
                <w:szCs w:val="21"/>
              </w:rPr>
            </w:pPr>
          </w:p>
        </w:tc>
        <w:tc>
          <w:tcPr>
            <w:tcW w:w="1276" w:type="dxa"/>
            <w:vAlign w:val="center"/>
          </w:tcPr>
          <w:p>
            <w:pPr>
              <w:spacing w:line="360" w:lineRule="auto"/>
              <w:rPr>
                <w:szCs w:val="21"/>
              </w:rPr>
            </w:pPr>
            <w:r>
              <w:rPr>
                <w:szCs w:val="21"/>
              </w:rPr>
              <w:t>国标检验认证有限公司</w:t>
            </w:r>
          </w:p>
        </w:tc>
        <w:tc>
          <w:tcPr>
            <w:tcW w:w="708" w:type="dxa"/>
            <w:vAlign w:val="center"/>
          </w:tcPr>
          <w:p>
            <w:pPr>
              <w:spacing w:line="360" w:lineRule="auto"/>
              <w:jc w:val="center"/>
              <w:rPr>
                <w:szCs w:val="21"/>
              </w:rPr>
            </w:pPr>
            <w:r>
              <w:rPr>
                <w:szCs w:val="21"/>
              </w:rPr>
              <w:t>采纳</w:t>
            </w:r>
          </w:p>
        </w:tc>
        <w:tc>
          <w:tcPr>
            <w:tcW w:w="1824"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1" w:hRule="atLeast"/>
        </w:trPr>
        <w:tc>
          <w:tcPr>
            <w:tcW w:w="851" w:type="dxa"/>
            <w:vAlign w:val="center"/>
          </w:tcPr>
          <w:p>
            <w:pPr>
              <w:spacing w:line="360" w:lineRule="auto"/>
              <w:jc w:val="center"/>
              <w:rPr>
                <w:szCs w:val="21"/>
              </w:rPr>
            </w:pPr>
            <w:r>
              <w:rPr>
                <w:szCs w:val="21"/>
              </w:rPr>
              <w:t>6</w:t>
            </w:r>
          </w:p>
        </w:tc>
        <w:tc>
          <w:tcPr>
            <w:tcW w:w="1276" w:type="dxa"/>
            <w:vAlign w:val="center"/>
          </w:tcPr>
          <w:p>
            <w:pPr>
              <w:spacing w:line="360" w:lineRule="auto"/>
              <w:jc w:val="center"/>
              <w:rPr>
                <w:szCs w:val="21"/>
              </w:rPr>
            </w:pPr>
            <w:r>
              <w:rPr>
                <w:rFonts w:hint="eastAsia"/>
                <w:szCs w:val="21"/>
              </w:rPr>
              <w:t xml:space="preserve">7.4.6 </w:t>
            </w:r>
          </w:p>
        </w:tc>
        <w:tc>
          <w:tcPr>
            <w:tcW w:w="3402" w:type="dxa"/>
            <w:vAlign w:val="center"/>
          </w:tcPr>
          <w:p>
            <w:pPr>
              <w:spacing w:line="360" w:lineRule="auto"/>
              <w:rPr>
                <w:rFonts w:hint="eastAsia"/>
                <w:szCs w:val="21"/>
              </w:rPr>
            </w:pPr>
            <w:r>
              <w:rPr>
                <w:szCs w:val="21"/>
              </w:rPr>
              <w:t>因为沉淀量较少</w:t>
            </w:r>
            <w:r>
              <w:rPr>
                <w:rFonts w:hint="eastAsia"/>
                <w:szCs w:val="21"/>
              </w:rPr>
              <w:t>，</w:t>
            </w:r>
            <w:r>
              <w:rPr>
                <w:szCs w:val="21"/>
              </w:rPr>
              <w:t>不需在烘箱中要再次烘干碲沉淀</w:t>
            </w:r>
          </w:p>
        </w:tc>
        <w:tc>
          <w:tcPr>
            <w:tcW w:w="1276" w:type="dxa"/>
            <w:vAlign w:val="center"/>
          </w:tcPr>
          <w:p>
            <w:pPr>
              <w:spacing w:line="360" w:lineRule="auto"/>
              <w:jc w:val="center"/>
              <w:rPr>
                <w:szCs w:val="21"/>
              </w:rPr>
            </w:pPr>
            <w:r>
              <w:rPr>
                <w:rFonts w:hint="eastAsia"/>
                <w:szCs w:val="21"/>
              </w:rPr>
              <w:t>清远</w:t>
            </w:r>
            <w:r>
              <w:rPr>
                <w:szCs w:val="21"/>
              </w:rPr>
              <w:t>先导材料有限公司</w:t>
            </w:r>
          </w:p>
        </w:tc>
        <w:tc>
          <w:tcPr>
            <w:tcW w:w="708" w:type="dxa"/>
            <w:vAlign w:val="center"/>
          </w:tcPr>
          <w:p>
            <w:pPr>
              <w:spacing w:line="360" w:lineRule="auto"/>
              <w:jc w:val="center"/>
              <w:rPr>
                <w:szCs w:val="21"/>
              </w:rPr>
            </w:pPr>
            <w:r>
              <w:rPr>
                <w:szCs w:val="21"/>
              </w:rPr>
              <w:t>不采纳</w:t>
            </w:r>
          </w:p>
        </w:tc>
        <w:tc>
          <w:tcPr>
            <w:tcW w:w="1824" w:type="dxa"/>
            <w:vAlign w:val="center"/>
          </w:tcPr>
          <w:p>
            <w:pPr>
              <w:spacing w:line="360" w:lineRule="auto"/>
              <w:rPr>
                <w:szCs w:val="21"/>
              </w:rPr>
            </w:pPr>
            <w:r>
              <w:rPr>
                <w:rFonts w:hint="eastAsia"/>
                <w:szCs w:val="21"/>
              </w:rPr>
              <w:t>恒重</w:t>
            </w:r>
            <w:r>
              <w:rPr>
                <w:szCs w:val="21"/>
              </w:rPr>
              <w:t>是重量法测定法的</w:t>
            </w:r>
            <w:r>
              <w:rPr>
                <w:rFonts w:hint="eastAsia"/>
                <w:szCs w:val="21"/>
              </w:rPr>
              <w:t>基本</w:t>
            </w:r>
            <w:r>
              <w:rPr>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6" w:hRule="atLeast"/>
        </w:trPr>
        <w:tc>
          <w:tcPr>
            <w:tcW w:w="851" w:type="dxa"/>
            <w:vAlign w:val="center"/>
          </w:tcPr>
          <w:p>
            <w:pPr>
              <w:spacing w:line="360" w:lineRule="auto"/>
              <w:jc w:val="center"/>
              <w:rPr>
                <w:szCs w:val="21"/>
              </w:rPr>
            </w:pPr>
            <w:r>
              <w:rPr>
                <w:szCs w:val="21"/>
              </w:rPr>
              <w:t>7</w:t>
            </w:r>
          </w:p>
        </w:tc>
        <w:tc>
          <w:tcPr>
            <w:tcW w:w="1276" w:type="dxa"/>
            <w:vAlign w:val="center"/>
          </w:tcPr>
          <w:p>
            <w:pPr>
              <w:spacing w:line="360" w:lineRule="auto"/>
              <w:jc w:val="center"/>
              <w:rPr>
                <w:szCs w:val="21"/>
              </w:rPr>
            </w:pPr>
            <w:r>
              <w:rPr>
                <w:rFonts w:hint="eastAsia"/>
                <w:szCs w:val="21"/>
              </w:rPr>
              <w:t>7.4.4</w:t>
            </w:r>
          </w:p>
        </w:tc>
        <w:tc>
          <w:tcPr>
            <w:tcW w:w="3402" w:type="dxa"/>
            <w:vAlign w:val="center"/>
          </w:tcPr>
          <w:p>
            <w:pPr>
              <w:spacing w:line="360" w:lineRule="auto"/>
              <w:rPr>
                <w:szCs w:val="21"/>
              </w:rPr>
            </w:pPr>
            <w:r>
              <w:rPr>
                <w:rFonts w:hint="eastAsia" w:ascii="宋体" w:hAnsi="宋体"/>
                <w:szCs w:val="21"/>
              </w:rPr>
              <w:t>用亚硫酸钠代替亚硫酸做沉淀剂</w:t>
            </w:r>
          </w:p>
        </w:tc>
        <w:tc>
          <w:tcPr>
            <w:tcW w:w="1276" w:type="dxa"/>
            <w:vAlign w:val="center"/>
          </w:tcPr>
          <w:p>
            <w:pPr>
              <w:spacing w:line="360" w:lineRule="auto"/>
              <w:jc w:val="center"/>
              <w:rPr>
                <w:szCs w:val="21"/>
              </w:rPr>
            </w:pPr>
            <w:r>
              <w:rPr>
                <w:szCs w:val="21"/>
              </w:rPr>
              <w:t>中金岭南韶关冶炼厂</w:t>
            </w:r>
          </w:p>
        </w:tc>
        <w:tc>
          <w:tcPr>
            <w:tcW w:w="708" w:type="dxa"/>
            <w:vAlign w:val="center"/>
          </w:tcPr>
          <w:p>
            <w:pPr>
              <w:spacing w:line="360" w:lineRule="auto"/>
              <w:jc w:val="center"/>
              <w:rPr>
                <w:szCs w:val="21"/>
              </w:rPr>
            </w:pPr>
            <w:r>
              <w:rPr>
                <w:szCs w:val="21"/>
              </w:rPr>
              <w:t>不采纳</w:t>
            </w:r>
          </w:p>
        </w:tc>
        <w:tc>
          <w:tcPr>
            <w:tcW w:w="1824" w:type="dxa"/>
            <w:vAlign w:val="center"/>
          </w:tcPr>
          <w:p>
            <w:pPr>
              <w:spacing w:line="360" w:lineRule="auto"/>
              <w:rPr>
                <w:szCs w:val="21"/>
              </w:rPr>
            </w:pPr>
            <w:r>
              <w:rPr>
                <w:szCs w:val="21"/>
              </w:rPr>
              <w:t>亚硫酸钠是盐类</w:t>
            </w:r>
            <w:r>
              <w:rPr>
                <w:rFonts w:hint="eastAsia"/>
                <w:szCs w:val="21"/>
              </w:rPr>
              <w:t>，</w:t>
            </w:r>
            <w:r>
              <w:rPr>
                <w:szCs w:val="21"/>
              </w:rPr>
              <w:t>易残留在碲沉淀物中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6" w:hRule="atLeast"/>
        </w:trPr>
        <w:tc>
          <w:tcPr>
            <w:tcW w:w="851" w:type="dxa"/>
            <w:vAlign w:val="center"/>
          </w:tcPr>
          <w:p>
            <w:pPr>
              <w:spacing w:line="360" w:lineRule="auto"/>
              <w:jc w:val="center"/>
              <w:rPr>
                <w:szCs w:val="21"/>
              </w:rPr>
            </w:pPr>
            <w:r>
              <w:rPr>
                <w:szCs w:val="21"/>
              </w:rPr>
              <w:t>8</w:t>
            </w:r>
          </w:p>
        </w:tc>
        <w:tc>
          <w:tcPr>
            <w:tcW w:w="1276" w:type="dxa"/>
            <w:vAlign w:val="center"/>
          </w:tcPr>
          <w:p>
            <w:pPr>
              <w:spacing w:line="360" w:lineRule="auto"/>
              <w:jc w:val="center"/>
              <w:rPr>
                <w:szCs w:val="21"/>
              </w:rPr>
            </w:pPr>
            <w:r>
              <w:rPr>
                <w:rFonts w:hint="eastAsia"/>
                <w:szCs w:val="21"/>
              </w:rPr>
              <w:t>7.4.5</w:t>
            </w:r>
          </w:p>
        </w:tc>
        <w:tc>
          <w:tcPr>
            <w:tcW w:w="3402" w:type="dxa"/>
            <w:vAlign w:val="center"/>
          </w:tcPr>
          <w:p>
            <w:pPr>
              <w:adjustRightInd w:val="0"/>
              <w:spacing w:line="360" w:lineRule="auto"/>
              <w:rPr>
                <w:rFonts w:ascii="宋体" w:hAnsi="宋体" w:cs="宋体"/>
                <w:szCs w:val="21"/>
              </w:rPr>
            </w:pPr>
            <w:r>
              <w:rPr>
                <w:rFonts w:hint="eastAsia" w:ascii="宋体" w:hAnsi="宋体"/>
                <w:szCs w:val="21"/>
              </w:rPr>
              <w:t>G4玻璃砂芯坩埚宜规定体积，避免坩埚太重，带来称量误差。</w:t>
            </w:r>
          </w:p>
          <w:p>
            <w:pPr>
              <w:spacing w:line="360" w:lineRule="auto"/>
              <w:jc w:val="center"/>
              <w:rPr>
                <w:szCs w:val="21"/>
              </w:rPr>
            </w:pPr>
          </w:p>
        </w:tc>
        <w:tc>
          <w:tcPr>
            <w:tcW w:w="1276" w:type="dxa"/>
            <w:vAlign w:val="center"/>
          </w:tcPr>
          <w:p>
            <w:pPr>
              <w:spacing w:line="360" w:lineRule="auto"/>
              <w:jc w:val="center"/>
              <w:rPr>
                <w:szCs w:val="21"/>
              </w:rPr>
            </w:pPr>
            <w:r>
              <w:rPr>
                <w:szCs w:val="21"/>
              </w:rPr>
              <w:t>中金岭南韶关冶炼厂</w:t>
            </w:r>
          </w:p>
        </w:tc>
        <w:tc>
          <w:tcPr>
            <w:tcW w:w="708" w:type="dxa"/>
            <w:vAlign w:val="center"/>
          </w:tcPr>
          <w:p>
            <w:pPr>
              <w:spacing w:line="360" w:lineRule="auto"/>
              <w:jc w:val="center"/>
              <w:rPr>
                <w:szCs w:val="21"/>
              </w:rPr>
            </w:pPr>
            <w:r>
              <w:rPr>
                <w:szCs w:val="21"/>
              </w:rPr>
              <w:t>采纳</w:t>
            </w:r>
          </w:p>
        </w:tc>
        <w:tc>
          <w:tcPr>
            <w:tcW w:w="1824" w:type="dxa"/>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6" w:hRule="atLeast"/>
        </w:trPr>
        <w:tc>
          <w:tcPr>
            <w:tcW w:w="851" w:type="dxa"/>
            <w:vAlign w:val="center"/>
          </w:tcPr>
          <w:p>
            <w:pPr>
              <w:spacing w:line="360" w:lineRule="auto"/>
              <w:jc w:val="center"/>
              <w:rPr>
                <w:szCs w:val="21"/>
              </w:rPr>
            </w:pPr>
            <w:r>
              <w:rPr>
                <w:szCs w:val="21"/>
              </w:rPr>
              <w:t>9</w:t>
            </w:r>
          </w:p>
        </w:tc>
        <w:tc>
          <w:tcPr>
            <w:tcW w:w="1276" w:type="dxa"/>
            <w:vAlign w:val="center"/>
          </w:tcPr>
          <w:p>
            <w:pPr>
              <w:spacing w:line="360" w:lineRule="auto"/>
              <w:jc w:val="center"/>
              <w:rPr>
                <w:szCs w:val="21"/>
              </w:rPr>
            </w:pPr>
            <w:r>
              <w:rPr>
                <w:rFonts w:hint="eastAsia"/>
                <w:szCs w:val="21"/>
              </w:rPr>
              <w:t>8</w:t>
            </w:r>
          </w:p>
        </w:tc>
        <w:tc>
          <w:tcPr>
            <w:tcW w:w="3402" w:type="dxa"/>
            <w:vAlign w:val="center"/>
          </w:tcPr>
          <w:p>
            <w:pPr>
              <w:spacing w:line="360" w:lineRule="auto"/>
              <w:rPr>
                <w:szCs w:val="21"/>
              </w:rPr>
            </w:pPr>
            <w:r>
              <w:rPr>
                <w:rFonts w:hint="eastAsia"/>
                <w:bCs/>
                <w:szCs w:val="21"/>
              </w:rPr>
              <w:t>计算公式中体现扣减空白值</w:t>
            </w:r>
          </w:p>
        </w:tc>
        <w:tc>
          <w:tcPr>
            <w:tcW w:w="1276" w:type="dxa"/>
            <w:vAlign w:val="center"/>
          </w:tcPr>
          <w:p>
            <w:pPr>
              <w:spacing w:line="360" w:lineRule="auto"/>
              <w:jc w:val="center"/>
              <w:rPr>
                <w:szCs w:val="21"/>
              </w:rPr>
            </w:pPr>
            <w:r>
              <w:rPr>
                <w:szCs w:val="21"/>
              </w:rPr>
              <w:t>紫金矿业有限公司</w:t>
            </w:r>
          </w:p>
        </w:tc>
        <w:tc>
          <w:tcPr>
            <w:tcW w:w="708" w:type="dxa"/>
            <w:vAlign w:val="center"/>
          </w:tcPr>
          <w:p>
            <w:pPr>
              <w:spacing w:line="360" w:lineRule="auto"/>
              <w:jc w:val="center"/>
              <w:rPr>
                <w:szCs w:val="21"/>
              </w:rPr>
            </w:pPr>
            <w:r>
              <w:rPr>
                <w:szCs w:val="21"/>
              </w:rPr>
              <w:t>不采纳</w:t>
            </w:r>
          </w:p>
        </w:tc>
        <w:tc>
          <w:tcPr>
            <w:tcW w:w="1824" w:type="dxa"/>
            <w:vAlign w:val="center"/>
          </w:tcPr>
          <w:p>
            <w:pPr>
              <w:spacing w:line="360" w:lineRule="auto"/>
              <w:rPr>
                <w:szCs w:val="21"/>
              </w:rPr>
            </w:pPr>
            <w:r>
              <w:rPr>
                <w:szCs w:val="21"/>
              </w:rPr>
              <w:t>无空白</w:t>
            </w:r>
            <w:r>
              <w:rPr>
                <w:rFonts w:hint="eastAsia"/>
                <w:szCs w:val="21"/>
              </w:rPr>
              <w:t>值</w:t>
            </w:r>
          </w:p>
        </w:tc>
      </w:tr>
    </w:tbl>
    <w:p/>
    <w:p>
      <w:pPr>
        <w:rPr>
          <w:color w:val="000000"/>
          <w:szCs w:val="21"/>
        </w:rPr>
      </w:pPr>
      <w:r>
        <w:rPr>
          <w:szCs w:val="21"/>
        </w:rPr>
        <w:t>说明</w:t>
      </w:r>
      <w:r>
        <w:rPr>
          <w:color w:val="000000"/>
          <w:szCs w:val="21"/>
        </w:rPr>
        <w:t>（1）发送《征求意见稿》的单位数：18；</w:t>
      </w:r>
    </w:p>
    <w:p>
      <w:pPr>
        <w:rPr>
          <w:color w:val="000000"/>
          <w:szCs w:val="21"/>
        </w:rPr>
      </w:pPr>
      <w:r>
        <w:rPr>
          <w:color w:val="000000"/>
          <w:szCs w:val="21"/>
        </w:rPr>
        <w:t xml:space="preserve">    （2）收到《征求意见稿》后，回函的单位数：</w:t>
      </w:r>
      <w:r>
        <w:rPr>
          <w:rFonts w:hint="eastAsia"/>
          <w:color w:val="000000"/>
          <w:szCs w:val="21"/>
        </w:rPr>
        <w:t>18</w:t>
      </w:r>
      <w:r>
        <w:rPr>
          <w:color w:val="000000"/>
          <w:szCs w:val="21"/>
        </w:rPr>
        <w:t>；</w:t>
      </w:r>
    </w:p>
    <w:p>
      <w:pPr>
        <w:ind w:firstLine="435"/>
        <w:rPr>
          <w:color w:val="000000"/>
          <w:szCs w:val="21"/>
        </w:rPr>
      </w:pPr>
      <w:r>
        <w:rPr>
          <w:color w:val="000000"/>
          <w:szCs w:val="21"/>
        </w:rPr>
        <w:t>（3）收到《征求意见稿》后，回函并有建议或意见的单位数</w:t>
      </w:r>
      <w:r>
        <w:rPr>
          <w:rFonts w:hint="eastAsia"/>
          <w:color w:val="000000"/>
          <w:szCs w:val="21"/>
        </w:rPr>
        <w:t>：6</w:t>
      </w:r>
      <w:r>
        <w:rPr>
          <w:color w:val="000000"/>
          <w:szCs w:val="21"/>
        </w:rPr>
        <w:t>；</w:t>
      </w:r>
    </w:p>
    <w:p>
      <w:pPr>
        <w:rPr>
          <w:szCs w:val="21"/>
        </w:rPr>
      </w:pPr>
      <w:r>
        <w:rPr>
          <w:color w:val="000000"/>
          <w:szCs w:val="21"/>
        </w:rPr>
        <w:t xml:space="preserve">    （4）没有回函的单位数：无。</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E-BZ+ZMdJRg-2">
    <w:altName w:val="Times New Roman"/>
    <w:panose1 w:val="00000000000000000000"/>
    <w:charset w:val="00"/>
    <w:family w:val="roman"/>
    <w:pitch w:val="default"/>
    <w:sig w:usb0="00000000" w:usb1="00000000" w:usb2="00000000" w:usb3="00000000" w:csb0="00000001" w:csb1="00000000"/>
  </w:font>
  <w:font w:name="KTJ0+ZMdJRg-5">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STSong-Light">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rPr>
        <w:rStyle w:val="26"/>
      </w:rPr>
      <w:instrText xml:space="preserve"> PAGE </w:instrText>
    </w:r>
    <w:r>
      <w:fldChar w:fldCharType="separate"/>
    </w:r>
    <w:r>
      <w:rPr>
        <w:rStyle w:val="26"/>
      </w:rP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52A8B"/>
    <w:multiLevelType w:val="singleLevel"/>
    <w:tmpl w:val="8AA52A8B"/>
    <w:lvl w:ilvl="0" w:tentative="0">
      <w:start w:val="2"/>
      <w:numFmt w:val="chineseCounting"/>
      <w:suff w:val="nothing"/>
      <w:lvlText w:val="%1、"/>
      <w:lvlJc w:val="left"/>
      <w:rPr>
        <w:rFonts w:hint="eastAsia"/>
      </w:rPr>
    </w:lvl>
  </w:abstractNum>
  <w:abstractNum w:abstractNumId="1">
    <w:nsid w:val="3779694B"/>
    <w:multiLevelType w:val="multilevel"/>
    <w:tmpl w:val="3779694B"/>
    <w:lvl w:ilvl="0" w:tentative="0">
      <w:start w:val="1"/>
      <w:numFmt w:val="decimal"/>
      <w:lvlText w:val="%1"/>
      <w:lvlJc w:val="left"/>
      <w:pPr>
        <w:tabs>
          <w:tab w:val="left" w:pos="432"/>
        </w:tabs>
        <w:ind w:left="432" w:hanging="432"/>
      </w:pPr>
      <w:rPr>
        <w:rFonts w:hint="default"/>
      </w:rPr>
    </w:lvl>
    <w:lvl w:ilvl="1" w:tentative="0">
      <w:start w:val="1"/>
      <w:numFmt w:val="decimal"/>
      <w:pStyle w:val="95"/>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49DA6746"/>
    <w:multiLevelType w:val="multilevel"/>
    <w:tmpl w:val="49DA6746"/>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6260FA"/>
    <w:multiLevelType w:val="multilevel"/>
    <w:tmpl w:val="646260FA"/>
    <w:lvl w:ilvl="0" w:tentative="0">
      <w:start w:val="1"/>
      <w:numFmt w:val="decimal"/>
      <w:pStyle w:val="101"/>
      <w:suff w:val="nothing"/>
      <w:lvlText w:val="表%1　"/>
      <w:lvlJc w:val="left"/>
      <w:pPr>
        <w:ind w:left="241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z w:val="21"/>
      </w:rPr>
    </w:lvl>
    <w:lvl w:ilvl="1" w:tentative="0">
      <w:start w:val="1"/>
      <w:numFmt w:val="decimal"/>
      <w:lvlText w:val="%2."/>
      <w:lvlJc w:val="left"/>
      <w:pPr>
        <w:tabs>
          <w:tab w:val="left" w:pos="420"/>
        </w:tabs>
        <w:ind w:left="420" w:hanging="420"/>
      </w:pPr>
      <w:rPr>
        <w:rFonts w:hint="eastAsia"/>
        <w:b w:val="0"/>
        <w:i w:val="0"/>
        <w:sz w:val="21"/>
      </w:rPr>
    </w:lvl>
    <w:lvl w:ilvl="2" w:tentative="0">
      <w:start w:val="1"/>
      <w:numFmt w:val="decimal"/>
      <w:pStyle w:val="87"/>
      <w:suff w:val="nothing"/>
      <w:lvlText w:val="%1.%2.%3　"/>
      <w:lvlJc w:val="left"/>
      <w:pPr>
        <w:ind w:left="1418"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0"/>
      <w:suff w:val="nothing"/>
      <w:lvlText w:val="%1.%2.%3.%4.%5.%6　"/>
      <w:lvlJc w:val="left"/>
      <w:pPr>
        <w:ind w:left="0" w:firstLine="0"/>
      </w:pPr>
      <w:rPr>
        <w:rFonts w:hint="eastAsia" w:ascii="黑体" w:hAnsi="Times New Roman" w:eastAsia="黑体"/>
        <w:b w:val="0"/>
        <w:i w:val="0"/>
        <w:sz w:val="21"/>
      </w:rPr>
    </w:lvl>
    <w:lvl w:ilvl="6" w:tentative="0">
      <w:start w:val="1"/>
      <w:numFmt w:val="decimal"/>
      <w:pStyle w:val="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9"/>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105" w:firstLine="0"/>
      </w:pPr>
      <w:rPr>
        <w:rFonts w:hint="eastAsia" w:ascii="黑体" w:hAnsi="Times New Roman" w:eastAsia="黑体"/>
        <w:b w:val="0"/>
        <w:i w:val="0"/>
        <w:sz w:val="21"/>
      </w:rPr>
    </w:lvl>
    <w:lvl w:ilvl="3" w:tentative="0">
      <w:start w:val="1"/>
      <w:numFmt w:val="decimal"/>
      <w:suff w:val="nothing"/>
      <w:lvlText w:val="%1%2.%3.%4　"/>
      <w:lvlJc w:val="left"/>
      <w:pPr>
        <w:ind w:left="42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7A00DD1"/>
    <w:multiLevelType w:val="multilevel"/>
    <w:tmpl w:val="77A00DD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4YzdjZGZmYTg4ODk3ZjhiZWVkODZlNDE4MWJmZTgifQ=="/>
  </w:docVars>
  <w:rsids>
    <w:rsidRoot w:val="00921B61"/>
    <w:rsid w:val="000052CA"/>
    <w:rsid w:val="000134A9"/>
    <w:rsid w:val="000724A1"/>
    <w:rsid w:val="00116675"/>
    <w:rsid w:val="001569F5"/>
    <w:rsid w:val="00176ECB"/>
    <w:rsid w:val="001C6CC9"/>
    <w:rsid w:val="001D26F2"/>
    <w:rsid w:val="002333BD"/>
    <w:rsid w:val="00245246"/>
    <w:rsid w:val="00265294"/>
    <w:rsid w:val="002669CB"/>
    <w:rsid w:val="0027121D"/>
    <w:rsid w:val="00294B79"/>
    <w:rsid w:val="002D534F"/>
    <w:rsid w:val="00304454"/>
    <w:rsid w:val="003515EB"/>
    <w:rsid w:val="003A3CDC"/>
    <w:rsid w:val="003C5074"/>
    <w:rsid w:val="003D0593"/>
    <w:rsid w:val="00412AFD"/>
    <w:rsid w:val="00413954"/>
    <w:rsid w:val="00424A5A"/>
    <w:rsid w:val="00466219"/>
    <w:rsid w:val="004B2994"/>
    <w:rsid w:val="004D7530"/>
    <w:rsid w:val="004F20B7"/>
    <w:rsid w:val="00507903"/>
    <w:rsid w:val="00545B75"/>
    <w:rsid w:val="00560D72"/>
    <w:rsid w:val="005727E9"/>
    <w:rsid w:val="005F1537"/>
    <w:rsid w:val="00601757"/>
    <w:rsid w:val="00612C84"/>
    <w:rsid w:val="00692C7F"/>
    <w:rsid w:val="006C7661"/>
    <w:rsid w:val="00713ED9"/>
    <w:rsid w:val="00760DD2"/>
    <w:rsid w:val="007847E3"/>
    <w:rsid w:val="00796255"/>
    <w:rsid w:val="007C07BE"/>
    <w:rsid w:val="007D04E2"/>
    <w:rsid w:val="00805241"/>
    <w:rsid w:val="00833A76"/>
    <w:rsid w:val="008563BB"/>
    <w:rsid w:val="008641BC"/>
    <w:rsid w:val="00890F8D"/>
    <w:rsid w:val="00895BEB"/>
    <w:rsid w:val="008B77D7"/>
    <w:rsid w:val="008E45B3"/>
    <w:rsid w:val="008F0F05"/>
    <w:rsid w:val="008F1F31"/>
    <w:rsid w:val="009074CA"/>
    <w:rsid w:val="00921B61"/>
    <w:rsid w:val="00926784"/>
    <w:rsid w:val="0094709B"/>
    <w:rsid w:val="00991A2D"/>
    <w:rsid w:val="009C7518"/>
    <w:rsid w:val="00A61E27"/>
    <w:rsid w:val="00A62AC7"/>
    <w:rsid w:val="00AC5B23"/>
    <w:rsid w:val="00AE7907"/>
    <w:rsid w:val="00B27E3E"/>
    <w:rsid w:val="00B80E77"/>
    <w:rsid w:val="00BE7E17"/>
    <w:rsid w:val="00C04412"/>
    <w:rsid w:val="00C43E43"/>
    <w:rsid w:val="00C7506F"/>
    <w:rsid w:val="00C82310"/>
    <w:rsid w:val="00C935F3"/>
    <w:rsid w:val="00CB11FD"/>
    <w:rsid w:val="00CE7714"/>
    <w:rsid w:val="00D20B25"/>
    <w:rsid w:val="00D212D2"/>
    <w:rsid w:val="00D30E22"/>
    <w:rsid w:val="00D328BE"/>
    <w:rsid w:val="00D41CBF"/>
    <w:rsid w:val="00D656D6"/>
    <w:rsid w:val="00D712C1"/>
    <w:rsid w:val="00D7326F"/>
    <w:rsid w:val="00DD367A"/>
    <w:rsid w:val="00DD777F"/>
    <w:rsid w:val="00DE0C4A"/>
    <w:rsid w:val="00E07BD8"/>
    <w:rsid w:val="00E24819"/>
    <w:rsid w:val="00E67655"/>
    <w:rsid w:val="00EE4203"/>
    <w:rsid w:val="00F00E7E"/>
    <w:rsid w:val="00F11AFC"/>
    <w:rsid w:val="00F35BDA"/>
    <w:rsid w:val="00F555D7"/>
    <w:rsid w:val="00FD19BE"/>
    <w:rsid w:val="3A68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spacing w:before="280" w:after="290" w:line="376" w:lineRule="auto"/>
      <w:outlineLvl w:val="4"/>
    </w:pPr>
    <w:rPr>
      <w:b/>
      <w:bCs/>
      <w:sz w:val="28"/>
      <w:szCs w:val="28"/>
    </w:rPr>
  </w:style>
  <w:style w:type="paragraph" w:styleId="7">
    <w:name w:val="heading 6"/>
    <w:basedOn w:val="1"/>
    <w:next w:val="1"/>
    <w:link w:val="39"/>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40"/>
    <w:qFormat/>
    <w:uiPriority w:val="0"/>
    <w:pPr>
      <w:keepNext/>
      <w:keepLines/>
      <w:spacing w:before="240" w:after="64" w:line="320" w:lineRule="auto"/>
      <w:outlineLvl w:val="6"/>
    </w:pPr>
    <w:rPr>
      <w:b/>
      <w:bCs/>
      <w:sz w:val="24"/>
    </w:rPr>
  </w:style>
  <w:style w:type="paragraph" w:styleId="9">
    <w:name w:val="heading 8"/>
    <w:basedOn w:val="1"/>
    <w:next w:val="1"/>
    <w:link w:val="4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42"/>
    <w:qFormat/>
    <w:uiPriority w:val="0"/>
    <w:pPr>
      <w:keepNext/>
      <w:keepLines/>
      <w:spacing w:before="240" w:after="64" w:line="320" w:lineRule="auto"/>
      <w:outlineLvl w:val="8"/>
    </w:pPr>
    <w:rPr>
      <w:rFonts w:ascii="Arial" w:hAnsi="Arial" w:eastAsia="黑体"/>
      <w:szCs w:val="21"/>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Document Map"/>
    <w:basedOn w:val="1"/>
    <w:link w:val="81"/>
    <w:qFormat/>
    <w:uiPriority w:val="0"/>
    <w:pPr>
      <w:shd w:val="clear" w:color="auto" w:fill="000080"/>
    </w:pPr>
  </w:style>
  <w:style w:type="paragraph" w:styleId="13">
    <w:name w:val="annotation text"/>
    <w:basedOn w:val="1"/>
    <w:link w:val="43"/>
    <w:semiHidden/>
    <w:unhideWhenUsed/>
    <w:qFormat/>
    <w:uiPriority w:val="99"/>
    <w:pPr>
      <w:jc w:val="left"/>
    </w:pPr>
    <w:rPr>
      <w:szCs w:val="21"/>
    </w:rPr>
  </w:style>
  <w:style w:type="paragraph" w:styleId="14">
    <w:name w:val="Body Text"/>
    <w:basedOn w:val="1"/>
    <w:link w:val="103"/>
    <w:qFormat/>
    <w:uiPriority w:val="0"/>
    <w:pPr>
      <w:spacing w:after="120"/>
    </w:pPr>
  </w:style>
  <w:style w:type="paragraph" w:styleId="15">
    <w:name w:val="Body Text Indent"/>
    <w:basedOn w:val="1"/>
    <w:link w:val="44"/>
    <w:qFormat/>
    <w:uiPriority w:val="99"/>
    <w:pPr>
      <w:ind w:left="360"/>
    </w:pPr>
    <w:rPr>
      <w:sz w:val="24"/>
    </w:rPr>
  </w:style>
  <w:style w:type="paragraph" w:styleId="16">
    <w:name w:val="Date"/>
    <w:basedOn w:val="1"/>
    <w:next w:val="1"/>
    <w:link w:val="45"/>
    <w:unhideWhenUsed/>
    <w:qFormat/>
    <w:uiPriority w:val="0"/>
    <w:pPr>
      <w:ind w:left="100" w:leftChars="2500"/>
    </w:pPr>
  </w:style>
  <w:style w:type="paragraph" w:styleId="17">
    <w:name w:val="Balloon Text"/>
    <w:basedOn w:val="1"/>
    <w:link w:val="46"/>
    <w:unhideWhenUsed/>
    <w:qFormat/>
    <w:uiPriority w:val="99"/>
    <w:rPr>
      <w:sz w:val="18"/>
      <w:szCs w:val="18"/>
    </w:rPr>
  </w:style>
  <w:style w:type="paragraph" w:styleId="18">
    <w:name w:val="footer"/>
    <w:basedOn w:val="1"/>
    <w:link w:val="33"/>
    <w:unhideWhenUsed/>
    <w:qFormat/>
    <w:uiPriority w:val="0"/>
    <w:pPr>
      <w:tabs>
        <w:tab w:val="center" w:pos="4153"/>
        <w:tab w:val="right" w:pos="8306"/>
      </w:tabs>
      <w:snapToGrid w:val="0"/>
      <w:jc w:val="left"/>
    </w:pPr>
    <w:rPr>
      <w:sz w:val="18"/>
      <w:szCs w:val="18"/>
    </w:rPr>
  </w:style>
  <w:style w:type="paragraph" w:styleId="19">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spacing w:line="360" w:lineRule="auto"/>
    </w:pPr>
    <w:rPr>
      <w:rFonts w:asciiTheme="minorHAnsi" w:hAnsiTheme="minorHAnsi" w:eastAsiaTheme="minorEastAsia" w:cstheme="minorBidi"/>
      <w:sz w:val="24"/>
      <w:szCs w:val="22"/>
    </w:rPr>
  </w:style>
  <w:style w:type="paragraph" w:styleId="21">
    <w:name w:val="footnote text"/>
    <w:basedOn w:val="1"/>
    <w:link w:val="82"/>
    <w:qFormat/>
    <w:uiPriority w:val="0"/>
    <w:pPr>
      <w:snapToGrid w:val="0"/>
      <w:jc w:val="left"/>
    </w:pPr>
    <w:rPr>
      <w:sz w:val="18"/>
      <w:szCs w:val="18"/>
    </w:rPr>
  </w:style>
  <w:style w:type="paragraph" w:styleId="22">
    <w:name w:val="annotation subject"/>
    <w:basedOn w:val="13"/>
    <w:next w:val="13"/>
    <w:link w:val="102"/>
    <w:semiHidden/>
    <w:unhideWhenUsed/>
    <w:qFormat/>
    <w:uiPriority w:val="99"/>
    <w:rPr>
      <w:rFonts w:asciiTheme="minorHAnsi" w:hAnsiTheme="minorHAnsi" w:eastAsiaTheme="minorEastAsia" w:cstheme="minorBidi"/>
      <w:b/>
      <w:bCs/>
      <w:szCs w:val="22"/>
    </w:rPr>
  </w:style>
  <w:style w:type="table" w:styleId="24">
    <w:name w:val="Table Grid"/>
    <w:basedOn w:val="23"/>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FollowedHyperlink"/>
    <w:basedOn w:val="25"/>
    <w:semiHidden/>
    <w:unhideWhenUsed/>
    <w:qFormat/>
    <w:uiPriority w:val="99"/>
    <w:rPr>
      <w:color w:val="800080"/>
      <w:u w:val="single"/>
    </w:rPr>
  </w:style>
  <w:style w:type="character" w:styleId="28">
    <w:name w:val="Emphasis"/>
    <w:qFormat/>
    <w:uiPriority w:val="20"/>
    <w:rPr>
      <w:color w:val="F73131"/>
    </w:rPr>
  </w:style>
  <w:style w:type="character" w:styleId="29">
    <w:name w:val="Hyperlink"/>
    <w:basedOn w:val="25"/>
    <w:semiHidden/>
    <w:unhideWhenUsed/>
    <w:qFormat/>
    <w:uiPriority w:val="99"/>
    <w:rPr>
      <w:color w:val="0000FF"/>
      <w:u w:val="single"/>
    </w:rPr>
  </w:style>
  <w:style w:type="character" w:styleId="30">
    <w:name w:val="annotation reference"/>
    <w:basedOn w:val="25"/>
    <w:semiHidden/>
    <w:unhideWhenUsed/>
    <w:qFormat/>
    <w:uiPriority w:val="99"/>
    <w:rPr>
      <w:sz w:val="21"/>
      <w:szCs w:val="21"/>
    </w:rPr>
  </w:style>
  <w:style w:type="character" w:styleId="31">
    <w:name w:val="footnote reference"/>
    <w:basedOn w:val="25"/>
    <w:qFormat/>
    <w:uiPriority w:val="0"/>
    <w:rPr>
      <w:vertAlign w:val="superscript"/>
    </w:rPr>
  </w:style>
  <w:style w:type="character" w:customStyle="1" w:styleId="32">
    <w:name w:val="页眉 Char"/>
    <w:basedOn w:val="25"/>
    <w:link w:val="19"/>
    <w:qFormat/>
    <w:uiPriority w:val="0"/>
    <w:rPr>
      <w:sz w:val="18"/>
      <w:szCs w:val="18"/>
    </w:rPr>
  </w:style>
  <w:style w:type="character" w:customStyle="1" w:styleId="33">
    <w:name w:val="页脚 Char"/>
    <w:basedOn w:val="25"/>
    <w:link w:val="18"/>
    <w:qFormat/>
    <w:uiPriority w:val="99"/>
    <w:rPr>
      <w:sz w:val="18"/>
      <w:szCs w:val="18"/>
    </w:rPr>
  </w:style>
  <w:style w:type="character" w:customStyle="1" w:styleId="34">
    <w:name w:val="标题 1 Char"/>
    <w:basedOn w:val="25"/>
    <w:link w:val="2"/>
    <w:qFormat/>
    <w:uiPriority w:val="9"/>
    <w:rPr>
      <w:rFonts w:ascii="Times New Roman" w:hAnsi="Times New Roman" w:eastAsia="宋体" w:cs="Times New Roman"/>
      <w:b/>
      <w:bCs/>
      <w:kern w:val="44"/>
      <w:sz w:val="44"/>
      <w:szCs w:val="44"/>
    </w:rPr>
  </w:style>
  <w:style w:type="character" w:customStyle="1" w:styleId="35">
    <w:name w:val="标题 2 Char"/>
    <w:basedOn w:val="25"/>
    <w:link w:val="3"/>
    <w:qFormat/>
    <w:uiPriority w:val="9"/>
    <w:rPr>
      <w:rFonts w:asciiTheme="majorHAnsi" w:hAnsiTheme="majorHAnsi" w:eastAsiaTheme="majorEastAsia" w:cstheme="majorBidi"/>
      <w:b/>
      <w:bCs/>
      <w:sz w:val="32"/>
      <w:szCs w:val="32"/>
    </w:rPr>
  </w:style>
  <w:style w:type="character" w:customStyle="1" w:styleId="36">
    <w:name w:val="标题 3 Char"/>
    <w:basedOn w:val="25"/>
    <w:link w:val="4"/>
    <w:uiPriority w:val="0"/>
    <w:rPr>
      <w:rFonts w:ascii="Times New Roman" w:hAnsi="Times New Roman" w:eastAsia="宋体" w:cs="Times New Roman"/>
      <w:b/>
      <w:bCs/>
      <w:sz w:val="32"/>
      <w:szCs w:val="32"/>
    </w:rPr>
  </w:style>
  <w:style w:type="character" w:customStyle="1" w:styleId="37">
    <w:name w:val="标题 4 Char"/>
    <w:basedOn w:val="25"/>
    <w:link w:val="5"/>
    <w:qFormat/>
    <w:uiPriority w:val="0"/>
    <w:rPr>
      <w:rFonts w:ascii="Arial" w:hAnsi="Arial" w:eastAsia="黑体" w:cs="Times New Roman"/>
      <w:b/>
      <w:bCs/>
      <w:sz w:val="28"/>
      <w:szCs w:val="28"/>
    </w:rPr>
  </w:style>
  <w:style w:type="character" w:customStyle="1" w:styleId="38">
    <w:name w:val="标题 5 Char"/>
    <w:basedOn w:val="25"/>
    <w:link w:val="6"/>
    <w:qFormat/>
    <w:uiPriority w:val="0"/>
    <w:rPr>
      <w:rFonts w:ascii="Times New Roman" w:hAnsi="Times New Roman" w:eastAsia="宋体" w:cs="Times New Roman"/>
      <w:b/>
      <w:bCs/>
      <w:sz w:val="28"/>
      <w:szCs w:val="28"/>
    </w:rPr>
  </w:style>
  <w:style w:type="character" w:customStyle="1" w:styleId="39">
    <w:name w:val="标题 6 Char"/>
    <w:basedOn w:val="25"/>
    <w:link w:val="7"/>
    <w:qFormat/>
    <w:uiPriority w:val="0"/>
    <w:rPr>
      <w:rFonts w:ascii="Arial" w:hAnsi="Arial" w:eastAsia="黑体" w:cs="Times New Roman"/>
      <w:b/>
      <w:bCs/>
      <w:sz w:val="24"/>
      <w:szCs w:val="24"/>
    </w:rPr>
  </w:style>
  <w:style w:type="character" w:customStyle="1" w:styleId="40">
    <w:name w:val="标题 7 Char"/>
    <w:basedOn w:val="25"/>
    <w:link w:val="8"/>
    <w:qFormat/>
    <w:uiPriority w:val="0"/>
    <w:rPr>
      <w:rFonts w:ascii="Times New Roman" w:hAnsi="Times New Roman" w:eastAsia="宋体" w:cs="Times New Roman"/>
      <w:b/>
      <w:bCs/>
      <w:sz w:val="24"/>
      <w:szCs w:val="24"/>
    </w:rPr>
  </w:style>
  <w:style w:type="character" w:customStyle="1" w:styleId="41">
    <w:name w:val="标题 8 Char"/>
    <w:basedOn w:val="25"/>
    <w:link w:val="9"/>
    <w:qFormat/>
    <w:uiPriority w:val="0"/>
    <w:rPr>
      <w:rFonts w:ascii="Arial" w:hAnsi="Arial" w:eastAsia="黑体" w:cs="Times New Roman"/>
      <w:sz w:val="24"/>
      <w:szCs w:val="24"/>
    </w:rPr>
  </w:style>
  <w:style w:type="character" w:customStyle="1" w:styleId="42">
    <w:name w:val="标题 9 Char"/>
    <w:basedOn w:val="25"/>
    <w:link w:val="10"/>
    <w:qFormat/>
    <w:uiPriority w:val="0"/>
    <w:rPr>
      <w:rFonts w:ascii="Arial" w:hAnsi="Arial" w:eastAsia="黑体" w:cs="Times New Roman"/>
      <w:szCs w:val="21"/>
    </w:rPr>
  </w:style>
  <w:style w:type="character" w:customStyle="1" w:styleId="43">
    <w:name w:val="批注文字 Char"/>
    <w:basedOn w:val="25"/>
    <w:link w:val="13"/>
    <w:semiHidden/>
    <w:qFormat/>
    <w:uiPriority w:val="99"/>
    <w:rPr>
      <w:rFonts w:ascii="Times New Roman" w:hAnsi="Times New Roman" w:eastAsia="宋体" w:cs="Times New Roman"/>
      <w:szCs w:val="21"/>
    </w:rPr>
  </w:style>
  <w:style w:type="character" w:customStyle="1" w:styleId="44">
    <w:name w:val="正文文本缩进 Char"/>
    <w:basedOn w:val="25"/>
    <w:link w:val="15"/>
    <w:qFormat/>
    <w:uiPriority w:val="99"/>
    <w:rPr>
      <w:rFonts w:ascii="Times New Roman" w:hAnsi="Times New Roman" w:eastAsia="宋体" w:cs="Times New Roman"/>
      <w:sz w:val="24"/>
      <w:szCs w:val="24"/>
    </w:rPr>
  </w:style>
  <w:style w:type="character" w:customStyle="1" w:styleId="45">
    <w:name w:val="日期 Char"/>
    <w:basedOn w:val="25"/>
    <w:link w:val="16"/>
    <w:qFormat/>
    <w:uiPriority w:val="0"/>
    <w:rPr>
      <w:rFonts w:ascii="Times New Roman" w:hAnsi="Times New Roman" w:eastAsia="宋体" w:cs="Times New Roman"/>
      <w:szCs w:val="24"/>
    </w:rPr>
  </w:style>
  <w:style w:type="character" w:customStyle="1" w:styleId="46">
    <w:name w:val="批注框文本 Char"/>
    <w:basedOn w:val="25"/>
    <w:link w:val="17"/>
    <w:qFormat/>
    <w:uiPriority w:val="99"/>
    <w:rPr>
      <w:rFonts w:ascii="Times New Roman" w:hAnsi="Times New Roman" w:eastAsia="宋体" w:cs="Times New Roman"/>
      <w:sz w:val="18"/>
      <w:szCs w:val="18"/>
    </w:rPr>
  </w:style>
  <w:style w:type="character" w:customStyle="1" w:styleId="47">
    <w:name w:val="段 Char"/>
    <w:link w:val="48"/>
    <w:qFormat/>
    <w:uiPriority w:val="99"/>
    <w:rPr>
      <w:rFonts w:ascii="宋体"/>
    </w:rPr>
  </w:style>
  <w:style w:type="paragraph" w:customStyle="1" w:styleId="48">
    <w:name w:val="段"/>
    <w:link w:val="47"/>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49">
    <w:name w:val="章标题"/>
    <w:next w:val="48"/>
    <w:link w:val="52"/>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50">
    <w:name w:val="Char Char Char1 Char Char Char Char Char Char Char Char Char Char"/>
    <w:basedOn w:val="1"/>
    <w:qFormat/>
    <w:uiPriority w:val="0"/>
    <w:pPr>
      <w:widowControl/>
      <w:spacing w:after="160" w:line="240" w:lineRule="exact"/>
      <w:jc w:val="left"/>
    </w:pPr>
    <w:rPr>
      <w:szCs w:val="20"/>
    </w:rPr>
  </w:style>
  <w:style w:type="paragraph" w:customStyle="1" w:styleId="51">
    <w:name w:val="p0"/>
    <w:basedOn w:val="1"/>
    <w:qFormat/>
    <w:uiPriority w:val="0"/>
    <w:pPr>
      <w:widowControl/>
    </w:pPr>
    <w:rPr>
      <w:kern w:val="0"/>
      <w:szCs w:val="21"/>
    </w:rPr>
  </w:style>
  <w:style w:type="character" w:customStyle="1" w:styleId="52">
    <w:name w:val="章标题 Char"/>
    <w:basedOn w:val="25"/>
    <w:link w:val="49"/>
    <w:qFormat/>
    <w:uiPriority w:val="0"/>
    <w:rPr>
      <w:rFonts w:ascii="黑体" w:hAnsi="Times New Roman" w:eastAsia="黑体" w:cs="Times New Roman"/>
      <w:kern w:val="0"/>
      <w:szCs w:val="20"/>
    </w:rPr>
  </w:style>
  <w:style w:type="character" w:customStyle="1" w:styleId="53">
    <w:name w:val="fontstyle01"/>
    <w:basedOn w:val="25"/>
    <w:qFormat/>
    <w:uiPriority w:val="0"/>
    <w:rPr>
      <w:rFonts w:hint="eastAsia" w:ascii="宋体" w:hAnsi="宋体" w:eastAsia="宋体"/>
      <w:color w:val="000000"/>
      <w:sz w:val="22"/>
      <w:szCs w:val="22"/>
    </w:rPr>
  </w:style>
  <w:style w:type="character" w:customStyle="1" w:styleId="54">
    <w:name w:val="fontstyle21"/>
    <w:basedOn w:val="25"/>
    <w:qFormat/>
    <w:uiPriority w:val="0"/>
    <w:rPr>
      <w:rFonts w:hint="default" w:ascii="E-BZ+ZMdJRg-2" w:hAnsi="E-BZ+ZMdJRg-2"/>
      <w:color w:val="000000"/>
      <w:sz w:val="22"/>
      <w:szCs w:val="22"/>
    </w:rPr>
  </w:style>
  <w:style w:type="character" w:customStyle="1" w:styleId="55">
    <w:name w:val="fontstyle11"/>
    <w:basedOn w:val="25"/>
    <w:qFormat/>
    <w:uiPriority w:val="0"/>
    <w:rPr>
      <w:rFonts w:hint="eastAsia" w:ascii="宋体" w:hAnsi="宋体" w:eastAsia="宋体"/>
      <w:color w:val="000000"/>
      <w:sz w:val="22"/>
      <w:szCs w:val="22"/>
    </w:rPr>
  </w:style>
  <w:style w:type="character" w:customStyle="1" w:styleId="56">
    <w:name w:val="fontstyle31"/>
    <w:basedOn w:val="25"/>
    <w:qFormat/>
    <w:uiPriority w:val="0"/>
    <w:rPr>
      <w:rFonts w:hint="default" w:ascii="E-BZ+ZMdJRg-2" w:hAnsi="E-BZ+ZMdJRg-2"/>
      <w:color w:val="000000"/>
      <w:sz w:val="22"/>
      <w:szCs w:val="22"/>
    </w:rPr>
  </w:style>
  <w:style w:type="character" w:customStyle="1" w:styleId="57">
    <w:name w:val="fontstyle41"/>
    <w:basedOn w:val="25"/>
    <w:qFormat/>
    <w:uiPriority w:val="0"/>
    <w:rPr>
      <w:rFonts w:hint="default" w:ascii="KTJ0+ZMdJRg-5" w:hAnsi="KTJ0+ZMdJRg-5"/>
      <w:color w:val="000000"/>
      <w:sz w:val="22"/>
      <w:szCs w:val="22"/>
    </w:rPr>
  </w:style>
  <w:style w:type="paragraph" w:styleId="58">
    <w:name w:val="List Paragraph"/>
    <w:basedOn w:val="1"/>
    <w:qFormat/>
    <w:uiPriority w:val="34"/>
    <w:pPr>
      <w:ind w:firstLine="420" w:firstLineChars="200"/>
    </w:pPr>
  </w:style>
  <w:style w:type="paragraph" w:customStyle="1" w:styleId="59">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character" w:customStyle="1" w:styleId="60">
    <w:name w:val="段 Char Char"/>
    <w:qFormat/>
    <w:uiPriority w:val="0"/>
    <w:rPr>
      <w:rFonts w:ascii="宋体" w:hAnsi="宋体"/>
      <w:sz w:val="21"/>
      <w:lang w:val="en-US" w:eastAsia="zh-CN" w:bidi="ar-SA"/>
    </w:rPr>
  </w:style>
  <w:style w:type="character" w:customStyle="1" w:styleId="61">
    <w:name w:val="列项——（一级） Char"/>
    <w:basedOn w:val="25"/>
    <w:link w:val="62"/>
    <w:qFormat/>
    <w:locked/>
    <w:uiPriority w:val="99"/>
    <w:rPr>
      <w:rFonts w:ascii="宋体" w:cs="宋体"/>
      <w:szCs w:val="21"/>
    </w:rPr>
  </w:style>
  <w:style w:type="paragraph" w:customStyle="1" w:styleId="62">
    <w:name w:val="列项——（一级）"/>
    <w:link w:val="61"/>
    <w:qFormat/>
    <w:uiPriority w:val="99"/>
    <w:pPr>
      <w:widowControl w:val="0"/>
      <w:tabs>
        <w:tab w:val="left" w:pos="854"/>
      </w:tabs>
      <w:ind w:left="840" w:leftChars="200" w:hanging="420" w:hangingChars="200"/>
      <w:jc w:val="both"/>
    </w:pPr>
    <w:rPr>
      <w:rFonts w:ascii="宋体" w:cs="宋体" w:hAnsiTheme="minorHAnsi" w:eastAsiaTheme="minorEastAsia"/>
      <w:kern w:val="2"/>
      <w:sz w:val="21"/>
      <w:szCs w:val="21"/>
      <w:lang w:val="en-US" w:eastAsia="zh-CN" w:bidi="ar-SA"/>
    </w:rPr>
  </w:style>
  <w:style w:type="character" w:customStyle="1" w:styleId="63">
    <w:name w:val="发布"/>
    <w:basedOn w:val="25"/>
    <w:qFormat/>
    <w:uiPriority w:val="99"/>
    <w:rPr>
      <w:rFonts w:ascii="黑体" w:eastAsia="黑体" w:cs="黑体"/>
      <w:spacing w:val="22"/>
      <w:w w:val="100"/>
      <w:position w:val="3"/>
      <w:sz w:val="28"/>
      <w:szCs w:val="28"/>
    </w:rPr>
  </w:style>
  <w:style w:type="paragraph" w:customStyle="1" w:styleId="64">
    <w:name w:val="前言、引言标题"/>
    <w:next w:val="1"/>
    <w:qFormat/>
    <w:uiPriority w:val="0"/>
    <w:pPr>
      <w:shd w:val="clear" w:color="FFFFFF" w:fill="FFFFFF"/>
      <w:spacing w:before="640" w:after="560"/>
      <w:jc w:val="center"/>
      <w:outlineLvl w:val="0"/>
    </w:pPr>
    <w:rPr>
      <w:rFonts w:ascii="黑体" w:hAnsi="Times New Roman" w:eastAsia="黑体" w:cs="黑体"/>
      <w:kern w:val="0"/>
      <w:sz w:val="32"/>
      <w:szCs w:val="32"/>
      <w:lang w:val="en-US" w:eastAsia="zh-CN" w:bidi="ar-SA"/>
    </w:rPr>
  </w:style>
  <w:style w:type="paragraph" w:customStyle="1" w:styleId="65">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kern w:val="0"/>
      <w:sz w:val="21"/>
      <w:szCs w:val="21"/>
      <w:lang w:val="en-US" w:eastAsia="zh-CN" w:bidi="ar-SA"/>
    </w:rPr>
  </w:style>
  <w:style w:type="paragraph" w:customStyle="1" w:styleId="66">
    <w:name w:val="实施日期"/>
    <w:basedOn w:val="67"/>
    <w:qFormat/>
    <w:uiPriority w:val="99"/>
    <w:pPr>
      <w:framePr w:hSpace="0" w:wrap="around" w:vAnchor="text" w:hAnchor="text" w:xAlign="right"/>
      <w:jc w:val="right"/>
    </w:pPr>
  </w:style>
  <w:style w:type="paragraph" w:customStyle="1" w:styleId="67">
    <w:name w:val="发布日期"/>
    <w:qFormat/>
    <w:uiPriority w:val="99"/>
    <w:pPr>
      <w:framePr w:w="4000" w:h="473" w:hRule="exact" w:hSpace="180" w:vSpace="180" w:wrap="around" w:vAnchor="margin" w:hAnchor="margin" w:y="13511" w:anchorLock="1"/>
    </w:pPr>
    <w:rPr>
      <w:rFonts w:ascii="Times New Roman" w:hAnsi="Times New Roman" w:eastAsia="黑体" w:cs="Times New Roman"/>
      <w:kern w:val="0"/>
      <w:sz w:val="28"/>
      <w:szCs w:val="28"/>
      <w:lang w:val="en-US" w:eastAsia="zh-CN" w:bidi="ar-SA"/>
    </w:rPr>
  </w:style>
  <w:style w:type="paragraph" w:customStyle="1" w:styleId="68">
    <w:name w:val="封面标准号2"/>
    <w:basedOn w:val="1"/>
    <w:qFormat/>
    <w:uiPriority w:val="99"/>
    <w:pPr>
      <w:framePr w:w="9138" w:h="1244" w:hRule="exact" w:wrap="around" w:vAnchor="page" w:hAnchor="margin" w:y="2909"/>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69">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70">
    <w:name w:val="封面标准文稿编辑信息"/>
    <w:qFormat/>
    <w:uiPriority w:val="99"/>
    <w:pPr>
      <w:spacing w:before="180" w:line="180" w:lineRule="exact"/>
      <w:jc w:val="center"/>
    </w:pPr>
    <w:rPr>
      <w:rFonts w:ascii="宋体" w:hAnsi="Times New Roman" w:eastAsia="宋体" w:cs="宋体"/>
      <w:kern w:val="0"/>
      <w:sz w:val="21"/>
      <w:szCs w:val="21"/>
      <w:lang w:val="en-US" w:eastAsia="zh-CN" w:bidi="ar-SA"/>
    </w:rPr>
  </w:style>
  <w:style w:type="paragraph" w:customStyle="1" w:styleId="71">
    <w:name w:val="封面标准代替信息"/>
    <w:basedOn w:val="68"/>
    <w:qFormat/>
    <w:uiPriority w:val="99"/>
    <w:pPr>
      <w:framePr w:wrap="around"/>
      <w:spacing w:before="57"/>
    </w:pPr>
    <w:rPr>
      <w:rFonts w:ascii="宋体" w:cs="宋体"/>
      <w:sz w:val="21"/>
      <w:szCs w:val="21"/>
    </w:rPr>
  </w:style>
  <w:style w:type="paragraph" w:customStyle="1" w:styleId="72">
    <w:name w:val="标准书眉一"/>
    <w:qFormat/>
    <w:uiPriority w:val="99"/>
    <w:pPr>
      <w:jc w:val="both"/>
    </w:pPr>
    <w:rPr>
      <w:rFonts w:ascii="Times New Roman" w:hAnsi="Times New Roman" w:eastAsia="宋体" w:cs="Times New Roman"/>
      <w:kern w:val="0"/>
      <w:sz w:val="20"/>
      <w:szCs w:val="20"/>
      <w:lang w:val="en-US" w:eastAsia="zh-CN" w:bidi="ar-SA"/>
    </w:rPr>
  </w:style>
  <w:style w:type="paragraph" w:customStyle="1" w:styleId="73">
    <w:name w:val="封面正文"/>
    <w:qFormat/>
    <w:uiPriority w:val="99"/>
    <w:pPr>
      <w:jc w:val="both"/>
    </w:pPr>
    <w:rPr>
      <w:rFonts w:ascii="Times New Roman" w:hAnsi="Times New Roman" w:eastAsia="宋体" w:cs="Times New Roman"/>
      <w:kern w:val="0"/>
      <w:sz w:val="20"/>
      <w:szCs w:val="20"/>
      <w:lang w:val="en-US" w:eastAsia="zh-CN" w:bidi="ar-SA"/>
    </w:rPr>
  </w:style>
  <w:style w:type="paragraph" w:customStyle="1" w:styleId="74">
    <w:name w:val="发布部门"/>
    <w:next w:val="48"/>
    <w:qFormat/>
    <w:uiPriority w:val="99"/>
    <w:pPr>
      <w:framePr w:w="7433" w:h="585" w:hRule="exact" w:hSpace="180" w:vSpace="180" w:wrap="around" w:vAnchor="margin" w:hAnchor="margin" w:xAlign="center" w:y="14402" w:anchorLock="1"/>
      <w:jc w:val="center"/>
    </w:pPr>
    <w:rPr>
      <w:rFonts w:ascii="宋体" w:hAnsi="Times New Roman" w:eastAsia="宋体" w:cs="宋体"/>
      <w:b/>
      <w:bCs/>
      <w:spacing w:val="20"/>
      <w:w w:val="135"/>
      <w:kern w:val="0"/>
      <w:sz w:val="36"/>
      <w:szCs w:val="36"/>
      <w:lang w:val="en-US" w:eastAsia="zh-CN" w:bidi="ar-SA"/>
    </w:rPr>
  </w:style>
  <w:style w:type="paragraph" w:customStyle="1" w:styleId="75">
    <w:name w:val="标准称谓"/>
    <w:next w:val="1"/>
    <w:qFormat/>
    <w:uiPriority w:val="99"/>
    <w:pPr>
      <w:framePr w:w="9638" w:h="754" w:hRule="exact" w:hSpace="180" w:vSpace="180" w:wrap="around" w:vAnchor="page" w:hAnchor="margin" w:xAlign="center" w:y="2129" w:anchorLock="1"/>
      <w:widowControl w:val="0"/>
      <w:kinsoku w:val="0"/>
      <w:overflowPunct w:val="0"/>
      <w:autoSpaceDE w:val="0"/>
      <w:autoSpaceDN w:val="0"/>
      <w:spacing w:line="240" w:lineRule="atLeast"/>
      <w:jc w:val="distribute"/>
    </w:pPr>
    <w:rPr>
      <w:rFonts w:ascii="宋体" w:hAnsi="Times New Roman" w:eastAsia="宋体" w:cs="宋体"/>
      <w:b/>
      <w:bCs/>
      <w:spacing w:val="20"/>
      <w:w w:val="148"/>
      <w:kern w:val="0"/>
      <w:sz w:val="52"/>
      <w:szCs w:val="52"/>
      <w:lang w:val="en-US" w:eastAsia="zh-CN" w:bidi="ar-SA"/>
    </w:rPr>
  </w:style>
  <w:style w:type="paragraph" w:customStyle="1" w:styleId="76">
    <w:name w:val="标准书脚_奇数页"/>
    <w:qFormat/>
    <w:uiPriority w:val="99"/>
    <w:pPr>
      <w:spacing w:before="120"/>
      <w:jc w:val="right"/>
    </w:pPr>
    <w:rPr>
      <w:rFonts w:ascii="Times New Roman" w:hAnsi="Times New Roman" w:eastAsia="宋体" w:cs="Times New Roman"/>
      <w:kern w:val="0"/>
      <w:sz w:val="18"/>
      <w:szCs w:val="18"/>
      <w:lang w:val="en-US" w:eastAsia="zh-CN" w:bidi="ar-SA"/>
    </w:rPr>
  </w:style>
  <w:style w:type="paragraph" w:customStyle="1" w:styleId="77">
    <w:name w:val="样式1"/>
    <w:basedOn w:val="1"/>
    <w:qFormat/>
    <w:uiPriority w:val="99"/>
    <w:pPr>
      <w:tabs>
        <w:tab w:val="left" w:pos="525"/>
      </w:tabs>
    </w:pPr>
    <w:rPr>
      <w:rFonts w:ascii="宋体" w:hAnsi="宋体" w:cs="宋体"/>
      <w:szCs w:val="21"/>
    </w:rPr>
  </w:style>
  <w:style w:type="paragraph" w:customStyle="1" w:styleId="78">
    <w:name w:val="Char Char Char Char"/>
    <w:basedOn w:val="1"/>
    <w:qFormat/>
    <w:uiPriority w:val="0"/>
    <w:pPr>
      <w:widowControl/>
      <w:spacing w:after="160" w:line="240" w:lineRule="exact"/>
      <w:jc w:val="left"/>
    </w:pPr>
  </w:style>
  <w:style w:type="character" w:customStyle="1" w:styleId="79">
    <w:name w:val="Plain Text Char"/>
    <w:basedOn w:val="25"/>
    <w:link w:val="80"/>
    <w:qFormat/>
    <w:locked/>
    <w:uiPriority w:val="0"/>
    <w:rPr>
      <w:rFonts w:ascii="宋体" w:hAnsi="Courier New"/>
    </w:rPr>
  </w:style>
  <w:style w:type="paragraph" w:customStyle="1" w:styleId="80">
    <w:name w:val="纯文本1"/>
    <w:basedOn w:val="1"/>
    <w:link w:val="79"/>
    <w:qFormat/>
    <w:uiPriority w:val="0"/>
    <w:rPr>
      <w:rFonts w:ascii="宋体" w:hAnsi="Courier New" w:eastAsiaTheme="minorEastAsia" w:cstheme="minorBidi"/>
      <w:szCs w:val="22"/>
    </w:rPr>
  </w:style>
  <w:style w:type="character" w:customStyle="1" w:styleId="81">
    <w:name w:val="文档结构图 Char"/>
    <w:basedOn w:val="25"/>
    <w:link w:val="12"/>
    <w:qFormat/>
    <w:uiPriority w:val="0"/>
    <w:rPr>
      <w:rFonts w:ascii="Times New Roman" w:hAnsi="Times New Roman" w:eastAsia="宋体" w:cs="Times New Roman"/>
      <w:szCs w:val="24"/>
      <w:shd w:val="clear" w:color="auto" w:fill="000080"/>
    </w:rPr>
  </w:style>
  <w:style w:type="character" w:customStyle="1" w:styleId="82">
    <w:name w:val="脚注文本 Char"/>
    <w:basedOn w:val="25"/>
    <w:link w:val="21"/>
    <w:qFormat/>
    <w:uiPriority w:val="0"/>
    <w:rPr>
      <w:rFonts w:ascii="Times New Roman" w:hAnsi="Times New Roman" w:eastAsia="宋体" w:cs="Times New Roman"/>
      <w:sz w:val="18"/>
      <w:szCs w:val="18"/>
    </w:rPr>
  </w:style>
  <w:style w:type="paragraph" w:customStyle="1" w:styleId="83">
    <w:name w:val="样式3"/>
    <w:basedOn w:val="21"/>
    <w:next w:val="21"/>
    <w:qFormat/>
    <w:uiPriority w:val="0"/>
    <w:pPr>
      <w:spacing w:line="300" w:lineRule="auto"/>
      <w:ind w:firstLine="480" w:firstLineChars="200"/>
    </w:pPr>
    <w:rPr>
      <w:rFonts w:ascii="宋体" w:hAnsi="宋体"/>
    </w:rPr>
  </w:style>
  <w:style w:type="paragraph" w:customStyle="1" w:styleId="84">
    <w:name w:val="一级条标题"/>
    <w:next w:val="48"/>
    <w:qFormat/>
    <w:uiPriority w:val="0"/>
    <w:pPr>
      <w:ind w:left="284"/>
      <w:outlineLvl w:val="2"/>
    </w:pPr>
    <w:rPr>
      <w:rFonts w:ascii="Times New Roman" w:hAnsi="Times New Roman" w:eastAsia="黑体" w:cs="Times New Roman"/>
      <w:kern w:val="0"/>
      <w:sz w:val="21"/>
      <w:szCs w:val="20"/>
      <w:lang w:val="en-US" w:eastAsia="zh-CN" w:bidi="ar-SA"/>
    </w:rPr>
  </w:style>
  <w:style w:type="paragraph" w:customStyle="1" w:styleId="85">
    <w:name w:val="二级条标题"/>
    <w:basedOn w:val="84"/>
    <w:next w:val="48"/>
    <w:qFormat/>
    <w:uiPriority w:val="0"/>
    <w:pPr>
      <w:ind w:left="0"/>
      <w:outlineLvl w:val="3"/>
    </w:pPr>
  </w:style>
  <w:style w:type="paragraph" w:customStyle="1" w:styleId="86">
    <w:name w:val="附录标识"/>
    <w:basedOn w:val="1"/>
    <w:qFormat/>
    <w:uiPriority w:val="0"/>
    <w:pPr>
      <w:widowControl/>
      <w:numPr>
        <w:ilvl w:val="0"/>
        <w:numId w:val="2"/>
      </w:numPr>
      <w:shd w:val="clear" w:color="FFFFFF" w:fill="FFFFFF"/>
      <w:tabs>
        <w:tab w:val="left" w:pos="6405"/>
      </w:tabs>
      <w:spacing w:before="640" w:after="200"/>
      <w:jc w:val="center"/>
      <w:outlineLvl w:val="0"/>
    </w:pPr>
    <w:rPr>
      <w:rFonts w:ascii="黑体" w:eastAsia="黑体"/>
      <w:kern w:val="0"/>
      <w:szCs w:val="20"/>
    </w:rPr>
  </w:style>
  <w:style w:type="paragraph" w:customStyle="1" w:styleId="87">
    <w:name w:val="附录一级条标题"/>
    <w:basedOn w:val="1"/>
    <w:next w:val="1"/>
    <w:qFormat/>
    <w:uiPriority w:val="0"/>
    <w:pPr>
      <w:widowControl/>
      <w:numPr>
        <w:ilvl w:val="2"/>
        <w:numId w:val="2"/>
      </w:numPr>
      <w:wordWrap w:val="0"/>
      <w:overflowPunct w:val="0"/>
      <w:autoSpaceDE w:val="0"/>
      <w:autoSpaceDN w:val="0"/>
      <w:textAlignment w:val="baseline"/>
      <w:outlineLvl w:val="2"/>
    </w:pPr>
    <w:rPr>
      <w:rFonts w:ascii="黑体" w:eastAsia="黑体"/>
      <w:kern w:val="21"/>
      <w:szCs w:val="20"/>
    </w:rPr>
  </w:style>
  <w:style w:type="paragraph" w:customStyle="1" w:styleId="88">
    <w:name w:val="附录二级条标题"/>
    <w:basedOn w:val="87"/>
    <w:next w:val="1"/>
    <w:qFormat/>
    <w:uiPriority w:val="0"/>
    <w:pPr>
      <w:numPr>
        <w:ilvl w:val="3"/>
      </w:numPr>
      <w:outlineLvl w:val="3"/>
    </w:pPr>
  </w:style>
  <w:style w:type="paragraph" w:customStyle="1" w:styleId="89">
    <w:name w:val="附录三级条标题"/>
    <w:basedOn w:val="88"/>
    <w:next w:val="1"/>
    <w:qFormat/>
    <w:uiPriority w:val="0"/>
    <w:pPr>
      <w:numPr>
        <w:ilvl w:val="4"/>
      </w:numPr>
      <w:outlineLvl w:val="4"/>
    </w:pPr>
  </w:style>
  <w:style w:type="paragraph" w:customStyle="1" w:styleId="90">
    <w:name w:val="附录四级条标题"/>
    <w:basedOn w:val="89"/>
    <w:next w:val="1"/>
    <w:qFormat/>
    <w:uiPriority w:val="0"/>
    <w:pPr>
      <w:numPr>
        <w:ilvl w:val="5"/>
      </w:numPr>
      <w:outlineLvl w:val="5"/>
    </w:pPr>
  </w:style>
  <w:style w:type="paragraph" w:customStyle="1" w:styleId="91">
    <w:name w:val="附录五级条标题"/>
    <w:basedOn w:val="90"/>
    <w:next w:val="1"/>
    <w:qFormat/>
    <w:uiPriority w:val="0"/>
    <w:pPr>
      <w:numPr>
        <w:ilvl w:val="6"/>
      </w:numPr>
      <w:outlineLvl w:val="6"/>
    </w:pPr>
  </w:style>
  <w:style w:type="paragraph" w:customStyle="1" w:styleId="92">
    <w:name w:val="三级条标题"/>
    <w:basedOn w:val="85"/>
    <w:next w:val="1"/>
    <w:qFormat/>
    <w:uiPriority w:val="0"/>
    <w:pPr>
      <w:spacing w:before="50" w:beforeLines="50" w:after="50" w:afterLines="50"/>
      <w:outlineLvl w:val="4"/>
    </w:pPr>
    <w:rPr>
      <w:rFonts w:ascii="黑体"/>
      <w:szCs w:val="21"/>
    </w:rPr>
  </w:style>
  <w:style w:type="paragraph" w:customStyle="1" w:styleId="93">
    <w:name w:val="四级条标题"/>
    <w:basedOn w:val="92"/>
    <w:next w:val="1"/>
    <w:qFormat/>
    <w:uiPriority w:val="0"/>
    <w:pPr>
      <w:outlineLvl w:val="5"/>
    </w:pPr>
  </w:style>
  <w:style w:type="paragraph" w:customStyle="1" w:styleId="94">
    <w:name w:val="五级条标题"/>
    <w:basedOn w:val="93"/>
    <w:next w:val="1"/>
    <w:qFormat/>
    <w:uiPriority w:val="0"/>
    <w:pPr>
      <w:outlineLvl w:val="6"/>
    </w:pPr>
  </w:style>
  <w:style w:type="paragraph" w:customStyle="1" w:styleId="95">
    <w:name w:val="一级无"/>
    <w:basedOn w:val="84"/>
    <w:qFormat/>
    <w:uiPriority w:val="0"/>
    <w:pPr>
      <w:numPr>
        <w:ilvl w:val="1"/>
        <w:numId w:val="3"/>
      </w:numPr>
    </w:pPr>
    <w:rPr>
      <w:rFonts w:ascii="宋体" w:eastAsia="宋体"/>
      <w:szCs w:val="21"/>
    </w:rPr>
  </w:style>
  <w:style w:type="character" w:customStyle="1" w:styleId="96">
    <w:name w:val="apple-converted-space"/>
    <w:basedOn w:val="25"/>
    <w:qFormat/>
    <w:uiPriority w:val="0"/>
  </w:style>
  <w:style w:type="character" w:customStyle="1" w:styleId="97">
    <w:name w:val="doc_title"/>
    <w:basedOn w:val="25"/>
    <w:qFormat/>
    <w:uiPriority w:val="0"/>
  </w:style>
  <w:style w:type="paragraph" w:customStyle="1" w:styleId="98">
    <w:name w:val="Default"/>
    <w:basedOn w:val="1"/>
    <w:qFormat/>
    <w:uiPriority w:val="99"/>
    <w:pPr>
      <w:autoSpaceDE w:val="0"/>
      <w:autoSpaceDN w:val="0"/>
      <w:jc w:val="left"/>
    </w:pPr>
    <w:rPr>
      <w:rFonts w:ascii="宋体" w:hAnsi="Calibri" w:cs="宋体"/>
      <w:color w:val="000000"/>
      <w:kern w:val="0"/>
      <w:sz w:val="24"/>
    </w:rPr>
  </w:style>
  <w:style w:type="paragraph" w:customStyle="1" w:styleId="99">
    <w:name w:val="引用1"/>
    <w:basedOn w:val="1"/>
    <w:next w:val="1"/>
    <w:link w:val="100"/>
    <w:qFormat/>
    <w:uiPriority w:val="29"/>
    <w:pPr>
      <w:widowControl/>
      <w:spacing w:before="200" w:after="160" w:line="264" w:lineRule="auto"/>
      <w:ind w:left="864" w:right="864"/>
      <w:jc w:val="center"/>
    </w:pPr>
    <w:rPr>
      <w:rFonts w:asciiTheme="majorHAnsi" w:hAnsiTheme="majorHAnsi" w:eastAsiaTheme="majorEastAsia" w:cstheme="majorBidi"/>
      <w:i/>
      <w:iCs/>
      <w:kern w:val="0"/>
      <w:sz w:val="24"/>
    </w:rPr>
  </w:style>
  <w:style w:type="character" w:customStyle="1" w:styleId="100">
    <w:name w:val="引用 Char"/>
    <w:basedOn w:val="25"/>
    <w:link w:val="99"/>
    <w:qFormat/>
    <w:uiPriority w:val="29"/>
    <w:rPr>
      <w:rFonts w:asciiTheme="majorHAnsi" w:hAnsiTheme="majorHAnsi" w:eastAsiaTheme="majorEastAsia" w:cstheme="majorBidi"/>
      <w:i/>
      <w:iCs/>
      <w:kern w:val="0"/>
      <w:sz w:val="24"/>
      <w:szCs w:val="24"/>
    </w:rPr>
  </w:style>
  <w:style w:type="paragraph" w:customStyle="1" w:styleId="101">
    <w:name w:val="正文表标题"/>
    <w:next w:val="48"/>
    <w:qFormat/>
    <w:uiPriority w:val="0"/>
    <w:pPr>
      <w:numPr>
        <w:ilvl w:val="0"/>
        <w:numId w:val="4"/>
      </w:num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character" w:customStyle="1" w:styleId="102">
    <w:name w:val="批注主题 Char"/>
    <w:basedOn w:val="43"/>
    <w:link w:val="22"/>
    <w:semiHidden/>
    <w:qFormat/>
    <w:uiPriority w:val="99"/>
    <w:rPr>
      <w:rFonts w:ascii="Times New Roman" w:hAnsi="Times New Roman" w:eastAsia="宋体" w:cs="Times New Roman"/>
      <w:b/>
      <w:bCs/>
      <w:szCs w:val="21"/>
    </w:rPr>
  </w:style>
  <w:style w:type="character" w:customStyle="1" w:styleId="103">
    <w:name w:val="正文文本 Char"/>
    <w:basedOn w:val="25"/>
    <w:link w:val="14"/>
    <w:qFormat/>
    <w:uiPriority w:val="0"/>
    <w:rPr>
      <w:rFonts w:ascii="Times New Roman" w:hAnsi="Times New Roman" w:eastAsia="宋体" w:cs="Times New Roman"/>
      <w:szCs w:val="24"/>
    </w:rPr>
  </w:style>
  <w:style w:type="paragraph" w:customStyle="1" w:styleId="10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6">
    <w:name w:val="xl64"/>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0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8">
    <w:name w:val="xl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09">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0">
    <w:name w:val="xl68"/>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11">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3">
    <w:name w:val="xl7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114">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table" w:customStyle="1" w:styleId="115">
    <w:name w:val="网格型1"/>
    <w:basedOn w:val="23"/>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6">
    <w:name w:val="Char Char Char Char1"/>
    <w:basedOn w:val="1"/>
    <w:qFormat/>
    <w:uiPriority w:val="0"/>
    <w:pPr>
      <w:widowControl/>
      <w:spacing w:after="160" w:line="240" w:lineRule="exact"/>
      <w:jc w:val="left"/>
    </w:pPr>
  </w:style>
  <w:style w:type="paragraph" w:customStyle="1" w:styleId="117">
    <w:name w:val="纯文本2"/>
    <w:basedOn w:val="1"/>
    <w:qFormat/>
    <w:uiPriority w:val="0"/>
    <w:rPr>
      <w:rFonts w:ascii="宋体" w:hAnsi="Courier New"/>
      <w:kern w:val="0"/>
      <w:sz w:val="20"/>
      <w:szCs w:val="20"/>
    </w:rPr>
  </w:style>
  <w:style w:type="paragraph" w:customStyle="1" w:styleId="118">
    <w:name w:val="正文 A"/>
    <w:qFormat/>
    <w:uiPriority w:val="0"/>
    <w:pPr>
      <w:widowControl w:val="0"/>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oleObject" Target="embeddings/oleObject1.bin"/><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numbering" Target="numbering.xml"/><Relationship Id="rId43" Type="http://schemas.openxmlformats.org/officeDocument/2006/relationships/image" Target="media/image17.wmf"/><Relationship Id="rId42" Type="http://schemas.openxmlformats.org/officeDocument/2006/relationships/oleObject" Target="embeddings/oleObject21.bin"/><Relationship Id="rId41" Type="http://schemas.openxmlformats.org/officeDocument/2006/relationships/image" Target="media/image16.wmf"/><Relationship Id="rId40" Type="http://schemas.openxmlformats.org/officeDocument/2006/relationships/oleObject" Target="embeddings/oleObject20.bin"/><Relationship Id="rId4" Type="http://schemas.openxmlformats.org/officeDocument/2006/relationships/theme" Target="theme/theme1.xml"/><Relationship Id="rId39" Type="http://schemas.openxmlformats.org/officeDocument/2006/relationships/oleObject" Target="embeddings/oleObject19.bin"/><Relationship Id="rId38" Type="http://schemas.openxmlformats.org/officeDocument/2006/relationships/image" Target="media/image15.wmf"/><Relationship Id="rId37" Type="http://schemas.openxmlformats.org/officeDocument/2006/relationships/oleObject" Target="embeddings/oleObject18.bin"/><Relationship Id="rId36" Type="http://schemas.openxmlformats.org/officeDocument/2006/relationships/image" Target="media/image14.wmf"/><Relationship Id="rId35" Type="http://schemas.openxmlformats.org/officeDocument/2006/relationships/oleObject" Target="embeddings/oleObject17.bin"/><Relationship Id="rId34" Type="http://schemas.openxmlformats.org/officeDocument/2006/relationships/oleObject" Target="embeddings/oleObject16.bin"/><Relationship Id="rId33" Type="http://schemas.openxmlformats.org/officeDocument/2006/relationships/image" Target="media/image13.wmf"/><Relationship Id="rId32" Type="http://schemas.openxmlformats.org/officeDocument/2006/relationships/oleObject" Target="embeddings/oleObject15.bin"/><Relationship Id="rId31" Type="http://schemas.openxmlformats.org/officeDocument/2006/relationships/oleObject" Target="embeddings/oleObject14.bin"/><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1.wmf"/><Relationship Id="rId27" Type="http://schemas.openxmlformats.org/officeDocument/2006/relationships/oleObject" Target="embeddings/oleObject12.bin"/><Relationship Id="rId26" Type="http://schemas.openxmlformats.org/officeDocument/2006/relationships/oleObject" Target="embeddings/oleObject11.bin"/><Relationship Id="rId25" Type="http://schemas.openxmlformats.org/officeDocument/2006/relationships/oleObject" Target="embeddings/oleObject10.bin"/><Relationship Id="rId24" Type="http://schemas.openxmlformats.org/officeDocument/2006/relationships/image" Target="media/image10.wmf"/><Relationship Id="rId23" Type="http://schemas.openxmlformats.org/officeDocument/2006/relationships/oleObject" Target="embeddings/oleObject9.bin"/><Relationship Id="rId22" Type="http://schemas.openxmlformats.org/officeDocument/2006/relationships/image" Target="media/image9.wmf"/><Relationship Id="rId21" Type="http://schemas.openxmlformats.org/officeDocument/2006/relationships/oleObject" Target="embeddings/oleObject8.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wmf"/><Relationship Id="rId17" Type="http://schemas.openxmlformats.org/officeDocument/2006/relationships/oleObject" Target="embeddings/oleObject6.bin"/><Relationship Id="rId16" Type="http://schemas.openxmlformats.org/officeDocument/2006/relationships/chart" Target="charts/chart1.xml"/><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esktop\&#21521;&#28165;&#21326;\&#25968;&#25454;&#35745;&#3163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100"/>
              <a:t>图</a:t>
            </a:r>
            <a:r>
              <a:rPr lang="en-US" altLang="zh-CN" sz="1100"/>
              <a:t>1 </a:t>
            </a:r>
            <a:r>
              <a:rPr lang="zh-CN" altLang="en-US" sz="1100"/>
              <a:t>按实验室分组的实验室间一致性的曼德尔统计量</a:t>
            </a:r>
            <a:r>
              <a:rPr lang="en-US" altLang="zh-CN" sz="1100"/>
              <a:t>h </a:t>
            </a:r>
            <a:endParaRPr lang="zh-CN" altLang="en-US" sz="1100"/>
          </a:p>
        </c:rich>
      </c:tx>
      <c:layout>
        <c:manualLayout>
          <c:xMode val="edge"/>
          <c:yMode val="edge"/>
          <c:x val="0.209308847237202"/>
          <c:y val="0.0324074074074074"/>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val>
            <c:numRef>
              <c:f>'Sheet1 (2)'!$L$138:$L$153</c:f>
              <c:numCache>
                <c:formatCode>0.0000</c:formatCode>
                <c:ptCount val="16"/>
                <c:pt idx="0">
                  <c:v>0.886950697976043</c:v>
                </c:pt>
                <c:pt idx="1">
                  <c:v>-0.248346195433291</c:v>
                </c:pt>
                <c:pt idx="2">
                  <c:v>0.456659159362877</c:v>
                </c:pt>
                <c:pt idx="3">
                  <c:v>1.57373523843354</c:v>
                </c:pt>
                <c:pt idx="4">
                  <c:v>-2.49090796019244</c:v>
                </c:pt>
                <c:pt idx="5">
                  <c:v>-0.69685854838512</c:v>
                </c:pt>
                <c:pt idx="6">
                  <c:v>-1.2855310116344</c:v>
                </c:pt>
                <c:pt idx="7">
                  <c:v>-0.388506305730729</c:v>
                </c:pt>
                <c:pt idx="8">
                  <c:v>0.284262223697019</c:v>
                </c:pt>
                <c:pt idx="9">
                  <c:v>-0.766938603533834</c:v>
                </c:pt>
                <c:pt idx="10">
                  <c:v>0.38237430090523</c:v>
                </c:pt>
                <c:pt idx="11">
                  <c:v>0.424422333994466</c:v>
                </c:pt>
                <c:pt idx="12">
                  <c:v>1.34947906195763</c:v>
                </c:pt>
                <c:pt idx="13">
                  <c:v>0.354342278845734</c:v>
                </c:pt>
                <c:pt idx="14">
                  <c:v>0.174937337665014</c:v>
                </c:pt>
                <c:pt idx="15">
                  <c:v>-0.0100740079276236</c:v>
                </c:pt>
              </c:numCache>
            </c:numRef>
          </c:val>
        </c:ser>
        <c:ser>
          <c:idx val="1"/>
          <c:order val="1"/>
          <c:spPr>
            <a:solidFill>
              <a:schemeClr val="accent2"/>
            </a:solidFill>
            <a:ln>
              <a:noFill/>
            </a:ln>
            <a:effectLst/>
          </c:spPr>
          <c:invertIfNegative val="0"/>
          <c:dLbls>
            <c:delete val="1"/>
          </c:dLbls>
          <c:val>
            <c:numRef>
              <c:f>'Sheet1 (2)'!$M$138:$M$153</c:f>
              <c:numCache>
                <c:formatCode>0.0000</c:formatCode>
                <c:ptCount val="16"/>
                <c:pt idx="0">
                  <c:v>0.032582358666297</c:v>
                </c:pt>
                <c:pt idx="1">
                  <c:v>0.136069750956151</c:v>
                </c:pt>
                <c:pt idx="2">
                  <c:v>0.615992532700373</c:v>
                </c:pt>
                <c:pt idx="3">
                  <c:v>-0.226136122058371</c:v>
                </c:pt>
                <c:pt idx="4">
                  <c:v>-2.89093647352228</c:v>
                </c:pt>
                <c:pt idx="5">
                  <c:v>-0.200264273985899</c:v>
                </c:pt>
                <c:pt idx="6">
                  <c:v>0.394788231680803</c:v>
                </c:pt>
                <c:pt idx="7">
                  <c:v>-0.446046830674323</c:v>
                </c:pt>
                <c:pt idx="8">
                  <c:v>0.816499355261975</c:v>
                </c:pt>
                <c:pt idx="9">
                  <c:v>-0.109712805732289</c:v>
                </c:pt>
                <c:pt idx="10">
                  <c:v>0.963968889275033</c:v>
                </c:pt>
                <c:pt idx="11">
                  <c:v>0.0584542067387525</c:v>
                </c:pt>
                <c:pt idx="12">
                  <c:v>0.252493067282233</c:v>
                </c:pt>
                <c:pt idx="13">
                  <c:v>0.925161117166333</c:v>
                </c:pt>
                <c:pt idx="14">
                  <c:v>1.1062640536736</c:v>
                </c:pt>
                <c:pt idx="15">
                  <c:v>-1.429177057428</c:v>
                </c:pt>
              </c:numCache>
            </c:numRef>
          </c:val>
        </c:ser>
        <c:ser>
          <c:idx val="2"/>
          <c:order val="2"/>
          <c:spPr>
            <a:solidFill>
              <a:schemeClr val="accent3"/>
            </a:solidFill>
            <a:ln>
              <a:noFill/>
            </a:ln>
            <a:effectLst/>
          </c:spPr>
          <c:invertIfNegative val="0"/>
          <c:dLbls>
            <c:delete val="1"/>
          </c:dLbls>
          <c:val>
            <c:numRef>
              <c:f>'Sheet1 (2)'!$N$138:$N$153</c:f>
              <c:numCache>
                <c:formatCode>0.0000</c:formatCode>
                <c:ptCount val="16"/>
                <c:pt idx="0">
                  <c:v>0.39375456796411</c:v>
                </c:pt>
                <c:pt idx="1">
                  <c:v>0.890112821131548</c:v>
                </c:pt>
                <c:pt idx="2">
                  <c:v>0.237493636411398</c:v>
                </c:pt>
                <c:pt idx="3">
                  <c:v>-0.26805643625916</c:v>
                </c:pt>
                <c:pt idx="4">
                  <c:v>-2.98883500917698</c:v>
                </c:pt>
                <c:pt idx="5">
                  <c:v>0.228301816908278</c:v>
                </c:pt>
                <c:pt idx="6">
                  <c:v>0.412138206970293</c:v>
                </c:pt>
                <c:pt idx="7">
                  <c:v>0.0444654268462517</c:v>
                </c:pt>
                <c:pt idx="8">
                  <c:v>0.80095217195146</c:v>
                </c:pt>
                <c:pt idx="9">
                  <c:v>-0.8379492454514</c:v>
                </c:pt>
                <c:pt idx="10">
                  <c:v>0.743043709081923</c:v>
                </c:pt>
                <c:pt idx="11">
                  <c:v>0.384562748461001</c:v>
                </c:pt>
                <c:pt idx="12">
                  <c:v>0.678700972560218</c:v>
                </c:pt>
                <c:pt idx="13">
                  <c:v>0.145575441380379</c:v>
                </c:pt>
                <c:pt idx="14">
                  <c:v>0.534389406361546</c:v>
                </c:pt>
                <c:pt idx="15">
                  <c:v>-1.39865023514054</c:v>
                </c:pt>
              </c:numCache>
            </c:numRef>
          </c:val>
        </c:ser>
        <c:ser>
          <c:idx val="3"/>
          <c:order val="3"/>
          <c:spPr>
            <a:solidFill>
              <a:schemeClr val="accent4"/>
            </a:solidFill>
            <a:ln>
              <a:noFill/>
            </a:ln>
            <a:effectLst/>
          </c:spPr>
          <c:invertIfNegative val="0"/>
          <c:dLbls>
            <c:delete val="1"/>
          </c:dLbls>
          <c:val>
            <c:numRef>
              <c:f>'Sheet1 (2)'!$O$138:$O$153</c:f>
              <c:numCache>
                <c:formatCode>0.0000</c:formatCode>
                <c:ptCount val="16"/>
                <c:pt idx="0">
                  <c:v>0.135698137013944</c:v>
                </c:pt>
                <c:pt idx="1">
                  <c:v>0.253696517026147</c:v>
                </c:pt>
                <c:pt idx="2">
                  <c:v>0.604320274776582</c:v>
                </c:pt>
                <c:pt idx="3">
                  <c:v>-0.193011635877032</c:v>
                </c:pt>
                <c:pt idx="4">
                  <c:v>-2.51926541325971</c:v>
                </c:pt>
                <c:pt idx="5">
                  <c:v>0.32955261846252</c:v>
                </c:pt>
                <c:pt idx="6">
                  <c:v>0.658262391353559</c:v>
                </c:pt>
                <c:pt idx="7">
                  <c:v>-0.319438471604376</c:v>
                </c:pt>
                <c:pt idx="8">
                  <c:v>0.522564254339573</c:v>
                </c:pt>
                <c:pt idx="9">
                  <c:v>-1.17914095455013</c:v>
                </c:pt>
                <c:pt idx="10">
                  <c:v>0.99540061995974</c:v>
                </c:pt>
                <c:pt idx="11">
                  <c:v>0.262124972741309</c:v>
                </c:pt>
                <c:pt idx="12">
                  <c:v>0.489693277050448</c:v>
                </c:pt>
                <c:pt idx="13">
                  <c:v>0.742546948505094</c:v>
                </c:pt>
                <c:pt idx="14">
                  <c:v>0.969272407242774</c:v>
                </c:pt>
                <c:pt idx="15">
                  <c:v>-1.75227594318065</c:v>
                </c:pt>
              </c:numCache>
            </c:numRef>
          </c:val>
        </c:ser>
        <c:dLbls>
          <c:showLegendKey val="0"/>
          <c:showVal val="0"/>
          <c:showCatName val="0"/>
          <c:showSerName val="0"/>
          <c:showPercent val="0"/>
          <c:showBubbleSize val="0"/>
        </c:dLbls>
        <c:gapWidth val="219"/>
        <c:overlap val="-27"/>
        <c:axId val="495665496"/>
        <c:axId val="495667848"/>
      </c:barChart>
      <c:catAx>
        <c:axId val="4956654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5667848"/>
        <c:crosses val="autoZero"/>
        <c:auto val="1"/>
        <c:lblAlgn val="ctr"/>
        <c:lblOffset val="100"/>
        <c:noMultiLvlLbl val="0"/>
      </c:catAx>
      <c:valAx>
        <c:axId val="495667848"/>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5665496"/>
        <c:crosses val="autoZero"/>
        <c:crossBetween val="between"/>
      </c:valAx>
      <c:spPr>
        <a:noFill/>
        <a:ln>
          <a:noFill/>
        </a:ln>
        <a:effectLst/>
      </c:spPr>
    </c:plotArea>
    <c:legend>
      <c:legendPos val="b"/>
      <c:layout>
        <c:manualLayout>
          <c:xMode val="edge"/>
          <c:yMode val="edge"/>
          <c:x val="0.0406679437592082"/>
          <c:y val="0.894096675415573"/>
          <c:w val="0.87203613156699"/>
          <c:h val="0.078125546806649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80B2D-B4D0-4AD9-9769-7069B781749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42</Pages>
  <Words>4920</Words>
  <Characters>28048</Characters>
  <Lines>233</Lines>
  <Paragraphs>65</Paragraphs>
  <TotalTime>500</TotalTime>
  <ScaleCrop>false</ScaleCrop>
  <LinksUpToDate>false</LinksUpToDate>
  <CharactersWithSpaces>32903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2021-07-14T07:13:00Z</dcterms:created>
  <dc:creator>朱赞芳</dc:creator>
  <cp:lastModifiedBy>ss</cp:lastModifiedBy>
  <cp:lastPrinted>2023-06-21T06:56:00Z</cp:lastPrinted>
  <dcterms:modified xsi:type="dcterms:W3CDTF">2023-09-22T11:19:14Z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D2F26074333F486794B22823DF05D202_12</vt:lpwstr>
  </property>
</Properties>
</file>