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微软雅黑" w:hAnsi="微软雅黑" w:eastAsia="微软雅黑" w:cs="黑体"/>
          <w:color w:val="000000" w:themeColor="text1"/>
          <w:w w:val="90"/>
          <w:sz w:val="44"/>
          <w:szCs w:val="44"/>
          <w14:textFill>
            <w14:solidFill>
              <w14:schemeClr w14:val="tx1"/>
            </w14:solidFill>
          </w14:textFill>
        </w:rPr>
      </w:pPr>
    </w:p>
    <w:p>
      <w:pPr>
        <w:pStyle w:val="252"/>
        <w:shd w:val="clear" w:color="FFFFFF" w:fill="FFFFFF"/>
        <w:spacing w:line="312" w:lineRule="auto"/>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铅及铅合金化学分析方法</w:t>
      </w:r>
    </w:p>
    <w:p>
      <w:pPr>
        <w:pStyle w:val="252"/>
        <w:shd w:val="clear" w:color="FFFFFF" w:fill="FFFFFF"/>
        <w:spacing w:line="312" w:lineRule="auto"/>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第18部分：银、铜、铋、砷、锑、锡、锌、铁、镉、</w:t>
      </w:r>
    </w:p>
    <w:p>
      <w:pPr>
        <w:pStyle w:val="252"/>
        <w:shd w:val="clear" w:color="FFFFFF" w:fill="FFFFFF"/>
        <w:spacing w:line="312" w:lineRule="auto"/>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镍、镁、铝、钙、硒、碲含量的测定</w:t>
      </w:r>
    </w:p>
    <w:p>
      <w:pPr>
        <w:pStyle w:val="252"/>
        <w:shd w:val="clear" w:color="FFFFFF" w:fill="FFFFFF"/>
        <w:spacing w:line="312" w:lineRule="auto"/>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电感耦合等离子体质谱法</w:t>
      </w: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cs="黑体"/>
          <w:color w:val="000000" w:themeColor="text1"/>
          <w:w w:val="90"/>
          <w:sz w:val="32"/>
          <w:szCs w:val="3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编 制 说 明</w:t>
      </w:r>
    </w:p>
    <w:p>
      <w:pPr>
        <w:pStyle w:val="117"/>
        <w:spacing w:before="0" w:line="300" w:lineRule="auto"/>
        <w:ind w:firstLine="0"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w:t>
      </w:r>
      <w:r>
        <w:rPr>
          <w:rFonts w:hint="eastAsia" w:ascii="黑体" w:hAnsi="黑体" w:eastAsia="黑体"/>
          <w:color w:val="000000" w:themeColor="text1"/>
          <w:sz w:val="30"/>
          <w:szCs w:val="30"/>
          <w:lang w:val="en-US" w:eastAsia="zh-CN"/>
          <w14:textFill>
            <w14:solidFill>
              <w14:schemeClr w14:val="tx1"/>
            </w14:solidFill>
          </w14:textFill>
        </w:rPr>
        <w:t>送审稿</w:t>
      </w:r>
      <w:r>
        <w:rPr>
          <w:rFonts w:hint="eastAsia" w:ascii="黑体" w:hAnsi="黑体" w:eastAsia="黑体"/>
          <w:color w:val="000000" w:themeColor="text1"/>
          <w:sz w:val="30"/>
          <w:szCs w:val="30"/>
          <w14:textFill>
            <w14:solidFill>
              <w14:schemeClr w14:val="tx1"/>
            </w14:solidFill>
          </w14:textFill>
        </w:rPr>
        <w:t>）</w:t>
      </w:r>
    </w:p>
    <w:p>
      <w:pPr>
        <w:pStyle w:val="117"/>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7"/>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7"/>
        <w:spacing w:before="0" w:line="300" w:lineRule="auto"/>
        <w:ind w:firstLine="0" w:firstLineChars="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国合通用测试评价认证股份公司</w:t>
      </w:r>
    </w:p>
    <w:p>
      <w:pPr>
        <w:widowControl/>
        <w:jc w:val="center"/>
        <w:rPr>
          <w:rFonts w:ascii="黑体" w:hAnsi="黑体" w:eastAsia="黑体" w:cs="黑体"/>
          <w:color w:val="000000" w:themeColor="text1"/>
          <w:w w:val="90"/>
          <w:sz w:val="32"/>
          <w:szCs w:val="32"/>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20</w:t>
      </w:r>
      <w:r>
        <w:rPr>
          <w:rFonts w:ascii="黑体" w:hAnsi="黑体" w:eastAsia="黑体"/>
          <w:color w:val="000000" w:themeColor="text1"/>
          <w:sz w:val="30"/>
          <w:szCs w:val="30"/>
          <w14:textFill>
            <w14:solidFill>
              <w14:schemeClr w14:val="tx1"/>
            </w14:solidFill>
          </w14:textFill>
        </w:rPr>
        <w:t>2</w:t>
      </w:r>
      <w:r>
        <w:rPr>
          <w:rFonts w:hint="eastAsia" w:ascii="黑体" w:hAnsi="黑体" w:eastAsia="黑体"/>
          <w:color w:val="000000" w:themeColor="text1"/>
          <w:sz w:val="30"/>
          <w:szCs w:val="30"/>
          <w:lang w:val="en-US" w:eastAsia="zh-CN"/>
          <w14:textFill>
            <w14:solidFill>
              <w14:schemeClr w14:val="tx1"/>
            </w14:solidFill>
          </w14:textFill>
        </w:rPr>
        <w:t>3</w:t>
      </w:r>
      <w:r>
        <w:rPr>
          <w:rFonts w:hint="eastAsia" w:ascii="黑体" w:hAnsi="黑体" w:eastAsia="黑体"/>
          <w:color w:val="000000" w:themeColor="text1"/>
          <w:sz w:val="30"/>
          <w:szCs w:val="30"/>
          <w14:textFill>
            <w14:solidFill>
              <w14:schemeClr w14:val="tx1"/>
            </w14:solidFill>
          </w14:textFill>
        </w:rPr>
        <w:t>年</w:t>
      </w:r>
      <w:r>
        <w:rPr>
          <w:rFonts w:hint="eastAsia" w:ascii="黑体" w:hAnsi="黑体" w:eastAsia="黑体"/>
          <w:color w:val="000000" w:themeColor="text1"/>
          <w:sz w:val="30"/>
          <w:szCs w:val="30"/>
          <w:lang w:val="en-US" w:eastAsia="zh-CN"/>
          <w14:textFill>
            <w14:solidFill>
              <w14:schemeClr w14:val="tx1"/>
            </w14:solidFill>
          </w14:textFill>
        </w:rPr>
        <w:t>9</w:t>
      </w:r>
      <w:r>
        <w:rPr>
          <w:rFonts w:hint="eastAsia" w:ascii="黑体" w:hAnsi="黑体" w:eastAsia="黑体"/>
          <w:color w:val="000000" w:themeColor="text1"/>
          <w:sz w:val="30"/>
          <w:szCs w:val="30"/>
          <w14:textFill>
            <w14:solidFill>
              <w14:schemeClr w14:val="tx1"/>
            </w14:solidFill>
          </w14:textFill>
        </w:rPr>
        <w:t>月</w:t>
      </w:r>
    </w:p>
    <w:p>
      <w:pPr>
        <w:adjustRightInd w:val="0"/>
        <w:snapToGrid w:val="0"/>
        <w:spacing w:before="156" w:beforeLines="50" w:after="156" w:afterLines="50" w:line="312" w:lineRule="auto"/>
        <w:rPr>
          <w:rFonts w:hint="eastAsia" w:ascii="黑体" w:hAnsi="宋体" w:eastAsia="黑体"/>
          <w:bCs/>
          <w:color w:val="000000" w:themeColor="text1"/>
          <w:sz w:val="24"/>
          <w14:textFill>
            <w14:solidFill>
              <w14:schemeClr w14:val="tx1"/>
            </w14:solidFill>
          </w14:textFill>
        </w:rPr>
        <w:sectPr>
          <w:footerReference r:id="rId3" w:type="default"/>
          <w:pgSz w:w="11850" w:h="16783"/>
          <w:pgMar w:top="1134" w:right="1077" w:bottom="1213" w:left="107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一、工作简况</w:t>
      </w:r>
    </w:p>
    <w:p>
      <w:pPr>
        <w:pStyle w:val="120"/>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1、</w:t>
      </w:r>
      <w:r>
        <w:rPr>
          <w:rFonts w:hAnsi="黑体"/>
          <w:color w:val="000000" w:themeColor="text1"/>
          <w14:textFill>
            <w14:solidFill>
              <w14:schemeClr w14:val="tx1"/>
            </w14:solidFill>
          </w14:textFill>
        </w:rPr>
        <w:t>任务来源</w:t>
      </w:r>
    </w:p>
    <w:p>
      <w:pPr>
        <w:keepNext w:val="0"/>
        <w:keepLines w:val="0"/>
        <w:pageBreakBefore w:val="0"/>
        <w:kinsoku/>
        <w:wordWrap/>
        <w:overflowPunct/>
        <w:topLinePunct w:val="0"/>
        <w:autoSpaceDE/>
        <w:autoSpaceDN/>
        <w:bidi w:val="0"/>
        <w:adjustRightInd w:val="0"/>
        <w:snapToGrid w:val="0"/>
        <w:spacing w:line="288" w:lineRule="auto"/>
        <w:ind w:firstLine="420" w:firstLineChars="200"/>
        <w:textAlignment w:val="auto"/>
        <w:rPr>
          <w:rFonts w:hint="eastAsia" w:hAnsi="宋体"/>
          <w:szCs w:val="20"/>
        </w:rPr>
      </w:pPr>
      <w:r>
        <w:rPr>
          <w:rFonts w:hAnsi="宋体"/>
          <w:szCs w:val="20"/>
        </w:rPr>
        <w:t>202</w:t>
      </w:r>
      <w:r>
        <w:rPr>
          <w:rFonts w:hint="eastAsia" w:hAnsi="宋体"/>
          <w:szCs w:val="20"/>
          <w:lang w:val="en-US" w:eastAsia="zh-CN"/>
        </w:rPr>
        <w:t>2</w:t>
      </w:r>
      <w:r>
        <w:rPr>
          <w:rFonts w:hAnsi="宋体"/>
          <w:szCs w:val="20"/>
        </w:rPr>
        <w:t>年</w:t>
      </w:r>
      <w:r>
        <w:rPr>
          <w:rFonts w:hint="eastAsia" w:hAnsi="宋体"/>
          <w:szCs w:val="20"/>
          <w:lang w:val="en-US" w:eastAsia="zh-CN"/>
        </w:rPr>
        <w:t>7</w:t>
      </w:r>
      <w:r>
        <w:rPr>
          <w:rFonts w:hAnsi="宋体"/>
          <w:szCs w:val="20"/>
        </w:rPr>
        <w:t>月，</w:t>
      </w:r>
      <w:r>
        <w:rPr>
          <w:rFonts w:hint="eastAsia" w:hAnsi="宋体"/>
          <w:szCs w:val="20"/>
        </w:rPr>
        <w:t>国家标准化管理委员会</w:t>
      </w:r>
      <w:r>
        <w:rPr>
          <w:rFonts w:hAnsi="宋体"/>
          <w:szCs w:val="20"/>
        </w:rPr>
        <w:t>下达</w:t>
      </w:r>
      <w:r>
        <w:rPr>
          <w:rFonts w:hint="eastAsia" w:hAnsi="宋体"/>
          <w:szCs w:val="20"/>
        </w:rPr>
        <w:t>了</w:t>
      </w:r>
      <w:r>
        <w:rPr>
          <w:rFonts w:hAnsi="宋体"/>
          <w:szCs w:val="20"/>
        </w:rPr>
        <w:t>《</w:t>
      </w:r>
      <w:r>
        <w:rPr>
          <w:rFonts w:hint="eastAsia" w:ascii="Times New Roman" w:hAnsi="Times New Roman" w:eastAsia="宋体" w:cs="Times New Roman"/>
          <w:kern w:val="2"/>
          <w:sz w:val="21"/>
          <w:szCs w:val="21"/>
        </w:rPr>
        <w:t>第二批推荐性国家标准计划及相关标准外文版计划的通知</w:t>
      </w:r>
      <w:r>
        <w:rPr>
          <w:rFonts w:hAnsi="宋体"/>
          <w:szCs w:val="20"/>
        </w:rPr>
        <w:t>》-</w:t>
      </w:r>
      <w:r>
        <w:rPr>
          <w:rFonts w:hint="eastAsia" w:hAnsi="宋体"/>
          <w:szCs w:val="20"/>
        </w:rPr>
        <w:t>国标委发﹝202</w:t>
      </w:r>
      <w:r>
        <w:rPr>
          <w:rFonts w:hint="eastAsia" w:hAnsi="宋体"/>
          <w:szCs w:val="20"/>
          <w:lang w:val="en-US" w:eastAsia="zh-CN"/>
        </w:rPr>
        <w:t>2</w:t>
      </w:r>
      <w:r>
        <w:rPr>
          <w:rFonts w:hint="eastAsia" w:hAnsi="宋体"/>
          <w:szCs w:val="20"/>
        </w:rPr>
        <w:t>﹞</w:t>
      </w:r>
      <w:r>
        <w:rPr>
          <w:rFonts w:hAnsi="宋体"/>
          <w:szCs w:val="20"/>
        </w:rPr>
        <w:t>2</w:t>
      </w:r>
      <w:r>
        <w:rPr>
          <w:rFonts w:hint="eastAsia" w:hAnsi="宋体"/>
          <w:szCs w:val="20"/>
          <w:lang w:val="en-US" w:eastAsia="zh-CN"/>
        </w:rPr>
        <w:t>2</w:t>
      </w:r>
      <w:r>
        <w:rPr>
          <w:rFonts w:hint="eastAsia" w:hAnsi="宋体"/>
          <w:szCs w:val="20"/>
        </w:rPr>
        <w:t>号</w:t>
      </w:r>
      <w:r>
        <w:rPr>
          <w:rFonts w:hAnsi="宋体"/>
          <w:szCs w:val="20"/>
        </w:rPr>
        <w:t>文件，其中《</w:t>
      </w:r>
      <w:r>
        <w:rPr>
          <w:rFonts w:hint="eastAsia" w:ascii="Times New Roman" w:hAnsi="Times New Roman" w:eastAsia="宋体" w:cs="Times New Roman"/>
          <w:kern w:val="2"/>
          <w:sz w:val="21"/>
          <w:szCs w:val="21"/>
        </w:rPr>
        <w:t>铅及铅合金化学分析方法 第18部分：银、铜、铋、砷、锑、锡、锌、铁、镉、镍、镁、铝、钙、硒、碲含量的测定</w:t>
      </w:r>
      <w:r>
        <w:rPr>
          <w:rFonts w:hint="eastAsia" w:ascii="Times New Roman" w:hAnsi="Times New Roman" w:eastAsia="宋体" w:cs="Times New Roman"/>
          <w:kern w:val="2"/>
          <w:sz w:val="21"/>
          <w:szCs w:val="21"/>
          <w:lang w:val="en-US" w:eastAsia="zh-CN"/>
        </w:rPr>
        <w:t xml:space="preserve">  </w:t>
      </w:r>
      <w:r>
        <w:rPr>
          <w:rFonts w:hint="eastAsia" w:ascii="Times New Roman" w:hAnsi="Times New Roman" w:eastAsia="宋体" w:cs="Times New Roman"/>
          <w:kern w:val="2"/>
          <w:sz w:val="21"/>
          <w:szCs w:val="21"/>
        </w:rPr>
        <w:t>电感耦合等离子体质谱法</w:t>
      </w:r>
      <w:r>
        <w:rPr>
          <w:rFonts w:hint="eastAsia" w:hAnsi="宋体"/>
          <w:szCs w:val="20"/>
        </w:rPr>
        <w:t>》由</w:t>
      </w:r>
      <w:r>
        <w:rPr>
          <w:rFonts w:hint="eastAsia" w:ascii="Times New Roman" w:hAnsi="Times New Roman" w:eastAsia="宋体" w:cs="Times New Roman"/>
          <w:kern w:val="2"/>
          <w:sz w:val="21"/>
          <w:szCs w:val="21"/>
        </w:rPr>
        <w:t>国合通用测试评价认证股份公司、国标（北京）检验认证有限公司</w:t>
      </w:r>
      <w:r>
        <w:rPr>
          <w:rFonts w:hint="eastAsia" w:hAnsi="宋体"/>
          <w:szCs w:val="20"/>
        </w:rPr>
        <w:t>负责</w:t>
      </w:r>
      <w:r>
        <w:rPr>
          <w:rFonts w:hAnsi="宋体"/>
          <w:szCs w:val="20"/>
        </w:rPr>
        <w:t>起草，项目计划编号为</w:t>
      </w:r>
      <w:r>
        <w:rPr>
          <w:rFonts w:ascii="Times New Roman" w:eastAsia="宋体"/>
          <w:kern w:val="2"/>
          <w:sz w:val="21"/>
          <w:szCs w:val="21"/>
        </w:rPr>
        <w:fldChar w:fldCharType="begin"/>
      </w:r>
      <w:r>
        <w:rPr>
          <w:rFonts w:ascii="Times New Roman" w:eastAsia="宋体"/>
          <w:kern w:val="2"/>
          <w:sz w:val="21"/>
          <w:szCs w:val="21"/>
        </w:rPr>
        <w:instrText xml:space="preserve"> HYPERLINK "http://219.239.107.155:8080/TaskBook.aspx?id=YSCPZT06842020" </w:instrText>
      </w:r>
      <w:r>
        <w:rPr>
          <w:rFonts w:ascii="Times New Roman" w:eastAsia="宋体"/>
          <w:kern w:val="2"/>
          <w:sz w:val="21"/>
          <w:szCs w:val="21"/>
        </w:rPr>
        <w:fldChar w:fldCharType="separate"/>
      </w:r>
      <w:r>
        <w:rPr>
          <w:rFonts w:ascii="Times New Roman" w:eastAsia="宋体"/>
          <w:kern w:val="2"/>
          <w:sz w:val="21"/>
          <w:szCs w:val="21"/>
        </w:rPr>
        <w:t>202</w:t>
      </w:r>
      <w:r>
        <w:rPr>
          <w:rFonts w:hint="eastAsia" w:ascii="Times New Roman" w:eastAsia="宋体"/>
          <w:kern w:val="2"/>
          <w:sz w:val="21"/>
          <w:szCs w:val="21"/>
          <w:lang w:val="en-US" w:eastAsia="zh-CN"/>
        </w:rPr>
        <w:t>2</w:t>
      </w:r>
      <w:r>
        <w:rPr>
          <w:rFonts w:ascii="Times New Roman" w:eastAsia="宋体"/>
          <w:kern w:val="2"/>
          <w:sz w:val="21"/>
          <w:szCs w:val="21"/>
        </w:rPr>
        <w:t>0</w:t>
      </w:r>
      <w:r>
        <w:rPr>
          <w:rFonts w:hint="eastAsia" w:ascii="Times New Roman" w:eastAsia="宋体"/>
          <w:kern w:val="2"/>
          <w:sz w:val="21"/>
          <w:szCs w:val="21"/>
          <w:lang w:val="en-US" w:eastAsia="zh-CN"/>
        </w:rPr>
        <w:t>733-</w:t>
      </w:r>
      <w:r>
        <w:rPr>
          <w:rFonts w:ascii="Times New Roman" w:eastAsia="宋体"/>
          <w:kern w:val="2"/>
          <w:sz w:val="21"/>
          <w:szCs w:val="21"/>
        </w:rPr>
        <w:t>T-</w:t>
      </w:r>
      <w:r>
        <w:rPr>
          <w:rFonts w:hint="eastAsia" w:ascii="Times New Roman" w:eastAsia="宋体"/>
          <w:kern w:val="2"/>
          <w:sz w:val="21"/>
          <w:szCs w:val="21"/>
          <w:lang w:val="en-US" w:eastAsia="zh-CN"/>
        </w:rPr>
        <w:t>6</w:t>
      </w:r>
      <w:r>
        <w:rPr>
          <w:rFonts w:ascii="Times New Roman" w:eastAsia="宋体"/>
          <w:kern w:val="2"/>
          <w:sz w:val="21"/>
          <w:szCs w:val="21"/>
        </w:rPr>
        <w:fldChar w:fldCharType="end"/>
      </w:r>
      <w:r>
        <w:rPr>
          <w:rFonts w:hint="eastAsia" w:ascii="Times New Roman" w:eastAsia="宋体"/>
          <w:kern w:val="2"/>
          <w:sz w:val="21"/>
          <w:szCs w:val="21"/>
          <w:lang w:val="en-US" w:eastAsia="zh-CN"/>
        </w:rPr>
        <w:t>10</w:t>
      </w:r>
      <w:r>
        <w:rPr>
          <w:rFonts w:hAnsi="宋体"/>
          <w:szCs w:val="20"/>
        </w:rPr>
        <w:t>，</w:t>
      </w:r>
      <w:r>
        <w:rPr>
          <w:rFonts w:hint="eastAsia" w:hAnsi="宋体"/>
          <w:szCs w:val="20"/>
        </w:rPr>
        <w:t>项目周期</w:t>
      </w:r>
      <w:r>
        <w:rPr>
          <w:rFonts w:hint="eastAsia" w:hAnsi="宋体"/>
          <w:szCs w:val="20"/>
          <w:lang w:val="en-US" w:eastAsia="zh-CN"/>
        </w:rPr>
        <w:t>18</w:t>
      </w:r>
      <w:r>
        <w:rPr>
          <w:rFonts w:hint="eastAsia" w:hAnsi="宋体"/>
          <w:szCs w:val="20"/>
        </w:rPr>
        <w:t>个</w:t>
      </w:r>
      <w:r>
        <w:rPr>
          <w:rFonts w:hAnsi="宋体"/>
          <w:szCs w:val="20"/>
        </w:rPr>
        <w:t>月</w:t>
      </w:r>
      <w:r>
        <w:rPr>
          <w:rFonts w:hint="eastAsia" w:hAnsi="宋体"/>
          <w:szCs w:val="20"/>
        </w:rPr>
        <w:t>，</w:t>
      </w:r>
      <w:r>
        <w:rPr>
          <w:rFonts w:hint="eastAsia" w:hAnsi="宋体"/>
          <w:szCs w:val="20"/>
          <w:lang w:val="en-US" w:eastAsia="zh-CN"/>
        </w:rPr>
        <w:t>计划</w:t>
      </w:r>
      <w:r>
        <w:rPr>
          <w:rFonts w:hAnsi="宋体"/>
          <w:szCs w:val="20"/>
        </w:rPr>
        <w:t>完成年限202</w:t>
      </w:r>
      <w:r>
        <w:rPr>
          <w:rFonts w:hint="eastAsia" w:hAnsi="宋体"/>
          <w:szCs w:val="20"/>
        </w:rPr>
        <w:t>3</w:t>
      </w:r>
      <w:r>
        <w:rPr>
          <w:rFonts w:hAnsi="宋体"/>
          <w:szCs w:val="20"/>
        </w:rPr>
        <w:t>年</w:t>
      </w:r>
      <w:r>
        <w:rPr>
          <w:rFonts w:hint="eastAsia" w:hAnsi="宋体"/>
          <w:szCs w:val="20"/>
        </w:rPr>
        <w:t>。</w:t>
      </w:r>
    </w:p>
    <w:p>
      <w:pPr>
        <w:pStyle w:val="120"/>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int="eastAsia" w:hAnsi="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2、目的和意义</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rPr>
        <w:t>铅是重要的有色金属，其年产销量在有色金属中排在铝、铜、锌之后的第四位，主要应用在铅蓄电池、电缆护套、铅箔等领域。铅产品不仅包括高纯度的铅锭、再生铅，还包括铅锑合金、铅钙合金等合金产品，各杂质元素的质量分数是鉴别产品等级的重要参数。地壳中的铅常与锌、铜共生，构成铅锌矿或铅锌铜矿，此外还会含有银、铋、镉、锡等杂质元素。根据GB/T 469、GB/T 21181、GB/T 26045</w:t>
      </w:r>
      <w:r>
        <w:rPr>
          <w:rFonts w:hint="eastAsia"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rPr>
        <w:t>GB/ T 1470</w:t>
      </w:r>
      <w:r>
        <w:rPr>
          <w:rFonts w:hint="eastAsia" w:ascii="Times New Roman" w:hAnsi="Times New Roman" w:eastAsia="宋体" w:cs="Times New Roman"/>
          <w:kern w:val="2"/>
          <w:sz w:val="21"/>
          <w:szCs w:val="21"/>
          <w:lang w:val="en-US" w:eastAsia="zh-CN"/>
        </w:rPr>
        <w:t>等</w:t>
      </w:r>
      <w:r>
        <w:rPr>
          <w:rFonts w:hint="eastAsia" w:ascii="Times New Roman" w:hAnsi="Times New Roman" w:eastAsia="宋体" w:cs="Times New Roman"/>
          <w:kern w:val="2"/>
          <w:sz w:val="21"/>
          <w:szCs w:val="21"/>
        </w:rPr>
        <w:t>铅相关产品标准，铅及铅合金中通常需要检测银、铜、铋、砷、锑、锡、锌、铁、镉、镍等痕量杂质元素。</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Times New Roman" w:hAnsi="Times New Roman" w:eastAsia="宋体" w:cs="Times New Roman"/>
          <w:kern w:val="2"/>
          <w:sz w:val="21"/>
          <w:szCs w:val="21"/>
        </w:rPr>
      </w:pPr>
      <w:r>
        <w:rPr>
          <w:rFonts w:hint="eastAsia" w:ascii="Times New Roman" w:hAnsi="Times New Roman" w:eastAsia="宋体" w:cs="Times New Roman"/>
          <w:kern w:val="2"/>
          <w:sz w:val="21"/>
          <w:szCs w:val="21"/>
        </w:rPr>
        <w:t>目前，铅及铅合金化学成分的检测依据为GB/T 4103《铅及铅合金化学分析方法》，该系列共17个部分，前15部分均为单一元素测定方法，涉及原子荧光光谱法、原子吸收光谱法、分光光度法等，涉及锡、锑、铜、铁、铋等杂质元素的测定。第16部分为《铜、银、铋、砷、锑、锡、锌量的测定 光电直读发射光谱法》。第17部分为《钠量、镁量的测定 火焰原子吸收光谱法》。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bidi="ar-SA"/>
        </w:rPr>
        <w:t>本项目的目的在于建立电感耦合等离子体质谱法（ICP-MS）测定铅及铅合金中银、铜、铋、砷、锑、锡、锌、铁、镉、镍、镁、铝、钙、硒、碲等痕量杂质元素的化学分析方法。ICP-MS</w:t>
      </w:r>
      <w:r>
        <w:rPr>
          <w:rFonts w:hint="eastAsia" w:ascii="Times New Roman" w:hAnsi="Times New Roman" w:eastAsia="宋体" w:cs="Times New Roman"/>
          <w:kern w:val="2"/>
          <w:sz w:val="21"/>
          <w:szCs w:val="21"/>
          <w:lang w:val="en-US" w:eastAsia="zh-CN"/>
        </w:rPr>
        <w:t>具有</w:t>
      </w:r>
      <w:r>
        <w:rPr>
          <w:rFonts w:hint="eastAsia" w:ascii="Times New Roman" w:hAnsi="Times New Roman" w:eastAsia="宋体" w:cs="Times New Roman"/>
          <w:kern w:val="2"/>
          <w:sz w:val="21"/>
          <w:szCs w:val="21"/>
        </w:rPr>
        <w:t>多元素同时测定、干扰少</w:t>
      </w:r>
      <w:r>
        <w:rPr>
          <w:rFonts w:hint="eastAsia"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val="en-US" w:eastAsia="zh-CN"/>
        </w:rPr>
        <w:t>灵敏度高等优点，</w:t>
      </w:r>
      <w:r>
        <w:rPr>
          <w:rFonts w:hint="eastAsia" w:ascii="Times New Roman" w:hAnsi="Times New Roman" w:eastAsia="宋体" w:cs="Times New Roman"/>
          <w:kern w:val="2"/>
          <w:sz w:val="21"/>
          <w:szCs w:val="21"/>
          <w:lang w:val="en-US"/>
        </w:rPr>
        <w:t>是近些年高纯金属及合金材料化学成分分析的重要手段。</w:t>
      </w:r>
      <w:r>
        <w:rPr>
          <w:rFonts w:hint="eastAsia" w:ascii="Times New Roman" w:hAnsi="Times New Roman" w:eastAsia="宋体" w:cs="Times New Roman"/>
          <w:kern w:val="2"/>
          <w:sz w:val="21"/>
          <w:szCs w:val="21"/>
        </w:rPr>
        <w:t>建立铅及铅合金中痕量杂质元素的</w:t>
      </w:r>
      <w:r>
        <w:rPr>
          <w:rFonts w:hint="eastAsia" w:ascii="Times New Roman" w:hAnsi="Times New Roman" w:eastAsia="宋体" w:cs="Times New Roman"/>
          <w:kern w:val="2"/>
          <w:sz w:val="21"/>
          <w:szCs w:val="21"/>
          <w:lang w:val="en-US" w:eastAsia="zh-CN"/>
        </w:rPr>
        <w:t>ICP-MS</w:t>
      </w:r>
      <w:r>
        <w:rPr>
          <w:rFonts w:hint="eastAsia" w:ascii="Times New Roman" w:hAnsi="Times New Roman" w:eastAsia="宋体" w:cs="Times New Roman"/>
          <w:kern w:val="2"/>
          <w:sz w:val="21"/>
          <w:szCs w:val="21"/>
        </w:rPr>
        <w:t>分析方法</w:t>
      </w:r>
      <w:r>
        <w:rPr>
          <w:rFonts w:hint="eastAsia" w:cs="Times New Roman"/>
          <w:kern w:val="2"/>
          <w:sz w:val="21"/>
          <w:szCs w:val="21"/>
          <w:lang w:val="en-US" w:eastAsia="zh-CN"/>
        </w:rPr>
        <w:t>具有重要意义，项目完成后</w:t>
      </w:r>
      <w:r>
        <w:rPr>
          <w:rFonts w:hint="eastAsia" w:ascii="Times New Roman" w:hAnsi="Times New Roman" w:eastAsia="宋体" w:cs="Times New Roman"/>
          <w:kern w:val="2"/>
          <w:sz w:val="21"/>
          <w:szCs w:val="21"/>
        </w:rPr>
        <w:t>GB/T 4103</w:t>
      </w:r>
      <w:r>
        <w:rPr>
          <w:rFonts w:hint="eastAsia" w:ascii="Times New Roman" w:hAnsi="Times New Roman" w:eastAsia="宋体" w:cs="Times New Roman"/>
          <w:kern w:val="2"/>
          <w:sz w:val="21"/>
          <w:szCs w:val="21"/>
          <w:lang w:val="en-US" w:eastAsia="zh-CN"/>
        </w:rPr>
        <w:t>标准体系</w:t>
      </w:r>
      <w:r>
        <w:rPr>
          <w:rFonts w:hint="eastAsia" w:ascii="Times New Roman" w:hAnsi="Times New Roman" w:eastAsia="宋体" w:cs="Times New Roman"/>
          <w:kern w:val="2"/>
          <w:sz w:val="21"/>
          <w:szCs w:val="21"/>
        </w:rPr>
        <w:t>更加完善</w:t>
      </w:r>
      <w:r>
        <w:rPr>
          <w:rFonts w:hint="eastAsia"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val="en-US" w:eastAsia="zh-CN"/>
        </w:rPr>
        <w:t>为检测机构</w:t>
      </w:r>
      <w:r>
        <w:rPr>
          <w:rFonts w:hint="eastAsia" w:ascii="Times New Roman" w:hAnsi="Times New Roman" w:eastAsia="宋体" w:cs="Times New Roman"/>
          <w:kern w:val="2"/>
          <w:sz w:val="21"/>
          <w:szCs w:val="21"/>
        </w:rPr>
        <w:t>提供更加便捷的方法标准</w:t>
      </w:r>
      <w:r>
        <w:rPr>
          <w:rFonts w:hint="eastAsia"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val="en-US" w:eastAsia="zh-CN"/>
        </w:rPr>
        <w:t>提高铅及铅合金样品的检测速度，</w:t>
      </w:r>
      <w:r>
        <w:rPr>
          <w:rFonts w:hint="eastAsia" w:ascii="Times New Roman" w:hAnsi="Times New Roman" w:eastAsia="宋体" w:cs="Times New Roman"/>
          <w:kern w:val="2"/>
          <w:sz w:val="21"/>
          <w:szCs w:val="21"/>
        </w:rPr>
        <w:t>更好的服务铅及铅合金产品的生产和使用单位。</w:t>
      </w:r>
    </w:p>
    <w:p>
      <w:pPr>
        <w:pStyle w:val="120"/>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Ansi="黑体"/>
          <w:color w:val="000000" w:themeColor="text1"/>
          <w14:textFill>
            <w14:solidFill>
              <w14:schemeClr w14:val="tx1"/>
            </w14:solidFill>
          </w14:textFill>
        </w:rPr>
      </w:pPr>
      <w:r>
        <w:rPr>
          <w:rFonts w:hint="eastAsia" w:hAnsi="黑体"/>
          <w:color w:val="000000" w:themeColor="text1"/>
          <w:lang w:val="en-US" w:eastAsia="zh-CN"/>
          <w14:textFill>
            <w14:solidFill>
              <w14:schemeClr w14:val="tx1"/>
            </w14:solidFill>
          </w14:textFill>
        </w:rPr>
        <w:t>3</w:t>
      </w:r>
      <w:r>
        <w:rPr>
          <w:rFonts w:hint="eastAsia" w:hAnsi="黑体"/>
          <w:color w:val="000000" w:themeColor="text1"/>
          <w14:textFill>
            <w14:solidFill>
              <w14:schemeClr w14:val="tx1"/>
            </w14:solidFill>
          </w14:textFill>
        </w:rPr>
        <w:t>、项目编制组</w:t>
      </w:r>
      <w:r>
        <w:rPr>
          <w:rFonts w:hAnsi="黑体"/>
          <w:color w:val="000000" w:themeColor="text1"/>
          <w14:textFill>
            <w14:solidFill>
              <w14:schemeClr w14:val="tx1"/>
            </w14:solidFill>
          </w14:textFill>
        </w:rPr>
        <w:t>单位及变化情况</w:t>
      </w:r>
    </w:p>
    <w:p>
      <w:pPr>
        <w:pStyle w:val="81"/>
        <w:keepNext w:val="0"/>
        <w:keepLines w:val="0"/>
        <w:pageBreakBefore w:val="0"/>
        <w:widowControl/>
        <w:kinsoku/>
        <w:wordWrap/>
        <w:overflowPunct/>
        <w:topLinePunct w:val="0"/>
        <w:autoSpaceDE/>
        <w:autoSpaceDN/>
        <w:bidi w:val="0"/>
        <w:adjustRightInd w:val="0"/>
        <w:snapToGrid w:val="0"/>
        <w:spacing w:before="0" w:beforeAutospacing="0" w:after="0" w:afterAutospacing="0" w:line="288" w:lineRule="auto"/>
        <w:ind w:firstLine="437"/>
        <w:jc w:val="both"/>
        <w:textAlignment w:val="auto"/>
        <w:rPr>
          <w:rFonts w:hint="default" w:ascii="Times New Roman" w:hAnsi="Times New Roman" w:eastAsia="宋体" w:cs="Times New Roman"/>
          <w:kern w:val="2"/>
          <w:sz w:val="21"/>
          <w:szCs w:val="21"/>
          <w:lang w:val="en-US" w:eastAsia="zh-CN"/>
        </w:rPr>
      </w:pPr>
      <w:r>
        <w:rPr>
          <w:rFonts w:hint="eastAsia" w:ascii="Times New Roman" w:cs="Times New Roman"/>
          <w:color w:val="000000" w:themeColor="text1"/>
          <w:kern w:val="2"/>
          <w:sz w:val="21"/>
          <w:szCs w:val="20"/>
          <w:lang w:val="en-US" w:eastAsia="zh-CN"/>
          <w14:textFill>
            <w14:solidFill>
              <w14:schemeClr w14:val="tx1"/>
            </w14:solidFill>
          </w14:textFill>
        </w:rPr>
        <w:t>2022年9月，任务落实会议确定</w:t>
      </w:r>
      <w:r>
        <w:rPr>
          <w:rFonts w:hint="eastAsia" w:ascii="Times New Roman" w:cs="Times New Roman"/>
          <w:color w:val="000000" w:themeColor="text1"/>
          <w:kern w:val="2"/>
          <w:sz w:val="21"/>
          <w:szCs w:val="20"/>
          <w14:textFill>
            <w14:solidFill>
              <w14:schemeClr w14:val="tx1"/>
            </w14:solidFill>
          </w14:textFill>
        </w:rPr>
        <w:t>编制组成员</w:t>
      </w:r>
      <w:r>
        <w:rPr>
          <w:rFonts w:ascii="Times New Roman" w:cs="Times New Roman"/>
          <w:color w:val="000000" w:themeColor="text1"/>
          <w:kern w:val="2"/>
          <w:sz w:val="21"/>
          <w:szCs w:val="20"/>
          <w14:textFill>
            <w14:solidFill>
              <w14:schemeClr w14:val="tx1"/>
            </w14:solidFill>
          </w14:textFill>
        </w:rPr>
        <w:t>包括</w:t>
      </w:r>
      <w:r>
        <w:rPr>
          <w:rFonts w:hint="eastAsia" w:ascii="Times New Roman" w:hAnsi="Times New Roman" w:eastAsia="宋体" w:cs="Times New Roman"/>
          <w:kern w:val="2"/>
          <w:sz w:val="21"/>
          <w:szCs w:val="21"/>
        </w:rPr>
        <w:t>国合通用测试评价认证股份公司、国标（北京）检验认证有限公司</w:t>
      </w:r>
      <w:r>
        <w:rPr>
          <w:rFonts w:hint="eastAsia" w:ascii="Times New Roman" w:hAnsi="Times New Roman" w:cs="Times New Roman"/>
          <w:kern w:val="2"/>
          <w:sz w:val="21"/>
          <w:szCs w:val="21"/>
          <w:lang w:eastAsia="zh-CN"/>
        </w:rPr>
        <w:t>、</w:t>
      </w:r>
      <w:r>
        <w:rPr>
          <w:rFonts w:hint="eastAsia" w:ascii="Times New Roman" w:hAnsi="Times New Roman" w:eastAsia="宋体" w:cs="Times New Roman"/>
          <w:kern w:val="2"/>
          <w:sz w:val="21"/>
          <w:szCs w:val="21"/>
        </w:rPr>
        <w:t>广东省科学院工业分析检测中心、阜阳市产品质量监督检验所、深圳市中金岭南有色金属股份有限公司、北矿检测技术股份有限公司、铜陵有色金属集团控股有限公司、金川集团股份有限公司、紫金铜业有限公司、国合通用（青岛）测试评价有限公司、湖南水口山有色金属集团有限公司</w:t>
      </w:r>
      <w:r>
        <w:rPr>
          <w:rFonts w:hint="eastAsia" w:ascii="Times New Roman" w:cs="Times New Roman"/>
          <w:color w:val="000000" w:themeColor="text1"/>
          <w:kern w:val="2"/>
          <w:sz w:val="21"/>
          <w:szCs w:val="20"/>
          <w:lang w:eastAsia="zh-CN"/>
          <w14:textFill>
            <w14:solidFill>
              <w14:schemeClr w14:val="tx1"/>
            </w14:solidFill>
          </w14:textFill>
        </w:rPr>
        <w:t>、</w:t>
      </w:r>
      <w:r>
        <w:rPr>
          <w:rFonts w:hint="eastAsia" w:ascii="Times New Roman" w:hAnsi="Times New Roman" w:eastAsia="宋体" w:cs="Times New Roman"/>
          <w:kern w:val="2"/>
          <w:sz w:val="21"/>
          <w:szCs w:val="21"/>
          <w:lang w:eastAsia="zh-CN"/>
        </w:rPr>
        <w:t>辽宁中科力勒检测技术服务有限公司</w:t>
      </w:r>
      <w:r>
        <w:rPr>
          <w:rFonts w:hint="eastAsia" w:ascii="Times New Roman" w:hAnsi="Times New Roman" w:cs="Times New Roman"/>
          <w:kern w:val="2"/>
          <w:sz w:val="21"/>
          <w:szCs w:val="21"/>
          <w:lang w:eastAsia="zh-CN"/>
        </w:rPr>
        <w:t>。</w:t>
      </w:r>
    </w:p>
    <w:p>
      <w:pPr>
        <w:pStyle w:val="120"/>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Ansi="黑体"/>
          <w:color w:val="000000" w:themeColor="text1"/>
          <w14:textFill>
            <w14:solidFill>
              <w14:schemeClr w14:val="tx1"/>
            </w14:solidFill>
          </w14:textFill>
        </w:rPr>
      </w:pPr>
      <w:bookmarkStart w:id="0" w:name="_Toc451633880"/>
      <w:r>
        <w:rPr>
          <w:rFonts w:hint="eastAsia" w:hAnsi="黑体"/>
          <w:color w:val="000000" w:themeColor="text1"/>
          <w:lang w:val="en-US" w:eastAsia="zh-CN"/>
          <w14:textFill>
            <w14:solidFill>
              <w14:schemeClr w14:val="tx1"/>
            </w14:solidFill>
          </w14:textFill>
        </w:rPr>
        <w:t>4</w:t>
      </w:r>
      <w:r>
        <w:rPr>
          <w:rFonts w:hint="eastAsia" w:hAnsi="黑体"/>
          <w:color w:val="000000" w:themeColor="text1"/>
          <w14:textFill>
            <w14:solidFill>
              <w14:schemeClr w14:val="tx1"/>
            </w14:solidFill>
          </w14:textFill>
        </w:rPr>
        <w:t>、主要参加单位和工作成员及其所做的工作</w:t>
      </w:r>
      <w:bookmarkEnd w:id="0"/>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黑体" w:hAnsi="黑体" w:eastAsia="黑体"/>
          <w:color w:val="000000" w:themeColor="text1"/>
          <w14:textFill>
            <w14:solidFill>
              <w14:schemeClr w14:val="tx1"/>
            </w14:solidFill>
          </w14:textFill>
        </w:rPr>
      </w:pPr>
      <w:bookmarkStart w:id="1" w:name="_Toc451633881"/>
      <w:r>
        <w:rPr>
          <w:rFonts w:hint="eastAsia" w:ascii="黑体" w:hAnsi="黑体" w:eastAsia="黑体"/>
          <w:color w:val="000000" w:themeColor="text1"/>
          <w:lang w:val="en-US" w:eastAsia="zh-CN"/>
          <w14:textFill>
            <w14:solidFill>
              <w14:schemeClr w14:val="tx1"/>
            </w14:solidFill>
          </w14:textFill>
        </w:rPr>
        <w:t>4</w:t>
      </w: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主要参加单位情况</w:t>
      </w:r>
      <w:bookmarkEnd w:id="1"/>
    </w:p>
    <w:p>
      <w:pPr>
        <w:keepNext w:val="0"/>
        <w:keepLines w:val="0"/>
        <w:pageBreakBefore w:val="0"/>
        <w:kinsoku/>
        <w:wordWrap/>
        <w:overflowPunct/>
        <w:topLinePunct w:val="0"/>
        <w:autoSpaceDE/>
        <w:autoSpaceDN/>
        <w:bidi w:val="0"/>
        <w:adjustRightInd w:val="0"/>
        <w:snapToGrid w:val="0"/>
        <w:spacing w:line="288" w:lineRule="auto"/>
        <w:ind w:firstLine="540"/>
        <w:textAlignment w:val="auto"/>
      </w:pPr>
      <w:r>
        <w:rPr>
          <w:rFonts w:hint="eastAsia" w:ascii="Times New Roman" w:hAnsi="Times New Roman" w:eastAsia="宋体" w:cs="Times New Roman"/>
          <w:kern w:val="2"/>
          <w:sz w:val="21"/>
          <w:szCs w:val="21"/>
        </w:rPr>
        <w:t>国合通用测试评价认证股份公司、国标（北京）检验认证有限公司</w:t>
      </w:r>
      <w:r>
        <w:rPr>
          <w:rFonts w:hint="eastAsia"/>
        </w:rPr>
        <w:t>是本标准</w:t>
      </w:r>
      <w:r>
        <w:t>的起草单位</w:t>
      </w:r>
      <w:r>
        <w:rPr>
          <w:rFonts w:hint="eastAsia"/>
        </w:rPr>
        <w:t>。在工作前期</w:t>
      </w:r>
      <w:r>
        <w:t>，</w:t>
      </w:r>
      <w:r>
        <w:rPr>
          <w:rFonts w:hint="eastAsia"/>
        </w:rPr>
        <w:t>对现阶</w:t>
      </w:r>
      <w:r>
        <w:rPr>
          <w:rFonts w:hint="eastAsia"/>
          <w:lang w:val="en-US" w:eastAsia="zh-CN"/>
        </w:rPr>
        <w:t>铅及铅合金相关的</w:t>
      </w:r>
      <w:r>
        <w:rPr>
          <w:rFonts w:hint="eastAsia"/>
        </w:rPr>
        <w:t>产品标准、</w:t>
      </w:r>
      <w:r>
        <w:t>检测现状</w:t>
      </w:r>
      <w:r>
        <w:rPr>
          <w:rFonts w:hint="eastAsia"/>
        </w:rPr>
        <w:t>及</w:t>
      </w:r>
      <w:r>
        <w:t>国内外相关检测标准进行了充分的调研</w:t>
      </w:r>
      <w:r>
        <w:rPr>
          <w:rFonts w:hint="eastAsia"/>
        </w:rPr>
        <w:t>，</w:t>
      </w:r>
      <w:r>
        <w:t>并</w:t>
      </w:r>
      <w:r>
        <w:rPr>
          <w:rFonts w:hint="eastAsia"/>
        </w:rPr>
        <w:t>设计</w:t>
      </w:r>
      <w:r>
        <w:t>了</w:t>
      </w:r>
      <w:r>
        <w:rPr>
          <w:rFonts w:hint="eastAsia"/>
        </w:rPr>
        <w:t>采用</w:t>
      </w:r>
      <w:r>
        <w:t>电感耦合等离子体质谱</w:t>
      </w:r>
      <w:r>
        <w:rPr>
          <w:rFonts w:hint="eastAsia"/>
        </w:rPr>
        <w:t>（ICP-MS）</w:t>
      </w:r>
      <w:r>
        <w:t>测定</w:t>
      </w:r>
      <w:r>
        <w:rPr>
          <w:rFonts w:hint="eastAsia"/>
          <w:lang w:val="en-US" w:eastAsia="zh-CN"/>
        </w:rPr>
        <w:t>铅及铅合金中</w:t>
      </w:r>
      <w:r>
        <w:rPr>
          <w:rFonts w:hint="eastAsia" w:ascii="Times New Roman" w:hAnsi="Times New Roman" w:eastAsia="宋体" w:cs="Times New Roman"/>
          <w:kern w:val="2"/>
          <w:sz w:val="21"/>
          <w:szCs w:val="21"/>
        </w:rPr>
        <w:t>银、铜、铋、砷、锑、锡、锌、铁、镉、镍、镁、铝、钙、硒、碲</w:t>
      </w:r>
      <w:r>
        <w:rPr>
          <w:rFonts w:hint="eastAsia"/>
        </w:rPr>
        <w:t>含量</w:t>
      </w:r>
      <w:r>
        <w:t>的实验方案。</w:t>
      </w:r>
      <w:r>
        <w:rPr>
          <w:rFonts w:hint="eastAsia"/>
        </w:rPr>
        <w:t>项目计划下达后，</w:t>
      </w:r>
      <w:r>
        <w:rPr>
          <w:rFonts w:hint="eastAsia"/>
          <w:lang w:val="en-US" w:eastAsia="zh-CN"/>
        </w:rPr>
        <w:t>编制组购买铅标准物质及高纯铅样品并</w:t>
      </w:r>
      <w:r>
        <w:t>积极联系</w:t>
      </w:r>
      <w:r>
        <w:rPr>
          <w:rFonts w:hint="eastAsia" w:ascii="Times New Roman" w:hAnsi="Times New Roman" w:eastAsia="宋体" w:cs="Times New Roman"/>
          <w:kern w:val="2"/>
          <w:sz w:val="21"/>
          <w:szCs w:val="21"/>
        </w:rPr>
        <w:t>阜阳市产品质量监督检验所</w:t>
      </w:r>
      <w:r>
        <w:rPr>
          <w:rFonts w:hint="eastAsia" w:cs="Times New Roman"/>
          <w:kern w:val="2"/>
          <w:sz w:val="21"/>
          <w:szCs w:val="21"/>
          <w:lang w:val="en-US" w:eastAsia="zh-CN"/>
        </w:rPr>
        <w:t>协调准备铅钙合金、铅锑合金和铅银合金等公共样品</w:t>
      </w:r>
      <w:r>
        <w:rPr>
          <w:rFonts w:hint="eastAsia"/>
          <w:szCs w:val="20"/>
        </w:rPr>
        <w:t>；</w:t>
      </w:r>
      <w:r>
        <w:rPr>
          <w:rFonts w:hint="eastAsia"/>
        </w:rPr>
        <w:t>完成I</w:t>
      </w:r>
      <w:r>
        <w:t>CP-MS</w:t>
      </w:r>
      <w:r>
        <w:rPr>
          <w:rFonts w:hint="eastAsia"/>
        </w:rPr>
        <w:t>测定方法的研究并形成研究</w:t>
      </w:r>
      <w:r>
        <w:t>报告</w:t>
      </w:r>
      <w:r>
        <w:rPr>
          <w:rFonts w:hint="eastAsia"/>
        </w:rPr>
        <w:t>及《讨论稿》；发放</w:t>
      </w:r>
      <w:r>
        <w:t>样品并协调</w:t>
      </w:r>
      <w:r>
        <w:rPr>
          <w:rFonts w:hint="eastAsia"/>
        </w:rPr>
        <w:t>验证</w:t>
      </w:r>
      <w:r>
        <w:t>单位完成验证报告，并在综合各验证单位意见的基础上提出《</w:t>
      </w:r>
      <w:r>
        <w:rPr>
          <w:rFonts w:hint="eastAsia"/>
        </w:rPr>
        <w:t>征求意见稿</w:t>
      </w:r>
      <w:r>
        <w:t>》</w:t>
      </w:r>
      <w:r>
        <w:rPr>
          <w:rFonts w:hint="eastAsia"/>
        </w:rPr>
        <w:t>；负责汇总精密度数据，完成数理统计</w:t>
      </w:r>
      <w:r>
        <w:t>工作；</w:t>
      </w:r>
      <w:r>
        <w:rPr>
          <w:rFonts w:hint="eastAsia"/>
        </w:rPr>
        <w:t>负责意见征集与</w:t>
      </w:r>
      <w:r>
        <w:t>汇总</w:t>
      </w:r>
      <w:r>
        <w:rPr>
          <w:rFonts w:hint="eastAsia"/>
        </w:rPr>
        <w:t>；并负责在标准预审会、审定会上进行项目介绍与答辩，</w:t>
      </w:r>
      <w:r>
        <w:t>最终</w:t>
      </w:r>
      <w:r>
        <w:rPr>
          <w:rFonts w:hint="eastAsia"/>
        </w:rPr>
        <w:t>形成</w:t>
      </w:r>
      <w:r>
        <w:t>报批稿，协助</w:t>
      </w:r>
      <w:r>
        <w:rPr>
          <w:rFonts w:hint="eastAsia"/>
        </w:rPr>
        <w:t>标准化技术委员会秘书处完成</w:t>
      </w:r>
      <w:r>
        <w:t>标准的报批工作。</w:t>
      </w:r>
    </w:p>
    <w:p>
      <w:pPr>
        <w:keepNext w:val="0"/>
        <w:keepLines w:val="0"/>
        <w:pageBreakBefore w:val="0"/>
        <w:kinsoku/>
        <w:wordWrap/>
        <w:overflowPunct/>
        <w:topLinePunct w:val="0"/>
        <w:autoSpaceDE/>
        <w:autoSpaceDN/>
        <w:bidi w:val="0"/>
        <w:adjustRightInd w:val="0"/>
        <w:snapToGrid w:val="0"/>
        <w:spacing w:line="288" w:lineRule="auto"/>
        <w:ind w:firstLine="540"/>
        <w:textAlignment w:val="auto"/>
        <w:rPr>
          <w:szCs w:val="21"/>
        </w:rPr>
      </w:pPr>
      <w:r>
        <w:rPr>
          <w:rFonts w:hint="eastAsia" w:ascii="Times New Roman" w:hAnsi="Times New Roman" w:eastAsia="宋体" w:cs="Times New Roman"/>
          <w:kern w:val="2"/>
          <w:sz w:val="21"/>
          <w:szCs w:val="21"/>
        </w:rPr>
        <w:t>广东省科学院工业分析检测中心、阜阳市产品质量监督检验所、深圳市中金岭南有色金属股份有限公司</w:t>
      </w:r>
      <w:r>
        <w:rPr>
          <w:rFonts w:hint="eastAsia" w:cs="Times New Roman"/>
          <w:kern w:val="2"/>
          <w:sz w:val="21"/>
          <w:szCs w:val="21"/>
          <w:lang w:val="en-US" w:eastAsia="zh-CN"/>
        </w:rPr>
        <w:t>等3家单位</w:t>
      </w:r>
      <w:r>
        <w:rPr>
          <w:rFonts w:hint="eastAsia"/>
          <w:szCs w:val="21"/>
          <w:lang w:val="en-US" w:eastAsia="zh-CN"/>
        </w:rPr>
        <w:t>作为</w:t>
      </w:r>
      <w:r>
        <w:rPr>
          <w:szCs w:val="21"/>
        </w:rPr>
        <w:t>一验，负责</w:t>
      </w:r>
      <w:r>
        <w:rPr>
          <w:rFonts w:hint="eastAsia"/>
          <w:szCs w:val="21"/>
        </w:rPr>
        <w:t>逐条</w:t>
      </w:r>
      <w:r>
        <w:rPr>
          <w:szCs w:val="21"/>
        </w:rPr>
        <w:t>验证</w:t>
      </w:r>
      <w:r>
        <w:rPr>
          <w:rFonts w:hint="eastAsia"/>
          <w:szCs w:val="21"/>
        </w:rPr>
        <w:t>《研究</w:t>
      </w:r>
      <w:r>
        <w:rPr>
          <w:szCs w:val="21"/>
        </w:rPr>
        <w:t>报告</w:t>
      </w:r>
      <w:r>
        <w:rPr>
          <w:rFonts w:hint="eastAsia"/>
          <w:szCs w:val="21"/>
        </w:rPr>
        <w:t>》的内容，</w:t>
      </w:r>
      <w:r>
        <w:rPr>
          <w:szCs w:val="21"/>
        </w:rPr>
        <w:t>对</w:t>
      </w:r>
      <w:r>
        <w:rPr>
          <w:rFonts w:hint="eastAsia"/>
          <w:szCs w:val="21"/>
        </w:rPr>
        <w:t>方法</w:t>
      </w:r>
      <w:r>
        <w:rPr>
          <w:szCs w:val="21"/>
        </w:rPr>
        <w:t>的可行性进行论证</w:t>
      </w:r>
      <w:r>
        <w:rPr>
          <w:rFonts w:hint="eastAsia"/>
          <w:szCs w:val="21"/>
        </w:rPr>
        <w:t>并</w:t>
      </w:r>
      <w:r>
        <w:rPr>
          <w:szCs w:val="21"/>
        </w:rPr>
        <w:t>给出结论</w:t>
      </w:r>
      <w:r>
        <w:rPr>
          <w:rFonts w:hint="eastAsia"/>
          <w:szCs w:val="21"/>
        </w:rPr>
        <w:t>；负责提供本</w:t>
      </w:r>
      <w:r>
        <w:rPr>
          <w:szCs w:val="21"/>
        </w:rPr>
        <w:t>试验室公共样品</w:t>
      </w:r>
      <w:r>
        <w:rPr>
          <w:rFonts w:hint="eastAsia"/>
          <w:szCs w:val="21"/>
        </w:rPr>
        <w:t>的原始测定</w:t>
      </w:r>
      <w:r>
        <w:rPr>
          <w:szCs w:val="21"/>
        </w:rPr>
        <w:t>数据</w:t>
      </w:r>
      <w:r>
        <w:rPr>
          <w:rFonts w:hint="eastAsia"/>
          <w:szCs w:val="21"/>
        </w:rPr>
        <w:t>；协助</w:t>
      </w:r>
      <w:r>
        <w:rPr>
          <w:szCs w:val="21"/>
        </w:rPr>
        <w:t>起草</w:t>
      </w:r>
      <w:r>
        <w:rPr>
          <w:rFonts w:hint="eastAsia"/>
          <w:szCs w:val="21"/>
        </w:rPr>
        <w:t>单位</w:t>
      </w:r>
      <w:r>
        <w:rPr>
          <w:szCs w:val="21"/>
        </w:rPr>
        <w:t>完成标准报批稿的校核工作。</w:t>
      </w:r>
    </w:p>
    <w:p>
      <w:pPr>
        <w:keepNext w:val="0"/>
        <w:keepLines w:val="0"/>
        <w:pageBreakBefore w:val="0"/>
        <w:kinsoku/>
        <w:wordWrap/>
        <w:overflowPunct/>
        <w:topLinePunct w:val="0"/>
        <w:autoSpaceDE/>
        <w:autoSpaceDN/>
        <w:bidi w:val="0"/>
        <w:adjustRightInd w:val="0"/>
        <w:snapToGrid w:val="0"/>
        <w:spacing w:line="288" w:lineRule="auto"/>
        <w:ind w:firstLine="540"/>
        <w:textAlignment w:val="auto"/>
        <w:rPr>
          <w:szCs w:val="21"/>
        </w:rPr>
      </w:pPr>
      <w:r>
        <w:rPr>
          <w:rFonts w:hint="eastAsia" w:ascii="Times New Roman" w:hAnsi="Times New Roman" w:eastAsia="宋体" w:cs="Times New Roman"/>
          <w:kern w:val="2"/>
          <w:sz w:val="21"/>
          <w:szCs w:val="21"/>
        </w:rPr>
        <w:t>北矿检测技术股份有限公司、铜陵有色金属集团控股有限公司、金川集团股份有限公司、紫金铜业有限公司、国合通用（青岛）测试评价有限公司、湖南水口山有色金属集团有限公司</w:t>
      </w:r>
      <w:r>
        <w:rPr>
          <w:rFonts w:hint="eastAsia" w:cs="Times New Roman"/>
          <w:kern w:val="2"/>
          <w:sz w:val="21"/>
          <w:szCs w:val="21"/>
          <w:lang w:eastAsia="zh-CN"/>
        </w:rPr>
        <w:t>、</w:t>
      </w:r>
      <w:r>
        <w:rPr>
          <w:rFonts w:hint="eastAsia" w:ascii="Times New Roman" w:hAnsi="Times New Roman" w:eastAsia="宋体" w:cs="Times New Roman"/>
          <w:kern w:val="2"/>
          <w:sz w:val="21"/>
          <w:szCs w:val="21"/>
          <w:lang w:eastAsia="zh-CN"/>
        </w:rPr>
        <w:t>辽宁中科力勒检测技术服务有限公司</w:t>
      </w:r>
      <w:r>
        <w:rPr>
          <w:rFonts w:hint="eastAsia" w:ascii="Arial" w:hAnsi="Arial" w:cs="Arial"/>
          <w:szCs w:val="21"/>
        </w:rPr>
        <w:t>是</w:t>
      </w:r>
      <w:r>
        <w:rPr>
          <w:rFonts w:hint="eastAsia" w:ascii="Arial" w:hAnsi="Arial" w:cs="Arial"/>
          <w:szCs w:val="21"/>
          <w:lang w:val="en-US" w:eastAsia="zh-CN"/>
        </w:rPr>
        <w:t>等单位作为</w:t>
      </w:r>
      <w:r>
        <w:rPr>
          <w:rFonts w:ascii="Arial" w:hAnsi="Arial" w:cs="Arial"/>
          <w:szCs w:val="21"/>
        </w:rPr>
        <w:t>二验，</w:t>
      </w:r>
      <w:r>
        <w:rPr>
          <w:rFonts w:hint="eastAsia" w:ascii="Arial" w:hAnsi="Arial" w:cs="Arial"/>
          <w:szCs w:val="21"/>
        </w:rPr>
        <w:t>主要按照</w:t>
      </w:r>
      <w:r>
        <w:rPr>
          <w:rFonts w:hint="eastAsia"/>
          <w:szCs w:val="21"/>
        </w:rPr>
        <w:t>《研究</w:t>
      </w:r>
      <w:r>
        <w:rPr>
          <w:szCs w:val="21"/>
        </w:rPr>
        <w:t>报告</w:t>
      </w:r>
      <w:r>
        <w:rPr>
          <w:rFonts w:hint="eastAsia"/>
          <w:szCs w:val="21"/>
        </w:rPr>
        <w:t>》中的</w:t>
      </w:r>
      <w:r>
        <w:rPr>
          <w:szCs w:val="21"/>
        </w:rPr>
        <w:t>试验步骤完成公共样品的测定</w:t>
      </w:r>
      <w:r>
        <w:rPr>
          <w:rFonts w:hint="eastAsia"/>
          <w:szCs w:val="21"/>
        </w:rPr>
        <w:t>并</w:t>
      </w:r>
      <w:r>
        <w:rPr>
          <w:szCs w:val="21"/>
        </w:rPr>
        <w:t>提供原始测定</w:t>
      </w:r>
      <w:r>
        <w:rPr>
          <w:rFonts w:hint="eastAsia"/>
          <w:szCs w:val="21"/>
        </w:rPr>
        <w:t>数据</w:t>
      </w:r>
      <w:r>
        <w:rPr>
          <w:szCs w:val="21"/>
        </w:rPr>
        <w:t>，对于试验中发现的问题及时反馈给起草单位。</w:t>
      </w:r>
    </w:p>
    <w:p>
      <w:pPr>
        <w:keepNext w:val="0"/>
        <w:keepLines w:val="0"/>
        <w:pageBreakBefore w:val="0"/>
        <w:kinsoku/>
        <w:wordWrap/>
        <w:overflowPunct/>
        <w:topLinePunct w:val="0"/>
        <w:autoSpaceDE/>
        <w:autoSpaceDN/>
        <w:bidi w:val="0"/>
        <w:adjustRightInd w:val="0"/>
        <w:snapToGrid w:val="0"/>
        <w:spacing w:line="288" w:lineRule="auto"/>
        <w:ind w:firstLine="540"/>
        <w:textAlignment w:val="auto"/>
        <w:rPr>
          <w:szCs w:val="21"/>
        </w:rPr>
      </w:pPr>
      <w:r>
        <w:rPr>
          <w:rFonts w:hint="eastAsia" w:ascii="Times New Roman" w:hAnsi="Times New Roman" w:eastAsia="宋体" w:cs="Times New Roman"/>
          <w:kern w:val="2"/>
          <w:sz w:val="21"/>
          <w:szCs w:val="21"/>
        </w:rPr>
        <w:t>国标（北京）检验认证有限公司</w:t>
      </w:r>
      <w:r>
        <w:rPr>
          <w:rFonts w:hint="eastAsia" w:cs="Times New Roman"/>
          <w:kern w:val="2"/>
          <w:sz w:val="21"/>
          <w:szCs w:val="21"/>
          <w:lang w:val="en-US" w:eastAsia="zh-CN"/>
        </w:rPr>
        <w:t>和</w:t>
      </w:r>
      <w:r>
        <w:rPr>
          <w:rFonts w:hint="eastAsia" w:ascii="Times New Roman" w:hAnsi="Times New Roman" w:eastAsia="宋体" w:cs="Times New Roman"/>
          <w:kern w:val="2"/>
          <w:sz w:val="21"/>
          <w:szCs w:val="21"/>
        </w:rPr>
        <w:t>阜阳市产品质量监督检验所</w:t>
      </w:r>
      <w:r>
        <w:rPr>
          <w:rFonts w:hint="eastAsia"/>
          <w:szCs w:val="20"/>
        </w:rPr>
        <w:t>为本项目提供公共样品。</w:t>
      </w:r>
    </w:p>
    <w:p>
      <w:pPr>
        <w:keepNext w:val="0"/>
        <w:keepLines w:val="0"/>
        <w:pageBreakBefore w:val="0"/>
        <w:widowControl w:val="0"/>
        <w:kinsoku/>
        <w:wordWrap/>
        <w:overflowPunct/>
        <w:topLinePunct w:val="0"/>
        <w:autoSpaceDE/>
        <w:autoSpaceDN/>
        <w:bidi w:val="0"/>
        <w:adjustRightInd w:val="0"/>
        <w:snapToGrid w:val="0"/>
        <w:spacing w:before="157" w:beforeLines="50" w:line="288"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4</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主要工作成员所负责的工作情况</w:t>
      </w:r>
    </w:p>
    <w:p>
      <w:pPr>
        <w:pStyle w:val="81"/>
        <w:keepNext w:val="0"/>
        <w:keepLines w:val="0"/>
        <w:pageBreakBefore w:val="0"/>
        <w:numPr>
          <w:ilvl w:val="255"/>
          <w:numId w:val="0"/>
        </w:numPr>
        <w:kinsoku/>
        <w:wordWrap/>
        <w:overflowPunct/>
        <w:topLinePunct w:val="0"/>
        <w:autoSpaceDE/>
        <w:autoSpaceDN/>
        <w:bidi w:val="0"/>
        <w:adjustRightInd w:val="0"/>
        <w:snapToGrid w:val="0"/>
        <w:spacing w:before="0" w:beforeAutospacing="0" w:after="0" w:afterAutospacing="0" w:line="288" w:lineRule="auto"/>
        <w:ind w:firstLine="420" w:firstLineChars="200"/>
        <w:jc w:val="both"/>
        <w:textAlignment w:val="auto"/>
        <w:rPr>
          <w:rFonts w:ascii="Times New Roman" w:cs="Times New Roman"/>
          <w:color w:val="000000" w:themeColor="text1"/>
          <w:kern w:val="2"/>
          <w:sz w:val="21"/>
          <w14:textFill>
            <w14:solidFill>
              <w14:schemeClr w14:val="tx1"/>
            </w14:solidFill>
          </w14:textFill>
        </w:rPr>
      </w:pPr>
      <w:r>
        <w:rPr>
          <w:rFonts w:hint="eastAsia" w:ascii="Times New Roman" w:cs="Times New Roman"/>
          <w:color w:val="000000" w:themeColor="text1"/>
          <w:kern w:val="2"/>
          <w:sz w:val="21"/>
          <w14:textFill>
            <w14:solidFill>
              <w14:schemeClr w14:val="tx1"/>
            </w14:solidFill>
          </w14:textFill>
        </w:rPr>
        <w:t>本标准主要起草人及工作职责见表1</w:t>
      </w:r>
      <w:r>
        <w:rPr>
          <w:rFonts w:hint="eastAsia" w:ascii="Times New Roman" w:cs="Times New Roman"/>
          <w:color w:val="000000" w:themeColor="text1"/>
          <w:kern w:val="2"/>
          <w:sz w:val="21"/>
          <w:lang w:val="en-US" w:eastAsia="zh-CN"/>
          <w14:textFill>
            <w14:solidFill>
              <w14:schemeClr w14:val="tx1"/>
            </w14:solidFill>
          </w14:textFill>
        </w:rPr>
        <w:t>-1</w:t>
      </w:r>
      <w:r>
        <w:rPr>
          <w:rFonts w:hint="eastAsia" w:ascii="Times New Roman" w:cs="Times New Roman"/>
          <w:color w:val="000000" w:themeColor="text1"/>
          <w:kern w:val="2"/>
          <w:sz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表1-1 主要起草人及工作职责</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9"/>
        <w:gridCol w:w="6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739" w:type="dxa"/>
            <w:vAlign w:val="center"/>
          </w:tcPr>
          <w:p>
            <w:pPr>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起草人</w:t>
            </w:r>
          </w:p>
        </w:tc>
        <w:tc>
          <w:tcPr>
            <w:tcW w:w="6173" w:type="dxa"/>
            <w:vAlign w:val="center"/>
          </w:tcPr>
          <w:p>
            <w:pPr>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9" w:type="dxa"/>
            <w:vAlign w:val="center"/>
          </w:tcPr>
          <w:p>
            <w:pPr>
              <w:pStyle w:val="81"/>
              <w:numPr>
                <w:ilvl w:val="255"/>
                <w:numId w:val="0"/>
              </w:numPr>
              <w:spacing w:before="0" w:beforeAutospacing="0" w:after="0" w:afterAutospacing="0"/>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lang w:val="en-US" w:eastAsia="zh-CN"/>
                <w14:textFill>
                  <w14:solidFill>
                    <w14:schemeClr w14:val="tx1"/>
                  </w14:solidFill>
                </w14:textFill>
              </w:rPr>
              <w:t>墨淑敏</w:t>
            </w:r>
          </w:p>
        </w:tc>
        <w:tc>
          <w:tcPr>
            <w:tcW w:w="6173" w:type="dxa"/>
            <w:vAlign w:val="center"/>
          </w:tcPr>
          <w:p>
            <w:pPr>
              <w:pStyle w:val="81"/>
              <w:numPr>
                <w:ilvl w:val="255"/>
                <w:numId w:val="0"/>
              </w:numPr>
              <w:spacing w:before="0" w:beforeAutospacing="0" w:after="0" w:afterAutospacing="0"/>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负责方法</w:t>
            </w:r>
            <w:r>
              <w:rPr>
                <w:rFonts w:ascii="Times New Roman" w:cs="Times New Roman"/>
                <w:color w:val="000000" w:themeColor="text1"/>
                <w:kern w:val="2"/>
                <w:sz w:val="18"/>
                <w:szCs w:val="18"/>
                <w14:textFill>
                  <w14:solidFill>
                    <w14:schemeClr w14:val="tx1"/>
                  </w14:solidFill>
                </w14:textFill>
              </w:rPr>
              <w:t>的起草，</w:t>
            </w:r>
            <w:r>
              <w:rPr>
                <w:rFonts w:hint="eastAsia" w:ascii="Times New Roman" w:cs="Times New Roman"/>
                <w:color w:val="000000" w:themeColor="text1"/>
                <w:kern w:val="2"/>
                <w:sz w:val="18"/>
                <w:szCs w:val="18"/>
                <w14:textFill>
                  <w14:solidFill>
                    <w14:schemeClr w14:val="tx1"/>
                  </w14:solidFill>
                </w14:textFill>
              </w:rPr>
              <w:t>各阶段标准文本、</w:t>
            </w:r>
            <w:r>
              <w:rPr>
                <w:rFonts w:ascii="Times New Roman" w:cs="Times New Roman"/>
                <w:color w:val="000000" w:themeColor="text1"/>
                <w:kern w:val="2"/>
                <w:sz w:val="18"/>
                <w:szCs w:val="18"/>
                <w14:textFill>
                  <w14:solidFill>
                    <w14:schemeClr w14:val="tx1"/>
                  </w14:solidFill>
                </w14:textFill>
              </w:rPr>
              <w:t>编制说明</w:t>
            </w:r>
            <w:r>
              <w:rPr>
                <w:rFonts w:hint="eastAsia" w:ascii="Times New Roman" w:cs="Times New Roman"/>
                <w:color w:val="000000" w:themeColor="text1"/>
                <w:kern w:val="2"/>
                <w:sz w:val="18"/>
                <w:szCs w:val="18"/>
                <w14:textFill>
                  <w14:solidFill>
                    <w14:schemeClr w14:val="tx1"/>
                  </w14:solidFill>
                </w14:textFill>
              </w:rPr>
              <w:t>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9" w:type="dxa"/>
            <w:vAlign w:val="center"/>
          </w:tcPr>
          <w:p>
            <w:pPr>
              <w:pStyle w:val="81"/>
              <w:numPr>
                <w:ilvl w:val="255"/>
                <w:numId w:val="0"/>
              </w:numPr>
              <w:spacing w:before="0" w:beforeAutospacing="0" w:after="0" w:afterAutospacing="0"/>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lang w:val="en-US" w:eastAsia="zh-CN"/>
                <w14:textFill>
                  <w14:solidFill>
                    <w14:schemeClr w14:val="tx1"/>
                  </w14:solidFill>
                </w14:textFill>
              </w:rPr>
              <w:t>潘元海、郑佳乐</w:t>
            </w:r>
          </w:p>
        </w:tc>
        <w:tc>
          <w:tcPr>
            <w:tcW w:w="6173" w:type="dxa"/>
            <w:vAlign w:val="center"/>
          </w:tcPr>
          <w:p>
            <w:pPr>
              <w:pStyle w:val="81"/>
              <w:numPr>
                <w:ilvl w:val="255"/>
                <w:numId w:val="0"/>
              </w:numPr>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协助</w:t>
            </w:r>
            <w:r>
              <w:rPr>
                <w:rFonts w:ascii="Times New Roman"/>
                <w:color w:val="000000" w:themeColor="text1"/>
                <w:sz w:val="18"/>
                <w:szCs w:val="18"/>
                <w14:textFill>
                  <w14:solidFill>
                    <w14:schemeClr w14:val="tx1"/>
                  </w14:solidFill>
                </w14:textFill>
              </w:rPr>
              <w:t>完成</w:t>
            </w:r>
            <w:r>
              <w:rPr>
                <w:rFonts w:hint="eastAsia" w:ascii="Times New Roman"/>
                <w:color w:val="000000" w:themeColor="text1"/>
                <w:sz w:val="18"/>
                <w:szCs w:val="18"/>
                <w14:textFill>
                  <w14:solidFill>
                    <w14:schemeClr w14:val="tx1"/>
                  </w14:solidFill>
                </w14:textFill>
              </w:rPr>
              <w:t>ICP-MS</w:t>
            </w:r>
            <w:r>
              <w:rPr>
                <w:rFonts w:ascii="Times New Roman"/>
                <w:color w:val="000000" w:themeColor="text1"/>
                <w:sz w:val="18"/>
                <w:szCs w:val="18"/>
                <w14:textFill>
                  <w14:solidFill>
                    <w14:schemeClr w14:val="tx1"/>
                  </w14:solidFill>
                </w14:textFill>
              </w:rPr>
              <w:t>的相关试验</w:t>
            </w:r>
            <w:r>
              <w:rPr>
                <w:rFonts w:hint="eastAsia" w:ascii="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39" w:type="dxa"/>
            <w:vAlign w:val="center"/>
          </w:tcPr>
          <w:p>
            <w:pPr>
              <w:pStyle w:val="81"/>
              <w:numPr>
                <w:ilvl w:val="255"/>
                <w:numId w:val="0"/>
              </w:numPr>
              <w:spacing w:before="0" w:beforeAutospacing="0" w:after="0" w:afterAutospacing="0"/>
              <w:jc w:val="both"/>
              <w:rPr>
                <w:rFonts w:hint="default" w:ascii="Times New Roman" w:cs="Times New Roman"/>
                <w:color w:val="000000" w:themeColor="text1"/>
                <w:kern w:val="2"/>
                <w:sz w:val="18"/>
                <w:szCs w:val="18"/>
                <w:lang w:val="en-US"/>
                <w14:textFill>
                  <w14:solidFill>
                    <w14:schemeClr w14:val="tx1"/>
                  </w14:solidFill>
                </w14:textFill>
              </w:rPr>
            </w:pPr>
            <w:r>
              <w:rPr>
                <w:rFonts w:hint="eastAsia" w:ascii="Times New Roman" w:cs="Times New Roman"/>
                <w:color w:val="000000" w:themeColor="text1"/>
                <w:kern w:val="2"/>
                <w:sz w:val="18"/>
                <w:szCs w:val="18"/>
                <w:lang w:val="en-US" w:eastAsia="zh-CN"/>
                <w14:textFill>
                  <w14:solidFill>
                    <w14:schemeClr w14:val="tx1"/>
                  </w14:solidFill>
                </w14:textFill>
              </w:rPr>
              <w:t>李爱嫦、赵莎莎</w:t>
            </w:r>
          </w:p>
        </w:tc>
        <w:tc>
          <w:tcPr>
            <w:tcW w:w="6173" w:type="dxa"/>
            <w:vAlign w:val="center"/>
          </w:tcPr>
          <w:p>
            <w:pPr>
              <w:pStyle w:val="81"/>
              <w:numPr>
                <w:ilvl w:val="255"/>
                <w:numId w:val="0"/>
              </w:numPr>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与</w:t>
            </w:r>
            <w:r>
              <w:rPr>
                <w:rFonts w:ascii="Times New Roman" w:cs="Times New Roman"/>
                <w:color w:val="000000" w:themeColor="text1"/>
                <w:kern w:val="2"/>
                <w:sz w:val="18"/>
                <w:szCs w:val="18"/>
                <w14:textFill>
                  <w14:solidFill>
                    <w14:schemeClr w14:val="tx1"/>
                  </w14:solidFill>
                </w14:textFill>
              </w:rPr>
              <w:t>验证单位联系及</w:t>
            </w:r>
            <w:r>
              <w:rPr>
                <w:rFonts w:hint="eastAsia" w:ascii="Times New Roman" w:cs="Times New Roman"/>
                <w:color w:val="000000" w:themeColor="text1"/>
                <w:kern w:val="2"/>
                <w:sz w:val="18"/>
                <w:szCs w:val="18"/>
                <w14:textFill>
                  <w14:solidFill>
                    <w14:schemeClr w14:val="tx1"/>
                  </w14:solidFill>
                </w14:textFill>
              </w:rPr>
              <w:t>数据</w:t>
            </w:r>
            <w:r>
              <w:rPr>
                <w:rFonts w:ascii="Times New Roman" w:cs="Times New Roman"/>
                <w:color w:val="000000" w:themeColor="text1"/>
                <w:kern w:val="2"/>
                <w:sz w:val="18"/>
                <w:szCs w:val="18"/>
                <w14:textFill>
                  <w14:solidFill>
                    <w14:schemeClr w14:val="tx1"/>
                  </w14:solidFill>
                </w14:textFill>
              </w:rPr>
              <w:t>统计</w:t>
            </w:r>
            <w:r>
              <w:rPr>
                <w:rFonts w:hint="eastAsia" w:ascii="Times New Roman" w:cs="Times New Roman"/>
                <w:color w:val="000000" w:themeColor="text1"/>
                <w:kern w:val="2"/>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739" w:type="dxa"/>
            <w:vAlign w:val="center"/>
          </w:tcPr>
          <w:p>
            <w:pPr>
              <w:pStyle w:val="81"/>
              <w:numPr>
                <w:ilvl w:val="255"/>
                <w:numId w:val="0"/>
              </w:numPr>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周明俊、李彪、杨建兵、鲁仕梅、郭鑫涛</w:t>
            </w:r>
          </w:p>
        </w:tc>
        <w:tc>
          <w:tcPr>
            <w:tcW w:w="6173" w:type="dxa"/>
            <w:vAlign w:val="center"/>
          </w:tcPr>
          <w:p>
            <w:pPr>
              <w:pStyle w:val="81"/>
              <w:numPr>
                <w:ilvl w:val="255"/>
                <w:numId w:val="0"/>
              </w:numPr>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ascii="Times New Roman"/>
                <w:color w:val="000000" w:themeColor="text1"/>
                <w:sz w:val="18"/>
                <w:szCs w:val="18"/>
                <w14:textFill>
                  <w14:solidFill>
                    <w14:schemeClr w14:val="tx1"/>
                  </w14:solidFill>
                </w14:textFill>
              </w:rPr>
              <w:t>方法</w:t>
            </w:r>
            <w:r>
              <w:rPr>
                <w:rFonts w:hint="eastAsia" w:ascii="Times New Roman"/>
                <w:color w:val="000000" w:themeColor="text1"/>
                <w:sz w:val="18"/>
                <w:szCs w:val="18"/>
                <w14:textFill>
                  <w14:solidFill>
                    <w14:schemeClr w14:val="tx1"/>
                  </w14:solidFill>
                </w14:textFill>
              </w:rPr>
              <w:t>一验工作</w:t>
            </w:r>
            <w:r>
              <w:rPr>
                <w:rFonts w:ascii="Times New Roman"/>
                <w:color w:val="000000" w:themeColor="text1"/>
                <w:sz w:val="18"/>
                <w:szCs w:val="18"/>
                <w14:textFill>
                  <w14:solidFill>
                    <w14:schemeClr w14:val="tx1"/>
                  </w14:solidFill>
                </w14:textFill>
              </w:rPr>
              <w:t>，对</w:t>
            </w:r>
            <w:r>
              <w:rPr>
                <w:rFonts w:hint="eastAsia" w:ascii="Times New Roman"/>
                <w:color w:val="000000" w:themeColor="text1"/>
                <w:sz w:val="18"/>
                <w:szCs w:val="18"/>
                <w14:textFill>
                  <w14:solidFill>
                    <w14:schemeClr w14:val="tx1"/>
                  </w14:solidFill>
                </w14:textFill>
              </w:rPr>
              <w:t>ICP-</w:t>
            </w:r>
            <w:r>
              <w:rPr>
                <w:rFonts w:ascii="Times New Roman"/>
                <w:color w:val="000000" w:themeColor="text1"/>
                <w:sz w:val="18"/>
                <w:szCs w:val="18"/>
                <w14:textFill>
                  <w14:solidFill>
                    <w14:schemeClr w14:val="tx1"/>
                  </w14:solidFill>
                </w14:textFill>
              </w:rPr>
              <w:t>MS</w:t>
            </w:r>
            <w:r>
              <w:rPr>
                <w:rFonts w:hint="eastAsia" w:ascii="Times New Roman"/>
                <w:color w:val="000000" w:themeColor="text1"/>
                <w:sz w:val="18"/>
                <w:szCs w:val="18"/>
                <w14:textFill>
                  <w14:solidFill>
                    <w14:schemeClr w14:val="tx1"/>
                  </w14:solidFill>
                </w14:textFill>
              </w:rPr>
              <w:t>的</w:t>
            </w:r>
            <w:r>
              <w:rPr>
                <w:rFonts w:ascii="Times New Roman"/>
                <w:color w:val="000000" w:themeColor="text1"/>
                <w:sz w:val="18"/>
                <w:szCs w:val="18"/>
                <w14:textFill>
                  <w14:solidFill>
                    <w14:schemeClr w14:val="tx1"/>
                  </w14:solidFill>
                </w14:textFill>
              </w:rPr>
              <w:t>条件实验进行了验证，并完成精密度数据。</w:t>
            </w:r>
          </w:p>
          <w:p>
            <w:pPr>
              <w:pStyle w:val="81"/>
              <w:numPr>
                <w:ilvl w:val="255"/>
                <w:numId w:val="0"/>
              </w:numPr>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hint="eastAsia" w:ascii="Times New Roman" w:cs="Times New Roman"/>
                <w:color w:val="000000" w:themeColor="text1"/>
                <w:kern w:val="2"/>
                <w:sz w:val="18"/>
                <w:szCs w:val="18"/>
                <w:lang w:val="en-US" w:eastAsia="zh-CN"/>
                <w14:textFill>
                  <w14:solidFill>
                    <w14:schemeClr w14:val="tx1"/>
                  </w14:solidFill>
                </w14:textFill>
              </w:rPr>
              <w:t>提供标准验证用铅及铅合金</w:t>
            </w:r>
            <w:r>
              <w:rPr>
                <w:rFonts w:hint="eastAsia" w:ascii="Times New Roman" w:cs="Times New Roman"/>
                <w:color w:val="000000" w:themeColor="text1"/>
                <w:kern w:val="2"/>
                <w:sz w:val="18"/>
                <w:szCs w:val="18"/>
                <w14:textFill>
                  <w14:solidFill>
                    <w14:schemeClr w14:val="tx1"/>
                  </w14:solidFill>
                </w14:textFill>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9" w:type="dxa"/>
            <w:vAlign w:val="center"/>
          </w:tcPr>
          <w:p>
            <w:pPr>
              <w:pStyle w:val="81"/>
              <w:numPr>
                <w:ilvl w:val="255"/>
                <w:numId w:val="0"/>
              </w:numPr>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孙梦荷、郭明芳、张宗磊、刘娜、王兴君、李明珠、王洋、朱国忠、廖彬玲、郑佳滢、董振</w:t>
            </w:r>
          </w:p>
        </w:tc>
        <w:tc>
          <w:tcPr>
            <w:tcW w:w="6173" w:type="dxa"/>
            <w:vAlign w:val="center"/>
          </w:tcPr>
          <w:p>
            <w:pPr>
              <w:pStyle w:val="81"/>
              <w:numPr>
                <w:ilvl w:val="255"/>
                <w:numId w:val="0"/>
              </w:numPr>
              <w:spacing w:before="0" w:beforeAutospacing="0" w:after="0" w:afterAutospacing="0"/>
              <w:jc w:val="both"/>
              <w:rPr>
                <w:rFonts w:ascii="Times New Roman" w:cs="Times New Roman"/>
                <w:color w:val="000000" w:themeColor="text1"/>
                <w:kern w:val="2"/>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ascii="Times New Roman"/>
                <w:color w:val="000000" w:themeColor="text1"/>
                <w:sz w:val="18"/>
                <w:szCs w:val="18"/>
                <w14:textFill>
                  <w14:solidFill>
                    <w14:schemeClr w14:val="tx1"/>
                  </w14:solidFill>
                </w14:textFill>
              </w:rPr>
              <w:t>二验，提供精密度数据</w:t>
            </w:r>
            <w:r>
              <w:rPr>
                <w:rFonts w:hint="eastAsia" w:ascii="Times New Roman"/>
                <w:color w:val="000000" w:themeColor="text1"/>
                <w:sz w:val="18"/>
                <w:szCs w:val="18"/>
                <w14:textFill>
                  <w14:solidFill>
                    <w14:schemeClr w14:val="tx1"/>
                  </w14:solidFill>
                </w14:textFill>
              </w:rPr>
              <w:t>。</w:t>
            </w:r>
          </w:p>
        </w:tc>
      </w:tr>
    </w:tbl>
    <w:p>
      <w:pPr>
        <w:pStyle w:val="120"/>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Ansi="黑体"/>
          <w:color w:val="000000" w:themeColor="text1"/>
          <w14:textFill>
            <w14:solidFill>
              <w14:schemeClr w14:val="tx1"/>
            </w14:solidFill>
          </w14:textFill>
        </w:rPr>
      </w:pPr>
      <w:r>
        <w:rPr>
          <w:rFonts w:hint="eastAsia" w:hAnsi="黑体"/>
          <w:color w:val="000000" w:themeColor="text1"/>
          <w:lang w:val="en-US" w:eastAsia="zh-CN"/>
          <w14:textFill>
            <w14:solidFill>
              <w14:schemeClr w14:val="tx1"/>
            </w14:solidFill>
          </w14:textFill>
        </w:rPr>
        <w:t>5</w:t>
      </w:r>
      <w:r>
        <w:rPr>
          <w:rFonts w:hint="eastAsia" w:hAnsi="黑体"/>
          <w:color w:val="000000" w:themeColor="text1"/>
          <w14:textFill>
            <w14:solidFill>
              <w14:schemeClr w14:val="tx1"/>
            </w14:solidFill>
          </w14:textFill>
        </w:rPr>
        <w:t>、主要工作过程</w:t>
      </w: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5</w:t>
      </w: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 xml:space="preserve"> 起草阶段</w:t>
      </w:r>
    </w:p>
    <w:p>
      <w:pPr>
        <w:keepNext w:val="0"/>
        <w:keepLines w:val="0"/>
        <w:pageBreakBefore w:val="0"/>
        <w:kinsoku/>
        <w:wordWrap/>
        <w:overflowPunct/>
        <w:topLinePunct w:val="0"/>
        <w:autoSpaceDE/>
        <w:autoSpaceDN/>
        <w:bidi w:val="0"/>
        <w:adjustRightInd w:val="0"/>
        <w:snapToGrid w:val="0"/>
        <w:spacing w:line="288"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（1）任务落实</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eastAsia"/>
        </w:rPr>
      </w:pPr>
      <w:r>
        <w:rPr>
          <w:rFonts w:hAnsi="宋体"/>
          <w:color w:val="000000" w:themeColor="text1"/>
          <w:szCs w:val="20"/>
          <w14:textFill>
            <w14:solidFill>
              <w14:schemeClr w14:val="tx1"/>
            </w14:solidFill>
          </w14:textFill>
        </w:rPr>
        <w:t>202</w:t>
      </w:r>
      <w:r>
        <w:rPr>
          <w:rFonts w:hint="eastAsia" w:hAnsi="宋体"/>
          <w:color w:val="000000" w:themeColor="text1"/>
          <w:szCs w:val="20"/>
          <w:lang w:val="en-US" w:eastAsia="zh-CN"/>
          <w14:textFill>
            <w14:solidFill>
              <w14:schemeClr w14:val="tx1"/>
            </w14:solidFill>
          </w14:textFill>
        </w:rPr>
        <w:t>2</w:t>
      </w:r>
      <w:r>
        <w:rPr>
          <w:rFonts w:hAnsi="宋体"/>
          <w:color w:val="000000" w:themeColor="text1"/>
          <w:szCs w:val="20"/>
          <w14:textFill>
            <w14:solidFill>
              <w14:schemeClr w14:val="tx1"/>
            </w14:solidFill>
          </w14:textFill>
        </w:rPr>
        <w:t>年</w:t>
      </w:r>
      <w:r>
        <w:rPr>
          <w:rFonts w:hint="eastAsia" w:hAnsi="宋体"/>
          <w:color w:val="000000" w:themeColor="text1"/>
          <w:szCs w:val="20"/>
          <w:lang w:val="en-US" w:eastAsia="zh-CN"/>
          <w14:textFill>
            <w14:solidFill>
              <w14:schemeClr w14:val="tx1"/>
            </w14:solidFill>
          </w14:textFill>
        </w:rPr>
        <w:t>7</w:t>
      </w:r>
      <w:r>
        <w:rPr>
          <w:rFonts w:hAnsi="宋体"/>
          <w:color w:val="000000" w:themeColor="text1"/>
          <w:szCs w:val="20"/>
          <w14:textFill>
            <w14:solidFill>
              <w14:schemeClr w14:val="tx1"/>
            </w14:solidFill>
          </w14:textFill>
        </w:rPr>
        <w:t>月，</w:t>
      </w:r>
      <w:r>
        <w:rPr>
          <w:rFonts w:hint="eastAsia" w:hAnsi="宋体"/>
          <w:color w:val="000000" w:themeColor="text1"/>
          <w:szCs w:val="20"/>
          <w14:textFill>
            <w14:solidFill>
              <w14:schemeClr w14:val="tx1"/>
            </w14:solidFill>
          </w14:textFill>
        </w:rPr>
        <w:t>国家标准化管理委员会正式批复本项目，</w:t>
      </w:r>
      <w:r>
        <w:rPr>
          <w:rFonts w:hAnsi="宋体"/>
          <w:color w:val="000000" w:themeColor="text1"/>
          <w:szCs w:val="20"/>
          <w14:textFill>
            <w14:solidFill>
              <w14:schemeClr w14:val="tx1"/>
            </w14:solidFill>
          </w14:textFill>
        </w:rPr>
        <w:t>项目计划编号为</w:t>
      </w:r>
      <w:r>
        <w:rPr>
          <w:rFonts w:ascii="Times New Roman" w:eastAsia="宋体"/>
          <w:kern w:val="2"/>
          <w:sz w:val="21"/>
          <w:szCs w:val="21"/>
        </w:rPr>
        <w:fldChar w:fldCharType="begin"/>
      </w:r>
      <w:r>
        <w:rPr>
          <w:rFonts w:ascii="Times New Roman" w:eastAsia="宋体"/>
          <w:kern w:val="2"/>
          <w:sz w:val="21"/>
          <w:szCs w:val="21"/>
        </w:rPr>
        <w:instrText xml:space="preserve"> HYPERLINK "http://219.239.107.155:8080/TaskBook.aspx?id=YSCPZT06842020" </w:instrText>
      </w:r>
      <w:r>
        <w:rPr>
          <w:rFonts w:ascii="Times New Roman" w:eastAsia="宋体"/>
          <w:kern w:val="2"/>
          <w:sz w:val="21"/>
          <w:szCs w:val="21"/>
        </w:rPr>
        <w:fldChar w:fldCharType="separate"/>
      </w:r>
      <w:r>
        <w:rPr>
          <w:rFonts w:ascii="Times New Roman" w:eastAsia="宋体"/>
          <w:kern w:val="2"/>
          <w:sz w:val="21"/>
          <w:szCs w:val="21"/>
        </w:rPr>
        <w:t>202</w:t>
      </w:r>
      <w:r>
        <w:rPr>
          <w:rFonts w:hint="eastAsia" w:ascii="Times New Roman" w:eastAsia="宋体"/>
          <w:kern w:val="2"/>
          <w:sz w:val="21"/>
          <w:szCs w:val="21"/>
          <w:lang w:val="en-US" w:eastAsia="zh-CN"/>
        </w:rPr>
        <w:t>2</w:t>
      </w:r>
      <w:r>
        <w:rPr>
          <w:rFonts w:ascii="Times New Roman" w:eastAsia="宋体"/>
          <w:kern w:val="2"/>
          <w:sz w:val="21"/>
          <w:szCs w:val="21"/>
        </w:rPr>
        <w:t>0</w:t>
      </w:r>
      <w:r>
        <w:rPr>
          <w:rFonts w:hint="eastAsia" w:ascii="Times New Roman" w:eastAsia="宋体"/>
          <w:kern w:val="2"/>
          <w:sz w:val="21"/>
          <w:szCs w:val="21"/>
          <w:lang w:val="en-US" w:eastAsia="zh-CN"/>
        </w:rPr>
        <w:t>733-</w:t>
      </w:r>
      <w:r>
        <w:rPr>
          <w:rFonts w:ascii="Times New Roman" w:eastAsia="宋体"/>
          <w:kern w:val="2"/>
          <w:sz w:val="21"/>
          <w:szCs w:val="21"/>
        </w:rPr>
        <w:t>T-</w:t>
      </w:r>
      <w:r>
        <w:rPr>
          <w:rFonts w:hint="eastAsia" w:ascii="Times New Roman" w:eastAsia="宋体"/>
          <w:kern w:val="2"/>
          <w:sz w:val="21"/>
          <w:szCs w:val="21"/>
          <w:lang w:val="en-US" w:eastAsia="zh-CN"/>
        </w:rPr>
        <w:t>6</w:t>
      </w:r>
      <w:r>
        <w:rPr>
          <w:rFonts w:ascii="Times New Roman" w:eastAsia="宋体"/>
          <w:kern w:val="2"/>
          <w:sz w:val="21"/>
          <w:szCs w:val="21"/>
        </w:rPr>
        <w:fldChar w:fldCharType="end"/>
      </w:r>
      <w:r>
        <w:rPr>
          <w:rFonts w:hint="eastAsia" w:ascii="Times New Roman" w:eastAsia="宋体"/>
          <w:kern w:val="2"/>
          <w:sz w:val="21"/>
          <w:szCs w:val="21"/>
          <w:lang w:val="en-US" w:eastAsia="zh-CN"/>
        </w:rPr>
        <w:t>10</w:t>
      </w:r>
      <w:r>
        <w:rPr>
          <w:rFonts w:hAnsi="宋体"/>
          <w:color w:val="000000" w:themeColor="text1"/>
          <w:szCs w:val="20"/>
          <w14:textFill>
            <w14:solidFill>
              <w14:schemeClr w14:val="tx1"/>
            </w14:solidFill>
          </w14:textFill>
        </w:rPr>
        <w:t>。</w:t>
      </w:r>
      <w:r>
        <w:t>202</w:t>
      </w:r>
      <w:r>
        <w:rPr>
          <w:rFonts w:hint="eastAsia"/>
          <w:lang w:val="en-US" w:eastAsia="zh-CN"/>
        </w:rPr>
        <w:t>2</w:t>
      </w:r>
      <w:r>
        <w:rPr>
          <w:rFonts w:hint="eastAsia"/>
        </w:rPr>
        <w:t>年</w:t>
      </w:r>
      <w:r>
        <w:rPr>
          <w:rFonts w:hint="eastAsia"/>
          <w:lang w:val="en-US" w:eastAsia="zh-CN"/>
        </w:rPr>
        <w:t>9</w:t>
      </w:r>
      <w:r>
        <w:t xml:space="preserve"> 月 2</w:t>
      </w:r>
      <w:r>
        <w:rPr>
          <w:rFonts w:hint="eastAsia"/>
          <w:lang w:val="en-US" w:eastAsia="zh-CN"/>
        </w:rPr>
        <w:t>6</w:t>
      </w:r>
      <w:r>
        <w:t xml:space="preserve"> 日～</w:t>
      </w:r>
      <w:r>
        <w:rPr>
          <w:rFonts w:hint="eastAsia"/>
          <w:lang w:val="en-US" w:eastAsia="zh-CN"/>
        </w:rPr>
        <w:t>9</w:t>
      </w:r>
      <w:r>
        <w:t xml:space="preserve"> 月 28 日在</w:t>
      </w:r>
      <w:r>
        <w:rPr>
          <w:rFonts w:hint="eastAsia"/>
          <w:lang w:val="en-US" w:eastAsia="zh-CN"/>
        </w:rPr>
        <w:t>山西</w:t>
      </w:r>
      <w:r>
        <w:t>省</w:t>
      </w:r>
      <w:r>
        <w:rPr>
          <w:rFonts w:hint="eastAsia"/>
          <w:lang w:val="en-US" w:eastAsia="zh-CN"/>
        </w:rPr>
        <w:t>太原</w:t>
      </w:r>
      <w:r>
        <w:t>市召开</w:t>
      </w:r>
      <w:r>
        <w:rPr>
          <w:rFonts w:hint="eastAsia"/>
        </w:rPr>
        <w:t>工作会议，</w:t>
      </w:r>
      <w:r>
        <w:rPr>
          <w:rFonts w:hint="eastAsia"/>
          <w:color w:val="000000" w:themeColor="text1"/>
          <w14:textFill>
            <w14:solidFill>
              <w14:schemeClr w14:val="tx1"/>
            </w14:solidFill>
          </w14:textFill>
        </w:rPr>
        <w:t>对本项目进行了任务落实。会议明确了项目的时间进度安排，确定</w:t>
      </w:r>
      <w:r>
        <w:rPr>
          <w:rFonts w:hint="eastAsia" w:ascii="Times New Roman" w:hAnsi="Times New Roman" w:eastAsia="宋体" w:cs="Times New Roman"/>
          <w:kern w:val="2"/>
          <w:sz w:val="21"/>
          <w:szCs w:val="21"/>
        </w:rPr>
        <w:t>国合通用测试评价认证股份公司</w:t>
      </w:r>
      <w:r>
        <w:rPr>
          <w:rFonts w:hint="eastAsia" w:hAnsi="宋体"/>
          <w:color w:val="000000" w:themeColor="text1"/>
          <w:szCs w:val="20"/>
          <w14:textFill>
            <w14:solidFill>
              <w14:schemeClr w14:val="tx1"/>
            </w14:solidFill>
          </w14:textFill>
        </w:rPr>
        <w:t>为</w:t>
      </w:r>
      <w:r>
        <w:rPr>
          <w:rFonts w:hint="eastAsia"/>
          <w:color w:val="000000" w:themeColor="text1"/>
          <w14:textFill>
            <w14:solidFill>
              <w14:schemeClr w14:val="tx1"/>
            </w14:solidFill>
          </w14:textFill>
        </w:rPr>
        <w:t>起草单位</w:t>
      </w:r>
      <w:r>
        <w:rPr>
          <w:rFonts w:hint="eastAsia" w:hAnsi="宋体"/>
          <w:color w:val="000000" w:themeColor="text1"/>
          <w:szCs w:val="20"/>
          <w14:textFill>
            <w14:solidFill>
              <w14:schemeClr w14:val="tx1"/>
            </w14:solidFill>
          </w14:textFill>
        </w:rPr>
        <w:t>，</w:t>
      </w:r>
      <w:r>
        <w:rPr>
          <w:rFonts w:hint="eastAsia" w:ascii="Times New Roman" w:hAnsi="Times New Roman" w:eastAsia="宋体" w:cs="Times New Roman"/>
          <w:kern w:val="2"/>
          <w:sz w:val="21"/>
          <w:szCs w:val="21"/>
        </w:rPr>
        <w:t>国标（北京）检验认证有限公司、广东省科学院工业分析检测中心、阜阳市产品质量监督检验所</w:t>
      </w:r>
      <w:r>
        <w:rPr>
          <w:rFonts w:hint="eastAsia"/>
          <w:szCs w:val="20"/>
        </w:rPr>
        <w:t>等1</w:t>
      </w:r>
      <w:r>
        <w:rPr>
          <w:rFonts w:hint="eastAsia"/>
          <w:szCs w:val="20"/>
          <w:lang w:val="en-US" w:eastAsia="zh-CN"/>
        </w:rPr>
        <w:t>1</w:t>
      </w:r>
      <w:r>
        <w:rPr>
          <w:rFonts w:hint="eastAsia"/>
          <w:szCs w:val="20"/>
        </w:rPr>
        <w:t>家</w:t>
      </w:r>
      <w:r>
        <w:rPr>
          <w:rFonts w:hint="eastAsia"/>
        </w:rPr>
        <w:t>单位参与方法的验证。</w:t>
      </w:r>
    </w:p>
    <w:p>
      <w:pPr>
        <w:keepNext w:val="0"/>
        <w:keepLines w:val="0"/>
        <w:pageBreakBefore w:val="0"/>
        <w:kinsoku/>
        <w:wordWrap/>
        <w:overflowPunct/>
        <w:topLinePunct w:val="0"/>
        <w:autoSpaceDE/>
        <w:autoSpaceDN/>
        <w:bidi w:val="0"/>
        <w:adjustRightInd w:val="0"/>
        <w:snapToGrid w:val="0"/>
        <w:spacing w:line="288"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（2）样品收集及试验研究</w:t>
      </w:r>
    </w:p>
    <w:p>
      <w:pPr>
        <w:keepNext w:val="0"/>
        <w:keepLines w:val="0"/>
        <w:pageBreakBefore w:val="0"/>
        <w:kinsoku/>
        <w:wordWrap/>
        <w:overflowPunct/>
        <w:topLinePunct w:val="0"/>
        <w:autoSpaceDE/>
        <w:autoSpaceDN/>
        <w:bidi w:val="0"/>
        <w:adjustRightInd w:val="0"/>
        <w:snapToGrid w:val="0"/>
        <w:spacing w:line="288" w:lineRule="auto"/>
        <w:ind w:firstLine="42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任务落实会议后，起草单位成立项目研发组。</w:t>
      </w:r>
      <w:r>
        <w:rPr>
          <w:rFonts w:hint="eastAsia"/>
          <w:color w:val="000000" w:themeColor="text1"/>
          <w:lang w:val="en-US" w:eastAsia="zh-CN"/>
          <w14:textFill>
            <w14:solidFill>
              <w14:schemeClr w14:val="tx1"/>
            </w14:solidFill>
          </w14:textFill>
        </w:rPr>
        <w:t>起草人员对现行的铅及铅合金产品标准进行了调研，主要涉及GB/T 469《铅锭》、GB/T 26045《蓄电池板栅用铅钙合金锭》、GB/T 26011《电缆护套用铅合金锭》、GB/T 21181《再生铅及铅合金锭》、YS/T 915《蓄电池板栅用铅锑合金锭》、YS/T 498《电解沉积用铅阳极板》、YS/T 636《铅及铅锑合金棒和线材》等；对各产品牌号中需要检测的化学元素、含量范围进行了统计，明确了适合ICP-MS方法测定的元素种类和范围。</w:t>
      </w:r>
    </w:p>
    <w:p>
      <w:pPr>
        <w:keepNext w:val="0"/>
        <w:keepLines w:val="0"/>
        <w:pageBreakBefore w:val="0"/>
        <w:kinsoku/>
        <w:wordWrap/>
        <w:overflowPunct/>
        <w:topLinePunct w:val="0"/>
        <w:autoSpaceDE/>
        <w:autoSpaceDN/>
        <w:bidi w:val="0"/>
        <w:adjustRightInd w:val="0"/>
        <w:snapToGrid w:val="0"/>
        <w:spacing w:line="288" w:lineRule="auto"/>
        <w:ind w:firstLine="420" w:firstLineChars="200"/>
        <w:textAlignment w:val="auto"/>
        <w:rPr>
          <w:rFonts w:hint="eastAsia" w:cs="Times New Roman"/>
          <w:kern w:val="2"/>
          <w:sz w:val="21"/>
          <w:szCs w:val="21"/>
          <w:lang w:val="en-US" w:eastAsia="zh-CN"/>
        </w:rPr>
      </w:pPr>
      <w:r>
        <w:rPr>
          <w:rFonts w:hint="eastAsia" w:ascii="Times New Roman" w:hAnsi="Times New Roman" w:eastAsia="宋体" w:cs="Times New Roman"/>
          <w:kern w:val="2"/>
          <w:sz w:val="21"/>
          <w:szCs w:val="21"/>
        </w:rPr>
        <w:t>阜阳市产品质量监督检验所</w:t>
      </w:r>
      <w:r>
        <w:rPr>
          <w:rFonts w:hint="eastAsia" w:cs="Times New Roman"/>
          <w:kern w:val="2"/>
          <w:sz w:val="21"/>
          <w:szCs w:val="21"/>
          <w:lang w:val="en-US" w:eastAsia="zh-CN"/>
        </w:rPr>
        <w:t>作为样品提供单位积极联络相关铅合金生产厂家，提供了铅锑合金、铅钙合金、铅银合金。</w:t>
      </w:r>
      <w:r>
        <w:rPr>
          <w:rFonts w:hint="eastAsia" w:ascii="Times New Roman" w:hAnsi="Times New Roman" w:eastAsia="宋体" w:cs="Times New Roman"/>
          <w:kern w:val="2"/>
          <w:sz w:val="21"/>
          <w:szCs w:val="21"/>
        </w:rPr>
        <w:t>国标（北京）检验认证有限公</w:t>
      </w:r>
      <w:r>
        <w:rPr>
          <w:rFonts w:hint="eastAsia" w:cs="Times New Roman"/>
          <w:kern w:val="2"/>
          <w:sz w:val="21"/>
          <w:szCs w:val="21"/>
          <w:lang w:val="en-US" w:eastAsia="zh-CN"/>
        </w:rPr>
        <w:t>司购买了铅锭光谱与化学标准样品（</w:t>
      </w:r>
      <w:r>
        <w:rPr>
          <w:rFonts w:hint="default" w:cs="Times New Roman"/>
          <w:kern w:val="2"/>
          <w:sz w:val="21"/>
          <w:szCs w:val="21"/>
          <w:lang w:val="en-US" w:eastAsia="zh-CN"/>
        </w:rPr>
        <w:t>GSB04-3278-2016）</w:t>
      </w:r>
      <w:r>
        <w:rPr>
          <w:rFonts w:hint="eastAsia" w:cs="Times New Roman"/>
          <w:kern w:val="2"/>
          <w:sz w:val="21"/>
          <w:szCs w:val="21"/>
          <w:lang w:val="en-US" w:eastAsia="zh-CN"/>
        </w:rPr>
        <w:t>共5个梯度，并进行了样品加工。同时为了进行条件实验研究，购买了5N高纯铅。</w:t>
      </w:r>
    </w:p>
    <w:p>
      <w:pPr>
        <w:keepNext w:val="0"/>
        <w:keepLines w:val="0"/>
        <w:pageBreakBefore w:val="0"/>
        <w:kinsoku/>
        <w:wordWrap/>
        <w:overflowPunct/>
        <w:topLinePunct w:val="0"/>
        <w:autoSpaceDE/>
        <w:autoSpaceDN/>
        <w:bidi w:val="0"/>
        <w:adjustRightInd w:val="0"/>
        <w:snapToGrid w:val="0"/>
        <w:spacing w:line="288" w:lineRule="auto"/>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年1</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2023年2</w:t>
      </w:r>
      <w:r>
        <w:rPr>
          <w:rFonts w:hint="eastAsia"/>
          <w:color w:val="000000" w:themeColor="text1"/>
          <w14:textFill>
            <w14:solidFill>
              <w14:schemeClr w14:val="tx1"/>
            </w14:solidFill>
          </w14:textFill>
        </w:rPr>
        <w:t>月，编制组人员对</w:t>
      </w:r>
      <w:r>
        <w:rPr>
          <w:rFonts w:hint="eastAsia"/>
          <w:color w:val="000000" w:themeColor="text1"/>
          <w:lang w:val="en-US" w:eastAsia="zh-CN"/>
          <w14:textFill>
            <w14:solidFill>
              <w14:schemeClr w14:val="tx1"/>
            </w14:solidFill>
          </w14:textFill>
        </w:rPr>
        <w:t>样品的溶解包括硝酸酸度和酒石酸用量的影响</w:t>
      </w:r>
      <w:r>
        <w:rPr>
          <w:rFonts w:hint="eastAsia"/>
          <w:color w:val="000000" w:themeColor="text1"/>
          <w14:textFill>
            <w14:solidFill>
              <w14:schemeClr w14:val="tx1"/>
            </w14:solidFill>
          </w14:textFill>
        </w:rPr>
        <w:t>、质谱干扰</w:t>
      </w:r>
      <w:r>
        <w:rPr>
          <w:rFonts w:hint="eastAsia"/>
          <w:color w:val="000000" w:themeColor="text1"/>
          <w:lang w:val="en-US" w:eastAsia="zh-CN"/>
          <w14:textFill>
            <w14:solidFill>
              <w14:schemeClr w14:val="tx1"/>
            </w14:solidFill>
          </w14:textFill>
        </w:rPr>
        <w:t>特别是Bi、Ni、Sb的质谱干扰情况</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基体效应及内标元素的选择</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工作曲线及</w:t>
      </w:r>
      <w:r>
        <w:rPr>
          <w:rFonts w:hint="eastAsia"/>
          <w:color w:val="000000" w:themeColor="text1"/>
          <w14:textFill>
            <w14:solidFill>
              <w14:schemeClr w14:val="tx1"/>
            </w14:solidFill>
          </w14:textFill>
        </w:rPr>
        <w:t>检出限等进行条件实验，确定</w:t>
      </w:r>
      <w:r>
        <w:rPr>
          <w:color w:val="000000" w:themeColor="text1"/>
          <w14:textFill>
            <w14:solidFill>
              <w14:schemeClr w14:val="tx1"/>
            </w14:solidFill>
          </w14:textFill>
        </w:rPr>
        <w:t>了采用ICP-MS分析</w:t>
      </w:r>
      <w:r>
        <w:rPr>
          <w:rFonts w:hint="eastAsia"/>
          <w:color w:val="000000" w:themeColor="text1"/>
          <w:lang w:val="en-US" w:eastAsia="zh-CN"/>
          <w14:textFill>
            <w14:solidFill>
              <w14:schemeClr w14:val="tx1"/>
            </w14:solidFill>
          </w14:textFill>
        </w:rPr>
        <w:t>铅及铅合金中</w:t>
      </w:r>
      <w:r>
        <w:rPr>
          <w:rFonts w:hint="eastAsia" w:ascii="Times New Roman" w:hAnsi="Times New Roman" w:eastAsia="宋体" w:cs="Times New Roman"/>
          <w:kern w:val="2"/>
          <w:sz w:val="21"/>
          <w:szCs w:val="21"/>
        </w:rPr>
        <w:t>银、铜、铋、砷、锑、锡、锌、铁、镉、镍、镁、铝、钙、硒、碲含量</w:t>
      </w:r>
      <w:r>
        <w:rPr>
          <w:rFonts w:hint="eastAsia" w:cs="Times New Roman"/>
          <w:kern w:val="2"/>
          <w:sz w:val="21"/>
          <w:szCs w:val="21"/>
          <w:lang w:val="en-US" w:eastAsia="zh-CN"/>
        </w:rPr>
        <w:t>的基本方法。并根据铅及铅合金质谱干扰情况，对元素的测定范围进行了调整。</w:t>
      </w:r>
      <w:r>
        <w:rPr>
          <w:rFonts w:hint="eastAsia"/>
          <w:color w:val="000000" w:themeColor="text1"/>
          <w14:textFill>
            <w14:solidFill>
              <w14:schemeClr w14:val="tx1"/>
            </w14:solidFill>
          </w14:textFill>
        </w:rPr>
        <w:t>按照确定</w:t>
      </w:r>
      <w:r>
        <w:rPr>
          <w:color w:val="000000" w:themeColor="text1"/>
          <w14:textFill>
            <w14:solidFill>
              <w14:schemeClr w14:val="tx1"/>
            </w14:solidFill>
          </w14:textFill>
        </w:rPr>
        <w:t>的实验方法，对</w:t>
      </w:r>
      <w:r>
        <w:rPr>
          <w:rFonts w:hint="eastAsia"/>
          <w:color w:val="000000" w:themeColor="text1"/>
          <w:lang w:val="en-US" w:eastAsia="zh-CN"/>
          <w14:textFill>
            <w14:solidFill>
              <w14:schemeClr w14:val="tx1"/>
            </w14:solidFill>
          </w14:textFill>
        </w:rPr>
        <w:t>纯铅和铅合金等8</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公共样品进行精密度测试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并对数据的平均值和</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标准偏差进行整理汇总</w:t>
      </w:r>
      <w:r>
        <w:rPr>
          <w:rFonts w:hint="eastAsia"/>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288" w:lineRule="auto"/>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起草单位</w:t>
      </w:r>
      <w:r>
        <w:rPr>
          <w:rFonts w:hint="eastAsia"/>
          <w:color w:val="000000" w:themeColor="text1"/>
          <w14:textFill>
            <w14:solidFill>
              <w14:schemeClr w14:val="tx1"/>
            </w14:solidFill>
          </w14:textFill>
        </w:rPr>
        <w:t>完成研究报告，并按照GB/T 1.1-2020《标准化工作导则 第1部分：标准化文件的结构和起草规则》的规定撰写了GB/T《</w:t>
      </w:r>
      <w:r>
        <w:rPr>
          <w:rFonts w:hint="eastAsia" w:ascii="Times New Roman" w:hAnsi="Times New Roman" w:eastAsia="宋体" w:cs="Times New Roman"/>
          <w:kern w:val="2"/>
          <w:sz w:val="21"/>
          <w:szCs w:val="21"/>
        </w:rPr>
        <w:t>铅及铅合金化学分析方法</w:t>
      </w:r>
      <w:r>
        <w:rPr>
          <w:rFonts w:hint="eastAsia" w:cs="Times New Roman"/>
          <w:kern w:val="2"/>
          <w:sz w:val="21"/>
          <w:szCs w:val="21"/>
          <w:lang w:val="en-US" w:eastAsia="zh-CN"/>
        </w:rPr>
        <w:t xml:space="preserve">  </w:t>
      </w:r>
      <w:r>
        <w:rPr>
          <w:rFonts w:hint="eastAsia" w:ascii="Times New Roman" w:hAnsi="Times New Roman" w:eastAsia="宋体" w:cs="Times New Roman"/>
          <w:kern w:val="2"/>
          <w:sz w:val="21"/>
          <w:szCs w:val="21"/>
        </w:rPr>
        <w:t>第18部分：银、铜、铋、砷、锑、锡、锌、铁、镉、镍、镁、铝、钙、硒、碲含量的测定</w:t>
      </w:r>
      <w:r>
        <w:rPr>
          <w:rFonts w:hint="eastAsia" w:cs="Times New Roman"/>
          <w:kern w:val="2"/>
          <w:sz w:val="21"/>
          <w:szCs w:val="21"/>
          <w:lang w:val="en-US" w:eastAsia="zh-CN"/>
        </w:rPr>
        <w:t xml:space="preserve"> </w:t>
      </w:r>
      <w:r>
        <w:rPr>
          <w:rFonts w:hint="eastAsia" w:ascii="Times New Roman" w:hAnsi="Times New Roman" w:eastAsia="宋体" w:cs="Times New Roman"/>
          <w:kern w:val="2"/>
          <w:sz w:val="21"/>
          <w:szCs w:val="21"/>
        </w:rPr>
        <w:t>电感耦合等离子体质谱法</w:t>
      </w:r>
      <w:r>
        <w:rPr>
          <w:rFonts w:hint="eastAsia"/>
          <w:color w:val="000000" w:themeColor="text1"/>
          <w14:textFill>
            <w14:solidFill>
              <w14:schemeClr w14:val="tx1"/>
            </w14:solidFill>
          </w14:textFill>
        </w:rPr>
        <w:t>》（讨论稿）。</w:t>
      </w:r>
    </w:p>
    <w:p>
      <w:pPr>
        <w:keepNext w:val="0"/>
        <w:keepLines w:val="0"/>
        <w:pageBreakBefore w:val="0"/>
        <w:kinsoku/>
        <w:wordWrap/>
        <w:overflowPunct/>
        <w:topLinePunct w:val="0"/>
        <w:autoSpaceDE/>
        <w:autoSpaceDN/>
        <w:bidi w:val="0"/>
        <w:adjustRightInd w:val="0"/>
        <w:snapToGrid w:val="0"/>
        <w:spacing w:line="288"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（3）验证单位验证</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eastAsia"/>
          <w:color w:val="000000" w:themeColor="text1"/>
          <w14:textFill>
            <w14:solidFill>
              <w14:schemeClr w14:val="tx1"/>
            </w14:solidFill>
          </w14:textFill>
        </w:rPr>
      </w:pP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底</w:t>
      </w:r>
      <w:r>
        <w:rPr>
          <w:rFonts w:hint="eastAsia"/>
          <w:color w:val="000000" w:themeColor="text1"/>
          <w14:textFill>
            <w14:solidFill>
              <w14:schemeClr w14:val="tx1"/>
            </w14:solidFill>
          </w14:textFill>
        </w:rPr>
        <w:t>，起草单位将样品和方法研究报告邮寄给各验证单位进行数据的验证工作。</w:t>
      </w: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月，各验证单位陆续完成验证工作并返回验证报告。验证</w:t>
      </w:r>
      <w:r>
        <w:rPr>
          <w:color w:val="000000" w:themeColor="text1"/>
          <w14:textFill>
            <w14:solidFill>
              <w14:schemeClr w14:val="tx1"/>
            </w14:solidFill>
          </w14:textFill>
        </w:rPr>
        <w:t>单位</w:t>
      </w:r>
      <w:r>
        <w:rPr>
          <w:rFonts w:hint="eastAsia"/>
          <w:color w:val="000000" w:themeColor="text1"/>
          <w:lang w:val="en-US" w:eastAsia="zh-CN"/>
          <w14:textFill>
            <w14:solidFill>
              <w14:schemeClr w14:val="tx1"/>
            </w14:solidFill>
          </w14:textFill>
        </w:rPr>
        <w:t>提出的意见及反馈见表1-2。</w:t>
      </w:r>
      <w:r>
        <w:rPr>
          <w:rFonts w:hint="eastAsia"/>
          <w:color w:val="000000" w:themeColor="text1"/>
          <w14:textFill>
            <w14:solidFill>
              <w14:schemeClr w14:val="tx1"/>
            </w14:solidFill>
          </w14:textFill>
        </w:rPr>
        <w:t>起草单位综合</w:t>
      </w:r>
      <w:r>
        <w:rPr>
          <w:color w:val="000000" w:themeColor="text1"/>
          <w14:textFill>
            <w14:solidFill>
              <w14:schemeClr w14:val="tx1"/>
            </w14:solidFill>
          </w14:textFill>
        </w:rPr>
        <w:t>各验证单位反馈意见</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讨论稿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进行修改完善，形成</w:t>
      </w:r>
      <w:r>
        <w:rPr>
          <w:rFonts w:hint="eastAsia"/>
          <w:color w:val="000000" w:themeColor="text1"/>
          <w:lang w:val="en-US" w:eastAsia="zh-CN"/>
          <w14:textFill>
            <w14:solidFill>
              <w14:schemeClr w14:val="tx1"/>
            </w14:solidFill>
          </w14:textFill>
        </w:rPr>
        <w:t>标准文本的《</w:t>
      </w:r>
      <w:r>
        <w:rPr>
          <w:rFonts w:hint="eastAsia"/>
          <w:color w:val="000000" w:themeColor="text1"/>
          <w14:textFill>
            <w14:solidFill>
              <w14:schemeClr w14:val="tx1"/>
            </w14:solidFill>
          </w14:textFill>
        </w:rPr>
        <w:t>征求意见稿</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color w:val="000000" w:themeColor="text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表1-2 验证单位提出的意见及反馈</w:t>
      </w:r>
    </w:p>
    <w:tbl>
      <w:tblPr>
        <w:tblStyle w:val="8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5840"/>
        <w:gridCol w:w="3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编号</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意见内容</w:t>
            </w:r>
          </w:p>
        </w:tc>
        <w:tc>
          <w:tcPr>
            <w:tcW w:w="3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处理意见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5.17 铝标准贮存溶液和5.23 锡标准贮存溶液配制方法</w:t>
            </w:r>
          </w:p>
        </w:tc>
        <w:tc>
          <w:tcPr>
            <w:tcW w:w="3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表2 可以不写出潜在质谱干扰。</w:t>
            </w:r>
          </w:p>
        </w:tc>
        <w:tc>
          <w:tcPr>
            <w:tcW w:w="3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建议钙、硒、银增加推荐同位素质量数</w:t>
            </w:r>
          </w:p>
        </w:tc>
        <w:tc>
          <w:tcPr>
            <w:tcW w:w="3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采纳，增加Ca44、Se78、Ag109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建议</w:t>
            </w:r>
            <w:r>
              <w:rPr>
                <w:rFonts w:hint="eastAsia" w:ascii="Times New Roman" w:hAnsi="Times New Roman" w:eastAsia="宋体" w:cs="Times New Roman"/>
                <w:i w:val="0"/>
                <w:iCs w:val="0"/>
                <w:color w:val="000000"/>
                <w:kern w:val="0"/>
                <w:sz w:val="18"/>
                <w:szCs w:val="18"/>
                <w:u w:val="none"/>
                <w:lang w:val="en-US" w:eastAsia="zh-CN" w:bidi="ar"/>
              </w:rPr>
              <w:t>增大称样量</w:t>
            </w:r>
          </w:p>
        </w:tc>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不采纳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80Se受40Ar40Ar+影响，建议选择78作为Se的同位素质量数。</w:t>
            </w:r>
          </w:p>
        </w:tc>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80保留，补充推荐质量数78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基体浓度为1.0mg/mL时，内标校正对100ng/mL Bi的校正效果不好</w:t>
            </w:r>
          </w:p>
        </w:tc>
        <w:tc>
          <w:tcPr>
            <w:tcW w:w="3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增加备注</w:t>
            </w:r>
            <w:r>
              <w:rPr>
                <w:rFonts w:hint="default" w:ascii="Times New Roman" w:hAnsi="Times New Roman" w:eastAsia="宋体" w:cs="Times New Roman"/>
                <w:i w:val="0"/>
                <w:iCs w:val="0"/>
                <w:color w:val="000000"/>
                <w:kern w:val="0"/>
                <w:sz w:val="18"/>
                <w:szCs w:val="18"/>
                <w:u w:val="none"/>
                <w:lang w:val="en-US" w:eastAsia="zh-CN" w:bidi="ar"/>
              </w:rPr>
              <w:t>试液适当稀释后测定，如基体浓度0.5mg/mL，见8.4.1注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赛默飞ICPQ测定过程中，基体效应严重，内标回收率低</w:t>
            </w:r>
          </w:p>
        </w:tc>
        <w:tc>
          <w:tcPr>
            <w:tcW w:w="3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明确是否采用高纯铅进行空白</w:t>
            </w:r>
          </w:p>
        </w:tc>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lang w:val="en-US" w:eastAsia="zh-CN"/>
              </w:rPr>
            </w:pPr>
            <w:r>
              <w:rPr>
                <w:rFonts w:hint="eastAsia" w:ascii="Times New Roman" w:hAnsi="Times New Roman" w:eastAsia="宋体" w:cs="Times New Roman"/>
                <w:i w:val="0"/>
                <w:iCs w:val="0"/>
                <w:color w:val="000000"/>
                <w:sz w:val="18"/>
                <w:szCs w:val="18"/>
                <w:u w:val="none"/>
                <w:lang w:val="en-US" w:eastAsia="zh-CN"/>
              </w:rPr>
              <w:t>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溶样的酸（1+2）5mL偏少，由于体积损失，会出现白色沉淀物，建议将酸量增加至10ml</w:t>
            </w:r>
          </w:p>
        </w:tc>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采纳</w:t>
            </w:r>
            <w:r>
              <w:rPr>
                <w:rFonts w:hint="eastAsia" w:cs="Times New Roman"/>
                <w:i w:val="0"/>
                <w:iCs w:val="0"/>
                <w:color w:val="000000"/>
                <w:kern w:val="0"/>
                <w:sz w:val="18"/>
                <w:szCs w:val="18"/>
                <w:u w:val="none"/>
                <w:lang w:val="en-US" w:eastAsia="zh-CN" w:bidi="ar"/>
              </w:rPr>
              <w:t>，采用硝酸（1+4）增加体积</w:t>
            </w:r>
          </w:p>
        </w:tc>
      </w:tr>
    </w:tbl>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5</w:t>
      </w:r>
      <w:r>
        <w:rPr>
          <w:rFonts w:ascii="黑体" w:hAnsi="黑体" w:eastAsia="黑体"/>
          <w:color w:val="000000" w:themeColor="text1"/>
          <w14:textFill>
            <w14:solidFill>
              <w14:schemeClr w14:val="tx1"/>
            </w14:solidFill>
          </w14:textFill>
        </w:rPr>
        <w:t xml:space="preserve">.2 </w:t>
      </w:r>
      <w:r>
        <w:rPr>
          <w:rFonts w:hint="eastAsia" w:ascii="黑体" w:hAnsi="黑体" w:eastAsia="黑体"/>
          <w:color w:val="000000" w:themeColor="text1"/>
          <w14:textFill>
            <w14:solidFill>
              <w14:schemeClr w14:val="tx1"/>
            </w14:solidFill>
          </w14:textFill>
        </w:rPr>
        <w:t>征求意见阶段</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eastAsia"/>
          <w:color w:val="000000" w:themeColor="text1"/>
          <w14:textFill>
            <w14:solidFill>
              <w14:schemeClr w14:val="tx1"/>
            </w14:solidFill>
          </w14:textFill>
        </w:rPr>
      </w:pPr>
      <w:r>
        <w:rPr>
          <w:rFonts w:hint="eastAsia"/>
          <w:color w:val="auto"/>
        </w:rPr>
        <w:t>202</w:t>
      </w:r>
      <w:r>
        <w:rPr>
          <w:rFonts w:hint="eastAsia"/>
          <w:color w:val="auto"/>
          <w:lang w:val="en-US" w:eastAsia="zh-CN"/>
        </w:rPr>
        <w:t>3</w:t>
      </w:r>
      <w:r>
        <w:rPr>
          <w:rFonts w:hint="eastAsia"/>
          <w:color w:val="auto"/>
        </w:rPr>
        <w:t>年</w:t>
      </w:r>
      <w:r>
        <w:rPr>
          <w:rFonts w:hint="eastAsia"/>
          <w:color w:val="auto"/>
          <w:lang w:val="en-US" w:eastAsia="zh-CN"/>
        </w:rPr>
        <w:t>6</w:t>
      </w:r>
      <w:r>
        <w:rPr>
          <w:rFonts w:hint="eastAsia"/>
          <w:color w:val="auto"/>
        </w:rPr>
        <w:t>月</w:t>
      </w:r>
      <w:r>
        <w:rPr>
          <w:rFonts w:hint="eastAsia"/>
          <w:color w:val="auto"/>
          <w:lang w:val="en-US" w:eastAsia="zh-CN"/>
        </w:rPr>
        <w:t>25</w:t>
      </w:r>
      <w:r>
        <w:rPr>
          <w:rFonts w:hint="eastAsia"/>
          <w:color w:val="auto"/>
        </w:rPr>
        <w:t>日~</w:t>
      </w:r>
      <w:r>
        <w:rPr>
          <w:rFonts w:hint="eastAsia"/>
          <w:color w:val="auto"/>
          <w:lang w:val="en-US" w:eastAsia="zh-CN"/>
        </w:rPr>
        <w:t>2</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日有色标委会在</w:t>
      </w:r>
      <w:r>
        <w:rPr>
          <w:rFonts w:hint="eastAsia"/>
          <w:color w:val="000000" w:themeColor="text1"/>
          <w:lang w:val="en-US" w:eastAsia="zh-CN"/>
          <w14:textFill>
            <w14:solidFill>
              <w14:schemeClr w14:val="tx1"/>
            </w14:solidFill>
          </w14:textFill>
        </w:rPr>
        <w:t>辽宁沈阳</w:t>
      </w:r>
      <w:r>
        <w:rPr>
          <w:rFonts w:hint="eastAsia"/>
          <w:color w:val="000000" w:themeColor="text1"/>
          <w14:textFill>
            <w14:solidFill>
              <w14:schemeClr w14:val="tx1"/>
            </w14:solidFill>
          </w14:textFill>
        </w:rPr>
        <w:t>召开预审会。来自有研粉末新材料（合肥）有限公</w:t>
      </w:r>
      <w:r>
        <w:rPr>
          <w:rFonts w:hint="eastAsia"/>
          <w:color w:val="000000" w:themeColor="text1"/>
          <w:lang w:val="en-US" w:eastAsia="zh-CN"/>
          <w14:textFill>
            <w14:solidFill>
              <w14:schemeClr w14:val="tx1"/>
            </w14:solidFill>
          </w14:textFill>
        </w:rPr>
        <w:t>司、</w:t>
      </w:r>
      <w:r>
        <w:rPr>
          <w:rFonts w:hint="eastAsia"/>
          <w:color w:val="000000" w:themeColor="text1"/>
          <w14:textFill>
            <w14:solidFill>
              <w14:schemeClr w14:val="tx1"/>
            </w14:solidFill>
          </w14:textFill>
        </w:rPr>
        <w:t>云南锡业股份有限公司</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浙江华友钴业股份有限公</w:t>
      </w:r>
      <w:r>
        <w:rPr>
          <w:rFonts w:hint="eastAsia"/>
          <w:color w:val="000000" w:themeColor="text1"/>
          <w:lang w:val="en-US" w:eastAsia="zh-CN"/>
          <w14:textFill>
            <w14:solidFill>
              <w14:schemeClr w14:val="tx1"/>
            </w14:solidFill>
          </w14:textFill>
        </w:rPr>
        <w:t>司、</w:t>
      </w:r>
      <w:r>
        <w:rPr>
          <w:rFonts w:hint="eastAsia"/>
          <w:color w:val="000000" w:themeColor="text1"/>
          <w14:textFill>
            <w14:solidFill>
              <w14:schemeClr w14:val="tx1"/>
            </w14:solidFill>
          </w14:textFill>
        </w:rPr>
        <w:t>云南云铜锌业股份有限公</w:t>
      </w:r>
      <w:r>
        <w:rPr>
          <w:rFonts w:hint="eastAsia"/>
          <w:color w:val="000000" w:themeColor="text1"/>
          <w:lang w:val="en-US" w:eastAsia="zh-CN"/>
          <w14:textFill>
            <w14:solidFill>
              <w14:schemeClr w14:val="tx1"/>
            </w14:solidFill>
          </w14:textFill>
        </w:rPr>
        <w:t>司</w:t>
      </w:r>
      <w:r>
        <w:rPr>
          <w:rFonts w:hint="eastAsia"/>
          <w:color w:val="000000" w:themeColor="text1"/>
          <w14:textFill>
            <w14:solidFill>
              <w14:schemeClr w14:val="tx1"/>
            </w14:solidFill>
          </w14:textFill>
        </w:rPr>
        <w:t>等单位的</w:t>
      </w:r>
      <w:r>
        <w:rPr>
          <w:rFonts w:hint="eastAsia"/>
          <w:color w:val="000000" w:themeColor="text1"/>
          <w:lang w:val="en-US" w:eastAsia="zh-CN"/>
          <w14:textFill>
            <w14:solidFill>
              <w14:schemeClr w14:val="tx1"/>
            </w14:solidFill>
          </w14:textFill>
        </w:rPr>
        <w:t>40</w:t>
      </w:r>
      <w:r>
        <w:rPr>
          <w:rFonts w:hint="eastAsia"/>
          <w:color w:val="000000" w:themeColor="text1"/>
          <w14:textFill>
            <w14:solidFill>
              <w14:schemeClr w14:val="tx1"/>
            </w14:solidFill>
          </w14:textFill>
        </w:rPr>
        <w:t>多位专家对</w:t>
      </w:r>
      <w:r>
        <w:rPr>
          <w:rFonts w:hint="eastAsia"/>
          <w:color w:val="000000" w:themeColor="text1"/>
          <w:lang w:val="en-US" w:eastAsia="zh-CN"/>
          <w14:textFill>
            <w14:solidFill>
              <w14:schemeClr w14:val="tx1"/>
            </w14:solidFill>
          </w14:textFill>
        </w:rPr>
        <w:t>《征求意见稿》</w:t>
      </w:r>
      <w:r>
        <w:rPr>
          <w:rFonts w:hint="eastAsia"/>
          <w:color w:val="000000" w:themeColor="text1"/>
          <w14:textFill>
            <w14:solidFill>
              <w14:schemeClr w14:val="tx1"/>
            </w14:solidFill>
          </w14:textFill>
        </w:rPr>
        <w:t>进行讨论，并提出了宝贵意见。</w:t>
      </w:r>
    </w:p>
    <w:p>
      <w:pPr>
        <w:adjustRightInd w:val="0"/>
        <w:snapToGrid w:val="0"/>
        <w:spacing w:line="312" w:lineRule="auto"/>
        <w:ind w:firstLine="420"/>
        <w:rPr>
          <w:rFonts w:hAnsi="宋体"/>
          <w:color w:val="auto"/>
        </w:rPr>
      </w:pPr>
      <w:r>
        <w:rPr>
          <w:rFonts w:hint="eastAsia"/>
          <w:color w:val="auto"/>
          <w:szCs w:val="21"/>
        </w:rPr>
        <w:t>202</w:t>
      </w:r>
      <w:r>
        <w:rPr>
          <w:rFonts w:hint="eastAsia"/>
          <w:color w:val="auto"/>
          <w:szCs w:val="21"/>
          <w:lang w:val="en-US" w:eastAsia="zh-CN"/>
        </w:rPr>
        <w:t>3</w:t>
      </w:r>
      <w:r>
        <w:rPr>
          <w:rFonts w:hint="eastAsia"/>
          <w:color w:val="auto"/>
          <w:szCs w:val="21"/>
        </w:rPr>
        <w:t>年</w:t>
      </w:r>
      <w:r>
        <w:rPr>
          <w:rFonts w:hint="eastAsia"/>
          <w:color w:val="auto"/>
          <w:szCs w:val="21"/>
          <w:lang w:val="en-US" w:eastAsia="zh-CN"/>
        </w:rPr>
        <w:t>7</w:t>
      </w:r>
      <w:r>
        <w:rPr>
          <w:rFonts w:hint="eastAsia"/>
          <w:color w:val="auto"/>
          <w:szCs w:val="21"/>
        </w:rPr>
        <w:t>月</w:t>
      </w:r>
      <w:r>
        <w:rPr>
          <w:rFonts w:hint="eastAsia"/>
          <w:color w:val="auto"/>
          <w:szCs w:val="21"/>
          <w:lang w:val="en-US" w:eastAsia="zh-CN"/>
        </w:rPr>
        <w:t>XX</w:t>
      </w:r>
      <w:r>
        <w:rPr>
          <w:rFonts w:hint="eastAsia"/>
          <w:color w:val="auto"/>
          <w:szCs w:val="21"/>
        </w:rPr>
        <w:t>日至 20</w:t>
      </w:r>
      <w:r>
        <w:rPr>
          <w:color w:val="auto"/>
          <w:szCs w:val="21"/>
        </w:rPr>
        <w:t>2</w:t>
      </w:r>
      <w:r>
        <w:rPr>
          <w:rFonts w:hint="eastAsia"/>
          <w:color w:val="auto"/>
          <w:szCs w:val="21"/>
          <w:lang w:val="en-US" w:eastAsia="zh-CN"/>
        </w:rPr>
        <w:t>3</w:t>
      </w:r>
      <w:r>
        <w:rPr>
          <w:rFonts w:hint="eastAsia"/>
          <w:color w:val="auto"/>
          <w:szCs w:val="21"/>
        </w:rPr>
        <w:t>年</w:t>
      </w:r>
      <w:r>
        <w:rPr>
          <w:rFonts w:hint="eastAsia"/>
          <w:color w:val="auto"/>
          <w:szCs w:val="21"/>
          <w:lang w:val="en-US" w:eastAsia="zh-CN"/>
        </w:rPr>
        <w:t>9</w:t>
      </w:r>
      <w:r>
        <w:rPr>
          <w:rFonts w:hint="eastAsia"/>
          <w:color w:val="auto"/>
          <w:szCs w:val="21"/>
        </w:rPr>
        <w:t>月</w:t>
      </w:r>
      <w:r>
        <w:rPr>
          <w:rFonts w:hint="eastAsia"/>
          <w:color w:val="auto"/>
          <w:szCs w:val="21"/>
          <w:lang w:val="en-US" w:eastAsia="zh-CN"/>
        </w:rPr>
        <w:t>XX</w:t>
      </w:r>
      <w:r>
        <w:rPr>
          <w:rFonts w:hint="eastAsia"/>
          <w:color w:val="auto"/>
          <w:szCs w:val="21"/>
        </w:rPr>
        <w:t>日，全国有色金属标准化技术委员会将征求意见资料在国家标准化管理委员会的“公共信息服务平台”上挂网，向社会公开征求意见。同时，全国有色金属标准化技术委员会通过工作群、邮件向委员单位征求意见，并将征求意见资料在www.cnsmq.com网站上挂网。征求意见的单位包括主要生产、经销、使用、科研、检验等单位及大专院校，征求意见单位广泛且具有代表性，征求意见时间大于2个月。</w:t>
      </w:r>
    </w:p>
    <w:p>
      <w:pPr>
        <w:adjustRightInd w:val="0"/>
        <w:snapToGrid w:val="0"/>
        <w:spacing w:line="312" w:lineRule="auto"/>
        <w:ind w:firstLine="420"/>
        <w:rPr>
          <w:rFonts w:hAnsi="宋体"/>
          <w:color w:val="auto"/>
        </w:rPr>
      </w:pPr>
      <w:r>
        <w:rPr>
          <w:rFonts w:hint="eastAsia"/>
          <w:color w:val="auto"/>
          <w:szCs w:val="21"/>
          <w:lang w:val="en-US" w:eastAsia="zh-CN"/>
        </w:rPr>
        <w:t>整个</w:t>
      </w:r>
      <w:r>
        <w:rPr>
          <w:rFonts w:hint="eastAsia"/>
          <w:color w:val="auto"/>
          <w:szCs w:val="21"/>
        </w:rPr>
        <w:t>征求意见过程中，标准编制组发送“征求意见稿”的单位数有</w:t>
      </w:r>
      <w:r>
        <w:rPr>
          <w:rFonts w:hint="eastAsia"/>
          <w:color w:val="auto"/>
          <w:szCs w:val="21"/>
          <w:lang w:val="en-US" w:eastAsia="zh-CN"/>
        </w:rPr>
        <w:t>31</w:t>
      </w:r>
      <w:r>
        <w:rPr>
          <w:rFonts w:hint="eastAsia"/>
          <w:color w:val="auto"/>
          <w:szCs w:val="21"/>
        </w:rPr>
        <w:t>个，收到“征求意见稿”后，回函并有建议或意见的单位数有</w:t>
      </w:r>
      <w:r>
        <w:rPr>
          <w:rFonts w:hint="eastAsia"/>
          <w:color w:val="auto"/>
          <w:szCs w:val="21"/>
          <w:lang w:val="en-US" w:eastAsia="zh-CN"/>
        </w:rPr>
        <w:t>11</w:t>
      </w:r>
      <w:r>
        <w:rPr>
          <w:rFonts w:hint="eastAsia"/>
          <w:color w:val="auto"/>
          <w:szCs w:val="21"/>
        </w:rPr>
        <w:t>个，没有未回函的单位。截至202</w:t>
      </w:r>
      <w:r>
        <w:rPr>
          <w:rFonts w:hint="eastAsia"/>
          <w:color w:val="auto"/>
          <w:szCs w:val="21"/>
          <w:lang w:val="en-US" w:eastAsia="zh-CN"/>
        </w:rPr>
        <w:t>3</w:t>
      </w:r>
      <w:r>
        <w:rPr>
          <w:rFonts w:hint="eastAsia"/>
          <w:color w:val="auto"/>
          <w:szCs w:val="21"/>
        </w:rPr>
        <w:t>年</w:t>
      </w:r>
      <w:r>
        <w:rPr>
          <w:rFonts w:hint="eastAsia"/>
          <w:color w:val="auto"/>
          <w:szCs w:val="21"/>
          <w:lang w:val="en-US" w:eastAsia="zh-CN"/>
        </w:rPr>
        <w:t>9</w:t>
      </w:r>
      <w:r>
        <w:rPr>
          <w:rFonts w:hint="eastAsia"/>
          <w:color w:val="auto"/>
          <w:szCs w:val="21"/>
        </w:rPr>
        <w:t>月，编制组共收到</w:t>
      </w:r>
      <w:r>
        <w:rPr>
          <w:rFonts w:hint="eastAsia"/>
          <w:color w:val="auto"/>
          <w:szCs w:val="21"/>
          <w:lang w:val="en-US" w:eastAsia="zh-CN"/>
        </w:rPr>
        <w:t>11</w:t>
      </w:r>
      <w:r>
        <w:rPr>
          <w:rFonts w:hint="eastAsia"/>
          <w:color w:val="auto"/>
          <w:szCs w:val="21"/>
        </w:rPr>
        <w:t>条意见，对收集到的意见进行整理，形成了意见汇总处理表。</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eastAsia"/>
          <w:color w:val="000000" w:themeColor="text1"/>
          <w14:textFill>
            <w14:solidFill>
              <w14:schemeClr w14:val="tx1"/>
            </w14:solidFill>
          </w14:textFill>
        </w:rPr>
      </w:pPr>
      <w:r>
        <w:rPr>
          <w:rFonts w:hint="eastAsia"/>
          <w:color w:val="auto"/>
          <w:szCs w:val="21"/>
        </w:rPr>
        <w:t>根据相关意见，编制组对征求意见稿进行修改，2022年</w:t>
      </w:r>
      <w:r>
        <w:rPr>
          <w:rFonts w:hint="eastAsia"/>
          <w:color w:val="auto"/>
          <w:szCs w:val="21"/>
          <w:lang w:val="en-US" w:eastAsia="zh-CN"/>
        </w:rPr>
        <w:t>9</w:t>
      </w:r>
      <w:r>
        <w:rPr>
          <w:rFonts w:hint="eastAsia"/>
          <w:color w:val="auto"/>
          <w:szCs w:val="21"/>
        </w:rPr>
        <w:t>月</w:t>
      </w:r>
      <w:r>
        <w:rPr>
          <w:rFonts w:hint="eastAsia"/>
          <w:color w:val="auto"/>
          <w:szCs w:val="21"/>
          <w:lang w:val="en-US" w:eastAsia="zh-CN"/>
        </w:rPr>
        <w:t>底</w:t>
      </w:r>
      <w:r>
        <w:rPr>
          <w:color w:val="auto"/>
          <w:szCs w:val="21"/>
        </w:rPr>
        <w:t>，</w:t>
      </w:r>
      <w:r>
        <w:rPr>
          <w:rFonts w:hint="eastAsia"/>
          <w:color w:val="auto"/>
          <w:szCs w:val="21"/>
        </w:rPr>
        <w:t>完成了《</w:t>
      </w:r>
      <w:r>
        <w:rPr>
          <w:rFonts w:hint="eastAsia" w:ascii="Times New Roman" w:hAnsi="Times New Roman" w:eastAsia="宋体" w:cs="Times New Roman"/>
          <w:kern w:val="2"/>
          <w:sz w:val="21"/>
          <w:szCs w:val="21"/>
        </w:rPr>
        <w:t>铅及铅合金化学分析方法</w:t>
      </w:r>
      <w:r>
        <w:rPr>
          <w:rFonts w:hint="eastAsia" w:cs="Times New Roman"/>
          <w:kern w:val="2"/>
          <w:sz w:val="21"/>
          <w:szCs w:val="21"/>
          <w:lang w:val="en-US" w:eastAsia="zh-CN"/>
        </w:rPr>
        <w:t xml:space="preserve">  </w:t>
      </w:r>
      <w:r>
        <w:rPr>
          <w:rFonts w:hint="eastAsia" w:ascii="Times New Roman" w:hAnsi="Times New Roman" w:eastAsia="宋体" w:cs="Times New Roman"/>
          <w:kern w:val="2"/>
          <w:sz w:val="21"/>
          <w:szCs w:val="21"/>
        </w:rPr>
        <w:t>第18部分：银、铜、铋、砷、锑、锡、锌、铁、镉、镍、镁、铝、钙、硒、碲含量的测定</w:t>
      </w:r>
      <w:r>
        <w:rPr>
          <w:rFonts w:hint="eastAsia" w:cs="Times New Roman"/>
          <w:kern w:val="2"/>
          <w:sz w:val="21"/>
          <w:szCs w:val="21"/>
          <w:lang w:val="en-US" w:eastAsia="zh-CN"/>
        </w:rPr>
        <w:t xml:space="preserve"> </w:t>
      </w:r>
      <w:r>
        <w:rPr>
          <w:rFonts w:hint="eastAsia" w:ascii="Times New Roman" w:hAnsi="Times New Roman" w:eastAsia="宋体" w:cs="Times New Roman"/>
          <w:kern w:val="2"/>
          <w:sz w:val="21"/>
          <w:szCs w:val="21"/>
        </w:rPr>
        <w:t>电感耦合等离子体质谱法</w:t>
      </w:r>
      <w:r>
        <w:rPr>
          <w:rFonts w:hint="eastAsia"/>
          <w:color w:val="auto"/>
          <w:szCs w:val="21"/>
        </w:rPr>
        <w:t>》（送审稿）。</w:t>
      </w: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hint="eastAsia" w:ascii="黑体" w:hAnsi="黑体" w:eastAsia="黑体"/>
        </w:rPr>
      </w:pPr>
      <w:r>
        <w:rPr>
          <w:rFonts w:hint="eastAsia" w:ascii="黑体" w:hAnsi="黑体" w:eastAsia="黑体"/>
          <w:lang w:val="en-US" w:eastAsia="zh-CN"/>
        </w:rPr>
        <w:t>5</w:t>
      </w:r>
      <w:r>
        <w:rPr>
          <w:rFonts w:ascii="黑体" w:hAnsi="黑体" w:eastAsia="黑体"/>
        </w:rPr>
        <w:t xml:space="preserve">.3 </w:t>
      </w:r>
      <w:r>
        <w:rPr>
          <w:rFonts w:hint="eastAsia" w:ascii="黑体" w:hAnsi="黑体" w:eastAsia="黑体"/>
          <w:lang w:val="en-US" w:eastAsia="zh-CN"/>
        </w:rPr>
        <w:t>审查</w:t>
      </w:r>
      <w:r>
        <w:rPr>
          <w:rFonts w:hint="eastAsia" w:ascii="黑体" w:hAnsi="黑体" w:eastAsia="黑体"/>
        </w:rPr>
        <w:t>阶段</w:t>
      </w:r>
    </w:p>
    <w:p>
      <w:pPr>
        <w:pStyle w:val="34"/>
        <w:numPr>
          <w:ilvl w:val="0"/>
          <w:numId w:val="2"/>
        </w:numPr>
        <w:adjustRightInd w:val="0"/>
        <w:snapToGrid w:val="0"/>
        <w:spacing w:after="0" w:line="312" w:lineRule="auto"/>
        <w:rPr>
          <w:rFonts w:hint="eastAsia" w:ascii="宋体" w:hAnsi="宋体" w:eastAsiaTheme="minorEastAsia" w:cstheme="minorBidi"/>
          <w:color w:val="auto"/>
          <w:kern w:val="2"/>
          <w:sz w:val="21"/>
          <w:szCs w:val="21"/>
          <w:lang w:val="en-US" w:eastAsia="zh-CN" w:bidi="ar-SA"/>
        </w:rPr>
      </w:pPr>
      <w:r>
        <w:rPr>
          <w:rFonts w:hint="eastAsia" w:ascii="宋体" w:hAnsi="宋体" w:eastAsiaTheme="minorEastAsia" w:cstheme="minorBidi"/>
          <w:color w:val="auto"/>
          <w:kern w:val="2"/>
          <w:sz w:val="21"/>
          <w:szCs w:val="21"/>
          <w:lang w:val="en-US" w:eastAsia="zh-CN" w:bidi="ar-SA"/>
        </w:rPr>
        <w:t>技术专家审查</w:t>
      </w:r>
    </w:p>
    <w:p>
      <w:pPr>
        <w:widowControl/>
        <w:adjustRightInd w:val="0"/>
        <w:snapToGrid w:val="0"/>
        <w:spacing w:line="312" w:lineRule="auto"/>
        <w:ind w:firstLine="420" w:firstLineChars="200"/>
        <w:rPr>
          <w:rFonts w:hint="default" w:ascii="Times New Roman" w:hAnsi="Times New Roman" w:cs="Times New Roman"/>
          <w:color w:val="auto"/>
          <w:szCs w:val="21"/>
        </w:rPr>
      </w:pPr>
      <w:r>
        <w:rPr>
          <w:rFonts w:hint="default" w:ascii="Times New Roman" w:hAnsi="Times New Roman" w:cs="Times New Roman"/>
          <w:sz w:val="21"/>
          <w:szCs w:val="21"/>
        </w:rPr>
        <w:t>20</w:t>
      </w:r>
      <w:r>
        <w:rPr>
          <w:rFonts w:hint="default" w:ascii="Times New Roman" w:hAnsi="Times New Roman" w:cs="Times New Roman"/>
          <w:sz w:val="21"/>
          <w:szCs w:val="21"/>
          <w:lang w:val="en-US" w:eastAsia="zh-CN"/>
        </w:rPr>
        <w:t>23</w:t>
      </w:r>
      <w:r>
        <w:rPr>
          <w:rFonts w:hint="default" w:ascii="Times New Roman" w:hAnsi="Times New Roman" w:cs="Times New Roman"/>
          <w:sz w:val="21"/>
          <w:szCs w:val="21"/>
        </w:rPr>
        <w:t>年</w:t>
      </w:r>
      <w:r>
        <w:rPr>
          <w:rFonts w:hint="eastAsia" w:cs="Times New Roman"/>
          <w:sz w:val="21"/>
          <w:szCs w:val="21"/>
          <w:lang w:val="en-US" w:eastAsia="zh-CN"/>
        </w:rPr>
        <w:t>9</w:t>
      </w:r>
      <w:r>
        <w:rPr>
          <w:rFonts w:hint="default" w:ascii="Times New Roman" w:hAnsi="Times New Roman" w:cs="Times New Roman"/>
          <w:sz w:val="21"/>
          <w:szCs w:val="21"/>
        </w:rPr>
        <w:t>月</w:t>
      </w:r>
      <w:r>
        <w:rPr>
          <w:rFonts w:hint="eastAsia" w:cs="Times New Roman"/>
          <w:sz w:val="21"/>
          <w:szCs w:val="21"/>
          <w:lang w:val="en-US" w:eastAsia="zh-CN"/>
        </w:rPr>
        <w:t>25</w:t>
      </w:r>
      <w:r>
        <w:rPr>
          <w:rFonts w:hint="default" w:ascii="Times New Roman" w:hAnsi="Times New Roman" w:cs="Times New Roman"/>
          <w:sz w:val="21"/>
          <w:szCs w:val="21"/>
        </w:rPr>
        <w:t>日</w:t>
      </w:r>
      <w:r>
        <w:rPr>
          <w:rFonts w:hint="default" w:ascii="Times New Roman" w:hAnsi="Times New Roman" w:cs="Times New Roman"/>
          <w:sz w:val="21"/>
          <w:szCs w:val="21"/>
          <w:lang w:val="en-US" w:eastAsia="zh-CN"/>
        </w:rPr>
        <w:t>~</w:t>
      </w:r>
      <w:r>
        <w:rPr>
          <w:rFonts w:hint="eastAsia" w:cs="Times New Roman"/>
          <w:sz w:val="21"/>
          <w:szCs w:val="21"/>
          <w:lang w:val="en-US" w:eastAsia="zh-CN"/>
        </w:rPr>
        <w:t>27</w:t>
      </w:r>
      <w:r>
        <w:rPr>
          <w:rFonts w:hint="default" w:ascii="Times New Roman" w:hAnsi="Times New Roman" w:cs="Times New Roman"/>
          <w:sz w:val="21"/>
          <w:szCs w:val="21"/>
          <w:lang w:val="en-US" w:eastAsia="zh-CN"/>
        </w:rPr>
        <w:t>日</w:t>
      </w:r>
      <w:r>
        <w:rPr>
          <w:rFonts w:hint="default" w:ascii="Times New Roman" w:hAnsi="Times New Roman" w:cs="Times New Roman"/>
          <w:szCs w:val="21"/>
        </w:rPr>
        <w:t>在</w:t>
      </w:r>
      <w:r>
        <w:rPr>
          <w:rFonts w:hint="eastAsia" w:cs="Times New Roman"/>
          <w:szCs w:val="21"/>
          <w:lang w:val="en-US" w:eastAsia="zh-CN"/>
        </w:rPr>
        <w:t>重庆</w:t>
      </w:r>
      <w:r>
        <w:rPr>
          <w:rFonts w:hint="default" w:ascii="Times New Roman" w:hAnsi="Times New Roman" w:cs="Times New Roman"/>
          <w:szCs w:val="21"/>
        </w:rPr>
        <w:t>召开标准工作会议，对本标准进行了审定。来自</w:t>
      </w:r>
      <w:r>
        <w:rPr>
          <w:rFonts w:hint="eastAsia" w:cs="Times New Roman"/>
          <w:szCs w:val="21"/>
          <w:lang w:val="en-US" w:eastAsia="zh-CN"/>
        </w:rPr>
        <w:t>XXXXXX</w:t>
      </w:r>
      <w:r>
        <w:rPr>
          <w:rFonts w:hint="default" w:ascii="Times New Roman" w:hAnsi="Times New Roman" w:cs="Times New Roman"/>
          <w:color w:val="auto"/>
          <w:szCs w:val="21"/>
        </w:rPr>
        <w:t>等</w:t>
      </w:r>
      <w:r>
        <w:rPr>
          <w:rFonts w:hint="eastAsia" w:cs="Times New Roman"/>
          <w:color w:val="auto"/>
          <w:szCs w:val="21"/>
          <w:lang w:val="en-US" w:eastAsia="zh-CN"/>
        </w:rPr>
        <w:t>XXX</w:t>
      </w:r>
      <w:r>
        <w:rPr>
          <w:rFonts w:hint="default" w:ascii="Times New Roman" w:hAnsi="Times New Roman" w:cs="Times New Roman"/>
          <w:color w:val="auto"/>
          <w:szCs w:val="21"/>
          <w:lang w:val="en-US" w:eastAsia="zh-CN"/>
        </w:rPr>
        <w:t>家</w:t>
      </w:r>
      <w:r>
        <w:rPr>
          <w:rFonts w:hint="default" w:ascii="Times New Roman" w:hAnsi="Times New Roman" w:cs="Times New Roman"/>
          <w:color w:val="auto"/>
          <w:szCs w:val="21"/>
        </w:rPr>
        <w:t>单位的</w:t>
      </w:r>
      <w:r>
        <w:rPr>
          <w:rFonts w:hint="eastAsia" w:cs="Times New Roman"/>
          <w:color w:val="auto"/>
          <w:szCs w:val="21"/>
          <w:lang w:val="en-US" w:eastAsia="zh-CN"/>
        </w:rPr>
        <w:t>XX</w:t>
      </w:r>
      <w:r>
        <w:rPr>
          <w:rFonts w:hint="default" w:ascii="Times New Roman" w:hAnsi="Times New Roman" w:cs="Times New Roman"/>
          <w:color w:val="auto"/>
          <w:szCs w:val="21"/>
        </w:rPr>
        <w:t>名</w:t>
      </w:r>
      <w:r>
        <w:rPr>
          <w:rFonts w:hint="default" w:ascii="Times New Roman" w:hAnsi="Times New Roman" w:cs="Times New Roman"/>
          <w:color w:val="auto"/>
          <w:szCs w:val="21"/>
          <w:lang w:val="en-US" w:eastAsia="zh-CN"/>
        </w:rPr>
        <w:t>专家</w:t>
      </w:r>
      <w:r>
        <w:rPr>
          <w:rFonts w:hint="default" w:ascii="Times New Roman" w:hAnsi="Times New Roman" w:cs="Times New Roman" w:eastAsiaTheme="minorEastAsia"/>
          <w:color w:val="auto"/>
          <w:kern w:val="2"/>
          <w:sz w:val="21"/>
          <w:szCs w:val="21"/>
          <w:lang w:val="en-US" w:eastAsia="zh-CN" w:bidi="ar-SA"/>
        </w:rPr>
        <w:t>（详见有色金属标准审定会专家签名表）</w:t>
      </w:r>
      <w:r>
        <w:rPr>
          <w:rFonts w:hint="default" w:ascii="Times New Roman" w:hAnsi="Times New Roman" w:cs="Times New Roman"/>
          <w:color w:val="auto"/>
          <w:szCs w:val="21"/>
        </w:rPr>
        <w:t>参加了会议，会议对标准送审稿进行了审定</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见《审定会会议纪要》。</w:t>
      </w:r>
    </w:p>
    <w:p>
      <w:pPr>
        <w:pStyle w:val="34"/>
        <w:numPr>
          <w:ilvl w:val="0"/>
          <w:numId w:val="0"/>
        </w:numPr>
        <w:adjustRightInd w:val="0"/>
        <w:snapToGrid w:val="0"/>
        <w:spacing w:after="0" w:line="312" w:lineRule="auto"/>
        <w:ind w:firstLine="420" w:firstLineChars="200"/>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 xml:space="preserve">与会专家对 </w:t>
      </w:r>
      <w:bookmarkStart w:id="2" w:name="OLE_LINK4"/>
      <w:r>
        <w:rPr>
          <w:rFonts w:hint="default" w:ascii="Times New Roman" w:hAnsi="Times New Roman" w:cs="Times New Roman" w:eastAsiaTheme="minorEastAsia"/>
          <w:color w:val="auto"/>
          <w:kern w:val="2"/>
          <w:sz w:val="21"/>
          <w:szCs w:val="21"/>
          <w:lang w:val="en-US" w:eastAsia="zh-CN" w:bidi="ar-SA"/>
        </w:rPr>
        <w:t>《</w:t>
      </w:r>
      <w:r>
        <w:rPr>
          <w:rFonts w:hint="eastAsia" w:ascii="Times New Roman" w:hAnsi="Times New Roman" w:eastAsia="宋体" w:cs="Times New Roman"/>
          <w:kern w:val="2"/>
          <w:sz w:val="21"/>
          <w:szCs w:val="21"/>
        </w:rPr>
        <w:t>铅及铅合金化学分析方法</w:t>
      </w:r>
      <w:r>
        <w:rPr>
          <w:rFonts w:hint="eastAsia" w:cs="Times New Roman"/>
          <w:kern w:val="2"/>
          <w:sz w:val="21"/>
          <w:szCs w:val="21"/>
          <w:lang w:val="en-US" w:eastAsia="zh-CN"/>
        </w:rPr>
        <w:t xml:space="preserve">  </w:t>
      </w:r>
      <w:r>
        <w:rPr>
          <w:rFonts w:hint="eastAsia" w:ascii="Times New Roman" w:hAnsi="Times New Roman" w:eastAsia="宋体" w:cs="Times New Roman"/>
          <w:kern w:val="2"/>
          <w:sz w:val="21"/>
          <w:szCs w:val="21"/>
        </w:rPr>
        <w:t>第18部分：银、铜、铋、砷、锑、锡、锌、铁、镉、镍、镁、铝、钙、硒、碲含量的测定</w:t>
      </w:r>
      <w:r>
        <w:rPr>
          <w:rFonts w:hint="eastAsia" w:cs="Times New Roman"/>
          <w:kern w:val="2"/>
          <w:sz w:val="21"/>
          <w:szCs w:val="21"/>
          <w:lang w:val="en-US" w:eastAsia="zh-CN"/>
        </w:rPr>
        <w:t xml:space="preserve"> </w:t>
      </w:r>
      <w:r>
        <w:rPr>
          <w:rFonts w:hint="eastAsia" w:ascii="Times New Roman" w:hAnsi="Times New Roman" w:eastAsia="宋体" w:cs="Times New Roman"/>
          <w:kern w:val="2"/>
          <w:sz w:val="21"/>
          <w:szCs w:val="21"/>
        </w:rPr>
        <w:t>电感耦合等离子体质谱法</w:t>
      </w:r>
      <w:r>
        <w:rPr>
          <w:rFonts w:hint="default" w:ascii="Times New Roman" w:hAnsi="Times New Roman" w:cs="Times New Roman" w:eastAsiaTheme="minorEastAsia"/>
          <w:color w:val="C00000"/>
          <w:kern w:val="2"/>
          <w:sz w:val="21"/>
          <w:szCs w:val="21"/>
          <w:lang w:val="en-US" w:eastAsia="zh-CN" w:bidi="ar-SA"/>
        </w:rPr>
        <w:t>》</w:t>
      </w:r>
      <w:bookmarkEnd w:id="2"/>
      <w:r>
        <w:rPr>
          <w:rFonts w:hint="default" w:ascii="Times New Roman" w:hAnsi="Times New Roman" w:cs="Times New Roman" w:eastAsiaTheme="minorEastAsia"/>
          <w:color w:val="auto"/>
          <w:kern w:val="2"/>
          <w:sz w:val="21"/>
          <w:szCs w:val="21"/>
          <w:lang w:val="en-US" w:eastAsia="zh-CN" w:bidi="ar-SA"/>
        </w:rPr>
        <w:t>标准的送审稿进行了认真审定，提出多条修改意见，编制小组会后按照专家的修改意见进行了修改，完善了《送审稿》及《送审稿编制说明》。</w:t>
      </w:r>
    </w:p>
    <w:p>
      <w:pPr>
        <w:pStyle w:val="34"/>
        <w:numPr>
          <w:ilvl w:val="0"/>
          <w:numId w:val="2"/>
        </w:numPr>
        <w:adjustRightInd w:val="0"/>
        <w:snapToGrid w:val="0"/>
        <w:spacing w:after="0" w:line="312" w:lineRule="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委员审查</w:t>
      </w:r>
    </w:p>
    <w:p>
      <w:pPr>
        <w:pStyle w:val="34"/>
        <w:widowControl w:val="0"/>
        <w:numPr>
          <w:ilvl w:val="0"/>
          <w:numId w:val="0"/>
        </w:numPr>
        <w:tabs>
          <w:tab w:val="left" w:pos="312"/>
        </w:tabs>
        <w:adjustRightInd w:val="0"/>
        <w:snapToGrid w:val="0"/>
        <w:spacing w:after="0" w:line="312" w:lineRule="auto"/>
        <w:jc w:val="both"/>
        <w:rPr>
          <w:rFonts w:hint="default" w:ascii="Times New Roman" w:hAnsi="Times New Roman" w:cs="Times New Roman" w:eastAsiaTheme="minorEastAsia"/>
          <w:color w:val="auto"/>
          <w:kern w:val="2"/>
          <w:sz w:val="21"/>
          <w:szCs w:val="21"/>
          <w:lang w:val="en-US" w:eastAsia="zh-CN" w:bidi="ar-SA"/>
        </w:rPr>
      </w:pP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hint="eastAsia" w:ascii="黑体" w:hAnsi="黑体" w:eastAsia="黑体"/>
        </w:rPr>
      </w:pPr>
    </w:p>
    <w:p>
      <w:pPr>
        <w:keepNext w:val="0"/>
        <w:keepLines w:val="0"/>
        <w:pageBreakBefore w:val="0"/>
        <w:kinsoku/>
        <w:wordWrap/>
        <w:overflowPunct/>
        <w:topLinePunct w:val="0"/>
        <w:autoSpaceDE/>
        <w:autoSpaceDN/>
        <w:bidi w:val="0"/>
        <w:spacing w:before="156" w:beforeLines="50" w:after="156" w:afterLines="50" w:line="288" w:lineRule="auto"/>
        <w:textAlignment w:val="auto"/>
        <w:rPr>
          <w:rFonts w:hint="eastAsia" w:ascii="黑体" w:hAnsi="黑体" w:eastAsia="黑体"/>
        </w:rPr>
      </w:pPr>
      <w:r>
        <w:rPr>
          <w:rFonts w:hint="eastAsia" w:ascii="黑体" w:hAnsi="黑体" w:eastAsia="黑体"/>
          <w:lang w:val="en-US" w:eastAsia="zh-CN"/>
        </w:rPr>
        <w:t>5</w:t>
      </w:r>
      <w:r>
        <w:rPr>
          <w:rFonts w:ascii="黑体" w:hAnsi="黑体" w:eastAsia="黑体"/>
        </w:rPr>
        <w:t xml:space="preserve">.4 </w:t>
      </w:r>
      <w:r>
        <w:rPr>
          <w:rFonts w:hint="eastAsia" w:ascii="黑体" w:hAnsi="黑体" w:eastAsia="黑体"/>
        </w:rPr>
        <w:t>报批阶段</w:t>
      </w:r>
    </w:p>
    <w:p>
      <w:pPr>
        <w:keepNext w:val="0"/>
        <w:keepLines w:val="0"/>
        <w:pageBreakBefore w:val="0"/>
        <w:kinsoku/>
        <w:wordWrap/>
        <w:overflowPunct/>
        <w:topLinePunct w:val="0"/>
        <w:autoSpaceDE/>
        <w:autoSpaceDN/>
        <w:bidi w:val="0"/>
        <w:spacing w:before="156" w:beforeLines="50" w:after="156" w:afterLines="50" w:line="288" w:lineRule="auto"/>
        <w:textAlignment w:val="auto"/>
        <w:rPr>
          <w:rFonts w:hint="eastAsia" w:ascii="黑体" w:hAnsi="黑体" w:eastAsia="黑体"/>
        </w:rPr>
      </w:pPr>
    </w:p>
    <w:p>
      <w:pPr>
        <w:keepNext w:val="0"/>
        <w:keepLines w:val="0"/>
        <w:pageBreakBefore w:val="0"/>
        <w:kinsoku/>
        <w:wordWrap/>
        <w:overflowPunct/>
        <w:topLinePunct w:val="0"/>
        <w:autoSpaceDE/>
        <w:autoSpaceDN/>
        <w:bidi w:val="0"/>
        <w:spacing w:before="156" w:beforeLines="50" w:after="156" w:afterLines="50" w:line="288" w:lineRule="auto"/>
        <w:textAlignment w:val="auto"/>
        <w:rPr>
          <w:rFonts w:hint="eastAsia" w:ascii="黑体" w:hAnsi="黑体" w:eastAsia="黑体"/>
        </w:rPr>
      </w:pP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二、标准编制原则</w:t>
      </w:r>
    </w:p>
    <w:p>
      <w:pPr>
        <w:keepNext w:val="0"/>
        <w:keepLines w:val="0"/>
        <w:pageBreakBefore w:val="0"/>
        <w:tabs>
          <w:tab w:val="center" w:pos="5086"/>
        </w:tabs>
        <w:kinsoku/>
        <w:wordWrap/>
        <w:overflowPunct/>
        <w:topLinePunct w:val="0"/>
        <w:autoSpaceDE/>
        <w:autoSpaceDN/>
        <w:bidi w:val="0"/>
        <w:adjustRightInd w:val="0"/>
        <w:snapToGrid w:val="0"/>
        <w:spacing w:line="288" w:lineRule="auto"/>
        <w:ind w:firstLine="42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本标准起草过程中遵循以下原则：</w:t>
      </w:r>
    </w:p>
    <w:p>
      <w:pPr>
        <w:keepNext w:val="0"/>
        <w:keepLines w:val="0"/>
        <w:pageBreakBefore w:val="0"/>
        <w:tabs>
          <w:tab w:val="center" w:pos="5086"/>
        </w:tabs>
        <w:kinsoku/>
        <w:wordWrap/>
        <w:overflowPunct/>
        <w:topLinePunct w:val="0"/>
        <w:autoSpaceDE/>
        <w:autoSpaceDN/>
        <w:bidi w:val="0"/>
        <w:adjustRightInd w:val="0"/>
        <w:snapToGrid w:val="0"/>
        <w:spacing w:line="288"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（一）规范性原则：</w:t>
      </w:r>
      <w:r>
        <w:rPr>
          <w:color w:val="000000" w:themeColor="text1"/>
          <w14:textFill>
            <w14:solidFill>
              <w14:schemeClr w14:val="tx1"/>
            </w14:solidFill>
          </w14:textFill>
        </w:rPr>
        <w:t>本标准是根据GB/T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1.1-2020《标准化工作导则 第1部分:标准化文件的结构和起草规则》和GB/T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20001.4-20</w:t>
      </w:r>
      <w:r>
        <w:rPr>
          <w:rFonts w:hint="eastAsia"/>
          <w:color w:val="000000" w:themeColor="text1"/>
          <w14:textFill>
            <w14:solidFill>
              <w14:schemeClr w14:val="tx1"/>
            </w14:solidFill>
          </w14:textFill>
        </w:rPr>
        <w:t>15</w:t>
      </w:r>
      <w:r>
        <w:rPr>
          <w:color w:val="000000" w:themeColor="text1"/>
          <w14:textFill>
            <w14:solidFill>
              <w14:schemeClr w14:val="tx1"/>
            </w14:solidFill>
          </w14:textFill>
        </w:rPr>
        <w:t>《标准编写规则 第4部分：</w:t>
      </w:r>
      <w:r>
        <w:rPr>
          <w:rFonts w:hint="eastAsia"/>
          <w:color w:val="000000" w:themeColor="text1"/>
          <w14:textFill>
            <w14:solidFill>
              <w14:schemeClr w14:val="tx1"/>
            </w14:solidFill>
          </w14:textFill>
        </w:rPr>
        <w:t>试验方法标准</w:t>
      </w:r>
      <w:r>
        <w:rPr>
          <w:color w:val="000000" w:themeColor="text1"/>
          <w14:textFill>
            <w14:solidFill>
              <w14:schemeClr w14:val="tx1"/>
            </w14:solidFill>
          </w14:textFill>
        </w:rPr>
        <w:t>》的要求进行编写的</w:t>
      </w:r>
      <w:r>
        <w:rPr>
          <w:rFonts w:hint="eastAsia"/>
          <w:color w:val="000000" w:themeColor="text1"/>
          <w14:textFill>
            <w14:solidFill>
              <w14:schemeClr w14:val="tx1"/>
            </w14:solidFill>
          </w14:textFill>
        </w:rPr>
        <w:t>；并</w:t>
      </w:r>
      <w:r>
        <w:rPr>
          <w:color w:val="000000" w:themeColor="text1"/>
          <w14:textFill>
            <w14:solidFill>
              <w14:schemeClr w14:val="tx1"/>
            </w14:solidFill>
          </w14:textFill>
        </w:rPr>
        <w:t>按照GB/T 6379.2-2004</w:t>
      </w:r>
      <w:r>
        <w:rPr>
          <w:rFonts w:hint="eastAsia"/>
          <w:color w:val="000000" w:themeColor="text1"/>
          <w14:textFill>
            <w14:solidFill>
              <w14:schemeClr w14:val="tx1"/>
            </w14:solidFill>
          </w14:textFill>
        </w:rPr>
        <w:t>《测量方法与结果的准确度》进行数理统计</w:t>
      </w:r>
      <w:r>
        <w:rPr>
          <w:color w:val="000000" w:themeColor="text1"/>
          <w14:textFill>
            <w14:solidFill>
              <w14:schemeClr w14:val="tx1"/>
            </w14:solidFill>
          </w14:textFill>
        </w:rPr>
        <w:t>分析。</w:t>
      </w:r>
    </w:p>
    <w:p>
      <w:pPr>
        <w:keepNext w:val="0"/>
        <w:keepLines w:val="0"/>
        <w:pageBreakBefore w:val="0"/>
        <w:tabs>
          <w:tab w:val="center" w:pos="5086"/>
        </w:tabs>
        <w:kinsoku/>
        <w:wordWrap/>
        <w:overflowPunct/>
        <w:topLinePunct w:val="0"/>
        <w:autoSpaceDE/>
        <w:autoSpaceDN/>
        <w:bidi w:val="0"/>
        <w:adjustRightInd w:val="0"/>
        <w:snapToGrid w:val="0"/>
        <w:spacing w:line="288"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（二）先进性：标准采用电感耦合等离子体质谱法测定</w:t>
      </w:r>
      <w:r>
        <w:rPr>
          <w:rFonts w:hint="eastAsia"/>
          <w:color w:val="000000" w:themeColor="text1"/>
          <w:lang w:val="en-US" w:eastAsia="zh-CN"/>
          <w14:textFill>
            <w14:solidFill>
              <w14:schemeClr w14:val="tx1"/>
            </w14:solidFill>
          </w14:textFill>
        </w:rPr>
        <w:t>铅及铅合金</w:t>
      </w:r>
      <w:r>
        <w:rPr>
          <w:rFonts w:hint="eastAsia"/>
          <w:color w:val="000000" w:themeColor="text1"/>
          <w14:textFill>
            <w14:solidFill>
              <w14:schemeClr w14:val="tx1"/>
            </w14:solidFill>
          </w14:textFill>
        </w:rPr>
        <w:t>中</w:t>
      </w:r>
      <w:r>
        <w:rPr>
          <w:rFonts w:hint="eastAsia" w:ascii="Times New Roman" w:hAnsi="Times New Roman" w:eastAsia="宋体" w:cs="Times New Roman"/>
          <w:kern w:val="2"/>
          <w:sz w:val="21"/>
          <w:szCs w:val="21"/>
        </w:rPr>
        <w:t>银、铜、铋、砷、锑、锡、锌、铁、镉、镍、镁、铝、钙、硒、碲</w:t>
      </w:r>
      <w:r>
        <w:rPr>
          <w:rFonts w:hint="eastAsia" w:cs="Times New Roman"/>
          <w:kern w:val="2"/>
          <w:sz w:val="21"/>
          <w:szCs w:val="21"/>
          <w:lang w:val="en-US" w:eastAsia="zh-CN"/>
        </w:rPr>
        <w:t>等15种杂质元素</w:t>
      </w:r>
      <w:r>
        <w:rPr>
          <w:rFonts w:hint="eastAsia" w:hAnsi="宋体"/>
          <w:szCs w:val="20"/>
        </w:rPr>
        <w:t>含量</w:t>
      </w:r>
      <w:r>
        <w:rPr>
          <w:rFonts w:hint="eastAsia"/>
          <w:color w:val="000000" w:themeColor="text1"/>
          <w14:textFill>
            <w14:solidFill>
              <w14:schemeClr w14:val="tx1"/>
            </w14:solidFill>
          </w14:textFill>
        </w:rPr>
        <w:t>。本标准</w:t>
      </w:r>
      <w:r>
        <w:rPr>
          <w:color w:val="000000" w:themeColor="text1"/>
          <w14:textFill>
            <w14:solidFill>
              <w14:schemeClr w14:val="tx1"/>
            </w14:solidFill>
          </w14:textFill>
        </w:rPr>
        <w:t>在国内外均为首次制定，具有</w:t>
      </w:r>
      <w:r>
        <w:rPr>
          <w:rFonts w:hint="eastAsia"/>
          <w:color w:val="000000" w:themeColor="text1"/>
          <w14:textFill>
            <w14:solidFill>
              <w14:schemeClr w14:val="tx1"/>
            </w14:solidFill>
          </w14:textFill>
        </w:rPr>
        <w:t>前瞻性和</w:t>
      </w:r>
      <w:r>
        <w:rPr>
          <w:color w:val="000000" w:themeColor="text1"/>
          <w14:textFill>
            <w14:solidFill>
              <w14:schemeClr w14:val="tx1"/>
            </w14:solidFill>
          </w14:textFill>
        </w:rPr>
        <w:t>引领性</w:t>
      </w:r>
      <w:r>
        <w:rPr>
          <w:rFonts w:hint="eastAsia"/>
          <w:color w:val="000000" w:themeColor="text1"/>
          <w14:textFill>
            <w14:solidFill>
              <w14:schemeClr w14:val="tx1"/>
            </w14:solidFill>
          </w14:textFill>
        </w:rPr>
        <w:t>。</w:t>
      </w:r>
    </w:p>
    <w:p>
      <w:pPr>
        <w:keepNext w:val="0"/>
        <w:keepLines w:val="0"/>
        <w:pageBreakBefore w:val="0"/>
        <w:tabs>
          <w:tab w:val="center" w:pos="5086"/>
        </w:tabs>
        <w:kinsoku/>
        <w:wordWrap/>
        <w:overflowPunct/>
        <w:topLinePunct w:val="0"/>
        <w:autoSpaceDE/>
        <w:autoSpaceDN/>
        <w:bidi w:val="0"/>
        <w:adjustRightInd w:val="0"/>
        <w:snapToGrid w:val="0"/>
        <w:spacing w:line="288"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（三）适用性：本标准以满足我国</w:t>
      </w:r>
      <w:r>
        <w:rPr>
          <w:rFonts w:hint="eastAsia"/>
          <w:color w:val="000000" w:themeColor="text1"/>
          <w:lang w:val="en-US" w:eastAsia="zh-CN"/>
          <w14:textFill>
            <w14:solidFill>
              <w14:schemeClr w14:val="tx1"/>
            </w14:solidFill>
          </w14:textFill>
        </w:rPr>
        <w:t>铅及铅合金</w:t>
      </w:r>
      <w:r>
        <w:rPr>
          <w:rFonts w:hint="eastAsia"/>
          <w:color w:val="000000" w:themeColor="text1"/>
          <w14:textFill>
            <w14:solidFill>
              <w14:schemeClr w14:val="tx1"/>
            </w14:solidFill>
          </w14:textFill>
        </w:rPr>
        <w:t>产品实际检测需求为原则，宜于应用</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标准适用于GB/T 469《铅锭》、GB/T 26045《蓄电池板栅用铅钙合金锭》、GB/T 26011《电缆护套用铅合金锭》、GB/T 21181《再生铅及铅合金锭》、YS/T 915《蓄电池板栅用铅锑合金锭》、YS/T 498《电解沉积用铅阳极板》、YS/T 636《铅及铅锑合金棒和线材》等多种铅</w:t>
      </w:r>
      <w:r>
        <w:rPr>
          <w:rFonts w:hint="eastAsia"/>
          <w:color w:val="000000" w:themeColor="text1"/>
          <w14:textFill>
            <w14:solidFill>
              <w14:schemeClr w14:val="tx1"/>
            </w14:solidFill>
          </w14:textFill>
        </w:rPr>
        <w:t>产品</w:t>
      </w:r>
      <w:r>
        <w:rPr>
          <w:rFonts w:hint="eastAsia"/>
          <w:color w:val="000000" w:themeColor="text1"/>
          <w:lang w:val="en-US" w:eastAsia="zh-CN"/>
          <w14:textFill>
            <w14:solidFill>
              <w14:schemeClr w14:val="tx1"/>
            </w14:solidFill>
          </w14:textFill>
        </w:rPr>
        <w:t>中</w:t>
      </w:r>
      <w:r>
        <w:rPr>
          <w:rFonts w:hint="eastAsia"/>
          <w:color w:val="000000" w:themeColor="text1"/>
          <w14:textFill>
            <w14:solidFill>
              <w14:schemeClr w14:val="tx1"/>
            </w14:solidFill>
          </w14:textFill>
        </w:rPr>
        <w:t>杂质元素的测定，</w:t>
      </w:r>
      <w:r>
        <w:rPr>
          <w:rFonts w:hint="eastAsia"/>
          <w:color w:val="000000" w:themeColor="text1"/>
          <w:lang w:val="en-US" w:eastAsia="zh-CN"/>
          <w14:textFill>
            <w14:solidFill>
              <w14:schemeClr w14:val="tx1"/>
            </w14:solidFill>
          </w14:textFill>
        </w:rPr>
        <w:t>有利于快速确定产品牌号，</w:t>
      </w:r>
      <w:r>
        <w:rPr>
          <w:color w:val="000000" w:themeColor="text1"/>
          <w14:textFill>
            <w14:solidFill>
              <w14:schemeClr w14:val="tx1"/>
            </w14:solidFill>
          </w14:textFill>
        </w:rPr>
        <w:t>对生产企业</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技术进步产生积极的促进作用。</w:t>
      </w:r>
    </w:p>
    <w:p>
      <w:pPr>
        <w:keepNext w:val="0"/>
        <w:keepLines w:val="0"/>
        <w:pageBreakBefore w:val="0"/>
        <w:tabs>
          <w:tab w:val="center" w:pos="5086"/>
        </w:tabs>
        <w:kinsoku/>
        <w:wordWrap/>
        <w:overflowPunct/>
        <w:topLinePunct w:val="0"/>
        <w:autoSpaceDE/>
        <w:autoSpaceDN/>
        <w:bidi w:val="0"/>
        <w:adjustRightInd w:val="0"/>
        <w:snapToGrid w:val="0"/>
        <w:spacing w:line="288"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（四）合规性</w:t>
      </w:r>
      <w:r>
        <w:rPr>
          <w:color w:val="000000" w:themeColor="text1"/>
          <w14:textFill>
            <w14:solidFill>
              <w14:schemeClr w14:val="tx1"/>
            </w14:solidFill>
          </w14:textFill>
        </w:rPr>
        <w:t>：充分考虑国家法律、安全、卫生、环保法规的要求。</w:t>
      </w: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textAlignment w:val="auto"/>
        <w:rPr>
          <w:rFonts w:hint="eastAsia"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三、标准主要内容的确定依据</w:t>
      </w:r>
    </w:p>
    <w:p>
      <w:pPr>
        <w:keepNext w:val="0"/>
        <w:keepLines w:val="0"/>
        <w:pageBreakBefore w:val="0"/>
        <w:kinsoku/>
        <w:wordWrap/>
        <w:overflowPunct/>
        <w:topLinePunct w:val="0"/>
        <w:autoSpaceDE/>
        <w:autoSpaceDN/>
        <w:bidi w:val="0"/>
        <w:adjustRightInd w:val="0"/>
        <w:snapToGrid w:val="0"/>
        <w:spacing w:before="156" w:beforeLines="50" w:after="156" w:afterLines="50" w:line="288" w:lineRule="auto"/>
        <w:ind w:firstLine="420"/>
        <w:textAlignment w:val="auto"/>
        <w:rPr>
          <w:rFonts w:hint="eastAsia" w:ascii="黑体" w:hAnsi="黑体" w:eastAsia="黑体" w:cs="Times New Roman"/>
          <w:color w:val="000000" w:themeColor="text1"/>
          <w:kern w:val="0"/>
          <w:sz w:val="21"/>
          <w:szCs w:val="20"/>
          <w:lang w:val="en-US" w:eastAsia="zh-CN" w:bidi="ar-SA"/>
          <w14:textFill>
            <w14:solidFill>
              <w14:schemeClr w14:val="tx1"/>
            </w14:solidFill>
          </w14:textFill>
        </w:rPr>
      </w:pPr>
      <w:r>
        <w:rPr>
          <w:rFonts w:hint="eastAsia" w:ascii="黑体" w:hAnsi="黑体" w:eastAsia="黑体" w:cs="Times New Roman"/>
          <w:color w:val="000000" w:themeColor="text1"/>
          <w:kern w:val="0"/>
          <w:sz w:val="21"/>
          <w:szCs w:val="20"/>
          <w:lang w:val="en-US" w:eastAsia="zh-CN" w:bidi="ar-SA"/>
          <w14:textFill>
            <w14:solidFill>
              <w14:schemeClr w14:val="tx1"/>
            </w14:solidFill>
          </w14:textFill>
        </w:rPr>
        <w:t>本标准为首次制定标准。在标准的制定过程中对以下几个方面进行了确认：</w:t>
      </w:r>
    </w:p>
    <w:p>
      <w:pPr>
        <w:pStyle w:val="120"/>
        <w:keepNext w:val="0"/>
        <w:keepLines w:val="0"/>
        <w:pageBreakBefore w:val="0"/>
        <w:numPr>
          <w:ilvl w:val="0"/>
          <w:numId w:val="3"/>
        </w:numPr>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Ansi="黑体"/>
          <w:color w:val="000000" w:themeColor="text1"/>
          <w14:textFill>
            <w14:solidFill>
              <w14:schemeClr w14:val="tx1"/>
            </w14:solidFill>
          </w14:textFill>
        </w:rPr>
      </w:pPr>
      <w:r>
        <w:rPr>
          <w:rFonts w:hint="eastAsia" w:hAnsi="黑体"/>
          <w:color w:val="000000" w:themeColor="text1"/>
          <w:lang w:val="en-US" w:eastAsia="zh-CN"/>
          <w14:textFill>
            <w14:solidFill>
              <w14:schemeClr w14:val="tx1"/>
            </w14:solidFill>
          </w14:textFill>
        </w:rPr>
        <w:t>元素种类及测定范围</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lang w:val="en-US" w:eastAsia="zh-CN"/>
        </w:rPr>
      </w:pPr>
      <w:r>
        <w:rPr>
          <w:rFonts w:hint="eastAsia"/>
          <w:color w:val="000000" w:themeColor="text1"/>
          <w:lang w:val="en-US" w:eastAsia="zh-CN"/>
          <w14:textFill>
            <w14:solidFill>
              <w14:schemeClr w14:val="tx1"/>
            </w14:solidFill>
          </w14:textFill>
        </w:rPr>
        <w:t>电感耦合等离子体质谱法（ICP-MS）适用于金属及合金中微痕量杂质元素的测定，本方法制定过程对GB/T 469《铅锭》、GB/T 26045《蓄电池板栅用铅钙合金锭》、GB/T 26011《电缆护套用铅合金锭》、GB/T 21181《再生铅及铅合金锭》、YS/T 915《蓄电池板栅用铅锑合金锭》、YS/T 498《电解沉积用铅阳极板》、YS/T 636《铅及铅锑合金棒和线材》等铅及铅合金相关产品标准中对产品化学成分的要求进行了统计，发现上述纯铅及铅合金中涉及到的微痕量杂质元素主要包括</w:t>
      </w:r>
      <w:r>
        <w:rPr>
          <w:rFonts w:hint="eastAsia" w:ascii="Times New Roman" w:hAnsi="Times New Roman" w:eastAsia="宋体" w:cs="Times New Roman"/>
          <w:kern w:val="2"/>
          <w:sz w:val="21"/>
          <w:szCs w:val="21"/>
        </w:rPr>
        <w:t>银、铜、铋、砷、锑、锡、锌、铁、镉、镍、镁、铝、钙、硒、碲</w:t>
      </w:r>
      <w:r>
        <w:rPr>
          <w:rFonts w:hint="eastAsia" w:cs="Times New Roman"/>
          <w:kern w:val="2"/>
          <w:sz w:val="21"/>
          <w:szCs w:val="21"/>
          <w:lang w:val="en-US" w:eastAsia="zh-CN"/>
        </w:rPr>
        <w:t>等元素。同时，各种牌号铅及铅合金产品中Ag、Cu、As、Sn、Sb、Zn、Fe、Ni、Cd等杂质元素的最低限量要求为不大于0.0002%</w:t>
      </w:r>
      <w:r>
        <w:rPr>
          <w:rFonts w:hint="eastAsia"/>
        </w:rPr>
        <w:t>～</w:t>
      </w:r>
      <w:r>
        <w:rPr>
          <w:rFonts w:hint="eastAsia"/>
          <w:lang w:val="en-US" w:eastAsia="zh-CN"/>
        </w:rPr>
        <w:t>0.0008%；Mg、Ca、Bi、Se、Te、Al</w:t>
      </w:r>
      <w:r>
        <w:rPr>
          <w:rFonts w:hint="eastAsia" w:cs="Times New Roman"/>
          <w:kern w:val="2"/>
          <w:sz w:val="21"/>
          <w:szCs w:val="21"/>
          <w:lang w:val="en-US" w:eastAsia="zh-CN"/>
        </w:rPr>
        <w:t>等杂质元素的最低限量要求为不大于0.003%</w:t>
      </w:r>
      <w:r>
        <w:rPr>
          <w:rFonts w:hint="eastAsia"/>
        </w:rPr>
        <w:t>～</w:t>
      </w:r>
      <w:r>
        <w:rPr>
          <w:rFonts w:hint="eastAsia"/>
          <w:lang w:val="en-US" w:eastAsia="zh-CN"/>
        </w:rPr>
        <w:t>0.01%。</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szCs w:val="20"/>
        </w:rPr>
      </w:pPr>
      <w:r>
        <w:rPr>
          <w:rFonts w:hint="eastAsia"/>
          <w:lang w:val="en-US" w:eastAsia="zh-CN"/>
        </w:rPr>
        <w:t>综上，结合ICP-MS在日常检测中的应用情况，确定本方法</w:t>
      </w:r>
      <w:r>
        <w:rPr>
          <w:rFonts w:hAnsi="宋体"/>
          <w:szCs w:val="20"/>
        </w:rPr>
        <w:t>用于</w:t>
      </w:r>
      <w:r>
        <w:rPr>
          <w:rFonts w:hint="eastAsia" w:hAnsi="宋体"/>
          <w:szCs w:val="20"/>
        </w:rPr>
        <w:t>铅锭、再生铅</w:t>
      </w:r>
      <w:r>
        <w:rPr>
          <w:rFonts w:hAnsi="宋体"/>
          <w:szCs w:val="20"/>
        </w:rPr>
        <w:t>、</w:t>
      </w:r>
      <w:r>
        <w:rPr>
          <w:rFonts w:hint="eastAsia" w:hAnsi="宋体"/>
          <w:szCs w:val="20"/>
          <w:lang w:val="en-US" w:eastAsia="zh-CN"/>
        </w:rPr>
        <w:t>再生铅锑合金、再生铅钙合金、</w:t>
      </w:r>
      <w:r>
        <w:rPr>
          <w:rFonts w:hAnsi="宋体"/>
          <w:szCs w:val="20"/>
        </w:rPr>
        <w:t>蓄电池板栅用铅钙合金锭</w:t>
      </w:r>
      <w:r>
        <w:rPr>
          <w:rFonts w:hint="eastAsia" w:hAnsi="宋体"/>
          <w:szCs w:val="20"/>
        </w:rPr>
        <w:t>、</w:t>
      </w:r>
      <w:r>
        <w:rPr>
          <w:rFonts w:hAnsi="宋体"/>
          <w:szCs w:val="20"/>
        </w:rPr>
        <w:t>蓄电池板栅用铅锑合金锭</w:t>
      </w:r>
      <w:r>
        <w:rPr>
          <w:rFonts w:hint="eastAsia" w:hAnsi="宋体"/>
          <w:szCs w:val="20"/>
          <w:lang w:eastAsia="zh-CN"/>
        </w:rPr>
        <w:t>、</w:t>
      </w:r>
      <w:r>
        <w:rPr>
          <w:rFonts w:hint="eastAsia"/>
          <w:color w:val="000000"/>
          <w:lang w:val="en-US" w:eastAsia="zh-CN"/>
        </w:rPr>
        <w:t>电缆护套用铅合金锭、电解沉积用铅阳极板、</w:t>
      </w:r>
      <w:r>
        <w:rPr>
          <w:rFonts w:ascii="Times New Roman" w:hAnsi="宋体" w:eastAsia="宋体" w:cs="Times New Roman"/>
          <w:szCs w:val="20"/>
        </w:rPr>
        <w:t>铅及铅锑合金棒和线材</w:t>
      </w:r>
      <w:r>
        <w:rPr>
          <w:rFonts w:hAnsi="宋体"/>
          <w:szCs w:val="20"/>
        </w:rPr>
        <w:t>中</w:t>
      </w:r>
      <w:r>
        <w:rPr>
          <w:rFonts w:hint="eastAsia"/>
        </w:rPr>
        <w:t>银、铜、铋、砷、锑、锡、锌、铁、镉、镍、镁、铝、钙、硒、碲</w:t>
      </w:r>
      <w:r>
        <w:rPr>
          <w:rFonts w:hint="eastAsia" w:hAnsi="宋体"/>
          <w:szCs w:val="20"/>
        </w:rPr>
        <w:t>含</w:t>
      </w:r>
      <w:r>
        <w:rPr>
          <w:rFonts w:hAnsi="宋体"/>
          <w:szCs w:val="20"/>
        </w:rPr>
        <w:t>量的测定。</w:t>
      </w:r>
      <w:r>
        <w:rPr>
          <w:rFonts w:hint="eastAsia" w:hAnsi="宋体"/>
          <w:szCs w:val="20"/>
          <w:lang w:val="en-US" w:eastAsia="zh-CN"/>
        </w:rPr>
        <w:t>元素及测定范围见表2。</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表2  元素及测定范围</w:t>
      </w:r>
    </w:p>
    <w:tbl>
      <w:tblPr>
        <w:tblStyle w:val="89"/>
        <w:tblW w:w="4994"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027"/>
        <w:gridCol w:w="387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3044" w:type="pct"/>
            <w:tcBorders>
              <w:bottom w:val="single" w:color="auto" w:sz="12" w:space="0"/>
              <w:right w:val="single" w:color="auto" w:sz="6" w:space="0"/>
            </w:tcBorders>
            <w:noWrap w:val="0"/>
            <w:vAlign w:val="top"/>
          </w:tcPr>
          <w:p>
            <w:pPr>
              <w:keepNext w:val="0"/>
              <w:keepLines w:val="0"/>
              <w:pageBreakBefore w:val="0"/>
              <w:widowControl w:val="0"/>
              <w:tabs>
                <w:tab w:val="center" w:pos="5028"/>
                <w:tab w:val="right" w:pos="9637"/>
              </w:tabs>
              <w:kinsoku/>
              <w:wordWrap/>
              <w:overflowPunct/>
              <w:topLinePunct w:val="0"/>
              <w:autoSpaceDE/>
              <w:autoSpaceDN/>
              <w:bidi w:val="0"/>
              <w:adjustRightInd/>
              <w:snapToGrid/>
              <w:jc w:val="center"/>
              <w:textAlignment w:val="auto"/>
              <w:rPr>
                <w:rFonts w:hint="default" w:eastAsia="黑体"/>
                <w:bCs/>
                <w:szCs w:val="21"/>
                <w:vertAlign w:val="baseline"/>
                <w:lang w:val="en-US" w:eastAsia="zh-CN"/>
              </w:rPr>
            </w:pPr>
            <w:r>
              <w:rPr>
                <w:rFonts w:hint="eastAsia" w:ascii="Times New Roman" w:hAnsi="Times New Roman" w:eastAsia="宋体" w:cs="Times New Roman"/>
                <w:i w:val="0"/>
                <w:iCs w:val="0"/>
                <w:color w:val="auto"/>
                <w:sz w:val="18"/>
                <w:szCs w:val="18"/>
                <w:u w:val="none"/>
                <w:lang w:val="en-US" w:eastAsia="zh-CN"/>
              </w:rPr>
              <w:t>元素</w:t>
            </w:r>
          </w:p>
        </w:tc>
        <w:tc>
          <w:tcPr>
            <w:tcW w:w="1955" w:type="pct"/>
            <w:tcBorders>
              <w:left w:val="single" w:color="auto" w:sz="6" w:space="0"/>
              <w:bottom w:val="single" w:color="auto" w:sz="12" w:space="0"/>
            </w:tcBorders>
            <w:noWrap w:val="0"/>
            <w:vAlign w:val="top"/>
          </w:tcPr>
          <w:p>
            <w:pPr>
              <w:keepNext w:val="0"/>
              <w:keepLines w:val="0"/>
              <w:pageBreakBefore w:val="0"/>
              <w:widowControl w:val="0"/>
              <w:tabs>
                <w:tab w:val="center" w:pos="5028"/>
                <w:tab w:val="right" w:pos="9637"/>
              </w:tabs>
              <w:kinsoku/>
              <w:wordWrap/>
              <w:overflowPunct/>
              <w:topLinePunct w:val="0"/>
              <w:autoSpaceDE/>
              <w:autoSpaceDN/>
              <w:bidi w:val="0"/>
              <w:adjustRightInd/>
              <w:snapToGrid/>
              <w:jc w:val="center"/>
              <w:textAlignment w:val="auto"/>
              <w:rPr>
                <w:rFonts w:hint="eastAsia" w:eastAsia="黑体"/>
                <w:bCs/>
                <w:szCs w:val="21"/>
                <w:vertAlign w:val="baseline"/>
                <w:lang w:val="en-US" w:eastAsia="zh-CN"/>
              </w:rPr>
            </w:pPr>
            <w:r>
              <w:rPr>
                <w:rFonts w:hint="default" w:ascii="Times New Roman" w:hAnsi="Times New Roman" w:eastAsia="宋体" w:cs="Times New Roman"/>
                <w:i w:val="0"/>
                <w:iCs w:val="0"/>
                <w:color w:val="auto"/>
                <w:sz w:val="18"/>
                <w:szCs w:val="18"/>
                <w:u w:val="none"/>
                <w:lang w:val="en-US" w:eastAsia="zh-CN"/>
              </w:rPr>
              <w:t>测定范围/%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3044" w:type="pct"/>
            <w:tcBorders>
              <w:top w:val="single" w:color="auto" w:sz="12" w:space="0"/>
              <w:bottom w:val="single" w:color="auto" w:sz="6" w:space="0"/>
              <w:right w:val="single" w:color="auto" w:sz="6"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 xml:space="preserve">Ag、Cu、As、Sb、Sn、Zn、Fe、Cd、Ni </w:t>
            </w:r>
            <w:r>
              <w:rPr>
                <w:rFonts w:hint="eastAsia" w:ascii="Times New Roman" w:hAnsi="Times New Roman" w:eastAsia="宋体" w:cs="Times New Roman"/>
                <w:i w:val="0"/>
                <w:iCs w:val="0"/>
                <w:color w:val="auto"/>
                <w:kern w:val="0"/>
                <w:sz w:val="18"/>
                <w:szCs w:val="18"/>
                <w:u w:val="none"/>
                <w:vertAlign w:val="superscript"/>
                <w:lang w:val="en-US" w:eastAsia="zh-CN" w:bidi="ar"/>
              </w:rPr>
              <w:t>a</w:t>
            </w:r>
            <w:r>
              <w:rPr>
                <w:rFonts w:hint="eastAsia" w:ascii="Times New Roman" w:hAnsi="Times New Roman" w:eastAsia="宋体" w:cs="Times New Roman"/>
                <w:i w:val="0"/>
                <w:iCs w:val="0"/>
                <w:color w:val="auto"/>
                <w:kern w:val="0"/>
                <w:sz w:val="18"/>
                <w:szCs w:val="18"/>
                <w:u w:val="none"/>
                <w:lang w:val="en-US" w:eastAsia="zh-CN" w:bidi="ar"/>
              </w:rPr>
              <w:t>、Mg、Al、Se、Te</w:t>
            </w:r>
          </w:p>
        </w:tc>
        <w:tc>
          <w:tcPr>
            <w:tcW w:w="1955" w:type="pct"/>
            <w:tcBorders>
              <w:top w:val="single" w:color="auto" w:sz="12" w:space="0"/>
              <w:left w:val="single" w:color="auto" w:sz="6" w:space="0"/>
              <w:bottom w:val="single" w:color="auto" w:sz="6" w:space="0"/>
            </w:tcBorders>
            <w:noWrap w:val="0"/>
            <w:vAlign w:val="top"/>
          </w:tcPr>
          <w:p>
            <w:pPr>
              <w:keepNext w:val="0"/>
              <w:keepLines w:val="0"/>
              <w:pageBreakBefore w:val="0"/>
              <w:widowControl w:val="0"/>
              <w:tabs>
                <w:tab w:val="center" w:pos="5028"/>
                <w:tab w:val="right" w:pos="9637"/>
              </w:tabs>
              <w:kinsoku/>
              <w:wordWrap/>
              <w:overflowPunct/>
              <w:topLinePunct w:val="0"/>
              <w:autoSpaceDE/>
              <w:autoSpaceDN/>
              <w:bidi w:val="0"/>
              <w:adjustRightInd/>
              <w:snapToGrid/>
              <w:jc w:val="center"/>
              <w:textAlignment w:val="auto"/>
              <w:rPr>
                <w:rFonts w:hint="default" w:eastAsia="黑体"/>
                <w:bCs/>
                <w:kern w:val="2"/>
                <w:sz w:val="21"/>
                <w:szCs w:val="21"/>
                <w:vertAlign w:val="baseline"/>
                <w:lang w:val="en-US" w:eastAsia="zh-CN" w:bidi="ar-SA"/>
              </w:rPr>
            </w:pPr>
            <w:r>
              <w:rPr>
                <w:rFonts w:hint="eastAsia" w:ascii="Times New Roman" w:hAnsi="Times New Roman" w:eastAsia="宋体" w:cs="Times New Roman"/>
                <w:i w:val="0"/>
                <w:iCs w:val="0"/>
                <w:color w:val="auto"/>
                <w:kern w:val="0"/>
                <w:sz w:val="18"/>
                <w:szCs w:val="18"/>
                <w:u w:val="none"/>
                <w:lang w:val="en-US" w:eastAsia="zh-CN" w:bidi="ar"/>
              </w:rPr>
              <w:t>0.0001～0.010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3044" w:type="pct"/>
            <w:tcBorders>
              <w:top w:val="single" w:color="auto" w:sz="6" w:space="0"/>
              <w:bottom w:val="single" w:color="auto" w:sz="12" w:space="0"/>
              <w:right w:val="single" w:color="auto" w:sz="6"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Bi、Ca</w:t>
            </w:r>
          </w:p>
        </w:tc>
        <w:tc>
          <w:tcPr>
            <w:tcW w:w="1955" w:type="pct"/>
            <w:tcBorders>
              <w:top w:val="single" w:color="auto" w:sz="6" w:space="0"/>
              <w:left w:val="single" w:color="auto" w:sz="6" w:space="0"/>
              <w:bottom w:val="single" w:color="auto" w:sz="12" w:space="0"/>
            </w:tcBorders>
            <w:noWrap w:val="0"/>
            <w:vAlign w:val="top"/>
          </w:tcPr>
          <w:p>
            <w:pPr>
              <w:keepNext w:val="0"/>
              <w:keepLines w:val="0"/>
              <w:pageBreakBefore w:val="0"/>
              <w:widowControl w:val="0"/>
              <w:tabs>
                <w:tab w:val="center" w:pos="5028"/>
                <w:tab w:val="right" w:pos="9637"/>
              </w:tabs>
              <w:kinsoku/>
              <w:wordWrap/>
              <w:overflowPunct/>
              <w:topLinePunct w:val="0"/>
              <w:autoSpaceDE/>
              <w:autoSpaceDN/>
              <w:bidi w:val="0"/>
              <w:adjustRightInd/>
              <w:snapToGrid/>
              <w:jc w:val="center"/>
              <w:textAlignment w:val="auto"/>
              <w:rPr>
                <w:rFonts w:hint="eastAsia" w:eastAsia="黑体"/>
                <w:bCs/>
                <w:kern w:val="2"/>
                <w:sz w:val="21"/>
                <w:szCs w:val="21"/>
                <w:vertAlign w:val="baseli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0.0010</w:t>
            </w:r>
            <w:r>
              <w:rPr>
                <w:rStyle w:val="257"/>
                <w:rFonts w:hint="default" w:ascii="Times New Roman" w:hAnsi="Times New Roman" w:eastAsia="宋体" w:cs="Times New Roman"/>
                <w:color w:val="auto"/>
                <w:sz w:val="18"/>
                <w:szCs w:val="18"/>
                <w:lang w:val="en-US" w:eastAsia="zh-CN" w:bidi="ar"/>
              </w:rPr>
              <w:t>～</w:t>
            </w:r>
            <w:r>
              <w:rPr>
                <w:rStyle w:val="258"/>
                <w:rFonts w:hint="default" w:ascii="Times New Roman" w:hAnsi="Times New Roman" w:eastAsia="宋体" w:cs="Times New Roman"/>
                <w:color w:val="auto"/>
                <w:sz w:val="18"/>
                <w:szCs w:val="18"/>
                <w:lang w:val="en-US" w:eastAsia="zh-CN" w:bidi="ar"/>
              </w:rPr>
              <w:t>0.010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5000" w:type="pct"/>
            <w:gridSpan w:val="2"/>
            <w:tcBorders>
              <w:top w:val="single" w:color="auto" w:sz="12" w:space="0"/>
              <w:tl2br w:val="nil"/>
              <w:tr2bl w:val="nil"/>
            </w:tcBorders>
            <w:noWrap w:val="0"/>
            <w:vAlign w:val="top"/>
          </w:tcPr>
          <w:p>
            <w:pPr>
              <w:keepNext w:val="0"/>
              <w:keepLines w:val="0"/>
              <w:pageBreakBefore w:val="0"/>
              <w:widowControl w:val="0"/>
              <w:tabs>
                <w:tab w:val="center" w:pos="5028"/>
                <w:tab w:val="right" w:pos="9637"/>
              </w:tabs>
              <w:kinsoku/>
              <w:wordWrap/>
              <w:overflowPunct/>
              <w:topLinePunct w:val="0"/>
              <w:autoSpaceDE/>
              <w:autoSpaceDN/>
              <w:bidi w:val="0"/>
              <w:adjustRightInd/>
              <w:snapToGrid/>
              <w:ind w:firstLine="360" w:firstLineChars="200"/>
              <w:jc w:val="left"/>
              <w:textAlignment w:val="auto"/>
              <w:rPr>
                <w:rFonts w:hint="default" w:ascii="黑体" w:hAnsi="黑体" w:eastAsia="黑体" w:cs="黑体"/>
                <w:bCs/>
                <w:color w:val="auto"/>
                <w:sz w:val="18"/>
                <w:szCs w:val="18"/>
                <w:lang w:val="en-US"/>
              </w:rPr>
            </w:pPr>
            <w:r>
              <w:rPr>
                <w:rFonts w:hint="eastAsia" w:ascii="Times New Roman" w:hAnsi="Times New Roman" w:eastAsia="宋体" w:cs="Times New Roman"/>
                <w:i w:val="0"/>
                <w:iCs w:val="0"/>
                <w:color w:val="auto"/>
                <w:kern w:val="0"/>
                <w:sz w:val="18"/>
                <w:szCs w:val="18"/>
                <w:u w:val="none"/>
                <w:vertAlign w:val="superscript"/>
                <w:lang w:val="en-US" w:eastAsia="zh-CN" w:bidi="ar"/>
              </w:rPr>
              <w:t>a</w:t>
            </w:r>
            <w:r>
              <w:rPr>
                <w:rFonts w:hint="eastAsia" w:ascii="Times New Roman" w:hAnsi="Times New Roman" w:eastAsia="宋体" w:cs="Times New Roman"/>
                <w:i w:val="0"/>
                <w:iCs w:val="0"/>
                <w:color w:val="auto"/>
                <w:kern w:val="0"/>
                <w:sz w:val="18"/>
                <w:szCs w:val="18"/>
                <w:u w:val="none"/>
                <w:lang w:val="en-US" w:eastAsia="zh-CN" w:bidi="ar"/>
              </w:rPr>
              <w:t xml:space="preserve">  铅合金</w:t>
            </w:r>
            <w:r>
              <w:rPr>
                <w:rFonts w:hint="eastAsia" w:ascii="宋体" w:hAnsi="宋体"/>
                <w:sz w:val="18"/>
                <w:szCs w:val="18"/>
              </w:rPr>
              <w:t>（</w:t>
            </w:r>
            <w:r>
              <w:rPr>
                <w:i/>
                <w:sz w:val="18"/>
                <w:szCs w:val="18"/>
              </w:rPr>
              <w:t>w</w:t>
            </w:r>
            <w:r>
              <w:rPr>
                <w:rFonts w:hint="eastAsia"/>
                <w:sz w:val="18"/>
                <w:szCs w:val="18"/>
                <w:vertAlign w:val="subscript"/>
                <w:lang w:val="en-US" w:eastAsia="zh-CN"/>
              </w:rPr>
              <w:t>Sn</w:t>
            </w:r>
            <w:r>
              <w:rPr>
                <w:rFonts w:hint="eastAsia" w:ascii="宋体" w:hAnsi="宋体" w:eastAsia="宋体" w:cs="宋体"/>
                <w:sz w:val="18"/>
                <w:szCs w:val="18"/>
                <w:lang w:val="en-US" w:eastAsia="zh-CN"/>
              </w:rPr>
              <w:t>≤</w:t>
            </w:r>
            <w:r>
              <w:rPr>
                <w:rFonts w:hint="default" w:ascii="Times New Roman" w:hAnsi="Times New Roman" w:eastAsia="黑体" w:cs="Times New Roman"/>
                <w:sz w:val="18"/>
                <w:szCs w:val="18"/>
                <w:lang w:val="en-US" w:eastAsia="zh-CN"/>
              </w:rPr>
              <w:t>2</w:t>
            </w:r>
            <w:r>
              <w:rPr>
                <w:rFonts w:hint="default" w:ascii="Times New Roman" w:hAnsi="Times New Roman" w:cs="Times New Roman"/>
                <w:sz w:val="18"/>
                <w:szCs w:val="18"/>
              </w:rPr>
              <w:t>%</w:t>
            </w:r>
            <w:r>
              <w:rPr>
                <w:rFonts w:hint="eastAsia" w:ascii="宋体" w:hAnsi="宋体"/>
                <w:sz w:val="18"/>
                <w:szCs w:val="18"/>
              </w:rPr>
              <w:t>）</w:t>
            </w:r>
            <w:r>
              <w:rPr>
                <w:rFonts w:hint="eastAsia" w:ascii="宋体" w:hAnsi="宋体"/>
                <w:sz w:val="18"/>
                <w:szCs w:val="18"/>
                <w:lang w:val="en-US" w:eastAsia="zh-CN"/>
              </w:rPr>
              <w:t>中</w:t>
            </w:r>
            <w:r>
              <w:rPr>
                <w:rFonts w:hint="eastAsia" w:ascii="Times New Roman" w:hAnsi="Times New Roman" w:eastAsia="宋体" w:cs="Times New Roman"/>
                <w:i w:val="0"/>
                <w:iCs w:val="0"/>
                <w:color w:val="auto"/>
                <w:kern w:val="0"/>
                <w:sz w:val="18"/>
                <w:szCs w:val="18"/>
                <w:u w:val="none"/>
                <w:lang w:val="en-US" w:eastAsia="zh-CN" w:bidi="ar"/>
              </w:rPr>
              <w:t>镍测定范围0.0010%～0.010%；铅合金</w:t>
            </w:r>
            <w:r>
              <w:rPr>
                <w:rFonts w:hint="eastAsia" w:ascii="宋体" w:hAnsi="宋体"/>
                <w:sz w:val="18"/>
                <w:szCs w:val="18"/>
              </w:rPr>
              <w:t>（</w:t>
            </w:r>
            <w:r>
              <w:rPr>
                <w:i/>
                <w:sz w:val="18"/>
                <w:szCs w:val="18"/>
              </w:rPr>
              <w:t>w</w:t>
            </w:r>
            <w:r>
              <w:rPr>
                <w:rFonts w:hint="eastAsia"/>
                <w:sz w:val="18"/>
                <w:szCs w:val="18"/>
                <w:vertAlign w:val="subscript"/>
                <w:lang w:val="en-US" w:eastAsia="zh-CN"/>
              </w:rPr>
              <w:t>Sn</w:t>
            </w:r>
            <w:r>
              <w:rPr>
                <w:rFonts w:hint="default" w:ascii="Times New Roman" w:hAnsi="Times New Roman" w:eastAsia="宋体" w:cs="Times New Roman"/>
                <w:sz w:val="18"/>
                <w:szCs w:val="18"/>
                <w:lang w:val="en-US" w:eastAsia="zh-CN"/>
              </w:rPr>
              <w:t>＞</w:t>
            </w:r>
            <w:r>
              <w:rPr>
                <w:rFonts w:hint="default" w:ascii="Times New Roman" w:hAnsi="Times New Roman" w:eastAsia="黑体" w:cs="Times New Roman"/>
                <w:sz w:val="18"/>
                <w:szCs w:val="18"/>
                <w:lang w:val="en-US" w:eastAsia="zh-CN"/>
              </w:rPr>
              <w:t>2</w:t>
            </w:r>
            <w:r>
              <w:rPr>
                <w:rFonts w:hint="default" w:ascii="Times New Roman" w:hAnsi="Times New Roman" w:cs="Times New Roman"/>
                <w:sz w:val="18"/>
                <w:szCs w:val="18"/>
              </w:rPr>
              <w:t>%</w:t>
            </w:r>
            <w:r>
              <w:rPr>
                <w:rFonts w:hint="eastAsia" w:ascii="宋体" w:hAnsi="宋体"/>
                <w:sz w:val="18"/>
                <w:szCs w:val="18"/>
              </w:rPr>
              <w:t>）</w:t>
            </w:r>
            <w:r>
              <w:rPr>
                <w:rFonts w:hint="eastAsia" w:ascii="Times New Roman" w:hAnsi="Times New Roman" w:eastAsia="宋体" w:cs="Times New Roman"/>
                <w:i w:val="0"/>
                <w:iCs w:val="0"/>
                <w:color w:val="auto"/>
                <w:kern w:val="0"/>
                <w:sz w:val="18"/>
                <w:szCs w:val="18"/>
                <w:u w:val="none"/>
                <w:lang w:val="en-US" w:eastAsia="zh-CN" w:bidi="ar"/>
              </w:rPr>
              <w:t>中镍的测定不适用于本文件。</w:t>
            </w:r>
          </w:p>
        </w:tc>
      </w:tr>
    </w:tbl>
    <w:p>
      <w:pPr>
        <w:pStyle w:val="120"/>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2、样品</w:t>
      </w:r>
      <w:r>
        <w:rPr>
          <w:rFonts w:hint="eastAsia" w:hAnsi="黑体"/>
          <w:color w:val="000000" w:themeColor="text1"/>
          <w:lang w:val="en-US" w:eastAsia="zh-CN"/>
          <w14:textFill>
            <w14:solidFill>
              <w14:schemeClr w14:val="tx1"/>
            </w14:solidFill>
          </w14:textFill>
        </w:rPr>
        <w:t>的</w:t>
      </w:r>
      <w:r>
        <w:rPr>
          <w:rFonts w:hint="eastAsia" w:hAnsi="黑体"/>
          <w:color w:val="000000" w:themeColor="text1"/>
          <w14:textFill>
            <w14:solidFill>
              <w14:schemeClr w14:val="tx1"/>
            </w14:solidFill>
          </w14:textFill>
        </w:rPr>
        <w:t>溶解</w:t>
      </w:r>
      <w:r>
        <w:rPr>
          <w:rFonts w:hAnsi="黑体"/>
          <w:color w:val="000000" w:themeColor="text1"/>
          <w14:textFill>
            <w14:solidFill>
              <w14:schemeClr w14:val="tx1"/>
            </w14:solidFill>
          </w14:textFill>
        </w:rPr>
        <w:t>方法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hAnsi="宋体"/>
          <w:color w:val="000000" w:themeColor="text1"/>
          <w:lang w:val="en-US" w:eastAsia="zh-CN"/>
          <w14:textFill>
            <w14:solidFill>
              <w14:schemeClr w14:val="tx1"/>
            </w14:solidFill>
          </w14:textFill>
        </w:rPr>
      </w:pPr>
      <w:r>
        <w:rPr>
          <w:rFonts w:hint="eastAsia" w:hAnsi="宋体"/>
          <w:color w:val="000000" w:themeColor="text1"/>
          <w:lang w:val="en-US" w:eastAsia="zh-CN"/>
          <w14:textFill>
            <w14:solidFill>
              <w14:schemeClr w14:val="tx1"/>
            </w14:solidFill>
          </w14:textFill>
        </w:rPr>
        <w:t>YS/T 229.1</w:t>
      </w:r>
      <w:r>
        <w:rPr>
          <w:rFonts w:hint="eastAsia"/>
        </w:rPr>
        <w:t>～</w:t>
      </w:r>
      <w:r>
        <w:rPr>
          <w:rFonts w:hint="eastAsia"/>
          <w:lang w:val="en-US" w:eastAsia="zh-CN"/>
        </w:rPr>
        <w:t>.3</w:t>
      </w:r>
      <w:r>
        <w:rPr>
          <w:rFonts w:hint="eastAsia" w:hAnsi="宋体"/>
          <w:color w:val="000000" w:themeColor="text1"/>
          <w:lang w:val="en-US" w:eastAsia="zh-CN"/>
          <w14:textFill>
            <w14:solidFill>
              <w14:schemeClr w14:val="tx1"/>
            </w14:solidFill>
          </w14:textFill>
        </w:rPr>
        <w:t>《高纯铅化学分析方法》中采用稀硝酸溶解样品测定高纯铅中As、Sb、Ag、Cu、Bi、Al、Ni、Sn、Mg、Fe含量。GB/T 4103.1</w:t>
      </w:r>
      <w:r>
        <w:rPr>
          <w:rFonts w:hint="eastAsia"/>
        </w:rPr>
        <w:t>～</w:t>
      </w:r>
      <w:r>
        <w:rPr>
          <w:rFonts w:hint="eastAsia"/>
          <w:lang w:val="en-US" w:eastAsia="zh-CN"/>
        </w:rPr>
        <w:t>.17</w:t>
      </w:r>
      <w:r>
        <w:rPr>
          <w:rFonts w:hint="eastAsia" w:hAnsi="宋体"/>
          <w:color w:val="000000" w:themeColor="text1"/>
          <w:lang w:val="en-US" w:eastAsia="zh-CN"/>
          <w14:textFill>
            <w14:solidFill>
              <w14:schemeClr w14:val="tx1"/>
            </w14:solidFill>
          </w14:textFill>
        </w:rPr>
        <w:t>《铅及铅合金化学分析方法》中采用稀硝酸、硝酸-酒石酸、硝酸-酒石酸-EDTA-柠檬酸溶解样品测定铅锭、铅合金中Sn、Sb、Cu、Fe、Bi、As、Se、Te、Ca、Ag、Zn、Tl、Al、Cd、Ni、Na、Mg含量，部分元素的检测涉及采用硫酸或盐酸沉淀铅基体从而获得更低的测定下限。综上，本方法拟采用稀硝酸溶解铅锭、再生铅等纯铅样品以及铅银合金，对于锡、锑、钙含量较高的铅锑合金、铅钙合金则采用硝酸-酒石酸混酸溶解金。</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lang w:val="en-US" w:eastAsia="zh-CN"/>
        </w:rPr>
      </w:pPr>
      <w:r>
        <w:rPr>
          <w:rFonts w:hint="eastAsia" w:hAnsi="宋体"/>
          <w:color w:val="000000" w:themeColor="text1"/>
          <w:lang w:val="en-US" w:eastAsia="zh-CN"/>
          <w14:textFill>
            <w14:solidFill>
              <w14:schemeClr w14:val="tx1"/>
            </w14:solidFill>
          </w14:textFill>
        </w:rPr>
        <w:t>通过条件实验对硝酸和酒石酸的用量进行了确认。由表3和表4结果可知，硝酸酸度在</w:t>
      </w:r>
      <w:r>
        <w:rPr>
          <w:rFonts w:hint="eastAsia"/>
          <w:szCs w:val="21"/>
          <w:lang w:val="en-US" w:eastAsia="zh-CN"/>
        </w:rPr>
        <w:t>1%</w:t>
      </w:r>
      <w:r>
        <w:rPr>
          <w:rFonts w:hint="eastAsia"/>
        </w:rPr>
        <w:t>～</w:t>
      </w:r>
      <w:r>
        <w:rPr>
          <w:rFonts w:hint="eastAsia"/>
          <w:lang w:val="en-US" w:eastAsia="zh-CN"/>
        </w:rPr>
        <w:t>3%、酒石酸</w:t>
      </w:r>
      <w:r>
        <w:rPr>
          <w:rFonts w:hint="eastAsia"/>
          <w:szCs w:val="21"/>
          <w:lang w:val="en-US" w:eastAsia="zh-CN"/>
        </w:rPr>
        <w:t>用量在0.1g/100mL</w:t>
      </w:r>
      <w:r>
        <w:rPr>
          <w:rFonts w:hint="eastAsia"/>
        </w:rPr>
        <w:t>～</w:t>
      </w:r>
      <w:r>
        <w:rPr>
          <w:rFonts w:hint="eastAsia"/>
          <w:lang w:val="en-US" w:eastAsia="zh-CN"/>
        </w:rPr>
        <w:t>0.3g/100mL%范围内变化时，对测定结果无明显影响。</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default"/>
          <w:lang w:val="en-US" w:eastAsia="zh-CN"/>
        </w:rPr>
      </w:pPr>
      <w:r>
        <w:rPr>
          <w:rFonts w:hint="eastAsia"/>
          <w:szCs w:val="21"/>
          <w:lang w:val="en-US" w:eastAsia="zh-CN"/>
        </w:rPr>
        <w:t>本实验中称取0.10g</w:t>
      </w:r>
      <w:r>
        <w:rPr>
          <w:rFonts w:hint="eastAsia"/>
          <w:szCs w:val="21"/>
        </w:rPr>
        <w:t>试料</w:t>
      </w:r>
      <w:r>
        <w:rPr>
          <w:rFonts w:hint="eastAsia"/>
          <w:szCs w:val="21"/>
          <w:lang w:val="en-US" w:eastAsia="zh-CN"/>
        </w:rPr>
        <w:t>于100mL烧杯中，</w:t>
      </w:r>
      <w:r>
        <w:rPr>
          <w:rFonts w:hint="eastAsia"/>
          <w:szCs w:val="21"/>
        </w:rPr>
        <w:t>加入5</w:t>
      </w:r>
      <w:r>
        <w:rPr>
          <w:szCs w:val="21"/>
        </w:rPr>
        <w:t xml:space="preserve"> mL</w:t>
      </w:r>
      <w:r>
        <w:rPr>
          <w:rFonts w:hint="eastAsia" w:hAnsi="宋体"/>
          <w:szCs w:val="20"/>
        </w:rPr>
        <w:t>硝酸</w:t>
      </w:r>
      <w:r>
        <w:rPr>
          <w:rFonts w:hint="eastAsia" w:hAnsi="宋体"/>
          <w:szCs w:val="20"/>
          <w:lang w:eastAsia="zh-CN"/>
        </w:rPr>
        <w:t>（</w:t>
      </w:r>
      <w:r>
        <w:rPr>
          <w:rFonts w:hint="eastAsia" w:hAnsi="宋体"/>
          <w:szCs w:val="20"/>
          <w:lang w:val="en-US" w:eastAsia="zh-CN"/>
        </w:rPr>
        <w:t>1+2</w:t>
      </w:r>
      <w:r>
        <w:rPr>
          <w:rFonts w:hint="eastAsia" w:hAnsi="宋体"/>
          <w:szCs w:val="20"/>
          <w:lang w:eastAsia="zh-CN"/>
        </w:rPr>
        <w:t>），</w:t>
      </w:r>
      <w:r>
        <w:rPr>
          <w:rFonts w:hint="eastAsia" w:hAnsi="宋体"/>
          <w:szCs w:val="20"/>
          <w:lang w:val="en-US" w:eastAsia="zh-CN"/>
        </w:rPr>
        <w:t>样品为铅锑合金、</w:t>
      </w:r>
      <w:r>
        <w:rPr>
          <w:rFonts w:hAnsi="宋体"/>
          <w:szCs w:val="20"/>
        </w:rPr>
        <w:t>铅钙合金</w:t>
      </w:r>
      <w:r>
        <w:rPr>
          <w:rFonts w:hint="eastAsia" w:hAnsi="宋体"/>
          <w:szCs w:val="20"/>
          <w:lang w:val="en-US" w:eastAsia="zh-CN"/>
        </w:rPr>
        <w:t>时补加0.1 g酒石酸</w:t>
      </w:r>
      <w:r>
        <w:rPr>
          <w:rFonts w:hint="eastAsia" w:hAnsi="宋体"/>
          <w:szCs w:val="20"/>
          <w:lang w:eastAsia="zh-CN"/>
        </w:rPr>
        <w:t>，</w:t>
      </w:r>
      <w:r>
        <w:rPr>
          <w:rFonts w:hint="eastAsia"/>
        </w:rPr>
        <w:t>加热</w:t>
      </w:r>
      <w:r>
        <w:rPr>
          <w:rFonts w:hint="eastAsia"/>
          <w:lang w:val="en-US" w:eastAsia="zh-CN"/>
        </w:rPr>
        <w:t>可使样品溶解至澄清，稀释定容至100 mL无沉淀析出。</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表3  硝酸酸度对测定结果的影响</w:t>
      </w:r>
    </w:p>
    <w:tbl>
      <w:tblPr>
        <w:tblStyle w:val="8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76"/>
        <w:gridCol w:w="2476"/>
        <w:gridCol w:w="2476"/>
        <w:gridCol w:w="2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1249"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元素</w:t>
            </w:r>
          </w:p>
        </w:tc>
        <w:tc>
          <w:tcPr>
            <w:tcW w:w="3750" w:type="pct"/>
            <w:gridSpan w:val="3"/>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硝酸酸度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1249"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Times New Roman" w:hAnsi="Times New Roman" w:cs="Times New Roman"/>
                <w:i w:val="0"/>
                <w:iCs w:val="0"/>
                <w:color w:val="000000"/>
                <w:sz w:val="18"/>
                <w:szCs w:val="18"/>
                <w:u w:val="none"/>
              </w:rPr>
            </w:pPr>
          </w:p>
        </w:tc>
        <w:tc>
          <w:tcPr>
            <w:tcW w:w="1249" w:type="pct"/>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249" w:type="pct"/>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250" w:type="pct"/>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39.73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40.39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41.04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41.56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39.43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39.87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38.92</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38.73</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39.31</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39.78</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39.07</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39.22</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40.12</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39.53</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39.43</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39.17</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Se</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40.01</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40.15</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Ag</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40.02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40.32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Cd</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40.76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40.18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40.74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40.63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Sb</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40.38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40.94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Te</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40.03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39.14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Bi</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40.98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40.51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41.67 </w:t>
            </w:r>
          </w:p>
        </w:tc>
      </w:tr>
    </w:tbl>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hint="eastAsia" w:hAnsi="宋体"/>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表4  酒石酸用量对测定结果的影响</w:t>
      </w:r>
    </w:p>
    <w:tbl>
      <w:tblPr>
        <w:tblStyle w:val="8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76"/>
        <w:gridCol w:w="2476"/>
        <w:gridCol w:w="2476"/>
        <w:gridCol w:w="2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blHeader/>
        </w:trPr>
        <w:tc>
          <w:tcPr>
            <w:tcW w:w="1249"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元素</w:t>
            </w:r>
          </w:p>
        </w:tc>
        <w:tc>
          <w:tcPr>
            <w:tcW w:w="3750" w:type="pct"/>
            <w:gridSpan w:val="3"/>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酒石酸用量g/100mL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blHeader/>
        </w:trPr>
        <w:tc>
          <w:tcPr>
            <w:tcW w:w="1249"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Times New Roman" w:hAnsi="Times New Roman" w:cs="Times New Roman"/>
                <w:i w:val="0"/>
                <w:iCs w:val="0"/>
                <w:color w:val="000000"/>
                <w:sz w:val="18"/>
                <w:szCs w:val="18"/>
                <w:u w:val="none"/>
              </w:rPr>
            </w:pPr>
          </w:p>
        </w:tc>
        <w:tc>
          <w:tcPr>
            <w:tcW w:w="1249" w:type="pct"/>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0.1 </w:t>
            </w:r>
          </w:p>
        </w:tc>
        <w:tc>
          <w:tcPr>
            <w:tcW w:w="1249" w:type="pct"/>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0.2 </w:t>
            </w:r>
          </w:p>
        </w:tc>
        <w:tc>
          <w:tcPr>
            <w:tcW w:w="1250" w:type="pct"/>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40.48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40.54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41.04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41.16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40.65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39.92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39.10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39.78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39.11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39.63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39.31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40.00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41.49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40.35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39.27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39.50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Se</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40.43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40.88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Ag</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39.97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39.99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Cd</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40.66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40.82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40.68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40.79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Sb</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40.96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41.17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Te</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40.26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41.20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Bi</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40.69 </w:t>
            </w:r>
          </w:p>
        </w:tc>
        <w:tc>
          <w:tcPr>
            <w:tcW w:w="1249"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40.30 </w:t>
            </w:r>
          </w:p>
        </w:tc>
        <w:tc>
          <w:tcPr>
            <w:tcW w:w="1250" w:type="pc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40.61 </w:t>
            </w:r>
          </w:p>
        </w:tc>
      </w:tr>
    </w:tbl>
    <w:p>
      <w:pPr>
        <w:pStyle w:val="120"/>
        <w:keepNext w:val="0"/>
        <w:keepLines w:val="0"/>
        <w:pageBreakBefore w:val="0"/>
        <w:widowControl/>
        <w:tabs>
          <w:tab w:val="clear" w:pos="675"/>
        </w:tabs>
        <w:kinsoku/>
        <w:wordWrap/>
        <w:overflowPunct/>
        <w:topLinePunct w:val="0"/>
        <w:autoSpaceDE/>
        <w:autoSpaceDN/>
        <w:bidi w:val="0"/>
        <w:adjustRightInd w:val="0"/>
        <w:snapToGrid w:val="0"/>
        <w:spacing w:before="157" w:beforeLines="50" w:afterLines="0" w:line="288" w:lineRule="auto"/>
        <w:ind w:left="0" w:firstLine="420" w:firstLineChars="200"/>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一验单位广东省科学院工业分析检测中心、阜阳市产品质量监督检验所，质谱干扰条件试验与起草单位结论一致。水口山有色和紫金铜业验证过程中出现随着溶液体积蒸发，析出白色物质</w:t>
      </w:r>
      <w:r>
        <w:rPr>
          <w:rFonts w:hint="eastAsia" w:ascii="Times New Roman" w:eastAsia="宋体" w:cs="Times New Roman"/>
          <w:color w:val="auto"/>
          <w:kern w:val="2"/>
          <w:sz w:val="21"/>
          <w:szCs w:val="21"/>
          <w:lang w:val="en-US" w:eastAsia="zh-CN" w:bidi="ar-SA"/>
        </w:rPr>
        <w:t>，补水后加热复溶</w:t>
      </w:r>
      <w:r>
        <w:rPr>
          <w:rFonts w:hint="eastAsia" w:ascii="Times New Roman" w:hAnsi="Times New Roman" w:eastAsia="宋体" w:cs="Times New Roman"/>
          <w:color w:val="auto"/>
          <w:kern w:val="2"/>
          <w:sz w:val="21"/>
          <w:szCs w:val="21"/>
          <w:lang w:val="en-US" w:eastAsia="zh-CN" w:bidi="ar-SA"/>
        </w:rPr>
        <w:t>。</w:t>
      </w:r>
      <w:r>
        <w:rPr>
          <w:rFonts w:hint="eastAsia" w:ascii="Times New Roman" w:eastAsia="宋体" w:cs="Times New Roman"/>
          <w:color w:val="auto"/>
          <w:kern w:val="2"/>
          <w:sz w:val="21"/>
          <w:szCs w:val="21"/>
          <w:lang w:val="en-US" w:eastAsia="zh-CN" w:bidi="ar-SA"/>
        </w:rPr>
        <w:t>推测可能是100mL烧杯中溶剂蒸发快，导致有溶质析出</w:t>
      </w:r>
      <w:r>
        <w:rPr>
          <w:rFonts w:hint="eastAsia" w:ascii="Times New Roman" w:hAnsi="Times New Roman" w:eastAsia="宋体" w:cs="Times New Roman"/>
          <w:color w:val="auto"/>
          <w:kern w:val="2"/>
          <w:sz w:val="21"/>
          <w:szCs w:val="21"/>
          <w:lang w:val="en-US" w:eastAsia="zh-CN" w:bidi="ar-SA"/>
        </w:rPr>
        <w:t>，修改为在50mL烧杯中加入10mL硝酸（1+4）（铅锑合金、铅钙合金补加0.1 g酒石酸），盖上表面皿，低温加热。</w:t>
      </w:r>
      <w:r>
        <w:rPr>
          <w:rFonts w:hint="eastAsia" w:ascii="Times New Roman" w:eastAsia="宋体" w:cs="Times New Roman"/>
          <w:color w:val="auto"/>
          <w:kern w:val="2"/>
          <w:sz w:val="21"/>
          <w:szCs w:val="21"/>
          <w:lang w:val="en-US" w:eastAsia="zh-CN" w:bidi="ar-SA"/>
        </w:rPr>
        <w:t>经确认，纯铅、铅银、铅锑合金、铅钙合金均能够较快（10 min内）溶解，且无白色</w:t>
      </w:r>
      <w:r>
        <w:rPr>
          <w:rFonts w:hint="eastAsia" w:ascii="Times New Roman" w:hAnsi="Times New Roman" w:eastAsia="宋体" w:cs="Times New Roman"/>
          <w:color w:val="auto"/>
          <w:kern w:val="2"/>
          <w:sz w:val="21"/>
          <w:szCs w:val="21"/>
          <w:lang w:val="en-US" w:eastAsia="zh-CN" w:bidi="ar-SA"/>
        </w:rPr>
        <w:t>物质析出。</w:t>
      </w:r>
    </w:p>
    <w:p>
      <w:pPr>
        <w:pStyle w:val="120"/>
        <w:keepNext w:val="0"/>
        <w:keepLines w:val="0"/>
        <w:pageBreakBefore w:val="0"/>
        <w:widowControl/>
        <w:tabs>
          <w:tab w:val="clear" w:pos="675"/>
        </w:tabs>
        <w:kinsoku/>
        <w:wordWrap/>
        <w:overflowPunct/>
        <w:topLinePunct w:val="0"/>
        <w:autoSpaceDE/>
        <w:autoSpaceDN/>
        <w:bidi w:val="0"/>
        <w:adjustRightInd w:val="0"/>
        <w:snapToGrid w:val="0"/>
        <w:spacing w:beforeLines="0" w:afterLines="0" w:line="288" w:lineRule="auto"/>
        <w:ind w:left="0" w:firstLine="420" w:firstLineChars="200"/>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2023年6月</w:t>
      </w:r>
      <w:r>
        <w:rPr>
          <w:rFonts w:hint="eastAsia" w:ascii="Times New Roman" w:eastAsia="宋体" w:cs="Times New Roman"/>
          <w:color w:val="auto"/>
          <w:kern w:val="2"/>
          <w:sz w:val="21"/>
          <w:szCs w:val="21"/>
          <w:lang w:val="en-US" w:eastAsia="zh-CN" w:bidi="ar-SA"/>
        </w:rPr>
        <w:t>预审会专家建议采纳增大称样量的意见，改为称取试料0.50g。起草单位对溶解进行了新的条件实验。称取0.50g样品，置于100 mL烧杯中，加入25 mL硝酸（1+4）（铅锑合金、铅钙合金补加0.5 g酒石酸），盖上表面皿，低温加热至完全溶解，冷却后移入50 mL容量瓶中。用水稀释至刻度，混匀。</w:t>
      </w:r>
      <w:r>
        <w:rPr>
          <w:rFonts w:hint="eastAsia" w:ascii="Times New Roman" w:hAnsi="Times New Roman" w:eastAsia="宋体" w:cs="Times New Roman"/>
          <w:kern w:val="2"/>
          <w:sz w:val="21"/>
          <w:szCs w:val="21"/>
          <w:lang w:eastAsia="zh-CN"/>
        </w:rPr>
        <w:t>辽宁中科力勒检测技术服务有限</w:t>
      </w:r>
      <w:r>
        <w:rPr>
          <w:rFonts w:hint="eastAsia" w:ascii="Times New Roman" w:eastAsia="宋体" w:cs="Times New Roman"/>
          <w:kern w:val="2"/>
          <w:sz w:val="21"/>
          <w:szCs w:val="21"/>
          <w:lang w:val="en-US" w:eastAsia="zh-CN"/>
        </w:rPr>
        <w:t>公司对上述补充条件进行了验证，无异议。</w:t>
      </w:r>
    </w:p>
    <w:p>
      <w:pPr>
        <w:pStyle w:val="120"/>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int="default" w:hAnsi="黑体" w:eastAsia="黑体"/>
          <w:color w:val="000000" w:themeColor="text1"/>
          <w:lang w:val="en-US" w:eastAsia="zh-CN"/>
          <w14:textFill>
            <w14:solidFill>
              <w14:schemeClr w14:val="tx1"/>
            </w14:solidFill>
          </w14:textFill>
        </w:rPr>
      </w:pPr>
      <w:r>
        <w:rPr>
          <w:rFonts w:hint="eastAsia" w:hAnsi="黑体"/>
          <w:color w:val="000000" w:themeColor="text1"/>
          <w14:textFill>
            <w14:solidFill>
              <w14:schemeClr w14:val="tx1"/>
            </w14:solidFill>
          </w14:textFill>
        </w:rPr>
        <w:t>3、质谱干扰</w:t>
      </w:r>
      <w:r>
        <w:rPr>
          <w:rFonts w:hint="eastAsia" w:hAnsi="黑体"/>
          <w:color w:val="000000" w:themeColor="text1"/>
          <w:lang w:val="en-US" w:eastAsia="zh-CN"/>
          <w14:textFill>
            <w14:solidFill>
              <w14:schemeClr w14:val="tx1"/>
            </w14:solidFill>
          </w14:textFill>
        </w:rPr>
        <w:t>情况</w:t>
      </w:r>
    </w:p>
    <w:p>
      <w:pPr>
        <w:keepNext w:val="0"/>
        <w:keepLines w:val="0"/>
        <w:pageBreakBefore w:val="0"/>
        <w:widowControl w:val="0"/>
        <w:kinsoku/>
        <w:wordWrap/>
        <w:overflowPunct/>
        <w:topLinePunct w:val="0"/>
        <w:autoSpaceDE/>
        <w:autoSpaceDN/>
        <w:bidi w:val="0"/>
        <w:adjustRightInd w:val="0"/>
        <w:snapToGrid w:val="0"/>
        <w:spacing w:line="288" w:lineRule="auto"/>
        <w:ind w:firstLine="437"/>
        <w:textAlignment w:val="auto"/>
        <w:rPr>
          <w:rFonts w:hint="eastAsia"/>
          <w:color w:val="auto"/>
          <w:szCs w:val="21"/>
        </w:rPr>
      </w:pPr>
      <w:r>
        <w:rPr>
          <w:rFonts w:hint="eastAsia"/>
          <w:color w:val="auto"/>
          <w:szCs w:val="21"/>
          <w:vertAlign w:val="baseline"/>
          <w:lang w:val="en-US" w:eastAsia="zh-CN"/>
        </w:rPr>
        <w:t>铅及铅合金中</w:t>
      </w:r>
      <w:r>
        <w:rPr>
          <w:rFonts w:hint="eastAsia"/>
          <w:color w:val="auto"/>
          <w:szCs w:val="21"/>
          <w:vertAlign w:val="superscript"/>
          <w:lang w:val="en-US" w:eastAsia="zh-CN"/>
        </w:rPr>
        <w:t>24</w:t>
      </w:r>
      <w:r>
        <w:rPr>
          <w:rFonts w:hint="eastAsia"/>
          <w:color w:val="auto"/>
          <w:szCs w:val="21"/>
          <w:lang w:val="en-US" w:eastAsia="zh-CN"/>
        </w:rPr>
        <w:t>Mg、</w:t>
      </w:r>
      <w:r>
        <w:rPr>
          <w:rFonts w:hint="eastAsia"/>
          <w:color w:val="auto"/>
          <w:szCs w:val="21"/>
          <w:vertAlign w:val="superscript"/>
          <w:lang w:val="en-US" w:eastAsia="zh-CN"/>
        </w:rPr>
        <w:t>27</w:t>
      </w:r>
      <w:r>
        <w:rPr>
          <w:rFonts w:hint="eastAsia"/>
          <w:color w:val="auto"/>
          <w:szCs w:val="21"/>
          <w:lang w:val="en-US" w:eastAsia="zh-CN"/>
        </w:rPr>
        <w:t>Al、</w:t>
      </w:r>
      <w:r>
        <w:rPr>
          <w:rFonts w:hint="eastAsia"/>
          <w:color w:val="auto"/>
          <w:szCs w:val="21"/>
          <w:vertAlign w:val="superscript"/>
          <w:lang w:val="en-US" w:eastAsia="zh-CN"/>
        </w:rPr>
        <w:t>63</w:t>
      </w:r>
      <w:r>
        <w:rPr>
          <w:rFonts w:hint="eastAsia"/>
          <w:color w:val="auto"/>
          <w:szCs w:val="21"/>
          <w:lang w:val="en-US" w:eastAsia="zh-CN"/>
        </w:rPr>
        <w:t>Cu、</w:t>
      </w:r>
      <w:r>
        <w:rPr>
          <w:rFonts w:hint="eastAsia"/>
          <w:color w:val="auto"/>
          <w:szCs w:val="21"/>
          <w:vertAlign w:val="superscript"/>
          <w:lang w:val="en-US" w:eastAsia="zh-CN"/>
        </w:rPr>
        <w:t>66</w:t>
      </w:r>
      <w:r>
        <w:rPr>
          <w:rFonts w:hint="eastAsia"/>
          <w:color w:val="auto"/>
          <w:szCs w:val="21"/>
          <w:lang w:val="en-US" w:eastAsia="zh-CN"/>
        </w:rPr>
        <w:t>Zn、</w:t>
      </w:r>
      <w:r>
        <w:rPr>
          <w:rFonts w:hint="eastAsia"/>
          <w:color w:val="auto"/>
          <w:szCs w:val="21"/>
          <w:vertAlign w:val="superscript"/>
          <w:lang w:val="en-US" w:eastAsia="zh-CN"/>
        </w:rPr>
        <w:t>75</w:t>
      </w:r>
      <w:r>
        <w:rPr>
          <w:rFonts w:hint="eastAsia"/>
          <w:color w:val="auto"/>
          <w:szCs w:val="21"/>
          <w:lang w:val="en-US" w:eastAsia="zh-CN"/>
        </w:rPr>
        <w:t>As、</w:t>
      </w:r>
      <w:r>
        <w:rPr>
          <w:rFonts w:hint="eastAsia"/>
          <w:color w:val="auto"/>
          <w:szCs w:val="21"/>
          <w:vertAlign w:val="superscript"/>
          <w:lang w:val="en-US" w:eastAsia="zh-CN"/>
        </w:rPr>
        <w:t>107</w:t>
      </w:r>
      <w:r>
        <w:rPr>
          <w:rFonts w:hint="eastAsia"/>
          <w:color w:val="auto"/>
          <w:szCs w:val="21"/>
          <w:lang w:val="en-US" w:eastAsia="zh-CN"/>
        </w:rPr>
        <w:t>Ag、</w:t>
      </w:r>
      <w:r>
        <w:rPr>
          <w:rFonts w:hint="eastAsia"/>
          <w:color w:val="auto"/>
          <w:szCs w:val="21"/>
          <w:vertAlign w:val="superscript"/>
          <w:lang w:val="en-US" w:eastAsia="zh-CN"/>
        </w:rPr>
        <w:t>111</w:t>
      </w:r>
      <w:r>
        <w:rPr>
          <w:rFonts w:hint="eastAsia"/>
          <w:color w:val="auto"/>
          <w:szCs w:val="21"/>
          <w:lang w:val="en-US" w:eastAsia="zh-CN"/>
        </w:rPr>
        <w:t>Cd、</w:t>
      </w:r>
      <w:r>
        <w:rPr>
          <w:rFonts w:hint="eastAsia"/>
          <w:color w:val="auto"/>
          <w:szCs w:val="21"/>
          <w:vertAlign w:val="superscript"/>
          <w:lang w:val="en-US" w:eastAsia="zh-CN"/>
        </w:rPr>
        <w:t>118</w:t>
      </w:r>
      <w:r>
        <w:rPr>
          <w:rFonts w:hint="eastAsia"/>
          <w:color w:val="auto"/>
          <w:szCs w:val="21"/>
          <w:lang w:val="en-US" w:eastAsia="zh-CN"/>
        </w:rPr>
        <w:t>Sn、</w:t>
      </w:r>
      <w:r>
        <w:rPr>
          <w:rFonts w:hint="eastAsia"/>
          <w:color w:val="auto"/>
          <w:szCs w:val="21"/>
          <w:vertAlign w:val="superscript"/>
          <w:lang w:val="en-US" w:eastAsia="zh-CN"/>
        </w:rPr>
        <w:t>128</w:t>
      </w:r>
      <w:r>
        <w:rPr>
          <w:rFonts w:hint="eastAsia"/>
          <w:color w:val="auto"/>
          <w:szCs w:val="21"/>
          <w:lang w:val="en-US" w:eastAsia="zh-CN"/>
        </w:rPr>
        <w:t>Te同位素丰度高且无同量异位素干扰，无基体氧化物、双电荷干扰，可以直接采用。</w:t>
      </w:r>
      <w:r>
        <w:rPr>
          <w:rFonts w:hint="eastAsia"/>
          <w:color w:val="auto"/>
          <w:szCs w:val="21"/>
          <w:vertAlign w:val="superscript"/>
        </w:rPr>
        <w:t>40</w:t>
      </w:r>
      <w:r>
        <w:rPr>
          <w:rFonts w:hint="eastAsia"/>
          <w:color w:val="auto"/>
          <w:szCs w:val="21"/>
        </w:rPr>
        <w:t>Ca</w:t>
      </w:r>
      <w:r>
        <w:rPr>
          <w:rFonts w:hint="eastAsia"/>
          <w:color w:val="auto"/>
          <w:szCs w:val="21"/>
          <w:vertAlign w:val="superscript"/>
          <w:lang w:val="en-US" w:eastAsia="zh-CN"/>
        </w:rPr>
        <w:t>+</w:t>
      </w:r>
      <w:r>
        <w:rPr>
          <w:color w:val="auto"/>
          <w:szCs w:val="21"/>
        </w:rPr>
        <w:t>、</w:t>
      </w:r>
      <w:r>
        <w:rPr>
          <w:color w:val="auto"/>
          <w:szCs w:val="21"/>
          <w:vertAlign w:val="superscript"/>
        </w:rPr>
        <w:t>56</w:t>
      </w:r>
      <w:r>
        <w:rPr>
          <w:rFonts w:hint="eastAsia"/>
          <w:color w:val="auto"/>
          <w:szCs w:val="21"/>
        </w:rPr>
        <w:t>Fe</w:t>
      </w:r>
      <w:r>
        <w:rPr>
          <w:rFonts w:hint="eastAsia"/>
          <w:color w:val="auto"/>
          <w:szCs w:val="21"/>
          <w:vertAlign w:val="superscript"/>
          <w:lang w:val="en-US" w:eastAsia="zh-CN"/>
        </w:rPr>
        <w:t>+</w:t>
      </w:r>
      <w:r>
        <w:rPr>
          <w:color w:val="auto"/>
          <w:szCs w:val="21"/>
        </w:rPr>
        <w:t>、</w:t>
      </w:r>
      <w:r>
        <w:rPr>
          <w:rFonts w:hint="eastAsia"/>
          <w:color w:val="auto"/>
          <w:szCs w:val="21"/>
          <w:vertAlign w:val="superscript"/>
          <w:lang w:val="en-US" w:eastAsia="zh-CN"/>
        </w:rPr>
        <w:t>80</w:t>
      </w:r>
      <w:r>
        <w:rPr>
          <w:color w:val="auto"/>
          <w:szCs w:val="21"/>
        </w:rPr>
        <w:t>S</w:t>
      </w:r>
      <w:r>
        <w:rPr>
          <w:rFonts w:hint="eastAsia"/>
          <w:color w:val="auto"/>
          <w:szCs w:val="21"/>
          <w:lang w:val="en-US" w:eastAsia="zh-CN"/>
        </w:rPr>
        <w:t>e</w:t>
      </w:r>
      <w:r>
        <w:rPr>
          <w:rFonts w:hint="eastAsia"/>
          <w:color w:val="auto"/>
          <w:szCs w:val="21"/>
          <w:vertAlign w:val="superscript"/>
          <w:lang w:val="en-US" w:eastAsia="zh-CN"/>
        </w:rPr>
        <w:t>+</w:t>
      </w:r>
      <w:r>
        <w:rPr>
          <w:rFonts w:hint="eastAsia"/>
          <w:color w:val="auto"/>
          <w:szCs w:val="21"/>
        </w:rPr>
        <w:t>受到</w:t>
      </w:r>
      <w:r>
        <w:rPr>
          <w:color w:val="auto"/>
          <w:szCs w:val="21"/>
          <w:vertAlign w:val="superscript"/>
        </w:rPr>
        <w:t>40</w:t>
      </w:r>
      <w:r>
        <w:rPr>
          <w:color w:val="auto"/>
          <w:szCs w:val="21"/>
        </w:rPr>
        <w:t>Ar</w:t>
      </w:r>
      <w:r>
        <w:rPr>
          <w:rFonts w:hint="eastAsia"/>
          <w:color w:val="auto"/>
          <w:szCs w:val="21"/>
          <w:vertAlign w:val="superscript"/>
          <w:lang w:val="en-US" w:eastAsia="zh-CN"/>
        </w:rPr>
        <w:t>+</w:t>
      </w:r>
      <w:r>
        <w:rPr>
          <w:rFonts w:hint="eastAsia"/>
          <w:color w:val="auto"/>
          <w:szCs w:val="21"/>
          <w:lang w:eastAsia="zh-CN"/>
        </w:rPr>
        <w:t>、</w:t>
      </w:r>
      <w:r>
        <w:rPr>
          <w:color w:val="auto"/>
          <w:szCs w:val="21"/>
          <w:vertAlign w:val="superscript"/>
        </w:rPr>
        <w:t>40</w:t>
      </w:r>
      <w:r>
        <w:rPr>
          <w:color w:val="auto"/>
          <w:szCs w:val="21"/>
        </w:rPr>
        <w:t>Ar</w:t>
      </w:r>
      <w:r>
        <w:rPr>
          <w:rFonts w:hint="eastAsia"/>
          <w:color w:val="auto"/>
          <w:szCs w:val="21"/>
          <w:vertAlign w:val="superscript"/>
        </w:rPr>
        <w:t>16</w:t>
      </w:r>
      <w:r>
        <w:rPr>
          <w:color w:val="auto"/>
          <w:szCs w:val="21"/>
        </w:rPr>
        <w:t>O</w:t>
      </w:r>
      <w:r>
        <w:rPr>
          <w:rFonts w:hint="eastAsia"/>
          <w:color w:val="auto"/>
          <w:szCs w:val="21"/>
          <w:vertAlign w:val="superscript"/>
          <w:lang w:val="en-US" w:eastAsia="zh-CN"/>
        </w:rPr>
        <w:t>+</w:t>
      </w:r>
      <w:r>
        <w:rPr>
          <w:color w:val="auto"/>
          <w:szCs w:val="21"/>
          <w:vertAlign w:val="superscript"/>
        </w:rPr>
        <w:t xml:space="preserve"> </w:t>
      </w:r>
      <w:r>
        <w:rPr>
          <w:rFonts w:hint="eastAsia"/>
          <w:color w:val="auto"/>
          <w:szCs w:val="21"/>
        </w:rPr>
        <w:t>、</w:t>
      </w:r>
      <w:r>
        <w:rPr>
          <w:color w:val="auto"/>
          <w:szCs w:val="21"/>
          <w:vertAlign w:val="superscript"/>
        </w:rPr>
        <w:t>40</w:t>
      </w:r>
      <w:r>
        <w:rPr>
          <w:color w:val="auto"/>
          <w:szCs w:val="21"/>
        </w:rPr>
        <w:t>Ar</w:t>
      </w:r>
      <w:r>
        <w:rPr>
          <w:color w:val="auto"/>
          <w:szCs w:val="21"/>
          <w:vertAlign w:val="superscript"/>
        </w:rPr>
        <w:t>40</w:t>
      </w:r>
      <w:r>
        <w:rPr>
          <w:color w:val="auto"/>
          <w:szCs w:val="21"/>
        </w:rPr>
        <w:t>Ar</w:t>
      </w:r>
      <w:r>
        <w:rPr>
          <w:rFonts w:hint="eastAsia"/>
          <w:color w:val="auto"/>
          <w:szCs w:val="21"/>
          <w:vertAlign w:val="superscript"/>
          <w:lang w:val="en-US" w:eastAsia="zh-CN"/>
        </w:rPr>
        <w:t>+</w:t>
      </w:r>
      <w:r>
        <w:rPr>
          <w:rFonts w:hint="eastAsia"/>
          <w:color w:val="auto"/>
          <w:szCs w:val="21"/>
        </w:rPr>
        <w:t>的</w:t>
      </w:r>
      <w:r>
        <w:rPr>
          <w:color w:val="auto"/>
          <w:szCs w:val="21"/>
        </w:rPr>
        <w:t>干扰，</w:t>
      </w:r>
      <w:r>
        <w:rPr>
          <w:rFonts w:hint="eastAsia"/>
          <w:color w:val="auto"/>
          <w:szCs w:val="21"/>
          <w:lang w:val="en-US" w:eastAsia="zh-CN"/>
        </w:rPr>
        <w:t>可</w:t>
      </w:r>
      <w:r>
        <w:rPr>
          <w:color w:val="auto"/>
          <w:szCs w:val="21"/>
        </w:rPr>
        <w:t>采用H</w:t>
      </w:r>
      <w:r>
        <w:rPr>
          <w:color w:val="auto"/>
          <w:szCs w:val="21"/>
          <w:vertAlign w:val="subscript"/>
        </w:rPr>
        <w:t>2</w:t>
      </w:r>
      <w:r>
        <w:rPr>
          <w:rFonts w:hint="eastAsia"/>
          <w:color w:val="auto"/>
          <w:szCs w:val="21"/>
          <w:vertAlign w:val="baseline"/>
          <w:lang w:val="en-US" w:eastAsia="zh-CN"/>
        </w:rPr>
        <w:t xml:space="preserve"> / He</w:t>
      </w:r>
      <w:r>
        <w:rPr>
          <w:rFonts w:hint="eastAsia"/>
          <w:color w:val="auto"/>
          <w:szCs w:val="21"/>
        </w:rPr>
        <w:t>碰撞</w:t>
      </w:r>
      <w:r>
        <w:rPr>
          <w:color w:val="auto"/>
          <w:szCs w:val="21"/>
        </w:rPr>
        <w:t>反应模式进行测定</w:t>
      </w:r>
      <w:r>
        <w:rPr>
          <w:rFonts w:hint="eastAsia"/>
          <w:color w:val="auto"/>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37"/>
        <w:textAlignment w:val="auto"/>
        <w:rPr>
          <w:rFonts w:hint="eastAsia"/>
          <w:color w:val="auto"/>
          <w:szCs w:val="21"/>
          <w:vertAlign w:val="baseline"/>
          <w:lang w:val="en-US" w:eastAsia="zh-CN"/>
        </w:rPr>
      </w:pPr>
      <w:r>
        <w:rPr>
          <w:rFonts w:hint="eastAsia"/>
          <w:color w:val="auto"/>
          <w:szCs w:val="21"/>
          <w:vertAlign w:val="baseline"/>
          <w:lang w:val="en-US" w:eastAsia="zh-CN"/>
        </w:rPr>
        <w:t>本标准适用的铅合金包括</w:t>
      </w:r>
      <w:r>
        <w:rPr>
          <w:rFonts w:hAnsi="宋体"/>
          <w:color w:val="auto"/>
          <w:szCs w:val="20"/>
        </w:rPr>
        <w:t>蓄电池板栅用铅钙合金锭</w:t>
      </w:r>
      <w:r>
        <w:rPr>
          <w:rFonts w:hint="eastAsia" w:hAnsi="宋体"/>
          <w:color w:val="auto"/>
          <w:szCs w:val="20"/>
        </w:rPr>
        <w:t>、</w:t>
      </w:r>
      <w:r>
        <w:rPr>
          <w:rFonts w:hAnsi="宋体"/>
          <w:color w:val="auto"/>
          <w:szCs w:val="20"/>
        </w:rPr>
        <w:t>蓄电池板栅用铅锑合金锭</w:t>
      </w:r>
      <w:r>
        <w:rPr>
          <w:rFonts w:hint="eastAsia" w:hAnsi="宋体"/>
          <w:color w:val="auto"/>
          <w:szCs w:val="20"/>
          <w:lang w:eastAsia="zh-CN"/>
        </w:rPr>
        <w:t>、</w:t>
      </w:r>
      <w:r>
        <w:rPr>
          <w:rFonts w:hint="eastAsia"/>
          <w:color w:val="auto"/>
          <w:lang w:val="en-US" w:eastAsia="zh-CN"/>
        </w:rPr>
        <w:t>电缆护套用铅合金锭、电解沉积用铅阳极板。上述铅合金中除了基体元素Pb，还存在Sb、Sn、Ag、Cu、Ca、Al，其最高含量见表5。</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表5  铅合金中合金元素最大质量分数</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元素</w:t>
            </w:r>
          </w:p>
        </w:tc>
        <w:tc>
          <w:tcPr>
            <w:tcW w:w="239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质量分数/%</w:t>
            </w:r>
          </w:p>
        </w:tc>
        <w:tc>
          <w:tcPr>
            <w:tcW w:w="239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2"/>
                <w:sz w:val="18"/>
                <w:szCs w:val="18"/>
                <w:vertAlign w:val="baseline"/>
                <w:lang w:val="en-US" w:eastAsia="zh-CN" w:bidi="ar-SA"/>
              </w:rPr>
            </w:pPr>
            <w:r>
              <w:rPr>
                <w:rFonts w:hint="default" w:ascii="Times New Roman" w:hAnsi="Times New Roman" w:cs="Times New Roman"/>
                <w:color w:val="auto"/>
                <w:sz w:val="18"/>
                <w:szCs w:val="18"/>
                <w:vertAlign w:val="baseline"/>
                <w:lang w:val="en-US" w:eastAsia="zh-CN"/>
              </w:rPr>
              <w:t>元素</w:t>
            </w:r>
          </w:p>
        </w:tc>
        <w:tc>
          <w:tcPr>
            <w:tcW w:w="239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2"/>
                <w:sz w:val="18"/>
                <w:szCs w:val="18"/>
                <w:vertAlign w:val="baseline"/>
                <w:lang w:val="en-US" w:eastAsia="zh-CN" w:bidi="ar-SA"/>
              </w:rPr>
            </w:pPr>
            <w:r>
              <w:rPr>
                <w:rFonts w:hint="default" w:ascii="Times New Roman" w:hAnsi="Times New Roman" w:cs="Times New Roman"/>
                <w:color w:val="auto"/>
                <w:sz w:val="18"/>
                <w:szCs w:val="18"/>
                <w:vertAlign w:val="baseline"/>
                <w:lang w:val="en-US" w:eastAsia="zh-CN"/>
              </w:rPr>
              <w:t>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2"/>
                <w:sz w:val="18"/>
                <w:szCs w:val="18"/>
                <w:vertAlign w:val="baseline"/>
                <w:lang w:val="en-US" w:eastAsia="zh-CN" w:bidi="ar-SA"/>
              </w:rPr>
            </w:pPr>
            <w:r>
              <w:rPr>
                <w:rFonts w:hint="default" w:ascii="Times New Roman" w:hAnsi="Times New Roman" w:cs="Times New Roman"/>
                <w:color w:val="auto"/>
                <w:sz w:val="18"/>
                <w:szCs w:val="18"/>
                <w:vertAlign w:val="baseline"/>
                <w:lang w:val="en-US" w:eastAsia="zh-CN"/>
              </w:rPr>
              <w:t>Sb</w:t>
            </w:r>
          </w:p>
        </w:tc>
        <w:tc>
          <w:tcPr>
            <w:tcW w:w="239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18"/>
                <w:szCs w:val="18"/>
                <w:vertAlign w:val="baseline"/>
                <w:lang w:val="en-US" w:eastAsia="zh-CN" w:bidi="ar-SA"/>
              </w:rPr>
            </w:pPr>
            <w:r>
              <w:rPr>
                <w:rFonts w:hint="default" w:ascii="Times New Roman" w:hAnsi="Times New Roman" w:cs="Times New Roman"/>
                <w:color w:val="auto"/>
                <w:sz w:val="18"/>
                <w:szCs w:val="18"/>
                <w:lang w:val="en-US" w:eastAsia="zh-CN"/>
              </w:rPr>
              <w:t>8.5</w:t>
            </w:r>
          </w:p>
        </w:tc>
        <w:tc>
          <w:tcPr>
            <w:tcW w:w="239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2"/>
                <w:sz w:val="18"/>
                <w:szCs w:val="18"/>
                <w:vertAlign w:val="baseline"/>
                <w:lang w:val="en-US" w:eastAsia="zh-CN" w:bidi="ar-SA"/>
              </w:rPr>
            </w:pPr>
            <w:r>
              <w:rPr>
                <w:rFonts w:hint="default" w:ascii="Times New Roman" w:hAnsi="Times New Roman" w:cs="Times New Roman"/>
                <w:color w:val="auto"/>
                <w:sz w:val="18"/>
                <w:szCs w:val="18"/>
                <w:vertAlign w:val="baseline"/>
                <w:lang w:val="en-US" w:eastAsia="zh-CN"/>
              </w:rPr>
              <w:t>Cu</w:t>
            </w:r>
          </w:p>
        </w:tc>
        <w:tc>
          <w:tcPr>
            <w:tcW w:w="239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2"/>
                <w:sz w:val="18"/>
                <w:szCs w:val="18"/>
                <w:vertAlign w:val="baseline"/>
                <w:lang w:val="en-US" w:eastAsia="zh-CN" w:bidi="ar-SA"/>
              </w:rPr>
            </w:pPr>
            <w:r>
              <w:rPr>
                <w:rFonts w:hint="default" w:ascii="Times New Roman" w:hAnsi="Times New Roman" w:cs="Times New Roman"/>
                <w:color w:val="auto"/>
                <w:sz w:val="18"/>
                <w:szCs w:val="18"/>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2"/>
                <w:sz w:val="18"/>
                <w:szCs w:val="18"/>
                <w:vertAlign w:val="baseline"/>
                <w:lang w:val="en-US" w:eastAsia="zh-CN" w:bidi="ar-SA"/>
              </w:rPr>
            </w:pPr>
            <w:r>
              <w:rPr>
                <w:rFonts w:hint="default" w:ascii="Times New Roman" w:hAnsi="Times New Roman" w:cs="Times New Roman"/>
                <w:color w:val="auto"/>
                <w:sz w:val="18"/>
                <w:szCs w:val="18"/>
                <w:vertAlign w:val="baseline"/>
                <w:lang w:val="en-US" w:eastAsia="zh-CN"/>
              </w:rPr>
              <w:t>Sn</w:t>
            </w:r>
          </w:p>
        </w:tc>
        <w:tc>
          <w:tcPr>
            <w:tcW w:w="239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18"/>
                <w:szCs w:val="18"/>
                <w:vertAlign w:val="baseline"/>
                <w:lang w:val="en-US" w:eastAsia="zh-CN" w:bidi="ar-SA"/>
              </w:rPr>
            </w:pPr>
            <w:r>
              <w:rPr>
                <w:rFonts w:hint="default" w:ascii="Times New Roman" w:hAnsi="Times New Roman" w:cs="Times New Roman"/>
                <w:color w:val="auto"/>
                <w:sz w:val="18"/>
                <w:szCs w:val="18"/>
                <w:lang w:val="en-US" w:eastAsia="zh-CN"/>
              </w:rPr>
              <w:t>1.8</w:t>
            </w:r>
          </w:p>
        </w:tc>
        <w:tc>
          <w:tcPr>
            <w:tcW w:w="239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2"/>
                <w:sz w:val="18"/>
                <w:szCs w:val="18"/>
                <w:vertAlign w:val="baseline"/>
                <w:lang w:val="en-US" w:eastAsia="zh-CN" w:bidi="ar-SA"/>
              </w:rPr>
            </w:pPr>
            <w:r>
              <w:rPr>
                <w:rFonts w:hint="default" w:ascii="Times New Roman" w:hAnsi="Times New Roman" w:cs="Times New Roman"/>
                <w:color w:val="auto"/>
                <w:sz w:val="18"/>
                <w:szCs w:val="18"/>
                <w:vertAlign w:val="baseline"/>
                <w:lang w:val="en-US" w:eastAsia="zh-CN"/>
              </w:rPr>
              <w:t>Ca</w:t>
            </w:r>
          </w:p>
        </w:tc>
        <w:tc>
          <w:tcPr>
            <w:tcW w:w="239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18"/>
                <w:szCs w:val="18"/>
                <w:vertAlign w:val="baseline"/>
                <w:lang w:val="en-US" w:eastAsia="zh-CN" w:bidi="ar-SA"/>
              </w:rPr>
            </w:pPr>
            <w:r>
              <w:rPr>
                <w:rFonts w:hint="default" w:ascii="Times New Roman" w:hAnsi="Times New Roman" w:cs="Times New Roman"/>
                <w:color w:val="auto"/>
                <w:sz w:val="18"/>
                <w:szCs w:val="18"/>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2"/>
                <w:sz w:val="18"/>
                <w:szCs w:val="18"/>
                <w:vertAlign w:val="baseline"/>
                <w:lang w:val="en-US" w:eastAsia="zh-CN" w:bidi="ar-SA"/>
              </w:rPr>
            </w:pPr>
            <w:r>
              <w:rPr>
                <w:rFonts w:hint="default" w:ascii="Times New Roman" w:hAnsi="Times New Roman" w:cs="Times New Roman"/>
                <w:color w:val="auto"/>
                <w:sz w:val="18"/>
                <w:szCs w:val="18"/>
                <w:vertAlign w:val="baseline"/>
                <w:lang w:val="en-US" w:eastAsia="zh-CN"/>
              </w:rPr>
              <w:t>Ag</w:t>
            </w:r>
          </w:p>
        </w:tc>
        <w:tc>
          <w:tcPr>
            <w:tcW w:w="239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2"/>
                <w:sz w:val="18"/>
                <w:szCs w:val="18"/>
                <w:vertAlign w:val="baseline"/>
                <w:lang w:val="en-US" w:eastAsia="zh-CN" w:bidi="ar-SA"/>
              </w:rPr>
            </w:pPr>
            <w:r>
              <w:rPr>
                <w:rFonts w:hint="default" w:ascii="Times New Roman" w:hAnsi="Times New Roman" w:cs="Times New Roman"/>
                <w:color w:val="auto"/>
                <w:sz w:val="18"/>
                <w:szCs w:val="18"/>
                <w:vertAlign w:val="baseline"/>
                <w:lang w:val="en-US" w:eastAsia="zh-CN"/>
              </w:rPr>
              <w:t>1.2</w:t>
            </w:r>
          </w:p>
        </w:tc>
        <w:tc>
          <w:tcPr>
            <w:tcW w:w="239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Al</w:t>
            </w:r>
          </w:p>
        </w:tc>
        <w:tc>
          <w:tcPr>
            <w:tcW w:w="239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0.05</w:t>
            </w:r>
          </w:p>
        </w:tc>
      </w:tr>
    </w:tbl>
    <w:p>
      <w:pPr>
        <w:keepNext w:val="0"/>
        <w:keepLines w:val="0"/>
        <w:pageBreakBefore w:val="0"/>
        <w:widowControl w:val="0"/>
        <w:kinsoku/>
        <w:wordWrap/>
        <w:overflowPunct/>
        <w:topLinePunct w:val="0"/>
        <w:autoSpaceDE/>
        <w:autoSpaceDN/>
        <w:bidi w:val="0"/>
        <w:adjustRightInd w:val="0"/>
        <w:snapToGrid w:val="0"/>
        <w:spacing w:before="157" w:beforeLines="50" w:line="288" w:lineRule="auto"/>
        <w:ind w:firstLine="437"/>
        <w:textAlignment w:val="auto"/>
        <w:rPr>
          <w:rFonts w:hint="eastAsia"/>
          <w:color w:val="auto"/>
          <w:szCs w:val="21"/>
          <w:vertAlign w:val="baseline"/>
          <w:lang w:val="en-US" w:eastAsia="zh-CN"/>
        </w:rPr>
      </w:pPr>
      <w:r>
        <w:rPr>
          <w:rFonts w:hint="eastAsia"/>
          <w:color w:val="auto"/>
          <w:lang w:val="en-US" w:eastAsia="zh-CN"/>
        </w:rPr>
        <w:t>因此，分析试液中除了大量的Pb</w:t>
      </w:r>
      <w:r>
        <w:rPr>
          <w:rFonts w:hint="eastAsia"/>
          <w:color w:val="auto"/>
          <w:vertAlign w:val="superscript"/>
          <w:lang w:val="en-US" w:eastAsia="zh-CN"/>
        </w:rPr>
        <w:t>+</w:t>
      </w:r>
      <w:r>
        <w:rPr>
          <w:rFonts w:hint="eastAsia"/>
          <w:color w:val="auto"/>
          <w:lang w:val="en-US" w:eastAsia="zh-CN"/>
        </w:rPr>
        <w:t>，还存在一定量的Sb</w:t>
      </w:r>
      <w:r>
        <w:rPr>
          <w:rFonts w:hint="eastAsia"/>
          <w:color w:val="auto"/>
          <w:vertAlign w:val="superscript"/>
          <w:lang w:val="en-US" w:eastAsia="zh-CN"/>
        </w:rPr>
        <w:t>+</w:t>
      </w:r>
      <w:r>
        <w:rPr>
          <w:rFonts w:hint="eastAsia"/>
          <w:color w:val="auto"/>
          <w:lang w:val="en-US" w:eastAsia="zh-CN"/>
        </w:rPr>
        <w:t>、Sn</w:t>
      </w:r>
      <w:r>
        <w:rPr>
          <w:rFonts w:hint="eastAsia"/>
          <w:color w:val="auto"/>
          <w:vertAlign w:val="superscript"/>
          <w:lang w:val="en-US" w:eastAsia="zh-CN"/>
        </w:rPr>
        <w:t>+</w:t>
      </w:r>
      <w:r>
        <w:rPr>
          <w:rFonts w:hint="eastAsia"/>
          <w:color w:val="auto"/>
          <w:lang w:val="en-US" w:eastAsia="zh-CN"/>
        </w:rPr>
        <w:t>、Ag</w:t>
      </w:r>
      <w:r>
        <w:rPr>
          <w:rFonts w:hint="eastAsia"/>
          <w:color w:val="auto"/>
          <w:vertAlign w:val="superscript"/>
          <w:lang w:val="en-US" w:eastAsia="zh-CN"/>
        </w:rPr>
        <w:t>+</w:t>
      </w:r>
      <w:r>
        <w:rPr>
          <w:rFonts w:hint="eastAsia"/>
          <w:color w:val="auto"/>
          <w:lang w:val="en-US" w:eastAsia="zh-CN"/>
        </w:rPr>
        <w:t>、Cu</w:t>
      </w:r>
      <w:r>
        <w:rPr>
          <w:rFonts w:hint="eastAsia"/>
          <w:color w:val="auto"/>
          <w:vertAlign w:val="superscript"/>
          <w:lang w:val="en-US" w:eastAsia="zh-CN"/>
        </w:rPr>
        <w:t>+</w:t>
      </w:r>
      <w:r>
        <w:rPr>
          <w:rFonts w:hint="eastAsia"/>
          <w:color w:val="auto"/>
          <w:lang w:val="en-US" w:eastAsia="zh-CN"/>
        </w:rPr>
        <w:t>、Ca</w:t>
      </w:r>
      <w:r>
        <w:rPr>
          <w:rFonts w:hint="eastAsia"/>
          <w:color w:val="auto"/>
          <w:vertAlign w:val="superscript"/>
          <w:lang w:val="en-US" w:eastAsia="zh-CN"/>
        </w:rPr>
        <w:t>+</w:t>
      </w:r>
      <w:r>
        <w:rPr>
          <w:rFonts w:hint="eastAsia"/>
          <w:color w:val="auto"/>
          <w:vertAlign w:val="baseline"/>
          <w:lang w:val="en-US" w:eastAsia="zh-CN"/>
        </w:rPr>
        <w:t>、Al</w:t>
      </w:r>
      <w:r>
        <w:rPr>
          <w:rFonts w:hint="eastAsia"/>
          <w:color w:val="auto"/>
          <w:vertAlign w:val="superscript"/>
          <w:lang w:val="en-US" w:eastAsia="zh-CN"/>
        </w:rPr>
        <w:t>+</w:t>
      </w:r>
      <w:r>
        <w:rPr>
          <w:rFonts w:hint="eastAsia"/>
          <w:color w:val="auto"/>
          <w:szCs w:val="21"/>
          <w:vertAlign w:val="baseline"/>
          <w:lang w:val="en-US" w:eastAsia="zh-CN"/>
        </w:rPr>
        <w:t>，需要考察上述离子对待测元素的质谱干扰。经分析，重点明确了</w:t>
      </w:r>
      <w:r>
        <w:rPr>
          <w:rFonts w:hint="eastAsia"/>
          <w:color w:val="auto"/>
          <w:szCs w:val="21"/>
          <w:vertAlign w:val="superscript"/>
          <w:lang w:val="en-US" w:eastAsia="zh-CN"/>
        </w:rPr>
        <w:t>208</w:t>
      </w:r>
      <w:r>
        <w:rPr>
          <w:rFonts w:hint="eastAsia"/>
          <w:color w:val="auto"/>
          <w:szCs w:val="21"/>
          <w:vertAlign w:val="baseline"/>
          <w:lang w:val="en-US" w:eastAsia="zh-CN"/>
        </w:rPr>
        <w:t>Pb</w:t>
      </w:r>
      <w:r>
        <w:rPr>
          <w:color w:val="auto"/>
          <w:szCs w:val="21"/>
          <w:vertAlign w:val="superscript"/>
        </w:rPr>
        <w:t>1</w:t>
      </w:r>
      <w:r>
        <w:rPr>
          <w:color w:val="auto"/>
          <w:szCs w:val="21"/>
        </w:rPr>
        <w:t>H</w:t>
      </w:r>
      <w:r>
        <w:rPr>
          <w:rFonts w:hint="eastAsia"/>
          <w:color w:val="auto"/>
          <w:szCs w:val="21"/>
          <w:vertAlign w:val="baseline"/>
          <w:lang w:val="en-US" w:eastAsia="zh-CN"/>
        </w:rPr>
        <w:t>对</w:t>
      </w:r>
      <w:r>
        <w:rPr>
          <w:rFonts w:hint="eastAsia"/>
          <w:color w:val="auto"/>
          <w:szCs w:val="21"/>
          <w:vertAlign w:val="superscript"/>
          <w:lang w:val="en-US" w:eastAsia="zh-CN"/>
        </w:rPr>
        <w:t>209</w:t>
      </w:r>
      <w:r>
        <w:rPr>
          <w:rFonts w:hint="eastAsia"/>
          <w:color w:val="auto"/>
          <w:szCs w:val="21"/>
          <w:lang w:val="en-US" w:eastAsia="zh-CN"/>
        </w:rPr>
        <w:t>Bi</w:t>
      </w:r>
      <w:r>
        <w:rPr>
          <w:rFonts w:hint="eastAsia"/>
          <w:color w:val="auto"/>
          <w:szCs w:val="21"/>
          <w:vertAlign w:val="baseline"/>
          <w:lang w:val="en-US" w:eastAsia="zh-CN"/>
        </w:rPr>
        <w:t>的干扰；</w:t>
      </w:r>
      <w:r>
        <w:rPr>
          <w:rFonts w:hint="eastAsia"/>
          <w:color w:val="auto"/>
          <w:szCs w:val="21"/>
          <w:vertAlign w:val="superscript"/>
          <w:lang w:val="en-US" w:eastAsia="zh-CN"/>
        </w:rPr>
        <w:t>116</w:t>
      </w:r>
      <w:r>
        <w:rPr>
          <w:rFonts w:hint="eastAsia"/>
          <w:color w:val="auto"/>
          <w:szCs w:val="21"/>
          <w:vertAlign w:val="baseline"/>
          <w:lang w:val="en-US" w:eastAsia="zh-CN"/>
        </w:rPr>
        <w:t>Sn</w:t>
      </w:r>
      <w:r>
        <w:rPr>
          <w:rFonts w:hint="eastAsia"/>
          <w:color w:val="auto"/>
          <w:szCs w:val="21"/>
          <w:vertAlign w:val="superscript"/>
          <w:lang w:val="en-US" w:eastAsia="zh-CN"/>
        </w:rPr>
        <w:t>2+</w:t>
      </w:r>
      <w:r>
        <w:rPr>
          <w:rFonts w:hint="eastAsia"/>
          <w:color w:val="auto"/>
          <w:szCs w:val="21"/>
          <w:vertAlign w:val="baseline"/>
          <w:lang w:val="en-US" w:eastAsia="zh-CN"/>
        </w:rPr>
        <w:t>、</w:t>
      </w:r>
      <w:r>
        <w:rPr>
          <w:rFonts w:hint="eastAsia"/>
          <w:color w:val="auto"/>
          <w:szCs w:val="21"/>
          <w:vertAlign w:val="superscript"/>
          <w:lang w:val="en-US" w:eastAsia="zh-CN"/>
        </w:rPr>
        <w:t>120</w:t>
      </w:r>
      <w:r>
        <w:rPr>
          <w:rFonts w:hint="eastAsia"/>
          <w:color w:val="auto"/>
          <w:szCs w:val="21"/>
          <w:vertAlign w:val="baseline"/>
          <w:lang w:val="en-US" w:eastAsia="zh-CN"/>
        </w:rPr>
        <w:t>Sn</w:t>
      </w:r>
      <w:r>
        <w:rPr>
          <w:rFonts w:hint="eastAsia"/>
          <w:color w:val="auto"/>
          <w:szCs w:val="21"/>
          <w:vertAlign w:val="superscript"/>
          <w:lang w:val="en-US" w:eastAsia="zh-CN"/>
        </w:rPr>
        <w:t>2+</w:t>
      </w:r>
      <w:r>
        <w:rPr>
          <w:rFonts w:hint="eastAsia"/>
          <w:color w:val="auto"/>
          <w:szCs w:val="21"/>
          <w:vertAlign w:val="baseline"/>
          <w:lang w:val="en-US" w:eastAsia="zh-CN"/>
        </w:rPr>
        <w:t>、</w:t>
      </w:r>
      <w:r>
        <w:rPr>
          <w:rFonts w:hint="eastAsia"/>
          <w:color w:val="auto"/>
          <w:szCs w:val="21"/>
          <w:vertAlign w:val="superscript"/>
          <w:lang w:val="en-US" w:eastAsia="zh-CN"/>
        </w:rPr>
        <w:t>122</w:t>
      </w:r>
      <w:r>
        <w:rPr>
          <w:rFonts w:hint="eastAsia"/>
          <w:color w:val="auto"/>
          <w:szCs w:val="21"/>
          <w:vertAlign w:val="baseline"/>
          <w:lang w:val="en-US" w:eastAsia="zh-CN"/>
        </w:rPr>
        <w:t>Sn</w:t>
      </w:r>
      <w:r>
        <w:rPr>
          <w:rFonts w:hint="eastAsia"/>
          <w:color w:val="auto"/>
          <w:szCs w:val="21"/>
          <w:vertAlign w:val="superscript"/>
          <w:lang w:val="en-US" w:eastAsia="zh-CN"/>
        </w:rPr>
        <w:t>2+</w:t>
      </w:r>
      <w:r>
        <w:rPr>
          <w:rFonts w:hint="eastAsia"/>
          <w:color w:val="auto"/>
          <w:szCs w:val="21"/>
          <w:vertAlign w:val="baseline"/>
          <w:lang w:val="en-US" w:eastAsia="zh-CN"/>
        </w:rPr>
        <w:t>、</w:t>
      </w:r>
      <w:r>
        <w:rPr>
          <w:rFonts w:hint="eastAsia"/>
          <w:color w:val="auto"/>
          <w:szCs w:val="21"/>
          <w:vertAlign w:val="superscript"/>
          <w:lang w:val="en-US" w:eastAsia="zh-CN"/>
        </w:rPr>
        <w:t>124</w:t>
      </w:r>
      <w:r>
        <w:rPr>
          <w:rFonts w:hint="eastAsia"/>
          <w:color w:val="auto"/>
          <w:szCs w:val="21"/>
          <w:vertAlign w:val="baseline"/>
          <w:lang w:val="en-US" w:eastAsia="zh-CN"/>
        </w:rPr>
        <w:t>Sn</w:t>
      </w:r>
      <w:r>
        <w:rPr>
          <w:rFonts w:hint="eastAsia"/>
          <w:color w:val="auto"/>
          <w:szCs w:val="21"/>
          <w:vertAlign w:val="superscript"/>
          <w:lang w:val="en-US" w:eastAsia="zh-CN"/>
        </w:rPr>
        <w:t>2+</w:t>
      </w:r>
      <w:r>
        <w:rPr>
          <w:rFonts w:hint="eastAsia"/>
          <w:color w:val="auto"/>
          <w:szCs w:val="21"/>
          <w:vertAlign w:val="baseline"/>
          <w:lang w:val="en-US" w:eastAsia="zh-CN"/>
        </w:rPr>
        <w:t>等双电荷离子对</w:t>
      </w:r>
      <w:r>
        <w:rPr>
          <w:rFonts w:hint="eastAsia"/>
          <w:color w:val="auto"/>
          <w:szCs w:val="21"/>
          <w:vertAlign w:val="superscript"/>
          <w:lang w:val="en-US" w:eastAsia="zh-CN"/>
        </w:rPr>
        <w:t>58</w:t>
      </w:r>
      <w:r>
        <w:rPr>
          <w:rFonts w:hint="eastAsia"/>
          <w:color w:val="auto"/>
          <w:szCs w:val="21"/>
          <w:vertAlign w:val="baseline"/>
          <w:lang w:val="en-US" w:eastAsia="zh-CN"/>
        </w:rPr>
        <w:t>Ni</w:t>
      </w:r>
      <w:r>
        <w:rPr>
          <w:rFonts w:hint="eastAsia"/>
          <w:color w:val="auto"/>
          <w:szCs w:val="21"/>
          <w:vertAlign w:val="superscript"/>
          <w:lang w:val="en-US" w:eastAsia="zh-CN"/>
        </w:rPr>
        <w:t>+</w:t>
      </w:r>
      <w:r>
        <w:rPr>
          <w:rFonts w:hint="eastAsia"/>
          <w:color w:val="auto"/>
          <w:szCs w:val="21"/>
          <w:vertAlign w:val="baseline"/>
          <w:lang w:val="en-US" w:eastAsia="zh-CN"/>
        </w:rPr>
        <w:t>、</w:t>
      </w:r>
      <w:r>
        <w:rPr>
          <w:rFonts w:hint="eastAsia"/>
          <w:color w:val="auto"/>
          <w:szCs w:val="21"/>
          <w:vertAlign w:val="superscript"/>
          <w:lang w:val="en-US" w:eastAsia="zh-CN"/>
        </w:rPr>
        <w:t>60</w:t>
      </w:r>
      <w:r>
        <w:rPr>
          <w:rFonts w:hint="eastAsia"/>
          <w:color w:val="auto"/>
          <w:szCs w:val="21"/>
          <w:vertAlign w:val="baseline"/>
          <w:lang w:val="en-US" w:eastAsia="zh-CN"/>
        </w:rPr>
        <w:t>Ni</w:t>
      </w:r>
      <w:r>
        <w:rPr>
          <w:rFonts w:hint="eastAsia"/>
          <w:color w:val="auto"/>
          <w:szCs w:val="21"/>
          <w:vertAlign w:val="superscript"/>
          <w:lang w:val="en-US" w:eastAsia="zh-CN"/>
        </w:rPr>
        <w:t>+</w:t>
      </w:r>
      <w:r>
        <w:rPr>
          <w:rFonts w:hint="eastAsia"/>
          <w:color w:val="auto"/>
          <w:szCs w:val="21"/>
          <w:vertAlign w:val="baseline"/>
          <w:lang w:val="en-US" w:eastAsia="zh-CN"/>
        </w:rPr>
        <w:t>、</w:t>
      </w:r>
      <w:r>
        <w:rPr>
          <w:rFonts w:hint="eastAsia"/>
          <w:color w:val="auto"/>
          <w:szCs w:val="21"/>
          <w:vertAlign w:val="superscript"/>
          <w:lang w:val="en-US" w:eastAsia="zh-CN"/>
        </w:rPr>
        <w:t>61</w:t>
      </w:r>
      <w:r>
        <w:rPr>
          <w:rFonts w:hint="eastAsia"/>
          <w:color w:val="auto"/>
          <w:szCs w:val="21"/>
          <w:vertAlign w:val="baseline"/>
          <w:lang w:val="en-US" w:eastAsia="zh-CN"/>
        </w:rPr>
        <w:t>Ni</w:t>
      </w:r>
      <w:r>
        <w:rPr>
          <w:rFonts w:hint="eastAsia"/>
          <w:color w:val="auto"/>
          <w:szCs w:val="21"/>
          <w:vertAlign w:val="superscript"/>
          <w:lang w:val="en-US" w:eastAsia="zh-CN"/>
        </w:rPr>
        <w:t>+</w:t>
      </w:r>
      <w:r>
        <w:rPr>
          <w:rFonts w:hint="eastAsia"/>
          <w:color w:val="auto"/>
          <w:szCs w:val="21"/>
          <w:vertAlign w:val="baseline"/>
          <w:lang w:val="en-US" w:eastAsia="zh-CN"/>
        </w:rPr>
        <w:t>、</w:t>
      </w:r>
      <w:r>
        <w:rPr>
          <w:rFonts w:hint="eastAsia"/>
          <w:color w:val="auto"/>
          <w:szCs w:val="21"/>
          <w:vertAlign w:val="superscript"/>
          <w:lang w:val="en-US" w:eastAsia="zh-CN"/>
        </w:rPr>
        <w:t>62</w:t>
      </w:r>
      <w:r>
        <w:rPr>
          <w:rFonts w:hint="eastAsia"/>
          <w:color w:val="auto"/>
          <w:szCs w:val="21"/>
          <w:vertAlign w:val="baseline"/>
          <w:lang w:val="en-US" w:eastAsia="zh-CN"/>
        </w:rPr>
        <w:t>Ni</w:t>
      </w:r>
      <w:r>
        <w:rPr>
          <w:rFonts w:hint="eastAsia"/>
          <w:color w:val="auto"/>
          <w:szCs w:val="21"/>
          <w:vertAlign w:val="superscript"/>
          <w:lang w:val="en-US" w:eastAsia="zh-CN"/>
        </w:rPr>
        <w:t>+</w:t>
      </w:r>
      <w:r>
        <w:rPr>
          <w:rFonts w:hint="eastAsia"/>
          <w:color w:val="auto"/>
          <w:szCs w:val="21"/>
          <w:vertAlign w:val="baseline"/>
          <w:lang w:val="en-US" w:eastAsia="zh-CN"/>
        </w:rPr>
        <w:t>的干扰；以及Sn的氢化物和Ag的氧化物离子对Sb的干扰。</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default" w:ascii="Times New Roman" w:hAnsi="Times New Roman" w:eastAsia="宋体" w:cs="Times New Roman"/>
          <w:b/>
          <w:bCs/>
          <w:color w:val="auto"/>
          <w:szCs w:val="21"/>
          <w:vertAlign w:val="baseline"/>
          <w:lang w:val="en-US" w:eastAsia="zh-CN"/>
        </w:rPr>
      </w:pPr>
      <w:r>
        <w:rPr>
          <w:rFonts w:hint="eastAsia" w:cs="Times New Roman"/>
          <w:b/>
          <w:bCs/>
          <w:color w:val="auto"/>
          <w:szCs w:val="21"/>
          <w:vertAlign w:val="baseline"/>
          <w:lang w:val="en-US" w:eastAsia="zh-CN"/>
        </w:rPr>
        <w:t>3</w:t>
      </w:r>
      <w:r>
        <w:rPr>
          <w:rFonts w:hint="eastAsia" w:ascii="Times New Roman" w:hAnsi="Times New Roman" w:eastAsia="宋体" w:cs="Times New Roman"/>
          <w:b/>
          <w:bCs/>
          <w:color w:val="auto"/>
          <w:szCs w:val="21"/>
          <w:vertAlign w:val="baseline"/>
          <w:lang w:val="en-US" w:eastAsia="zh-CN"/>
        </w:rPr>
        <w:t>.</w:t>
      </w:r>
      <w:r>
        <w:rPr>
          <w:rFonts w:hint="eastAsia" w:cs="Times New Roman"/>
          <w:b/>
          <w:bCs/>
          <w:color w:val="auto"/>
          <w:szCs w:val="21"/>
          <w:vertAlign w:val="baseline"/>
          <w:lang w:val="en-US" w:eastAsia="zh-CN"/>
        </w:rPr>
        <w:t>1</w:t>
      </w:r>
      <w:r>
        <w:rPr>
          <w:rFonts w:hint="eastAsia" w:ascii="Times New Roman" w:hAnsi="Times New Roman" w:eastAsia="宋体" w:cs="Times New Roman"/>
          <w:b/>
          <w:bCs/>
          <w:color w:val="auto"/>
          <w:szCs w:val="21"/>
          <w:vertAlign w:val="baseline"/>
          <w:lang w:val="en-US" w:eastAsia="zh-CN"/>
        </w:rPr>
        <w:t xml:space="preserve">  铋质谱干扰情况</w:t>
      </w:r>
    </w:p>
    <w:p>
      <w:pPr>
        <w:keepNext w:val="0"/>
        <w:keepLines w:val="0"/>
        <w:pageBreakBefore w:val="0"/>
        <w:widowControl w:val="0"/>
        <w:kinsoku/>
        <w:wordWrap/>
        <w:overflowPunct/>
        <w:topLinePunct w:val="0"/>
        <w:autoSpaceDE/>
        <w:autoSpaceDN/>
        <w:bidi w:val="0"/>
        <w:adjustRightInd w:val="0"/>
        <w:snapToGrid w:val="0"/>
        <w:spacing w:line="288" w:lineRule="auto"/>
        <w:ind w:firstLine="435"/>
        <w:textAlignment w:val="auto"/>
        <w:rPr>
          <w:rFonts w:hint="eastAsia"/>
          <w:color w:val="auto"/>
          <w:szCs w:val="21"/>
          <w:lang w:val="en-US" w:eastAsia="zh-CN"/>
        </w:rPr>
      </w:pPr>
      <w:r>
        <w:rPr>
          <w:rFonts w:hint="eastAsia"/>
          <w:color w:val="auto"/>
          <w:szCs w:val="21"/>
          <w:vertAlign w:val="superscript"/>
          <w:lang w:val="en-US" w:eastAsia="zh-CN"/>
        </w:rPr>
        <w:t>209</w:t>
      </w:r>
      <w:r>
        <w:rPr>
          <w:rFonts w:hint="eastAsia"/>
          <w:color w:val="auto"/>
          <w:szCs w:val="21"/>
          <w:lang w:val="en-US" w:eastAsia="zh-CN"/>
        </w:rPr>
        <w:t>Bi（M=208.98039）</w:t>
      </w:r>
      <w:r>
        <w:rPr>
          <w:color w:val="auto"/>
          <w:szCs w:val="21"/>
        </w:rPr>
        <w:t>易受到</w:t>
      </w:r>
      <w:r>
        <w:rPr>
          <w:rFonts w:hint="eastAsia"/>
          <w:color w:val="auto"/>
          <w:szCs w:val="21"/>
          <w:vertAlign w:val="superscript"/>
          <w:lang w:val="en-US" w:eastAsia="zh-CN"/>
        </w:rPr>
        <w:t>208</w:t>
      </w:r>
      <w:r>
        <w:rPr>
          <w:rFonts w:hint="eastAsia"/>
          <w:color w:val="auto"/>
          <w:szCs w:val="21"/>
          <w:vertAlign w:val="baseline"/>
          <w:lang w:val="en-US" w:eastAsia="zh-CN"/>
        </w:rPr>
        <w:t>Pb</w:t>
      </w:r>
      <w:r>
        <w:rPr>
          <w:color w:val="auto"/>
          <w:szCs w:val="21"/>
          <w:vertAlign w:val="superscript"/>
        </w:rPr>
        <w:t>1</w:t>
      </w:r>
      <w:r>
        <w:rPr>
          <w:color w:val="auto"/>
          <w:szCs w:val="21"/>
        </w:rPr>
        <w:t>H</w:t>
      </w:r>
      <w:r>
        <w:rPr>
          <w:rFonts w:hint="eastAsia"/>
          <w:color w:val="auto"/>
          <w:szCs w:val="21"/>
          <w:lang w:eastAsia="zh-CN"/>
        </w:rPr>
        <w:t>（</w:t>
      </w:r>
      <w:r>
        <w:rPr>
          <w:rFonts w:hint="eastAsia"/>
          <w:color w:val="auto"/>
          <w:szCs w:val="21"/>
          <w:lang w:val="en-US" w:eastAsia="zh-CN"/>
        </w:rPr>
        <w:t>M=208.98447</w:t>
      </w:r>
      <w:r>
        <w:rPr>
          <w:rFonts w:hint="eastAsia"/>
          <w:color w:val="auto"/>
          <w:szCs w:val="21"/>
          <w:lang w:eastAsia="zh-CN"/>
        </w:rPr>
        <w:t>）</w:t>
      </w:r>
      <w:r>
        <w:rPr>
          <w:rFonts w:hint="eastAsia"/>
          <w:color w:val="auto"/>
          <w:szCs w:val="21"/>
          <w:lang w:val="en-US" w:eastAsia="zh-CN"/>
        </w:rPr>
        <w:t>的质谱</w:t>
      </w:r>
      <w:r>
        <w:rPr>
          <w:rFonts w:hint="eastAsia"/>
          <w:color w:val="auto"/>
          <w:szCs w:val="21"/>
        </w:rPr>
        <w:t>干扰</w:t>
      </w:r>
      <w:r>
        <w:rPr>
          <w:rFonts w:hint="eastAsia"/>
          <w:color w:val="auto"/>
          <w:szCs w:val="21"/>
          <w:lang w:eastAsia="zh-CN"/>
        </w:rPr>
        <w:t>，</w:t>
      </w:r>
      <w:r>
        <w:rPr>
          <w:color w:val="auto"/>
          <w:szCs w:val="21"/>
        </w:rPr>
        <w:t>导致</w:t>
      </w:r>
      <w:r>
        <w:rPr>
          <w:rFonts w:hint="eastAsia"/>
          <w:color w:val="auto"/>
          <w:szCs w:val="21"/>
          <w:lang w:val="en-US" w:eastAsia="zh-CN"/>
        </w:rPr>
        <w:t>测定结果偏高</w:t>
      </w:r>
      <w:r>
        <w:rPr>
          <w:rFonts w:hint="eastAsia"/>
          <w:color w:val="auto"/>
          <w:szCs w:val="21"/>
        </w:rPr>
        <w:t>。</w:t>
      </w:r>
      <w:r>
        <w:rPr>
          <w:rFonts w:hint="eastAsia"/>
          <w:color w:val="auto"/>
          <w:szCs w:val="21"/>
          <w:lang w:val="en-US" w:eastAsia="zh-CN"/>
        </w:rPr>
        <w:t>实验室采用硫酸沉淀分离铅基体，对Bi的干扰情况进行了确认。</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jc w:val="both"/>
        <w:textAlignment w:val="auto"/>
        <w:rPr>
          <w:rFonts w:hint="eastAsia"/>
          <w:color w:val="auto"/>
          <w:szCs w:val="21"/>
          <w:lang w:val="en-US" w:eastAsia="zh-CN"/>
        </w:rPr>
      </w:pPr>
      <w:r>
        <w:rPr>
          <w:rFonts w:hint="eastAsia"/>
          <w:color w:val="auto"/>
          <w:szCs w:val="21"/>
          <w:lang w:val="en-US" w:eastAsia="zh-CN"/>
        </w:rPr>
        <w:t>分别称取5N高纯铅样品0.10g，按照实验方法溶解后，加入0.5 mL硫酸（1+1）沉淀分离铅基体，转移到100mL容量瓶中，与不分离基体直接测定结果进行对比。2#铅标样沉淀分离铅基体，并考察加入20 ng/mL Bi时的加标回收率。结果见表6。</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表6 分离基体对Bi测定结果的影响</w:t>
      </w:r>
    </w:p>
    <w:tbl>
      <w:tblPr>
        <w:tblStyle w:val="8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423"/>
        <w:gridCol w:w="2243"/>
        <w:gridCol w:w="1423"/>
        <w:gridCol w:w="2243"/>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元素</w:t>
            </w:r>
          </w:p>
        </w:tc>
        <w:tc>
          <w:tcPr>
            <w:tcW w:w="1850"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5N高纯铅结果/%</w:t>
            </w:r>
          </w:p>
        </w:tc>
        <w:tc>
          <w:tcPr>
            <w:tcW w:w="2708"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2#铅标样</w:t>
            </w:r>
            <w:r>
              <w:rPr>
                <w:rFonts w:hint="eastAsia" w:ascii="Times New Roman" w:hAnsi="Times New Roman" w:eastAsia="宋体" w:cs="Times New Roman"/>
                <w:i w:val="0"/>
                <w:iCs w:val="0"/>
                <w:color w:val="auto"/>
                <w:kern w:val="0"/>
                <w:sz w:val="18"/>
                <w:szCs w:val="18"/>
                <w:u w:val="none"/>
                <w:lang w:val="en-US" w:eastAsia="zh-CN" w:bidi="ar"/>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i w:val="0"/>
                <w:iCs w:val="0"/>
                <w:color w:val="auto"/>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直接测定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分离基体测定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直接测定</w:t>
            </w:r>
          </w:p>
        </w:tc>
        <w:tc>
          <w:tcPr>
            <w:tcW w:w="11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分离基体测定</w:t>
            </w:r>
          </w:p>
        </w:tc>
        <w:tc>
          <w:tcPr>
            <w:tcW w:w="8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加标回收率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Bi</w:t>
            </w:r>
          </w:p>
        </w:tc>
        <w:tc>
          <w:tcPr>
            <w:tcW w:w="71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0.00010</w:t>
            </w:r>
          </w:p>
        </w:tc>
        <w:tc>
          <w:tcPr>
            <w:tcW w:w="11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0.00005</w:t>
            </w:r>
          </w:p>
        </w:tc>
        <w:tc>
          <w:tcPr>
            <w:tcW w:w="71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0.00166</w:t>
            </w:r>
          </w:p>
        </w:tc>
        <w:tc>
          <w:tcPr>
            <w:tcW w:w="11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0.00169</w:t>
            </w:r>
          </w:p>
        </w:tc>
        <w:tc>
          <w:tcPr>
            <w:tcW w:w="8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97.0</w:t>
            </w:r>
          </w:p>
        </w:tc>
      </w:tr>
    </w:tbl>
    <w:p>
      <w:pPr>
        <w:keepNext w:val="0"/>
        <w:keepLines w:val="0"/>
        <w:pageBreakBefore w:val="0"/>
        <w:widowControl w:val="0"/>
        <w:kinsoku/>
        <w:wordWrap/>
        <w:overflowPunct/>
        <w:topLinePunct w:val="0"/>
        <w:autoSpaceDE/>
        <w:autoSpaceDN/>
        <w:bidi w:val="0"/>
        <w:adjustRightInd w:val="0"/>
        <w:snapToGrid w:val="0"/>
        <w:spacing w:before="157" w:beforeLines="50" w:line="288" w:lineRule="auto"/>
        <w:ind w:firstLine="437"/>
        <w:textAlignment w:val="auto"/>
        <w:rPr>
          <w:color w:val="auto"/>
          <w:szCs w:val="21"/>
        </w:rPr>
      </w:pPr>
      <w:r>
        <w:rPr>
          <w:rFonts w:hint="eastAsia"/>
          <w:color w:val="auto"/>
          <w:szCs w:val="21"/>
          <w:lang w:val="en-US" w:eastAsia="zh-CN"/>
        </w:rPr>
        <w:t>由上述结果可知，ICP-MS直接测定Bi，存在0.00005%左右的基体干扰，几乎不影响质量分数≥0.0010%的铋的结果的准确性。</w:t>
      </w:r>
      <w:r>
        <w:rPr>
          <w:color w:val="auto"/>
          <w:szCs w:val="21"/>
        </w:rPr>
        <w:t>提高</w:t>
      </w:r>
      <w:r>
        <w:rPr>
          <w:rFonts w:hint="eastAsia"/>
          <w:color w:val="auto"/>
          <w:szCs w:val="21"/>
          <w:lang w:val="en-US" w:eastAsia="zh-CN"/>
        </w:rPr>
        <w:t>Bi</w:t>
      </w:r>
      <w:r>
        <w:rPr>
          <w:rFonts w:hint="eastAsia"/>
          <w:color w:val="auto"/>
          <w:szCs w:val="21"/>
        </w:rPr>
        <w:t>结果</w:t>
      </w:r>
      <w:r>
        <w:rPr>
          <w:color w:val="auto"/>
          <w:szCs w:val="21"/>
        </w:rPr>
        <w:t>的准确度，采用高纯</w:t>
      </w:r>
      <w:r>
        <w:rPr>
          <w:rFonts w:hint="eastAsia"/>
          <w:color w:val="auto"/>
          <w:szCs w:val="21"/>
          <w:lang w:val="en-US" w:eastAsia="zh-CN"/>
        </w:rPr>
        <w:t>铅</w:t>
      </w:r>
      <w:r>
        <w:rPr>
          <w:color w:val="auto"/>
          <w:szCs w:val="21"/>
        </w:rPr>
        <w:t>基体</w:t>
      </w:r>
      <w:r>
        <w:rPr>
          <w:rFonts w:hint="eastAsia"/>
          <w:color w:val="auto"/>
          <w:szCs w:val="21"/>
        </w:rPr>
        <w:t>（</w:t>
      </w:r>
      <w:r>
        <w:rPr>
          <w:i/>
          <w:color w:val="auto"/>
        </w:rPr>
        <w:t>w</w:t>
      </w:r>
      <w:r>
        <w:rPr>
          <w:rFonts w:hint="eastAsia"/>
          <w:color w:val="auto"/>
          <w:vertAlign w:val="subscript"/>
          <w:lang w:val="en-US" w:eastAsia="zh-CN"/>
        </w:rPr>
        <w:t>Pb</w:t>
      </w:r>
      <w:r>
        <w:rPr>
          <w:rFonts w:hint="eastAsia" w:ascii="黑体" w:hAnsi="黑体" w:eastAsia="黑体"/>
          <w:color w:val="auto"/>
        </w:rPr>
        <w:t>≥</w:t>
      </w:r>
      <w:r>
        <w:rPr>
          <w:color w:val="auto"/>
        </w:rPr>
        <w:t>99.99</w:t>
      </w:r>
      <w:r>
        <w:rPr>
          <w:rFonts w:hint="eastAsia"/>
          <w:color w:val="auto"/>
          <w:lang w:val="en-US" w:eastAsia="zh-CN"/>
        </w:rPr>
        <w:t>9</w:t>
      </w:r>
      <w:r>
        <w:rPr>
          <w:color w:val="auto"/>
        </w:rPr>
        <w:t>%</w:t>
      </w:r>
      <w:r>
        <w:rPr>
          <w:rFonts w:hint="eastAsia"/>
          <w:color w:val="auto"/>
          <w:szCs w:val="21"/>
        </w:rPr>
        <w:t>）对基体</w:t>
      </w:r>
      <w:r>
        <w:rPr>
          <w:color w:val="auto"/>
          <w:szCs w:val="21"/>
        </w:rPr>
        <w:t>空白进行</w:t>
      </w:r>
      <w:r>
        <w:rPr>
          <w:rFonts w:hint="eastAsia"/>
          <w:color w:val="auto"/>
          <w:szCs w:val="21"/>
        </w:rPr>
        <w:t>监测</w:t>
      </w:r>
      <w:r>
        <w:rPr>
          <w:color w:val="auto"/>
          <w:szCs w:val="21"/>
        </w:rPr>
        <w:t>，必要时</w:t>
      </w:r>
      <w:r>
        <w:rPr>
          <w:rFonts w:hint="eastAsia"/>
          <w:color w:val="auto"/>
          <w:szCs w:val="21"/>
          <w:lang w:val="en-US" w:eastAsia="zh-CN"/>
        </w:rPr>
        <w:t>进行</w:t>
      </w:r>
      <w:r>
        <w:rPr>
          <w:color w:val="auto"/>
          <w:szCs w:val="21"/>
        </w:rPr>
        <w:t>扣除。</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cs="Times New Roman"/>
          <w:b/>
          <w:bCs/>
          <w:color w:val="auto"/>
          <w:szCs w:val="21"/>
          <w:vertAlign w:val="baseline"/>
          <w:lang w:val="en-US" w:eastAsia="zh-CN"/>
        </w:rPr>
      </w:pPr>
      <w:r>
        <w:rPr>
          <w:rFonts w:hint="eastAsia" w:cs="Times New Roman"/>
          <w:b/>
          <w:bCs/>
          <w:color w:val="auto"/>
          <w:szCs w:val="21"/>
          <w:vertAlign w:val="baseline"/>
          <w:lang w:val="en-US" w:eastAsia="zh-CN"/>
        </w:rPr>
        <w:t>3.2  镍质谱干扰情况</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宋体" w:cs="Times New Roman"/>
          <w:color w:val="auto"/>
          <w:szCs w:val="21"/>
          <w:vertAlign w:val="baseline"/>
          <w:lang w:val="en-US" w:eastAsia="zh-CN"/>
        </w:rPr>
      </w:pPr>
      <w:r>
        <w:rPr>
          <w:rFonts w:hint="eastAsia" w:ascii="Times New Roman" w:hAnsi="Times New Roman" w:eastAsia="宋体" w:cs="Times New Roman"/>
          <w:color w:val="auto"/>
          <w:szCs w:val="21"/>
          <w:vertAlign w:val="baseline"/>
          <w:lang w:val="en-US" w:eastAsia="zh-CN"/>
        </w:rPr>
        <w:t>Ni共有5个同位素，见表</w:t>
      </w:r>
      <w:r>
        <w:rPr>
          <w:rFonts w:hint="eastAsia" w:cs="Times New Roman"/>
          <w:color w:val="auto"/>
          <w:szCs w:val="21"/>
          <w:vertAlign w:val="baseline"/>
          <w:lang w:val="en-US" w:eastAsia="zh-CN"/>
        </w:rPr>
        <w:t>7</w:t>
      </w:r>
      <w:r>
        <w:rPr>
          <w:rFonts w:hint="eastAsia" w:ascii="Times New Roman" w:hAnsi="Times New Roman" w:eastAsia="宋体" w:cs="Times New Roman"/>
          <w:color w:val="auto"/>
          <w:szCs w:val="21"/>
          <w:vertAlign w:val="baseline"/>
          <w:lang w:val="en-US" w:eastAsia="zh-CN"/>
        </w:rPr>
        <w:t xml:space="preserve">。由表可知，其4个同位素均受到Sn双电荷干扰，Ni64丰度小，而同量异位素Zn64丰度很大，也无法用于定量分析。因此有必要对Sn的双电荷干扰进行确认。目标铅合金中Sn质量分数不大于2%，配制质量浓度分别为0、0.1 </w:t>
      </w:r>
      <w:r>
        <w:rPr>
          <w:rFonts w:ascii="Times New Roman"/>
          <w:color w:val="auto"/>
        </w:rPr>
        <w:t>μg/mL</w:t>
      </w:r>
      <w:r>
        <w:rPr>
          <w:rFonts w:hint="eastAsia" w:ascii="Times New Roman" w:hAnsi="Times New Roman" w:eastAsia="宋体" w:cs="Times New Roman"/>
          <w:color w:val="auto"/>
          <w:szCs w:val="21"/>
          <w:vertAlign w:val="baseline"/>
          <w:lang w:val="en-US" w:eastAsia="zh-CN"/>
        </w:rPr>
        <w:t xml:space="preserve">、0.5 </w:t>
      </w:r>
      <w:r>
        <w:rPr>
          <w:rFonts w:ascii="Times New Roman"/>
          <w:color w:val="auto"/>
        </w:rPr>
        <w:t>μg/mL</w:t>
      </w:r>
      <w:r>
        <w:rPr>
          <w:rFonts w:hint="eastAsia" w:ascii="Times New Roman" w:hAnsi="Times New Roman" w:eastAsia="宋体" w:cs="Times New Roman"/>
          <w:color w:val="auto"/>
          <w:szCs w:val="21"/>
          <w:vertAlign w:val="baseline"/>
          <w:lang w:val="en-US" w:eastAsia="zh-CN"/>
        </w:rPr>
        <w:t xml:space="preserve">、1 </w:t>
      </w:r>
      <w:r>
        <w:rPr>
          <w:rFonts w:ascii="Times New Roman"/>
          <w:color w:val="auto"/>
        </w:rPr>
        <w:t>μg/mL</w:t>
      </w:r>
      <w:r>
        <w:rPr>
          <w:rFonts w:hint="eastAsia" w:ascii="Times New Roman" w:hAnsi="Times New Roman" w:eastAsia="宋体" w:cs="Times New Roman"/>
          <w:color w:val="auto"/>
          <w:szCs w:val="21"/>
          <w:vertAlign w:val="baseline"/>
          <w:lang w:val="en-US" w:eastAsia="zh-CN"/>
        </w:rPr>
        <w:t xml:space="preserve">、5 </w:t>
      </w:r>
      <w:r>
        <w:rPr>
          <w:rFonts w:ascii="Times New Roman"/>
          <w:color w:val="auto"/>
        </w:rPr>
        <w:t>μg/mL</w:t>
      </w:r>
      <w:r>
        <w:rPr>
          <w:rFonts w:hint="eastAsia" w:ascii="Times New Roman" w:hAnsi="Times New Roman" w:eastAsia="宋体" w:cs="Times New Roman"/>
          <w:color w:val="auto"/>
          <w:szCs w:val="21"/>
          <w:vertAlign w:val="baseline"/>
          <w:lang w:val="en-US" w:eastAsia="zh-CN"/>
        </w:rPr>
        <w:t xml:space="preserve">、10 </w:t>
      </w:r>
      <w:r>
        <w:rPr>
          <w:rFonts w:ascii="Times New Roman"/>
          <w:color w:val="auto"/>
        </w:rPr>
        <w:t>μg/mL</w:t>
      </w:r>
      <w:r>
        <w:rPr>
          <w:rFonts w:hint="eastAsia" w:ascii="Times New Roman" w:hAnsi="Times New Roman" w:eastAsia="宋体" w:cs="Times New Roman"/>
          <w:color w:val="auto"/>
          <w:szCs w:val="21"/>
          <w:vertAlign w:val="baseline"/>
          <w:lang w:val="en-US" w:eastAsia="zh-CN"/>
        </w:rPr>
        <w:t xml:space="preserve">、20 </w:t>
      </w:r>
      <w:r>
        <w:rPr>
          <w:rFonts w:ascii="Times New Roman"/>
          <w:color w:val="auto"/>
        </w:rPr>
        <w:t>μg/mL</w:t>
      </w:r>
      <w:r>
        <w:rPr>
          <w:rFonts w:hint="eastAsia" w:ascii="Times New Roman"/>
          <w:color w:val="auto"/>
          <w:lang w:val="en-US" w:eastAsia="zh-CN"/>
        </w:rPr>
        <w:t>的</w:t>
      </w:r>
      <w:r>
        <w:rPr>
          <w:rFonts w:hint="eastAsia" w:ascii="Times New Roman" w:hAnsi="Times New Roman" w:eastAsia="宋体" w:cs="Times New Roman"/>
          <w:color w:val="auto"/>
          <w:szCs w:val="21"/>
          <w:vertAlign w:val="baseline"/>
          <w:lang w:val="en-US" w:eastAsia="zh-CN"/>
        </w:rPr>
        <w:t>Sn溶液，测定Ni。</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表7  镍同位素丰度及潜在质谱干扰</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质量数</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丰度</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58</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68.08</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superscript"/>
                <w:lang w:val="en-US" w:eastAsia="zh-CN"/>
              </w:rPr>
              <w:t>116</w:t>
            </w:r>
            <w:r>
              <w:rPr>
                <w:rFonts w:hint="default" w:ascii="Times New Roman" w:hAnsi="Times New Roman" w:eastAsia="宋体" w:cs="Times New Roman"/>
                <w:color w:val="auto"/>
                <w:sz w:val="18"/>
                <w:szCs w:val="18"/>
                <w:vertAlign w:val="baseline"/>
                <w:lang w:val="en-US" w:eastAsia="zh-CN"/>
              </w:rPr>
              <w:t>Sn</w:t>
            </w:r>
            <w:r>
              <w:rPr>
                <w:rFonts w:hint="default" w:ascii="Times New Roman" w:hAnsi="Times New Roman" w:eastAsia="宋体" w:cs="Times New Roman"/>
                <w:color w:val="auto"/>
                <w:sz w:val="18"/>
                <w:szCs w:val="1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60</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26.22</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superscript"/>
                <w:lang w:val="en-US" w:eastAsia="zh-CN"/>
              </w:rPr>
              <w:t>120</w:t>
            </w:r>
            <w:r>
              <w:rPr>
                <w:rFonts w:hint="default" w:ascii="Times New Roman" w:hAnsi="Times New Roman" w:eastAsia="宋体" w:cs="Times New Roman"/>
                <w:color w:val="auto"/>
                <w:sz w:val="18"/>
                <w:szCs w:val="18"/>
                <w:vertAlign w:val="baseline"/>
                <w:lang w:val="en-US" w:eastAsia="zh-CN"/>
              </w:rPr>
              <w:t>Sn</w:t>
            </w:r>
            <w:r>
              <w:rPr>
                <w:rFonts w:hint="default" w:ascii="Times New Roman" w:hAnsi="Times New Roman" w:eastAsia="宋体" w:cs="Times New Roman"/>
                <w:color w:val="auto"/>
                <w:sz w:val="18"/>
                <w:szCs w:val="1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61</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1.14</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superscript"/>
                <w:lang w:val="en-US" w:eastAsia="zh-CN"/>
              </w:rPr>
              <w:t>122</w:t>
            </w:r>
            <w:r>
              <w:rPr>
                <w:rFonts w:hint="default" w:ascii="Times New Roman" w:hAnsi="Times New Roman" w:eastAsia="宋体" w:cs="Times New Roman"/>
                <w:color w:val="auto"/>
                <w:sz w:val="18"/>
                <w:szCs w:val="18"/>
                <w:vertAlign w:val="baseline"/>
                <w:lang w:val="en-US" w:eastAsia="zh-CN"/>
              </w:rPr>
              <w:t>Sn</w:t>
            </w:r>
            <w:r>
              <w:rPr>
                <w:rFonts w:hint="default" w:ascii="Times New Roman" w:hAnsi="Times New Roman" w:eastAsia="宋体" w:cs="Times New Roman"/>
                <w:color w:val="auto"/>
                <w:sz w:val="18"/>
                <w:szCs w:val="1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62</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3.63</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superscript"/>
                <w:lang w:val="en-US" w:eastAsia="zh-CN"/>
              </w:rPr>
              <w:t>124</w:t>
            </w:r>
            <w:r>
              <w:rPr>
                <w:rFonts w:hint="default" w:ascii="Times New Roman" w:hAnsi="Times New Roman" w:eastAsia="宋体" w:cs="Times New Roman"/>
                <w:color w:val="auto"/>
                <w:sz w:val="18"/>
                <w:szCs w:val="18"/>
                <w:vertAlign w:val="baseline"/>
                <w:lang w:val="en-US" w:eastAsia="zh-CN"/>
              </w:rPr>
              <w:t>Sn</w:t>
            </w:r>
            <w:r>
              <w:rPr>
                <w:rFonts w:hint="default" w:ascii="Times New Roman" w:hAnsi="Times New Roman" w:eastAsia="宋体" w:cs="Times New Roman"/>
                <w:color w:val="auto"/>
                <w:sz w:val="18"/>
                <w:szCs w:val="1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64</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0.93</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superscript"/>
                <w:lang w:val="en-US" w:eastAsia="zh-CN"/>
              </w:rPr>
              <w:t>64</w:t>
            </w:r>
            <w:r>
              <w:rPr>
                <w:rFonts w:hint="default" w:ascii="Times New Roman" w:hAnsi="Times New Roman" w:eastAsia="宋体" w:cs="Times New Roman"/>
                <w:color w:val="auto"/>
                <w:sz w:val="18"/>
                <w:szCs w:val="18"/>
                <w:vertAlign w:val="baseline"/>
                <w:lang w:val="en-US" w:eastAsia="zh-CN"/>
              </w:rPr>
              <w:t>Zn</w:t>
            </w:r>
            <w:r>
              <w:rPr>
                <w:rFonts w:hint="default" w:ascii="Times New Roman" w:hAnsi="Times New Roman" w:eastAsia="宋体" w:cs="Times New Roman"/>
                <w:color w:val="auto"/>
                <w:sz w:val="18"/>
                <w:szCs w:val="18"/>
                <w:vertAlign w:val="superscript"/>
                <w:lang w:val="en-US" w:eastAsia="zh-CN"/>
              </w:rPr>
              <w:t>+</w:t>
            </w:r>
            <w:r>
              <w:rPr>
                <w:rFonts w:hint="default" w:ascii="Times New Roman" w:hAnsi="Times New Roman" w:eastAsia="宋体" w:cs="Times New Roman"/>
                <w:color w:val="auto"/>
                <w:sz w:val="18"/>
                <w:szCs w:val="18"/>
                <w:vertAlign w:val="baseline"/>
                <w:lang w:val="en-US" w:eastAsia="zh-CN"/>
              </w:rPr>
              <w:t>（丰度49.17%）</w:t>
            </w:r>
          </w:p>
        </w:tc>
      </w:tr>
    </w:tbl>
    <w:p>
      <w:pPr>
        <w:keepNext w:val="0"/>
        <w:keepLines w:val="0"/>
        <w:pageBreakBefore w:val="0"/>
        <w:widowControl w:val="0"/>
        <w:kinsoku/>
        <w:wordWrap/>
        <w:overflowPunct/>
        <w:topLinePunct w:val="0"/>
        <w:autoSpaceDE/>
        <w:autoSpaceDN/>
        <w:bidi w:val="0"/>
        <w:adjustRightInd w:val="0"/>
        <w:snapToGrid w:val="0"/>
        <w:spacing w:before="157" w:beforeLines="50" w:line="288" w:lineRule="auto"/>
        <w:ind w:firstLine="420" w:firstLineChars="0"/>
        <w:textAlignment w:val="auto"/>
        <w:rPr>
          <w:rFonts w:hint="eastAsia"/>
          <w:color w:val="auto"/>
          <w:lang w:val="en-US" w:eastAsia="zh-CN"/>
        </w:rPr>
      </w:pPr>
      <w:r>
        <w:rPr>
          <w:rFonts w:hint="eastAsia" w:ascii="Times New Roman" w:hAnsi="Times New Roman" w:eastAsia="宋体" w:cs="Times New Roman"/>
          <w:color w:val="auto"/>
          <w:szCs w:val="21"/>
          <w:vertAlign w:val="baseline"/>
          <w:lang w:val="en-US" w:eastAsia="zh-CN"/>
        </w:rPr>
        <w:t>实验结果表明，</w:t>
      </w:r>
      <w:r>
        <w:rPr>
          <w:rFonts w:hint="eastAsia"/>
          <w:color w:val="auto"/>
          <w:lang w:val="en-US" w:eastAsia="zh-CN"/>
        </w:rPr>
        <w:t>铅锭及再生铅等纯铅中</w:t>
      </w:r>
      <w:r>
        <w:rPr>
          <w:rFonts w:hint="eastAsia" w:ascii="Times New Roman" w:hAnsi="Times New Roman" w:eastAsia="宋体" w:cs="Times New Roman"/>
          <w:color w:val="auto"/>
          <w:szCs w:val="21"/>
          <w:vertAlign w:val="baseline"/>
          <w:lang w:val="en-US" w:eastAsia="zh-CN"/>
        </w:rPr>
        <w:t>Sn含量不大于0.01%，</w:t>
      </w:r>
      <w:r>
        <w:rPr>
          <w:rFonts w:hint="eastAsia"/>
          <w:color w:val="auto"/>
          <w:lang w:val="en-US" w:eastAsia="zh-CN"/>
        </w:rPr>
        <w:t>Ni60和Ni58处</w:t>
      </w:r>
      <w:r>
        <w:rPr>
          <w:rFonts w:hint="eastAsia" w:ascii="Times New Roman" w:hAnsi="Times New Roman" w:eastAsia="宋体" w:cs="Times New Roman"/>
          <w:color w:val="auto"/>
          <w:szCs w:val="21"/>
          <w:vertAlign w:val="baseline"/>
          <w:lang w:val="en-US" w:eastAsia="zh-CN"/>
        </w:rPr>
        <w:t>Sn的双电荷干扰均小于0.1 ng/mL，</w:t>
      </w:r>
      <w:r>
        <w:rPr>
          <w:rFonts w:hint="eastAsia"/>
          <w:color w:val="auto"/>
          <w:vertAlign w:val="baseline"/>
          <w:lang w:val="en-US" w:eastAsia="zh-CN"/>
        </w:rPr>
        <w:t>定量分析0.0001%及以上的Ni时可以忽略不计。</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textAlignment w:val="auto"/>
        <w:rPr>
          <w:rFonts w:hint="eastAsia"/>
          <w:color w:val="auto"/>
          <w:lang w:val="en-US" w:eastAsia="zh-CN"/>
        </w:rPr>
      </w:pPr>
      <w:r>
        <w:rPr>
          <w:rFonts w:hint="eastAsia" w:ascii="Times New Roman" w:hAnsi="Times New Roman" w:eastAsia="宋体" w:cs="Times New Roman"/>
          <w:color w:val="auto"/>
          <w:szCs w:val="21"/>
          <w:vertAlign w:val="baseline"/>
          <w:lang w:val="en-US" w:eastAsia="zh-CN"/>
        </w:rPr>
        <w:t xml:space="preserve">随着Sn含量的增加，双电荷干扰愈加明显，Sn质量浓度为20 </w:t>
      </w:r>
      <w:r>
        <w:rPr>
          <w:rFonts w:ascii="Times New Roman"/>
          <w:color w:val="auto"/>
        </w:rPr>
        <w:t>μg/mL</w:t>
      </w:r>
      <w:r>
        <w:rPr>
          <w:rFonts w:hint="eastAsia" w:ascii="Times New Roman" w:hAnsi="Times New Roman" w:eastAsia="宋体" w:cs="Times New Roman"/>
          <w:color w:val="auto"/>
          <w:szCs w:val="21"/>
          <w:vertAlign w:val="baseline"/>
          <w:lang w:val="en-US" w:eastAsia="zh-CN"/>
        </w:rPr>
        <w:t>（对应样品中Sn质量分数2%）时，</w:t>
      </w:r>
      <w:r>
        <w:rPr>
          <w:rFonts w:hint="eastAsia" w:ascii="Times New Roman" w:hAnsi="Times New Roman" w:eastAsia="宋体" w:cs="Times New Roman"/>
          <w:color w:val="auto"/>
          <w:szCs w:val="21"/>
          <w:vertAlign w:val="superscript"/>
          <w:lang w:val="en-US" w:eastAsia="zh-CN"/>
        </w:rPr>
        <w:t>58</w:t>
      </w:r>
      <w:r>
        <w:rPr>
          <w:rFonts w:hint="eastAsia" w:ascii="Times New Roman" w:hAnsi="Times New Roman" w:eastAsia="宋体" w:cs="Times New Roman"/>
          <w:color w:val="auto"/>
          <w:szCs w:val="21"/>
          <w:vertAlign w:val="baseline"/>
          <w:lang w:val="en-US" w:eastAsia="zh-CN"/>
        </w:rPr>
        <w:t>Ni受到的质谱干扰约0.4 ng/mL，其余质量数受到的质谱干扰3</w:t>
      </w:r>
      <w:r>
        <w:rPr>
          <w:rFonts w:hint="eastAsia"/>
          <w:color w:val="auto"/>
        </w:rPr>
        <w:t>～</w:t>
      </w:r>
      <w:r>
        <w:rPr>
          <w:rFonts w:hint="eastAsia"/>
          <w:color w:val="auto"/>
          <w:lang w:val="en-US" w:eastAsia="zh-CN"/>
        </w:rPr>
        <w:t>10 ng/mL，质谱干扰无法忽略不计。含锡铅合金中Ni≥0.0010%时，可选Ni58定量分析。</w:t>
      </w:r>
      <w:r>
        <w:rPr>
          <w:rFonts w:hint="eastAsia"/>
          <w:color w:val="auto"/>
          <w:sz w:val="21"/>
          <w:szCs w:val="21"/>
          <w:lang w:val="en-US" w:eastAsia="zh-CN"/>
        </w:rPr>
        <w:t>因此，本方法规定</w:t>
      </w:r>
      <w:r>
        <w:rPr>
          <w:rFonts w:hint="eastAsia" w:ascii="Times New Roman" w:hAnsi="Times New Roman" w:eastAsia="宋体" w:cs="Times New Roman"/>
          <w:i w:val="0"/>
          <w:iCs w:val="0"/>
          <w:color w:val="auto"/>
          <w:kern w:val="0"/>
          <w:sz w:val="21"/>
          <w:szCs w:val="21"/>
          <w:u w:val="none"/>
          <w:lang w:val="en-US" w:eastAsia="zh-CN" w:bidi="ar"/>
        </w:rPr>
        <w:t>铅合金</w:t>
      </w:r>
      <w:r>
        <w:rPr>
          <w:rFonts w:hint="eastAsia" w:ascii="宋体" w:hAnsi="宋体"/>
          <w:sz w:val="21"/>
          <w:szCs w:val="21"/>
        </w:rPr>
        <w:t>（</w:t>
      </w:r>
      <w:r>
        <w:rPr>
          <w:i/>
          <w:sz w:val="21"/>
          <w:szCs w:val="21"/>
        </w:rPr>
        <w:t>w</w:t>
      </w:r>
      <w:r>
        <w:rPr>
          <w:rFonts w:hint="eastAsia"/>
          <w:sz w:val="21"/>
          <w:szCs w:val="21"/>
          <w:vertAlign w:val="subscript"/>
          <w:lang w:val="en-US" w:eastAsia="zh-CN"/>
        </w:rPr>
        <w:t>Sn</w:t>
      </w:r>
      <w:r>
        <w:rPr>
          <w:rFonts w:hint="eastAsia" w:ascii="宋体" w:hAnsi="宋体" w:eastAsia="宋体" w:cs="宋体"/>
          <w:sz w:val="21"/>
          <w:szCs w:val="21"/>
          <w:lang w:val="en-US" w:eastAsia="zh-CN"/>
        </w:rPr>
        <w:t>≤</w:t>
      </w:r>
      <w:r>
        <w:rPr>
          <w:rFonts w:hint="default" w:ascii="Times New Roman" w:hAnsi="Times New Roman" w:eastAsia="黑体" w:cs="Times New Roman"/>
          <w:sz w:val="21"/>
          <w:szCs w:val="21"/>
          <w:lang w:val="en-US" w:eastAsia="zh-CN"/>
        </w:rPr>
        <w:t>2</w:t>
      </w:r>
      <w:r>
        <w:rPr>
          <w:rFonts w:hint="default" w:ascii="Times New Roman" w:hAnsi="Times New Roman" w:cs="Times New Roman"/>
          <w:sz w:val="21"/>
          <w:szCs w:val="21"/>
        </w:rPr>
        <w:t>%</w:t>
      </w:r>
      <w:r>
        <w:rPr>
          <w:rFonts w:hint="eastAsia" w:ascii="宋体" w:hAnsi="宋体"/>
          <w:sz w:val="21"/>
          <w:szCs w:val="21"/>
        </w:rPr>
        <w:t>）</w:t>
      </w:r>
      <w:r>
        <w:rPr>
          <w:rFonts w:hint="eastAsia" w:ascii="宋体" w:hAnsi="宋体"/>
          <w:sz w:val="21"/>
          <w:szCs w:val="21"/>
          <w:lang w:val="en-US" w:eastAsia="zh-CN"/>
        </w:rPr>
        <w:t>中</w:t>
      </w:r>
      <w:r>
        <w:rPr>
          <w:rFonts w:hint="eastAsia" w:ascii="Times New Roman" w:hAnsi="Times New Roman" w:eastAsia="宋体" w:cs="Times New Roman"/>
          <w:i w:val="0"/>
          <w:iCs w:val="0"/>
          <w:color w:val="auto"/>
          <w:kern w:val="0"/>
          <w:sz w:val="21"/>
          <w:szCs w:val="21"/>
          <w:u w:val="none"/>
          <w:lang w:val="en-US" w:eastAsia="zh-CN" w:bidi="ar"/>
        </w:rPr>
        <w:t>镍测定范围0.0010%～0.010%，铅合金</w:t>
      </w:r>
      <w:r>
        <w:rPr>
          <w:rFonts w:hint="eastAsia" w:ascii="宋体" w:hAnsi="宋体"/>
          <w:sz w:val="21"/>
          <w:szCs w:val="21"/>
        </w:rPr>
        <w:t>（</w:t>
      </w:r>
      <w:r>
        <w:rPr>
          <w:i/>
          <w:sz w:val="21"/>
          <w:szCs w:val="21"/>
        </w:rPr>
        <w:t>w</w:t>
      </w:r>
      <w:r>
        <w:rPr>
          <w:rFonts w:hint="eastAsia"/>
          <w:sz w:val="21"/>
          <w:szCs w:val="21"/>
          <w:vertAlign w:val="subscript"/>
          <w:lang w:val="en-US" w:eastAsia="zh-CN"/>
        </w:rPr>
        <w:t>Sn</w:t>
      </w:r>
      <w:r>
        <w:rPr>
          <w:rFonts w:hint="default" w:ascii="Times New Roman" w:hAnsi="Times New Roman" w:eastAsia="宋体" w:cs="Times New Roman"/>
          <w:sz w:val="21"/>
          <w:szCs w:val="21"/>
          <w:lang w:val="en-US" w:eastAsia="zh-CN"/>
        </w:rPr>
        <w:t>＞</w:t>
      </w:r>
      <w:r>
        <w:rPr>
          <w:rFonts w:hint="default" w:ascii="Times New Roman" w:hAnsi="Times New Roman" w:eastAsia="黑体" w:cs="Times New Roman"/>
          <w:sz w:val="21"/>
          <w:szCs w:val="21"/>
          <w:lang w:val="en-US" w:eastAsia="zh-CN"/>
        </w:rPr>
        <w:t>2</w:t>
      </w:r>
      <w:r>
        <w:rPr>
          <w:rFonts w:hint="default" w:ascii="Times New Roman" w:hAnsi="Times New Roman" w:cs="Times New Roman"/>
          <w:sz w:val="21"/>
          <w:szCs w:val="21"/>
        </w:rPr>
        <w:t>%</w:t>
      </w:r>
      <w:r>
        <w:rPr>
          <w:rFonts w:hint="eastAsia" w:ascii="宋体" w:hAnsi="宋体"/>
          <w:sz w:val="21"/>
          <w:szCs w:val="21"/>
        </w:rPr>
        <w:t>）</w:t>
      </w:r>
      <w:r>
        <w:rPr>
          <w:rFonts w:hint="eastAsia" w:ascii="Times New Roman" w:hAnsi="Times New Roman" w:eastAsia="宋体" w:cs="Times New Roman"/>
          <w:i w:val="0"/>
          <w:iCs w:val="0"/>
          <w:color w:val="auto"/>
          <w:kern w:val="0"/>
          <w:sz w:val="21"/>
          <w:szCs w:val="21"/>
          <w:u w:val="none"/>
          <w:lang w:val="en-US" w:eastAsia="zh-CN" w:bidi="ar"/>
        </w:rPr>
        <w:t>中镍的测定不适用于本文件。</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default" w:cs="Times New Roman"/>
          <w:b/>
          <w:bCs/>
          <w:color w:val="auto"/>
          <w:szCs w:val="21"/>
          <w:vertAlign w:val="baseline"/>
          <w:lang w:val="en-US" w:eastAsia="zh-CN"/>
        </w:rPr>
      </w:pPr>
      <w:r>
        <w:rPr>
          <w:rFonts w:hint="eastAsia" w:cs="Times New Roman"/>
          <w:b/>
          <w:bCs/>
          <w:color w:val="auto"/>
          <w:szCs w:val="21"/>
          <w:vertAlign w:val="baseline"/>
          <w:lang w:val="en-US" w:eastAsia="zh-CN"/>
        </w:rPr>
        <w:t>3.3  锑质谱干扰情况</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textAlignment w:val="auto"/>
        <w:rPr>
          <w:rFonts w:hint="eastAsia"/>
          <w:color w:val="auto"/>
          <w:lang w:val="en-US" w:eastAsia="zh-CN"/>
        </w:rPr>
      </w:pPr>
      <w:r>
        <w:rPr>
          <w:rFonts w:hint="eastAsia"/>
          <w:color w:val="auto"/>
          <w:szCs w:val="21"/>
          <w:lang w:val="en-US" w:eastAsia="zh-CN"/>
        </w:rPr>
        <w:t xml:space="preserve">按照Sn、Ag最大质量分数2%配制溶液，即Sn、Ag浓度分别为20 </w:t>
      </w:r>
      <w:r>
        <w:rPr>
          <w:rFonts w:ascii="Times New Roman"/>
          <w:color w:val="auto"/>
        </w:rPr>
        <w:t>μg/mL</w:t>
      </w:r>
      <w:r>
        <w:rPr>
          <w:rFonts w:hint="eastAsia" w:ascii="Times New Roman"/>
          <w:color w:val="auto"/>
          <w:lang w:val="en-US" w:eastAsia="zh-CN"/>
        </w:rPr>
        <w:t>时测定Sb。由结果可知，</w:t>
      </w:r>
      <w:r>
        <w:rPr>
          <w:rFonts w:hint="eastAsia"/>
          <w:color w:val="auto"/>
          <w:vertAlign w:val="superscript"/>
          <w:lang w:val="en-US" w:eastAsia="zh-CN"/>
        </w:rPr>
        <w:t>107</w:t>
      </w:r>
      <w:r>
        <w:rPr>
          <w:rFonts w:hint="eastAsia" w:ascii="Times New Roman"/>
          <w:color w:val="auto"/>
          <w:lang w:val="en-US" w:eastAsia="zh-CN"/>
        </w:rPr>
        <w:t>Ag</w:t>
      </w:r>
      <w:r>
        <w:rPr>
          <w:rFonts w:hint="eastAsia"/>
          <w:color w:val="auto"/>
          <w:vertAlign w:val="superscript"/>
          <w:lang w:val="en-US" w:eastAsia="zh-CN"/>
        </w:rPr>
        <w:t>16</w:t>
      </w:r>
      <w:r>
        <w:rPr>
          <w:rFonts w:hint="eastAsia"/>
          <w:color w:val="auto"/>
          <w:lang w:val="en-US" w:eastAsia="zh-CN"/>
        </w:rPr>
        <w:t>O</w:t>
      </w:r>
      <w:r>
        <w:rPr>
          <w:rFonts w:hint="eastAsia" w:ascii="Times New Roman"/>
          <w:color w:val="auto"/>
          <w:lang w:val="en-US" w:eastAsia="zh-CN"/>
        </w:rPr>
        <w:t>的氧化物对</w:t>
      </w:r>
      <w:r>
        <w:rPr>
          <w:rFonts w:hint="eastAsia" w:ascii="Times New Roman"/>
          <w:color w:val="auto"/>
          <w:vertAlign w:val="superscript"/>
          <w:lang w:val="en-US" w:eastAsia="zh-CN"/>
        </w:rPr>
        <w:t>121</w:t>
      </w:r>
      <w:r>
        <w:rPr>
          <w:rFonts w:hint="eastAsia" w:ascii="Times New Roman"/>
          <w:color w:val="auto"/>
          <w:lang w:val="en-US" w:eastAsia="zh-CN"/>
        </w:rPr>
        <w:t>Sb、</w:t>
      </w:r>
      <w:r>
        <w:rPr>
          <w:rFonts w:hint="eastAsia" w:ascii="Times New Roman"/>
          <w:color w:val="auto"/>
          <w:vertAlign w:val="superscript"/>
          <w:lang w:val="en-US" w:eastAsia="zh-CN"/>
        </w:rPr>
        <w:t>123</w:t>
      </w:r>
      <w:r>
        <w:rPr>
          <w:rFonts w:hint="eastAsia" w:ascii="Times New Roman"/>
          <w:color w:val="auto"/>
          <w:lang w:val="en-US" w:eastAsia="zh-CN"/>
        </w:rPr>
        <w:t>Sb的干扰</w:t>
      </w:r>
      <w:r>
        <w:rPr>
          <w:rFonts w:hint="eastAsia"/>
          <w:color w:val="auto"/>
          <w:vertAlign w:val="baseline"/>
          <w:lang w:val="en-US" w:eastAsia="zh-CN"/>
        </w:rPr>
        <w:t>＜0.1 ng/mL，定量分析0.0001%以上的Sb时Ag的质谱干扰可以忽略不计。</w:t>
      </w:r>
      <w:r>
        <w:rPr>
          <w:rFonts w:hint="eastAsia" w:ascii="Times New Roman"/>
          <w:color w:val="auto"/>
          <w:vertAlign w:val="superscript"/>
          <w:lang w:val="en-US" w:eastAsia="zh-CN"/>
        </w:rPr>
        <w:t>121</w:t>
      </w:r>
      <w:r>
        <w:rPr>
          <w:rFonts w:hint="eastAsia" w:ascii="Times New Roman"/>
          <w:color w:val="auto"/>
          <w:lang w:val="en-US" w:eastAsia="zh-CN"/>
        </w:rPr>
        <w:t>Sb</w:t>
      </w:r>
      <w:r>
        <w:rPr>
          <w:rFonts w:hint="eastAsia"/>
          <w:color w:val="auto"/>
          <w:vertAlign w:val="superscript"/>
          <w:lang w:val="en-US" w:eastAsia="zh-CN"/>
        </w:rPr>
        <w:t>+</w:t>
      </w:r>
      <w:r>
        <w:rPr>
          <w:rFonts w:hint="eastAsia" w:ascii="Times New Roman"/>
          <w:color w:val="auto"/>
          <w:lang w:val="en-US" w:eastAsia="zh-CN"/>
        </w:rPr>
        <w:t>受到</w:t>
      </w:r>
      <w:r>
        <w:rPr>
          <w:rFonts w:hint="eastAsia" w:ascii="Times New Roman"/>
          <w:color w:val="auto"/>
          <w:vertAlign w:val="superscript"/>
          <w:lang w:val="en-US" w:eastAsia="zh-CN"/>
        </w:rPr>
        <w:t>120</w:t>
      </w:r>
      <w:r>
        <w:rPr>
          <w:rFonts w:hint="eastAsia" w:ascii="Times New Roman"/>
          <w:color w:val="auto"/>
          <w:lang w:val="en-US" w:eastAsia="zh-CN"/>
        </w:rPr>
        <w:t>Sn</w:t>
      </w:r>
      <w:r>
        <w:rPr>
          <w:rFonts w:hint="eastAsia" w:ascii="Times New Roman"/>
          <w:color w:val="auto"/>
          <w:vertAlign w:val="superscript"/>
          <w:lang w:val="en-US" w:eastAsia="zh-CN"/>
        </w:rPr>
        <w:t>1</w:t>
      </w:r>
      <w:r>
        <w:rPr>
          <w:rFonts w:hint="eastAsia" w:ascii="Times New Roman"/>
          <w:color w:val="auto"/>
          <w:lang w:val="en-US" w:eastAsia="zh-CN"/>
        </w:rPr>
        <w:t>H</w:t>
      </w:r>
      <w:r>
        <w:rPr>
          <w:rFonts w:hint="eastAsia"/>
          <w:color w:val="auto"/>
          <w:vertAlign w:val="superscript"/>
          <w:lang w:val="en-US" w:eastAsia="zh-CN"/>
        </w:rPr>
        <w:t>+</w:t>
      </w:r>
      <w:r>
        <w:rPr>
          <w:rFonts w:hint="eastAsia" w:ascii="Times New Roman"/>
          <w:color w:val="auto"/>
          <w:lang w:val="en-US" w:eastAsia="zh-CN"/>
        </w:rPr>
        <w:t>的质谱干扰约为0.3 ng/mL</w:t>
      </w:r>
      <w:r>
        <w:rPr>
          <w:rFonts w:hint="eastAsia"/>
          <w:color w:val="auto"/>
          <w:lang w:val="en-US" w:eastAsia="zh-CN"/>
        </w:rPr>
        <w:t>；</w:t>
      </w:r>
      <w:r>
        <w:rPr>
          <w:rFonts w:hint="eastAsia" w:ascii="Times New Roman"/>
          <w:color w:val="auto"/>
          <w:vertAlign w:val="superscript"/>
          <w:lang w:val="en-US" w:eastAsia="zh-CN"/>
        </w:rPr>
        <w:t>12</w:t>
      </w:r>
      <w:r>
        <w:rPr>
          <w:rFonts w:hint="eastAsia"/>
          <w:color w:val="auto"/>
          <w:vertAlign w:val="superscript"/>
          <w:lang w:val="en-US" w:eastAsia="zh-CN"/>
        </w:rPr>
        <w:t>3</w:t>
      </w:r>
      <w:r>
        <w:rPr>
          <w:rFonts w:hint="eastAsia" w:ascii="Times New Roman"/>
          <w:color w:val="auto"/>
          <w:lang w:val="en-US" w:eastAsia="zh-CN"/>
        </w:rPr>
        <w:t>Sb</w:t>
      </w:r>
      <w:r>
        <w:rPr>
          <w:rFonts w:hint="eastAsia"/>
          <w:color w:val="auto"/>
          <w:vertAlign w:val="superscript"/>
          <w:lang w:val="en-US" w:eastAsia="zh-CN"/>
        </w:rPr>
        <w:t>+</w:t>
      </w:r>
      <w:r>
        <w:rPr>
          <w:rFonts w:hint="eastAsia" w:ascii="Times New Roman"/>
          <w:color w:val="auto"/>
          <w:lang w:val="en-US" w:eastAsia="zh-CN"/>
        </w:rPr>
        <w:t>受到</w:t>
      </w:r>
      <w:r>
        <w:rPr>
          <w:rFonts w:hint="eastAsia" w:ascii="Times New Roman"/>
          <w:color w:val="auto"/>
          <w:vertAlign w:val="superscript"/>
          <w:lang w:val="en-US" w:eastAsia="zh-CN"/>
        </w:rPr>
        <w:t>12</w:t>
      </w:r>
      <w:r>
        <w:rPr>
          <w:rFonts w:hint="eastAsia"/>
          <w:color w:val="auto"/>
          <w:vertAlign w:val="superscript"/>
          <w:lang w:val="en-US" w:eastAsia="zh-CN"/>
        </w:rPr>
        <w:t>2</w:t>
      </w:r>
      <w:r>
        <w:rPr>
          <w:rFonts w:hint="eastAsia" w:ascii="Times New Roman"/>
          <w:color w:val="auto"/>
          <w:lang w:val="en-US" w:eastAsia="zh-CN"/>
        </w:rPr>
        <w:t>Sn</w:t>
      </w:r>
      <w:r>
        <w:rPr>
          <w:rFonts w:hint="eastAsia" w:ascii="Times New Roman"/>
          <w:color w:val="auto"/>
          <w:vertAlign w:val="superscript"/>
          <w:lang w:val="en-US" w:eastAsia="zh-CN"/>
        </w:rPr>
        <w:t>1</w:t>
      </w:r>
      <w:r>
        <w:rPr>
          <w:rFonts w:hint="eastAsia" w:ascii="Times New Roman"/>
          <w:color w:val="auto"/>
          <w:lang w:val="en-US" w:eastAsia="zh-CN"/>
        </w:rPr>
        <w:t>H</w:t>
      </w:r>
      <w:r>
        <w:rPr>
          <w:rFonts w:hint="eastAsia"/>
          <w:color w:val="auto"/>
          <w:vertAlign w:val="superscript"/>
          <w:lang w:val="en-US" w:eastAsia="zh-CN"/>
        </w:rPr>
        <w:t>+</w:t>
      </w:r>
      <w:r>
        <w:rPr>
          <w:rFonts w:hint="eastAsia" w:ascii="Times New Roman"/>
          <w:color w:val="auto"/>
          <w:lang w:val="en-US" w:eastAsia="zh-CN"/>
        </w:rPr>
        <w:t>的质谱干扰</w:t>
      </w:r>
      <w:r>
        <w:rPr>
          <w:rFonts w:hint="eastAsia"/>
          <w:color w:val="auto"/>
          <w:lang w:val="en-US" w:eastAsia="zh-CN"/>
        </w:rPr>
        <w:t>小于</w:t>
      </w:r>
      <w:r>
        <w:rPr>
          <w:rFonts w:hint="eastAsia" w:ascii="Times New Roman"/>
          <w:color w:val="auto"/>
          <w:lang w:val="en-US" w:eastAsia="zh-CN"/>
        </w:rPr>
        <w:t>0.</w:t>
      </w:r>
      <w:r>
        <w:rPr>
          <w:rFonts w:hint="eastAsia"/>
          <w:color w:val="auto"/>
          <w:lang w:val="en-US" w:eastAsia="zh-CN"/>
        </w:rPr>
        <w:t>1</w:t>
      </w:r>
      <w:r>
        <w:rPr>
          <w:rFonts w:hint="eastAsia" w:ascii="Times New Roman"/>
          <w:color w:val="auto"/>
          <w:lang w:val="en-US" w:eastAsia="zh-CN"/>
        </w:rPr>
        <w:t xml:space="preserve"> ng/mL</w:t>
      </w:r>
      <w:r>
        <w:rPr>
          <w:rFonts w:hint="eastAsia"/>
          <w:color w:val="auto"/>
          <w:lang w:val="en-US" w:eastAsia="zh-CN"/>
        </w:rPr>
        <w:t>，可以忽略</w:t>
      </w:r>
      <w:r>
        <w:rPr>
          <w:rFonts w:hint="eastAsia"/>
          <w:color w:val="auto"/>
          <w:vertAlign w:val="baseline"/>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35"/>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综上，各元素推荐的同位素质量数见表</w:t>
      </w:r>
      <w:r>
        <w:rPr>
          <w:rFonts w:hint="eastAsia" w:cs="Times New Roman"/>
          <w:color w:val="auto"/>
          <w:lang w:val="en-US" w:eastAsia="zh-CN"/>
        </w:rPr>
        <w:t>8</w:t>
      </w:r>
      <w:r>
        <w:rPr>
          <w:rFonts w:hint="eastAsia" w:ascii="Times New Roman" w:hAnsi="Times New Roman" w:eastAsia="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表8  推荐的同位素质量数和内标及潜在质谱干扰</w:t>
      </w:r>
    </w:p>
    <w:tbl>
      <w:tblPr>
        <w:tblStyle w:val="88"/>
        <w:tblW w:w="4998" w:type="pct"/>
        <w:jc w:val="center"/>
        <w:tblBorders>
          <w:top w:val="single" w:color="000000" w:sz="12" w:space="0"/>
          <w:left w:val="single" w:color="000000" w:sz="12" w:space="0"/>
          <w:bottom w:val="single" w:color="000000" w:sz="12" w:space="0"/>
          <w:right w:val="single" w:color="000000" w:sz="12" w:space="0"/>
          <w:insideH w:val="single" w:color="auto" w:sz="4" w:space="0"/>
          <w:insideV w:val="none" w:color="auto" w:sz="0" w:space="0"/>
        </w:tblBorders>
        <w:tblLayout w:type="autofit"/>
        <w:tblCellMar>
          <w:top w:w="0" w:type="dxa"/>
          <w:left w:w="0" w:type="dxa"/>
          <w:bottom w:w="0" w:type="dxa"/>
          <w:right w:w="0" w:type="dxa"/>
        </w:tblCellMar>
      </w:tblPr>
      <w:tblGrid>
        <w:gridCol w:w="484"/>
        <w:gridCol w:w="1390"/>
        <w:gridCol w:w="952"/>
        <w:gridCol w:w="1497"/>
        <w:gridCol w:w="496"/>
        <w:gridCol w:w="1390"/>
        <w:gridCol w:w="934"/>
        <w:gridCol w:w="2579"/>
      </w:tblGrid>
      <w:tr>
        <w:tblPrEx>
          <w:tblBorders>
            <w:top w:val="single" w:color="000000" w:sz="12" w:space="0"/>
            <w:left w:val="single" w:color="000000" w:sz="12" w:space="0"/>
            <w:bottom w:val="single" w:color="000000" w:sz="12" w:space="0"/>
            <w:right w:val="single" w:color="000000" w:sz="12" w:space="0"/>
            <w:insideH w:val="single" w:color="auto" w:sz="4" w:space="0"/>
            <w:insideV w:val="none" w:color="auto" w:sz="0" w:space="0"/>
          </w:tblBorders>
        </w:tblPrEx>
        <w:trPr>
          <w:trHeight w:val="346" w:hRule="atLeast"/>
          <w:tblHeader/>
          <w:jc w:val="center"/>
        </w:trPr>
        <w:tc>
          <w:tcPr>
            <w:tcW w:w="249" w:type="pct"/>
            <w:tcBorders>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18"/>
                <w:szCs w:val="18"/>
              </w:rPr>
            </w:pPr>
            <w:r>
              <w:rPr>
                <w:color w:val="000000"/>
                <w:kern w:val="0"/>
                <w:sz w:val="18"/>
                <w:szCs w:val="18"/>
              </w:rPr>
              <w:t>元素</w:t>
            </w:r>
          </w:p>
        </w:tc>
        <w:tc>
          <w:tcPr>
            <w:tcW w:w="714" w:type="pct"/>
            <w:tcBorders>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18"/>
                <w:szCs w:val="18"/>
              </w:rPr>
            </w:pPr>
            <w:r>
              <w:rPr>
                <w:color w:val="000000"/>
                <w:kern w:val="0"/>
                <w:sz w:val="18"/>
                <w:szCs w:val="18"/>
              </w:rPr>
              <w:t>同位素质量数</w:t>
            </w:r>
          </w:p>
        </w:tc>
        <w:tc>
          <w:tcPr>
            <w:tcW w:w="489" w:type="pct"/>
            <w:tcBorders>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olor w:val="000000"/>
                <w:kern w:val="0"/>
                <w:sz w:val="18"/>
                <w:szCs w:val="18"/>
                <w:lang w:val="en-US" w:eastAsia="zh-CN"/>
              </w:rPr>
            </w:pPr>
            <w:r>
              <w:rPr>
                <w:rFonts w:hint="eastAsia"/>
                <w:color w:val="000000"/>
                <w:kern w:val="0"/>
                <w:sz w:val="18"/>
                <w:szCs w:val="18"/>
                <w:lang w:val="en-US" w:eastAsia="zh-CN"/>
              </w:rPr>
              <w:t>内标</w:t>
            </w:r>
          </w:p>
        </w:tc>
        <w:tc>
          <w:tcPr>
            <w:tcW w:w="769" w:type="pct"/>
            <w:tcBorders>
              <w:left w:val="single" w:color="000000" w:sz="6" w:space="0"/>
              <w:bottom w:val="single" w:color="000000" w:sz="12" w:space="0"/>
              <w:right w:val="doub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eastAsia="宋体"/>
                <w:color w:val="000000"/>
                <w:kern w:val="0"/>
                <w:sz w:val="18"/>
                <w:szCs w:val="18"/>
                <w:lang w:val="en-US" w:eastAsia="zh-CN"/>
              </w:rPr>
            </w:pPr>
            <w:r>
              <w:rPr>
                <w:rFonts w:hint="eastAsia"/>
                <w:color w:val="000000"/>
                <w:kern w:val="0"/>
                <w:sz w:val="18"/>
                <w:szCs w:val="18"/>
                <w:lang w:val="en-US" w:eastAsia="zh-CN"/>
              </w:rPr>
              <w:t>潜在质谱干扰</w:t>
            </w:r>
          </w:p>
        </w:tc>
        <w:tc>
          <w:tcPr>
            <w:tcW w:w="255" w:type="pct"/>
            <w:tcBorders>
              <w:left w:val="doub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18"/>
                <w:szCs w:val="18"/>
              </w:rPr>
            </w:pPr>
            <w:r>
              <w:rPr>
                <w:color w:val="000000"/>
                <w:kern w:val="0"/>
                <w:sz w:val="18"/>
                <w:szCs w:val="18"/>
              </w:rPr>
              <w:t>元素</w:t>
            </w:r>
          </w:p>
        </w:tc>
        <w:tc>
          <w:tcPr>
            <w:tcW w:w="714" w:type="pct"/>
            <w:tcBorders>
              <w:left w:val="single" w:color="000000" w:sz="6" w:space="0"/>
              <w:bottom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18"/>
                <w:szCs w:val="18"/>
              </w:rPr>
            </w:pPr>
            <w:r>
              <w:rPr>
                <w:color w:val="000000"/>
                <w:kern w:val="0"/>
                <w:sz w:val="18"/>
                <w:szCs w:val="18"/>
              </w:rPr>
              <w:t>同位素质量数</w:t>
            </w:r>
          </w:p>
        </w:tc>
        <w:tc>
          <w:tcPr>
            <w:tcW w:w="480" w:type="pct"/>
            <w:tcBorders>
              <w:left w:val="single" w:color="000000" w:sz="6" w:space="0"/>
              <w:bottom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olor w:val="000000"/>
                <w:kern w:val="0"/>
                <w:sz w:val="18"/>
                <w:szCs w:val="18"/>
                <w:lang w:val="en-US" w:eastAsia="zh-CN"/>
              </w:rPr>
            </w:pPr>
            <w:r>
              <w:rPr>
                <w:rFonts w:hint="eastAsia"/>
                <w:color w:val="000000"/>
                <w:kern w:val="0"/>
                <w:sz w:val="18"/>
                <w:szCs w:val="18"/>
                <w:lang w:val="en-US" w:eastAsia="zh-CN"/>
              </w:rPr>
              <w:t>内标</w:t>
            </w:r>
          </w:p>
        </w:tc>
        <w:tc>
          <w:tcPr>
            <w:tcW w:w="1325" w:type="pct"/>
            <w:tcBorders>
              <w:left w:val="single" w:color="000000" w:sz="6" w:space="0"/>
              <w:bottom w:val="single" w:color="000000"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18"/>
                <w:szCs w:val="18"/>
              </w:rPr>
            </w:pPr>
            <w:r>
              <w:rPr>
                <w:rFonts w:hint="eastAsia"/>
                <w:color w:val="000000"/>
                <w:kern w:val="0"/>
                <w:sz w:val="18"/>
                <w:szCs w:val="18"/>
                <w:lang w:val="en-US" w:eastAsia="zh-CN"/>
              </w:rPr>
              <w:t>潜在质谱干扰</w:t>
            </w:r>
          </w:p>
        </w:tc>
      </w:tr>
      <w:tr>
        <w:tblPrEx>
          <w:tblBorders>
            <w:top w:val="single" w:color="000000" w:sz="12" w:space="0"/>
            <w:left w:val="single" w:color="000000" w:sz="12" w:space="0"/>
            <w:bottom w:val="single" w:color="000000" w:sz="12" w:space="0"/>
            <w:right w:val="single" w:color="000000" w:sz="12" w:space="0"/>
            <w:insideH w:val="single" w:color="auto" w:sz="4" w:space="0"/>
            <w:insideV w:val="none" w:color="auto" w:sz="0" w:space="0"/>
          </w:tblBorders>
          <w:tblCellMar>
            <w:top w:w="0" w:type="dxa"/>
            <w:left w:w="0" w:type="dxa"/>
            <w:bottom w:w="0" w:type="dxa"/>
            <w:right w:w="0" w:type="dxa"/>
          </w:tblCellMar>
        </w:tblPrEx>
        <w:trPr>
          <w:trHeight w:val="347" w:hRule="atLeast"/>
          <w:jc w:val="center"/>
        </w:trPr>
        <w:tc>
          <w:tcPr>
            <w:tcW w:w="249" w:type="pct"/>
            <w:tcBorders>
              <w:top w:val="single" w:color="000000" w:sz="1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Mg</w:t>
            </w:r>
          </w:p>
        </w:tc>
        <w:tc>
          <w:tcPr>
            <w:tcW w:w="714" w:type="pct"/>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24</w:t>
            </w:r>
          </w:p>
        </w:tc>
        <w:tc>
          <w:tcPr>
            <w:tcW w:w="489" w:type="pct"/>
            <w:tcBorders>
              <w:top w:val="single" w:color="000000" w:sz="12"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eastAsia="宋体"/>
                <w:sz w:val="18"/>
                <w:szCs w:val="18"/>
                <w:lang w:val="en-US" w:eastAsia="zh-CN"/>
              </w:rPr>
            </w:pPr>
            <w:r>
              <w:rPr>
                <w:rFonts w:hint="eastAsia"/>
                <w:sz w:val="18"/>
                <w:szCs w:val="18"/>
                <w:vertAlign w:val="superscript"/>
                <w:lang w:val="en-US" w:eastAsia="zh-CN"/>
              </w:rPr>
              <w:t>45</w:t>
            </w:r>
            <w:r>
              <w:rPr>
                <w:rFonts w:hint="eastAsia"/>
                <w:sz w:val="18"/>
                <w:szCs w:val="18"/>
                <w:lang w:val="en-US" w:eastAsia="zh-CN"/>
              </w:rPr>
              <w:t>Sc</w:t>
            </w:r>
          </w:p>
        </w:tc>
        <w:tc>
          <w:tcPr>
            <w:tcW w:w="769" w:type="pct"/>
            <w:tcBorders>
              <w:top w:val="single" w:color="000000" w:sz="12"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rPr>
            </w:pPr>
          </w:p>
        </w:tc>
        <w:tc>
          <w:tcPr>
            <w:tcW w:w="255" w:type="pct"/>
            <w:tcBorders>
              <w:top w:val="single" w:color="000000" w:sz="12" w:space="0"/>
              <w:left w:val="doub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Se</w:t>
            </w:r>
          </w:p>
        </w:tc>
        <w:tc>
          <w:tcPr>
            <w:tcW w:w="714" w:type="pct"/>
            <w:tcBorders>
              <w:top w:val="single" w:color="000000" w:sz="12"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80</w:t>
            </w:r>
          </w:p>
        </w:tc>
        <w:tc>
          <w:tcPr>
            <w:tcW w:w="480" w:type="pct"/>
            <w:tcBorders>
              <w:top w:val="single" w:color="000000" w:sz="12"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vertAlign w:val="superscript"/>
                <w:lang w:val="en-US" w:eastAsia="zh-CN"/>
              </w:rPr>
            </w:pPr>
            <w:r>
              <w:rPr>
                <w:rFonts w:hint="eastAsia"/>
                <w:sz w:val="18"/>
                <w:szCs w:val="18"/>
                <w:vertAlign w:val="superscript"/>
                <w:lang w:val="en-US" w:eastAsia="zh-CN"/>
              </w:rPr>
              <w:t>45</w:t>
            </w:r>
            <w:r>
              <w:rPr>
                <w:rFonts w:hint="eastAsia"/>
                <w:sz w:val="18"/>
                <w:szCs w:val="18"/>
                <w:lang w:val="en-US" w:eastAsia="zh-CN"/>
              </w:rPr>
              <w:t>Sc</w:t>
            </w:r>
          </w:p>
        </w:tc>
        <w:tc>
          <w:tcPr>
            <w:tcW w:w="1325" w:type="pct"/>
            <w:tcBorders>
              <w:top w:val="single" w:color="000000" w:sz="12"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sz w:val="18"/>
                <w:szCs w:val="18"/>
                <w:lang w:val="en-US" w:eastAsia="zh-CN"/>
              </w:rPr>
            </w:pPr>
            <w:r>
              <w:rPr>
                <w:rFonts w:hint="eastAsia"/>
                <w:sz w:val="18"/>
                <w:szCs w:val="18"/>
                <w:vertAlign w:val="superscript"/>
                <w:lang w:val="en-US" w:eastAsia="zh-CN"/>
              </w:rPr>
              <w:t>40</w:t>
            </w:r>
            <w:r>
              <w:rPr>
                <w:rFonts w:hint="eastAsia"/>
                <w:sz w:val="18"/>
                <w:szCs w:val="18"/>
                <w:lang w:val="en-US" w:eastAsia="zh-CN"/>
              </w:rPr>
              <w:t>Ar</w:t>
            </w:r>
            <w:r>
              <w:rPr>
                <w:rFonts w:hint="eastAsia"/>
                <w:sz w:val="18"/>
                <w:szCs w:val="18"/>
                <w:vertAlign w:val="superscript"/>
                <w:lang w:val="en-US" w:eastAsia="zh-CN"/>
              </w:rPr>
              <w:t>40</w:t>
            </w:r>
            <w:r>
              <w:rPr>
                <w:rFonts w:hint="eastAsia"/>
                <w:sz w:val="18"/>
                <w:szCs w:val="18"/>
                <w:lang w:val="en-US" w:eastAsia="zh-CN"/>
              </w:rPr>
              <w:t>Ar</w:t>
            </w:r>
            <w:r>
              <w:rPr>
                <w:rFonts w:hint="eastAsia"/>
                <w:sz w:val="18"/>
                <w:szCs w:val="18"/>
                <w:vertAlign w:val="superscript"/>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none" w:color="auto" w:sz="0" w:space="0"/>
          </w:tblBorders>
          <w:tblCellMar>
            <w:top w:w="0" w:type="dxa"/>
            <w:left w:w="0" w:type="dxa"/>
            <w:bottom w:w="0" w:type="dxa"/>
            <w:right w:w="0" w:type="dxa"/>
          </w:tblCellMar>
        </w:tblPrEx>
        <w:trPr>
          <w:trHeight w:val="305" w:hRule="atLeast"/>
          <w:jc w:val="center"/>
        </w:trPr>
        <w:tc>
          <w:tcPr>
            <w:tcW w:w="249" w:type="pct"/>
            <w:tcBorders>
              <w:top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Al</w:t>
            </w:r>
          </w:p>
        </w:tc>
        <w:tc>
          <w:tcPr>
            <w:tcW w:w="714"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27</w:t>
            </w:r>
          </w:p>
        </w:tc>
        <w:tc>
          <w:tcPr>
            <w:tcW w:w="489" w:type="pct"/>
            <w:tcBorders>
              <w:top w:val="single" w:color="000000" w:sz="4"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rPr>
            </w:pPr>
            <w:r>
              <w:rPr>
                <w:rFonts w:hint="eastAsia"/>
                <w:sz w:val="18"/>
                <w:szCs w:val="18"/>
                <w:vertAlign w:val="superscript"/>
                <w:lang w:val="en-US" w:eastAsia="zh-CN"/>
              </w:rPr>
              <w:t>45</w:t>
            </w:r>
            <w:r>
              <w:rPr>
                <w:rFonts w:hint="eastAsia"/>
                <w:sz w:val="18"/>
                <w:szCs w:val="18"/>
                <w:lang w:val="en-US" w:eastAsia="zh-CN"/>
              </w:rPr>
              <w:t>Sc</w:t>
            </w:r>
          </w:p>
        </w:tc>
        <w:tc>
          <w:tcPr>
            <w:tcW w:w="769" w:type="pct"/>
            <w:tcBorders>
              <w:top w:val="single" w:color="000000" w:sz="4"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rPr>
            </w:pPr>
          </w:p>
        </w:tc>
        <w:tc>
          <w:tcPr>
            <w:tcW w:w="255" w:type="pct"/>
            <w:tcBorders>
              <w:top w:val="single" w:color="000000" w:sz="4" w:space="0"/>
              <w:left w:val="doub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Ag</w:t>
            </w:r>
          </w:p>
        </w:tc>
        <w:tc>
          <w:tcPr>
            <w:tcW w:w="714"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107</w:t>
            </w:r>
          </w:p>
        </w:tc>
        <w:tc>
          <w:tcPr>
            <w:tcW w:w="480"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eastAsia="宋体"/>
                <w:sz w:val="18"/>
                <w:szCs w:val="18"/>
                <w:lang w:val="en-US" w:eastAsia="zh-CN"/>
              </w:rPr>
            </w:pPr>
            <w:r>
              <w:rPr>
                <w:rFonts w:hint="eastAsia"/>
                <w:sz w:val="18"/>
                <w:szCs w:val="18"/>
                <w:vertAlign w:val="superscript"/>
                <w:lang w:val="en-US" w:eastAsia="zh-CN"/>
              </w:rPr>
              <w:t>133</w:t>
            </w:r>
            <w:r>
              <w:rPr>
                <w:rFonts w:hint="eastAsia"/>
                <w:sz w:val="18"/>
                <w:szCs w:val="18"/>
                <w:lang w:val="en-US" w:eastAsia="zh-CN"/>
              </w:rPr>
              <w:t>Cs</w:t>
            </w:r>
          </w:p>
        </w:tc>
        <w:tc>
          <w:tcPr>
            <w:tcW w:w="1325"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none" w:color="auto" w:sz="0" w:space="0"/>
          </w:tblBorders>
          <w:tblCellMar>
            <w:top w:w="0" w:type="dxa"/>
            <w:left w:w="0" w:type="dxa"/>
            <w:bottom w:w="0" w:type="dxa"/>
            <w:right w:w="0" w:type="dxa"/>
          </w:tblCellMar>
        </w:tblPrEx>
        <w:trPr>
          <w:trHeight w:val="305" w:hRule="atLeast"/>
          <w:jc w:val="center"/>
        </w:trPr>
        <w:tc>
          <w:tcPr>
            <w:tcW w:w="249" w:type="pct"/>
            <w:tcBorders>
              <w:top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Ca</w:t>
            </w:r>
          </w:p>
        </w:tc>
        <w:tc>
          <w:tcPr>
            <w:tcW w:w="714"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40</w:t>
            </w:r>
            <w:r>
              <w:rPr>
                <w:rFonts w:hint="eastAsia"/>
                <w:sz w:val="18"/>
                <w:szCs w:val="18"/>
                <w:lang w:val="en-US" w:eastAsia="zh-CN"/>
              </w:rPr>
              <w:t xml:space="preserve"> / 44</w:t>
            </w:r>
          </w:p>
        </w:tc>
        <w:tc>
          <w:tcPr>
            <w:tcW w:w="489" w:type="pct"/>
            <w:tcBorders>
              <w:top w:val="single" w:color="000000" w:sz="4"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vertAlign w:val="superscript"/>
                <w:lang w:val="en-US" w:eastAsia="zh-CN"/>
              </w:rPr>
            </w:pPr>
            <w:r>
              <w:rPr>
                <w:rFonts w:hint="eastAsia"/>
                <w:sz w:val="18"/>
                <w:szCs w:val="18"/>
                <w:vertAlign w:val="superscript"/>
                <w:lang w:val="en-US" w:eastAsia="zh-CN"/>
              </w:rPr>
              <w:t>45</w:t>
            </w:r>
            <w:r>
              <w:rPr>
                <w:rFonts w:hint="eastAsia"/>
                <w:sz w:val="18"/>
                <w:szCs w:val="18"/>
                <w:lang w:val="en-US" w:eastAsia="zh-CN"/>
              </w:rPr>
              <w:t>Sc</w:t>
            </w:r>
          </w:p>
        </w:tc>
        <w:tc>
          <w:tcPr>
            <w:tcW w:w="769" w:type="pct"/>
            <w:tcBorders>
              <w:top w:val="single" w:color="000000" w:sz="4"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rPr>
            </w:pPr>
            <w:r>
              <w:rPr>
                <w:rFonts w:hint="eastAsia"/>
                <w:sz w:val="18"/>
                <w:szCs w:val="18"/>
                <w:vertAlign w:val="superscript"/>
                <w:lang w:val="en-US" w:eastAsia="zh-CN"/>
              </w:rPr>
              <w:t>40</w:t>
            </w:r>
            <w:r>
              <w:rPr>
                <w:rFonts w:hint="eastAsia"/>
                <w:sz w:val="18"/>
                <w:szCs w:val="18"/>
                <w:lang w:val="en-US" w:eastAsia="zh-CN"/>
              </w:rPr>
              <w:t>Ar</w:t>
            </w:r>
            <w:r>
              <w:rPr>
                <w:rFonts w:hint="eastAsia"/>
                <w:sz w:val="18"/>
                <w:szCs w:val="18"/>
                <w:vertAlign w:val="superscript"/>
                <w:lang w:val="en-US" w:eastAsia="zh-CN"/>
              </w:rPr>
              <w:t>+</w:t>
            </w:r>
          </w:p>
        </w:tc>
        <w:tc>
          <w:tcPr>
            <w:tcW w:w="255" w:type="pct"/>
            <w:tcBorders>
              <w:top w:val="single" w:color="000000" w:sz="4" w:space="0"/>
              <w:left w:val="doub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Cd</w:t>
            </w:r>
          </w:p>
        </w:tc>
        <w:tc>
          <w:tcPr>
            <w:tcW w:w="714"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111</w:t>
            </w:r>
          </w:p>
        </w:tc>
        <w:tc>
          <w:tcPr>
            <w:tcW w:w="480"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rPr>
            </w:pPr>
            <w:r>
              <w:rPr>
                <w:rFonts w:hint="eastAsia"/>
                <w:sz w:val="18"/>
                <w:szCs w:val="18"/>
                <w:vertAlign w:val="superscript"/>
                <w:lang w:val="en-US" w:eastAsia="zh-CN"/>
              </w:rPr>
              <w:t>133</w:t>
            </w:r>
            <w:r>
              <w:rPr>
                <w:rFonts w:hint="eastAsia"/>
                <w:sz w:val="18"/>
                <w:szCs w:val="18"/>
                <w:lang w:val="en-US" w:eastAsia="zh-CN"/>
              </w:rPr>
              <w:t>Cs</w:t>
            </w:r>
          </w:p>
        </w:tc>
        <w:tc>
          <w:tcPr>
            <w:tcW w:w="1325"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none" w:color="auto" w:sz="0" w:space="0"/>
          </w:tblBorders>
          <w:tblCellMar>
            <w:top w:w="0" w:type="dxa"/>
            <w:left w:w="0" w:type="dxa"/>
            <w:bottom w:w="0" w:type="dxa"/>
            <w:right w:w="0" w:type="dxa"/>
          </w:tblCellMar>
        </w:tblPrEx>
        <w:trPr>
          <w:trHeight w:val="305" w:hRule="atLeast"/>
          <w:jc w:val="center"/>
        </w:trPr>
        <w:tc>
          <w:tcPr>
            <w:tcW w:w="249" w:type="pct"/>
            <w:tcBorders>
              <w:top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Fe</w:t>
            </w:r>
          </w:p>
        </w:tc>
        <w:tc>
          <w:tcPr>
            <w:tcW w:w="714"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56</w:t>
            </w:r>
          </w:p>
        </w:tc>
        <w:tc>
          <w:tcPr>
            <w:tcW w:w="489" w:type="pct"/>
            <w:tcBorders>
              <w:top w:val="single" w:color="000000" w:sz="4"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vertAlign w:val="superscript"/>
                <w:lang w:val="en-US" w:eastAsia="zh-CN"/>
              </w:rPr>
            </w:pPr>
            <w:r>
              <w:rPr>
                <w:rFonts w:hint="eastAsia"/>
                <w:sz w:val="18"/>
                <w:szCs w:val="18"/>
                <w:vertAlign w:val="superscript"/>
                <w:lang w:val="en-US" w:eastAsia="zh-CN"/>
              </w:rPr>
              <w:t>45</w:t>
            </w:r>
            <w:r>
              <w:rPr>
                <w:rFonts w:hint="eastAsia"/>
                <w:sz w:val="18"/>
                <w:szCs w:val="18"/>
                <w:lang w:val="en-US" w:eastAsia="zh-CN"/>
              </w:rPr>
              <w:t>Sc</w:t>
            </w:r>
          </w:p>
        </w:tc>
        <w:tc>
          <w:tcPr>
            <w:tcW w:w="769" w:type="pct"/>
            <w:tcBorders>
              <w:top w:val="single" w:color="000000" w:sz="4"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eastAsia="宋体"/>
                <w:sz w:val="18"/>
                <w:szCs w:val="18"/>
                <w:lang w:val="en-US" w:eastAsia="zh-CN"/>
              </w:rPr>
            </w:pPr>
            <w:r>
              <w:rPr>
                <w:rFonts w:hint="eastAsia"/>
                <w:sz w:val="18"/>
                <w:szCs w:val="18"/>
                <w:vertAlign w:val="superscript"/>
                <w:lang w:val="en-US" w:eastAsia="zh-CN"/>
              </w:rPr>
              <w:t>40</w:t>
            </w:r>
            <w:r>
              <w:rPr>
                <w:rFonts w:hint="eastAsia"/>
                <w:sz w:val="18"/>
                <w:szCs w:val="18"/>
                <w:lang w:val="en-US" w:eastAsia="zh-CN"/>
              </w:rPr>
              <w:t>Ar</w:t>
            </w:r>
            <w:r>
              <w:rPr>
                <w:rFonts w:hint="eastAsia"/>
                <w:sz w:val="18"/>
                <w:szCs w:val="18"/>
                <w:vertAlign w:val="superscript"/>
                <w:lang w:val="en-US" w:eastAsia="zh-CN"/>
              </w:rPr>
              <w:t>16</w:t>
            </w:r>
            <w:r>
              <w:rPr>
                <w:rFonts w:hint="eastAsia"/>
                <w:sz w:val="18"/>
                <w:szCs w:val="18"/>
                <w:lang w:val="en-US" w:eastAsia="zh-CN"/>
              </w:rPr>
              <w:t>O</w:t>
            </w:r>
            <w:r>
              <w:rPr>
                <w:rFonts w:hint="eastAsia"/>
                <w:sz w:val="18"/>
                <w:szCs w:val="18"/>
                <w:vertAlign w:val="superscript"/>
                <w:lang w:val="en-US" w:eastAsia="zh-CN"/>
              </w:rPr>
              <w:t>+</w:t>
            </w:r>
          </w:p>
        </w:tc>
        <w:tc>
          <w:tcPr>
            <w:tcW w:w="255" w:type="pct"/>
            <w:tcBorders>
              <w:top w:val="single" w:color="000000" w:sz="4" w:space="0"/>
              <w:left w:val="doub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Sn</w:t>
            </w:r>
          </w:p>
        </w:tc>
        <w:tc>
          <w:tcPr>
            <w:tcW w:w="714"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lang w:val="en-US" w:eastAsia="zh-CN"/>
              </w:rPr>
              <w:t>118</w:t>
            </w:r>
          </w:p>
        </w:tc>
        <w:tc>
          <w:tcPr>
            <w:tcW w:w="480"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lang w:val="en-US" w:eastAsia="zh-CN"/>
              </w:rPr>
            </w:pPr>
            <w:r>
              <w:rPr>
                <w:rFonts w:hint="eastAsia"/>
                <w:sz w:val="18"/>
                <w:szCs w:val="18"/>
                <w:vertAlign w:val="superscript"/>
                <w:lang w:val="en-US" w:eastAsia="zh-CN"/>
              </w:rPr>
              <w:t>133</w:t>
            </w:r>
            <w:r>
              <w:rPr>
                <w:rFonts w:hint="eastAsia"/>
                <w:sz w:val="18"/>
                <w:szCs w:val="18"/>
                <w:lang w:val="en-US" w:eastAsia="zh-CN"/>
              </w:rPr>
              <w:t>Cs</w:t>
            </w:r>
          </w:p>
        </w:tc>
        <w:tc>
          <w:tcPr>
            <w:tcW w:w="1325"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none" w:color="auto" w:sz="0" w:space="0"/>
          </w:tblBorders>
          <w:tblCellMar>
            <w:top w:w="0" w:type="dxa"/>
            <w:left w:w="0" w:type="dxa"/>
            <w:bottom w:w="0" w:type="dxa"/>
            <w:right w:w="0" w:type="dxa"/>
          </w:tblCellMar>
        </w:tblPrEx>
        <w:trPr>
          <w:trHeight w:val="305" w:hRule="atLeast"/>
          <w:jc w:val="center"/>
        </w:trPr>
        <w:tc>
          <w:tcPr>
            <w:tcW w:w="249" w:type="pct"/>
            <w:tcBorders>
              <w:top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Ni</w:t>
            </w:r>
          </w:p>
        </w:tc>
        <w:tc>
          <w:tcPr>
            <w:tcW w:w="714"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lang w:val="en-US" w:eastAsia="zh-CN"/>
              </w:rPr>
              <w:t xml:space="preserve">58 / </w:t>
            </w:r>
            <w:r>
              <w:rPr>
                <w:rFonts w:hint="eastAsia"/>
                <w:sz w:val="18"/>
                <w:szCs w:val="18"/>
              </w:rPr>
              <w:t>60</w:t>
            </w:r>
          </w:p>
        </w:tc>
        <w:tc>
          <w:tcPr>
            <w:tcW w:w="489" w:type="pct"/>
            <w:tcBorders>
              <w:top w:val="single" w:color="000000" w:sz="4"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vertAlign w:val="superscript"/>
                <w:lang w:val="en-US" w:eastAsia="zh-CN"/>
              </w:rPr>
            </w:pPr>
            <w:r>
              <w:rPr>
                <w:rFonts w:hint="eastAsia"/>
                <w:sz w:val="18"/>
                <w:szCs w:val="18"/>
                <w:vertAlign w:val="superscript"/>
                <w:lang w:val="en-US" w:eastAsia="zh-CN"/>
              </w:rPr>
              <w:t>45</w:t>
            </w:r>
            <w:r>
              <w:rPr>
                <w:rFonts w:hint="eastAsia"/>
                <w:sz w:val="18"/>
                <w:szCs w:val="18"/>
                <w:lang w:val="en-US" w:eastAsia="zh-CN"/>
              </w:rPr>
              <w:t>Sc</w:t>
            </w:r>
          </w:p>
        </w:tc>
        <w:tc>
          <w:tcPr>
            <w:tcW w:w="769" w:type="pct"/>
            <w:tcBorders>
              <w:top w:val="single" w:color="000000" w:sz="4"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sz w:val="18"/>
                <w:szCs w:val="18"/>
                <w:vertAlign w:val="baseline"/>
                <w:lang w:val="en-US" w:eastAsia="zh-CN"/>
              </w:rPr>
            </w:pPr>
            <w:r>
              <w:rPr>
                <w:rFonts w:hint="eastAsia"/>
                <w:sz w:val="18"/>
                <w:szCs w:val="18"/>
                <w:vertAlign w:val="superscript"/>
                <w:lang w:val="en-US" w:eastAsia="zh-CN"/>
              </w:rPr>
              <w:t>116</w:t>
            </w:r>
            <w:r>
              <w:rPr>
                <w:rFonts w:hint="eastAsia"/>
                <w:sz w:val="18"/>
                <w:szCs w:val="18"/>
                <w:lang w:val="en-US" w:eastAsia="zh-CN"/>
              </w:rPr>
              <w:t>Sn</w:t>
            </w:r>
            <w:r>
              <w:rPr>
                <w:rFonts w:hint="eastAsia"/>
                <w:sz w:val="18"/>
                <w:szCs w:val="18"/>
                <w:vertAlign w:val="superscript"/>
                <w:lang w:val="en-US" w:eastAsia="zh-CN"/>
              </w:rPr>
              <w:t>2+</w:t>
            </w:r>
            <w:r>
              <w:rPr>
                <w:rFonts w:hint="eastAsia"/>
                <w:sz w:val="18"/>
                <w:szCs w:val="18"/>
                <w:vertAlign w:val="baseline"/>
                <w:lang w:val="en-US" w:eastAsia="zh-CN"/>
              </w:rPr>
              <w:t>、</w:t>
            </w:r>
            <w:r>
              <w:rPr>
                <w:rFonts w:hint="eastAsia"/>
                <w:sz w:val="18"/>
                <w:szCs w:val="18"/>
                <w:vertAlign w:val="superscript"/>
                <w:lang w:val="en-US" w:eastAsia="zh-CN"/>
              </w:rPr>
              <w:t>120</w:t>
            </w:r>
            <w:r>
              <w:rPr>
                <w:rFonts w:hint="eastAsia"/>
                <w:sz w:val="18"/>
                <w:szCs w:val="18"/>
                <w:lang w:val="en-US" w:eastAsia="zh-CN"/>
              </w:rPr>
              <w:t>Sn</w:t>
            </w:r>
            <w:r>
              <w:rPr>
                <w:rFonts w:hint="eastAsia"/>
                <w:sz w:val="18"/>
                <w:szCs w:val="18"/>
                <w:vertAlign w:val="superscript"/>
                <w:lang w:val="en-US" w:eastAsia="zh-CN"/>
              </w:rPr>
              <w:t>2+</w:t>
            </w:r>
          </w:p>
        </w:tc>
        <w:tc>
          <w:tcPr>
            <w:tcW w:w="255" w:type="pct"/>
            <w:tcBorders>
              <w:top w:val="single" w:color="000000" w:sz="4" w:space="0"/>
              <w:left w:val="doub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Sb</w:t>
            </w:r>
          </w:p>
        </w:tc>
        <w:tc>
          <w:tcPr>
            <w:tcW w:w="714"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kern w:val="2"/>
                <w:sz w:val="18"/>
                <w:szCs w:val="18"/>
                <w:lang w:val="en-US" w:eastAsia="zh-CN" w:bidi="ar-SA"/>
              </w:rPr>
            </w:pPr>
            <w:r>
              <w:rPr>
                <w:rFonts w:hint="eastAsia"/>
                <w:sz w:val="18"/>
                <w:szCs w:val="18"/>
                <w:lang w:val="en-US" w:eastAsia="zh-CN"/>
              </w:rPr>
              <w:t>121 / 123</w:t>
            </w:r>
          </w:p>
        </w:tc>
        <w:tc>
          <w:tcPr>
            <w:tcW w:w="480"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vertAlign w:val="superscript"/>
                <w:lang w:val="en-US" w:eastAsia="zh-CN"/>
              </w:rPr>
            </w:pPr>
            <w:r>
              <w:rPr>
                <w:rFonts w:hint="eastAsia"/>
                <w:sz w:val="18"/>
                <w:szCs w:val="18"/>
                <w:vertAlign w:val="superscript"/>
                <w:lang w:val="en-US" w:eastAsia="zh-CN"/>
              </w:rPr>
              <w:t>133</w:t>
            </w:r>
            <w:r>
              <w:rPr>
                <w:rFonts w:hint="eastAsia"/>
                <w:sz w:val="18"/>
                <w:szCs w:val="18"/>
                <w:lang w:val="en-US" w:eastAsia="zh-CN"/>
              </w:rPr>
              <w:t>Cs</w:t>
            </w:r>
          </w:p>
        </w:tc>
        <w:tc>
          <w:tcPr>
            <w:tcW w:w="1325"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sz w:val="18"/>
                <w:szCs w:val="18"/>
                <w:vertAlign w:val="baseline"/>
                <w:lang w:val="en-US" w:eastAsia="zh-CN"/>
              </w:rPr>
            </w:pPr>
            <w:r>
              <w:rPr>
                <w:rFonts w:hint="eastAsia"/>
                <w:sz w:val="18"/>
                <w:szCs w:val="18"/>
                <w:vertAlign w:val="superscript"/>
                <w:lang w:val="en-US" w:eastAsia="zh-CN"/>
              </w:rPr>
              <w:t>120</w:t>
            </w:r>
            <w:r>
              <w:rPr>
                <w:rFonts w:hint="eastAsia"/>
                <w:sz w:val="18"/>
                <w:szCs w:val="18"/>
                <w:lang w:val="en-US" w:eastAsia="zh-CN"/>
              </w:rPr>
              <w:t>Sn</w:t>
            </w:r>
            <w:r>
              <w:rPr>
                <w:rFonts w:hint="eastAsia"/>
                <w:sz w:val="18"/>
                <w:szCs w:val="18"/>
                <w:vertAlign w:val="superscript"/>
                <w:lang w:val="en-US" w:eastAsia="zh-CN"/>
              </w:rPr>
              <w:t>1</w:t>
            </w:r>
            <w:r>
              <w:rPr>
                <w:rFonts w:hint="eastAsia"/>
                <w:sz w:val="18"/>
                <w:szCs w:val="18"/>
                <w:lang w:val="en-US" w:eastAsia="zh-CN"/>
              </w:rPr>
              <w:t>H</w:t>
            </w:r>
            <w:r>
              <w:rPr>
                <w:rFonts w:hint="eastAsia"/>
                <w:sz w:val="18"/>
                <w:szCs w:val="18"/>
                <w:vertAlign w:val="superscript"/>
                <w:lang w:val="en-US" w:eastAsia="zh-CN"/>
              </w:rPr>
              <w:t>+</w:t>
            </w:r>
            <w:r>
              <w:rPr>
                <w:rFonts w:hint="eastAsia"/>
                <w:sz w:val="18"/>
                <w:szCs w:val="18"/>
                <w:vertAlign w:val="baseline"/>
                <w:lang w:val="en-US" w:eastAsia="zh-CN"/>
              </w:rPr>
              <w:t>、</w:t>
            </w:r>
            <w:r>
              <w:rPr>
                <w:rFonts w:hint="eastAsia"/>
                <w:sz w:val="18"/>
                <w:szCs w:val="18"/>
                <w:vertAlign w:val="superscript"/>
                <w:lang w:val="en-US" w:eastAsia="zh-CN"/>
              </w:rPr>
              <w:t>122</w:t>
            </w:r>
            <w:r>
              <w:rPr>
                <w:rFonts w:hint="eastAsia"/>
                <w:sz w:val="18"/>
                <w:szCs w:val="18"/>
                <w:lang w:val="en-US" w:eastAsia="zh-CN"/>
              </w:rPr>
              <w:t>Sn</w:t>
            </w:r>
            <w:r>
              <w:rPr>
                <w:rFonts w:hint="eastAsia"/>
                <w:sz w:val="18"/>
                <w:szCs w:val="18"/>
                <w:vertAlign w:val="superscript"/>
                <w:lang w:val="en-US" w:eastAsia="zh-CN"/>
              </w:rPr>
              <w:t>1</w:t>
            </w:r>
            <w:r>
              <w:rPr>
                <w:rFonts w:hint="eastAsia"/>
                <w:sz w:val="18"/>
                <w:szCs w:val="18"/>
                <w:lang w:val="en-US" w:eastAsia="zh-CN"/>
              </w:rPr>
              <w:t>H</w:t>
            </w:r>
            <w:r>
              <w:rPr>
                <w:rFonts w:hint="eastAsia"/>
                <w:sz w:val="18"/>
                <w:szCs w:val="18"/>
                <w:vertAlign w:val="superscript"/>
                <w:lang w:val="en-US" w:eastAsia="zh-CN"/>
              </w:rPr>
              <w:t>+</w:t>
            </w:r>
            <w:r>
              <w:rPr>
                <w:rFonts w:hint="eastAsia"/>
                <w:sz w:val="18"/>
                <w:szCs w:val="18"/>
                <w:vertAlign w:val="baseline"/>
                <w:lang w:val="en-US" w:eastAsia="zh-CN"/>
              </w:rPr>
              <w:t>、</w:t>
            </w:r>
            <w:r>
              <w:rPr>
                <w:rFonts w:hint="eastAsia"/>
                <w:sz w:val="18"/>
                <w:szCs w:val="18"/>
                <w:vertAlign w:val="superscript"/>
                <w:lang w:val="en-US" w:eastAsia="zh-CN"/>
              </w:rPr>
              <w:t>123</w:t>
            </w:r>
            <w:r>
              <w:rPr>
                <w:rFonts w:hint="eastAsia"/>
                <w:sz w:val="18"/>
                <w:szCs w:val="18"/>
                <w:vertAlign w:val="baseline"/>
                <w:lang w:val="en-US" w:eastAsia="zh-CN"/>
              </w:rPr>
              <w:t>Te</w:t>
            </w:r>
            <w:r>
              <w:rPr>
                <w:rFonts w:hint="eastAsia"/>
                <w:sz w:val="18"/>
                <w:szCs w:val="18"/>
                <w:vertAlign w:val="superscript"/>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none" w:color="auto" w:sz="0" w:space="0"/>
          </w:tblBorders>
          <w:tblCellMar>
            <w:top w:w="0" w:type="dxa"/>
            <w:left w:w="0" w:type="dxa"/>
            <w:bottom w:w="0" w:type="dxa"/>
            <w:right w:w="0" w:type="dxa"/>
          </w:tblCellMar>
        </w:tblPrEx>
        <w:trPr>
          <w:trHeight w:val="305" w:hRule="atLeast"/>
          <w:jc w:val="center"/>
        </w:trPr>
        <w:tc>
          <w:tcPr>
            <w:tcW w:w="249" w:type="pct"/>
            <w:tcBorders>
              <w:top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Cu</w:t>
            </w:r>
          </w:p>
        </w:tc>
        <w:tc>
          <w:tcPr>
            <w:tcW w:w="714"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63</w:t>
            </w:r>
          </w:p>
        </w:tc>
        <w:tc>
          <w:tcPr>
            <w:tcW w:w="489" w:type="pct"/>
            <w:tcBorders>
              <w:top w:val="single" w:color="000000" w:sz="4"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rPr>
            </w:pPr>
            <w:r>
              <w:rPr>
                <w:rFonts w:hint="eastAsia"/>
                <w:sz w:val="18"/>
                <w:szCs w:val="18"/>
                <w:vertAlign w:val="superscript"/>
                <w:lang w:val="en-US" w:eastAsia="zh-CN"/>
              </w:rPr>
              <w:t>45</w:t>
            </w:r>
            <w:r>
              <w:rPr>
                <w:rFonts w:hint="eastAsia"/>
                <w:sz w:val="18"/>
                <w:szCs w:val="18"/>
                <w:lang w:val="en-US" w:eastAsia="zh-CN"/>
              </w:rPr>
              <w:t>Sc</w:t>
            </w:r>
          </w:p>
        </w:tc>
        <w:tc>
          <w:tcPr>
            <w:tcW w:w="769" w:type="pct"/>
            <w:tcBorders>
              <w:top w:val="single" w:color="000000" w:sz="4"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rPr>
            </w:pPr>
          </w:p>
        </w:tc>
        <w:tc>
          <w:tcPr>
            <w:tcW w:w="255" w:type="pct"/>
            <w:tcBorders>
              <w:top w:val="single" w:color="000000" w:sz="4" w:space="0"/>
              <w:left w:val="doub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Te</w:t>
            </w:r>
          </w:p>
        </w:tc>
        <w:tc>
          <w:tcPr>
            <w:tcW w:w="714"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128</w:t>
            </w:r>
          </w:p>
        </w:tc>
        <w:tc>
          <w:tcPr>
            <w:tcW w:w="480"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rPr>
            </w:pPr>
            <w:r>
              <w:rPr>
                <w:rFonts w:hint="eastAsia"/>
                <w:sz w:val="18"/>
                <w:szCs w:val="18"/>
                <w:vertAlign w:val="superscript"/>
                <w:lang w:val="en-US" w:eastAsia="zh-CN"/>
              </w:rPr>
              <w:t>133</w:t>
            </w:r>
            <w:r>
              <w:rPr>
                <w:rFonts w:hint="eastAsia"/>
                <w:sz w:val="18"/>
                <w:szCs w:val="18"/>
                <w:lang w:val="en-US" w:eastAsia="zh-CN"/>
              </w:rPr>
              <w:t>Cs</w:t>
            </w:r>
          </w:p>
        </w:tc>
        <w:tc>
          <w:tcPr>
            <w:tcW w:w="1325"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none" w:color="auto" w:sz="0" w:space="0"/>
          </w:tblBorders>
          <w:tblCellMar>
            <w:top w:w="0" w:type="dxa"/>
            <w:left w:w="0" w:type="dxa"/>
            <w:bottom w:w="0" w:type="dxa"/>
            <w:right w:w="0" w:type="dxa"/>
          </w:tblCellMar>
        </w:tblPrEx>
        <w:trPr>
          <w:trHeight w:val="340" w:hRule="atLeast"/>
          <w:jc w:val="center"/>
        </w:trPr>
        <w:tc>
          <w:tcPr>
            <w:tcW w:w="249" w:type="pct"/>
            <w:tcBorders>
              <w:top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Zn</w:t>
            </w:r>
          </w:p>
        </w:tc>
        <w:tc>
          <w:tcPr>
            <w:tcW w:w="714"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lang w:val="en-US" w:eastAsia="zh-CN"/>
              </w:rPr>
              <w:t>66</w:t>
            </w:r>
          </w:p>
        </w:tc>
        <w:tc>
          <w:tcPr>
            <w:tcW w:w="489" w:type="pct"/>
            <w:tcBorders>
              <w:top w:val="single" w:color="000000" w:sz="4"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lang w:val="en-US" w:eastAsia="zh-CN"/>
              </w:rPr>
            </w:pPr>
            <w:r>
              <w:rPr>
                <w:rFonts w:hint="eastAsia"/>
                <w:sz w:val="18"/>
                <w:szCs w:val="18"/>
                <w:vertAlign w:val="superscript"/>
                <w:lang w:val="en-US" w:eastAsia="zh-CN"/>
              </w:rPr>
              <w:t>45</w:t>
            </w:r>
            <w:r>
              <w:rPr>
                <w:rFonts w:hint="eastAsia"/>
                <w:sz w:val="18"/>
                <w:szCs w:val="18"/>
                <w:lang w:val="en-US" w:eastAsia="zh-CN"/>
              </w:rPr>
              <w:t>Sc</w:t>
            </w:r>
          </w:p>
        </w:tc>
        <w:tc>
          <w:tcPr>
            <w:tcW w:w="769" w:type="pct"/>
            <w:tcBorders>
              <w:top w:val="single" w:color="000000" w:sz="4" w:space="0"/>
              <w:left w:val="sing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18"/>
                <w:szCs w:val="18"/>
                <w:lang w:val="en-US" w:eastAsia="zh-CN"/>
              </w:rPr>
            </w:pPr>
          </w:p>
        </w:tc>
        <w:tc>
          <w:tcPr>
            <w:tcW w:w="255" w:type="pct"/>
            <w:tcBorders>
              <w:top w:val="single" w:color="000000" w:sz="4" w:space="0"/>
              <w:left w:val="double" w:color="000000" w:sz="6"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Bi</w:t>
            </w:r>
          </w:p>
        </w:tc>
        <w:tc>
          <w:tcPr>
            <w:tcW w:w="714"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209</w:t>
            </w:r>
          </w:p>
        </w:tc>
        <w:tc>
          <w:tcPr>
            <w:tcW w:w="480"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sz w:val="18"/>
                <w:szCs w:val="18"/>
                <w:vertAlign w:val="superscript"/>
                <w:lang w:val="en-US" w:eastAsia="zh-CN"/>
              </w:rPr>
            </w:pPr>
            <w:r>
              <w:rPr>
                <w:rFonts w:hint="eastAsia"/>
                <w:sz w:val="18"/>
                <w:szCs w:val="18"/>
                <w:vertAlign w:val="superscript"/>
                <w:lang w:val="en-US" w:eastAsia="zh-CN"/>
              </w:rPr>
              <w:t>187</w:t>
            </w:r>
            <w:r>
              <w:rPr>
                <w:rFonts w:hint="eastAsia"/>
                <w:sz w:val="18"/>
                <w:szCs w:val="18"/>
                <w:vertAlign w:val="baseline"/>
                <w:lang w:val="en-US" w:eastAsia="zh-CN"/>
              </w:rPr>
              <w:t>Re</w:t>
            </w:r>
          </w:p>
        </w:tc>
        <w:tc>
          <w:tcPr>
            <w:tcW w:w="1325" w:type="pct"/>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eastAsia="宋体"/>
                <w:sz w:val="18"/>
                <w:szCs w:val="18"/>
                <w:lang w:val="en-US" w:eastAsia="zh-CN"/>
              </w:rPr>
            </w:pPr>
            <w:r>
              <w:rPr>
                <w:rFonts w:hint="eastAsia"/>
                <w:sz w:val="18"/>
                <w:szCs w:val="18"/>
                <w:vertAlign w:val="superscript"/>
                <w:lang w:val="en-US" w:eastAsia="zh-CN"/>
              </w:rPr>
              <w:t>208</w:t>
            </w:r>
            <w:r>
              <w:rPr>
                <w:rFonts w:hint="eastAsia"/>
                <w:sz w:val="18"/>
                <w:szCs w:val="18"/>
                <w:lang w:val="en-US" w:eastAsia="zh-CN"/>
              </w:rPr>
              <w:t>Pb</w:t>
            </w:r>
            <w:r>
              <w:rPr>
                <w:rFonts w:hint="eastAsia"/>
                <w:sz w:val="18"/>
                <w:szCs w:val="18"/>
                <w:vertAlign w:val="superscript"/>
                <w:lang w:val="en-US" w:eastAsia="zh-CN"/>
              </w:rPr>
              <w:t>1</w:t>
            </w:r>
            <w:r>
              <w:rPr>
                <w:rFonts w:hint="eastAsia"/>
                <w:sz w:val="18"/>
                <w:szCs w:val="18"/>
                <w:lang w:val="en-US" w:eastAsia="zh-CN"/>
              </w:rPr>
              <w:t>H</w:t>
            </w:r>
            <w:r>
              <w:rPr>
                <w:rFonts w:hint="eastAsia"/>
                <w:sz w:val="18"/>
                <w:szCs w:val="18"/>
                <w:vertAlign w:val="superscript"/>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none" w:color="auto" w:sz="0" w:space="0"/>
          </w:tblBorders>
          <w:tblCellMar>
            <w:top w:w="0" w:type="dxa"/>
            <w:left w:w="0" w:type="dxa"/>
            <w:bottom w:w="0" w:type="dxa"/>
            <w:right w:w="0" w:type="dxa"/>
          </w:tblCellMar>
        </w:tblPrEx>
        <w:trPr>
          <w:trHeight w:val="305" w:hRule="atLeast"/>
          <w:jc w:val="center"/>
        </w:trPr>
        <w:tc>
          <w:tcPr>
            <w:tcW w:w="249" w:type="pct"/>
            <w:tcBorders>
              <w:top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As</w:t>
            </w:r>
          </w:p>
        </w:tc>
        <w:tc>
          <w:tcPr>
            <w:tcW w:w="714" w:type="pct"/>
            <w:tcBorders>
              <w:top w:val="single" w:color="000000" w:sz="6" w:space="0"/>
              <w:left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rPr>
              <w:t>75</w:t>
            </w:r>
          </w:p>
        </w:tc>
        <w:tc>
          <w:tcPr>
            <w:tcW w:w="489" w:type="pct"/>
            <w:tcBorders>
              <w:top w:val="single" w:color="000000" w:sz="4" w:space="0"/>
              <w:left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sz w:val="18"/>
                <w:szCs w:val="18"/>
                <w:vertAlign w:val="superscript"/>
                <w:lang w:val="en-US" w:eastAsia="zh-CN"/>
              </w:rPr>
              <w:t>45</w:t>
            </w:r>
            <w:r>
              <w:rPr>
                <w:rFonts w:hint="eastAsia"/>
                <w:sz w:val="18"/>
                <w:szCs w:val="18"/>
                <w:lang w:val="en-US" w:eastAsia="zh-CN"/>
              </w:rPr>
              <w:t>Sc</w:t>
            </w:r>
          </w:p>
        </w:tc>
        <w:tc>
          <w:tcPr>
            <w:tcW w:w="769" w:type="pct"/>
            <w:tcBorders>
              <w:top w:val="single" w:color="000000" w:sz="4" w:space="0"/>
              <w:left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p>
        </w:tc>
        <w:tc>
          <w:tcPr>
            <w:tcW w:w="255" w:type="pct"/>
            <w:tcBorders>
              <w:top w:val="single" w:color="000000" w:sz="4" w:space="0"/>
              <w:left w:val="doub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kern w:val="2"/>
                <w:sz w:val="18"/>
                <w:szCs w:val="18"/>
                <w:lang w:val="en-US" w:eastAsia="zh-CN" w:bidi="ar-SA"/>
              </w:rPr>
              <w:t>—</w:t>
            </w:r>
          </w:p>
        </w:tc>
        <w:tc>
          <w:tcPr>
            <w:tcW w:w="714" w:type="pct"/>
            <w:tcBorders>
              <w:top w:val="single" w:color="000000" w:sz="4" w:space="0"/>
              <w:lef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kern w:val="2"/>
                <w:sz w:val="18"/>
                <w:szCs w:val="18"/>
                <w:lang w:val="en-US" w:eastAsia="zh-CN" w:bidi="ar-SA"/>
              </w:rPr>
              <w:t>—</w:t>
            </w:r>
          </w:p>
        </w:tc>
        <w:tc>
          <w:tcPr>
            <w:tcW w:w="480" w:type="pct"/>
            <w:tcBorders>
              <w:top w:val="single" w:color="000000" w:sz="4" w:space="0"/>
              <w:lef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kern w:val="2"/>
                <w:sz w:val="18"/>
                <w:szCs w:val="18"/>
                <w:lang w:val="en-US" w:eastAsia="zh-CN" w:bidi="ar-SA"/>
              </w:rPr>
              <w:t>—</w:t>
            </w:r>
          </w:p>
        </w:tc>
        <w:tc>
          <w:tcPr>
            <w:tcW w:w="1325" w:type="pct"/>
            <w:tcBorders>
              <w:top w:val="single" w:color="000000" w:sz="4" w:space="0"/>
              <w:lef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kern w:val="2"/>
                <w:sz w:val="18"/>
                <w:szCs w:val="18"/>
                <w:lang w:val="en-US" w:eastAsia="zh-CN" w:bidi="ar-SA"/>
              </w:rPr>
            </w:pPr>
            <w:r>
              <w:rPr>
                <w:rFonts w:hint="eastAsia"/>
                <w:kern w:val="2"/>
                <w:sz w:val="18"/>
                <w:szCs w:val="18"/>
                <w:lang w:val="en-US" w:eastAsia="zh-CN" w:bidi="ar-SA"/>
              </w:rPr>
              <w:t>—</w:t>
            </w:r>
          </w:p>
        </w:tc>
      </w:tr>
    </w:tbl>
    <w:p>
      <w:pPr>
        <w:keepNext w:val="0"/>
        <w:keepLines w:val="0"/>
        <w:pageBreakBefore w:val="0"/>
        <w:widowControl w:val="0"/>
        <w:kinsoku/>
        <w:wordWrap/>
        <w:overflowPunct/>
        <w:topLinePunct w:val="0"/>
        <w:autoSpaceDE/>
        <w:autoSpaceDN/>
        <w:bidi w:val="0"/>
        <w:adjustRightInd w:val="0"/>
        <w:snapToGrid w:val="0"/>
        <w:spacing w:before="313" w:beforeLines="100" w:line="288" w:lineRule="auto"/>
        <w:ind w:firstLine="437"/>
        <w:textAlignment w:val="auto"/>
        <w:rPr>
          <w:rFonts w:hint="default" w:hAnsi="黑体"/>
          <w:color w:val="000000" w:themeColor="text1"/>
          <w:lang w:val="en-US" w:eastAsia="zh-CN"/>
          <w14:textFill>
            <w14:solidFill>
              <w14:schemeClr w14:val="tx1"/>
            </w14:solidFill>
          </w14:textFill>
        </w:rPr>
      </w:pPr>
      <w:r>
        <w:rPr>
          <w:rFonts w:hint="eastAsia"/>
          <w:color w:val="auto"/>
          <w:szCs w:val="21"/>
          <w:lang w:val="en-US" w:eastAsia="zh-CN"/>
        </w:rPr>
        <w:t xml:space="preserve"> 一验单位广东省科学院工业分析检测中心、阜阳市产</w:t>
      </w:r>
      <w:r>
        <w:rPr>
          <w:rFonts w:hint="eastAsia"/>
          <w:color w:val="auto"/>
          <w:szCs w:val="21"/>
        </w:rPr>
        <w:t>品质量监督检验所</w:t>
      </w:r>
      <w:r>
        <w:rPr>
          <w:rFonts w:hint="eastAsia"/>
          <w:color w:val="auto"/>
          <w:szCs w:val="21"/>
          <w:lang w:val="en-US" w:eastAsia="zh-CN"/>
        </w:rPr>
        <w:t>，质谱干扰条件试验</w:t>
      </w:r>
      <w:r>
        <w:rPr>
          <w:rFonts w:hint="eastAsia" w:ascii="Times New Roman"/>
          <w:color w:val="auto"/>
          <w:lang w:val="en-US" w:eastAsia="zh-CN"/>
        </w:rPr>
        <w:t>与起草单位结论一致。</w:t>
      </w:r>
    </w:p>
    <w:p>
      <w:pPr>
        <w:pStyle w:val="120"/>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int="eastAsia" w:hAnsi="黑体"/>
          <w:color w:val="000000" w:themeColor="text1"/>
          <w14:textFill>
            <w14:solidFill>
              <w14:schemeClr w14:val="tx1"/>
            </w14:solidFill>
          </w14:textFill>
        </w:rPr>
      </w:pPr>
      <w:r>
        <w:rPr>
          <w:rFonts w:hint="eastAsia" w:hAnsi="黑体"/>
          <w:color w:val="000000" w:themeColor="text1"/>
          <w:lang w:val="en-US" w:eastAsia="zh-CN"/>
          <w14:textFill>
            <w14:solidFill>
              <w14:schemeClr w14:val="tx1"/>
            </w14:solidFill>
          </w14:textFill>
        </w:rPr>
        <w:t>4、</w:t>
      </w:r>
      <w:r>
        <w:rPr>
          <w:rFonts w:hint="eastAsia" w:hAnsi="黑体"/>
          <w:color w:val="000000" w:themeColor="text1"/>
          <w14:textFill>
            <w14:solidFill>
              <w14:schemeClr w14:val="tx1"/>
            </w14:solidFill>
          </w14:textFill>
        </w:rPr>
        <w:t>基体效应</w:t>
      </w:r>
      <w:r>
        <w:rPr>
          <w:rFonts w:hint="eastAsia" w:hAnsi="黑体"/>
          <w:color w:val="000000" w:themeColor="text1"/>
          <w:lang w:val="en-US" w:eastAsia="zh-CN"/>
          <w14:textFill>
            <w14:solidFill>
              <w14:schemeClr w14:val="tx1"/>
            </w14:solidFill>
          </w14:textFill>
        </w:rPr>
        <w:t>与内标元素</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bCs/>
          <w:color w:val="auto"/>
          <w:szCs w:val="21"/>
        </w:rPr>
      </w:pPr>
      <w:r>
        <w:rPr>
          <w:rFonts w:hint="eastAsia"/>
          <w:bCs/>
          <w:color w:val="auto"/>
          <w:szCs w:val="21"/>
          <w:lang w:val="en-US" w:eastAsia="zh-CN"/>
        </w:rPr>
        <w:t>采用5N高纯铅进行基体效应试验。在基体浓度分别为0.1mg/mL、0.2mg/mL、0.5mg/mL、1.0mg/mL时，测定20 ng的杂质元素CPS，绘制折线图，见图1。由结果可知，随着基体浓度的增加，除Mg、Al外，其余元素信号强度均有不同程度的下降，受到基体的的抑制作用。</w:t>
      </w:r>
    </w:p>
    <w:p>
      <w:pPr>
        <w:keepNext w:val="0"/>
        <w:keepLines w:val="0"/>
        <w:pageBreakBefore w:val="0"/>
        <w:kinsoku/>
        <w:wordWrap/>
        <w:overflowPunct/>
        <w:topLinePunct w:val="0"/>
        <w:autoSpaceDE/>
        <w:autoSpaceDN/>
        <w:bidi w:val="0"/>
        <w:adjustRightInd w:val="0"/>
        <w:snapToGrid w:val="0"/>
        <w:spacing w:before="156" w:beforeLines="50" w:line="288" w:lineRule="auto"/>
        <w:jc w:val="center"/>
        <w:textAlignment w:val="auto"/>
        <w:rPr>
          <w:rFonts w:hint="default" w:ascii="黑体" w:hAnsi="黑体" w:eastAsia="黑体"/>
          <w:color w:val="000000" w:themeColor="text1"/>
          <w:szCs w:val="21"/>
          <w:lang w:val="en-US" w:eastAsia="zh-CN"/>
          <w14:textFill>
            <w14:solidFill>
              <w14:schemeClr w14:val="tx1"/>
            </w14:solidFill>
          </w14:textFill>
        </w:rPr>
      </w:pPr>
      <w:r>
        <w:rPr>
          <w:rFonts w:hint="default" w:ascii="黑体" w:hAnsi="黑体" w:eastAsia="黑体"/>
          <w:color w:val="000000" w:themeColor="text1"/>
          <w:szCs w:val="21"/>
          <w:lang w:val="en-US"/>
          <w14:textFill>
            <w14:solidFill>
              <w14:schemeClr w14:val="tx1"/>
            </w14:solidFill>
          </w14:textFill>
        </w:rPr>
        <w:drawing>
          <wp:anchor distT="0" distB="0" distL="114300" distR="114300" simplePos="0" relativeHeight="251660288" behindDoc="0" locked="0" layoutInCell="1" allowOverlap="1">
            <wp:simplePos x="0" y="0"/>
            <wp:positionH relativeFrom="column">
              <wp:align>center</wp:align>
            </wp:positionH>
            <wp:positionV relativeFrom="paragraph">
              <wp:posOffset>167640</wp:posOffset>
            </wp:positionV>
            <wp:extent cx="3785870" cy="2274570"/>
            <wp:effectExtent l="0" t="0" r="11430" b="11430"/>
            <wp:wrapTopAndBottom/>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a:stretch>
                      <a:fillRect/>
                    </a:stretch>
                  </pic:blipFill>
                  <pic:spPr>
                    <a:xfrm>
                      <a:off x="0" y="0"/>
                      <a:ext cx="3785870" cy="2274570"/>
                    </a:xfrm>
                    <a:prstGeom prst="rect">
                      <a:avLst/>
                    </a:prstGeom>
                    <a:noFill/>
                    <a:ln>
                      <a:noFill/>
                    </a:ln>
                  </pic:spPr>
                </pic:pic>
              </a:graphicData>
            </a:graphic>
          </wp:anchor>
        </w:drawing>
      </w:r>
      <w:r>
        <w:rPr>
          <w:rFonts w:hint="eastAsia" w:ascii="黑体" w:hAnsi="黑体" w:eastAsia="黑体"/>
          <w:color w:val="000000" w:themeColor="text1"/>
          <w:szCs w:val="21"/>
          <w:lang w:val="en-US" w:eastAsia="zh-CN"/>
          <w14:textFill>
            <w14:solidFill>
              <w14:schemeClr w14:val="tx1"/>
            </w14:solidFill>
          </w14:textFill>
        </w:rPr>
        <w:t>图1 基体浓度对待测元素信号强度的影响</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bCs/>
          <w:color w:val="auto"/>
          <w:szCs w:val="21"/>
          <w:lang w:val="en-US" w:eastAsia="zh-CN"/>
        </w:rPr>
      </w:pPr>
      <w:r>
        <w:rPr>
          <w:rFonts w:hint="eastAsia"/>
          <w:bCs/>
          <w:color w:val="auto"/>
          <w:szCs w:val="21"/>
          <w:lang w:val="en-US" w:eastAsia="zh-CN"/>
        </w:rPr>
        <w:t>ICP-MS测定杂质元素含量通常采用</w:t>
      </w:r>
      <w:r>
        <w:rPr>
          <w:bCs/>
          <w:color w:val="auto"/>
          <w:szCs w:val="21"/>
        </w:rPr>
        <w:t>内标法校正基体</w:t>
      </w:r>
      <w:r>
        <w:rPr>
          <w:rFonts w:hint="eastAsia"/>
          <w:bCs/>
          <w:color w:val="auto"/>
          <w:szCs w:val="21"/>
          <w:lang w:val="en-US" w:eastAsia="zh-CN"/>
        </w:rPr>
        <w:t>效应</w:t>
      </w:r>
      <w:r>
        <w:rPr>
          <w:bCs/>
          <w:color w:val="auto"/>
          <w:szCs w:val="21"/>
        </w:rPr>
        <w:t>及仪器波动对</w:t>
      </w:r>
      <w:r>
        <w:rPr>
          <w:rFonts w:hint="eastAsia"/>
          <w:bCs/>
          <w:color w:val="auto"/>
          <w:szCs w:val="21"/>
          <w:lang w:val="en-US" w:eastAsia="zh-CN"/>
        </w:rPr>
        <w:t>结果</w:t>
      </w:r>
      <w:r>
        <w:rPr>
          <w:bCs/>
          <w:color w:val="auto"/>
          <w:szCs w:val="21"/>
        </w:rPr>
        <w:t>的影响。</w:t>
      </w:r>
      <w:r>
        <w:rPr>
          <w:rFonts w:hint="eastAsia"/>
          <w:bCs/>
          <w:color w:val="auto"/>
          <w:szCs w:val="21"/>
        </w:rPr>
        <w:t>调谐</w:t>
      </w:r>
      <w:r>
        <w:rPr>
          <w:bCs/>
          <w:color w:val="auto"/>
          <w:szCs w:val="21"/>
        </w:rPr>
        <w:t>仪器至最佳状态，</w:t>
      </w:r>
      <w:r>
        <w:rPr>
          <w:rFonts w:hint="eastAsia"/>
          <w:bCs/>
          <w:color w:val="auto"/>
          <w:szCs w:val="21"/>
          <w:lang w:val="en-US" w:eastAsia="zh-CN"/>
        </w:rPr>
        <w:t>以</w:t>
      </w:r>
      <w:r>
        <w:rPr>
          <w:bCs/>
          <w:color w:val="auto"/>
          <w:szCs w:val="21"/>
        </w:rPr>
        <w:t>钪、铯、</w:t>
      </w:r>
      <w:r>
        <w:rPr>
          <w:rFonts w:hint="eastAsia"/>
          <w:bCs/>
          <w:color w:val="auto"/>
          <w:szCs w:val="21"/>
          <w:lang w:val="en-US" w:eastAsia="zh-CN"/>
        </w:rPr>
        <w:t>铼为</w:t>
      </w:r>
      <w:r>
        <w:rPr>
          <w:bCs/>
          <w:color w:val="auto"/>
          <w:szCs w:val="21"/>
        </w:rPr>
        <w:t>内标</w:t>
      </w:r>
      <w:r>
        <w:rPr>
          <w:rFonts w:hint="eastAsia"/>
          <w:bCs/>
          <w:color w:val="auto"/>
          <w:szCs w:val="21"/>
          <w:lang w:eastAsia="zh-CN"/>
        </w:rPr>
        <w:t>（</w:t>
      </w:r>
      <w:r>
        <w:rPr>
          <w:rFonts w:hint="eastAsia"/>
          <w:bCs/>
          <w:color w:val="auto"/>
          <w:szCs w:val="21"/>
          <w:lang w:val="en-US" w:eastAsia="zh-CN"/>
        </w:rPr>
        <w:t>见表1</w:t>
      </w:r>
      <w:r>
        <w:rPr>
          <w:rFonts w:hint="eastAsia"/>
          <w:bCs/>
          <w:color w:val="auto"/>
          <w:szCs w:val="21"/>
          <w:lang w:eastAsia="zh-CN"/>
        </w:rPr>
        <w:t>），</w:t>
      </w:r>
      <w:r>
        <w:rPr>
          <w:rFonts w:hint="eastAsia"/>
          <w:bCs/>
          <w:color w:val="auto"/>
          <w:szCs w:val="21"/>
          <w:lang w:val="en-US" w:eastAsia="zh-CN"/>
        </w:rPr>
        <w:t>20 ng/mL待测元素测定值在19.3ng/mL</w:t>
      </w:r>
      <w:r>
        <w:rPr>
          <w:color w:val="auto"/>
          <w:spacing w:val="6"/>
          <w:szCs w:val="21"/>
        </w:rPr>
        <w:t>～</w:t>
      </w:r>
      <w:r>
        <w:rPr>
          <w:rFonts w:hint="eastAsia"/>
          <w:color w:val="auto"/>
          <w:spacing w:val="6"/>
          <w:szCs w:val="21"/>
          <w:lang w:val="en-US" w:eastAsia="zh-CN"/>
        </w:rPr>
        <w:t>20.5ng/mL范围内</w:t>
      </w:r>
      <w:r>
        <w:rPr>
          <w:rFonts w:hint="eastAsia"/>
          <w:bCs/>
          <w:color w:val="auto"/>
          <w:szCs w:val="21"/>
          <w:lang w:eastAsia="zh-CN"/>
        </w:rPr>
        <w:t>，</w:t>
      </w:r>
      <w:r>
        <w:rPr>
          <w:rFonts w:hint="eastAsia"/>
          <w:bCs/>
          <w:color w:val="auto"/>
          <w:szCs w:val="21"/>
          <w:lang w:val="en-US" w:eastAsia="zh-CN"/>
        </w:rPr>
        <w:t>即内标法可以校正基体效应对测定结果的影响。标准系列可直接配制，不需要高纯铅进行基体匹配。</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bCs/>
          <w:color w:val="auto"/>
          <w:szCs w:val="21"/>
          <w:lang w:val="en-US" w:eastAsia="zh-CN"/>
        </w:rPr>
      </w:pPr>
      <w:r>
        <w:rPr>
          <w:rFonts w:hint="eastAsia"/>
          <w:color w:val="auto"/>
          <w:szCs w:val="21"/>
          <w:lang w:val="en-US" w:eastAsia="zh-CN"/>
        </w:rPr>
        <w:t>一验单位广东省科学院工业分析检测中心、阜阳市产</w:t>
      </w:r>
      <w:r>
        <w:rPr>
          <w:rFonts w:hint="eastAsia"/>
          <w:color w:val="auto"/>
          <w:szCs w:val="21"/>
        </w:rPr>
        <w:t>品质量监督检验所</w:t>
      </w:r>
      <w:r>
        <w:rPr>
          <w:rFonts w:hint="eastAsia"/>
          <w:color w:val="auto"/>
          <w:szCs w:val="21"/>
          <w:lang w:val="en-US" w:eastAsia="zh-CN"/>
        </w:rPr>
        <w:t>，基体效应及内标选择</w:t>
      </w:r>
      <w:r>
        <w:rPr>
          <w:rFonts w:hint="eastAsia" w:ascii="Times New Roman"/>
          <w:color w:val="auto"/>
          <w:lang w:val="en-US" w:eastAsia="zh-CN"/>
        </w:rPr>
        <w:t>与起草单位结论一致。</w:t>
      </w:r>
    </w:p>
    <w:p>
      <w:pPr>
        <w:pStyle w:val="120"/>
        <w:keepNext w:val="0"/>
        <w:keepLines w:val="0"/>
        <w:pageBreakBefore w:val="0"/>
        <w:tabs>
          <w:tab w:val="clear" w:pos="675"/>
        </w:tabs>
        <w:kinsoku/>
        <w:wordWrap/>
        <w:overflowPunct/>
        <w:topLinePunct w:val="0"/>
        <w:autoSpaceDE/>
        <w:autoSpaceDN/>
        <w:bidi w:val="0"/>
        <w:adjustRightInd w:val="0"/>
        <w:snapToGrid w:val="0"/>
        <w:spacing w:before="156" w:beforeLines="50" w:after="156" w:afterLines="50" w:line="288" w:lineRule="auto"/>
        <w:ind w:left="0" w:firstLine="0"/>
        <w:textAlignment w:val="auto"/>
        <w:rPr>
          <w:rFonts w:hint="eastAsia" w:hAnsi="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5、工作曲线及检出限</w:t>
      </w:r>
    </w:p>
    <w:p>
      <w:pPr>
        <w:keepNext w:val="0"/>
        <w:keepLines w:val="0"/>
        <w:pageBreakBefore w:val="0"/>
        <w:kinsoku/>
        <w:wordWrap/>
        <w:overflowPunct/>
        <w:topLinePunct w:val="0"/>
        <w:autoSpaceDE/>
        <w:autoSpaceDN/>
        <w:bidi w:val="0"/>
        <w:adjustRightInd w:val="0"/>
        <w:snapToGrid w:val="0"/>
        <w:spacing w:line="288" w:lineRule="auto"/>
        <w:ind w:firstLine="435"/>
        <w:textAlignment w:val="auto"/>
        <w:rPr>
          <w:szCs w:val="21"/>
        </w:rPr>
      </w:pPr>
      <w:r>
        <w:rPr>
          <w:rFonts w:hint="eastAsia"/>
          <w:szCs w:val="21"/>
          <w:lang w:bidi="ar"/>
        </w:rPr>
        <w:t>配制系列标准溶液，</w:t>
      </w:r>
      <w:r>
        <w:rPr>
          <w:rFonts w:hint="eastAsia"/>
          <w:lang w:bidi="ar"/>
        </w:rPr>
        <w:t>以待测元素的质量浓度为横坐标，待测元素与内标元素信号强度的比值为纵坐标，绘制标准工</w:t>
      </w:r>
      <w:r>
        <w:rPr>
          <w:rFonts w:hint="eastAsia"/>
          <w:szCs w:val="21"/>
          <w:lang w:bidi="ar"/>
        </w:rPr>
        <w:t>作曲线。</w:t>
      </w:r>
      <w:r>
        <w:rPr>
          <w:rFonts w:hint="eastAsia" w:cs="宋体"/>
          <w:szCs w:val="21"/>
          <w:lang w:bidi="ar"/>
        </w:rPr>
        <w:t>各杂质元素线性方程及相关系数见表</w:t>
      </w:r>
      <w:r>
        <w:rPr>
          <w:rFonts w:hint="eastAsia" w:cs="宋体"/>
          <w:szCs w:val="21"/>
          <w:lang w:val="en-US" w:eastAsia="zh-CN" w:bidi="ar"/>
        </w:rPr>
        <w:t>9</w:t>
      </w:r>
      <w:r>
        <w:rPr>
          <w:rFonts w:hint="eastAsia" w:cs="宋体"/>
          <w:szCs w:val="21"/>
          <w:lang w:bidi="ar"/>
        </w:rPr>
        <w:t>。对</w:t>
      </w:r>
      <w:r>
        <w:rPr>
          <w:szCs w:val="21"/>
          <w:lang w:bidi="ar"/>
        </w:rPr>
        <w:t>11</w:t>
      </w:r>
      <w:r>
        <w:rPr>
          <w:rFonts w:hint="eastAsia" w:cs="宋体"/>
          <w:szCs w:val="21"/>
          <w:lang w:bidi="ar"/>
        </w:rPr>
        <w:t>份全流程空白溶液进行测定，计算标准偏差，以</w:t>
      </w:r>
      <w:r>
        <w:rPr>
          <w:szCs w:val="21"/>
          <w:lang w:bidi="ar"/>
        </w:rPr>
        <w:t>3</w:t>
      </w:r>
      <w:r>
        <w:rPr>
          <w:rFonts w:hint="eastAsia" w:cs="宋体"/>
          <w:szCs w:val="21"/>
          <w:lang w:bidi="ar"/>
        </w:rPr>
        <w:t>倍标准偏差对应浓度计算检出限</w:t>
      </w:r>
      <w:r>
        <w:rPr>
          <w:rFonts w:hint="eastAsia" w:cs="宋体"/>
          <w:szCs w:val="21"/>
          <w:lang w:eastAsia="zh-CN" w:bidi="ar"/>
        </w:rPr>
        <w:t>，</w:t>
      </w:r>
      <w:r>
        <w:rPr>
          <w:rFonts w:hint="eastAsia" w:cs="宋体"/>
          <w:szCs w:val="21"/>
          <w:lang w:bidi="ar"/>
        </w:rPr>
        <w:t>结果见表</w:t>
      </w:r>
      <w:r>
        <w:rPr>
          <w:rFonts w:hint="eastAsia"/>
          <w:szCs w:val="21"/>
          <w:lang w:val="en-US" w:eastAsia="zh-CN" w:bidi="ar"/>
        </w:rPr>
        <w:t>9</w:t>
      </w:r>
      <w:r>
        <w:rPr>
          <w:rFonts w:hint="eastAsia" w:cs="宋体"/>
          <w:szCs w:val="21"/>
          <w:lang w:bidi="ar"/>
        </w:rPr>
        <w:t>。</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表9  方法的检出限和检测下限</w:t>
      </w:r>
    </w:p>
    <w:tbl>
      <w:tblPr>
        <w:tblStyle w:val="8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944"/>
        <w:gridCol w:w="2482"/>
        <w:gridCol w:w="2424"/>
        <w:gridCol w:w="1207"/>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元素</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质量数</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105" w:leftChars="-50"/>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范围（ng/mL）</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线性方程</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相关系数</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检出限（ng/mL）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keepNext w:val="0"/>
              <w:keepLines w:val="0"/>
              <w:pageBreakBefore w:val="0"/>
              <w:widowControl w:val="0"/>
              <w:tabs>
                <w:tab w:val="left" w:pos="66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Mg</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24</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346</w:t>
            </w:r>
            <w:r>
              <w:rPr>
                <w:rFonts w:hint="default" w:ascii="Times New Roman" w:hAnsi="Times New Roman" w:cs="Times New Roman"/>
                <w:color w:val="auto"/>
                <w:sz w:val="18"/>
                <w:szCs w:val="18"/>
              </w:rPr>
              <w:t>X+0.0</w:t>
            </w:r>
            <w:r>
              <w:rPr>
                <w:rFonts w:hint="default" w:ascii="Times New Roman" w:hAnsi="Times New Roman" w:cs="Times New Roman"/>
                <w:color w:val="auto"/>
                <w:sz w:val="18"/>
                <w:szCs w:val="18"/>
                <w:lang w:val="en-US" w:eastAsia="zh-CN"/>
              </w:rPr>
              <w:t>074</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rPr>
              <w:t>0.999</w:t>
            </w:r>
            <w:r>
              <w:rPr>
                <w:rFonts w:hint="default" w:ascii="Times New Roman" w:hAnsi="Times New Roman" w:cs="Times New Roman"/>
                <w:color w:val="auto"/>
                <w:sz w:val="18"/>
                <w:szCs w:val="18"/>
                <w:lang w:val="en-US" w:eastAsia="zh-CN"/>
              </w:rPr>
              <w:t>4</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default" w:ascii="Times New Roman" w:hAnsi="Times New Roman" w:cs="Times New Roman"/>
                <w:color w:val="auto"/>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Al</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27</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393</w:t>
            </w:r>
            <w:r>
              <w:rPr>
                <w:rFonts w:hint="default" w:ascii="Times New Roman" w:hAnsi="Times New Roman" w:cs="Times New Roman"/>
                <w:color w:val="auto"/>
                <w:sz w:val="18"/>
                <w:szCs w:val="18"/>
              </w:rPr>
              <w:t>X+0.0</w:t>
            </w:r>
            <w:r>
              <w:rPr>
                <w:rFonts w:hint="default" w:ascii="Times New Roman" w:hAnsi="Times New Roman" w:cs="Times New Roman"/>
                <w:color w:val="auto"/>
                <w:sz w:val="18"/>
                <w:szCs w:val="18"/>
                <w:lang w:val="en-US" w:eastAsia="zh-CN"/>
              </w:rPr>
              <w:t>126</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等线" w:cs="Times New Roman"/>
                <w:color w:val="auto"/>
                <w:sz w:val="18"/>
                <w:szCs w:val="18"/>
              </w:rPr>
            </w:pPr>
            <w:r>
              <w:rPr>
                <w:rFonts w:hint="default" w:ascii="Times New Roman" w:hAnsi="Times New Roman" w:cs="Times New Roman"/>
                <w:color w:val="auto"/>
                <w:sz w:val="18"/>
                <w:szCs w:val="18"/>
              </w:rPr>
              <w:t>0.9995</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rPr>
              <w:t>0.0</w:t>
            </w:r>
            <w:r>
              <w:rPr>
                <w:rFonts w:hint="default" w:ascii="Times New Roman" w:hAnsi="Times New Roman" w:cs="Times New Roman"/>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Ca</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40</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0.0010 </w:t>
            </w:r>
            <w:r>
              <w:rPr>
                <w:rFonts w:hint="default" w:ascii="Times New Roman" w:hAnsi="Times New Roman" w:cs="Times New Roman"/>
                <w:color w:val="auto"/>
                <w:spacing w:val="6"/>
                <w:sz w:val="18"/>
                <w:szCs w:val="18"/>
              </w:rPr>
              <w:t>%～</w:t>
            </w:r>
            <w:r>
              <w:rPr>
                <w:rFonts w:hint="default" w:ascii="Times New Roman" w:hAnsi="Times New Roman" w:cs="Times New Roman"/>
                <w:color w:val="auto"/>
                <w:sz w:val="18"/>
                <w:szCs w:val="18"/>
              </w:rPr>
              <w:t xml:space="preserve">0.010 </w:t>
            </w:r>
            <w:r>
              <w:rPr>
                <w:rFonts w:hint="default" w:ascii="Times New Roman" w:hAnsi="Times New Roman" w:cs="Times New Roman"/>
                <w:color w:val="auto"/>
                <w:spacing w:val="6"/>
                <w:sz w:val="18"/>
                <w:szCs w:val="18"/>
              </w:rPr>
              <w:t>%</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229</w:t>
            </w:r>
            <w:r>
              <w:rPr>
                <w:rFonts w:hint="default" w:ascii="Times New Roman" w:hAnsi="Times New Roman" w:cs="Times New Roman"/>
                <w:color w:val="auto"/>
                <w:sz w:val="18"/>
                <w:szCs w:val="18"/>
              </w:rPr>
              <w:t>X+0.0</w:t>
            </w:r>
            <w:r>
              <w:rPr>
                <w:rFonts w:hint="default" w:ascii="Times New Roman" w:hAnsi="Times New Roman" w:cs="Times New Roman"/>
                <w:color w:val="auto"/>
                <w:sz w:val="18"/>
                <w:szCs w:val="18"/>
                <w:lang w:val="en-US" w:eastAsia="zh-CN"/>
              </w:rPr>
              <w:t>410</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0.999</w:t>
            </w:r>
            <w:r>
              <w:rPr>
                <w:rFonts w:hint="default" w:ascii="Times New Roman" w:hAnsi="Times New Roman" w:cs="Times New Roman"/>
                <w:color w:val="auto"/>
                <w:sz w:val="18"/>
                <w:szCs w:val="18"/>
                <w:lang w:val="en-US" w:eastAsia="zh-CN"/>
              </w:rPr>
              <w:t>8</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w:t>
            </w:r>
            <w:r>
              <w:rPr>
                <w:rFonts w:hint="default" w:ascii="Times New Roman" w:hAnsi="Times New Roman" w:cs="Times New Roman"/>
                <w:color w:val="auto"/>
                <w:sz w:val="18"/>
                <w:szCs w:val="18"/>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Fe</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56</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355</w:t>
            </w:r>
            <w:r>
              <w:rPr>
                <w:rFonts w:hint="default" w:ascii="Times New Roman" w:hAnsi="Times New Roman" w:cs="Times New Roman"/>
                <w:color w:val="auto"/>
                <w:sz w:val="18"/>
                <w:szCs w:val="18"/>
              </w:rPr>
              <w:t>X+0.</w:t>
            </w:r>
            <w:r>
              <w:rPr>
                <w:rFonts w:hint="default" w:ascii="Times New Roman" w:hAnsi="Times New Roman" w:cs="Times New Roman"/>
                <w:color w:val="auto"/>
                <w:sz w:val="18"/>
                <w:szCs w:val="18"/>
                <w:lang w:val="en-US" w:eastAsia="zh-CN"/>
              </w:rPr>
              <w:t>0114</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等线" w:cs="Times New Roman"/>
                <w:color w:val="auto"/>
                <w:sz w:val="18"/>
                <w:szCs w:val="18"/>
              </w:rPr>
            </w:pPr>
            <w:r>
              <w:rPr>
                <w:rFonts w:hint="default" w:ascii="Times New Roman" w:hAnsi="Times New Roman" w:cs="Times New Roman"/>
                <w:color w:val="auto"/>
                <w:sz w:val="18"/>
                <w:szCs w:val="18"/>
              </w:rPr>
              <w:t>0.9999</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default" w:ascii="Times New Roman" w:hAnsi="Times New Roman" w:cs="Times New Roman"/>
                <w:color w:val="auto"/>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Ni</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pacing w:val="6"/>
                <w:sz w:val="18"/>
                <w:szCs w:val="18"/>
                <w:lang w:val="en-US" w:eastAsia="zh-CN"/>
              </w:rPr>
            </w:pPr>
            <w:r>
              <w:rPr>
                <w:rFonts w:hint="default" w:ascii="Times New Roman" w:hAnsi="Times New Roman" w:eastAsia="宋体" w:cs="Times New Roman"/>
                <w:color w:val="auto"/>
                <w:spacing w:val="6"/>
                <w:sz w:val="18"/>
                <w:szCs w:val="18"/>
                <w:lang w:val="en-US" w:eastAsia="zh-CN"/>
              </w:rPr>
              <w:t>58</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pacing w:val="6"/>
                <w:sz w:val="18"/>
                <w:szCs w:val="18"/>
              </w:rPr>
            </w:pPr>
            <w:r>
              <w:rPr>
                <w:rFonts w:hint="default" w:ascii="Times New Roman" w:hAnsi="Times New Roman" w:cs="Times New Roman"/>
                <w:color w:val="auto"/>
                <w:spacing w:val="6"/>
                <w:sz w:val="18"/>
                <w:szCs w:val="18"/>
              </w:rPr>
              <w:t>0.00</w:t>
            </w:r>
            <w:r>
              <w:rPr>
                <w:rFonts w:hint="default" w:ascii="Times New Roman" w:hAnsi="Times New Roman" w:cs="Times New Roman"/>
                <w:color w:val="auto"/>
                <w:spacing w:val="6"/>
                <w:sz w:val="18"/>
                <w:szCs w:val="18"/>
                <w:lang w:val="en-US" w:eastAsia="zh-CN"/>
              </w:rPr>
              <w:t>10</w:t>
            </w:r>
            <w:r>
              <w:rPr>
                <w:rFonts w:hint="default" w:ascii="Times New Roman" w:hAnsi="Times New Roman" w:cs="Times New Roman"/>
                <w:color w:val="auto"/>
                <w:spacing w:val="6"/>
                <w:sz w:val="18"/>
                <w:szCs w:val="18"/>
              </w:rPr>
              <w:t>%～0.010%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399</w:t>
            </w:r>
            <w:r>
              <w:rPr>
                <w:rFonts w:hint="default" w:ascii="Times New Roman" w:hAnsi="Times New Roman" w:cs="Times New Roman"/>
                <w:color w:val="auto"/>
                <w:sz w:val="18"/>
                <w:szCs w:val="18"/>
              </w:rPr>
              <w:t>X+0.0</w:t>
            </w:r>
            <w:r>
              <w:rPr>
                <w:rFonts w:hint="default" w:ascii="Times New Roman" w:hAnsi="Times New Roman" w:cs="Times New Roman"/>
                <w:color w:val="auto"/>
                <w:sz w:val="18"/>
                <w:szCs w:val="18"/>
                <w:lang w:val="en-US" w:eastAsia="zh-CN"/>
              </w:rPr>
              <w:t>167</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1.000</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60</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等线" w:cs="Times New Roman"/>
                <w:color w:val="auto"/>
                <w:sz w:val="18"/>
                <w:szCs w:val="18"/>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119</w:t>
            </w:r>
            <w:r>
              <w:rPr>
                <w:rFonts w:hint="default" w:ascii="Times New Roman" w:hAnsi="Times New Roman" w:cs="Times New Roman"/>
                <w:color w:val="auto"/>
                <w:sz w:val="18"/>
                <w:szCs w:val="18"/>
              </w:rPr>
              <w:t>X+0.00</w:t>
            </w:r>
            <w:r>
              <w:rPr>
                <w:rFonts w:hint="default" w:ascii="Times New Roman" w:hAnsi="Times New Roman" w:cs="Times New Roman"/>
                <w:color w:val="auto"/>
                <w:sz w:val="18"/>
                <w:szCs w:val="18"/>
                <w:lang w:val="en-US" w:eastAsia="zh-CN"/>
              </w:rPr>
              <w:t>1</w:t>
            </w:r>
            <w:r>
              <w:rPr>
                <w:rFonts w:hint="default" w:ascii="Times New Roman" w:hAnsi="Times New Roman" w:cs="Times New Roman"/>
                <w:color w:val="auto"/>
                <w:sz w:val="18"/>
                <w:szCs w:val="18"/>
              </w:rPr>
              <w:t>3</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等线" w:cs="Times New Roman"/>
                <w:color w:val="auto"/>
                <w:sz w:val="18"/>
                <w:szCs w:val="18"/>
              </w:rPr>
            </w:pPr>
            <w:r>
              <w:rPr>
                <w:rFonts w:hint="default" w:ascii="Times New Roman" w:hAnsi="Times New Roman" w:cs="Times New Roman"/>
                <w:color w:val="auto"/>
                <w:sz w:val="18"/>
                <w:szCs w:val="18"/>
              </w:rPr>
              <w:t>1.0000</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default" w:ascii="Times New Roman" w:hAnsi="Times New Roman" w:cs="Times New Roman"/>
                <w:color w:val="auto"/>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keepNext w:val="0"/>
              <w:keepLines w:val="0"/>
              <w:pageBreakBefore w:val="0"/>
              <w:widowControl w:val="0"/>
              <w:tabs>
                <w:tab w:val="left" w:pos="66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Cu</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63</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298</w:t>
            </w:r>
            <w:r>
              <w:rPr>
                <w:rFonts w:hint="default" w:ascii="Times New Roman" w:hAnsi="Times New Roman" w:cs="Times New Roman"/>
                <w:color w:val="auto"/>
                <w:sz w:val="18"/>
                <w:szCs w:val="18"/>
              </w:rPr>
              <w:t>X+0.00</w:t>
            </w:r>
            <w:r>
              <w:rPr>
                <w:rFonts w:hint="default" w:ascii="Times New Roman" w:hAnsi="Times New Roman" w:cs="Times New Roman"/>
                <w:color w:val="auto"/>
                <w:sz w:val="18"/>
                <w:szCs w:val="18"/>
                <w:lang w:val="en-US" w:eastAsia="zh-CN"/>
              </w:rPr>
              <w:t>26</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0.999</w:t>
            </w:r>
            <w:r>
              <w:rPr>
                <w:rFonts w:hint="default" w:ascii="Times New Roman" w:hAnsi="Times New Roman" w:cs="Times New Roman"/>
                <w:color w:val="auto"/>
                <w:sz w:val="18"/>
                <w:szCs w:val="18"/>
                <w:lang w:val="en-US" w:eastAsia="zh-CN"/>
              </w:rPr>
              <w:t>8</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0.0</w:t>
            </w:r>
            <w:r>
              <w:rPr>
                <w:rFonts w:hint="default" w:ascii="Times New Roman" w:hAnsi="Times New Roman" w:cs="Times New Roman"/>
                <w:color w:val="auto"/>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keepNext w:val="0"/>
              <w:keepLines w:val="0"/>
              <w:pageBreakBefore w:val="0"/>
              <w:widowControl w:val="0"/>
              <w:tabs>
                <w:tab w:val="left" w:pos="66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Zn</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66</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087</w:t>
            </w:r>
            <w:r>
              <w:rPr>
                <w:rFonts w:hint="default" w:ascii="Times New Roman" w:hAnsi="Times New Roman" w:cs="Times New Roman"/>
                <w:color w:val="auto"/>
                <w:sz w:val="18"/>
                <w:szCs w:val="18"/>
              </w:rPr>
              <w:t>X+0.00</w:t>
            </w:r>
            <w:r>
              <w:rPr>
                <w:rFonts w:hint="default" w:ascii="Times New Roman" w:hAnsi="Times New Roman" w:cs="Times New Roman"/>
                <w:color w:val="auto"/>
                <w:sz w:val="18"/>
                <w:szCs w:val="18"/>
                <w:lang w:val="en-US" w:eastAsia="zh-CN"/>
              </w:rPr>
              <w:t>30</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等线" w:cs="Times New Roman"/>
                <w:color w:val="auto"/>
                <w:sz w:val="18"/>
                <w:szCs w:val="18"/>
              </w:rPr>
            </w:pPr>
            <w:r>
              <w:rPr>
                <w:rFonts w:hint="default" w:ascii="Times New Roman" w:hAnsi="Times New Roman" w:cs="Times New Roman"/>
                <w:color w:val="auto"/>
                <w:sz w:val="18"/>
                <w:szCs w:val="18"/>
              </w:rPr>
              <w:t>1.0000</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w:t>
            </w:r>
            <w:r>
              <w:rPr>
                <w:rFonts w:hint="default" w:ascii="Times New Roman" w:hAnsi="Times New Roman" w:cs="Times New Roman"/>
                <w:color w:val="auto"/>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keepNext w:val="0"/>
              <w:keepLines w:val="0"/>
              <w:pageBreakBefore w:val="0"/>
              <w:widowControl w:val="0"/>
              <w:tabs>
                <w:tab w:val="left" w:pos="66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auto"/>
                <w:sz w:val="18"/>
                <w:szCs w:val="18"/>
                <w:lang w:val="en-US" w:eastAsia="zh-CN"/>
              </w:rPr>
            </w:pPr>
            <w:r>
              <w:rPr>
                <w:rFonts w:hint="default" w:ascii="Times New Roman" w:hAnsi="Times New Roman" w:cs="Times New Roman"/>
                <w:bCs/>
                <w:color w:val="auto"/>
                <w:sz w:val="18"/>
                <w:szCs w:val="18"/>
                <w:lang w:val="en-US" w:eastAsia="zh-CN"/>
              </w:rPr>
              <w:t>As</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75</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pacing w:val="6"/>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lang w:val="en-US"/>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079</w:t>
            </w:r>
            <w:r>
              <w:rPr>
                <w:rFonts w:hint="default" w:ascii="Times New Roman" w:hAnsi="Times New Roman" w:cs="Times New Roman"/>
                <w:color w:val="auto"/>
                <w:sz w:val="18"/>
                <w:szCs w:val="18"/>
              </w:rPr>
              <w:t>X+0.00</w:t>
            </w:r>
            <w:r>
              <w:rPr>
                <w:rFonts w:hint="default" w:ascii="Times New Roman" w:hAnsi="Times New Roman" w:cs="Times New Roman"/>
                <w:color w:val="auto"/>
                <w:sz w:val="18"/>
                <w:szCs w:val="18"/>
                <w:lang w:val="en-US" w:eastAsia="zh-CN"/>
              </w:rPr>
              <w:t>01</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0.9999</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 w:type="pct"/>
            <w:noWrap w:val="0"/>
            <w:vAlign w:val="center"/>
          </w:tcPr>
          <w:p>
            <w:pPr>
              <w:keepNext w:val="0"/>
              <w:keepLines w:val="0"/>
              <w:pageBreakBefore w:val="0"/>
              <w:widowControl w:val="0"/>
              <w:tabs>
                <w:tab w:val="left" w:pos="66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lang w:val="en-US" w:eastAsia="zh-CN"/>
              </w:rPr>
            </w:pPr>
            <w:r>
              <w:rPr>
                <w:rFonts w:hint="default" w:ascii="Times New Roman" w:hAnsi="Times New Roman" w:cs="Times New Roman"/>
                <w:bCs/>
                <w:color w:val="auto"/>
                <w:sz w:val="18"/>
                <w:szCs w:val="18"/>
                <w:lang w:val="en-US" w:eastAsia="zh-CN"/>
              </w:rPr>
              <w:t>Se</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80</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pacing w:val="6"/>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lang w:val="en-US"/>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021</w:t>
            </w:r>
            <w:r>
              <w:rPr>
                <w:rFonts w:hint="default" w:ascii="Times New Roman" w:hAnsi="Times New Roman" w:cs="Times New Roman"/>
                <w:color w:val="auto"/>
                <w:sz w:val="18"/>
                <w:szCs w:val="18"/>
              </w:rPr>
              <w:t>X+0.00</w:t>
            </w:r>
            <w:r>
              <w:rPr>
                <w:rFonts w:hint="default" w:ascii="Times New Roman" w:hAnsi="Times New Roman" w:cs="Times New Roman"/>
                <w:color w:val="auto"/>
                <w:sz w:val="18"/>
                <w:szCs w:val="18"/>
                <w:lang w:val="en-US" w:eastAsia="zh-CN"/>
              </w:rPr>
              <w:t>17</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0.9999</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keepNext w:val="0"/>
              <w:keepLines w:val="0"/>
              <w:pageBreakBefore w:val="0"/>
              <w:widowControl w:val="0"/>
              <w:tabs>
                <w:tab w:val="left" w:pos="66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lang w:val="en-US" w:eastAsia="zh-CN"/>
              </w:rPr>
            </w:pPr>
            <w:r>
              <w:rPr>
                <w:rFonts w:hint="default" w:ascii="Times New Roman" w:hAnsi="Times New Roman" w:cs="Times New Roman"/>
                <w:bCs/>
                <w:color w:val="auto"/>
                <w:sz w:val="18"/>
                <w:szCs w:val="18"/>
                <w:lang w:val="en-US" w:eastAsia="zh-CN"/>
              </w:rPr>
              <w:t>Ag</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107</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pacing w:val="6"/>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lang w:val="en-US"/>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424</w:t>
            </w:r>
            <w:r>
              <w:rPr>
                <w:rFonts w:hint="default" w:ascii="Times New Roman" w:hAnsi="Times New Roman" w:cs="Times New Roman"/>
                <w:color w:val="auto"/>
                <w:sz w:val="18"/>
                <w:szCs w:val="18"/>
              </w:rPr>
              <w:t>X+0.00</w:t>
            </w:r>
            <w:r>
              <w:rPr>
                <w:rFonts w:hint="default" w:ascii="Times New Roman" w:hAnsi="Times New Roman" w:cs="Times New Roman"/>
                <w:color w:val="auto"/>
                <w:sz w:val="18"/>
                <w:szCs w:val="18"/>
                <w:lang w:val="en-US" w:eastAsia="zh-CN"/>
              </w:rPr>
              <w:t>41</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1.0000</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Cd</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111</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08</w:t>
            </w:r>
            <w:r>
              <w:rPr>
                <w:rFonts w:hint="default" w:ascii="Times New Roman" w:hAnsi="Times New Roman" w:cs="Times New Roman"/>
                <w:color w:val="auto"/>
                <w:sz w:val="18"/>
                <w:szCs w:val="18"/>
              </w:rPr>
              <w:t>8X+0.00</w:t>
            </w:r>
            <w:r>
              <w:rPr>
                <w:rFonts w:hint="default" w:ascii="Times New Roman" w:hAnsi="Times New Roman" w:cs="Times New Roman"/>
                <w:color w:val="auto"/>
                <w:sz w:val="18"/>
                <w:szCs w:val="18"/>
                <w:lang w:val="en-US" w:eastAsia="zh-CN"/>
              </w:rPr>
              <w:t>01</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0.9998</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rPr>
              <w:t>0.0</w:t>
            </w:r>
            <w:r>
              <w:rPr>
                <w:rFonts w:hint="default" w:ascii="Times New Roman" w:hAnsi="Times New Roman" w:cs="Times New Roman"/>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Sn</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118</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264</w:t>
            </w:r>
            <w:r>
              <w:rPr>
                <w:rFonts w:hint="default" w:ascii="Times New Roman" w:hAnsi="Times New Roman" w:cs="Times New Roman"/>
                <w:color w:val="auto"/>
                <w:sz w:val="18"/>
                <w:szCs w:val="18"/>
              </w:rPr>
              <w:t>X+0.00</w:t>
            </w:r>
            <w:r>
              <w:rPr>
                <w:rFonts w:hint="default" w:ascii="Times New Roman" w:hAnsi="Times New Roman" w:cs="Times New Roman"/>
                <w:color w:val="auto"/>
                <w:sz w:val="18"/>
                <w:szCs w:val="18"/>
                <w:lang w:val="en-US" w:eastAsia="zh-CN"/>
              </w:rPr>
              <w:t>15</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0.9998</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default" w:ascii="Times New Roman" w:hAnsi="Times New Roman" w:cs="Times New Roman"/>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Sb</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121</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pacing w:val="6"/>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369</w:t>
            </w:r>
            <w:r>
              <w:rPr>
                <w:rFonts w:hint="default" w:ascii="Times New Roman" w:hAnsi="Times New Roman" w:cs="Times New Roman"/>
                <w:color w:val="auto"/>
                <w:sz w:val="18"/>
                <w:szCs w:val="18"/>
              </w:rPr>
              <w:t>X+0.00</w:t>
            </w:r>
            <w:r>
              <w:rPr>
                <w:rFonts w:hint="default" w:ascii="Times New Roman" w:hAnsi="Times New Roman" w:cs="Times New Roman"/>
                <w:color w:val="auto"/>
                <w:sz w:val="18"/>
                <w:szCs w:val="18"/>
                <w:lang w:val="en-US" w:eastAsia="zh-CN"/>
              </w:rPr>
              <w:t>03</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0.999</w:t>
            </w:r>
            <w:r>
              <w:rPr>
                <w:rFonts w:hint="default" w:ascii="Times New Roman" w:hAnsi="Times New Roman" w:cs="Times New Roman"/>
                <w:color w:val="auto"/>
                <w:sz w:val="18"/>
                <w:szCs w:val="18"/>
                <w:lang w:val="en-US" w:eastAsia="zh-CN"/>
              </w:rPr>
              <w:t>9</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default" w:ascii="Times New Roman" w:hAnsi="Times New Roman" w:cs="Times New Roman"/>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123</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pacing w:val="6"/>
                <w:kern w:val="2"/>
                <w:sz w:val="18"/>
                <w:szCs w:val="18"/>
                <w:lang w:val="en-US" w:eastAsia="zh-CN" w:bidi="ar-SA"/>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268</w:t>
            </w:r>
            <w:r>
              <w:rPr>
                <w:rFonts w:hint="default" w:ascii="Times New Roman" w:hAnsi="Times New Roman" w:cs="Times New Roman"/>
                <w:color w:val="auto"/>
                <w:sz w:val="18"/>
                <w:szCs w:val="18"/>
              </w:rPr>
              <w:t>X+0.00</w:t>
            </w:r>
            <w:r>
              <w:rPr>
                <w:rFonts w:hint="default" w:ascii="Times New Roman" w:hAnsi="Times New Roman" w:cs="Times New Roman"/>
                <w:color w:val="auto"/>
                <w:sz w:val="18"/>
                <w:szCs w:val="18"/>
                <w:lang w:val="en-US" w:eastAsia="zh-CN"/>
              </w:rPr>
              <w:t>26</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cs="Times New Roman"/>
                <w:color w:val="auto"/>
                <w:sz w:val="18"/>
                <w:szCs w:val="18"/>
              </w:rPr>
              <w:t>0.999</w:t>
            </w:r>
            <w:r>
              <w:rPr>
                <w:rFonts w:hint="default" w:ascii="Times New Roman" w:hAnsi="Times New Roman" w:cs="Times New Roman"/>
                <w:color w:val="auto"/>
                <w:sz w:val="18"/>
                <w:szCs w:val="18"/>
                <w:lang w:val="en-US" w:eastAsia="zh-CN"/>
              </w:rPr>
              <w:t>9</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cs="Times New Roman"/>
                <w:color w:val="auto"/>
                <w:sz w:val="18"/>
                <w:szCs w:val="18"/>
              </w:rPr>
              <w:t>0.0</w:t>
            </w:r>
            <w:r>
              <w:rPr>
                <w:rFonts w:hint="default" w:ascii="Times New Roman" w:hAnsi="Times New Roman" w:cs="Times New Roman"/>
                <w:color w:val="auto"/>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auto"/>
                <w:sz w:val="18"/>
                <w:szCs w:val="18"/>
                <w:lang w:eastAsia="zh-CN"/>
              </w:rPr>
            </w:pPr>
            <w:r>
              <w:rPr>
                <w:rFonts w:hint="default" w:ascii="Times New Roman" w:hAnsi="Times New Roman" w:cs="Times New Roman"/>
                <w:bCs/>
                <w:color w:val="auto"/>
                <w:sz w:val="18"/>
                <w:szCs w:val="18"/>
                <w:lang w:val="en-US" w:eastAsia="zh-CN"/>
              </w:rPr>
              <w:t>Te</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128</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pacing w:val="6"/>
                <w:sz w:val="18"/>
                <w:szCs w:val="18"/>
              </w:rPr>
            </w:pPr>
            <w:r>
              <w:rPr>
                <w:rFonts w:hint="default" w:ascii="Times New Roman" w:hAnsi="Times New Roman" w:cs="Times New Roman"/>
                <w:color w:val="auto"/>
                <w:spacing w:val="6"/>
                <w:sz w:val="18"/>
                <w:szCs w:val="18"/>
              </w:rPr>
              <w:t>0.0001%～0.010%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Y=0.0</w:t>
            </w:r>
            <w:r>
              <w:rPr>
                <w:rFonts w:hint="default" w:ascii="Times New Roman" w:hAnsi="Times New Roman" w:cs="Times New Roman"/>
                <w:color w:val="auto"/>
                <w:sz w:val="18"/>
                <w:szCs w:val="18"/>
                <w:lang w:val="en-US" w:eastAsia="zh-CN"/>
              </w:rPr>
              <w:t>066</w:t>
            </w:r>
            <w:r>
              <w:rPr>
                <w:rFonts w:hint="default" w:ascii="Times New Roman" w:hAnsi="Times New Roman" w:cs="Times New Roman"/>
                <w:color w:val="auto"/>
                <w:sz w:val="18"/>
                <w:szCs w:val="18"/>
              </w:rPr>
              <w:t>X+0.00</w:t>
            </w:r>
            <w:r>
              <w:rPr>
                <w:rFonts w:hint="default" w:ascii="Times New Roman" w:hAnsi="Times New Roman" w:cs="Times New Roman"/>
                <w:color w:val="auto"/>
                <w:sz w:val="18"/>
                <w:szCs w:val="18"/>
                <w:lang w:val="en-US" w:eastAsia="zh-CN"/>
              </w:rPr>
              <w:t>33</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0.9996</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Bi</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6"/>
                <w:sz w:val="18"/>
                <w:szCs w:val="18"/>
                <w:lang w:val="en-US" w:eastAsia="zh-CN"/>
              </w:rPr>
            </w:pPr>
            <w:r>
              <w:rPr>
                <w:rFonts w:hint="default" w:ascii="Times New Roman" w:hAnsi="Times New Roman" w:cs="Times New Roman"/>
                <w:color w:val="auto"/>
                <w:spacing w:val="6"/>
                <w:sz w:val="18"/>
                <w:szCs w:val="18"/>
                <w:lang w:val="en-US" w:eastAsia="zh-CN"/>
              </w:rPr>
              <w:t>209</w:t>
            </w:r>
          </w:p>
        </w:tc>
        <w:tc>
          <w:tcPr>
            <w:tcW w:w="125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pacing w:val="6"/>
                <w:sz w:val="18"/>
                <w:szCs w:val="18"/>
              </w:rPr>
              <w:t>0.00</w:t>
            </w:r>
            <w:r>
              <w:rPr>
                <w:rFonts w:hint="default" w:ascii="Times New Roman" w:hAnsi="Times New Roman" w:cs="Times New Roman"/>
                <w:color w:val="auto"/>
                <w:spacing w:val="6"/>
                <w:sz w:val="18"/>
                <w:szCs w:val="18"/>
                <w:lang w:val="en-US" w:eastAsia="zh-CN"/>
              </w:rPr>
              <w:t>10</w:t>
            </w:r>
            <w:r>
              <w:rPr>
                <w:rFonts w:hint="default" w:ascii="Times New Roman" w:hAnsi="Times New Roman" w:cs="Times New Roman"/>
                <w:color w:val="auto"/>
                <w:spacing w:val="6"/>
                <w:sz w:val="18"/>
                <w:szCs w:val="18"/>
              </w:rPr>
              <w:t>%～0.010%</w:t>
            </w:r>
          </w:p>
        </w:tc>
        <w:tc>
          <w:tcPr>
            <w:tcW w:w="12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Y=0.1125X+0.0007</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0.9998</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default" w:ascii="Times New Roman" w:hAnsi="Times New Roman" w:cs="Times New Roman"/>
                <w:color w:val="auto"/>
                <w:sz w:val="18"/>
                <w:szCs w:val="18"/>
                <w:lang w:val="en-US" w:eastAsia="zh-CN"/>
              </w:rPr>
              <w:t>4</w:t>
            </w:r>
          </w:p>
        </w:tc>
      </w:tr>
    </w:tbl>
    <w:p>
      <w:pPr>
        <w:pStyle w:val="120"/>
        <w:keepNext w:val="0"/>
        <w:keepLines w:val="0"/>
        <w:pageBreakBefore w:val="0"/>
        <w:tabs>
          <w:tab w:val="clear" w:pos="675"/>
        </w:tabs>
        <w:kinsoku/>
        <w:wordWrap/>
        <w:overflowPunct/>
        <w:topLinePunct w:val="0"/>
        <w:autoSpaceDE/>
        <w:autoSpaceDN/>
        <w:bidi w:val="0"/>
        <w:spacing w:before="156" w:beforeLines="50" w:after="156" w:afterLines="50" w:line="288" w:lineRule="auto"/>
        <w:ind w:left="0" w:firstLine="0"/>
        <w:textAlignment w:val="auto"/>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6、精密度数据的确定</w:t>
      </w:r>
    </w:p>
    <w:p>
      <w:pPr>
        <w:keepNext w:val="0"/>
        <w:keepLines w:val="0"/>
        <w:pageBreakBefore w:val="0"/>
        <w:widowControl w:val="0"/>
        <w:tabs>
          <w:tab w:val="left" w:pos="1118"/>
        </w:tabs>
        <w:kinsoku/>
        <w:wordWrap/>
        <w:overflowPunct/>
        <w:topLinePunct w:val="0"/>
        <w:autoSpaceDE/>
        <w:autoSpaceDN/>
        <w:bidi w:val="0"/>
        <w:adjustRightInd w:val="0"/>
        <w:snapToGrid w:val="0"/>
        <w:spacing w:line="288" w:lineRule="auto"/>
        <w:ind w:firstLine="403"/>
        <w:textAlignment w:val="auto"/>
        <w:rPr>
          <w:rFonts w:hAnsi="宋体"/>
          <w:color w:val="000000" w:themeColor="text1"/>
          <w14:textFill>
            <w14:solidFill>
              <w14:schemeClr w14:val="tx1"/>
            </w14:solidFill>
          </w14:textFill>
        </w:rPr>
      </w:pPr>
      <w:r>
        <w:rPr>
          <w:rFonts w:hint="eastAsia"/>
          <w:color w:val="000000" w:themeColor="text1"/>
          <w:szCs w:val="20"/>
          <w14:textFill>
            <w14:solidFill>
              <w14:schemeClr w14:val="tx1"/>
            </w14:solidFill>
          </w14:textFill>
        </w:rPr>
        <w:t>本标准</w:t>
      </w:r>
      <w:r>
        <w:rPr>
          <w:color w:val="000000" w:themeColor="text1"/>
          <w:szCs w:val="20"/>
          <w14:textFill>
            <w14:solidFill>
              <w14:schemeClr w14:val="tx1"/>
            </w14:solidFill>
          </w14:textFill>
        </w:rPr>
        <w:t>基于</w:t>
      </w:r>
      <w:r>
        <w:rPr>
          <w:rFonts w:hint="eastAsia"/>
          <w:color w:val="000000" w:themeColor="text1"/>
          <w:szCs w:val="20"/>
          <w14:textFill>
            <w14:solidFill>
              <w14:schemeClr w14:val="tx1"/>
            </w14:solidFill>
          </w14:textFill>
        </w:rPr>
        <w:t>对5个</w:t>
      </w:r>
      <w:r>
        <w:rPr>
          <w:rFonts w:hint="eastAsia"/>
          <w:color w:val="000000" w:themeColor="text1"/>
          <w:szCs w:val="20"/>
          <w:lang w:val="en-US" w:eastAsia="zh-CN"/>
          <w14:textFill>
            <w14:solidFill>
              <w14:schemeClr w14:val="tx1"/>
            </w14:solidFill>
          </w14:textFill>
        </w:rPr>
        <w:t>梯度</w:t>
      </w:r>
      <w:r>
        <w:rPr>
          <w:rFonts w:hint="eastAsia"/>
          <w:color w:val="000000" w:themeColor="text1"/>
          <w:szCs w:val="20"/>
          <w14:textFill>
            <w14:solidFill>
              <w14:schemeClr w14:val="tx1"/>
            </w14:solidFill>
          </w14:textFill>
        </w:rPr>
        <w:t>的</w:t>
      </w:r>
      <w:r>
        <w:rPr>
          <w:rFonts w:hint="eastAsia"/>
          <w:color w:val="000000" w:themeColor="text1"/>
          <w:szCs w:val="20"/>
          <w:lang w:val="en-US" w:eastAsia="zh-CN"/>
          <w14:textFill>
            <w14:solidFill>
              <w14:schemeClr w14:val="tx1"/>
            </w14:solidFill>
          </w14:textFill>
        </w:rPr>
        <w:t>铅锭标样（</w:t>
      </w:r>
      <w:r>
        <w:rPr>
          <w:rFonts w:hint="default" w:cs="Times New Roman"/>
          <w:kern w:val="2"/>
          <w:sz w:val="21"/>
          <w:szCs w:val="21"/>
          <w:lang w:val="en-US" w:eastAsia="zh-CN"/>
        </w:rPr>
        <w:t>GSB04-3278-2016</w:t>
      </w:r>
      <w:r>
        <w:rPr>
          <w:rFonts w:hint="eastAsia"/>
          <w:color w:val="000000" w:themeColor="text1"/>
          <w:szCs w:val="20"/>
          <w:lang w:val="en-US" w:eastAsia="zh-CN"/>
          <w14:textFill>
            <w14:solidFill>
              <w14:schemeClr w14:val="tx1"/>
            </w14:solidFill>
          </w14:textFill>
        </w:rPr>
        <w:t>）和3个铅合金样品（铅钙合金、铅银合金、铅锑合金）中杂质元素的</w:t>
      </w:r>
      <w:r>
        <w:rPr>
          <w:rFonts w:hint="eastAsia"/>
          <w:color w:val="000000" w:themeColor="text1"/>
          <w:szCs w:val="20"/>
          <w14:textFill>
            <w14:solidFill>
              <w14:schemeClr w14:val="tx1"/>
            </w14:solidFill>
          </w14:textFill>
        </w:rPr>
        <w:t>测定</w:t>
      </w:r>
      <w:r>
        <w:rPr>
          <w:color w:val="000000" w:themeColor="text1"/>
          <w:szCs w:val="20"/>
          <w14:textFill>
            <w14:solidFill>
              <w14:schemeClr w14:val="tx1"/>
            </w14:solidFill>
          </w14:textFill>
        </w:rPr>
        <w:t>数据</w:t>
      </w:r>
      <w:r>
        <w:rPr>
          <w:rFonts w:hint="eastAsia"/>
          <w:color w:val="000000" w:themeColor="text1"/>
          <w:szCs w:val="20"/>
          <w14:textFill>
            <w14:solidFill>
              <w14:schemeClr w14:val="tx1"/>
            </w14:solidFill>
          </w14:textFill>
        </w:rPr>
        <w:t>计算重复性</w:t>
      </w:r>
      <w:r>
        <w:rPr>
          <w:color w:val="000000" w:themeColor="text1"/>
          <w:szCs w:val="20"/>
          <w14:textFill>
            <w14:solidFill>
              <w14:schemeClr w14:val="tx1"/>
            </w14:solidFill>
          </w14:textFill>
        </w:rPr>
        <w:t>限</w:t>
      </w:r>
      <w:r>
        <w:rPr>
          <w:rFonts w:hint="eastAsia"/>
          <w:color w:val="000000" w:themeColor="text1"/>
          <w:szCs w:val="20"/>
          <w14:textFill>
            <w14:solidFill>
              <w14:schemeClr w14:val="tx1"/>
            </w14:solidFill>
          </w14:textFill>
        </w:rPr>
        <w:t>和</w:t>
      </w:r>
      <w:r>
        <w:rPr>
          <w:color w:val="000000" w:themeColor="text1"/>
          <w:szCs w:val="20"/>
          <w14:textFill>
            <w14:solidFill>
              <w14:schemeClr w14:val="tx1"/>
            </w14:solidFill>
          </w14:textFill>
        </w:rPr>
        <w:t>再现性限。</w:t>
      </w:r>
      <w:r>
        <w:rPr>
          <w:rFonts w:hint="eastAsia"/>
          <w:color w:val="000000" w:themeColor="text1"/>
          <w:szCs w:val="20"/>
          <w14:textFill>
            <w14:solidFill>
              <w14:schemeClr w14:val="tx1"/>
            </w14:solidFill>
          </w14:textFill>
        </w:rPr>
        <w:t>样品</w:t>
      </w:r>
      <w:r>
        <w:rPr>
          <w:color w:val="000000" w:themeColor="text1"/>
          <w:szCs w:val="20"/>
          <w14:textFill>
            <w14:solidFill>
              <w14:schemeClr w14:val="tx1"/>
            </w14:solidFill>
          </w14:textFill>
        </w:rPr>
        <w:t>由</w:t>
      </w:r>
      <w:r>
        <w:rPr>
          <w:rFonts w:hint="eastAsia"/>
          <w:color w:val="000000" w:themeColor="text1"/>
          <w:szCs w:val="20"/>
          <w:lang w:val="en-US" w:eastAsia="zh-CN"/>
          <w14:textFill>
            <w14:solidFill>
              <w14:schemeClr w14:val="tx1"/>
            </w14:solidFill>
          </w14:textFill>
        </w:rPr>
        <w:t>国标（北京）检验认证有限公司、</w:t>
      </w:r>
      <w:r>
        <w:rPr>
          <w:rFonts w:hint="eastAsia" w:ascii="Times New Roman" w:hAnsi="Times New Roman" w:eastAsia="宋体" w:cs="Times New Roman"/>
          <w:kern w:val="2"/>
          <w:sz w:val="21"/>
          <w:szCs w:val="21"/>
        </w:rPr>
        <w:t>阜阳市产品质量监督检验所</w:t>
      </w:r>
      <w:r>
        <w:rPr>
          <w:rFonts w:hint="eastAsia"/>
          <w:color w:val="000000" w:themeColor="text1"/>
          <w:szCs w:val="20"/>
          <w14:textFill>
            <w14:solidFill>
              <w14:schemeClr w14:val="tx1"/>
            </w14:solidFill>
          </w14:textFill>
        </w:rPr>
        <w:t>提供</w:t>
      </w:r>
      <w:r>
        <w:rPr>
          <w:color w:val="000000" w:themeColor="text1"/>
          <w:szCs w:val="20"/>
          <w14:textFill>
            <w14:solidFill>
              <w14:schemeClr w14:val="tx1"/>
            </w14:solidFill>
          </w14:textFill>
        </w:rPr>
        <w:t>。</w:t>
      </w:r>
      <w:r>
        <w:rPr>
          <w:rFonts w:hint="eastAsia" w:hAnsi="宋体"/>
          <w:color w:val="000000" w:themeColor="text1"/>
          <w14:textFill>
            <w14:solidFill>
              <w14:schemeClr w14:val="tx1"/>
            </w14:solidFill>
          </w14:textFill>
        </w:rPr>
        <w:t>精密度数据是在</w:t>
      </w:r>
      <w:r>
        <w:rPr>
          <w:rFonts w:hAnsi="宋体"/>
          <w:color w:val="000000" w:themeColor="text1"/>
          <w14:textFill>
            <w14:solidFill>
              <w14:schemeClr w14:val="tx1"/>
            </w14:solidFill>
          </w14:textFill>
        </w:rPr>
        <w:t>202</w:t>
      </w:r>
      <w:r>
        <w:rPr>
          <w:rFonts w:hint="eastAsia" w:hAnsi="宋体"/>
          <w:color w:val="000000" w:themeColor="text1"/>
          <w:lang w:val="en-US" w:eastAsia="zh-CN"/>
          <w14:textFill>
            <w14:solidFill>
              <w14:schemeClr w14:val="tx1"/>
            </w14:solidFill>
          </w14:textFill>
        </w:rPr>
        <w:t>3</w:t>
      </w:r>
      <w:r>
        <w:rPr>
          <w:rFonts w:hint="eastAsia" w:hAnsi="宋体"/>
          <w:color w:val="000000" w:themeColor="text1"/>
          <w14:textFill>
            <w14:solidFill>
              <w14:schemeClr w14:val="tx1"/>
            </w14:solidFill>
          </w14:textFill>
        </w:rPr>
        <w:t>年由10家试验室进行共同试验确定的。实验室代码见表</w:t>
      </w:r>
      <w:r>
        <w:rPr>
          <w:rFonts w:hint="eastAsia" w:hAnsi="宋体"/>
          <w:color w:val="000000" w:themeColor="text1"/>
          <w:lang w:val="en-US" w:eastAsia="zh-CN"/>
          <w14:textFill>
            <w14:solidFill>
              <w14:schemeClr w14:val="tx1"/>
            </w14:solidFill>
          </w14:textFill>
        </w:rPr>
        <w:t>10</w:t>
      </w:r>
      <w:r>
        <w:rPr>
          <w:rFonts w:hint="eastAsia" w:hAnsi="宋体"/>
          <w:color w:val="000000" w:themeColor="text1"/>
          <w14:textFill>
            <w14:solidFill>
              <w14:schemeClr w14:val="tx1"/>
            </w14:solidFill>
          </w14:textFill>
        </w:rPr>
        <w:t>。每个实验室对每个水平的杂质含量均独立测定</w:t>
      </w:r>
      <w:r>
        <w:rPr>
          <w:rFonts w:hAnsi="宋体"/>
          <w:color w:val="000000" w:themeColor="text1"/>
          <w14:textFill>
            <w14:solidFill>
              <w14:schemeClr w14:val="tx1"/>
            </w14:solidFill>
          </w14:textFill>
        </w:rPr>
        <w:t>7</w:t>
      </w:r>
      <w:r>
        <w:rPr>
          <w:rFonts w:hint="eastAsia" w:hAnsi="宋体"/>
          <w:color w:val="000000" w:themeColor="text1"/>
          <w14:textFill>
            <w14:solidFill>
              <w14:schemeClr w14:val="tx1"/>
            </w14:solidFill>
          </w14:textFill>
        </w:rPr>
        <w:t>次。测量的原始数据见附录A。</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表10  实验室代码</w:t>
      </w:r>
    </w:p>
    <w:tbl>
      <w:tblPr>
        <w:tblStyle w:val="88"/>
        <w:tblW w:w="4997"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77"/>
        <w:gridCol w:w="2484"/>
        <w:gridCol w:w="478"/>
        <w:gridCol w:w="3000"/>
        <w:gridCol w:w="478"/>
        <w:gridCol w:w="28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blHeader/>
        </w:trPr>
        <w:tc>
          <w:tcPr>
            <w:tcW w:w="245" w:type="pct"/>
            <w:tcBorders>
              <w:tl2br w:val="nil"/>
              <w:tr2bl w:val="nil"/>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8"/>
                <w:szCs w:val="18"/>
              </w:rPr>
            </w:pPr>
            <w:r>
              <w:rPr>
                <w:rFonts w:hint="eastAsia"/>
                <w:sz w:val="18"/>
                <w:szCs w:val="18"/>
              </w:rPr>
              <w:t>代码</w:t>
            </w:r>
          </w:p>
        </w:tc>
        <w:tc>
          <w:tcPr>
            <w:tcW w:w="1274"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实验室名称</w:t>
            </w:r>
          </w:p>
        </w:tc>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8"/>
                <w:szCs w:val="18"/>
              </w:rPr>
            </w:pPr>
            <w:r>
              <w:rPr>
                <w:rFonts w:hint="eastAsia"/>
                <w:sz w:val="18"/>
                <w:szCs w:val="18"/>
              </w:rPr>
              <w:t>代码</w:t>
            </w:r>
          </w:p>
        </w:tc>
        <w:tc>
          <w:tcPr>
            <w:tcW w:w="1539"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实验室名称</w:t>
            </w:r>
          </w:p>
        </w:tc>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8"/>
                <w:szCs w:val="18"/>
              </w:rPr>
            </w:pPr>
            <w:r>
              <w:rPr>
                <w:rFonts w:hint="eastAsia"/>
                <w:sz w:val="18"/>
                <w:szCs w:val="18"/>
              </w:rPr>
              <w:t>代码</w:t>
            </w:r>
          </w:p>
        </w:tc>
        <w:tc>
          <w:tcPr>
            <w:tcW w:w="1451"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实验室名称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sz w:val="15"/>
                <w:szCs w:val="15"/>
              </w:rPr>
              <w:t>1</w:t>
            </w:r>
          </w:p>
        </w:tc>
        <w:tc>
          <w:tcPr>
            <w:tcW w:w="1274"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ascii="Times New Roman" w:hAnsi="Times New Roman" w:eastAsia="宋体" w:cs="Times New Roman"/>
                <w:color w:val="auto"/>
                <w:kern w:val="2"/>
                <w:sz w:val="15"/>
                <w:szCs w:val="15"/>
              </w:rPr>
              <w:t>国合通用测试评价认证股份公司</w:t>
            </w:r>
          </w:p>
        </w:tc>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sz w:val="15"/>
                <w:szCs w:val="15"/>
              </w:rPr>
              <w:t>2</w:t>
            </w:r>
          </w:p>
        </w:tc>
        <w:tc>
          <w:tcPr>
            <w:tcW w:w="1539"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ascii="Times New Roman" w:hAnsi="Times New Roman" w:eastAsia="宋体" w:cs="Times New Roman"/>
                <w:color w:val="auto"/>
                <w:kern w:val="2"/>
                <w:sz w:val="15"/>
                <w:szCs w:val="15"/>
              </w:rPr>
              <w:t>广东省科学院工业分析检测中心</w:t>
            </w:r>
          </w:p>
        </w:tc>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sz w:val="15"/>
                <w:szCs w:val="15"/>
              </w:rPr>
              <w:t>3</w:t>
            </w:r>
          </w:p>
        </w:tc>
        <w:tc>
          <w:tcPr>
            <w:tcW w:w="1451"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ascii="Times New Roman" w:hAnsi="Times New Roman" w:eastAsia="宋体" w:cs="Times New Roman"/>
                <w:color w:val="auto"/>
                <w:kern w:val="2"/>
                <w:sz w:val="15"/>
                <w:szCs w:val="15"/>
              </w:rPr>
              <w:t>北矿检测技术股份有限公司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sz w:val="15"/>
                <w:szCs w:val="15"/>
              </w:rPr>
              <w:t>4</w:t>
            </w:r>
          </w:p>
        </w:tc>
        <w:tc>
          <w:tcPr>
            <w:tcW w:w="1274"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ascii="Times New Roman" w:hAnsi="Times New Roman" w:eastAsia="宋体" w:cs="Times New Roman"/>
                <w:color w:val="auto"/>
                <w:kern w:val="2"/>
                <w:sz w:val="15"/>
                <w:szCs w:val="15"/>
              </w:rPr>
              <w:t>紫金铜业有限公司</w:t>
            </w:r>
          </w:p>
        </w:tc>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sz w:val="15"/>
                <w:szCs w:val="15"/>
              </w:rPr>
              <w:t>5</w:t>
            </w:r>
          </w:p>
        </w:tc>
        <w:tc>
          <w:tcPr>
            <w:tcW w:w="1539"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ascii="Times New Roman" w:hAnsi="Times New Roman" w:eastAsia="宋体" w:cs="Times New Roman"/>
                <w:color w:val="auto"/>
                <w:kern w:val="2"/>
                <w:sz w:val="15"/>
                <w:szCs w:val="15"/>
              </w:rPr>
              <w:t>阜阳市产品质量监督检验所</w:t>
            </w:r>
          </w:p>
        </w:tc>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sz w:val="15"/>
                <w:szCs w:val="15"/>
              </w:rPr>
              <w:t>6</w:t>
            </w:r>
          </w:p>
        </w:tc>
        <w:tc>
          <w:tcPr>
            <w:tcW w:w="1451"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ascii="Times New Roman" w:hAnsi="Times New Roman" w:eastAsia="宋体" w:cs="Times New Roman"/>
                <w:color w:val="auto"/>
                <w:kern w:val="2"/>
                <w:sz w:val="15"/>
                <w:szCs w:val="15"/>
              </w:rPr>
              <w:t>湖南水口山有色金属集团有限公司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sz w:val="15"/>
                <w:szCs w:val="15"/>
              </w:rPr>
              <w:t>7</w:t>
            </w:r>
          </w:p>
        </w:tc>
        <w:tc>
          <w:tcPr>
            <w:tcW w:w="1274"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ascii="Times New Roman" w:hAnsi="Times New Roman" w:eastAsia="宋体" w:cs="Times New Roman"/>
                <w:color w:val="auto"/>
                <w:kern w:val="2"/>
                <w:sz w:val="15"/>
                <w:szCs w:val="15"/>
              </w:rPr>
              <w:t>国合通用（青岛）测试评价有限公司</w:t>
            </w:r>
          </w:p>
        </w:tc>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sz w:val="15"/>
                <w:szCs w:val="15"/>
              </w:rPr>
              <w:t>8</w:t>
            </w:r>
          </w:p>
        </w:tc>
        <w:tc>
          <w:tcPr>
            <w:tcW w:w="1539"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ascii="Times New Roman" w:hAnsi="Times New Roman" w:eastAsia="宋体" w:cs="Times New Roman"/>
                <w:color w:val="auto"/>
                <w:kern w:val="2"/>
                <w:sz w:val="15"/>
                <w:szCs w:val="15"/>
              </w:rPr>
              <w:t>深圳市中金岭南有色金属股份有限公司</w:t>
            </w:r>
          </w:p>
        </w:tc>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sz w:val="15"/>
                <w:szCs w:val="15"/>
              </w:rPr>
              <w:t>9</w:t>
            </w:r>
          </w:p>
        </w:tc>
        <w:tc>
          <w:tcPr>
            <w:tcW w:w="1451"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ascii="Times New Roman" w:hAnsi="Times New Roman" w:eastAsia="宋体" w:cs="Times New Roman"/>
                <w:color w:val="auto"/>
                <w:kern w:val="2"/>
                <w:sz w:val="15"/>
                <w:szCs w:val="15"/>
              </w:rPr>
              <w:t>铜陵有色金属集团控股有限公司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sz w:val="15"/>
                <w:szCs w:val="15"/>
              </w:rPr>
              <w:t>10</w:t>
            </w:r>
          </w:p>
        </w:tc>
        <w:tc>
          <w:tcPr>
            <w:tcW w:w="1274"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r>
              <w:rPr>
                <w:rFonts w:hint="eastAsia" w:ascii="Times New Roman" w:hAnsi="Times New Roman" w:eastAsia="宋体" w:cs="Times New Roman"/>
                <w:color w:val="auto"/>
                <w:kern w:val="2"/>
                <w:sz w:val="15"/>
                <w:szCs w:val="15"/>
              </w:rPr>
              <w:t>金川集团股份有限公司</w:t>
            </w:r>
          </w:p>
        </w:tc>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p>
        </w:tc>
        <w:tc>
          <w:tcPr>
            <w:tcW w:w="1539"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p>
        </w:tc>
        <w:tc>
          <w:tcPr>
            <w:tcW w:w="245"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p>
        </w:tc>
        <w:tc>
          <w:tcPr>
            <w:tcW w:w="1451" w:type="pct"/>
            <w:tcBorders>
              <w:tl2br w:val="nil"/>
              <w:tr2bl w:val="nil"/>
            </w:tcBorders>
            <w:shd w:val="clear" w:color="auto" w:fill="auto"/>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jc w:val="center"/>
              <w:textAlignment w:val="auto"/>
              <w:rPr>
                <w:sz w:val="15"/>
                <w:szCs w:val="15"/>
              </w:rPr>
            </w:pPr>
          </w:p>
        </w:tc>
      </w:tr>
    </w:tbl>
    <w:p>
      <w:pPr>
        <w:keepNext w:val="0"/>
        <w:keepLines w:val="0"/>
        <w:pageBreakBefore w:val="0"/>
        <w:tabs>
          <w:tab w:val="left" w:pos="1118"/>
        </w:tabs>
        <w:kinsoku/>
        <w:wordWrap/>
        <w:overflowPunct/>
        <w:topLinePunct w:val="0"/>
        <w:bidi w:val="0"/>
        <w:spacing w:line="288" w:lineRule="auto"/>
        <w:ind w:firstLine="405"/>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在对原始测定数据进行柯克伦检验及格拉布斯检验，剔除离群值后，进行精密度数据计算，从而确定重复性限和再现性限。</w:t>
      </w:r>
      <w:r>
        <w:rPr>
          <w:rFonts w:hAnsi="宋体"/>
          <w:color w:val="000000" w:themeColor="text1"/>
          <w14:textFill>
            <w14:solidFill>
              <w14:schemeClr w14:val="tx1"/>
            </w14:solidFill>
          </w14:textFill>
        </w:rPr>
        <w:t>各杂质元素</w:t>
      </w:r>
      <w:r>
        <w:rPr>
          <w:rFonts w:hint="eastAsia" w:hAnsi="宋体"/>
          <w:color w:val="000000" w:themeColor="text1"/>
          <w14:textFill>
            <w14:solidFill>
              <w14:schemeClr w14:val="tx1"/>
            </w14:solidFill>
          </w14:textFill>
        </w:rPr>
        <w:t>统计分析</w:t>
      </w:r>
      <w:r>
        <w:rPr>
          <w:rFonts w:hAnsi="宋体"/>
          <w:color w:val="000000" w:themeColor="text1"/>
          <w14:textFill>
            <w14:solidFill>
              <w14:schemeClr w14:val="tx1"/>
            </w14:solidFill>
          </w14:textFill>
        </w:rPr>
        <w:t>后</w:t>
      </w:r>
      <w:r>
        <w:rPr>
          <w:rFonts w:hint="eastAsia" w:hAnsi="宋体"/>
          <w:color w:val="000000" w:themeColor="text1"/>
          <w14:textFill>
            <w14:solidFill>
              <w14:schemeClr w14:val="tx1"/>
            </w14:solidFill>
          </w14:textFill>
        </w:rPr>
        <w:t>结果</w:t>
      </w:r>
      <w:r>
        <w:rPr>
          <w:rFonts w:hAnsi="宋体"/>
          <w:color w:val="000000" w:themeColor="text1"/>
          <w14:textFill>
            <w14:solidFill>
              <w14:schemeClr w14:val="tx1"/>
            </w14:solidFill>
          </w14:textFill>
        </w:rPr>
        <w:t>可接受的实验室个数、可接受的数据个数、平均值、</w:t>
      </w:r>
      <w:r>
        <w:rPr>
          <w:rFonts w:hint="eastAsia" w:hAnsi="宋体"/>
          <w:color w:val="000000" w:themeColor="text1"/>
          <w14:textFill>
            <w14:solidFill>
              <w14:schemeClr w14:val="tx1"/>
            </w14:solidFill>
          </w14:textFill>
        </w:rPr>
        <w:t>及</w:t>
      </w:r>
      <w:r>
        <w:rPr>
          <w:rFonts w:hAnsi="宋体"/>
          <w:color w:val="000000" w:themeColor="text1"/>
          <w14:textFill>
            <w14:solidFill>
              <w14:schemeClr w14:val="tx1"/>
            </w14:solidFill>
          </w14:textFill>
        </w:rPr>
        <w:t>重复性</w:t>
      </w:r>
      <w:r>
        <w:rPr>
          <w:rFonts w:hint="eastAsia" w:hAnsi="宋体"/>
          <w:color w:val="000000" w:themeColor="text1"/>
          <w14:textFill>
            <w14:solidFill>
              <w14:schemeClr w14:val="tx1"/>
            </w14:solidFill>
          </w14:textFill>
        </w:rPr>
        <w:t>标准差</w:t>
      </w:r>
      <w:r>
        <w:rPr>
          <w:rFonts w:hAnsi="宋体"/>
          <w:color w:val="000000" w:themeColor="text1"/>
          <w14:textFill>
            <w14:solidFill>
              <w14:schemeClr w14:val="tx1"/>
            </w14:solidFill>
          </w14:textFill>
        </w:rPr>
        <w:t>、再现性标准差</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重复性限</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再现性限</w:t>
      </w:r>
      <w:r>
        <w:rPr>
          <w:rFonts w:hint="eastAsia" w:hAnsi="宋体"/>
          <w:color w:val="000000" w:themeColor="text1"/>
          <w14:textFill>
            <w14:solidFill>
              <w14:schemeClr w14:val="tx1"/>
            </w14:solidFill>
          </w14:textFill>
        </w:rPr>
        <w:t>见</w:t>
      </w:r>
      <w:r>
        <w:rPr>
          <w:rFonts w:hAnsi="宋体"/>
          <w:color w:val="000000" w:themeColor="text1"/>
          <w14:textFill>
            <w14:solidFill>
              <w14:schemeClr w14:val="tx1"/>
            </w14:solidFill>
          </w14:textFill>
        </w:rPr>
        <w:t>表</w:t>
      </w:r>
      <w:r>
        <w:rPr>
          <w:rFonts w:hint="eastAsia" w:hAnsi="宋体"/>
          <w:color w:val="000000" w:themeColor="text1"/>
          <w:lang w:val="en-US" w:eastAsia="zh-CN"/>
          <w14:textFill>
            <w14:solidFill>
              <w14:schemeClr w14:val="tx1"/>
            </w14:solidFill>
          </w14:textFill>
        </w:rPr>
        <w:t>11</w:t>
      </w:r>
      <w:r>
        <w:rPr>
          <w:rFonts w:hint="eastAsia" w:hAnsi="宋体"/>
          <w:color w:val="000000" w:themeColor="text1"/>
          <w14:textFill>
            <w14:solidFill>
              <w14:schemeClr w14:val="tx1"/>
            </w14:solidFill>
          </w14:textFill>
        </w:rPr>
        <w:t>。根据</w:t>
      </w:r>
      <w:r>
        <w:rPr>
          <w:rFonts w:hAnsi="宋体"/>
          <w:color w:val="000000" w:themeColor="text1"/>
          <w14:textFill>
            <w14:solidFill>
              <w14:schemeClr w14:val="tx1"/>
            </w14:solidFill>
          </w14:textFill>
        </w:rPr>
        <w:t>表</w:t>
      </w:r>
      <w:r>
        <w:rPr>
          <w:rFonts w:hint="eastAsia" w:hAnsi="宋体"/>
          <w:color w:val="000000" w:themeColor="text1"/>
          <w14:textFill>
            <w14:solidFill>
              <w14:schemeClr w14:val="tx1"/>
            </w14:solidFill>
          </w14:textFill>
        </w:rPr>
        <w:t>7对</w:t>
      </w:r>
      <w:r>
        <w:rPr>
          <w:rFonts w:hAnsi="宋体"/>
          <w:color w:val="000000" w:themeColor="text1"/>
          <w14:textFill>
            <w14:solidFill>
              <w14:schemeClr w14:val="tx1"/>
            </w14:solidFill>
          </w14:textFill>
        </w:rPr>
        <w:t>重复性限和再现性限进行综合评定，确定方法</w:t>
      </w:r>
      <w:r>
        <w:rPr>
          <w:rFonts w:hint="eastAsia" w:hAnsi="宋体"/>
          <w:color w:val="000000" w:themeColor="text1"/>
          <w14:textFill>
            <w14:solidFill>
              <w14:schemeClr w14:val="tx1"/>
            </w14:solidFill>
          </w14:textFill>
        </w:rPr>
        <w:t>的</w:t>
      </w:r>
      <w:r>
        <w:rPr>
          <w:rFonts w:hAnsi="宋体"/>
          <w:color w:val="000000" w:themeColor="text1"/>
          <w14:textFill>
            <w14:solidFill>
              <w14:schemeClr w14:val="tx1"/>
            </w14:solidFill>
          </w14:textFill>
        </w:rPr>
        <w:t>重复性限和再现性限，</w:t>
      </w:r>
      <w:r>
        <w:rPr>
          <w:rFonts w:hint="eastAsia" w:hAnsi="宋体"/>
          <w:color w:val="000000" w:themeColor="text1"/>
          <w14:textFill>
            <w14:solidFill>
              <w14:schemeClr w14:val="tx1"/>
            </w14:solidFill>
          </w14:textFill>
        </w:rPr>
        <w:t>分别</w:t>
      </w:r>
      <w:r>
        <w:rPr>
          <w:rFonts w:hAnsi="宋体"/>
          <w:color w:val="000000" w:themeColor="text1"/>
          <w14:textFill>
            <w14:solidFill>
              <w14:schemeClr w14:val="tx1"/>
            </w14:solidFill>
          </w14:textFill>
        </w:rPr>
        <w:t>见表</w:t>
      </w:r>
      <w:r>
        <w:rPr>
          <w:rFonts w:hint="eastAsia" w:hAnsi="宋体"/>
          <w:color w:val="000000" w:themeColor="text1"/>
          <w:lang w:val="en-US" w:eastAsia="zh-CN"/>
          <w14:textFill>
            <w14:solidFill>
              <w14:schemeClr w14:val="tx1"/>
            </w14:solidFill>
          </w14:textFill>
        </w:rPr>
        <w:t>12</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表</w:t>
      </w:r>
      <w:r>
        <w:rPr>
          <w:rFonts w:hint="eastAsia" w:hAnsi="宋体"/>
          <w:color w:val="000000" w:themeColor="text1"/>
          <w:lang w:val="en-US" w:eastAsia="zh-CN"/>
          <w14:textFill>
            <w14:solidFill>
              <w14:schemeClr w14:val="tx1"/>
            </w14:solidFill>
          </w14:textFill>
        </w:rPr>
        <w:t>13</w:t>
      </w:r>
      <w:r>
        <w:rPr>
          <w:rFonts w:hint="eastAsia" w:hAnsi="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表11  不同水平统计结果表</w:t>
      </w:r>
    </w:p>
    <w:tbl>
      <w:tblPr>
        <w:tblStyle w:val="88"/>
        <w:tblW w:w="4993"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108" w:type="dxa"/>
          <w:bottom w:w="0" w:type="dxa"/>
          <w:right w:w="108" w:type="dxa"/>
        </w:tblCellMar>
      </w:tblPr>
      <w:tblGrid>
        <w:gridCol w:w="592"/>
        <w:gridCol w:w="592"/>
        <w:gridCol w:w="1340"/>
        <w:gridCol w:w="967"/>
        <w:gridCol w:w="967"/>
        <w:gridCol w:w="826"/>
        <w:gridCol w:w="1340"/>
        <w:gridCol w:w="1340"/>
        <w:gridCol w:w="967"/>
        <w:gridCol w:w="9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84" w:hRule="atLeast"/>
          <w:tblHeader/>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元素</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水平</w:t>
            </w:r>
          </w:p>
        </w:tc>
        <w:tc>
          <w:tcPr>
            <w:tcW w:w="6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结果可接受的</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实验室个数</w:t>
            </w:r>
          </w:p>
        </w:tc>
        <w:tc>
          <w:tcPr>
            <w:tcW w:w="48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可接受的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数据个数</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离群实验</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室代码</w:t>
            </w:r>
          </w:p>
        </w:tc>
        <w:tc>
          <w:tcPr>
            <w:tcW w:w="41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平均值</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重复性标准差</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iCs/>
                <w:color w:val="000000"/>
                <w:sz w:val="18"/>
                <w:szCs w:val="18"/>
                <w:u w:val="none"/>
              </w:rPr>
            </w:pPr>
            <w:r>
              <w:rPr>
                <w:rFonts w:hint="default" w:ascii="Times New Roman" w:hAnsi="Times New Roman" w:eastAsia="宋体" w:cs="Times New Roman"/>
                <w:i/>
                <w:iCs/>
                <w:color w:val="000000"/>
                <w:kern w:val="0"/>
                <w:sz w:val="18"/>
                <w:szCs w:val="18"/>
                <w:u w:val="none"/>
                <w:lang w:val="en-US" w:eastAsia="zh-CN" w:bidi="ar"/>
              </w:rPr>
              <w:t>S</w:t>
            </w:r>
            <w:r>
              <w:rPr>
                <w:rFonts w:hint="default" w:ascii="Times New Roman" w:hAnsi="Times New Roman" w:eastAsia="宋体" w:cs="Times New Roman"/>
                <w:i/>
                <w:iCs/>
                <w:color w:val="000000"/>
                <w:kern w:val="0"/>
                <w:sz w:val="18"/>
                <w:szCs w:val="18"/>
                <w:u w:val="none"/>
                <w:vertAlign w:val="subscript"/>
                <w:lang w:val="en-US" w:eastAsia="zh-CN" w:bidi="ar"/>
              </w:rPr>
              <w:t>r</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再现性标准差</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iCs/>
                <w:color w:val="000000"/>
                <w:sz w:val="18"/>
                <w:szCs w:val="18"/>
                <w:u w:val="none"/>
              </w:rPr>
            </w:pPr>
            <w:r>
              <w:rPr>
                <w:rFonts w:hint="default" w:ascii="Times New Roman" w:hAnsi="Times New Roman" w:eastAsia="宋体" w:cs="Times New Roman"/>
                <w:i/>
                <w:iCs/>
                <w:color w:val="000000"/>
                <w:kern w:val="0"/>
                <w:sz w:val="18"/>
                <w:szCs w:val="18"/>
                <w:u w:val="none"/>
                <w:lang w:val="en-US" w:eastAsia="zh-CN" w:bidi="ar"/>
              </w:rPr>
              <w:t>S</w:t>
            </w:r>
            <w:r>
              <w:rPr>
                <w:rFonts w:hint="default" w:ascii="Times New Roman" w:hAnsi="Times New Roman" w:eastAsia="宋体" w:cs="Times New Roman"/>
                <w:i/>
                <w:iCs/>
                <w:color w:val="000000"/>
                <w:kern w:val="0"/>
                <w:sz w:val="18"/>
                <w:szCs w:val="18"/>
                <w:u w:val="none"/>
                <w:vertAlign w:val="subscript"/>
                <w:lang w:val="en-US" w:eastAsia="zh-CN" w:bidi="ar"/>
              </w:rPr>
              <w:t>R</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重复性限</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iCs/>
                <w:color w:val="000000"/>
                <w:sz w:val="18"/>
                <w:szCs w:val="18"/>
                <w:u w:val="none"/>
              </w:rPr>
            </w:pPr>
            <w:r>
              <w:rPr>
                <w:rFonts w:hint="default" w:ascii="Times New Roman" w:hAnsi="Times New Roman" w:eastAsia="宋体" w:cs="Times New Roman"/>
                <w:i/>
                <w:iCs/>
                <w:color w:val="000000"/>
                <w:kern w:val="0"/>
                <w:sz w:val="18"/>
                <w:szCs w:val="18"/>
                <w:u w:val="none"/>
                <w:lang w:val="en-US" w:eastAsia="zh-CN" w:bidi="ar"/>
              </w:rPr>
              <w:t>r</w:t>
            </w:r>
            <w:r>
              <w:rPr>
                <w:rFonts w:hint="default" w:ascii="Times New Roman" w:hAnsi="Times New Roman" w:eastAsia="宋体" w:cs="Times New Roman"/>
                <w:i w:val="0"/>
                <w:iCs w:val="0"/>
                <w:color w:val="000000"/>
                <w:kern w:val="0"/>
                <w:sz w:val="18"/>
                <w:szCs w:val="18"/>
                <w:u w:val="none"/>
                <w:lang w:val="en-US" w:eastAsia="zh-CN" w:bidi="ar"/>
              </w:rPr>
              <w:t>/%</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再现性限</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iCs/>
                <w:color w:val="000000"/>
                <w:sz w:val="18"/>
                <w:szCs w:val="18"/>
                <w:u w:val="none"/>
              </w:rPr>
            </w:pPr>
            <w:r>
              <w:rPr>
                <w:rFonts w:hint="default" w:ascii="Times New Roman" w:hAnsi="Times New Roman" w:eastAsia="宋体" w:cs="Times New Roman"/>
                <w:i/>
                <w:iCs/>
                <w:color w:val="000000"/>
                <w:kern w:val="0"/>
                <w:sz w:val="18"/>
                <w:szCs w:val="18"/>
                <w:u w:val="none"/>
                <w:lang w:val="en-US" w:eastAsia="zh-CN" w:bidi="ar"/>
              </w:rPr>
              <w:t>R</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Ag</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0.00002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0.00005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0.0016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0.00007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0.0036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0.00013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0.00021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0.0063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0.00021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0.00032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0.00035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0.00071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0.00004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0.00008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0.0016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0.00008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0.00012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0.0036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0.00010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0.0059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0.00024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0.0007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9,10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0.00028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0.00071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Bi</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0.00002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0.00005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6,9</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0.0017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0.00005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0.00009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0.0043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0.00014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0.00020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eastAsia" w:cs="Times New Roman"/>
                <w:i w:val="0"/>
                <w:iCs w:val="0"/>
                <w:color w:val="000000"/>
                <w:kern w:val="0"/>
                <w:sz w:val="18"/>
                <w:szCs w:val="18"/>
                <w:u w:val="none"/>
                <w:lang w:val="en-US" w:eastAsia="zh-CN" w:bidi="ar"/>
              </w:rPr>
              <w:t>8</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lang w:val="en-US"/>
              </w:rPr>
            </w:pPr>
            <w:r>
              <w:rPr>
                <w:rFonts w:hint="eastAsia" w:cs="Times New Roman"/>
                <w:i w:val="0"/>
                <w:iCs w:val="0"/>
                <w:color w:val="000000"/>
                <w:kern w:val="0"/>
                <w:sz w:val="18"/>
                <w:szCs w:val="18"/>
                <w:u w:val="none"/>
                <w:lang w:val="en-US" w:eastAsia="zh-CN" w:bidi="ar"/>
              </w:rPr>
              <w:t>56</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iCs w:val="0"/>
                <w:color w:val="000000"/>
                <w:sz w:val="18"/>
                <w:szCs w:val="18"/>
                <w:u w:val="none"/>
                <w:lang w:val="en-US"/>
              </w:rPr>
            </w:pPr>
            <w:r>
              <w:rPr>
                <w:rFonts w:hint="eastAsia" w:ascii="Times New Roman" w:hAnsi="Times New Roman" w:eastAsia="宋体" w:cs="Times New Roman"/>
                <w:i w:val="0"/>
                <w:iCs w:val="0"/>
                <w:color w:val="000000"/>
                <w:kern w:val="0"/>
                <w:sz w:val="18"/>
                <w:szCs w:val="18"/>
                <w:u w:val="none"/>
                <w:lang w:val="en-US" w:eastAsia="zh-CN" w:bidi="ar"/>
              </w:rPr>
              <w:t>2,8</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0.0085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0.00028 </w:t>
            </w:r>
          </w:p>
        </w:tc>
        <w:tc>
          <w:tcPr>
            <w:tcW w:w="67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0.00046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0.0008 </w:t>
            </w:r>
          </w:p>
        </w:tc>
        <w:tc>
          <w:tcPr>
            <w:tcW w:w="48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41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0.00002 </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0.00004 </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0.00005 </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2,8,10</w:t>
            </w:r>
          </w:p>
        </w:tc>
        <w:tc>
          <w:tcPr>
            <w:tcW w:w="41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0.00143 </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0.00005 </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0.00008 </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0.00015 </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5,8,10</w:t>
            </w:r>
          </w:p>
        </w:tc>
        <w:tc>
          <w:tcPr>
            <w:tcW w:w="41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0.00471 </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0.00009 </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0.00014 </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0.00024 </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41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0.00794 </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0.00010 </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0.00022 </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0.00030 </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1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0.00021 </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0.00051 </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Sb</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0.00004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0.00007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0.0027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0.00006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0.00013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0.0056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0.00030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0.00053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0.00002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0.00005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0.00007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0.0033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0.00014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0.00019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0.00004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0.00007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0.00007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0.00009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0.00014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0.0080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0.00029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0.0008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0.00071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0.00004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4,6</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0.00008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0.00014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0.00017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0.0080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0.00032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0.0007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0.00064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Cd</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0.00002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0.00005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0.00007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0.00010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0.0080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0.00028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0.0007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0.0008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0.00071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0.00002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0.00002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0.0009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0.00007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0.00010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0.0079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0.00014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0.00025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0.0007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0.00071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0.00004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0.00006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0.00006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0.00009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0.00009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0.0081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0.00023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0.0007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0.00028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0.00067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0.00004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0.00006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0.00007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0.00009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0.00014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0.0080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0.00026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0.0007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42</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2,4,6,10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0.00014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0.00020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0.00028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0.0008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Se</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0.00003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0.00007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0.00008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0.00012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0.00019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0.0079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0.00032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0.00064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Te</w:t>
            </w: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0.00004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0.00006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0.00005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0.0039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0.00017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0.0078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0.00025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0.0007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2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48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0.00023 </w:t>
            </w:r>
          </w:p>
        </w:tc>
        <w:tc>
          <w:tcPr>
            <w:tcW w:w="13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0.00060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 </w:t>
            </w:r>
          </w:p>
        </w:tc>
        <w:tc>
          <w:tcPr>
            <w:tcW w:w="96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 </w:t>
            </w:r>
          </w:p>
        </w:tc>
      </w:tr>
    </w:tbl>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表12  重复性限</w:t>
      </w:r>
    </w:p>
    <w:tbl>
      <w:tblPr>
        <w:tblStyle w:val="88"/>
        <w:tblW w:w="5188"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511"/>
        <w:gridCol w:w="1878"/>
        <w:gridCol w:w="1675"/>
        <w:gridCol w:w="1880"/>
        <w:gridCol w:w="1675"/>
        <w:gridCol w:w="147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i/>
                <w:spacing w:val="6"/>
                <w:sz w:val="18"/>
                <w:szCs w:val="18"/>
              </w:rPr>
            </w:pPr>
            <w:r>
              <w:rPr>
                <w:i/>
                <w:spacing w:val="6"/>
                <w:sz w:val="18"/>
                <w:szCs w:val="18"/>
              </w:rPr>
              <w:t>w</w:t>
            </w:r>
            <w:r>
              <w:rPr>
                <w:rFonts w:eastAsia="等线"/>
                <w:color w:val="000000"/>
                <w:kern w:val="0"/>
                <w:sz w:val="18"/>
                <w:szCs w:val="18"/>
                <w:vertAlign w:val="subscript"/>
              </w:rPr>
              <w:t>Ag</w:t>
            </w:r>
          </w:p>
        </w:tc>
        <w:tc>
          <w:tcPr>
            <w:tcW w:w="1806"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611"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0.0016 </w:t>
            </w:r>
          </w:p>
        </w:tc>
        <w:tc>
          <w:tcPr>
            <w:tcW w:w="1808"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0.0036 </w:t>
            </w:r>
          </w:p>
        </w:tc>
        <w:tc>
          <w:tcPr>
            <w:tcW w:w="1611"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0.0063 </w:t>
            </w:r>
          </w:p>
        </w:tc>
        <w:tc>
          <w:tcPr>
            <w:tcW w:w="1417"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i/>
                <w:spacing w:val="6"/>
                <w:sz w:val="18"/>
                <w:szCs w:val="18"/>
              </w:rPr>
            </w:pPr>
            <w:r>
              <w:rPr>
                <w:i/>
                <w:kern w:val="0"/>
                <w:sz w:val="18"/>
                <w:szCs w:val="18"/>
              </w:rPr>
              <w:t>r</w:t>
            </w:r>
            <w:r>
              <w:rPr>
                <w:spacing w:val="6"/>
                <w:sz w:val="18"/>
                <w:szCs w:val="18"/>
                <w:vertAlign w:val="subscript"/>
              </w:rPr>
              <w:t xml:space="preserve"> </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0.0002</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0.0004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spacing w:val="6"/>
                <w:sz w:val="18"/>
                <w:szCs w:val="18"/>
              </w:rPr>
              <w:t>w</w:t>
            </w:r>
            <w:r>
              <w:rPr>
                <w:iCs/>
                <w:spacing w:val="6"/>
                <w:sz w:val="18"/>
                <w:szCs w:val="18"/>
                <w:vertAlign w:val="subscript"/>
              </w:rPr>
              <w:t>Cu</w:t>
            </w:r>
            <w:r>
              <w:rPr>
                <w:spacing w:val="6"/>
                <w:sz w:val="18"/>
                <w:szCs w:val="18"/>
                <w:vertAlign w:val="subscript"/>
              </w:rPr>
              <w:t xml:space="preserve"> </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0.0016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0.0036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0.0059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kern w:val="0"/>
                <w:sz w:val="18"/>
                <w:szCs w:val="18"/>
              </w:rPr>
              <w:t>r</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0.0005</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eastAsia="等线"/>
                <w:color w:val="000000"/>
                <w:kern w:val="0"/>
                <w:sz w:val="18"/>
                <w:szCs w:val="18"/>
                <w:vertAlign w:val="subscript"/>
              </w:rPr>
              <w:t>Bi</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0.0004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eastAsia="等线"/>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 xml:space="preserve">0.0017 </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0.0043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0.0085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kern w:val="0"/>
                <w:sz w:val="18"/>
                <w:szCs w:val="18"/>
              </w:rPr>
              <w:t>r</w:t>
            </w:r>
            <w:r>
              <w:rPr>
                <w:spacing w:val="6"/>
                <w:sz w:val="18"/>
                <w:szCs w:val="18"/>
                <w:vertAlign w:val="subscript"/>
              </w:rPr>
              <w:t xml:space="preserve"> </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eastAsia="等线"/>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0.0004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0.0008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eastAsia="等线"/>
                <w:color w:val="000000"/>
                <w:kern w:val="0"/>
                <w:sz w:val="18"/>
                <w:szCs w:val="18"/>
                <w:vertAlign w:val="subscript"/>
              </w:rPr>
              <w:t>As</w:t>
            </w:r>
            <w:r>
              <w:rPr>
                <w:spacing w:val="6"/>
                <w:sz w:val="18"/>
                <w:szCs w:val="18"/>
                <w:vertAlign w:val="subscript"/>
              </w:rPr>
              <w:t xml:space="preserve"> </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0.0014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0.0047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0.0079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kern w:val="0"/>
                <w:sz w:val="18"/>
                <w:szCs w:val="18"/>
              </w:rPr>
              <w:t>r</w:t>
            </w:r>
            <w:r>
              <w:rPr>
                <w:spacing w:val="6"/>
                <w:sz w:val="18"/>
                <w:szCs w:val="18"/>
                <w:vertAlign w:val="subscript"/>
              </w:rPr>
              <w:t xml:space="preserve"> </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0.0003</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0.0005</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eastAsia="等线"/>
                <w:color w:val="000000"/>
                <w:kern w:val="0"/>
                <w:sz w:val="18"/>
                <w:szCs w:val="18"/>
                <w:vertAlign w:val="subscript"/>
              </w:rPr>
              <w:t>Sb</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eastAsia="等线"/>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 xml:space="preserve">0.0027 </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0.0056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kern w:val="0"/>
                <w:sz w:val="18"/>
                <w:szCs w:val="18"/>
              </w:rPr>
              <w:t>r</w:t>
            </w:r>
            <w:r>
              <w:rPr>
                <w:spacing w:val="6"/>
                <w:sz w:val="18"/>
                <w:szCs w:val="18"/>
                <w:vertAlign w:val="subscript"/>
              </w:rPr>
              <w:t xml:space="preserve"> </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eastAsia="等线"/>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hint="eastAsia" w:eastAsia="等线"/>
                <w:color w:val="000000"/>
                <w:kern w:val="0"/>
                <w:sz w:val="18"/>
                <w:szCs w:val="18"/>
                <w:vertAlign w:val="subscript"/>
                <w:lang w:val="en-US" w:eastAsia="zh-CN"/>
              </w:rPr>
              <w:t>Sn</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0.0033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0.0041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8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kern w:val="0"/>
                <w:sz w:val="18"/>
                <w:szCs w:val="18"/>
              </w:rPr>
              <w:t>r</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0.0004 </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eastAsia="等线"/>
                <w:color w:val="000000"/>
                <w:kern w:val="0"/>
                <w:sz w:val="18"/>
                <w:szCs w:val="18"/>
                <w:vertAlign w:val="subscript"/>
              </w:rPr>
              <w:t>Zn</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0.0021 </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0.0041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0.0080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kern w:val="0"/>
                <w:sz w:val="18"/>
                <w:szCs w:val="18"/>
              </w:rPr>
              <w:t>r</w:t>
            </w:r>
            <w:r>
              <w:rPr>
                <w:spacing w:val="6"/>
                <w:sz w:val="18"/>
                <w:szCs w:val="18"/>
                <w:vertAlign w:val="subscript"/>
              </w:rPr>
              <w:t xml:space="preserve"> </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eastAsia="等线"/>
                <w:color w:val="000000"/>
                <w:kern w:val="0"/>
                <w:sz w:val="18"/>
                <w:szCs w:val="18"/>
                <w:vertAlign w:val="subscript"/>
              </w:rPr>
              <w:t>Fe</w:t>
            </w:r>
            <w:r>
              <w:rPr>
                <w:spacing w:val="6"/>
                <w:sz w:val="18"/>
                <w:szCs w:val="18"/>
                <w:vertAlign w:val="subscript"/>
              </w:rPr>
              <w:t xml:space="preserve"> </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0.0020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0.0040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0.0080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kern w:val="0"/>
                <w:sz w:val="18"/>
                <w:szCs w:val="18"/>
              </w:rPr>
              <w:t>r</w:t>
            </w:r>
            <w:r>
              <w:rPr>
                <w:spacing w:val="6"/>
                <w:sz w:val="18"/>
                <w:szCs w:val="18"/>
                <w:vertAlign w:val="subscript"/>
              </w:rPr>
              <w:t xml:space="preserve"> </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0.0001</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0.0007 </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spacing w:val="6"/>
                <w:sz w:val="18"/>
                <w:szCs w:val="18"/>
              </w:rPr>
              <w:t>w</w:t>
            </w:r>
            <w:r>
              <w:rPr>
                <w:rFonts w:eastAsia="等线"/>
                <w:color w:val="000000"/>
                <w:kern w:val="0"/>
                <w:sz w:val="18"/>
                <w:szCs w:val="18"/>
                <w:vertAlign w:val="subscript"/>
              </w:rPr>
              <w:t>Cd</w:t>
            </w:r>
            <w:r>
              <w:rPr>
                <w:spacing w:val="6"/>
                <w:sz w:val="18"/>
                <w:szCs w:val="18"/>
                <w:vertAlign w:val="subscript"/>
              </w:rPr>
              <w:t xml:space="preserve"> </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0.0010 </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0.0040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0.0080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hint="eastAsia"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kern w:val="0"/>
                <w:sz w:val="18"/>
                <w:szCs w:val="18"/>
              </w:rPr>
              <w:t>r</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0.0007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spacing w:val="6"/>
                <w:sz w:val="18"/>
                <w:szCs w:val="18"/>
              </w:rPr>
              <w:t>w</w:t>
            </w:r>
            <w:r>
              <w:rPr>
                <w:rFonts w:hint="eastAsia" w:eastAsia="等线"/>
                <w:color w:val="000000"/>
                <w:kern w:val="0"/>
                <w:sz w:val="18"/>
                <w:szCs w:val="18"/>
                <w:vertAlign w:val="subscript"/>
                <w:lang w:val="en-US" w:eastAsia="zh-CN"/>
              </w:rPr>
              <w:t>Ni</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0.0009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0.0041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kern w:val="0"/>
                <w:sz w:val="18"/>
                <w:szCs w:val="18"/>
              </w:rPr>
              <w:t>r</w:t>
            </w:r>
            <w:r>
              <w:rPr>
                <w:spacing w:val="6"/>
                <w:sz w:val="18"/>
                <w:szCs w:val="18"/>
                <w:vertAlign w:val="subscript"/>
              </w:rPr>
              <w:t xml:space="preserve"> </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 </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spacing w:val="6"/>
                <w:sz w:val="18"/>
                <w:szCs w:val="18"/>
              </w:rPr>
              <w:t>w</w:t>
            </w:r>
            <w:r>
              <w:rPr>
                <w:rFonts w:hint="eastAsia" w:eastAsia="等线"/>
                <w:color w:val="000000"/>
                <w:kern w:val="0"/>
                <w:sz w:val="18"/>
                <w:szCs w:val="18"/>
                <w:vertAlign w:val="subscript"/>
                <w:lang w:val="en-US" w:eastAsia="zh-CN"/>
              </w:rPr>
              <w:t>Mg</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0.0020 </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0.0041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0.0081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kern w:val="0"/>
                <w:sz w:val="18"/>
                <w:szCs w:val="18"/>
              </w:rPr>
              <w:t>r</w:t>
            </w:r>
            <w:r>
              <w:rPr>
                <w:spacing w:val="6"/>
                <w:sz w:val="18"/>
                <w:szCs w:val="18"/>
                <w:vertAlign w:val="subscript"/>
              </w:rPr>
              <w:t xml:space="preserve"> </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0.0001</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spacing w:val="6"/>
                <w:sz w:val="18"/>
                <w:szCs w:val="18"/>
              </w:rPr>
              <w:t>w</w:t>
            </w:r>
            <w:r>
              <w:rPr>
                <w:rFonts w:hint="eastAsia" w:eastAsia="等线"/>
                <w:color w:val="000000"/>
                <w:kern w:val="0"/>
                <w:sz w:val="18"/>
                <w:szCs w:val="18"/>
                <w:vertAlign w:val="subscript"/>
                <w:lang w:val="en-US" w:eastAsia="zh-CN"/>
              </w:rPr>
              <w:t>Al</w:t>
            </w:r>
            <w:r>
              <w:rPr>
                <w:spacing w:val="6"/>
                <w:sz w:val="18"/>
                <w:szCs w:val="18"/>
                <w:vertAlign w:val="subscript"/>
              </w:rPr>
              <w:t xml:space="preserve"> </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0.0020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0.0040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0.0080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kern w:val="0"/>
                <w:sz w:val="18"/>
                <w:szCs w:val="18"/>
              </w:rPr>
              <w:t>r</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0.0004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hint="eastAsia" w:eastAsia="等线"/>
                <w:color w:val="000000"/>
                <w:kern w:val="0"/>
                <w:sz w:val="18"/>
                <w:szCs w:val="18"/>
                <w:vertAlign w:val="subscript"/>
                <w:lang w:val="en-US" w:eastAsia="zh-CN"/>
              </w:rPr>
              <w:t>Ca</w:t>
            </w:r>
            <w:r>
              <w:rPr>
                <w:spacing w:val="6"/>
                <w:sz w:val="18"/>
                <w:szCs w:val="18"/>
                <w:vertAlign w:val="subscript"/>
              </w:rPr>
              <w:t xml:space="preserve"> </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0.0021</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0.0041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0.0079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kern w:val="0"/>
                <w:sz w:val="18"/>
                <w:szCs w:val="18"/>
              </w:rPr>
              <w:t>r</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8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hint="eastAsia" w:eastAsia="等线"/>
                <w:color w:val="000000"/>
                <w:kern w:val="0"/>
                <w:sz w:val="18"/>
                <w:szCs w:val="18"/>
                <w:vertAlign w:val="subscript"/>
                <w:lang w:val="en-US" w:eastAsia="zh-CN"/>
              </w:rPr>
              <w:t>Se</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0.0020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0.0040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0.0079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kern w:val="0"/>
                <w:sz w:val="18"/>
                <w:szCs w:val="18"/>
              </w:rPr>
              <w:t>r</w:t>
            </w:r>
            <w:r>
              <w:rPr>
                <w:spacing w:val="6"/>
                <w:sz w:val="18"/>
                <w:szCs w:val="18"/>
                <w:vertAlign w:val="subscript"/>
              </w:rPr>
              <w:t xml:space="preserve"> </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0.0003</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hint="eastAsia" w:eastAsia="等线"/>
                <w:color w:val="000000"/>
                <w:kern w:val="0"/>
                <w:sz w:val="18"/>
                <w:szCs w:val="18"/>
                <w:vertAlign w:val="subscript"/>
                <w:lang w:val="en-US" w:eastAsia="zh-CN"/>
              </w:rPr>
              <w:t>Te</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0.0020 </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0.0039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0.0078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kern w:val="0"/>
                <w:sz w:val="18"/>
                <w:szCs w:val="18"/>
              </w:rPr>
              <w:t>r</w:t>
            </w:r>
            <w:r>
              <w:rPr>
                <w:spacing w:val="6"/>
                <w:sz w:val="18"/>
                <w:szCs w:val="18"/>
                <w:vertAlign w:val="subscript"/>
              </w:rPr>
              <w:t xml:space="preserve"> </w:t>
            </w:r>
          </w:p>
        </w:tc>
        <w:tc>
          <w:tcPr>
            <w:tcW w:w="1806"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808"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611"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417"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 </w:t>
            </w:r>
          </w:p>
        </w:tc>
      </w:tr>
    </w:tbl>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表13  再现性限</w:t>
      </w:r>
    </w:p>
    <w:tbl>
      <w:tblPr>
        <w:tblStyle w:val="88"/>
        <w:tblW w:w="5188"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511"/>
        <w:gridCol w:w="1878"/>
        <w:gridCol w:w="1675"/>
        <w:gridCol w:w="1880"/>
        <w:gridCol w:w="1675"/>
        <w:gridCol w:w="147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i/>
                <w:spacing w:val="6"/>
                <w:sz w:val="18"/>
                <w:szCs w:val="18"/>
              </w:rPr>
            </w:pPr>
            <w:r>
              <w:rPr>
                <w:i/>
                <w:spacing w:val="6"/>
                <w:sz w:val="18"/>
                <w:szCs w:val="18"/>
              </w:rPr>
              <w:t>w</w:t>
            </w:r>
            <w:r>
              <w:rPr>
                <w:rFonts w:eastAsia="等线"/>
                <w:color w:val="000000"/>
                <w:kern w:val="0"/>
                <w:sz w:val="18"/>
                <w:szCs w:val="18"/>
                <w:vertAlign w:val="subscript"/>
              </w:rPr>
              <w:t>Ag</w:t>
            </w:r>
            <w:r>
              <w:rPr>
                <w:spacing w:val="6"/>
                <w:sz w:val="18"/>
                <w:szCs w:val="18"/>
                <w:vertAlign w:val="subscript"/>
              </w:rPr>
              <w:t xml:space="preserve"> </w:t>
            </w:r>
          </w:p>
        </w:tc>
        <w:tc>
          <w:tcPr>
            <w:tcW w:w="1806"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611"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0.0016 </w:t>
            </w:r>
          </w:p>
        </w:tc>
        <w:tc>
          <w:tcPr>
            <w:tcW w:w="1808"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0.0036 </w:t>
            </w:r>
          </w:p>
        </w:tc>
        <w:tc>
          <w:tcPr>
            <w:tcW w:w="1611"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0.0063 </w:t>
            </w:r>
          </w:p>
        </w:tc>
        <w:tc>
          <w:tcPr>
            <w:tcW w:w="1417"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i/>
                <w:spacing w:val="6"/>
                <w:sz w:val="18"/>
                <w:szCs w:val="18"/>
              </w:rPr>
            </w:pPr>
            <w:r>
              <w:rPr>
                <w:rFonts w:hint="eastAsia"/>
                <w:i/>
                <w:kern w:val="0"/>
                <w:sz w:val="18"/>
                <w:szCs w:val="18"/>
                <w:lang w:val="en-US" w:eastAsia="zh-CN"/>
              </w:rPr>
              <w:t>R</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0.0009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spacing w:val="6"/>
                <w:sz w:val="18"/>
                <w:szCs w:val="18"/>
              </w:rPr>
              <w:t>w</w:t>
            </w:r>
            <w:r>
              <w:rPr>
                <w:iCs/>
                <w:spacing w:val="6"/>
                <w:sz w:val="18"/>
                <w:szCs w:val="18"/>
                <w:vertAlign w:val="subscript"/>
              </w:rPr>
              <w:t>Cu</w:t>
            </w:r>
            <w:r>
              <w:rPr>
                <w:spacing w:val="6"/>
                <w:sz w:val="18"/>
                <w:szCs w:val="18"/>
                <w:vertAlign w:val="subscript"/>
              </w:rPr>
              <w:t xml:space="preserve"> </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0.0016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0.0036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0.0059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rFonts w:hint="eastAsia"/>
                <w:i/>
                <w:kern w:val="0"/>
                <w:sz w:val="18"/>
                <w:szCs w:val="18"/>
                <w:lang w:val="en-US" w:eastAsia="zh-CN"/>
              </w:rPr>
              <w:t>R</w:t>
            </w:r>
            <w:r>
              <w:rPr>
                <w:spacing w:val="6"/>
                <w:sz w:val="18"/>
                <w:szCs w:val="18"/>
                <w:vertAlign w:val="subscript"/>
              </w:rPr>
              <w:t xml:space="preserve"> </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0.0007 </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8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eastAsia="等线"/>
                <w:color w:val="000000"/>
                <w:kern w:val="0"/>
                <w:sz w:val="18"/>
                <w:szCs w:val="18"/>
                <w:vertAlign w:val="subscript"/>
              </w:rPr>
              <w:t>Bi</w:t>
            </w:r>
            <w:r>
              <w:rPr>
                <w:spacing w:val="6"/>
                <w:sz w:val="18"/>
                <w:szCs w:val="18"/>
                <w:vertAlign w:val="subscript"/>
              </w:rPr>
              <w:t xml:space="preserve"> </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0.0004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eastAsia="等线"/>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 xml:space="preserve">0.0017 </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0.0043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0.0085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rFonts w:hint="eastAsia"/>
                <w:i/>
                <w:kern w:val="0"/>
                <w:sz w:val="18"/>
                <w:szCs w:val="18"/>
                <w:lang w:val="en-US" w:eastAsia="zh-CN"/>
              </w:rPr>
              <w:t>R</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eastAsia="等线"/>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0.0013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eastAsia="等线"/>
                <w:color w:val="000000"/>
                <w:kern w:val="0"/>
                <w:sz w:val="18"/>
                <w:szCs w:val="18"/>
                <w:vertAlign w:val="subscript"/>
              </w:rPr>
              <w:t>As</w:t>
            </w:r>
            <w:r>
              <w:rPr>
                <w:spacing w:val="6"/>
                <w:sz w:val="18"/>
                <w:szCs w:val="18"/>
                <w:vertAlign w:val="subscript"/>
              </w:rPr>
              <w:t xml:space="preserve"> </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0.0014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0.0047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0.0079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rFonts w:hint="eastAsia"/>
                <w:i/>
                <w:kern w:val="0"/>
                <w:sz w:val="18"/>
                <w:szCs w:val="18"/>
                <w:lang w:val="en-US" w:eastAsia="zh-CN"/>
              </w:rPr>
              <w:t>R</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0.0004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0.0007</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eastAsia="等线"/>
                <w:color w:val="000000"/>
                <w:kern w:val="0"/>
                <w:sz w:val="18"/>
                <w:szCs w:val="18"/>
                <w:vertAlign w:val="subscript"/>
              </w:rPr>
              <w:t>Sb</w:t>
            </w:r>
            <w:r>
              <w:rPr>
                <w:spacing w:val="6"/>
                <w:sz w:val="18"/>
                <w:szCs w:val="18"/>
                <w:vertAlign w:val="subscript"/>
              </w:rPr>
              <w:t xml:space="preserve"> </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eastAsia="等线"/>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 xml:space="preserve">0.0027 </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0.0056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rFonts w:hint="eastAsia"/>
                <w:i/>
                <w:kern w:val="0"/>
                <w:sz w:val="18"/>
                <w:szCs w:val="18"/>
                <w:lang w:val="en-US" w:eastAsia="zh-CN"/>
              </w:rPr>
              <w:t>R</w:t>
            </w:r>
            <w:r>
              <w:rPr>
                <w:spacing w:val="6"/>
                <w:sz w:val="18"/>
                <w:szCs w:val="18"/>
                <w:vertAlign w:val="subscript"/>
              </w:rPr>
              <w:t xml:space="preserve"> </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eastAsia="等线"/>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 xml:space="preserve">0.0004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0.0009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hint="eastAsia" w:eastAsia="等线"/>
                <w:color w:val="000000"/>
                <w:kern w:val="0"/>
                <w:sz w:val="18"/>
                <w:szCs w:val="18"/>
                <w:vertAlign w:val="subscript"/>
                <w:lang w:val="en-US" w:eastAsia="zh-CN"/>
              </w:rPr>
              <w:t>Sn</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0.0033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0.0041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rFonts w:hint="eastAsia"/>
                <w:i/>
                <w:kern w:val="0"/>
                <w:sz w:val="18"/>
                <w:szCs w:val="18"/>
                <w:lang w:val="en-US" w:eastAsia="zh-CN"/>
              </w:rPr>
              <w:t>R</w:t>
            </w:r>
            <w:r>
              <w:rPr>
                <w:spacing w:val="6"/>
                <w:sz w:val="18"/>
                <w:szCs w:val="18"/>
                <w:vertAlign w:val="subscript"/>
              </w:rPr>
              <w:t xml:space="preserve"> </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eastAsia="等线"/>
                <w:color w:val="000000"/>
                <w:kern w:val="0"/>
                <w:sz w:val="18"/>
                <w:szCs w:val="18"/>
                <w:vertAlign w:val="subscript"/>
              </w:rPr>
              <w:t>Zn</w:t>
            </w:r>
            <w:r>
              <w:rPr>
                <w:spacing w:val="6"/>
                <w:sz w:val="18"/>
                <w:szCs w:val="18"/>
                <w:vertAlign w:val="subscript"/>
              </w:rPr>
              <w:t xml:space="preserve"> </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0.0021 </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0.0041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0.0080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rFonts w:hint="eastAsia"/>
                <w:i/>
                <w:kern w:val="0"/>
                <w:sz w:val="18"/>
                <w:szCs w:val="18"/>
                <w:lang w:val="en-US" w:eastAsia="zh-CN"/>
              </w:rPr>
              <w:t>R</w:t>
            </w:r>
            <w:r>
              <w:rPr>
                <w:spacing w:val="6"/>
                <w:sz w:val="18"/>
                <w:szCs w:val="18"/>
                <w:vertAlign w:val="subscript"/>
              </w:rPr>
              <w:t xml:space="preserve"> </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0.0004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0.0008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8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eastAsia="等线"/>
                <w:color w:val="000000"/>
                <w:kern w:val="0"/>
                <w:sz w:val="18"/>
                <w:szCs w:val="18"/>
                <w:vertAlign w:val="subscript"/>
              </w:rPr>
              <w:t>Fe</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0.0020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0.0040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0.0080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rFonts w:hint="eastAsia"/>
                <w:i/>
                <w:kern w:val="0"/>
                <w:sz w:val="18"/>
                <w:szCs w:val="18"/>
                <w:lang w:val="en-US" w:eastAsia="zh-CN"/>
              </w:rPr>
              <w:t>R</w:t>
            </w:r>
            <w:r>
              <w:rPr>
                <w:spacing w:val="6"/>
                <w:sz w:val="18"/>
                <w:szCs w:val="18"/>
                <w:vertAlign w:val="subscript"/>
              </w:rPr>
              <w:t xml:space="preserve"> </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0.0003</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0.0004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0.0009 </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spacing w:val="6"/>
                <w:sz w:val="18"/>
                <w:szCs w:val="18"/>
              </w:rPr>
              <w:t>w</w:t>
            </w:r>
            <w:r>
              <w:rPr>
                <w:rFonts w:eastAsia="等线"/>
                <w:color w:val="000000"/>
                <w:kern w:val="0"/>
                <w:sz w:val="18"/>
                <w:szCs w:val="18"/>
                <w:vertAlign w:val="subscript"/>
              </w:rPr>
              <w:t>Cd</w:t>
            </w:r>
            <w:r>
              <w:rPr>
                <w:spacing w:val="6"/>
                <w:sz w:val="18"/>
                <w:szCs w:val="18"/>
                <w:vertAlign w:val="subscript"/>
              </w:rPr>
              <w:t xml:space="preserve"> </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0.0010 </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0.0040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0.0080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hint="eastAsia"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rFonts w:hint="eastAsia"/>
                <w:i/>
                <w:kern w:val="0"/>
                <w:sz w:val="18"/>
                <w:szCs w:val="18"/>
                <w:lang w:val="en-US" w:eastAsia="zh-CN"/>
              </w:rPr>
              <w:t>R</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0.0008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spacing w:val="6"/>
                <w:sz w:val="18"/>
                <w:szCs w:val="18"/>
              </w:rPr>
              <w:t>w</w:t>
            </w:r>
            <w:r>
              <w:rPr>
                <w:rFonts w:hint="eastAsia" w:eastAsia="等线"/>
                <w:color w:val="000000"/>
                <w:kern w:val="0"/>
                <w:sz w:val="18"/>
                <w:szCs w:val="18"/>
                <w:vertAlign w:val="subscript"/>
                <w:lang w:val="en-US" w:eastAsia="zh-CN"/>
              </w:rPr>
              <w:t>Ni</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0.0009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0.0041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0.0079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rFonts w:hint="eastAsia"/>
                <w:i/>
                <w:kern w:val="0"/>
                <w:sz w:val="18"/>
                <w:szCs w:val="18"/>
                <w:lang w:val="en-US" w:eastAsia="zh-CN"/>
              </w:rPr>
              <w:t>R</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0.0001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0.0007 </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spacing w:val="6"/>
                <w:sz w:val="18"/>
                <w:szCs w:val="18"/>
              </w:rPr>
              <w:t>w</w:t>
            </w:r>
            <w:r>
              <w:rPr>
                <w:rFonts w:hint="eastAsia" w:eastAsia="等线"/>
                <w:color w:val="000000"/>
                <w:kern w:val="0"/>
                <w:sz w:val="18"/>
                <w:szCs w:val="18"/>
                <w:vertAlign w:val="subscript"/>
                <w:lang w:val="en-US" w:eastAsia="zh-CN"/>
              </w:rPr>
              <w:t>Mg</w:t>
            </w:r>
            <w:r>
              <w:rPr>
                <w:spacing w:val="6"/>
                <w:sz w:val="18"/>
                <w:szCs w:val="18"/>
                <w:vertAlign w:val="subscript"/>
              </w:rPr>
              <w:t xml:space="preserve"> </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0.0020 </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0.0041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0.0081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rFonts w:hint="eastAsia"/>
                <w:i/>
                <w:kern w:val="0"/>
                <w:sz w:val="18"/>
                <w:szCs w:val="18"/>
                <w:lang w:val="en-US" w:eastAsia="zh-CN"/>
              </w:rPr>
              <w:t>R</w:t>
            </w:r>
            <w:r>
              <w:rPr>
                <w:spacing w:val="6"/>
                <w:sz w:val="18"/>
                <w:szCs w:val="18"/>
                <w:vertAlign w:val="subscript"/>
              </w:rPr>
              <w:t xml:space="preserve"> </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0.0007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i/>
                <w:spacing w:val="6"/>
                <w:sz w:val="18"/>
                <w:szCs w:val="18"/>
              </w:rPr>
              <w:t>w</w:t>
            </w:r>
            <w:r>
              <w:rPr>
                <w:rFonts w:hint="eastAsia" w:eastAsia="等线"/>
                <w:color w:val="000000"/>
                <w:kern w:val="0"/>
                <w:sz w:val="18"/>
                <w:szCs w:val="18"/>
                <w:vertAlign w:val="subscript"/>
                <w:lang w:val="en-US" w:eastAsia="zh-CN"/>
              </w:rPr>
              <w:t>Al</w:t>
            </w:r>
            <w:r>
              <w:rPr>
                <w:spacing w:val="6"/>
                <w:sz w:val="18"/>
                <w:szCs w:val="18"/>
                <w:vertAlign w:val="subscript"/>
              </w:rPr>
              <w:t xml:space="preserve"> </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0.0020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0.0040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0.0080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rPr>
            </w:pPr>
            <w:r>
              <w:rPr>
                <w:rFonts w:hint="eastAsia"/>
                <w:i/>
                <w:kern w:val="0"/>
                <w:sz w:val="18"/>
                <w:szCs w:val="18"/>
                <w:lang w:val="en-US" w:eastAsia="zh-CN"/>
              </w:rPr>
              <w:t>R</w:t>
            </w:r>
            <w:r>
              <w:rPr>
                <w:spacing w:val="6"/>
                <w:sz w:val="18"/>
                <w:szCs w:val="18"/>
                <w:vertAlign w:val="subscript"/>
              </w:rPr>
              <w:t xml:space="preserve"> </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0.0007 </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hint="eastAsia" w:eastAsia="等线"/>
                <w:color w:val="000000"/>
                <w:kern w:val="0"/>
                <w:sz w:val="18"/>
                <w:szCs w:val="18"/>
                <w:vertAlign w:val="subscript"/>
                <w:lang w:val="en-US" w:eastAsia="zh-CN"/>
              </w:rPr>
              <w:t>Ca</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0.0021</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0.0041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0.0079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rFonts w:hint="eastAsia"/>
                <w:i/>
                <w:kern w:val="0"/>
                <w:sz w:val="18"/>
                <w:szCs w:val="18"/>
                <w:lang w:val="en-US" w:eastAsia="zh-CN"/>
              </w:rPr>
              <w:t>R</w:t>
            </w:r>
          </w:p>
        </w:tc>
        <w:tc>
          <w:tcPr>
            <w:tcW w:w="1806"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0.0004 </w:t>
            </w:r>
          </w:p>
        </w:tc>
        <w:tc>
          <w:tcPr>
            <w:tcW w:w="1808"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611"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0.0008 </w:t>
            </w:r>
          </w:p>
        </w:tc>
        <w:tc>
          <w:tcPr>
            <w:tcW w:w="1417" w:type="dxa"/>
            <w:tcBorders>
              <w:bottom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op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hint="eastAsia" w:eastAsia="等线"/>
                <w:color w:val="000000"/>
                <w:kern w:val="0"/>
                <w:sz w:val="18"/>
                <w:szCs w:val="18"/>
                <w:vertAlign w:val="subscript"/>
                <w:lang w:val="en-US" w:eastAsia="zh-CN"/>
              </w:rPr>
              <w:t>Se</w:t>
            </w:r>
          </w:p>
        </w:tc>
        <w:tc>
          <w:tcPr>
            <w:tcW w:w="1806"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0.0020 </w:t>
            </w:r>
          </w:p>
        </w:tc>
        <w:tc>
          <w:tcPr>
            <w:tcW w:w="1808"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0.0040 </w:t>
            </w:r>
          </w:p>
        </w:tc>
        <w:tc>
          <w:tcPr>
            <w:tcW w:w="1611"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0.0079 </w:t>
            </w:r>
          </w:p>
        </w:tc>
        <w:tc>
          <w:tcPr>
            <w:tcW w:w="1417" w:type="dxa"/>
            <w:tcBorders>
              <w:top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bottom w:val="double" w:color="000000" w:sz="6"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rFonts w:hint="eastAsia"/>
                <w:i/>
                <w:kern w:val="0"/>
                <w:sz w:val="18"/>
                <w:szCs w:val="18"/>
                <w:lang w:val="en-US" w:eastAsia="zh-CN"/>
              </w:rPr>
              <w:t>R</w:t>
            </w:r>
          </w:p>
        </w:tc>
        <w:tc>
          <w:tcPr>
            <w:tcW w:w="1806"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0.0006 </w:t>
            </w:r>
          </w:p>
        </w:tc>
        <w:tc>
          <w:tcPr>
            <w:tcW w:w="1611"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0.0009 </w:t>
            </w:r>
          </w:p>
        </w:tc>
        <w:tc>
          <w:tcPr>
            <w:tcW w:w="1417" w:type="dxa"/>
            <w:tcBorders>
              <w:bottom w:val="double" w:color="000000" w:sz="6" w:space="0"/>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80" w:hRule="atLeast"/>
        </w:trPr>
        <w:tc>
          <w:tcPr>
            <w:tcW w:w="1454" w:type="dxa"/>
            <w:tcBorders>
              <w:top w:val="double" w:color="000000" w:sz="6" w:space="0"/>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i/>
                <w:spacing w:val="6"/>
                <w:sz w:val="18"/>
                <w:szCs w:val="18"/>
              </w:rPr>
              <w:t>w</w:t>
            </w:r>
            <w:r>
              <w:rPr>
                <w:rFonts w:hint="eastAsia" w:eastAsia="等线"/>
                <w:color w:val="000000"/>
                <w:kern w:val="0"/>
                <w:sz w:val="18"/>
                <w:szCs w:val="18"/>
                <w:vertAlign w:val="subscript"/>
                <w:lang w:val="en-US" w:eastAsia="zh-CN"/>
              </w:rPr>
              <w:t>Te</w:t>
            </w:r>
          </w:p>
        </w:tc>
        <w:tc>
          <w:tcPr>
            <w:tcW w:w="1806"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0.0020 </w:t>
            </w:r>
          </w:p>
        </w:tc>
        <w:tc>
          <w:tcPr>
            <w:tcW w:w="1808"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0.0039 </w:t>
            </w:r>
          </w:p>
        </w:tc>
        <w:tc>
          <w:tcPr>
            <w:tcW w:w="1611"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0.0078 </w:t>
            </w:r>
          </w:p>
        </w:tc>
        <w:tc>
          <w:tcPr>
            <w:tcW w:w="1417" w:type="dxa"/>
            <w:tcBorders>
              <w:top w:val="double" w:color="000000" w:sz="6" w:space="0"/>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454" w:type="dxa"/>
            <w:tcBorders>
              <w:tl2br w:val="nil"/>
              <w:tr2bl w:val="nil"/>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eastAsia="等线"/>
                <w:color w:val="000000"/>
                <w:kern w:val="0"/>
                <w:sz w:val="18"/>
                <w:szCs w:val="18"/>
                <w:lang w:val="en-US" w:eastAsia="zh-CN" w:bidi="ar-SA"/>
              </w:rPr>
            </w:pPr>
            <w:r>
              <w:rPr>
                <w:rFonts w:hint="eastAsia"/>
                <w:i/>
                <w:kern w:val="0"/>
                <w:sz w:val="18"/>
                <w:szCs w:val="18"/>
                <w:lang w:val="en-US" w:eastAsia="zh-CN"/>
              </w:rPr>
              <w:t>R</w:t>
            </w:r>
          </w:p>
        </w:tc>
        <w:tc>
          <w:tcPr>
            <w:tcW w:w="1806"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0.0002 </w:t>
            </w:r>
          </w:p>
        </w:tc>
        <w:tc>
          <w:tcPr>
            <w:tcW w:w="1611"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0.0003 </w:t>
            </w:r>
          </w:p>
        </w:tc>
        <w:tc>
          <w:tcPr>
            <w:tcW w:w="1808"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0.0005 </w:t>
            </w:r>
          </w:p>
        </w:tc>
        <w:tc>
          <w:tcPr>
            <w:tcW w:w="1611"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0.0007 </w:t>
            </w:r>
          </w:p>
        </w:tc>
        <w:tc>
          <w:tcPr>
            <w:tcW w:w="1417" w:type="dxa"/>
            <w:tcBorders>
              <w:tl2br w:val="nil"/>
              <w:tr2bl w:val="nil"/>
            </w:tcBorders>
            <w:noWrap/>
            <w:tcMar>
              <w:left w:w="0" w:type="dxa"/>
              <w:right w:w="0" w:type="dxa"/>
            </w:tcMar>
            <w:vAlign w:val="center"/>
          </w:tcPr>
          <w:p>
            <w:pPr>
              <w:keepNext w:val="0"/>
              <w:keepLines w:val="0"/>
              <w:widowControl/>
              <w:suppressLineNumbers w:val="0"/>
              <w:jc w:val="center"/>
              <w:textAlignment w:val="center"/>
              <w:rPr>
                <w:rFonts w:ascii="宋体" w:hAnsi="宋体"/>
                <w:bCs/>
                <w:sz w:val="18"/>
                <w:szCs w:val="18"/>
              </w:rPr>
            </w:pPr>
            <w:r>
              <w:rPr>
                <w:rFonts w:hint="eastAsia" w:ascii="宋体" w:hAnsi="宋体" w:eastAsia="宋体" w:cs="宋体"/>
                <w:i w:val="0"/>
                <w:iCs w:val="0"/>
                <w:color w:val="000000"/>
                <w:kern w:val="0"/>
                <w:sz w:val="18"/>
                <w:szCs w:val="18"/>
                <w:u w:val="none"/>
                <w:lang w:val="en-US" w:eastAsia="zh-CN" w:bidi="ar"/>
              </w:rPr>
              <w:t xml:space="preserve">0.002 </w:t>
            </w:r>
          </w:p>
        </w:tc>
      </w:tr>
    </w:tbl>
    <w:p>
      <w:pPr>
        <w:keepNext w:val="0"/>
        <w:keepLines w:val="0"/>
        <w:pageBreakBefore w:val="0"/>
        <w:kinsoku/>
        <w:wordWrap/>
        <w:overflowPunct/>
        <w:topLinePunct w:val="0"/>
        <w:bidi w:val="0"/>
        <w:spacing w:before="312" w:beforeLines="100" w:after="156" w:afterLines="50" w:line="288" w:lineRule="auto"/>
        <w:textAlignment w:val="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四</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标准中涉及专利的情况</w:t>
      </w:r>
    </w:p>
    <w:p>
      <w:pPr>
        <w:keepNext w:val="0"/>
        <w:keepLines w:val="0"/>
        <w:pageBreakBefore w:val="0"/>
        <w:kinsoku/>
        <w:wordWrap/>
        <w:overflowPunct/>
        <w:topLinePunct w:val="0"/>
        <w:bidi w:val="0"/>
        <w:spacing w:before="156" w:beforeLines="50" w:after="156" w:afterLines="50" w:line="288" w:lineRule="auto"/>
        <w:ind w:firstLine="420" w:firstLineChars="200"/>
        <w:textAlignment w:val="auto"/>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本标准不涉及专利和知识产权问题。</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五</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预期达到的社会效益</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w:t>
      </w:r>
      <w:r>
        <w:rPr>
          <w:rFonts w:hint="eastAsia" w:ascii="黑体" w:hAnsi="宋体" w:eastAsia="黑体"/>
          <w:bCs/>
          <w:color w:val="auto"/>
          <w:sz w:val="24"/>
          <w:lang w:val="en-US" w:eastAsia="zh-CN"/>
        </w:rPr>
        <w:t>一</w:t>
      </w:r>
      <w:r>
        <w:rPr>
          <w:rFonts w:hint="eastAsia" w:ascii="黑体" w:hAnsi="宋体" w:eastAsia="黑体"/>
          <w:bCs/>
          <w:color w:val="auto"/>
          <w:sz w:val="24"/>
        </w:rPr>
        <w:t>）项目的可行性</w:t>
      </w:r>
    </w:p>
    <w:p>
      <w:pPr>
        <w:keepNext w:val="0"/>
        <w:keepLines w:val="0"/>
        <w:pageBreakBefore w:val="0"/>
        <w:kinsoku/>
        <w:wordWrap/>
        <w:overflowPunct/>
        <w:topLinePunct w:val="0"/>
        <w:bidi w:val="0"/>
        <w:spacing w:line="288" w:lineRule="auto"/>
        <w:ind w:firstLine="420"/>
        <w:textAlignment w:val="auto"/>
        <w:rPr>
          <w:rFonts w:hint="eastAsia" w:cs="Times New Roman"/>
          <w:kern w:val="2"/>
          <w:sz w:val="21"/>
          <w:szCs w:val="21"/>
          <w:lang w:val="en-US" w:eastAsia="zh-CN"/>
        </w:rPr>
      </w:pPr>
      <w:r>
        <w:rPr>
          <w:rFonts w:hint="eastAsia" w:ascii="Times New Roman" w:hAnsi="Times New Roman" w:eastAsia="宋体" w:cs="Times New Roman"/>
          <w:kern w:val="2"/>
          <w:sz w:val="21"/>
          <w:szCs w:val="21"/>
        </w:rPr>
        <w:t>GB/T 4103《铅及铅合金化学分析方法》</w:t>
      </w:r>
      <w:r>
        <w:rPr>
          <w:rFonts w:hint="eastAsia" w:cs="Times New Roman"/>
          <w:kern w:val="2"/>
          <w:sz w:val="21"/>
          <w:szCs w:val="21"/>
          <w:lang w:val="en-US" w:eastAsia="zh-CN"/>
        </w:rPr>
        <w:t>系列标准于1983年首次颁布实施，经多次制修订补充完善。现行版本</w:t>
      </w:r>
      <w:r>
        <w:rPr>
          <w:rFonts w:hint="eastAsia" w:ascii="Times New Roman" w:hAnsi="Times New Roman" w:eastAsia="宋体" w:cs="Times New Roman"/>
          <w:kern w:val="2"/>
          <w:sz w:val="21"/>
          <w:szCs w:val="21"/>
        </w:rPr>
        <w:t>共17个部分，前15部分为单元素</w:t>
      </w:r>
      <w:r>
        <w:rPr>
          <w:rFonts w:hint="eastAsia" w:cs="Times New Roman"/>
          <w:kern w:val="2"/>
          <w:sz w:val="21"/>
          <w:szCs w:val="21"/>
          <w:lang w:val="en-US" w:eastAsia="zh-CN"/>
        </w:rPr>
        <w:t>单</w:t>
      </w:r>
      <w:r>
        <w:rPr>
          <w:rFonts w:hint="eastAsia" w:ascii="Times New Roman" w:hAnsi="Times New Roman" w:eastAsia="宋体" w:cs="Times New Roman"/>
          <w:kern w:val="2"/>
          <w:sz w:val="21"/>
          <w:szCs w:val="21"/>
        </w:rPr>
        <w:t>方法，涉及原子荧光光谱法、原子吸收光谱法、分光光度法等，</w:t>
      </w:r>
      <w:r>
        <w:rPr>
          <w:rFonts w:hint="eastAsia" w:cs="Times New Roman"/>
          <w:kern w:val="2"/>
          <w:sz w:val="21"/>
          <w:szCs w:val="21"/>
          <w:lang w:val="en-US" w:eastAsia="zh-CN"/>
        </w:rPr>
        <w:t>包括</w:t>
      </w:r>
      <w:r>
        <w:rPr>
          <w:rFonts w:hint="eastAsia" w:ascii="Times New Roman" w:hAnsi="Times New Roman" w:eastAsia="宋体" w:cs="Times New Roman"/>
          <w:kern w:val="2"/>
          <w:sz w:val="21"/>
          <w:szCs w:val="21"/>
        </w:rPr>
        <w:t>锡、锑、铜、铁、铋等杂质元素的测定。第16部分铜、银、铋、砷、锑、锡、锌量的测</w:t>
      </w:r>
      <w:r>
        <w:rPr>
          <w:rFonts w:hint="eastAsia" w:cs="Times New Roman"/>
          <w:kern w:val="2"/>
          <w:sz w:val="21"/>
          <w:szCs w:val="21"/>
          <w:lang w:val="en-US" w:eastAsia="zh-CN"/>
        </w:rPr>
        <w:t>定，采用</w:t>
      </w:r>
      <w:r>
        <w:rPr>
          <w:rFonts w:hint="eastAsia" w:ascii="Times New Roman" w:hAnsi="Times New Roman" w:eastAsia="宋体" w:cs="Times New Roman"/>
          <w:kern w:val="2"/>
          <w:sz w:val="21"/>
          <w:szCs w:val="21"/>
        </w:rPr>
        <w:t>光电直读发射光谱法。第17部分钠量、镁量的测定</w:t>
      </w:r>
      <w:r>
        <w:rPr>
          <w:rFonts w:hint="eastAsia" w:cs="Times New Roman"/>
          <w:kern w:val="2"/>
          <w:sz w:val="21"/>
          <w:szCs w:val="21"/>
          <w:lang w:val="en-US" w:eastAsia="zh-CN"/>
        </w:rPr>
        <w:t>采用</w:t>
      </w:r>
      <w:r>
        <w:rPr>
          <w:rFonts w:hint="eastAsia" w:ascii="Times New Roman" w:hAnsi="Times New Roman" w:eastAsia="宋体" w:cs="Times New Roman"/>
          <w:kern w:val="2"/>
          <w:sz w:val="21"/>
          <w:szCs w:val="21"/>
        </w:rPr>
        <w:t>火焰原子吸收光谱法。</w:t>
      </w:r>
      <w:r>
        <w:rPr>
          <w:rFonts w:hint="eastAsia" w:cs="Times New Roman"/>
          <w:kern w:val="2"/>
          <w:sz w:val="21"/>
          <w:szCs w:val="21"/>
          <w:lang w:val="en-US" w:eastAsia="zh-CN"/>
        </w:rPr>
        <w:t>上述标准涉及铅锭及多种类型铅合金样品的测定，其样品溶解方法可供本项目参考。</w:t>
      </w:r>
    </w:p>
    <w:p>
      <w:pPr>
        <w:keepNext w:val="0"/>
        <w:keepLines w:val="0"/>
        <w:pageBreakBefore w:val="0"/>
        <w:kinsoku/>
        <w:wordWrap/>
        <w:overflowPunct/>
        <w:topLinePunct w:val="0"/>
        <w:bidi w:val="0"/>
        <w:spacing w:line="288" w:lineRule="auto"/>
        <w:ind w:firstLine="420"/>
        <w:textAlignment w:val="auto"/>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电感耦合等离子体质谱仪具有多元素同时测定、检出限低等优点，已广泛应用于金属、合金、食品、环境等样品中杂质元素的测定，在分析检测领域占有举足轻重的地位。方法多元素同时检测，能够大大缩短检测时间，节省人力、物力；方法能够提供更低的检出限，用于痕量杂质元素的定量分析其结果更加准确。近些年国内外均颁布实施了ICP-MS相关检测方法</w:t>
      </w:r>
      <w:r>
        <w:rPr>
          <w:rFonts w:hint="eastAsia" w:cs="Times New Roman"/>
          <w:b w:val="0"/>
          <w:bCs w:val="0"/>
          <w:kern w:val="2"/>
          <w:sz w:val="21"/>
          <w:szCs w:val="21"/>
          <w:lang w:val="en-US" w:eastAsia="zh-CN" w:bidi="ar-SA"/>
        </w:rPr>
        <w:t>，如</w:t>
      </w:r>
      <w:r>
        <w:rPr>
          <w:rFonts w:hint="eastAsia" w:ascii="Times New Roman" w:hAnsi="Times New Roman" w:eastAsia="宋体" w:cs="Times New Roman"/>
          <w:b w:val="0"/>
          <w:bCs w:val="0"/>
          <w:kern w:val="2"/>
          <w:sz w:val="21"/>
          <w:szCs w:val="21"/>
          <w:lang w:val="en-US" w:eastAsia="zh-CN" w:bidi="ar-SA"/>
        </w:rPr>
        <w:t>ASTM E2330-19《</w:t>
      </w:r>
      <w:r>
        <w:rPr>
          <w:rFonts w:hint="default" w:ascii="Times New Roman" w:hAnsi="Times New Roman" w:eastAsia="宋体" w:cs="Times New Roman"/>
          <w:b w:val="0"/>
          <w:bCs w:val="0"/>
          <w:kern w:val="2"/>
          <w:sz w:val="21"/>
          <w:szCs w:val="21"/>
          <w:lang w:val="en-US" w:eastAsia="zh-CN" w:bidi="ar-SA"/>
        </w:rPr>
        <w:t>使用电感耦合等离子体质谱法(ICP-MS)进行玻璃样品中元素浓度测定的标准测试方法</w:t>
      </w:r>
      <w:r>
        <w:rPr>
          <w:rFonts w:hint="eastAsia" w:ascii="Times New Roman" w:hAnsi="Times New Roman" w:eastAsia="宋体" w:cs="Times New Roman"/>
          <w:b w:val="0"/>
          <w:bCs w:val="0"/>
          <w:kern w:val="2"/>
          <w:sz w:val="21"/>
          <w:szCs w:val="21"/>
          <w:lang w:val="en-US" w:eastAsia="zh-CN" w:bidi="ar-SA"/>
        </w:rPr>
        <w:t>》</w:t>
      </w:r>
      <w:r>
        <w:rPr>
          <w:rFonts w:hint="default" w:ascii="Times New Roman" w:hAnsi="Times New Roman" w:eastAsia="宋体" w:cs="Times New Roman"/>
          <w:b w:val="0"/>
          <w:bCs w:val="0"/>
          <w:kern w:val="2"/>
          <w:sz w:val="21"/>
          <w:szCs w:val="21"/>
          <w:lang w:val="en-US" w:eastAsia="zh-CN" w:bidi="ar-SA"/>
        </w:rPr>
        <w:t> </w:t>
      </w:r>
      <w:r>
        <w:rPr>
          <w:rFonts w:hint="eastAsia" w:ascii="Times New Roman" w:hAnsi="Times New Roman" w:eastAsia="宋体" w:cs="Times New Roman"/>
          <w:b w:val="0"/>
          <w:bCs w:val="0"/>
          <w:kern w:val="2"/>
          <w:sz w:val="21"/>
          <w:szCs w:val="21"/>
          <w:lang w:val="en-US" w:eastAsia="zh-CN" w:bidi="ar-SA"/>
        </w:rPr>
        <w:t>、ASTM C1287-18《用电感耦合等离子体质谱法测定二氧化铀中杂质的</w:t>
      </w:r>
      <w:r>
        <w:rPr>
          <w:rFonts w:hint="default" w:ascii="Times New Roman" w:hAnsi="Times New Roman" w:eastAsia="宋体" w:cs="Times New Roman"/>
          <w:b w:val="0"/>
          <w:bCs w:val="0"/>
          <w:kern w:val="2"/>
          <w:sz w:val="21"/>
          <w:szCs w:val="21"/>
          <w:lang w:val="en-US" w:eastAsia="zh-CN" w:bidi="ar-SA"/>
        </w:rPr>
        <w:t>标准试验方法》</w:t>
      </w:r>
      <w:r>
        <w:rPr>
          <w:rFonts w:hint="eastAsia" w:ascii="Times New Roman" w:hAnsi="Times New Roman" w:eastAsia="宋体" w:cs="Times New Roman"/>
          <w:b w:val="0"/>
          <w:bCs w:val="0"/>
          <w:kern w:val="2"/>
          <w:sz w:val="21"/>
          <w:szCs w:val="21"/>
          <w:lang w:val="en-US" w:eastAsia="zh-CN" w:bidi="ar-SA"/>
        </w:rPr>
        <w:t>、ISO/TS 16965-2013《土壤质量 使用电感耦合等离子体质谱法（ICP-MS）测定微量元素》、ISO 17294-2-2016《水质 电感耦合等离子体质谱法（ICP-MS）的应用 第2部分：铀同位素等选择元素的测定》、</w:t>
      </w:r>
      <w:r>
        <w:rPr>
          <w:rFonts w:hint="default" w:ascii="Times New Roman" w:hAnsi="Times New Roman" w:eastAsia="宋体" w:cs="Times New Roman"/>
          <w:b w:val="0"/>
          <w:bCs w:val="0"/>
          <w:kern w:val="2"/>
          <w:sz w:val="21"/>
          <w:szCs w:val="21"/>
          <w:lang w:val="en-US" w:eastAsia="zh-CN" w:bidi="ar-SA"/>
        </w:rPr>
        <w:t>GB/T 42240-2022</w:t>
      </w:r>
      <w:r>
        <w:rPr>
          <w:rFonts w:hint="eastAsia" w:ascii="Times New Roman" w:hAnsi="Times New Roman" w:eastAsia="宋体" w:cs="Times New Roman"/>
          <w:b w:val="0"/>
          <w:bCs w:val="0"/>
          <w:kern w:val="2"/>
          <w:sz w:val="21"/>
          <w:szCs w:val="21"/>
          <w:lang w:val="en-US" w:eastAsia="zh-CN" w:bidi="ar-SA"/>
        </w:rPr>
        <w:t>《纳米技术 石墨烯粉体中金属杂质的测定 电感耦合等离子体质谱法》、</w:t>
      </w:r>
      <w:r>
        <w:rPr>
          <w:rFonts w:hint="default" w:ascii="Times New Roman" w:hAnsi="Times New Roman" w:eastAsia="宋体" w:cs="Times New Roman"/>
          <w:b w:val="0"/>
          <w:bCs w:val="0"/>
          <w:kern w:val="2"/>
          <w:sz w:val="21"/>
          <w:szCs w:val="21"/>
          <w:lang w:val="en-US" w:eastAsia="zh-CN" w:bidi="ar-SA"/>
        </w:rPr>
        <w:t>GB/T 42333-2023</w:t>
      </w:r>
      <w:r>
        <w:rPr>
          <w:rFonts w:hint="eastAsia" w:ascii="Times New Roman" w:hAnsi="Times New Roman" w:eastAsia="宋体" w:cs="Times New Roman"/>
          <w:b w:val="0"/>
          <w:bCs w:val="0"/>
          <w:kern w:val="2"/>
          <w:sz w:val="21"/>
          <w:szCs w:val="21"/>
          <w:lang w:val="en-US" w:eastAsia="zh-CN" w:bidi="ar-SA"/>
        </w:rPr>
        <w:t>《土壤、水系沉积物 碘含量的测定 氨水封闭溶解-电感耦合等离子体质谱法》、</w:t>
      </w:r>
      <w:r>
        <w:rPr>
          <w:rFonts w:hint="default" w:ascii="Times New Roman" w:hAnsi="Times New Roman" w:eastAsia="宋体" w:cs="Times New Roman"/>
          <w:b w:val="0"/>
          <w:bCs w:val="0"/>
          <w:kern w:val="2"/>
          <w:sz w:val="21"/>
          <w:szCs w:val="21"/>
          <w:lang w:val="en-US" w:eastAsia="zh-CN" w:bidi="ar-SA"/>
        </w:rPr>
        <w:t>GB/T 14352.24-2022</w:t>
      </w:r>
      <w:r>
        <w:rPr>
          <w:rFonts w:hint="eastAsia" w:ascii="Times New Roman" w:hAnsi="Times New Roman" w:eastAsia="宋体" w:cs="Times New Roman"/>
          <w:b w:val="0"/>
          <w:bCs w:val="0"/>
          <w:kern w:val="2"/>
          <w:sz w:val="21"/>
          <w:szCs w:val="21"/>
          <w:lang w:val="en-US" w:eastAsia="zh-CN" w:bidi="ar-SA"/>
        </w:rPr>
        <w:t>《钨矿石、钼矿石化学分析方法 第24部分：锗含量的测定 电感耦合等离子体质谱法》等。</w:t>
      </w:r>
    </w:p>
    <w:p>
      <w:pPr>
        <w:keepNext w:val="0"/>
        <w:keepLines w:val="0"/>
        <w:pageBreakBefore w:val="0"/>
        <w:kinsoku/>
        <w:wordWrap/>
        <w:overflowPunct/>
        <w:topLinePunct w:val="0"/>
        <w:bidi w:val="0"/>
        <w:spacing w:line="288" w:lineRule="auto"/>
        <w:ind w:firstLine="420"/>
        <w:textAlignment w:val="auto"/>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上述标准的颁布实施，表明ICP-MS在分析检测领域的应用日趋成熟，通常采用内标法校正基体效应和仪器漂移对测定结果的影响，也可采用基体匹配或者标准加入法进行测定。因此，建立电感耦合等离子体质谱测定铅及铅合金中银、铜、铋、砷、锑、锡、锌、铁、镉、镍、镁、铝、钙、硒、碲含量的测试方法在技术上也是可行的</w:t>
      </w:r>
      <w:r>
        <w:rPr>
          <w:rFonts w:hint="eastAsia" w:cs="Times New Roman"/>
          <w:b w:val="0"/>
          <w:bCs w:val="0"/>
          <w:kern w:val="2"/>
          <w:sz w:val="21"/>
          <w:szCs w:val="21"/>
          <w:lang w:val="en-US" w:eastAsia="zh-CN" w:bidi="ar-SA"/>
        </w:rPr>
        <w:t>。通过多家单位的验证能够保证建立的分析方法具有可操作性并易于推广应用。</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w:t>
      </w:r>
      <w:r>
        <w:rPr>
          <w:rFonts w:hint="eastAsia" w:ascii="黑体" w:hAnsi="宋体" w:eastAsia="黑体"/>
          <w:bCs/>
          <w:color w:val="auto"/>
          <w:sz w:val="24"/>
          <w:lang w:val="en-US" w:eastAsia="zh-CN"/>
        </w:rPr>
        <w:t>二</w:t>
      </w:r>
      <w:r>
        <w:rPr>
          <w:rFonts w:hint="eastAsia" w:ascii="黑体" w:hAnsi="宋体" w:eastAsia="黑体"/>
          <w:bCs/>
          <w:color w:val="auto"/>
          <w:sz w:val="24"/>
        </w:rPr>
        <w:t>）标准预期的</w:t>
      </w:r>
      <w:r>
        <w:rPr>
          <w:rFonts w:ascii="黑体" w:hAnsi="宋体" w:eastAsia="黑体"/>
          <w:bCs/>
          <w:color w:val="auto"/>
          <w:sz w:val="24"/>
        </w:rPr>
        <w:t>作用和</w:t>
      </w:r>
      <w:r>
        <w:rPr>
          <w:rFonts w:hint="eastAsia" w:ascii="黑体" w:hAnsi="宋体" w:eastAsia="黑体"/>
          <w:bCs/>
          <w:color w:val="auto"/>
          <w:sz w:val="24"/>
        </w:rPr>
        <w:t>效益</w:t>
      </w:r>
    </w:p>
    <w:p>
      <w:pPr>
        <w:keepNext w:val="0"/>
        <w:keepLines w:val="0"/>
        <w:pageBreakBefore w:val="0"/>
        <w:widowControl w:val="0"/>
        <w:kinsoku/>
        <w:wordWrap/>
        <w:overflowPunct/>
        <w:topLinePunct w:val="0"/>
        <w:autoSpaceDE w:val="0"/>
        <w:autoSpaceDN w:val="0"/>
        <w:bidi w:val="0"/>
        <w:adjustRightInd w:val="0"/>
        <w:snapToGrid/>
        <w:spacing w:before="157" w:beforeLines="50" w:line="288" w:lineRule="auto"/>
        <w:ind w:firstLine="420"/>
        <w:jc w:val="both"/>
        <w:textAlignment w:val="auto"/>
        <w:rPr>
          <w:rFonts w:hint="eastAsia" w:cs="Times New Roman"/>
          <w:kern w:val="2"/>
          <w:sz w:val="21"/>
          <w:szCs w:val="21"/>
          <w:lang w:val="en-US" w:eastAsia="zh-CN"/>
        </w:rPr>
      </w:pPr>
      <w:r>
        <w:rPr>
          <w:rFonts w:hint="eastAsia" w:cs="Times New Roman"/>
          <w:kern w:val="2"/>
          <w:sz w:val="21"/>
          <w:szCs w:val="21"/>
          <w:lang w:val="en-US" w:eastAsia="zh-CN"/>
        </w:rPr>
        <w:t>本标准是</w:t>
      </w:r>
      <w:r>
        <w:rPr>
          <w:rFonts w:hint="eastAsia" w:ascii="Times New Roman" w:hAnsi="Times New Roman" w:eastAsia="宋体" w:cs="Times New Roman"/>
          <w:kern w:val="2"/>
          <w:sz w:val="21"/>
          <w:szCs w:val="21"/>
        </w:rPr>
        <w:t>GB/T 4103《铅及铅合金化学分析方法》</w:t>
      </w:r>
      <w:r>
        <w:rPr>
          <w:rFonts w:hint="eastAsia" w:cs="Times New Roman"/>
          <w:kern w:val="2"/>
          <w:sz w:val="21"/>
          <w:szCs w:val="21"/>
          <w:lang w:val="en-US" w:eastAsia="zh-CN"/>
        </w:rPr>
        <w:t>的第18部分，采用ICP-MS测定铅及铅合金中痕量杂质元素，能够满足铅锭、</w:t>
      </w:r>
      <w:r>
        <w:rPr>
          <w:rFonts w:hint="eastAsia" w:hAnsi="宋体"/>
          <w:szCs w:val="20"/>
        </w:rPr>
        <w:t>再生铅</w:t>
      </w:r>
      <w:r>
        <w:rPr>
          <w:rFonts w:hAnsi="宋体"/>
          <w:szCs w:val="20"/>
        </w:rPr>
        <w:t>、</w:t>
      </w:r>
      <w:r>
        <w:rPr>
          <w:rFonts w:hint="eastAsia" w:hAnsi="宋体"/>
          <w:szCs w:val="20"/>
          <w:lang w:val="en-US" w:eastAsia="zh-CN"/>
        </w:rPr>
        <w:t>再生铅锑合金、再生铅钙合金、</w:t>
      </w:r>
      <w:r>
        <w:rPr>
          <w:rFonts w:hAnsi="宋体"/>
          <w:szCs w:val="20"/>
        </w:rPr>
        <w:t>蓄电池板栅用铅钙合金锭</w:t>
      </w:r>
      <w:r>
        <w:rPr>
          <w:rFonts w:hint="eastAsia" w:hAnsi="宋体"/>
          <w:szCs w:val="20"/>
        </w:rPr>
        <w:t>、</w:t>
      </w:r>
      <w:r>
        <w:rPr>
          <w:rFonts w:hAnsi="宋体"/>
          <w:szCs w:val="20"/>
        </w:rPr>
        <w:t>蓄电池板栅用铅锑合金锭</w:t>
      </w:r>
      <w:r>
        <w:rPr>
          <w:rFonts w:hint="eastAsia" w:hAnsi="宋体"/>
          <w:szCs w:val="20"/>
          <w:lang w:eastAsia="zh-CN"/>
        </w:rPr>
        <w:t>、</w:t>
      </w:r>
      <w:r>
        <w:rPr>
          <w:rFonts w:hint="eastAsia"/>
          <w:color w:val="000000"/>
          <w:lang w:val="en-US" w:eastAsia="zh-CN"/>
        </w:rPr>
        <w:t>电缆护套用铅合金锭、电解沉积用铅阳极板、</w:t>
      </w:r>
      <w:r>
        <w:rPr>
          <w:rFonts w:ascii="Times New Roman" w:hAnsi="宋体" w:eastAsia="宋体" w:cs="Times New Roman"/>
          <w:szCs w:val="20"/>
        </w:rPr>
        <w:t>铅及铅锑合金棒和线材</w:t>
      </w:r>
      <w:r>
        <w:rPr>
          <w:rFonts w:hint="eastAsia" w:hAnsi="宋体"/>
          <w:szCs w:val="20"/>
        </w:rPr>
        <w:t>等</w:t>
      </w:r>
      <w:r>
        <w:rPr>
          <w:rFonts w:hAnsi="宋体"/>
          <w:szCs w:val="20"/>
        </w:rPr>
        <w:t>铅</w:t>
      </w:r>
      <w:r>
        <w:rPr>
          <w:rFonts w:hint="eastAsia" w:hAnsi="宋体"/>
          <w:szCs w:val="20"/>
          <w:lang w:val="en-US" w:eastAsia="zh-CN"/>
        </w:rPr>
        <w:t>产品中</w:t>
      </w:r>
      <w:r>
        <w:rPr>
          <w:rFonts w:hint="eastAsia" w:ascii="Times New Roman" w:hAnsi="Times New Roman" w:eastAsia="宋体" w:cs="Times New Roman"/>
          <w:b w:val="0"/>
          <w:bCs w:val="0"/>
          <w:kern w:val="2"/>
          <w:sz w:val="21"/>
          <w:szCs w:val="21"/>
          <w:lang w:val="en-US" w:eastAsia="zh-CN" w:bidi="ar-SA"/>
        </w:rPr>
        <w:t>银、铜、铋、砷、锑、锡、锌、铁、镉、镍、镁、铝、钙、硒、碲含量的测试需求。作为化学分析方法标准，主要能够服务GB/T 469《铅锭》、GB/T 21181《再生铅及铅合金锭》、GB/T 26045《蓄电池板栅用铅钙合金锭》、YS/T 915</w:t>
      </w:r>
      <w:r>
        <w:rPr>
          <w:rFonts w:hint="eastAsia" w:cs="Times New Roman"/>
          <w:b w:val="0"/>
          <w:bCs w:val="0"/>
          <w:kern w:val="2"/>
          <w:sz w:val="21"/>
          <w:szCs w:val="21"/>
          <w:lang w:val="en-US" w:eastAsia="zh-CN" w:bidi="ar-SA"/>
        </w:rPr>
        <w:t>《</w:t>
      </w:r>
      <w:r>
        <w:rPr>
          <w:rFonts w:hint="eastAsia" w:ascii="Times New Roman" w:hAnsi="Times New Roman" w:eastAsia="宋体" w:cs="Times New Roman"/>
          <w:b w:val="0"/>
          <w:bCs w:val="0"/>
          <w:kern w:val="2"/>
          <w:sz w:val="21"/>
          <w:szCs w:val="21"/>
          <w:lang w:val="en-US" w:eastAsia="zh-CN" w:bidi="ar-SA"/>
        </w:rPr>
        <w:t>蓄电池板栅用铅锑合金锭</w:t>
      </w:r>
      <w:r>
        <w:rPr>
          <w:rFonts w:hint="eastAsia" w:cs="Times New Roman"/>
          <w:b w:val="0"/>
          <w:bCs w:val="0"/>
          <w:kern w:val="2"/>
          <w:sz w:val="21"/>
          <w:szCs w:val="21"/>
          <w:lang w:val="en-US" w:eastAsia="zh-CN" w:bidi="ar-SA"/>
        </w:rPr>
        <w:t>》、</w:t>
      </w:r>
      <w:r>
        <w:rPr>
          <w:rFonts w:hint="eastAsia" w:ascii="Times New Roman" w:hAnsi="Times New Roman" w:eastAsia="宋体" w:cs="Times New Roman"/>
          <w:b w:val="0"/>
          <w:bCs w:val="0"/>
          <w:kern w:val="2"/>
          <w:sz w:val="21"/>
          <w:szCs w:val="21"/>
          <w:lang w:val="en-US" w:eastAsia="zh-CN" w:bidi="ar-SA"/>
        </w:rPr>
        <w:t>GB</w:t>
      </w:r>
      <w:r>
        <w:rPr>
          <w:rFonts w:hint="eastAsia" w:cs="Times New Roman"/>
          <w:b w:val="0"/>
          <w:bCs w:val="0"/>
          <w:kern w:val="2"/>
          <w:sz w:val="21"/>
          <w:szCs w:val="21"/>
          <w:lang w:val="en-US" w:eastAsia="zh-CN" w:bidi="ar-SA"/>
        </w:rPr>
        <w:t>/</w:t>
      </w:r>
      <w:r>
        <w:rPr>
          <w:rFonts w:hint="eastAsia" w:ascii="Times New Roman" w:hAnsi="Times New Roman" w:eastAsia="宋体" w:cs="Times New Roman"/>
          <w:b w:val="0"/>
          <w:bCs w:val="0"/>
          <w:kern w:val="2"/>
          <w:sz w:val="21"/>
          <w:szCs w:val="21"/>
          <w:lang w:val="en-US" w:eastAsia="zh-CN" w:bidi="ar-SA"/>
        </w:rPr>
        <w:t>T 26011</w:t>
      </w:r>
      <w:r>
        <w:rPr>
          <w:rFonts w:hint="eastAsia" w:cs="Times New Roman"/>
          <w:b w:val="0"/>
          <w:bCs w:val="0"/>
          <w:kern w:val="2"/>
          <w:sz w:val="21"/>
          <w:szCs w:val="21"/>
          <w:lang w:val="en-US" w:eastAsia="zh-CN" w:bidi="ar-SA"/>
        </w:rPr>
        <w:t>《</w:t>
      </w:r>
      <w:r>
        <w:rPr>
          <w:rFonts w:hint="eastAsia" w:ascii="Times New Roman" w:hAnsi="Times New Roman" w:eastAsia="宋体" w:cs="Times New Roman"/>
          <w:b w:val="0"/>
          <w:bCs w:val="0"/>
          <w:kern w:val="2"/>
          <w:sz w:val="21"/>
          <w:szCs w:val="21"/>
          <w:lang w:val="en-US" w:eastAsia="zh-CN" w:bidi="ar-SA"/>
        </w:rPr>
        <w:t>电缆护套用铅合金锭</w:t>
      </w:r>
      <w:r>
        <w:rPr>
          <w:rFonts w:hint="eastAsia" w:cs="Times New Roman"/>
          <w:b w:val="0"/>
          <w:bCs w:val="0"/>
          <w:kern w:val="2"/>
          <w:sz w:val="21"/>
          <w:szCs w:val="21"/>
          <w:lang w:val="en-US" w:eastAsia="zh-CN" w:bidi="ar-SA"/>
        </w:rPr>
        <w:t>》、</w:t>
      </w:r>
      <w:r>
        <w:rPr>
          <w:rFonts w:hint="eastAsia" w:ascii="Times New Roman" w:hAnsi="Times New Roman" w:eastAsia="宋体" w:cs="Times New Roman"/>
          <w:b w:val="0"/>
          <w:bCs w:val="0"/>
          <w:kern w:val="2"/>
          <w:sz w:val="21"/>
          <w:szCs w:val="21"/>
          <w:lang w:val="en-US" w:eastAsia="zh-CN" w:bidi="ar-SA"/>
        </w:rPr>
        <w:t>GB/T 1470《铅及铅锑合金板》</w:t>
      </w:r>
      <w:r>
        <w:rPr>
          <w:rFonts w:hint="eastAsia" w:cs="Times New Roman"/>
          <w:b w:val="0"/>
          <w:bCs w:val="0"/>
          <w:kern w:val="2"/>
          <w:sz w:val="21"/>
          <w:szCs w:val="21"/>
          <w:lang w:val="en-US" w:eastAsia="zh-CN" w:bidi="ar-SA"/>
        </w:rPr>
        <w:t>、</w:t>
      </w:r>
      <w:r>
        <w:rPr>
          <w:rFonts w:hint="eastAsia" w:ascii="Times New Roman" w:hAnsi="Times New Roman" w:eastAsia="宋体" w:cs="Times New Roman"/>
          <w:b w:val="0"/>
          <w:bCs w:val="0"/>
          <w:kern w:val="2"/>
          <w:sz w:val="21"/>
          <w:szCs w:val="21"/>
          <w:lang w:val="en-US" w:eastAsia="zh-CN" w:bidi="ar-SA"/>
        </w:rPr>
        <w:t>YS</w:t>
      </w:r>
      <w:r>
        <w:rPr>
          <w:rFonts w:hint="eastAsia" w:cs="Times New Roman"/>
          <w:b w:val="0"/>
          <w:bCs w:val="0"/>
          <w:kern w:val="2"/>
          <w:sz w:val="21"/>
          <w:szCs w:val="21"/>
          <w:lang w:val="en-US" w:eastAsia="zh-CN" w:bidi="ar-SA"/>
        </w:rPr>
        <w:t>/</w:t>
      </w:r>
      <w:r>
        <w:rPr>
          <w:rFonts w:hint="eastAsia" w:ascii="Times New Roman" w:hAnsi="Times New Roman" w:eastAsia="宋体" w:cs="Times New Roman"/>
          <w:b w:val="0"/>
          <w:bCs w:val="0"/>
          <w:kern w:val="2"/>
          <w:sz w:val="21"/>
          <w:szCs w:val="21"/>
          <w:lang w:val="en-US" w:eastAsia="zh-CN" w:bidi="ar-SA"/>
        </w:rPr>
        <w:t>T 498-2006</w:t>
      </w:r>
      <w:r>
        <w:rPr>
          <w:rFonts w:hint="eastAsia" w:cs="Times New Roman"/>
          <w:b w:val="0"/>
          <w:bCs w:val="0"/>
          <w:kern w:val="2"/>
          <w:sz w:val="21"/>
          <w:szCs w:val="21"/>
          <w:lang w:val="en-US" w:eastAsia="zh-CN" w:bidi="ar-SA"/>
        </w:rPr>
        <w:t>《</w:t>
      </w:r>
      <w:r>
        <w:rPr>
          <w:rFonts w:hint="eastAsia" w:ascii="Times New Roman" w:hAnsi="Times New Roman" w:eastAsia="宋体" w:cs="Times New Roman"/>
          <w:b w:val="0"/>
          <w:bCs w:val="0"/>
          <w:kern w:val="2"/>
          <w:sz w:val="21"/>
          <w:szCs w:val="21"/>
          <w:lang w:val="en-US" w:eastAsia="zh-CN" w:bidi="ar-SA"/>
        </w:rPr>
        <w:t>电解沉积用铅阳极板</w:t>
      </w:r>
      <w:r>
        <w:rPr>
          <w:rFonts w:hint="eastAsia" w:cs="Times New Roman"/>
          <w:b w:val="0"/>
          <w:bCs w:val="0"/>
          <w:kern w:val="2"/>
          <w:sz w:val="21"/>
          <w:szCs w:val="21"/>
          <w:lang w:val="en-US" w:eastAsia="zh-CN" w:bidi="ar-SA"/>
        </w:rPr>
        <w:t>》、</w:t>
      </w:r>
      <w:r>
        <w:rPr>
          <w:rFonts w:hint="eastAsia" w:ascii="Times New Roman" w:hAnsi="Times New Roman" w:eastAsia="宋体" w:cs="Times New Roman"/>
          <w:b w:val="0"/>
          <w:bCs w:val="0"/>
          <w:kern w:val="2"/>
          <w:sz w:val="21"/>
          <w:szCs w:val="21"/>
          <w:lang w:val="en-US" w:eastAsia="zh-CN" w:bidi="ar-SA"/>
        </w:rPr>
        <w:t>YS/T 636-2007</w:t>
      </w:r>
      <w:r>
        <w:rPr>
          <w:rFonts w:hint="eastAsia" w:cs="Times New Roman"/>
          <w:b w:val="0"/>
          <w:bCs w:val="0"/>
          <w:kern w:val="2"/>
          <w:sz w:val="21"/>
          <w:szCs w:val="21"/>
          <w:lang w:val="en-US" w:eastAsia="zh-CN" w:bidi="ar-SA"/>
        </w:rPr>
        <w:t>《</w:t>
      </w:r>
      <w:r>
        <w:rPr>
          <w:rFonts w:hint="eastAsia" w:ascii="Times New Roman" w:hAnsi="Times New Roman" w:eastAsia="宋体" w:cs="Times New Roman"/>
          <w:b w:val="0"/>
          <w:bCs w:val="0"/>
          <w:kern w:val="2"/>
          <w:sz w:val="21"/>
          <w:szCs w:val="21"/>
          <w:lang w:val="en-US" w:eastAsia="zh-CN" w:bidi="ar-SA"/>
        </w:rPr>
        <w:t>铅及铅锑合金棒和线材</w:t>
      </w:r>
      <w:r>
        <w:rPr>
          <w:rFonts w:hint="eastAsia" w:cs="Times New Roman"/>
          <w:b w:val="0"/>
          <w:bCs w:val="0"/>
          <w:kern w:val="2"/>
          <w:sz w:val="21"/>
          <w:szCs w:val="21"/>
          <w:lang w:val="en-US" w:eastAsia="zh-CN" w:bidi="ar-SA"/>
        </w:rPr>
        <w:t>》</w:t>
      </w:r>
      <w:r>
        <w:rPr>
          <w:rFonts w:hint="eastAsia" w:ascii="Times New Roman" w:hAnsi="Times New Roman" w:eastAsia="宋体" w:cs="Times New Roman"/>
          <w:kern w:val="2"/>
          <w:sz w:val="21"/>
          <w:szCs w:val="21"/>
          <w:lang w:val="en-US" w:eastAsia="zh-CN"/>
        </w:rPr>
        <w:t>等</w:t>
      </w:r>
      <w:r>
        <w:rPr>
          <w:rFonts w:hint="eastAsia" w:ascii="Times New Roman" w:hAnsi="Times New Roman" w:eastAsia="宋体" w:cs="Times New Roman"/>
          <w:kern w:val="2"/>
          <w:sz w:val="21"/>
          <w:szCs w:val="21"/>
        </w:rPr>
        <w:t>相关铅产品标准，</w:t>
      </w:r>
      <w:r>
        <w:rPr>
          <w:rFonts w:hint="eastAsia" w:cs="Times New Roman"/>
          <w:kern w:val="2"/>
          <w:sz w:val="21"/>
          <w:szCs w:val="21"/>
          <w:lang w:val="en-US" w:eastAsia="zh-CN"/>
        </w:rPr>
        <w:t>上述产品标准中通过杂质含量差减得到铅含量，从而确定铅产品的牌号等级，是生产企业产品贸易过程中重要的定价依据。</w:t>
      </w:r>
    </w:p>
    <w:p>
      <w:pPr>
        <w:keepNext w:val="0"/>
        <w:keepLines w:val="0"/>
        <w:pageBreakBefore w:val="0"/>
        <w:widowControl w:val="0"/>
        <w:kinsoku/>
        <w:wordWrap/>
        <w:overflowPunct/>
        <w:topLinePunct w:val="0"/>
        <w:autoSpaceDE w:val="0"/>
        <w:autoSpaceDN w:val="0"/>
        <w:bidi w:val="0"/>
        <w:adjustRightInd w:val="0"/>
        <w:snapToGrid/>
        <w:spacing w:line="288" w:lineRule="auto"/>
        <w:ind w:firstLine="420"/>
        <w:jc w:val="both"/>
        <w:textAlignment w:val="auto"/>
        <w:rPr>
          <w:rFonts w:hint="default" w:hAnsi="宋体"/>
          <w:szCs w:val="20"/>
          <w:lang w:val="en-US" w:eastAsia="zh-CN"/>
        </w:rPr>
      </w:pPr>
      <w:r>
        <w:rPr>
          <w:rFonts w:hint="eastAsia" w:hAnsi="宋体"/>
          <w:szCs w:val="20"/>
          <w:lang w:val="en-US" w:eastAsia="zh-CN"/>
        </w:rPr>
        <w:t>分析方法服务于产业制造，豫光金铅、株冶集团、中金岭南、驰宏锌锗、西部矿业等企业是国内生产铅金属产品的上市公司。标准颁布实施后，铅及铅合金的生产及使用单位均可采用本标准对其中的杂质元素进行定量分析，掌控和提升产品质量。同时，在第三方检测机构中，ICP-MS已经成为痕量分析的主要仪器设备，本标准的颁布实施，扩展了ICP-MS的应用领域，有助于各检测机构实现标准化检测，提高数据的准确度，有利于企业通过CNAS评审。</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六</w:t>
      </w:r>
      <w:r>
        <w:rPr>
          <w:rFonts w:ascii="黑体" w:hAnsi="宋体" w:eastAsia="黑体"/>
          <w:bCs/>
          <w:color w:val="auto"/>
          <w:sz w:val="24"/>
        </w:rPr>
        <w:t>、</w:t>
      </w:r>
      <w:r>
        <w:rPr>
          <w:rFonts w:hint="eastAsia" w:ascii="黑体" w:hAnsi="宋体" w:eastAsia="黑体"/>
          <w:bCs/>
          <w:color w:val="auto"/>
          <w:sz w:val="24"/>
        </w:rPr>
        <w:t>采用国际标准和国外先进标准的情况</w:t>
      </w:r>
    </w:p>
    <w:p>
      <w:pPr>
        <w:keepNext w:val="0"/>
        <w:keepLines w:val="0"/>
        <w:pageBreakBefore w:val="0"/>
        <w:kinsoku/>
        <w:wordWrap/>
        <w:overflowPunct/>
        <w:topLinePunct w:val="0"/>
        <w:bidi w:val="0"/>
        <w:spacing w:before="156" w:beforeLines="50" w:after="156" w:afterLines="50" w:line="288" w:lineRule="auto"/>
        <w:ind w:firstLine="420" w:firstLineChars="200"/>
        <w:textAlignment w:val="auto"/>
        <w:rPr>
          <w:rFonts w:ascii="黑体" w:hAnsi="宋体" w:eastAsia="黑体"/>
          <w:bCs/>
          <w:color w:val="auto"/>
          <w:sz w:val="24"/>
        </w:rPr>
      </w:pPr>
      <w:r>
        <w:rPr>
          <w:rFonts w:hint="eastAsia"/>
          <w:color w:val="auto"/>
        </w:rPr>
        <w:t>本文件为我国首次制定。</w:t>
      </w:r>
      <w:r>
        <w:rPr>
          <w:rFonts w:hint="eastAsia" w:hAnsi="宋体"/>
          <w:color w:val="auto"/>
        </w:rPr>
        <w:t>经查</w:t>
      </w:r>
      <w:r>
        <w:rPr>
          <w:rFonts w:hAnsi="宋体"/>
          <w:color w:val="auto"/>
        </w:rPr>
        <w:t>，</w:t>
      </w:r>
      <w:r>
        <w:rPr>
          <w:rFonts w:hint="eastAsia"/>
          <w:color w:val="auto"/>
        </w:rPr>
        <w:t>本文件与国内外现行标准及制定中的标准无重复交叉情况。</w:t>
      </w:r>
      <w:r>
        <w:rPr>
          <w:rFonts w:hint="eastAsia" w:hAnsi="宋体"/>
          <w:color w:val="auto"/>
        </w:rPr>
        <w:t>本标准</w:t>
      </w:r>
      <w:r>
        <w:rPr>
          <w:rFonts w:hAnsi="宋体"/>
          <w:color w:val="auto"/>
        </w:rPr>
        <w:t>未</w:t>
      </w:r>
      <w:r>
        <w:rPr>
          <w:rFonts w:hint="eastAsia" w:hAnsi="宋体"/>
          <w:color w:val="auto"/>
        </w:rPr>
        <w:t>采用（包括</w:t>
      </w:r>
      <w:r>
        <w:rPr>
          <w:rFonts w:hAnsi="宋体"/>
          <w:color w:val="auto"/>
        </w:rPr>
        <w:t>等同采用、修改采用</w:t>
      </w:r>
      <w:r>
        <w:rPr>
          <w:rFonts w:hint="eastAsia" w:hAnsi="宋体"/>
          <w:color w:val="auto"/>
        </w:rPr>
        <w:t>及</w:t>
      </w:r>
      <w:r>
        <w:rPr>
          <w:rFonts w:hAnsi="宋体"/>
          <w:color w:val="auto"/>
        </w:rPr>
        <w:t>非等效采用</w:t>
      </w:r>
      <w:r>
        <w:rPr>
          <w:rFonts w:hint="eastAsia" w:hAnsi="宋体"/>
          <w:color w:val="auto"/>
        </w:rPr>
        <w:t>）</w:t>
      </w:r>
      <w:r>
        <w:rPr>
          <w:rFonts w:hAnsi="宋体"/>
          <w:color w:val="auto"/>
        </w:rPr>
        <w:t>国际标准或国外先进标准。</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七、与现行法律、法规、强制性国家标准及相关标准的关系</w:t>
      </w:r>
    </w:p>
    <w:p>
      <w:pPr>
        <w:keepNext w:val="0"/>
        <w:keepLines w:val="0"/>
        <w:pageBreakBefore w:val="0"/>
        <w:kinsoku/>
        <w:wordWrap/>
        <w:overflowPunct/>
        <w:topLinePunct w:val="0"/>
        <w:bidi w:val="0"/>
        <w:spacing w:line="288" w:lineRule="auto"/>
        <w:ind w:firstLine="420" w:firstLineChars="200"/>
        <w:textAlignment w:val="auto"/>
        <w:rPr>
          <w:rFonts w:hAnsi="宋体"/>
          <w:color w:val="auto"/>
        </w:rPr>
      </w:pPr>
      <w:r>
        <w:rPr>
          <w:rFonts w:hint="eastAsia" w:hAnsi="宋体"/>
          <w:color w:val="auto"/>
        </w:rPr>
        <w:t>本标准</w:t>
      </w:r>
      <w:r>
        <w:rPr>
          <w:rFonts w:hint="eastAsia" w:hAnsi="宋体"/>
          <w:color w:val="auto"/>
          <w:lang w:val="en-US" w:eastAsia="zh-CN"/>
        </w:rPr>
        <w:t>拟为</w:t>
      </w:r>
      <w:r>
        <w:rPr>
          <w:rFonts w:hint="eastAsia" w:ascii="Times New Roman" w:hAnsi="Times New Roman" w:eastAsia="宋体" w:cs="Times New Roman"/>
          <w:color w:val="auto"/>
          <w:kern w:val="2"/>
          <w:sz w:val="21"/>
          <w:szCs w:val="21"/>
        </w:rPr>
        <w:t>GB/T 4103《铅及铅合金化学分析方法》</w:t>
      </w:r>
      <w:r>
        <w:rPr>
          <w:rFonts w:hint="eastAsia" w:cs="Times New Roman"/>
          <w:color w:val="auto"/>
          <w:kern w:val="2"/>
          <w:sz w:val="21"/>
          <w:szCs w:val="21"/>
          <w:lang w:val="en-US" w:eastAsia="zh-CN"/>
        </w:rPr>
        <w:t>的第18部分</w:t>
      </w:r>
      <w:r>
        <w:rPr>
          <w:rFonts w:hint="eastAsia" w:hAnsi="宋体"/>
          <w:color w:val="auto"/>
        </w:rPr>
        <w:t>，领域内没有强制性国家标准。本标准与现行法律、法规和相关标准相协调、无冲突。</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八、重大分歧意见的处理和依据</w:t>
      </w:r>
    </w:p>
    <w:p>
      <w:pPr>
        <w:keepNext w:val="0"/>
        <w:keepLines w:val="0"/>
        <w:pageBreakBefore w:val="0"/>
        <w:kinsoku/>
        <w:wordWrap/>
        <w:overflowPunct/>
        <w:topLinePunct w:val="0"/>
        <w:bidi w:val="0"/>
        <w:spacing w:before="156" w:beforeLines="50" w:after="156" w:afterLines="50" w:line="288" w:lineRule="auto"/>
        <w:ind w:firstLine="420" w:firstLineChars="200"/>
        <w:textAlignment w:val="auto"/>
        <w:rPr>
          <w:rFonts w:hAnsi="宋体"/>
          <w:color w:val="auto"/>
        </w:rPr>
      </w:pPr>
      <w:r>
        <w:rPr>
          <w:rFonts w:hint="eastAsia" w:hAnsi="宋体"/>
          <w:color w:val="auto"/>
        </w:rPr>
        <w:t>无重大分歧。</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九、标准作为强制性或推荐性国家（或行业）标准的建议</w:t>
      </w:r>
    </w:p>
    <w:p>
      <w:pPr>
        <w:pStyle w:val="121"/>
        <w:keepNext w:val="0"/>
        <w:keepLines w:val="0"/>
        <w:pageBreakBefore w:val="0"/>
        <w:tabs>
          <w:tab w:val="center" w:pos="4201"/>
          <w:tab w:val="right" w:leader="dot" w:pos="9298"/>
        </w:tabs>
        <w:kinsoku/>
        <w:wordWrap/>
        <w:overflowPunct/>
        <w:topLinePunct w:val="0"/>
        <w:bidi w:val="0"/>
        <w:spacing w:line="288" w:lineRule="auto"/>
        <w:ind w:firstLine="420"/>
        <w:textAlignment w:val="auto"/>
        <w:rPr>
          <w:color w:val="auto"/>
        </w:rPr>
      </w:pPr>
      <w:r>
        <w:rPr>
          <w:rFonts w:hint="eastAsia"/>
          <w:color w:val="auto"/>
        </w:rPr>
        <w:t>建议本标准为</w:t>
      </w:r>
      <w:r>
        <w:rPr>
          <w:color w:val="auto"/>
        </w:rPr>
        <w:t>推荐</w:t>
      </w:r>
      <w:r>
        <w:rPr>
          <w:rFonts w:hint="eastAsia"/>
          <w:color w:val="auto"/>
        </w:rPr>
        <w:t>性国家</w:t>
      </w:r>
      <w:r>
        <w:rPr>
          <w:color w:val="auto"/>
        </w:rPr>
        <w:t>标准</w:t>
      </w:r>
      <w:r>
        <w:rPr>
          <w:rFonts w:hint="eastAsia"/>
          <w:color w:val="auto"/>
        </w:rPr>
        <w:t>。</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十、贯彻标准的要求和措施建议</w:t>
      </w:r>
    </w:p>
    <w:p>
      <w:pPr>
        <w:keepNext w:val="0"/>
        <w:keepLines w:val="0"/>
        <w:pageBreakBefore w:val="0"/>
        <w:kinsoku/>
        <w:wordWrap/>
        <w:overflowPunct/>
        <w:topLinePunct w:val="0"/>
        <w:bidi w:val="0"/>
        <w:spacing w:line="288" w:lineRule="auto"/>
        <w:ind w:firstLine="420" w:firstLineChars="200"/>
        <w:textAlignment w:val="auto"/>
        <w:rPr>
          <w:rFonts w:ascii="黑体" w:eastAsia="黑体"/>
          <w:color w:val="auto"/>
          <w:sz w:val="24"/>
        </w:rPr>
      </w:pPr>
      <w:r>
        <w:rPr>
          <w:rFonts w:hint="eastAsia"/>
          <w:color w:val="auto"/>
          <w:kern w:val="0"/>
          <w:szCs w:val="20"/>
        </w:rPr>
        <w:t>本标准涉及</w:t>
      </w:r>
      <w:r>
        <w:rPr>
          <w:rFonts w:hint="eastAsia" w:ascii="Times New Roman" w:hAnsi="Times New Roman" w:eastAsia="宋体" w:cs="Times New Roman"/>
          <w:b w:val="0"/>
          <w:bCs w:val="0"/>
          <w:color w:val="auto"/>
          <w:kern w:val="2"/>
          <w:sz w:val="21"/>
          <w:szCs w:val="21"/>
          <w:lang w:val="en-US" w:eastAsia="zh-CN" w:bidi="ar-SA"/>
        </w:rPr>
        <w:t>铅及铅合金中银、铜、铋、砷、锑、锡、锌、铁、镉、镍、镁、铝、钙、硒、碲含量</w:t>
      </w:r>
      <w:r>
        <w:rPr>
          <w:rFonts w:hint="eastAsia"/>
          <w:color w:val="auto"/>
          <w:kern w:val="0"/>
          <w:szCs w:val="20"/>
        </w:rPr>
        <w:t>的同时测定，采用的检测设备为电感耦合等离子体质谱仪。该设备目前在各高校院所、企事业单位均具有较高的市场占有率</w:t>
      </w:r>
      <w:r>
        <w:rPr>
          <w:rFonts w:hint="eastAsia" w:ascii="宋体" w:hAnsi="宋体"/>
          <w:color w:val="auto"/>
          <w:kern w:val="0"/>
          <w:szCs w:val="20"/>
        </w:rPr>
        <w:t>。建议</w:t>
      </w:r>
      <w:r>
        <w:rPr>
          <w:rFonts w:hint="eastAsia" w:ascii="宋体" w:hAnsi="宋体"/>
          <w:color w:val="auto"/>
          <w:kern w:val="0"/>
          <w:szCs w:val="20"/>
          <w:lang w:val="en-US" w:eastAsia="zh-CN"/>
        </w:rPr>
        <w:t>铅及铅合金</w:t>
      </w:r>
      <w:r>
        <w:rPr>
          <w:rFonts w:hint="eastAsia" w:ascii="宋体" w:hAnsi="宋体"/>
          <w:color w:val="auto"/>
          <w:kern w:val="0"/>
          <w:szCs w:val="20"/>
        </w:rPr>
        <w:t>的生产和使用单位及各检测机构积极组织本标准的学习与宣贯，并向企业、公司和科研院校（所）推荐本标准。标准</w:t>
      </w:r>
      <w:r>
        <w:rPr>
          <w:rFonts w:ascii="宋体" w:hAnsi="宋体"/>
          <w:color w:val="auto"/>
          <w:kern w:val="0"/>
          <w:szCs w:val="20"/>
        </w:rPr>
        <w:t>使用过程中出现疑问，标准的起草单位</w:t>
      </w:r>
      <w:r>
        <w:rPr>
          <w:rFonts w:hint="eastAsia" w:ascii="宋体" w:hAnsi="宋体"/>
          <w:color w:val="auto"/>
          <w:kern w:val="0"/>
          <w:szCs w:val="20"/>
        </w:rPr>
        <w:t>有</w:t>
      </w:r>
      <w:r>
        <w:rPr>
          <w:rFonts w:ascii="宋体" w:hAnsi="宋体"/>
          <w:color w:val="auto"/>
          <w:kern w:val="0"/>
          <w:szCs w:val="20"/>
        </w:rPr>
        <w:t>义务进行必要的解释，可通过网络会议、讲座等形式进行标准</w:t>
      </w:r>
      <w:r>
        <w:rPr>
          <w:rFonts w:hint="eastAsia" w:ascii="宋体" w:hAnsi="宋体"/>
          <w:color w:val="auto"/>
          <w:kern w:val="0"/>
          <w:szCs w:val="20"/>
        </w:rPr>
        <w:t>内容</w:t>
      </w:r>
      <w:r>
        <w:rPr>
          <w:rFonts w:ascii="宋体" w:hAnsi="宋体"/>
          <w:color w:val="auto"/>
          <w:kern w:val="0"/>
          <w:szCs w:val="20"/>
        </w:rPr>
        <w:t>的讲解</w:t>
      </w:r>
      <w:r>
        <w:rPr>
          <w:rFonts w:hint="eastAsia" w:ascii="宋体" w:hAnsi="宋体"/>
          <w:color w:val="auto"/>
          <w:kern w:val="0"/>
          <w:szCs w:val="20"/>
        </w:rPr>
        <w:t>。</w:t>
      </w:r>
      <w:r>
        <w:rPr>
          <w:rFonts w:ascii="宋体" w:hAnsi="宋体"/>
          <w:color w:val="auto"/>
          <w:kern w:val="0"/>
          <w:szCs w:val="20"/>
        </w:rPr>
        <w:t>建议</w:t>
      </w:r>
      <w:r>
        <w:rPr>
          <w:rFonts w:hint="eastAsia" w:ascii="宋体" w:hAnsi="宋体"/>
          <w:color w:val="auto"/>
          <w:kern w:val="0"/>
          <w:szCs w:val="20"/>
        </w:rPr>
        <w:t>标准</w:t>
      </w:r>
      <w:r>
        <w:rPr>
          <w:rFonts w:ascii="宋体" w:hAnsi="宋体"/>
          <w:color w:val="auto"/>
          <w:kern w:val="0"/>
          <w:szCs w:val="20"/>
        </w:rPr>
        <w:t>发布</w:t>
      </w:r>
      <w:r>
        <w:rPr>
          <w:rFonts w:hint="eastAsia" w:ascii="宋体" w:hAnsi="宋体"/>
          <w:color w:val="auto"/>
          <w:kern w:val="0"/>
          <w:szCs w:val="20"/>
        </w:rPr>
        <w:t>6个</w:t>
      </w:r>
      <w:r>
        <w:rPr>
          <w:rFonts w:ascii="宋体" w:hAnsi="宋体"/>
          <w:color w:val="auto"/>
          <w:kern w:val="0"/>
          <w:szCs w:val="20"/>
        </w:rPr>
        <w:t>月后实施。</w:t>
      </w:r>
      <w:r>
        <w:rPr>
          <w:rFonts w:hint="eastAsia" w:ascii="宋体" w:hAnsi="宋体"/>
          <w:color w:val="auto"/>
          <w:kern w:val="0"/>
          <w:szCs w:val="20"/>
        </w:rPr>
        <w:t>同时</w:t>
      </w:r>
      <w:r>
        <w:rPr>
          <w:rFonts w:ascii="宋体" w:hAnsi="宋体"/>
          <w:color w:val="auto"/>
          <w:kern w:val="0"/>
          <w:szCs w:val="20"/>
        </w:rPr>
        <w:t>，</w:t>
      </w:r>
      <w:r>
        <w:rPr>
          <w:rFonts w:hint="eastAsia" w:ascii="宋体" w:hAnsi="宋体"/>
          <w:color w:val="auto"/>
          <w:kern w:val="0"/>
          <w:szCs w:val="20"/>
        </w:rPr>
        <w:t>标准</w:t>
      </w:r>
      <w:r>
        <w:rPr>
          <w:rFonts w:ascii="宋体" w:hAnsi="宋体"/>
          <w:color w:val="auto"/>
          <w:kern w:val="0"/>
          <w:szCs w:val="20"/>
        </w:rPr>
        <w:t>要与时俱进，标准颁布实施后</w:t>
      </w:r>
      <w:r>
        <w:rPr>
          <w:rFonts w:hint="eastAsia" w:ascii="宋体" w:hAnsi="宋体"/>
          <w:color w:val="auto"/>
          <w:kern w:val="0"/>
          <w:szCs w:val="20"/>
        </w:rPr>
        <w:t>要</w:t>
      </w:r>
      <w:r>
        <w:rPr>
          <w:rFonts w:ascii="宋体" w:hAnsi="宋体"/>
          <w:color w:val="auto"/>
          <w:kern w:val="0"/>
          <w:szCs w:val="20"/>
        </w:rPr>
        <w:t>定期进行复审，必要时启动修订程序。</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十一、废止现行有关标准的建议</w:t>
      </w:r>
    </w:p>
    <w:p>
      <w:pPr>
        <w:pStyle w:val="121"/>
        <w:keepNext w:val="0"/>
        <w:keepLines w:val="0"/>
        <w:pageBreakBefore w:val="0"/>
        <w:kinsoku/>
        <w:wordWrap/>
        <w:overflowPunct/>
        <w:topLinePunct w:val="0"/>
        <w:bidi w:val="0"/>
        <w:spacing w:line="288" w:lineRule="auto"/>
        <w:ind w:firstLine="420"/>
        <w:textAlignment w:val="auto"/>
        <w:rPr>
          <w:color w:val="auto"/>
        </w:rPr>
      </w:pPr>
      <w:r>
        <w:rPr>
          <w:rFonts w:hint="eastAsia"/>
          <w:color w:val="auto"/>
        </w:rPr>
        <w:t>本标准为首次制定，不涉及相关标准的废止。</w:t>
      </w:r>
    </w:p>
    <w:p>
      <w:pPr>
        <w:keepNext w:val="0"/>
        <w:keepLines w:val="0"/>
        <w:pageBreakBefore w:val="0"/>
        <w:kinsoku/>
        <w:wordWrap/>
        <w:overflowPunct/>
        <w:topLinePunct w:val="0"/>
        <w:bidi w:val="0"/>
        <w:spacing w:before="156" w:beforeLines="50" w:after="156" w:afterLines="50" w:line="288" w:lineRule="auto"/>
        <w:textAlignment w:val="auto"/>
        <w:rPr>
          <w:rFonts w:ascii="黑体" w:hAnsi="宋体" w:eastAsia="黑体"/>
          <w:bCs/>
          <w:color w:val="auto"/>
          <w:sz w:val="24"/>
        </w:rPr>
      </w:pPr>
      <w:r>
        <w:rPr>
          <w:rFonts w:hint="eastAsia" w:ascii="黑体" w:hAnsi="宋体" w:eastAsia="黑体"/>
          <w:bCs/>
          <w:color w:val="auto"/>
          <w:sz w:val="24"/>
        </w:rPr>
        <w:t>十二、其它应予说明的事项</w:t>
      </w:r>
    </w:p>
    <w:p>
      <w:pPr>
        <w:keepNext w:val="0"/>
        <w:keepLines w:val="0"/>
        <w:pageBreakBefore w:val="0"/>
        <w:kinsoku/>
        <w:wordWrap/>
        <w:overflowPunct/>
        <w:topLinePunct w:val="0"/>
        <w:bidi w:val="0"/>
        <w:spacing w:line="288" w:lineRule="auto"/>
        <w:ind w:firstLine="420" w:firstLineChars="200"/>
        <w:textAlignment w:val="auto"/>
        <w:rPr>
          <w:rFonts w:ascii="黑体" w:eastAsia="黑体"/>
          <w:color w:val="auto"/>
          <w:sz w:val="24"/>
        </w:rPr>
      </w:pPr>
      <w:r>
        <w:rPr>
          <w:rFonts w:hint="eastAsia" w:ascii="宋体" w:hAnsi="宋体"/>
          <w:color w:val="auto"/>
          <w:kern w:val="0"/>
          <w:szCs w:val="20"/>
        </w:rPr>
        <w:t>本标准为</w:t>
      </w:r>
      <w:r>
        <w:rPr>
          <w:rFonts w:hint="eastAsia" w:ascii="宋体" w:hAnsi="宋体"/>
          <w:color w:val="auto"/>
          <w:kern w:val="0"/>
          <w:szCs w:val="20"/>
          <w:lang w:val="en-US" w:eastAsia="zh-CN"/>
        </w:rPr>
        <w:t>铅及铅合金中痕量元素</w:t>
      </w:r>
      <w:r>
        <w:rPr>
          <w:rFonts w:hint="eastAsia" w:ascii="宋体" w:hAnsi="宋体"/>
          <w:color w:val="auto"/>
          <w:kern w:val="0"/>
          <w:szCs w:val="20"/>
        </w:rPr>
        <w:t>分析方法标准，待测元素测定下限低，</w:t>
      </w:r>
      <w:r>
        <w:rPr>
          <w:rFonts w:hint="eastAsia" w:ascii="宋体" w:hAnsi="宋体"/>
          <w:color w:val="auto"/>
          <w:kern w:val="0"/>
          <w:szCs w:val="20"/>
          <w:lang w:val="en-US" w:eastAsia="zh-CN"/>
        </w:rPr>
        <w:t>对试剂空白和水要求较高。同时，铅合金种类较多，合金元素导致的质谱干扰在测定过程中也要随时注意</w:t>
      </w:r>
      <w:r>
        <w:rPr>
          <w:rFonts w:hint="eastAsia" w:ascii="宋体" w:hAnsi="宋体"/>
          <w:color w:val="auto"/>
          <w:kern w:val="0"/>
          <w:szCs w:val="20"/>
        </w:rPr>
        <w:t>。</w:t>
      </w:r>
    </w:p>
    <w:p>
      <w:pP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br w:type="page"/>
      </w:r>
    </w:p>
    <w:p>
      <w:pPr>
        <w:spacing w:line="312" w:lineRule="auto"/>
        <w:rPr>
          <w:rFonts w:ascii="黑体" w:hAnsi="黑体" w:eastAsia="黑体"/>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附件</w:t>
      </w:r>
      <w:r>
        <w:rPr>
          <w:b/>
          <w:color w:val="000000" w:themeColor="text1"/>
          <w:szCs w:val="21"/>
          <w14:textFill>
            <w14:solidFill>
              <w14:schemeClr w14:val="tx1"/>
            </w14:solidFill>
          </w14:textFill>
        </w:rPr>
        <w:t>A</w:t>
      </w:r>
      <w:r>
        <w:rPr>
          <w:rFonts w:hint="eastAsia"/>
          <w:b/>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各实验室</w:t>
      </w:r>
      <w:r>
        <w:rPr>
          <w:rFonts w:hint="eastAsia" w:ascii="黑体" w:hAnsi="黑体" w:eastAsia="黑体"/>
          <w:color w:val="000000" w:themeColor="text1"/>
          <w:szCs w:val="21"/>
          <w14:textFill>
            <w14:solidFill>
              <w14:schemeClr w14:val="tx1"/>
            </w14:solidFill>
          </w14:textFill>
        </w:rPr>
        <w:t>原始</w:t>
      </w:r>
      <w:r>
        <w:rPr>
          <w:rFonts w:ascii="黑体" w:hAnsi="黑体" w:eastAsia="黑体"/>
          <w:color w:val="000000" w:themeColor="text1"/>
          <w:szCs w:val="21"/>
          <w14:textFill>
            <w14:solidFill>
              <w14:schemeClr w14:val="tx1"/>
            </w14:solidFill>
          </w14:textFill>
        </w:rPr>
        <w:t>数据</w:t>
      </w:r>
    </w:p>
    <w:p>
      <w:pPr>
        <w:spacing w:line="312" w:lineRule="auto"/>
        <w:rPr>
          <w:rFonts w:ascii="黑体" w:hAnsi="黑体" w:eastAsia="黑体"/>
          <w:color w:val="000000" w:themeColor="text1"/>
          <w:szCs w:val="21"/>
          <w14:textFill>
            <w14:solidFill>
              <w14:schemeClr w14:val="tx1"/>
            </w14:solidFill>
          </w14:textFill>
        </w:rPr>
      </w:pPr>
    </w:p>
    <w:tbl>
      <w:tblPr>
        <w:tblStyle w:val="88"/>
        <w:tblW w:w="93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Ag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0.00319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0.00621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0.00624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0.00625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0.00622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0.00655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0.00661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0.00660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0.00655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0.00642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0.00644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0.00645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0.00636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0.00629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0.00622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0.00650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0.00649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0.00627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0.00625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0.00643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0.0098 </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0.0120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0.0118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0.0119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0.0114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0.0128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0.0115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0.0098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0.0107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0.0106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0.0105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0.0106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0.0105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0.0105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0.0106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0.0103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0.0104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0.0092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0.0089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0.0093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0.0091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0.0096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0.0098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0.0103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0.0098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0.0105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0.0104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0.0135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0.0122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0.0118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0.0107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0.0117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0.0124 </w:t>
            </w:r>
          </w:p>
        </w:tc>
      </w:tr>
    </w:tbl>
    <w:p>
      <w:pPr>
        <w:spacing w:line="312" w:lineRule="auto"/>
        <w:jc w:val="center"/>
        <w:rPr>
          <w:rFonts w:eastAsiaTheme="minorEastAsia"/>
          <w:color w:val="000000" w:themeColor="text1"/>
          <w:szCs w:val="21"/>
          <w14:textFill>
            <w14:solidFill>
              <w14:schemeClr w14:val="tx1"/>
            </w14:solidFill>
          </w14:textFill>
        </w:rPr>
      </w:pPr>
    </w:p>
    <w:tbl>
      <w:tblPr>
        <w:tblStyle w:val="88"/>
        <w:tblW w:w="93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Cu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0.00050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0.00161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0.00166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0.00182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0.00165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0.00177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0.00187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0.00381</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0.00372</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0.00385</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0.00366</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0.00363</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0.00600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0.00604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0.00584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0.00592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0.00588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0.00591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0.00606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0.0104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0.0105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0.0106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0.0103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0.0104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0.0103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0.0127</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88"/>
        <w:tblW w:w="93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Bi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0.0004</w:t>
            </w:r>
            <w:r>
              <w:rPr>
                <w:rFonts w:hint="eastAsia"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0.00160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0.00161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0.00165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0.00159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0.00174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0.00173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0.00120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0.00418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0.00448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0.00426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0.00423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0.00428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0.00416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0.00492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0.00514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0.00846</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0.00884</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0.00904</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0.00872</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0.00877</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2</w:t>
            </w:r>
            <w:r>
              <w:rPr>
                <w:rFonts w:hint="eastAsia" w:cs="Times New Roman"/>
                <w:i w:val="0"/>
                <w:iCs w:val="0"/>
                <w:color w:val="000000"/>
                <w:kern w:val="0"/>
                <w:sz w:val="18"/>
                <w:szCs w:val="18"/>
                <w:u w:val="none"/>
                <w:lang w:val="en-US" w:eastAsia="zh-CN" w:bidi="ar"/>
              </w:rPr>
              <w:t>*</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8</w:t>
            </w:r>
            <w:r>
              <w:rPr>
                <w:rFonts w:hint="eastAsia" w:cs="Times New Roman"/>
                <w:i w:val="0"/>
                <w:iCs w:val="0"/>
                <w:color w:val="000000"/>
                <w:kern w:val="0"/>
                <w:sz w:val="18"/>
                <w:szCs w:val="18"/>
                <w:u w:val="none"/>
                <w:lang w:val="en-US" w:eastAsia="zh-CN" w:bidi="ar"/>
              </w:rPr>
              <w:t>*</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0.00775</w:t>
            </w:r>
          </w:p>
        </w:tc>
      </w:tr>
    </w:tbl>
    <w:p>
      <w:pPr>
        <w:spacing w:line="312" w:lineRule="auto"/>
        <w:jc w:val="center"/>
        <w:rPr>
          <w:rFonts w:eastAsiaTheme="minorEastAsia"/>
          <w:color w:val="000000" w:themeColor="text1"/>
          <w:szCs w:val="21"/>
          <w14:textFill>
            <w14:solidFill>
              <w14:schemeClr w14:val="tx1"/>
            </w14:solidFill>
          </w14:textFill>
        </w:rPr>
      </w:pPr>
    </w:p>
    <w:tbl>
      <w:tblPr>
        <w:tblStyle w:val="88"/>
        <w:tblW w:w="934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40"/>
        <w:gridCol w:w="1040"/>
        <w:gridCol w:w="1040"/>
        <w:gridCol w:w="1035"/>
        <w:gridCol w:w="1040"/>
        <w:gridCol w:w="104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7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As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0.00015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0.00017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0.00015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0.00137</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0.00136</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0.00141</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0.00144</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0.00473</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0.00468</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0.00472</w:t>
            </w:r>
          </w:p>
        </w:tc>
        <w:tc>
          <w:tcPr>
            <w:tcW w:w="10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0.00474</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0.00465</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0.00466</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0.00778</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0.00788</w:t>
            </w:r>
          </w:p>
        </w:tc>
        <w:tc>
          <w:tcPr>
            <w:tcW w:w="10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0.0098 </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c>
          <w:tcPr>
            <w:tcW w:w="10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r>
    </w:tbl>
    <w:p>
      <w:pPr>
        <w:spacing w:line="312" w:lineRule="auto"/>
        <w:jc w:val="center"/>
        <w:rPr>
          <w:rFonts w:eastAsiaTheme="minorEastAsia"/>
          <w:color w:val="000000" w:themeColor="text1"/>
          <w:szCs w:val="21"/>
          <w14:textFill>
            <w14:solidFill>
              <w14:schemeClr w14:val="tx1"/>
            </w14:solidFill>
          </w14:textFill>
        </w:rPr>
      </w:pPr>
    </w:p>
    <w:tbl>
      <w:tblPr>
        <w:tblStyle w:val="88"/>
        <w:tblW w:w="936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40"/>
        <w:gridCol w:w="1040"/>
        <w:gridCol w:w="1040"/>
        <w:gridCol w:w="1050"/>
        <w:gridCol w:w="1040"/>
        <w:gridCol w:w="104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90"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Sb</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0.00054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0.00059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0.00057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0.00050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0.00274</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0.00271</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0.00273</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0.00289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0.00285</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0.00268</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0.00576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0.00566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0.00601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0.00586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0.00571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0.00593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0.00585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88"/>
        <w:tblW w:w="982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40"/>
        <w:gridCol w:w="1040"/>
        <w:gridCol w:w="1040"/>
        <w:gridCol w:w="1515"/>
        <w:gridCol w:w="1040"/>
        <w:gridCol w:w="104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75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Sn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0.00015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0.00017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0.00019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0.00018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0.00062</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0.00314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0.00309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0.00330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0.00332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0.00338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0.00323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0.00326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0.00425</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0.00480</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88"/>
        <w:tblW w:w="93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Zn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0.00058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0.00055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0.00061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0.00207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0.00212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0.00215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0.00216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0.00388</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0.00417</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0.00782</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0.0098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0.0117</w:t>
            </w:r>
          </w:p>
        </w:tc>
      </w:tr>
    </w:tbl>
    <w:p>
      <w:pPr>
        <w:spacing w:line="312" w:lineRule="auto"/>
        <w:jc w:val="center"/>
        <w:rPr>
          <w:rFonts w:eastAsiaTheme="minorEastAsia"/>
          <w:color w:val="000000" w:themeColor="text1"/>
          <w:szCs w:val="21"/>
          <w14:textFill>
            <w14:solidFill>
              <w14:schemeClr w14:val="tx1"/>
            </w14:solidFill>
          </w14:textFill>
        </w:rPr>
      </w:pPr>
    </w:p>
    <w:tbl>
      <w:tblPr>
        <w:tblStyle w:val="88"/>
        <w:tblW w:w="93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Fe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0.00198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0.00212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0.00199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0.00388</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0.00792</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0.0103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0.0104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0.0105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0.0143</w:t>
            </w:r>
          </w:p>
        </w:tc>
      </w:tr>
    </w:tbl>
    <w:p>
      <w:pPr>
        <w:spacing w:line="312" w:lineRule="auto"/>
        <w:jc w:val="center"/>
        <w:rPr>
          <w:rFonts w:eastAsiaTheme="minorEastAsia"/>
          <w:color w:val="000000" w:themeColor="text1"/>
          <w:szCs w:val="21"/>
          <w14:textFill>
            <w14:solidFill>
              <w14:schemeClr w14:val="tx1"/>
            </w14:solidFill>
          </w14:textFill>
        </w:rPr>
      </w:pPr>
    </w:p>
    <w:tbl>
      <w:tblPr>
        <w:tblStyle w:val="88"/>
        <w:tblW w:w="93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Cd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0.00014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0.00015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0.00014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0.00014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0.00109</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0.00104</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0.00101</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0.00102</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0.00815</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0.0098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0.0116</w:t>
            </w:r>
          </w:p>
        </w:tc>
      </w:tr>
    </w:tbl>
    <w:p>
      <w:pPr>
        <w:spacing w:line="312" w:lineRule="auto"/>
        <w:jc w:val="center"/>
        <w:rPr>
          <w:rFonts w:eastAsiaTheme="minorEastAsia"/>
          <w:color w:val="000000" w:themeColor="text1"/>
          <w:szCs w:val="21"/>
          <w14:textFill>
            <w14:solidFill>
              <w14:schemeClr w14:val="tx1"/>
            </w14:solidFill>
          </w14:textFill>
        </w:rPr>
      </w:pPr>
    </w:p>
    <w:tbl>
      <w:tblPr>
        <w:tblStyle w:val="88"/>
        <w:tblW w:w="93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Ni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0.00009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0.00009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0.00010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0.00010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&lt;0.0001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&lt;0.0001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&lt;0.0001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&lt;0.0001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&lt;0.0001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&lt;0.0001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0.00093</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0.00101</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0.00092</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0.00095</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0.00091</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0.00104</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0.00417</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0.00422</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0.00425</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0.00782</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0.0103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0.0098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w:t>
            </w:r>
          </w:p>
        </w:tc>
      </w:tr>
    </w:tbl>
    <w:p>
      <w:pPr>
        <w:spacing w:line="312" w:lineRule="auto"/>
        <w:jc w:val="center"/>
        <w:rPr>
          <w:rFonts w:eastAsiaTheme="minorEastAsia"/>
          <w:color w:val="000000" w:themeColor="text1"/>
          <w:szCs w:val="21"/>
          <w14:textFill>
            <w14:solidFill>
              <w14:schemeClr w14:val="tx1"/>
            </w14:solidFill>
          </w14:textFill>
        </w:rPr>
      </w:pPr>
    </w:p>
    <w:tbl>
      <w:tblPr>
        <w:tblStyle w:val="88"/>
        <w:tblW w:w="93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Mg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0.00055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0.00053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0.00056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0.00056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0.00058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0.00058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0.00199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0.00200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0.00202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0.00201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0.00203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0.00205 </w:t>
            </w:r>
          </w:p>
        </w:tc>
        <w:tc>
          <w:tcPr>
            <w:tcW w:w="103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0.00595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0.00600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0.00520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0.00504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0.00578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0.00580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0.00813</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0.00836</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0.00817</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0.00823</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40" w:type="dxa"/>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0.0098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0.0097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10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0.0133</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0.0127</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0.0134</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0.0115</w:t>
            </w:r>
          </w:p>
        </w:tc>
        <w:tc>
          <w:tcPr>
            <w:tcW w:w="103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88"/>
        <w:tblW w:w="93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Al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0.00055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0.00049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0.00205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0.00204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0.00211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0.00197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0.00213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0.00208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0.00393</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4" w:space="0"/>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4" w:space="0"/>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4" w:space="0"/>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4" w:space="0"/>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continue"/>
            <w:tcBorders>
              <w:top w:val="single" w:color="000000" w:sz="8" w:space="0"/>
              <w:left w:val="single" w:color="000000" w:sz="8" w:space="0"/>
              <w:bottom w:val="single" w:color="000000" w:sz="4" w:space="0"/>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4" w:space="0"/>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4" w:space="0"/>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vMerge w:val="continue"/>
            <w:tcBorders>
              <w:top w:val="single" w:color="000000" w:sz="8" w:space="0"/>
              <w:left w:val="single" w:color="000000" w:sz="8" w:space="0"/>
              <w:bottom w:val="single" w:color="000000" w:sz="4" w:space="0"/>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4" w:space="0"/>
              <w:right w:val="single" w:color="000000" w:sz="8"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0.00769</w:t>
            </w:r>
          </w:p>
        </w:tc>
      </w:tr>
    </w:tbl>
    <w:p>
      <w:pPr>
        <w:spacing w:line="312" w:lineRule="auto"/>
        <w:jc w:val="center"/>
        <w:rPr>
          <w:rFonts w:eastAsiaTheme="minorEastAsia"/>
          <w:color w:val="000000" w:themeColor="text1"/>
          <w:szCs w:val="21"/>
          <w14:textFill>
            <w14:solidFill>
              <w14:schemeClr w14:val="tx1"/>
            </w14:solidFill>
          </w14:textFill>
        </w:rPr>
      </w:pPr>
    </w:p>
    <w:tbl>
      <w:tblPr>
        <w:tblStyle w:val="88"/>
        <w:tblW w:w="93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Ca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0.00229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0.00225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0.00222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0.00216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0.00231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0.00235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0.00380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0.00431</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0.00415</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0.00433</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0.00816</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0.00823</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0.00783</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0.00782</w:t>
            </w:r>
          </w:p>
        </w:tc>
      </w:tr>
    </w:tbl>
    <w:p>
      <w:pPr>
        <w:spacing w:line="312" w:lineRule="auto"/>
        <w:jc w:val="center"/>
        <w:rPr>
          <w:rFonts w:eastAsiaTheme="minorEastAsia"/>
          <w:color w:val="000000" w:themeColor="text1"/>
          <w:szCs w:val="21"/>
          <w14:textFill>
            <w14:solidFill>
              <w14:schemeClr w14:val="tx1"/>
            </w14:solidFill>
          </w14:textFill>
        </w:rPr>
      </w:pPr>
    </w:p>
    <w:tbl>
      <w:tblPr>
        <w:tblStyle w:val="88"/>
        <w:tblW w:w="93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Se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0.00049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0.00054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0.00048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0.00198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0.00195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0.00204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0.00200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0.00207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0.00395</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0.00385</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0.00785</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0.00782</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0.0104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0.0100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0.0104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0.0124</w:t>
            </w:r>
          </w:p>
        </w:tc>
      </w:tr>
    </w:tbl>
    <w:p>
      <w:pPr>
        <w:spacing w:line="312" w:lineRule="auto"/>
        <w:jc w:val="center"/>
        <w:rPr>
          <w:rFonts w:eastAsiaTheme="minorEastAsia"/>
          <w:color w:val="000000" w:themeColor="text1"/>
          <w:szCs w:val="21"/>
          <w14:textFill>
            <w14:solidFill>
              <w14:schemeClr w14:val="tx1"/>
            </w14:solidFill>
          </w14:textFill>
        </w:rPr>
      </w:pPr>
    </w:p>
    <w:tbl>
      <w:tblPr>
        <w:tblStyle w:val="88"/>
        <w:tblW w:w="93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30"/>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blHeader/>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Te </w:t>
            </w:r>
            <w:r>
              <w:rPr>
                <w:rFonts w:hint="eastAsia" w:ascii="宋体" w:hAnsi="宋体" w:eastAsia="宋体" w:cs="宋体"/>
                <w:i w:val="0"/>
                <w:iCs w:val="0"/>
                <w:color w:val="000000"/>
                <w:kern w:val="0"/>
                <w:sz w:val="18"/>
                <w:szCs w:val="18"/>
                <w:u w:val="none"/>
                <w:lang w:val="en-US" w:eastAsia="zh-CN" w:bidi="ar"/>
              </w:rPr>
              <w:t>的质量分数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n=7</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0.00049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0.00052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0.00047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0.00050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0.00051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0.00204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0.00191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0.00194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0.00193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0.00196 </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0.00416</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0.00413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0.00811</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0.00808</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0.00781</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0.0098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0.0102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0.0101 </w:t>
            </w:r>
          </w:p>
        </w:tc>
        <w:tc>
          <w:tcPr>
            <w:tcW w:w="10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i w:val="0"/>
                <w:iCs w:val="0"/>
                <w:color w:val="000000"/>
                <w:sz w:val="18"/>
                <w:szCs w:val="18"/>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0.0084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0.0090</w:t>
            </w:r>
          </w:p>
        </w:tc>
      </w:tr>
    </w:tbl>
    <w:p>
      <w:pPr>
        <w:spacing w:line="312" w:lineRule="auto"/>
        <w:jc w:val="center"/>
        <w:rPr>
          <w:rFonts w:eastAsiaTheme="minorEastAsia"/>
          <w:color w:val="000000" w:themeColor="text1"/>
          <w:szCs w:val="21"/>
          <w14:textFill>
            <w14:solidFill>
              <w14:schemeClr w14:val="tx1"/>
            </w14:solidFill>
          </w14:textFill>
        </w:rPr>
        <w:sectPr>
          <w:footerReference r:id="rId4" w:type="default"/>
          <w:pgSz w:w="11850" w:h="16783"/>
          <w:pgMar w:top="1134" w:right="1077" w:bottom="1213" w:left="107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eastAsia"/>
          <w:b/>
          <w:sz w:val="28"/>
          <w:szCs w:val="28"/>
        </w:rPr>
      </w:pPr>
      <w:r>
        <w:rPr>
          <w:rFonts w:hint="eastAsia"/>
          <w:b/>
          <w:sz w:val="28"/>
          <w:szCs w:val="28"/>
        </w:rPr>
        <w:t>标准征求意见稿意见汇总处理表</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sz w:val="10"/>
          <w:szCs w:val="10"/>
        </w:rPr>
      </w:pPr>
    </w:p>
    <w:p>
      <w:pPr>
        <w:keepNext w:val="0"/>
        <w:keepLines w:val="0"/>
        <w:pageBreakBefore w:val="0"/>
        <w:widowControl w:val="0"/>
        <w:kinsoku/>
        <w:wordWrap/>
        <w:overflowPunct/>
        <w:topLinePunct w:val="0"/>
        <w:autoSpaceDE/>
        <w:autoSpaceDN/>
        <w:bidi w:val="0"/>
        <w:adjustRightInd/>
        <w:snapToGrid w:val="0"/>
        <w:spacing w:line="300" w:lineRule="auto"/>
        <w:jc w:val="both"/>
        <w:textAlignment w:val="auto"/>
        <w:rPr>
          <w:rFonts w:hint="eastAsia"/>
          <w:szCs w:val="21"/>
        </w:rPr>
      </w:pPr>
      <w:r>
        <w:rPr>
          <w:rFonts w:hint="eastAsia"/>
          <w:szCs w:val="21"/>
        </w:rPr>
        <w:t>标准项目名称：</w:t>
      </w:r>
      <w:r>
        <w:rPr>
          <w:rFonts w:hint="eastAsia" w:ascii="Times New Roman" w:hAnsi="Times New Roman" w:eastAsia="宋体" w:cs="Times New Roman"/>
          <w:kern w:val="2"/>
          <w:sz w:val="21"/>
          <w:szCs w:val="21"/>
        </w:rPr>
        <w:t>铅及铅合金化学分析方法 第18部分：银、铜、</w:t>
      </w:r>
      <w:bookmarkStart w:id="3" w:name="_GoBack"/>
      <w:bookmarkEnd w:id="3"/>
      <w:r>
        <w:rPr>
          <w:rFonts w:hint="eastAsia" w:ascii="Times New Roman" w:hAnsi="Times New Roman" w:eastAsia="宋体" w:cs="Times New Roman"/>
          <w:kern w:val="2"/>
          <w:sz w:val="21"/>
          <w:szCs w:val="21"/>
        </w:rPr>
        <w:t>铋、砷、锑、锡、锌、铁、镉、镍、镁、铝、钙、硒、碲含量的测定</w:t>
      </w:r>
      <w:r>
        <w:rPr>
          <w:rFonts w:hint="eastAsia" w:ascii="Times New Roman" w:hAnsi="Times New Roman" w:eastAsia="宋体" w:cs="Times New Roman"/>
          <w:kern w:val="2"/>
          <w:sz w:val="21"/>
          <w:szCs w:val="21"/>
          <w:lang w:val="en-US" w:eastAsia="zh-CN"/>
        </w:rPr>
        <w:t xml:space="preserve">  </w:t>
      </w:r>
      <w:r>
        <w:rPr>
          <w:rFonts w:hint="eastAsia" w:ascii="Times New Roman" w:hAnsi="Times New Roman" w:eastAsia="宋体" w:cs="Times New Roman"/>
          <w:kern w:val="2"/>
          <w:sz w:val="21"/>
          <w:szCs w:val="21"/>
        </w:rPr>
        <w:t>电感耦合等离子体质谱法</w:t>
      </w:r>
      <w:r>
        <w:rPr>
          <w:rFonts w:hint="eastAsia"/>
          <w:szCs w:val="21"/>
        </w:rPr>
        <w:t xml:space="preserve"> </w:t>
      </w:r>
      <w:r>
        <w:rPr>
          <w:rFonts w:hint="eastAsia"/>
          <w:szCs w:val="21"/>
          <w:lang w:val="en-US" w:eastAsia="zh-CN"/>
        </w:rPr>
        <w:t xml:space="preserve">                                     </w:t>
      </w:r>
      <w:r>
        <w:rPr>
          <w:rFonts w:hint="eastAsia"/>
          <w:szCs w:val="21"/>
        </w:rPr>
        <w:t>共</w:t>
      </w:r>
      <w:r>
        <w:rPr>
          <w:rFonts w:hint="eastAsia"/>
          <w:szCs w:val="21"/>
          <w:lang w:val="en-US" w:eastAsia="zh-CN"/>
        </w:rPr>
        <w:t>2</w:t>
      </w:r>
      <w:r>
        <w:rPr>
          <w:rFonts w:hint="eastAsia"/>
          <w:szCs w:val="21"/>
        </w:rPr>
        <w:t>页第1 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sz w:val="18"/>
          <w:szCs w:val="18"/>
        </w:rPr>
      </w:pPr>
      <w:r>
        <w:rPr>
          <w:rFonts w:hint="eastAsia"/>
          <w:szCs w:val="21"/>
        </w:rPr>
        <w:t>承办人：</w:t>
      </w:r>
      <w:r>
        <w:rPr>
          <w:rFonts w:hint="eastAsia" w:cs="宋体"/>
        </w:rPr>
        <w:t xml:space="preserve">墨淑敏 </w:t>
      </w:r>
      <w:r>
        <w:rPr>
          <w:rFonts w:hint="eastAsia"/>
          <w:szCs w:val="21"/>
        </w:rPr>
        <w:t xml:space="preserve">  </w:t>
      </w:r>
      <w:r>
        <w:rPr>
          <w:rFonts w:hint="eastAsia"/>
          <w:szCs w:val="21"/>
          <w:lang w:val="en-US" w:eastAsia="zh-CN"/>
        </w:rPr>
        <w:t xml:space="preserve">                            </w:t>
      </w:r>
      <w:r>
        <w:rPr>
          <w:rFonts w:hint="eastAsia"/>
          <w:szCs w:val="21"/>
        </w:rPr>
        <w:t>标准项目负责起草单位：</w:t>
      </w:r>
      <w:r>
        <w:rPr>
          <w:rFonts w:hint="eastAsia" w:ascii="Times New Roman" w:hAnsi="Times New Roman" w:eastAsia="宋体" w:cs="Times New Roman"/>
          <w:kern w:val="2"/>
          <w:sz w:val="21"/>
          <w:szCs w:val="21"/>
        </w:rPr>
        <w:t>国合通用测试评价认证股份公司</w:t>
      </w:r>
      <w:r>
        <w:rPr>
          <w:rFonts w:hint="eastAsia"/>
          <w:sz w:val="18"/>
          <w:szCs w:val="18"/>
        </w:rPr>
        <w:t xml:space="preserve">  </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b/>
          <w:szCs w:val="21"/>
        </w:rPr>
      </w:pPr>
      <w:r>
        <w:rPr>
          <w:rFonts w:hint="eastAsia"/>
          <w:szCs w:val="21"/>
        </w:rPr>
        <w:t>电话：</w:t>
      </w:r>
      <w:r>
        <w:rPr>
          <w:rFonts w:hint="eastAsia"/>
          <w:lang w:val="en-US" w:eastAsia="zh-CN"/>
        </w:rPr>
        <w:t>13522703695</w:t>
      </w:r>
      <w:r>
        <w:rPr>
          <w:rFonts w:hint="eastAsia"/>
          <w:sz w:val="18"/>
          <w:szCs w:val="18"/>
        </w:rPr>
        <w:t xml:space="preserve">                                                 </w:t>
      </w:r>
      <w:r>
        <w:rPr>
          <w:rFonts w:hint="eastAsia"/>
          <w:sz w:val="18"/>
          <w:szCs w:val="18"/>
          <w:lang w:val="en-US" w:eastAsia="zh-CN"/>
        </w:rPr>
        <w:t xml:space="preserve">                  </w:t>
      </w:r>
      <w:r>
        <w:rPr>
          <w:rFonts w:hint="eastAsia"/>
          <w:szCs w:val="21"/>
        </w:rPr>
        <w:t>202</w:t>
      </w:r>
      <w:r>
        <w:rPr>
          <w:rFonts w:hint="eastAsia"/>
          <w:szCs w:val="21"/>
          <w:lang w:val="en-US" w:eastAsia="zh-CN"/>
        </w:rPr>
        <w:t>3</w:t>
      </w:r>
      <w:r>
        <w:rPr>
          <w:rFonts w:hint="eastAsia"/>
          <w:szCs w:val="21"/>
        </w:rPr>
        <w:t>年</w:t>
      </w:r>
      <w:r>
        <w:rPr>
          <w:rFonts w:hint="eastAsia"/>
          <w:szCs w:val="21"/>
          <w:lang w:val="en-US" w:eastAsia="zh-CN"/>
        </w:rPr>
        <w:t>9</w:t>
      </w:r>
      <w:r>
        <w:rPr>
          <w:rFonts w:hint="eastAsia"/>
          <w:szCs w:val="21"/>
        </w:rPr>
        <w:t>月</w:t>
      </w:r>
      <w:r>
        <w:rPr>
          <w:rFonts w:hint="eastAsia"/>
          <w:szCs w:val="21"/>
          <w:lang w:val="en-US" w:eastAsia="zh-CN"/>
        </w:rPr>
        <w:t>15</w:t>
      </w:r>
      <w:r>
        <w:rPr>
          <w:rFonts w:hint="eastAsia"/>
          <w:szCs w:val="21"/>
        </w:rPr>
        <w:t>日填写</w:t>
      </w:r>
      <w:r>
        <w:t xml:space="preserve">   </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972"/>
        <w:gridCol w:w="3088"/>
        <w:gridCol w:w="3376"/>
        <w:gridCol w:w="1843"/>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25" w:type="pct"/>
            <w:noWrap w:val="0"/>
            <w:vAlign w:val="center"/>
          </w:tcPr>
          <w:p>
            <w:pPr>
              <w:spacing w:line="360" w:lineRule="exact"/>
              <w:jc w:val="center"/>
              <w:rPr>
                <w:rFonts w:ascii="宋体" w:hAnsi="宋体"/>
                <w:b/>
                <w:szCs w:val="21"/>
              </w:rPr>
            </w:pPr>
            <w:r>
              <w:rPr>
                <w:rFonts w:hint="eastAsia" w:ascii="宋体" w:hAnsi="宋体"/>
                <w:b/>
                <w:szCs w:val="21"/>
              </w:rPr>
              <w:t>序号</w:t>
            </w:r>
          </w:p>
        </w:tc>
        <w:tc>
          <w:tcPr>
            <w:tcW w:w="466" w:type="pct"/>
            <w:noWrap w:val="0"/>
            <w:vAlign w:val="center"/>
          </w:tcPr>
          <w:p>
            <w:pPr>
              <w:spacing w:line="360" w:lineRule="exact"/>
              <w:jc w:val="center"/>
              <w:rPr>
                <w:rFonts w:hint="eastAsia" w:ascii="宋体" w:hAnsi="宋体"/>
                <w:b/>
                <w:szCs w:val="21"/>
              </w:rPr>
            </w:pPr>
            <w:r>
              <w:rPr>
                <w:rFonts w:hint="eastAsia" w:ascii="宋体" w:hAnsi="宋体"/>
                <w:b/>
                <w:szCs w:val="21"/>
              </w:rPr>
              <w:t>标准章</w:t>
            </w:r>
          </w:p>
          <w:p>
            <w:pPr>
              <w:spacing w:line="360" w:lineRule="exact"/>
              <w:jc w:val="center"/>
              <w:rPr>
                <w:rFonts w:ascii="宋体" w:hAnsi="宋体"/>
                <w:b/>
                <w:szCs w:val="21"/>
              </w:rPr>
            </w:pPr>
            <w:r>
              <w:rPr>
                <w:rFonts w:hint="eastAsia" w:ascii="宋体" w:hAnsi="宋体"/>
                <w:b/>
                <w:szCs w:val="21"/>
              </w:rPr>
              <w:t>条编号</w:t>
            </w:r>
          </w:p>
        </w:tc>
        <w:tc>
          <w:tcPr>
            <w:tcW w:w="1481" w:type="pct"/>
            <w:noWrap w:val="0"/>
            <w:vAlign w:val="center"/>
          </w:tcPr>
          <w:p>
            <w:pPr>
              <w:spacing w:line="360" w:lineRule="exact"/>
              <w:jc w:val="center"/>
              <w:rPr>
                <w:rFonts w:ascii="宋体" w:hAnsi="宋体"/>
                <w:b/>
                <w:szCs w:val="21"/>
              </w:rPr>
            </w:pPr>
            <w:r>
              <w:rPr>
                <w:rFonts w:hint="eastAsia" w:ascii="宋体" w:hAnsi="宋体"/>
                <w:b/>
                <w:szCs w:val="21"/>
              </w:rPr>
              <w:t>意见内容</w:t>
            </w:r>
          </w:p>
        </w:tc>
        <w:tc>
          <w:tcPr>
            <w:tcW w:w="1619" w:type="pct"/>
            <w:noWrap w:val="0"/>
            <w:vAlign w:val="center"/>
          </w:tcPr>
          <w:p>
            <w:pPr>
              <w:spacing w:line="360" w:lineRule="exact"/>
              <w:jc w:val="center"/>
              <w:rPr>
                <w:rFonts w:ascii="宋体" w:hAnsi="宋体"/>
                <w:b/>
                <w:szCs w:val="21"/>
              </w:rPr>
            </w:pPr>
            <w:r>
              <w:rPr>
                <w:rFonts w:hint="eastAsia" w:ascii="宋体" w:hAnsi="宋体"/>
                <w:b/>
                <w:szCs w:val="21"/>
              </w:rPr>
              <w:t>提出单位</w:t>
            </w:r>
          </w:p>
        </w:tc>
        <w:tc>
          <w:tcPr>
            <w:tcW w:w="884" w:type="pct"/>
            <w:noWrap w:val="0"/>
            <w:vAlign w:val="center"/>
          </w:tcPr>
          <w:p>
            <w:pPr>
              <w:spacing w:line="360" w:lineRule="exact"/>
              <w:jc w:val="center"/>
              <w:rPr>
                <w:rFonts w:ascii="宋体" w:hAnsi="宋体"/>
                <w:b/>
                <w:szCs w:val="21"/>
              </w:rPr>
            </w:pPr>
            <w:r>
              <w:rPr>
                <w:rFonts w:hint="eastAsia" w:ascii="宋体" w:hAnsi="宋体"/>
                <w:b/>
                <w:szCs w:val="21"/>
              </w:rPr>
              <w:t>处理意见</w:t>
            </w:r>
          </w:p>
        </w:tc>
        <w:tc>
          <w:tcPr>
            <w:tcW w:w="322" w:type="pct"/>
            <w:noWrap w:val="0"/>
            <w:vAlign w:val="center"/>
          </w:tcPr>
          <w:p>
            <w:pPr>
              <w:spacing w:line="36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spacing w:line="300" w:lineRule="auto"/>
              <w:jc w:val="center"/>
              <w:rPr>
                <w:rFonts w:hint="default" w:eastAsia="宋体"/>
                <w:szCs w:val="21"/>
                <w:lang w:val="en-US" w:eastAsia="zh-CN"/>
              </w:rPr>
            </w:pPr>
            <w:r>
              <w:rPr>
                <w:rFonts w:hint="eastAsia" w:eastAsia="宋体"/>
                <w:szCs w:val="21"/>
                <w:lang w:val="en-US" w:eastAsia="zh-CN"/>
              </w:rPr>
              <w:t>引言</w:t>
            </w:r>
          </w:p>
        </w:tc>
        <w:tc>
          <w:tcPr>
            <w:tcW w:w="1481"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宋体"/>
                <w:color w:val="auto"/>
                <w:szCs w:val="21"/>
                <w:lang w:val="en-US" w:eastAsia="zh-CN"/>
              </w:rPr>
            </w:pPr>
            <w:r>
              <w:rPr>
                <w:rFonts w:hint="eastAsia"/>
                <w:color w:val="auto"/>
                <w:szCs w:val="21"/>
                <w:lang w:val="en-US" w:eastAsia="zh-CN"/>
              </w:rPr>
              <w:t>按体系优化修改部分名称</w:t>
            </w:r>
          </w:p>
        </w:tc>
        <w:tc>
          <w:tcPr>
            <w:tcW w:w="161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eastAsia="宋体" w:cs="Times New Roman"/>
                <w:color w:val="auto"/>
                <w:sz w:val="21"/>
                <w:szCs w:val="21"/>
                <w:lang w:val="en-US" w:eastAsia="zh-CN"/>
              </w:rPr>
            </w:pPr>
            <w:r>
              <w:rPr>
                <w:rFonts w:hint="eastAsia" w:eastAsia="宋体" w:cs="Times New Roman"/>
                <w:color w:val="auto"/>
                <w:sz w:val="21"/>
                <w:szCs w:val="21"/>
                <w:lang w:val="en-US" w:eastAsia="zh-CN"/>
              </w:rPr>
              <w:t>有色金属技术经济研究院有限责任公司</w:t>
            </w:r>
          </w:p>
        </w:tc>
        <w:tc>
          <w:tcPr>
            <w:tcW w:w="884" w:type="pct"/>
            <w:noWrap w:val="0"/>
            <w:tcMar>
              <w:left w:w="57" w:type="dxa"/>
              <w:right w:w="57" w:type="dxa"/>
            </w:tcMar>
            <w:vAlign w:val="center"/>
          </w:tcPr>
          <w:p>
            <w:pPr>
              <w:spacing w:line="300" w:lineRule="auto"/>
              <w:jc w:val="center"/>
              <w:rPr>
                <w:rFonts w:hint="default" w:eastAsia="宋体"/>
                <w:szCs w:val="21"/>
                <w:lang w:val="en-US" w:eastAsia="zh-CN"/>
              </w:rPr>
            </w:pPr>
            <w:r>
              <w:rPr>
                <w:rFonts w:hint="eastAsia" w:eastAsia="宋体"/>
                <w:szCs w:val="21"/>
                <w:lang w:val="en-US" w:eastAsia="zh-CN"/>
              </w:rPr>
              <w:t>采纳</w:t>
            </w: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spacing w:line="300" w:lineRule="auto"/>
              <w:jc w:val="center"/>
              <w:rPr>
                <w:rFonts w:hint="eastAsia" w:ascii="Times New Roman" w:hAnsi="Times New Roman" w:eastAsia="宋体"/>
                <w:kern w:val="2"/>
                <w:sz w:val="21"/>
                <w:szCs w:val="21"/>
                <w:lang w:val="en-US" w:eastAsia="zh-CN" w:bidi="ar-SA"/>
              </w:rPr>
            </w:pPr>
            <w:r>
              <w:rPr>
                <w:rFonts w:hint="eastAsia" w:eastAsia="宋体"/>
                <w:szCs w:val="21"/>
                <w:lang w:val="en-US" w:eastAsia="zh-CN"/>
              </w:rPr>
              <w:t>5.13~5.26</w:t>
            </w:r>
          </w:p>
        </w:tc>
        <w:tc>
          <w:tcPr>
            <w:tcW w:w="1481"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olor w:val="auto"/>
                <w:kern w:val="2"/>
                <w:sz w:val="21"/>
                <w:szCs w:val="21"/>
                <w:lang w:val="en-US" w:eastAsia="zh-CN" w:bidi="ar-SA"/>
              </w:rPr>
            </w:pPr>
            <w:r>
              <w:rPr>
                <w:rFonts w:hint="eastAsia"/>
                <w:color w:val="auto"/>
                <w:szCs w:val="21"/>
                <w:lang w:val="en-US" w:eastAsia="zh-CN"/>
              </w:rPr>
              <w:t>调整Bi、Sb、Sn单元素标准贮存溶液顺序，使与题目一致</w:t>
            </w:r>
          </w:p>
        </w:tc>
        <w:tc>
          <w:tcPr>
            <w:tcW w:w="161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Times New Roman" w:hAnsi="Times New Roman" w:eastAsia="宋体" w:cs="Times New Roman"/>
                <w:color w:val="auto"/>
                <w:kern w:val="2"/>
                <w:sz w:val="21"/>
                <w:szCs w:val="21"/>
                <w:lang w:val="en-US" w:eastAsia="zh-CN" w:bidi="ar-SA"/>
              </w:rPr>
            </w:pPr>
            <w:r>
              <w:rPr>
                <w:rFonts w:hint="eastAsia" w:eastAsia="宋体" w:cs="Times New Roman"/>
                <w:color w:val="auto"/>
                <w:sz w:val="21"/>
                <w:szCs w:val="21"/>
                <w:lang w:val="en-US" w:eastAsia="zh-CN"/>
              </w:rPr>
              <w:t>广西壮族自治区冶金产品质量检验站</w:t>
            </w:r>
          </w:p>
        </w:tc>
        <w:tc>
          <w:tcPr>
            <w:tcW w:w="884" w:type="pct"/>
            <w:noWrap w:val="0"/>
            <w:tcMar>
              <w:left w:w="57" w:type="dxa"/>
              <w:right w:w="57" w:type="dxa"/>
            </w:tcMar>
            <w:vAlign w:val="center"/>
          </w:tcPr>
          <w:p>
            <w:pPr>
              <w:spacing w:line="300" w:lineRule="auto"/>
              <w:jc w:val="center"/>
              <w:rPr>
                <w:rFonts w:hint="eastAsia" w:ascii="Times New Roman" w:hAnsi="Times New Roman" w:eastAsia="宋体"/>
                <w:kern w:val="2"/>
                <w:sz w:val="21"/>
                <w:szCs w:val="21"/>
                <w:lang w:val="en-US" w:eastAsia="zh-CN" w:bidi="ar-SA"/>
              </w:rPr>
            </w:pPr>
            <w:r>
              <w:rPr>
                <w:rFonts w:hint="eastAsia" w:eastAsia="宋体"/>
                <w:szCs w:val="21"/>
                <w:lang w:val="en-US" w:eastAsia="zh-CN"/>
              </w:rPr>
              <w:t>采纳</w:t>
            </w: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spacing w:line="300" w:lineRule="auto"/>
              <w:jc w:val="center"/>
              <w:rPr>
                <w:rFonts w:hint="default" w:eastAsia="宋体"/>
                <w:szCs w:val="21"/>
                <w:lang w:val="en-US" w:eastAsia="zh-CN"/>
              </w:rPr>
            </w:pPr>
            <w:r>
              <w:rPr>
                <w:rFonts w:hint="eastAsia" w:eastAsia="宋体"/>
                <w:szCs w:val="21"/>
                <w:lang w:val="en-US" w:eastAsia="zh-CN"/>
              </w:rPr>
              <w:t>5.31</w:t>
            </w:r>
          </w:p>
        </w:tc>
        <w:tc>
          <w:tcPr>
            <w:tcW w:w="1481" w:type="pct"/>
            <w:noWrap w:val="0"/>
            <w:tcMar>
              <w:left w:w="57" w:type="dxa"/>
              <w:right w:w="57" w:type="dxa"/>
            </w:tcMar>
            <w:vAlign w:val="center"/>
          </w:tcPr>
          <w:p>
            <w:pPr>
              <w:spacing w:line="300" w:lineRule="auto"/>
              <w:jc w:val="left"/>
              <w:rPr>
                <w:rFonts w:hint="default" w:eastAsia="宋体"/>
                <w:color w:val="auto"/>
                <w:szCs w:val="21"/>
                <w:lang w:val="en-US" w:eastAsia="zh-CN"/>
              </w:rPr>
            </w:pPr>
            <w:r>
              <w:rPr>
                <w:rFonts w:hint="eastAsia"/>
                <w:color w:val="auto"/>
                <w:szCs w:val="20"/>
                <w:lang w:val="en-US" w:eastAsia="zh-CN"/>
              </w:rPr>
              <w:t>5.11</w:t>
            </w:r>
            <w:r>
              <w:rPr>
                <w:rFonts w:hint="eastAsia"/>
                <w:color w:val="auto"/>
              </w:rPr>
              <w:t>～</w:t>
            </w:r>
            <w:r>
              <w:rPr>
                <w:rFonts w:hint="eastAsia"/>
                <w:color w:val="auto"/>
                <w:szCs w:val="20"/>
                <w:lang w:val="en-US" w:eastAsia="zh-CN"/>
              </w:rPr>
              <w:t>5.26改为5.13</w:t>
            </w:r>
            <w:r>
              <w:rPr>
                <w:rFonts w:hint="eastAsia"/>
                <w:color w:val="auto"/>
              </w:rPr>
              <w:t>～</w:t>
            </w:r>
            <w:r>
              <w:rPr>
                <w:rFonts w:hint="eastAsia"/>
                <w:color w:val="auto"/>
                <w:szCs w:val="20"/>
                <w:lang w:val="en-US" w:eastAsia="zh-CN"/>
              </w:rPr>
              <w:t>5.26</w:t>
            </w:r>
          </w:p>
        </w:tc>
        <w:tc>
          <w:tcPr>
            <w:tcW w:w="161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eastAsia="宋体" w:cs="Times New Roman"/>
                <w:color w:val="auto"/>
                <w:sz w:val="21"/>
                <w:szCs w:val="21"/>
                <w:lang w:val="en-US" w:eastAsia="zh-CN"/>
              </w:rPr>
            </w:pPr>
            <w:r>
              <w:rPr>
                <w:rFonts w:hint="eastAsia" w:eastAsia="宋体" w:cs="Times New Roman"/>
                <w:color w:val="auto"/>
                <w:sz w:val="21"/>
                <w:szCs w:val="21"/>
                <w:lang w:val="en-US" w:eastAsia="zh-CN"/>
              </w:rPr>
              <w:t>中国检验认证集团广西有限公司</w:t>
            </w:r>
          </w:p>
        </w:tc>
        <w:tc>
          <w:tcPr>
            <w:tcW w:w="884" w:type="pct"/>
            <w:noWrap w:val="0"/>
            <w:tcMar>
              <w:left w:w="57" w:type="dxa"/>
              <w:right w:w="57" w:type="dxa"/>
            </w:tcMar>
            <w:vAlign w:val="center"/>
          </w:tcPr>
          <w:p>
            <w:pPr>
              <w:spacing w:line="300" w:lineRule="auto"/>
              <w:jc w:val="center"/>
              <w:rPr>
                <w:rFonts w:hint="eastAsia"/>
                <w:szCs w:val="21"/>
              </w:rPr>
            </w:pPr>
            <w:r>
              <w:rPr>
                <w:rFonts w:hint="eastAsia" w:eastAsia="宋体"/>
                <w:szCs w:val="21"/>
                <w:lang w:val="en-US" w:eastAsia="zh-CN"/>
              </w:rPr>
              <w:t>采纳</w:t>
            </w: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spacing w:line="300" w:lineRule="auto"/>
              <w:jc w:val="center"/>
              <w:rPr>
                <w:rFonts w:hint="default" w:ascii="Times New Roman" w:hAnsi="Times New Roman" w:eastAsia="宋体"/>
                <w:kern w:val="2"/>
                <w:sz w:val="21"/>
                <w:szCs w:val="21"/>
                <w:lang w:val="en-US" w:eastAsia="zh-CN" w:bidi="ar-SA"/>
              </w:rPr>
            </w:pPr>
            <w:r>
              <w:rPr>
                <w:rFonts w:hint="eastAsia" w:eastAsia="宋体"/>
                <w:szCs w:val="21"/>
                <w:lang w:val="en-US" w:eastAsia="zh-CN"/>
              </w:rPr>
              <w:t>5.31</w:t>
            </w:r>
          </w:p>
        </w:tc>
        <w:tc>
          <w:tcPr>
            <w:tcW w:w="1481" w:type="pct"/>
            <w:noWrap w:val="0"/>
            <w:tcMar>
              <w:left w:w="57" w:type="dxa"/>
              <w:right w:w="57" w:type="dxa"/>
            </w:tcMar>
            <w:vAlign w:val="center"/>
          </w:tcPr>
          <w:p>
            <w:pPr>
              <w:spacing w:line="300" w:lineRule="auto"/>
              <w:jc w:val="left"/>
              <w:rPr>
                <w:rFonts w:hint="eastAsia" w:ascii="Times New Roman" w:hAnsi="Times New Roman" w:eastAsia="宋体"/>
                <w:color w:val="auto"/>
                <w:kern w:val="2"/>
                <w:sz w:val="21"/>
                <w:szCs w:val="21"/>
                <w:lang w:val="en-US" w:eastAsia="zh-CN" w:bidi="ar-SA"/>
              </w:rPr>
            </w:pPr>
            <w:r>
              <w:rPr>
                <w:rFonts w:hint="eastAsia"/>
                <w:color w:val="auto"/>
                <w:szCs w:val="20"/>
                <w:lang w:val="en-US" w:eastAsia="zh-CN"/>
              </w:rPr>
              <w:t>“宜分组”改为“应分组”</w:t>
            </w:r>
          </w:p>
        </w:tc>
        <w:tc>
          <w:tcPr>
            <w:tcW w:w="161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eastAsia="宋体" w:cs="Times New Roman"/>
                <w:color w:val="auto"/>
                <w:sz w:val="21"/>
                <w:szCs w:val="21"/>
                <w:lang w:val="en-US" w:eastAsia="zh-CN"/>
              </w:rPr>
            </w:pPr>
            <w:r>
              <w:rPr>
                <w:rFonts w:hint="eastAsia"/>
                <w:color w:val="auto"/>
                <w:szCs w:val="21"/>
                <w:lang w:val="en-US" w:eastAsia="zh-CN"/>
              </w:rPr>
              <w:t>甘肃省精普检测科技有限公司</w:t>
            </w:r>
          </w:p>
        </w:tc>
        <w:tc>
          <w:tcPr>
            <w:tcW w:w="884" w:type="pct"/>
            <w:noWrap w:val="0"/>
            <w:tcMar>
              <w:left w:w="57" w:type="dxa"/>
              <w:right w:w="57" w:type="dxa"/>
            </w:tcMar>
            <w:vAlign w:val="center"/>
          </w:tcPr>
          <w:p>
            <w:pPr>
              <w:spacing w:line="300" w:lineRule="auto"/>
              <w:jc w:val="center"/>
              <w:rPr>
                <w:szCs w:val="21"/>
              </w:rPr>
            </w:pPr>
            <w:r>
              <w:rPr>
                <w:rFonts w:hint="eastAsia" w:eastAsia="宋体"/>
                <w:szCs w:val="21"/>
                <w:lang w:val="en-US" w:eastAsia="zh-CN"/>
              </w:rPr>
              <w:t>采纳</w:t>
            </w: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spacing w:line="300" w:lineRule="auto"/>
              <w:jc w:val="center"/>
              <w:rPr>
                <w:rFonts w:hint="default" w:eastAsia="宋体"/>
                <w:szCs w:val="21"/>
                <w:lang w:val="en-US" w:eastAsia="zh-CN"/>
              </w:rPr>
            </w:pPr>
            <w:r>
              <w:rPr>
                <w:rFonts w:hint="eastAsia" w:eastAsia="宋体"/>
                <w:szCs w:val="21"/>
                <w:lang w:val="en-US" w:eastAsia="zh-CN"/>
              </w:rPr>
              <w:t>6</w:t>
            </w:r>
          </w:p>
        </w:tc>
        <w:tc>
          <w:tcPr>
            <w:tcW w:w="1481"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eastAsia="宋体"/>
                <w:color w:val="auto"/>
                <w:szCs w:val="21"/>
                <w:lang w:val="en-US" w:eastAsia="zh-CN"/>
              </w:rPr>
            </w:pPr>
            <w:r>
              <w:rPr>
                <w:rFonts w:hint="eastAsia" w:hAnsi="宋体"/>
                <w:color w:val="auto"/>
                <w:kern w:val="0"/>
                <w:szCs w:val="21"/>
                <w:vertAlign w:val="superscript"/>
                <w:lang w:val="en-US" w:eastAsia="zh-CN"/>
              </w:rPr>
              <w:t>36</w:t>
            </w:r>
            <w:r>
              <w:rPr>
                <w:rFonts w:hAnsi="宋体"/>
                <w:color w:val="auto"/>
                <w:kern w:val="0"/>
                <w:szCs w:val="21"/>
              </w:rPr>
              <w:t>Ar</w:t>
            </w:r>
            <w:r>
              <w:rPr>
                <w:rFonts w:hAnsi="宋体"/>
                <w:color w:val="auto"/>
                <w:kern w:val="0"/>
                <w:szCs w:val="21"/>
                <w:vertAlign w:val="superscript"/>
              </w:rPr>
              <w:t>16</w:t>
            </w:r>
            <w:r>
              <w:rPr>
                <w:rFonts w:hAnsi="宋体"/>
                <w:color w:val="auto"/>
                <w:kern w:val="0"/>
                <w:szCs w:val="21"/>
              </w:rPr>
              <w:t>O</w:t>
            </w:r>
            <w:r>
              <w:rPr>
                <w:rFonts w:hAnsi="宋体"/>
                <w:color w:val="auto"/>
                <w:kern w:val="0"/>
                <w:szCs w:val="21"/>
                <w:vertAlign w:val="superscript"/>
              </w:rPr>
              <w:t>+</w:t>
            </w:r>
            <w:r>
              <w:rPr>
                <w:rFonts w:hint="eastAsia" w:hAnsi="宋体"/>
                <w:color w:val="auto"/>
                <w:kern w:val="0"/>
                <w:szCs w:val="21"/>
                <w:vertAlign w:val="baseline"/>
                <w:lang w:val="en-US" w:eastAsia="zh-CN"/>
              </w:rPr>
              <w:t>改为</w:t>
            </w:r>
            <w:r>
              <w:rPr>
                <w:rFonts w:hint="eastAsia" w:hAnsi="宋体"/>
                <w:color w:val="auto"/>
                <w:kern w:val="0"/>
                <w:szCs w:val="21"/>
                <w:vertAlign w:val="superscript"/>
                <w:lang w:val="en-US" w:eastAsia="zh-CN"/>
              </w:rPr>
              <w:t>40</w:t>
            </w:r>
            <w:r>
              <w:rPr>
                <w:rFonts w:hAnsi="宋体"/>
                <w:color w:val="auto"/>
                <w:kern w:val="0"/>
                <w:szCs w:val="21"/>
              </w:rPr>
              <w:t>Ar</w:t>
            </w:r>
            <w:r>
              <w:rPr>
                <w:rFonts w:hAnsi="宋体"/>
                <w:color w:val="auto"/>
                <w:kern w:val="0"/>
                <w:szCs w:val="21"/>
                <w:vertAlign w:val="superscript"/>
              </w:rPr>
              <w:t>16</w:t>
            </w:r>
            <w:r>
              <w:rPr>
                <w:rFonts w:hAnsi="宋体"/>
                <w:color w:val="auto"/>
                <w:kern w:val="0"/>
                <w:szCs w:val="21"/>
              </w:rPr>
              <w:t>O</w:t>
            </w:r>
            <w:r>
              <w:rPr>
                <w:rFonts w:hAnsi="宋体"/>
                <w:color w:val="auto"/>
                <w:kern w:val="0"/>
                <w:szCs w:val="21"/>
                <w:vertAlign w:val="superscript"/>
              </w:rPr>
              <w:t>+</w:t>
            </w:r>
          </w:p>
        </w:tc>
        <w:tc>
          <w:tcPr>
            <w:tcW w:w="161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eastAsia="宋体" w:cs="Times New Roman"/>
                <w:color w:val="auto"/>
                <w:sz w:val="21"/>
                <w:szCs w:val="21"/>
                <w:lang w:val="en-US" w:eastAsia="zh-CN"/>
              </w:rPr>
            </w:pPr>
            <w:r>
              <w:rPr>
                <w:rFonts w:hint="eastAsia" w:eastAsia="宋体" w:cs="Times New Roman"/>
                <w:color w:val="auto"/>
                <w:sz w:val="21"/>
                <w:szCs w:val="21"/>
                <w:lang w:val="en-US" w:eastAsia="zh-CN"/>
              </w:rPr>
              <w:t>中国有色桂林矿产地质研究院有限公司</w:t>
            </w:r>
          </w:p>
        </w:tc>
        <w:tc>
          <w:tcPr>
            <w:tcW w:w="884" w:type="pct"/>
            <w:noWrap w:val="0"/>
            <w:tcMar>
              <w:left w:w="57" w:type="dxa"/>
              <w:right w:w="57" w:type="dxa"/>
            </w:tcMar>
            <w:vAlign w:val="center"/>
          </w:tcPr>
          <w:p>
            <w:pPr>
              <w:spacing w:line="300" w:lineRule="auto"/>
              <w:jc w:val="center"/>
              <w:rPr>
                <w:szCs w:val="21"/>
              </w:rPr>
            </w:pPr>
            <w:r>
              <w:rPr>
                <w:rFonts w:hint="eastAsia" w:eastAsia="宋体"/>
                <w:szCs w:val="21"/>
                <w:lang w:val="en-US" w:eastAsia="zh-CN"/>
              </w:rPr>
              <w:t>采纳</w:t>
            </w: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kern w:val="2"/>
                <w:sz w:val="21"/>
                <w:szCs w:val="21"/>
                <w:lang w:val="en-US" w:eastAsia="zh-CN" w:bidi="ar-SA"/>
              </w:rPr>
            </w:pPr>
            <w:r>
              <w:rPr>
                <w:rFonts w:hint="default" w:ascii="Times New Roman" w:hAnsi="Times New Roman" w:cs="Times New Roman"/>
                <w:szCs w:val="21"/>
              </w:rPr>
              <w:t>8.3、8.4</w:t>
            </w:r>
          </w:p>
        </w:tc>
        <w:tc>
          <w:tcPr>
            <w:tcW w:w="1481" w:type="pct"/>
            <w:noWrap w:val="0"/>
            <w:tcMar>
              <w:left w:w="57" w:type="dxa"/>
              <w:right w:w="57" w:type="dxa"/>
            </w:tcMar>
            <w:vAlign w:val="center"/>
          </w:tcPr>
          <w:p>
            <w:pPr>
              <w:spacing w:line="300" w:lineRule="auto"/>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、建议将第8</w:t>
            </w:r>
            <w:r>
              <w:rPr>
                <w:rFonts w:ascii="Times New Roman" w:hAnsi="Times New Roman" w:eastAsia="宋体" w:cs="Times New Roman"/>
              </w:rPr>
              <w:t>.3</w:t>
            </w:r>
            <w:r>
              <w:rPr>
                <w:rFonts w:hint="eastAsia" w:ascii="Times New Roman" w:hAnsi="Times New Roman" w:eastAsia="宋体" w:cs="Times New Roman"/>
              </w:rPr>
              <w:t>条中“测定铋</w:t>
            </w:r>
            <w:r>
              <w:rPr>
                <w:rFonts w:ascii="Times New Roman" w:hAnsi="Times New Roman" w:eastAsia="宋体" w:cs="Times New Roman"/>
              </w:rPr>
              <w:t>含量时，</w:t>
            </w:r>
            <w:r>
              <w:rPr>
                <w:rFonts w:hint="eastAsia" w:ascii="Times New Roman" w:hAnsi="Times New Roman" w:eastAsia="宋体" w:cs="Times New Roman"/>
              </w:rPr>
              <w:t>采用高纯铅（5.2）扣除</w:t>
            </w:r>
            <w:r>
              <w:rPr>
                <w:rFonts w:ascii="Times New Roman" w:hAnsi="Times New Roman" w:eastAsia="宋体" w:cs="Times New Roman"/>
              </w:rPr>
              <w:t>基体</w:t>
            </w:r>
            <w:r>
              <w:rPr>
                <w:rFonts w:hint="eastAsia" w:ascii="Times New Roman" w:hAnsi="Times New Roman" w:eastAsia="宋体" w:cs="Times New Roman"/>
              </w:rPr>
              <w:t>产生的质谱干扰</w:t>
            </w:r>
            <w:r>
              <w:rPr>
                <w:rFonts w:ascii="Times New Roman" w:hAnsi="Times New Roman" w:eastAsia="宋体" w:cs="Times New Roman"/>
              </w:rPr>
              <w:t>。</w:t>
            </w:r>
            <w:r>
              <w:rPr>
                <w:rFonts w:hint="eastAsia" w:ascii="Times New Roman" w:hAnsi="Times New Roman" w:eastAsia="宋体" w:cs="Times New Roman"/>
              </w:rPr>
              <w:t>” 移入第8</w:t>
            </w:r>
            <w:r>
              <w:rPr>
                <w:rFonts w:ascii="Times New Roman" w:hAnsi="Times New Roman" w:eastAsia="宋体" w:cs="Times New Roman"/>
              </w:rPr>
              <w:t>.5.1</w:t>
            </w:r>
            <w:r>
              <w:rPr>
                <w:rFonts w:hint="eastAsia" w:ascii="Times New Roman" w:hAnsi="Times New Roman" w:eastAsia="宋体" w:cs="Times New Roman"/>
              </w:rPr>
              <w:t>条之后，并以注或另加一条的形式详细说明。</w:t>
            </w:r>
          </w:p>
          <w:p>
            <w:pPr>
              <w:spacing w:line="300" w:lineRule="auto"/>
              <w:jc w:val="left"/>
              <w:rPr>
                <w:rFonts w:ascii="Times New Roman" w:hAnsi="Times New Roman" w:eastAsia="宋体" w:cs="Times New Roman"/>
              </w:rPr>
            </w:pPr>
            <w:r>
              <w:rPr>
                <w:rFonts w:hint="eastAsia" w:ascii="Times New Roman" w:hAnsi="Times New Roman" w:eastAsia="宋体" w:cs="Times New Roman"/>
              </w:rPr>
              <w:t>2、将“8</w:t>
            </w:r>
            <w:r>
              <w:rPr>
                <w:rFonts w:ascii="Times New Roman" w:hAnsi="Times New Roman" w:eastAsia="宋体" w:cs="Times New Roman"/>
              </w:rPr>
              <w:t>.4.3</w:t>
            </w:r>
            <w:r>
              <w:rPr>
                <w:rFonts w:hint="eastAsia" w:ascii="Times New Roman" w:hAnsi="Times New Roman" w:eastAsia="宋体" w:cs="Times New Roman"/>
              </w:rPr>
              <w:t>”改为“8</w:t>
            </w:r>
            <w:r>
              <w:rPr>
                <w:rFonts w:ascii="Times New Roman" w:hAnsi="Times New Roman" w:eastAsia="宋体" w:cs="Times New Roman"/>
              </w:rPr>
              <w:t>.4.2</w:t>
            </w:r>
            <w:r>
              <w:rPr>
                <w:rFonts w:hint="eastAsia" w:ascii="Times New Roman" w:hAnsi="Times New Roman" w:eastAsia="宋体" w:cs="Times New Roman"/>
              </w:rPr>
              <w:t>”；</w:t>
            </w:r>
          </w:p>
          <w:p>
            <w:pPr>
              <w:spacing w:line="300" w:lineRule="auto"/>
              <w:jc w:val="lef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3、建议将第8</w:t>
            </w:r>
            <w:r>
              <w:rPr>
                <w:rFonts w:ascii="Times New Roman" w:hAnsi="Times New Roman" w:eastAsia="宋体" w:cs="Times New Roman"/>
              </w:rPr>
              <w:t>.4.1</w:t>
            </w:r>
            <w:r>
              <w:rPr>
                <w:rFonts w:hint="eastAsia" w:ascii="Times New Roman" w:hAnsi="Times New Roman" w:eastAsia="宋体" w:cs="Times New Roman"/>
              </w:rPr>
              <w:t>条注中“样品均匀性良好”的描述删除。</w:t>
            </w:r>
          </w:p>
        </w:tc>
        <w:tc>
          <w:tcPr>
            <w:tcW w:w="1619" w:type="pct"/>
            <w:noWrap w:val="0"/>
            <w:tcMar>
              <w:left w:w="28" w:type="dxa"/>
              <w:right w:w="28" w:type="dxa"/>
            </w:tcMar>
            <w:vAlign w:val="center"/>
          </w:tcPr>
          <w:p>
            <w:pPr>
              <w:spacing w:line="300" w:lineRule="auto"/>
              <w:jc w:val="lef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云南省产品质量监督检验研究院</w:t>
            </w:r>
          </w:p>
        </w:tc>
        <w:tc>
          <w:tcPr>
            <w:tcW w:w="884" w:type="pct"/>
            <w:noWrap w:val="0"/>
            <w:tcMar>
              <w:left w:w="57" w:type="dxa"/>
              <w:right w:w="57" w:type="dxa"/>
            </w:tcMar>
            <w:vAlign w:val="center"/>
          </w:tcPr>
          <w:p>
            <w:pPr>
              <w:spacing w:line="300" w:lineRule="auto"/>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建议1未采纳；</w:t>
            </w:r>
          </w:p>
          <w:p>
            <w:pPr>
              <w:spacing w:line="300" w:lineRule="auto"/>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建议2和3采纳；</w:t>
            </w:r>
          </w:p>
          <w:p>
            <w:pPr>
              <w:spacing w:line="300" w:lineRule="auto"/>
              <w:jc w:val="left"/>
              <w:rPr>
                <w:rFonts w:hint="default" w:ascii="Times New Roman" w:hAnsi="Times New Roman" w:eastAsia="宋体" w:cs="Times New Roman"/>
                <w:kern w:val="2"/>
                <w:sz w:val="21"/>
                <w:szCs w:val="24"/>
                <w:lang w:val="en-US" w:eastAsia="zh-CN" w:bidi="ar-SA"/>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spacing w:line="300" w:lineRule="auto"/>
              <w:jc w:val="center"/>
              <w:rPr>
                <w:rFonts w:hint="default" w:eastAsia="宋体"/>
                <w:szCs w:val="21"/>
                <w:lang w:val="en-US" w:eastAsia="zh-CN"/>
              </w:rPr>
            </w:pPr>
            <w:r>
              <w:rPr>
                <w:rFonts w:hint="eastAsia" w:eastAsia="宋体"/>
                <w:szCs w:val="21"/>
                <w:lang w:val="en-US" w:eastAsia="zh-CN"/>
              </w:rPr>
              <w:t>8.4.1</w:t>
            </w:r>
          </w:p>
        </w:tc>
        <w:tc>
          <w:tcPr>
            <w:tcW w:w="1481" w:type="pct"/>
            <w:noWrap w:val="0"/>
            <w:tcMar>
              <w:left w:w="57" w:type="dxa"/>
              <w:right w:w="57" w:type="dxa"/>
            </w:tcMar>
            <w:vAlign w:val="center"/>
          </w:tcPr>
          <w:p>
            <w:pPr>
              <w:spacing w:line="300" w:lineRule="auto"/>
              <w:jc w:val="left"/>
              <w:rPr>
                <w:rFonts w:hint="default" w:eastAsia="宋体"/>
                <w:color w:val="auto"/>
                <w:szCs w:val="21"/>
                <w:lang w:val="en-US" w:eastAsia="zh-CN"/>
              </w:rPr>
            </w:pPr>
            <w:r>
              <w:rPr>
                <w:rFonts w:hint="eastAsia" w:eastAsia="宋体"/>
                <w:color w:val="auto"/>
                <w:szCs w:val="21"/>
                <w:lang w:val="en-US" w:eastAsia="zh-CN"/>
              </w:rPr>
              <w:t>注中改为加</w:t>
            </w:r>
            <w:r>
              <w:rPr>
                <w:rFonts w:hint="eastAsia" w:ascii="Times New Roman" w:hAnsi="Times New Roman" w:eastAsia="宋体" w:cs="Times New Roman"/>
                <w:color w:val="auto"/>
                <w:szCs w:val="21"/>
                <w:lang w:val="en-US" w:eastAsia="zh-CN"/>
              </w:rPr>
              <w:t>入10mL硝酸溶液（5.9）</w:t>
            </w:r>
          </w:p>
        </w:tc>
        <w:tc>
          <w:tcPr>
            <w:tcW w:w="161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eastAsia="宋体" w:cs="Times New Roman"/>
                <w:color w:val="auto"/>
                <w:sz w:val="21"/>
                <w:szCs w:val="21"/>
                <w:lang w:val="en-US" w:eastAsia="zh-CN"/>
              </w:rPr>
            </w:pPr>
            <w:r>
              <w:rPr>
                <w:rFonts w:hint="eastAsia" w:eastAsia="宋体"/>
                <w:color w:val="auto"/>
                <w:szCs w:val="21"/>
                <w:lang w:val="en-US" w:eastAsia="zh-CN"/>
              </w:rPr>
              <w:t>长沙矿冶研究院有限责任公司</w:t>
            </w:r>
          </w:p>
        </w:tc>
        <w:tc>
          <w:tcPr>
            <w:tcW w:w="884" w:type="pct"/>
            <w:noWrap w:val="0"/>
            <w:tcMar>
              <w:left w:w="57" w:type="dxa"/>
              <w:right w:w="57" w:type="dxa"/>
            </w:tcMar>
            <w:vAlign w:val="center"/>
          </w:tcPr>
          <w:p>
            <w:pPr>
              <w:spacing w:line="300" w:lineRule="auto"/>
              <w:jc w:val="center"/>
              <w:rPr>
                <w:rFonts w:hint="eastAsia"/>
                <w:szCs w:val="21"/>
              </w:rPr>
            </w:pPr>
            <w:r>
              <w:rPr>
                <w:rFonts w:hint="eastAsia" w:eastAsia="宋体"/>
                <w:szCs w:val="21"/>
                <w:lang w:val="en-US" w:eastAsia="zh-CN"/>
              </w:rPr>
              <w:t>采纳</w:t>
            </w: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spacing w:line="360" w:lineRule="exact"/>
              <w:jc w:val="center"/>
              <w:rPr>
                <w:rFonts w:hint="eastAsia" w:eastAsia="宋体"/>
                <w:szCs w:val="21"/>
                <w:lang w:val="en-US" w:eastAsia="zh-CN"/>
              </w:rPr>
            </w:pPr>
            <w:r>
              <w:rPr>
                <w:rFonts w:hint="eastAsia"/>
                <w:szCs w:val="21"/>
                <w:lang w:val="en-US" w:eastAsia="zh-CN"/>
              </w:rPr>
              <w:t>8.4.1注</w:t>
            </w:r>
          </w:p>
        </w:tc>
        <w:tc>
          <w:tcPr>
            <w:tcW w:w="1481" w:type="pct"/>
            <w:noWrap w:val="0"/>
            <w:tcMar>
              <w:left w:w="57" w:type="dxa"/>
              <w:right w:w="57" w:type="dxa"/>
            </w:tcMar>
            <w:vAlign w:val="center"/>
          </w:tcPr>
          <w:p>
            <w:pPr>
              <w:spacing w:line="300" w:lineRule="auto"/>
              <w:jc w:val="left"/>
              <w:rPr>
                <w:rFonts w:hint="eastAsia" w:eastAsia="宋体"/>
                <w:color w:val="auto"/>
                <w:szCs w:val="21"/>
                <w:lang w:val="en-US" w:eastAsia="zh-CN"/>
              </w:rPr>
            </w:pPr>
            <w:r>
              <w:rPr>
                <w:rFonts w:hint="eastAsia"/>
                <w:szCs w:val="21"/>
                <w:lang w:val="en-US" w:eastAsia="zh-CN"/>
              </w:rPr>
              <w:t>内容分成两条</w:t>
            </w:r>
          </w:p>
        </w:tc>
        <w:tc>
          <w:tcPr>
            <w:tcW w:w="1619" w:type="pct"/>
            <w:noWrap w:val="0"/>
            <w:tcMar>
              <w:left w:w="28" w:type="dxa"/>
              <w:right w:w="28" w:type="dxa"/>
            </w:tcMar>
            <w:vAlign w:val="center"/>
          </w:tcPr>
          <w:p>
            <w:pPr>
              <w:spacing w:line="300" w:lineRule="auto"/>
              <w:jc w:val="left"/>
              <w:rPr>
                <w:rFonts w:hint="eastAsia" w:eastAsia="宋体"/>
                <w:color w:val="auto"/>
                <w:szCs w:val="21"/>
                <w:lang w:val="en-US" w:eastAsia="zh-CN"/>
              </w:rPr>
            </w:pPr>
            <w:r>
              <w:rPr>
                <w:rFonts w:hint="eastAsia" w:ascii="宋体" w:hAnsi="宋体"/>
                <w:bCs/>
                <w:szCs w:val="21"/>
              </w:rPr>
              <w:t>有研亿金新材料有限公司</w:t>
            </w:r>
          </w:p>
        </w:tc>
        <w:tc>
          <w:tcPr>
            <w:tcW w:w="884" w:type="pct"/>
            <w:noWrap w:val="0"/>
            <w:tcMar>
              <w:left w:w="57" w:type="dxa"/>
              <w:right w:w="57" w:type="dxa"/>
            </w:tcMar>
            <w:vAlign w:val="center"/>
          </w:tcPr>
          <w:p>
            <w:pPr>
              <w:spacing w:line="360" w:lineRule="exact"/>
              <w:jc w:val="center"/>
              <w:rPr>
                <w:rFonts w:hint="eastAsia" w:eastAsia="宋体"/>
                <w:szCs w:val="21"/>
                <w:lang w:val="en-US" w:eastAsia="zh-CN"/>
              </w:rPr>
            </w:pPr>
            <w:r>
              <w:rPr>
                <w:rFonts w:hint="eastAsia" w:eastAsia="宋体"/>
                <w:szCs w:val="21"/>
                <w:lang w:val="en-US" w:eastAsia="zh-CN"/>
              </w:rPr>
              <w:t>采纳</w:t>
            </w: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spacing w:line="300" w:lineRule="auto"/>
              <w:jc w:val="center"/>
              <w:rPr>
                <w:rFonts w:hint="default" w:eastAsia="宋体" w:cs="Times New Roman"/>
                <w:sz w:val="21"/>
                <w:szCs w:val="21"/>
                <w:lang w:val="en-US" w:eastAsia="zh-CN"/>
              </w:rPr>
            </w:pPr>
            <w:r>
              <w:rPr>
                <w:rFonts w:hint="eastAsia" w:eastAsia="宋体" w:cs="Times New Roman"/>
                <w:sz w:val="21"/>
                <w:szCs w:val="21"/>
                <w:lang w:val="en-US" w:eastAsia="zh-CN"/>
              </w:rPr>
              <w:t>8.4.3</w:t>
            </w:r>
          </w:p>
        </w:tc>
        <w:tc>
          <w:tcPr>
            <w:tcW w:w="1481" w:type="pct"/>
            <w:noWrap w:val="0"/>
            <w:tcMar>
              <w:left w:w="57" w:type="dxa"/>
              <w:right w:w="57" w:type="dxa"/>
            </w:tcMar>
            <w:vAlign w:val="center"/>
          </w:tcPr>
          <w:p>
            <w:pPr>
              <w:spacing w:line="300" w:lineRule="auto"/>
              <w:jc w:val="left"/>
              <w:rPr>
                <w:rFonts w:hint="default" w:eastAsia="宋体" w:cs="Times New Roman"/>
                <w:color w:val="auto"/>
                <w:sz w:val="21"/>
                <w:szCs w:val="21"/>
                <w:lang w:val="en-US" w:eastAsia="zh-CN"/>
              </w:rPr>
            </w:pPr>
            <w:r>
              <w:rPr>
                <w:rFonts w:hint="eastAsia" w:cs="Times New Roman"/>
                <w:color w:val="auto"/>
                <w:sz w:val="21"/>
                <w:szCs w:val="21"/>
                <w:lang w:val="en-US" w:eastAsia="zh-CN"/>
              </w:rPr>
              <w:t>改为8.4.2</w:t>
            </w:r>
          </w:p>
        </w:tc>
        <w:tc>
          <w:tcPr>
            <w:tcW w:w="161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eastAsia="宋体" w:cs="Times New Roman"/>
                <w:color w:val="auto"/>
                <w:sz w:val="21"/>
                <w:szCs w:val="21"/>
                <w:lang w:val="en-US" w:eastAsia="zh-CN"/>
              </w:rPr>
            </w:pPr>
            <w:r>
              <w:rPr>
                <w:rFonts w:hint="eastAsia" w:eastAsia="宋体" w:cs="Times New Roman"/>
                <w:color w:val="auto"/>
                <w:sz w:val="21"/>
                <w:szCs w:val="21"/>
                <w:lang w:val="en-US" w:eastAsia="zh-CN"/>
              </w:rPr>
              <w:t>昆明冶金研究院有限公司</w:t>
            </w:r>
          </w:p>
        </w:tc>
        <w:tc>
          <w:tcPr>
            <w:tcW w:w="884"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szCs w:val="21"/>
                <w:lang w:val="en-US" w:eastAsia="zh-CN"/>
              </w:rPr>
            </w:pPr>
            <w:r>
              <w:rPr>
                <w:rFonts w:hint="eastAsia" w:eastAsia="宋体"/>
                <w:szCs w:val="21"/>
                <w:lang w:val="en-US" w:eastAsia="zh-CN"/>
              </w:rPr>
              <w:t>采纳</w:t>
            </w:r>
          </w:p>
        </w:tc>
        <w:tc>
          <w:tcPr>
            <w:tcW w:w="322" w:type="pct"/>
            <w:noWrap w:val="0"/>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spacing w:line="300" w:lineRule="auto"/>
              <w:jc w:val="center"/>
              <w:rPr>
                <w:rFonts w:hint="eastAsia" w:ascii="Times New Roman" w:hAnsi="Times New Roman" w:eastAsia="宋体" w:cs="Times New Roman"/>
                <w:kern w:val="2"/>
                <w:sz w:val="21"/>
                <w:szCs w:val="21"/>
                <w:lang w:val="en-US" w:eastAsia="zh-CN" w:bidi="ar-SA"/>
              </w:rPr>
            </w:pPr>
            <w:r>
              <w:rPr>
                <w:rFonts w:hint="eastAsia" w:eastAsia="宋体" w:cs="Times New Roman"/>
                <w:sz w:val="21"/>
                <w:szCs w:val="21"/>
                <w:lang w:val="en-US" w:eastAsia="zh-CN"/>
              </w:rPr>
              <w:t>9</w:t>
            </w:r>
          </w:p>
        </w:tc>
        <w:tc>
          <w:tcPr>
            <w:tcW w:w="1481" w:type="pct"/>
            <w:noWrap w:val="0"/>
            <w:tcMar>
              <w:left w:w="57" w:type="dxa"/>
              <w:right w:w="57" w:type="dxa"/>
            </w:tcMar>
            <w:vAlign w:val="center"/>
          </w:tcPr>
          <w:p>
            <w:pPr>
              <w:spacing w:line="300" w:lineRule="auto"/>
              <w:jc w:val="left"/>
              <w:rPr>
                <w:rFonts w:hint="default" w:ascii="Times New Roman" w:hAnsi="Times New Roman" w:eastAsia="宋体" w:cs="Times New Roman"/>
                <w:color w:val="auto"/>
                <w:kern w:val="2"/>
                <w:sz w:val="21"/>
                <w:szCs w:val="21"/>
                <w:lang w:val="en-US" w:eastAsia="zh-CN" w:bidi="ar-SA"/>
              </w:rPr>
            </w:pPr>
            <w:r>
              <w:rPr>
                <w:szCs w:val="21"/>
              </w:rPr>
              <w:t>按式（1）</w:t>
            </w:r>
            <w:r>
              <w:rPr>
                <w:rFonts w:hint="eastAsia"/>
                <w:szCs w:val="21"/>
                <w:lang w:val="en-US" w:eastAsia="zh-CN"/>
              </w:rPr>
              <w:t>改为按公式（1）</w:t>
            </w:r>
          </w:p>
        </w:tc>
        <w:tc>
          <w:tcPr>
            <w:tcW w:w="161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eastAsia="宋体" w:cs="Times New Roman"/>
                <w:sz w:val="21"/>
                <w:szCs w:val="21"/>
                <w:lang w:val="en-US" w:eastAsia="zh-CN"/>
              </w:rPr>
            </w:pPr>
            <w:r>
              <w:rPr>
                <w:rFonts w:hint="eastAsia" w:eastAsia="宋体" w:cs="Times New Roman"/>
                <w:sz w:val="21"/>
                <w:szCs w:val="21"/>
                <w:lang w:val="en-US" w:eastAsia="zh-CN"/>
              </w:rPr>
              <w:t>荆门市格林美新材料有限公司</w:t>
            </w:r>
          </w:p>
        </w:tc>
        <w:tc>
          <w:tcPr>
            <w:tcW w:w="884" w:type="pct"/>
            <w:noWrap w:val="0"/>
            <w:tcMar>
              <w:left w:w="57" w:type="dxa"/>
              <w:right w:w="57" w:type="dxa"/>
            </w:tcMar>
            <w:vAlign w:val="center"/>
          </w:tcPr>
          <w:p>
            <w:pPr>
              <w:spacing w:line="300" w:lineRule="auto"/>
              <w:jc w:val="center"/>
              <w:rPr>
                <w:rFonts w:hint="eastAsia"/>
                <w:szCs w:val="21"/>
              </w:rPr>
            </w:pPr>
            <w:r>
              <w:rPr>
                <w:rFonts w:hint="eastAsia" w:eastAsia="宋体"/>
                <w:szCs w:val="21"/>
                <w:lang w:val="en-US" w:eastAsia="zh-CN"/>
              </w:rPr>
              <w:t>采纳</w:t>
            </w:r>
          </w:p>
        </w:tc>
        <w:tc>
          <w:tcPr>
            <w:tcW w:w="322" w:type="pct"/>
            <w:noWrap w:val="0"/>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eastAsia" w:eastAsia="宋体" w:cs="Times New Roman"/>
                <w:sz w:val="21"/>
                <w:szCs w:val="21"/>
                <w:lang w:val="en-US" w:eastAsia="zh-CN"/>
              </w:rPr>
              <w:t>11</w:t>
            </w:r>
          </w:p>
        </w:tc>
        <w:tc>
          <w:tcPr>
            <w:tcW w:w="1481" w:type="pct"/>
            <w:noWrap w:val="0"/>
            <w:tcMar>
              <w:left w:w="57" w:type="dxa"/>
              <w:right w:w="57" w:type="dxa"/>
            </w:tcMar>
            <w:vAlign w:val="center"/>
          </w:tcPr>
          <w:p>
            <w:pPr>
              <w:spacing w:line="300" w:lineRule="auto"/>
              <w:jc w:val="left"/>
              <w:rPr>
                <w:rFonts w:hint="eastAsia" w:ascii="Times New Roman" w:hAnsi="Times New Roman" w:eastAsia="宋体" w:cs="Times New Roman"/>
                <w:color w:val="auto"/>
                <w:kern w:val="2"/>
                <w:sz w:val="21"/>
                <w:szCs w:val="21"/>
                <w:lang w:val="en-US" w:eastAsia="zh-CN" w:bidi="ar-SA"/>
              </w:rPr>
            </w:pPr>
            <w:r>
              <w:rPr>
                <w:rFonts w:hint="eastAsia" w:eastAsia="宋体" w:cs="Times New Roman"/>
                <w:color w:val="auto"/>
                <w:sz w:val="21"/>
                <w:szCs w:val="21"/>
                <w:lang w:val="en-US" w:eastAsia="zh-CN"/>
              </w:rPr>
              <w:t>补充“</w:t>
            </w:r>
            <w:r>
              <w:rPr>
                <w:rFonts w:hint="eastAsia"/>
                <w:color w:val="auto"/>
                <w:szCs w:val="20"/>
              </w:rPr>
              <w:t>与基本分析步骤的差异</w:t>
            </w:r>
            <w:r>
              <w:rPr>
                <w:rFonts w:hint="eastAsia" w:eastAsia="宋体" w:cs="Times New Roman"/>
                <w:color w:val="auto"/>
                <w:sz w:val="21"/>
                <w:szCs w:val="21"/>
                <w:lang w:val="en-US" w:eastAsia="zh-CN"/>
              </w:rPr>
              <w:t>”</w:t>
            </w:r>
          </w:p>
        </w:tc>
        <w:tc>
          <w:tcPr>
            <w:tcW w:w="161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eastAsia="宋体" w:cs="Times New Roman"/>
                <w:sz w:val="21"/>
                <w:szCs w:val="21"/>
                <w:lang w:val="en-US" w:eastAsia="zh-CN"/>
              </w:rPr>
            </w:pPr>
            <w:r>
              <w:rPr>
                <w:rFonts w:hint="eastAsia" w:eastAsia="宋体" w:cs="Times New Roman"/>
                <w:sz w:val="21"/>
                <w:szCs w:val="21"/>
                <w:lang w:val="en-US" w:eastAsia="zh-CN"/>
              </w:rPr>
              <w:t>广东先导稀材股份有限公司</w:t>
            </w:r>
          </w:p>
        </w:tc>
        <w:tc>
          <w:tcPr>
            <w:tcW w:w="884" w:type="pct"/>
            <w:noWrap w:val="0"/>
            <w:tcMar>
              <w:left w:w="57" w:type="dxa"/>
              <w:right w:w="57" w:type="dxa"/>
            </w:tcMar>
            <w:vAlign w:val="center"/>
          </w:tcPr>
          <w:p>
            <w:pPr>
              <w:spacing w:line="300" w:lineRule="auto"/>
              <w:jc w:val="center"/>
              <w:rPr>
                <w:rFonts w:hint="eastAsia"/>
                <w:szCs w:val="21"/>
              </w:rPr>
            </w:pPr>
            <w:r>
              <w:rPr>
                <w:rFonts w:hint="eastAsia" w:eastAsia="宋体"/>
                <w:szCs w:val="21"/>
                <w:lang w:val="en-US" w:eastAsia="zh-CN"/>
              </w:rPr>
              <w:t>采纳</w:t>
            </w:r>
          </w:p>
        </w:tc>
        <w:tc>
          <w:tcPr>
            <w:tcW w:w="322" w:type="pct"/>
            <w:noWrap w:val="0"/>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spacing w:line="300" w:lineRule="auto"/>
              <w:jc w:val="center"/>
              <w:rPr>
                <w:rFonts w:hint="eastAsia" w:ascii="Times New Roman" w:hAnsi="Times New Roman" w:eastAsia="宋体" w:cs="Times New Roman"/>
                <w:kern w:val="2"/>
                <w:sz w:val="21"/>
                <w:szCs w:val="21"/>
                <w:lang w:val="en-US" w:eastAsia="zh-CN" w:bidi="ar-SA"/>
              </w:rPr>
            </w:pPr>
          </w:p>
        </w:tc>
        <w:tc>
          <w:tcPr>
            <w:tcW w:w="1481" w:type="pct"/>
            <w:noWrap w:val="0"/>
            <w:tcMar>
              <w:left w:w="57" w:type="dxa"/>
              <w:right w:w="57" w:type="dxa"/>
            </w:tcMar>
            <w:vAlign w:val="center"/>
          </w:tcPr>
          <w:p>
            <w:pPr>
              <w:spacing w:line="300" w:lineRule="auto"/>
              <w:jc w:val="left"/>
              <w:rPr>
                <w:rFonts w:hint="eastAsia" w:ascii="Times New Roman" w:hAnsi="Times New Roman" w:eastAsia="宋体" w:cs="Times New Roman"/>
                <w:color w:val="auto"/>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eastAsia="宋体" w:cs="Times New Roman"/>
                <w:color w:val="FF0000"/>
                <w:sz w:val="21"/>
                <w:szCs w:val="21"/>
                <w:lang w:val="en-US" w:eastAsia="zh-CN"/>
              </w:rPr>
            </w:pPr>
            <w:r>
              <w:rPr>
                <w:rFonts w:hint="eastAsia" w:eastAsia="宋体" w:cs="Times New Roman"/>
                <w:sz w:val="21"/>
                <w:szCs w:val="21"/>
                <w:lang w:val="en-US" w:eastAsia="zh-CN"/>
              </w:rPr>
              <w:t>广东邦普循环科技有限公司</w:t>
            </w:r>
          </w:p>
        </w:tc>
        <w:tc>
          <w:tcPr>
            <w:tcW w:w="884" w:type="pct"/>
            <w:noWrap w:val="0"/>
            <w:tcMar>
              <w:left w:w="57" w:type="dxa"/>
              <w:right w:w="57" w:type="dxa"/>
            </w:tcMar>
            <w:vAlign w:val="center"/>
          </w:tcPr>
          <w:p>
            <w:pPr>
              <w:jc w:val="center"/>
              <w:rPr>
                <w:rFonts w:hint="eastAsia"/>
                <w:szCs w:val="21"/>
              </w:rPr>
            </w:pPr>
          </w:p>
        </w:tc>
        <w:tc>
          <w:tcPr>
            <w:tcW w:w="322" w:type="pct"/>
            <w:noWrap w:val="0"/>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szCs w:val="21"/>
              </w:rPr>
            </w:pPr>
          </w:p>
        </w:tc>
        <w:tc>
          <w:tcPr>
            <w:tcW w:w="1481" w:type="pct"/>
            <w:noWrap w:val="0"/>
            <w:tcMar>
              <w:left w:w="57" w:type="dxa"/>
              <w:right w:w="57" w:type="dxa"/>
            </w:tcMar>
            <w:vAlign w:val="center"/>
          </w:tcPr>
          <w:p>
            <w:pPr>
              <w:spacing w:line="300" w:lineRule="auto"/>
              <w:jc w:val="left"/>
              <w:rPr>
                <w:rFonts w:hint="eastAsia"/>
                <w:szCs w:val="21"/>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eastAsia="宋体"/>
                <w:szCs w:val="21"/>
                <w:lang w:val="en-US" w:eastAsia="zh-CN"/>
              </w:rPr>
            </w:pPr>
            <w:r>
              <w:rPr>
                <w:rFonts w:hint="eastAsia" w:eastAsia="宋体"/>
                <w:szCs w:val="21"/>
                <w:lang w:val="en-US" w:eastAsia="zh-CN"/>
              </w:rPr>
              <w:t>大冶有色设计研究院有限公司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szCs w:val="21"/>
              </w:rPr>
            </w:pPr>
          </w:p>
        </w:tc>
        <w:tc>
          <w:tcPr>
            <w:tcW w:w="1481" w:type="pct"/>
            <w:noWrap w:val="0"/>
            <w:tcMar>
              <w:left w:w="57" w:type="dxa"/>
              <w:right w:w="57" w:type="dxa"/>
            </w:tcMar>
            <w:vAlign w:val="center"/>
          </w:tcPr>
          <w:p>
            <w:pPr>
              <w:spacing w:line="300" w:lineRule="auto"/>
              <w:jc w:val="left"/>
              <w:rPr>
                <w:rFonts w:hint="eastAsia"/>
                <w:szCs w:val="21"/>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eastAsia="宋体"/>
                <w:szCs w:val="21"/>
                <w:lang w:val="en-US" w:eastAsia="zh-CN"/>
              </w:rPr>
            </w:pPr>
            <w:r>
              <w:rPr>
                <w:rFonts w:hint="eastAsia" w:eastAsia="宋体"/>
                <w:szCs w:val="21"/>
                <w:lang w:val="en-US" w:eastAsia="zh-CN"/>
              </w:rPr>
              <w:t>郴州市产商品质量监督检验所</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szCs w:val="21"/>
              </w:rPr>
            </w:pPr>
          </w:p>
        </w:tc>
        <w:tc>
          <w:tcPr>
            <w:tcW w:w="1481" w:type="pct"/>
            <w:noWrap w:val="0"/>
            <w:tcMar>
              <w:left w:w="57" w:type="dxa"/>
              <w:right w:w="57" w:type="dxa"/>
            </w:tcMar>
            <w:vAlign w:val="center"/>
          </w:tcPr>
          <w:p>
            <w:pPr>
              <w:spacing w:line="300" w:lineRule="auto"/>
              <w:jc w:val="left"/>
              <w:rPr>
                <w:szCs w:val="21"/>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eastAsia="宋体"/>
                <w:szCs w:val="21"/>
                <w:lang w:val="en-US" w:eastAsia="zh-CN"/>
              </w:rPr>
            </w:pPr>
            <w:r>
              <w:rPr>
                <w:rFonts w:hint="eastAsia" w:eastAsia="宋体" w:cs="Times New Roman"/>
                <w:sz w:val="21"/>
                <w:szCs w:val="21"/>
                <w:lang w:val="en-US" w:eastAsia="zh-CN"/>
              </w:rPr>
              <w:t>浙江华友钴业股份有限公司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szCs w:val="21"/>
              </w:rPr>
            </w:pPr>
          </w:p>
        </w:tc>
        <w:tc>
          <w:tcPr>
            <w:tcW w:w="1481" w:type="pct"/>
            <w:noWrap w:val="0"/>
            <w:tcMar>
              <w:left w:w="57" w:type="dxa"/>
              <w:right w:w="57" w:type="dxa"/>
            </w:tcMar>
            <w:vAlign w:val="center"/>
          </w:tcPr>
          <w:p>
            <w:pPr>
              <w:spacing w:line="300" w:lineRule="auto"/>
              <w:jc w:val="left"/>
              <w:rPr>
                <w:szCs w:val="21"/>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eastAsia="宋体"/>
                <w:szCs w:val="21"/>
                <w:lang w:val="en-US" w:eastAsia="zh-CN"/>
              </w:rPr>
            </w:pPr>
            <w:r>
              <w:rPr>
                <w:rFonts w:hint="eastAsia" w:eastAsia="宋体"/>
                <w:szCs w:val="21"/>
                <w:lang w:val="en-US" w:eastAsia="zh-CN"/>
              </w:rPr>
              <w:t>河南豫光金铅股份有限公司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szCs w:val="21"/>
              </w:rPr>
            </w:pPr>
          </w:p>
        </w:tc>
        <w:tc>
          <w:tcPr>
            <w:tcW w:w="1481" w:type="pct"/>
            <w:noWrap w:val="0"/>
            <w:tcMar>
              <w:left w:w="57" w:type="dxa"/>
              <w:right w:w="57" w:type="dxa"/>
            </w:tcMar>
            <w:vAlign w:val="center"/>
          </w:tcPr>
          <w:p>
            <w:pPr>
              <w:spacing w:line="300" w:lineRule="auto"/>
              <w:jc w:val="left"/>
              <w:rPr>
                <w:szCs w:val="21"/>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eastAsia="宋体"/>
                <w:szCs w:val="21"/>
                <w:lang w:val="en-US" w:eastAsia="zh-CN"/>
              </w:rPr>
            </w:pPr>
            <w:r>
              <w:rPr>
                <w:rFonts w:hint="eastAsia"/>
                <w:szCs w:val="21"/>
                <w:lang w:val="en-US" w:eastAsia="zh-CN"/>
              </w:rPr>
              <w:t>葫芦岛锌业股份有点公司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szCs w:val="21"/>
              </w:rPr>
            </w:pPr>
          </w:p>
        </w:tc>
        <w:tc>
          <w:tcPr>
            <w:tcW w:w="1481" w:type="pct"/>
            <w:noWrap w:val="0"/>
            <w:tcMar>
              <w:left w:w="57" w:type="dxa"/>
              <w:right w:w="57" w:type="dxa"/>
            </w:tcMar>
            <w:vAlign w:val="center"/>
          </w:tcPr>
          <w:p>
            <w:pPr>
              <w:spacing w:line="300" w:lineRule="auto"/>
              <w:jc w:val="left"/>
              <w:rPr>
                <w:szCs w:val="21"/>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eastAsia="宋体"/>
                <w:szCs w:val="21"/>
                <w:lang w:val="en-US" w:eastAsia="zh-CN"/>
              </w:rPr>
            </w:pPr>
            <w:r>
              <w:rPr>
                <w:rFonts w:hint="eastAsia"/>
                <w:szCs w:val="21"/>
                <w:lang w:val="en-US" w:eastAsia="zh-CN"/>
              </w:rPr>
              <w:t>有研粉末新材料有限公司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spacing w:line="360" w:lineRule="exact"/>
              <w:jc w:val="center"/>
              <w:rPr>
                <w:rFonts w:hint="default" w:eastAsia="宋体"/>
                <w:szCs w:val="21"/>
                <w:lang w:val="en-US" w:eastAsia="zh-CN"/>
              </w:rPr>
            </w:pPr>
          </w:p>
        </w:tc>
        <w:tc>
          <w:tcPr>
            <w:tcW w:w="1481" w:type="pct"/>
            <w:noWrap w:val="0"/>
            <w:tcMar>
              <w:left w:w="57" w:type="dxa"/>
              <w:right w:w="57" w:type="dxa"/>
            </w:tcMar>
            <w:vAlign w:val="center"/>
          </w:tcPr>
          <w:p>
            <w:pPr>
              <w:spacing w:line="300" w:lineRule="auto"/>
              <w:jc w:val="left"/>
              <w:rPr>
                <w:rFonts w:hint="default" w:ascii="Times New Roman" w:hAnsi="Times New Roman"/>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ascii="Times New Roman" w:hAnsi="Times New Roman" w:eastAsia="宋体"/>
                <w:kern w:val="2"/>
                <w:sz w:val="21"/>
                <w:szCs w:val="21"/>
                <w:lang w:val="en-US" w:eastAsia="zh-CN" w:bidi="ar-SA"/>
              </w:rPr>
            </w:pPr>
            <w:r>
              <w:rPr>
                <w:rFonts w:hint="eastAsia"/>
                <w:szCs w:val="21"/>
                <w:lang w:val="en-US" w:eastAsia="zh-CN"/>
              </w:rPr>
              <w:t>贵研检测科技（云南）有限公司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szCs w:val="21"/>
              </w:rPr>
            </w:pPr>
          </w:p>
        </w:tc>
        <w:tc>
          <w:tcPr>
            <w:tcW w:w="1481" w:type="pct"/>
            <w:noWrap w:val="0"/>
            <w:tcMar>
              <w:left w:w="57" w:type="dxa"/>
              <w:right w:w="57" w:type="dxa"/>
            </w:tcMar>
            <w:vAlign w:val="center"/>
          </w:tcPr>
          <w:p>
            <w:pPr>
              <w:spacing w:line="300" w:lineRule="auto"/>
              <w:jc w:val="left"/>
              <w:rPr>
                <w:rFonts w:ascii="Times New Roman" w:hAnsi="Times New Roman"/>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ascii="Times New Roman" w:hAnsi="Times New Roman" w:eastAsia="宋体"/>
                <w:kern w:val="2"/>
                <w:sz w:val="21"/>
                <w:szCs w:val="21"/>
                <w:lang w:val="en-US" w:eastAsia="zh-CN" w:bidi="ar-SA"/>
              </w:rPr>
            </w:pPr>
            <w:r>
              <w:rPr>
                <w:rFonts w:hint="eastAsia"/>
                <w:szCs w:val="21"/>
                <w:lang w:val="en-US" w:eastAsia="zh-CN"/>
              </w:rPr>
              <w:t>新疆众合股份有限公司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szCs w:val="21"/>
              </w:rPr>
            </w:pPr>
          </w:p>
        </w:tc>
        <w:tc>
          <w:tcPr>
            <w:tcW w:w="1481" w:type="pct"/>
            <w:noWrap w:val="0"/>
            <w:tcMar>
              <w:left w:w="57" w:type="dxa"/>
              <w:right w:w="57" w:type="dxa"/>
            </w:tcMar>
            <w:vAlign w:val="center"/>
          </w:tcPr>
          <w:p>
            <w:pPr>
              <w:spacing w:line="300" w:lineRule="auto"/>
              <w:jc w:val="left"/>
              <w:rPr>
                <w:rFonts w:ascii="Times New Roman" w:hAnsi="Times New Roman"/>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ascii="Times New Roman" w:hAnsi="Times New Roman" w:eastAsia="宋体"/>
                <w:kern w:val="2"/>
                <w:sz w:val="21"/>
                <w:szCs w:val="21"/>
                <w:lang w:val="en-US" w:eastAsia="zh-CN" w:bidi="ar-SA"/>
              </w:rPr>
            </w:pPr>
            <w:r>
              <w:rPr>
                <w:rFonts w:hint="eastAsia"/>
                <w:szCs w:val="21"/>
                <w:lang w:val="en-US" w:eastAsia="zh-CN"/>
              </w:rPr>
              <w:t>湖南有色金属烟技员有限责任公司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szCs w:val="21"/>
              </w:rPr>
            </w:pPr>
          </w:p>
        </w:tc>
        <w:tc>
          <w:tcPr>
            <w:tcW w:w="1481" w:type="pct"/>
            <w:noWrap w:val="0"/>
            <w:tcMar>
              <w:left w:w="57" w:type="dxa"/>
              <w:right w:w="57" w:type="dxa"/>
            </w:tcMar>
            <w:vAlign w:val="center"/>
          </w:tcPr>
          <w:p>
            <w:pPr>
              <w:spacing w:line="300" w:lineRule="auto"/>
              <w:jc w:val="left"/>
              <w:rPr>
                <w:rFonts w:ascii="Times New Roman" w:hAnsi="Times New Roman"/>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ascii="Times New Roman" w:hAnsi="Times New Roman" w:eastAsia="宋体"/>
                <w:kern w:val="2"/>
                <w:sz w:val="21"/>
                <w:szCs w:val="21"/>
                <w:lang w:val="en-US" w:eastAsia="zh-CN" w:bidi="ar-SA"/>
              </w:rPr>
            </w:pPr>
            <w:r>
              <w:rPr>
                <w:rFonts w:hint="eastAsia"/>
                <w:szCs w:val="21"/>
                <w:lang w:val="en-US" w:eastAsia="zh-CN"/>
              </w:rPr>
              <w:t>山东恒邦冶炼股份有限公司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szCs w:val="21"/>
              </w:rPr>
            </w:pPr>
          </w:p>
        </w:tc>
        <w:tc>
          <w:tcPr>
            <w:tcW w:w="1481" w:type="pct"/>
            <w:noWrap w:val="0"/>
            <w:tcMar>
              <w:left w:w="57" w:type="dxa"/>
              <w:right w:w="57" w:type="dxa"/>
            </w:tcMar>
            <w:vAlign w:val="center"/>
          </w:tcPr>
          <w:p>
            <w:pPr>
              <w:spacing w:line="300" w:lineRule="auto"/>
              <w:jc w:val="left"/>
              <w:rPr>
                <w:rFonts w:ascii="Times New Roman" w:hAnsi="Times New Roman"/>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ascii="Times New Roman" w:hAnsi="Times New Roman" w:eastAsia="宋体"/>
                <w:kern w:val="2"/>
                <w:sz w:val="21"/>
                <w:szCs w:val="21"/>
                <w:lang w:val="en-US" w:eastAsia="zh-CN" w:bidi="ar-SA"/>
              </w:rPr>
            </w:pPr>
            <w:r>
              <w:rPr>
                <w:rFonts w:hint="eastAsia"/>
                <w:szCs w:val="21"/>
              </w:rPr>
              <w:t>广东省韶关市质量计量监督检测所</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szCs w:val="21"/>
              </w:rPr>
            </w:pPr>
          </w:p>
        </w:tc>
        <w:tc>
          <w:tcPr>
            <w:tcW w:w="1481" w:type="pct"/>
            <w:noWrap w:val="0"/>
            <w:tcMar>
              <w:left w:w="57" w:type="dxa"/>
              <w:right w:w="57" w:type="dxa"/>
            </w:tcMar>
            <w:vAlign w:val="center"/>
          </w:tcPr>
          <w:p>
            <w:pPr>
              <w:spacing w:line="300" w:lineRule="auto"/>
              <w:jc w:val="left"/>
              <w:rPr>
                <w:rFonts w:hint="default" w:ascii="Times New Roman" w:hAnsi="Times New Roman" w:eastAsia="宋体"/>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ascii="Times New Roman" w:hAnsi="Times New Roman" w:eastAsia="宋体"/>
                <w:kern w:val="2"/>
                <w:sz w:val="21"/>
                <w:szCs w:val="21"/>
                <w:lang w:val="en-US" w:eastAsia="zh-CN" w:bidi="ar-SA"/>
              </w:rPr>
            </w:pPr>
            <w:r>
              <w:rPr>
                <w:rFonts w:hint="eastAsia"/>
                <w:szCs w:val="21"/>
              </w:rPr>
              <w:t>安徽国家铜铅锌及制品质量监督检验中心</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szCs w:val="21"/>
              </w:rPr>
            </w:pPr>
          </w:p>
        </w:tc>
        <w:tc>
          <w:tcPr>
            <w:tcW w:w="1481" w:type="pct"/>
            <w:noWrap w:val="0"/>
            <w:tcMar>
              <w:left w:w="57" w:type="dxa"/>
              <w:right w:w="57" w:type="dxa"/>
            </w:tcMar>
            <w:vAlign w:val="center"/>
          </w:tcPr>
          <w:p>
            <w:pPr>
              <w:spacing w:line="300" w:lineRule="auto"/>
              <w:jc w:val="left"/>
              <w:rPr>
                <w:rFonts w:hint="default" w:ascii="Times New Roman" w:hAnsi="Times New Roman"/>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ascii="Times New Roman" w:hAnsi="Times New Roman" w:eastAsia="宋体"/>
                <w:kern w:val="2"/>
                <w:sz w:val="21"/>
                <w:szCs w:val="21"/>
                <w:lang w:val="en-US" w:eastAsia="zh-CN" w:bidi="ar-SA"/>
              </w:rPr>
            </w:pPr>
            <w:r>
              <w:rPr>
                <w:rFonts w:hint="eastAsia"/>
                <w:szCs w:val="21"/>
              </w:rPr>
              <w:t>云南锡业股份有限公司锡业分公司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szCs w:val="21"/>
              </w:rPr>
            </w:pPr>
          </w:p>
        </w:tc>
        <w:tc>
          <w:tcPr>
            <w:tcW w:w="1481" w:type="pct"/>
            <w:noWrap w:val="0"/>
            <w:tcMar>
              <w:left w:w="57" w:type="dxa"/>
              <w:right w:w="57" w:type="dxa"/>
            </w:tcMar>
            <w:vAlign w:val="center"/>
          </w:tcPr>
          <w:p>
            <w:pPr>
              <w:spacing w:line="300" w:lineRule="auto"/>
              <w:jc w:val="left"/>
              <w:rPr>
                <w:rFonts w:ascii="Times New Roman" w:hAnsi="Times New Roman"/>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ascii="Times New Roman" w:hAnsi="Times New Roman" w:eastAsia="宋体"/>
                <w:kern w:val="2"/>
                <w:sz w:val="21"/>
                <w:szCs w:val="21"/>
                <w:lang w:val="en-US" w:eastAsia="zh-CN" w:bidi="ar-SA"/>
              </w:rPr>
            </w:pPr>
            <w:r>
              <w:rPr>
                <w:rFonts w:hint="eastAsia"/>
                <w:szCs w:val="21"/>
              </w:rPr>
              <w:t>柳州华锡有色设计研究院有限责任公司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szCs w:val="21"/>
              </w:rPr>
            </w:pPr>
          </w:p>
        </w:tc>
        <w:tc>
          <w:tcPr>
            <w:tcW w:w="1481" w:type="pct"/>
            <w:noWrap w:val="0"/>
            <w:tcMar>
              <w:left w:w="57" w:type="dxa"/>
              <w:right w:w="57" w:type="dxa"/>
            </w:tcMar>
            <w:vAlign w:val="center"/>
          </w:tcPr>
          <w:p>
            <w:pPr>
              <w:spacing w:line="300" w:lineRule="auto"/>
              <w:jc w:val="left"/>
              <w:rPr>
                <w:rFonts w:ascii="Times New Roman" w:hAnsi="Times New Roman"/>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ascii="Times New Roman" w:hAnsi="Times New Roman" w:eastAsia="宋体" w:cs="Times New Roman"/>
                <w:kern w:val="2"/>
                <w:sz w:val="21"/>
                <w:szCs w:val="21"/>
                <w:lang w:val="en-US" w:eastAsia="zh-CN" w:bidi="ar-SA"/>
              </w:rPr>
            </w:pPr>
            <w:r>
              <w:rPr>
                <w:rFonts w:hint="eastAsia" w:ascii="宋体" w:hAnsi="宋体"/>
                <w:bCs/>
                <w:szCs w:val="21"/>
                <w:lang w:eastAsia="zh-CN"/>
              </w:rPr>
              <w:t>钢研纳克</w:t>
            </w:r>
            <w:r>
              <w:rPr>
                <w:rFonts w:hint="eastAsia" w:ascii="宋体" w:hAnsi="宋体"/>
                <w:bCs/>
                <w:szCs w:val="21"/>
                <w:lang w:val="en-US" w:eastAsia="zh-CN"/>
              </w:rPr>
              <w:t>检测技术股份有限公司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szCs w:val="21"/>
              </w:rPr>
            </w:pPr>
          </w:p>
        </w:tc>
        <w:tc>
          <w:tcPr>
            <w:tcW w:w="1481" w:type="pct"/>
            <w:noWrap w:val="0"/>
            <w:tcMar>
              <w:left w:w="57" w:type="dxa"/>
              <w:right w:w="57" w:type="dxa"/>
            </w:tcMar>
            <w:vAlign w:val="center"/>
          </w:tcPr>
          <w:p>
            <w:pPr>
              <w:spacing w:line="300" w:lineRule="auto"/>
              <w:jc w:val="left"/>
              <w:rPr>
                <w:rFonts w:ascii="Times New Roman" w:hAnsi="Times New Roman"/>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ascii="Times New Roman" w:hAnsi="Times New Roman" w:eastAsia="宋体" w:cs="Times New Roman"/>
                <w:kern w:val="2"/>
                <w:sz w:val="21"/>
                <w:szCs w:val="21"/>
                <w:lang w:val="en-US" w:eastAsia="zh-CN" w:bidi="ar-SA"/>
              </w:rPr>
            </w:pPr>
            <w:r>
              <w:rPr>
                <w:rFonts w:hint="eastAsia" w:ascii="宋体" w:hAnsi="宋体"/>
                <w:bCs/>
                <w:szCs w:val="21"/>
                <w:lang w:val="en-US" w:eastAsia="zh-CN"/>
              </w:rPr>
              <w:t>宁夏东方钽业股份有限公司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szCs w:val="21"/>
              </w:rPr>
            </w:pPr>
          </w:p>
        </w:tc>
        <w:tc>
          <w:tcPr>
            <w:tcW w:w="1481" w:type="pct"/>
            <w:noWrap w:val="0"/>
            <w:tcMar>
              <w:left w:w="57" w:type="dxa"/>
              <w:right w:w="57" w:type="dxa"/>
            </w:tcMar>
            <w:vAlign w:val="center"/>
          </w:tcPr>
          <w:p>
            <w:pPr>
              <w:spacing w:line="300" w:lineRule="auto"/>
              <w:jc w:val="left"/>
              <w:rPr>
                <w:rFonts w:ascii="Times New Roman" w:hAnsi="Times New Roman"/>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ascii="Times New Roman" w:hAnsi="Times New Roman"/>
                <w:kern w:val="2"/>
                <w:sz w:val="21"/>
                <w:szCs w:val="21"/>
                <w:lang w:val="en-US" w:eastAsia="zh-CN" w:bidi="ar-SA"/>
              </w:rPr>
            </w:pPr>
            <w:r>
              <w:rPr>
                <w:rFonts w:hint="eastAsia" w:ascii="宋体" w:hAnsi="宋体"/>
                <w:bCs/>
                <w:szCs w:val="21"/>
              </w:rPr>
              <w:t>上海有色金属工业技术监测中心有限公司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szCs w:val="21"/>
              </w:rPr>
            </w:pPr>
          </w:p>
        </w:tc>
        <w:tc>
          <w:tcPr>
            <w:tcW w:w="1481" w:type="pct"/>
            <w:noWrap w:val="0"/>
            <w:tcMar>
              <w:left w:w="57" w:type="dxa"/>
              <w:right w:w="57" w:type="dxa"/>
            </w:tcMar>
            <w:vAlign w:val="center"/>
          </w:tcPr>
          <w:p>
            <w:pPr>
              <w:spacing w:line="300" w:lineRule="auto"/>
              <w:jc w:val="left"/>
              <w:rPr>
                <w:rFonts w:ascii="Times New Roman" w:hAnsi="Times New Roman"/>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default" w:ascii="Times New Roman" w:hAnsi="Times New Roman"/>
                <w:kern w:val="2"/>
                <w:sz w:val="21"/>
                <w:szCs w:val="21"/>
                <w:lang w:val="en-US" w:eastAsia="zh-CN" w:bidi="ar-SA"/>
              </w:rPr>
            </w:pPr>
            <w:r>
              <w:rPr>
                <w:rFonts w:hint="eastAsia" w:ascii="宋体" w:hAnsi="宋体"/>
                <w:bCs/>
                <w:szCs w:val="21"/>
              </w:rPr>
              <w:t>宝钛集团有限公司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szCs w:val="21"/>
              </w:rPr>
            </w:pPr>
          </w:p>
        </w:tc>
        <w:tc>
          <w:tcPr>
            <w:tcW w:w="1481" w:type="pct"/>
            <w:noWrap w:val="0"/>
            <w:tcMar>
              <w:left w:w="57" w:type="dxa"/>
              <w:right w:w="57" w:type="dxa"/>
            </w:tcMar>
            <w:vAlign w:val="center"/>
          </w:tcPr>
          <w:p>
            <w:pPr>
              <w:spacing w:line="300" w:lineRule="auto"/>
              <w:jc w:val="left"/>
              <w:rPr>
                <w:rFonts w:ascii="Times New Roman" w:hAnsi="Times New Roman"/>
                <w:kern w:val="2"/>
                <w:sz w:val="21"/>
                <w:szCs w:val="21"/>
                <w:lang w:val="en-US" w:eastAsia="zh-CN" w:bidi="ar-SA"/>
              </w:rPr>
            </w:pPr>
            <w:r>
              <w:rPr>
                <w:rFonts w:hint="eastAsia" w:eastAsia="宋体" w:cs="Times New Roman"/>
                <w:sz w:val="21"/>
                <w:szCs w:val="21"/>
                <w:lang w:val="en-US" w:eastAsia="zh-CN"/>
              </w:rPr>
              <w:t>无</w:t>
            </w:r>
          </w:p>
        </w:tc>
        <w:tc>
          <w:tcPr>
            <w:tcW w:w="1619" w:type="pct"/>
            <w:noWrap w:val="0"/>
            <w:tcMar>
              <w:left w:w="28" w:type="dxa"/>
              <w:right w:w="28" w:type="dxa"/>
            </w:tcMar>
            <w:vAlign w:val="center"/>
          </w:tcPr>
          <w:p>
            <w:pPr>
              <w:spacing w:line="300" w:lineRule="auto"/>
              <w:jc w:val="left"/>
              <w:rPr>
                <w:rFonts w:hint="eastAsia" w:ascii="Times New Roman" w:hAnsi="Times New Roman"/>
                <w:kern w:val="2"/>
                <w:sz w:val="21"/>
                <w:szCs w:val="21"/>
                <w:lang w:val="en-US" w:eastAsia="zh-CN" w:bidi="ar-SA"/>
              </w:rPr>
            </w:pPr>
            <w:r>
              <w:rPr>
                <w:rFonts w:hint="eastAsia" w:ascii="宋体" w:hAnsi="宋体"/>
                <w:bCs/>
                <w:szCs w:val="21"/>
                <w:lang w:val="en-US" w:eastAsia="zh-CN"/>
              </w:rPr>
              <w:t>西安</w:t>
            </w:r>
            <w:r>
              <w:t>西部新锆科技</w:t>
            </w:r>
            <w:r>
              <w:rPr>
                <w:rFonts w:hint="eastAsia"/>
                <w:lang w:val="en-US" w:eastAsia="zh-CN"/>
              </w:rPr>
              <w:t>股份</w:t>
            </w:r>
            <w:r>
              <w:t>有限公司</w:t>
            </w: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szCs w:val="21"/>
              </w:rPr>
            </w:pPr>
          </w:p>
        </w:tc>
        <w:tc>
          <w:tcPr>
            <w:tcW w:w="1481" w:type="pct"/>
            <w:noWrap w:val="0"/>
            <w:tcMar>
              <w:left w:w="57" w:type="dxa"/>
              <w:right w:w="57" w:type="dxa"/>
            </w:tcMar>
            <w:vAlign w:val="center"/>
          </w:tcPr>
          <w:p>
            <w:pPr>
              <w:spacing w:line="300" w:lineRule="auto"/>
              <w:jc w:val="left"/>
              <w:rPr>
                <w:szCs w:val="21"/>
              </w:rPr>
            </w:pPr>
          </w:p>
        </w:tc>
        <w:tc>
          <w:tcPr>
            <w:tcW w:w="1619" w:type="pct"/>
            <w:noWrap w:val="0"/>
            <w:tcMar>
              <w:left w:w="28" w:type="dxa"/>
              <w:right w:w="28" w:type="dxa"/>
            </w:tcMar>
            <w:vAlign w:val="center"/>
          </w:tcPr>
          <w:p>
            <w:pPr>
              <w:spacing w:line="300" w:lineRule="auto"/>
              <w:jc w:val="left"/>
              <w:rPr>
                <w:rFonts w:hint="eastAsia" w:ascii="Times New Roman" w:hAnsi="Times New Roman"/>
                <w:kern w:val="2"/>
                <w:sz w:val="21"/>
                <w:szCs w:val="21"/>
                <w:lang w:val="en-US" w:eastAsia="zh-CN" w:bidi="ar-SA"/>
              </w:rPr>
            </w:pP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kern w:val="2"/>
                <w:sz w:val="21"/>
                <w:szCs w:val="21"/>
                <w:lang w:val="en-US" w:eastAsia="zh-CN" w:bidi="ar-SA"/>
              </w:rPr>
            </w:pPr>
          </w:p>
        </w:tc>
        <w:tc>
          <w:tcPr>
            <w:tcW w:w="1481" w:type="pct"/>
            <w:noWrap w:val="0"/>
            <w:tcMar>
              <w:left w:w="57" w:type="dxa"/>
              <w:right w:w="57" w:type="dxa"/>
            </w:tcMar>
            <w:vAlign w:val="center"/>
          </w:tcPr>
          <w:p>
            <w:pPr>
              <w:spacing w:line="300" w:lineRule="auto"/>
              <w:jc w:val="left"/>
              <w:rPr>
                <w:rFonts w:hint="eastAsia" w:ascii="Times New Roman" w:hAnsi="Times New Roman" w:eastAsia="宋体" w:cs="Times New Roman"/>
                <w:lang w:val="en-US" w:eastAsia="zh-CN"/>
              </w:rPr>
            </w:pPr>
          </w:p>
        </w:tc>
        <w:tc>
          <w:tcPr>
            <w:tcW w:w="1619" w:type="pct"/>
            <w:noWrap w:val="0"/>
            <w:tcMar>
              <w:left w:w="28" w:type="dxa"/>
              <w:right w:w="28" w:type="dxa"/>
            </w:tcMar>
            <w:vAlign w:val="center"/>
          </w:tcPr>
          <w:p>
            <w:pPr>
              <w:spacing w:line="300" w:lineRule="auto"/>
              <w:jc w:val="left"/>
              <w:rPr>
                <w:rFonts w:hint="eastAsia" w:ascii="Times New Roman" w:hAnsi="Times New Roman" w:eastAsia="宋体" w:cs="Times New Roman"/>
                <w:lang w:val="en-US" w:eastAsia="zh-CN"/>
              </w:rPr>
            </w:pPr>
          </w:p>
        </w:tc>
        <w:tc>
          <w:tcPr>
            <w:tcW w:w="884" w:type="pct"/>
            <w:noWrap w:val="0"/>
            <w:tcMar>
              <w:left w:w="57" w:type="dxa"/>
              <w:right w:w="57" w:type="dxa"/>
            </w:tcMar>
            <w:vAlign w:val="center"/>
          </w:tcPr>
          <w:p>
            <w:pPr>
              <w:spacing w:line="300" w:lineRule="auto"/>
              <w:jc w:val="left"/>
              <w:rPr>
                <w:rFonts w:hint="default" w:ascii="Times New Roman" w:hAnsi="Times New Roman" w:eastAsia="宋体" w:cs="Times New Roman"/>
                <w:lang w:val="en-US" w:eastAsia="zh-CN"/>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szCs w:val="21"/>
              </w:rPr>
            </w:pPr>
          </w:p>
        </w:tc>
        <w:tc>
          <w:tcPr>
            <w:tcW w:w="1481" w:type="pct"/>
            <w:noWrap w:val="0"/>
            <w:tcMar>
              <w:left w:w="57" w:type="dxa"/>
              <w:right w:w="57" w:type="dxa"/>
            </w:tcMar>
            <w:vAlign w:val="center"/>
          </w:tcPr>
          <w:p>
            <w:pPr>
              <w:spacing w:line="300" w:lineRule="auto"/>
              <w:jc w:val="left"/>
              <w:rPr>
                <w:szCs w:val="21"/>
              </w:rPr>
            </w:pPr>
          </w:p>
        </w:tc>
        <w:tc>
          <w:tcPr>
            <w:tcW w:w="1619" w:type="pct"/>
            <w:noWrap w:val="0"/>
            <w:tcMar>
              <w:left w:w="28" w:type="dxa"/>
              <w:right w:w="28" w:type="dxa"/>
            </w:tcMar>
            <w:vAlign w:val="center"/>
          </w:tcPr>
          <w:p>
            <w:pPr>
              <w:spacing w:line="300" w:lineRule="auto"/>
              <w:jc w:val="left"/>
              <w:rPr>
                <w:rFonts w:hint="eastAsia" w:ascii="宋体" w:hAnsi="宋体"/>
                <w:bCs/>
                <w:szCs w:val="21"/>
                <w:lang w:val="en-US" w:eastAsia="zh-CN"/>
              </w:rPr>
            </w:pP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5" w:type="pct"/>
            <w:noWrap w:val="0"/>
            <w:vAlign w:val="center"/>
          </w:tcPr>
          <w:p>
            <w:pPr>
              <w:numPr>
                <w:ilvl w:val="0"/>
                <w:numId w:val="4"/>
              </w:numPr>
              <w:spacing w:line="360" w:lineRule="exact"/>
              <w:jc w:val="center"/>
              <w:rPr>
                <w:rFonts w:ascii="宋体" w:hAnsi="宋体"/>
                <w:szCs w:val="21"/>
              </w:rPr>
            </w:pPr>
          </w:p>
        </w:tc>
        <w:tc>
          <w:tcPr>
            <w:tcW w:w="466" w:type="pct"/>
            <w:noWrap w:val="0"/>
            <w:tcMar>
              <w:left w:w="57" w:type="dxa"/>
              <w:right w:w="57" w:type="dxa"/>
            </w:tcMar>
            <w:vAlign w:val="center"/>
          </w:tcPr>
          <w:p>
            <w:pPr>
              <w:jc w:val="center"/>
              <w:rPr>
                <w:rFonts w:hint="eastAsia" w:ascii="宋体" w:hAnsi="宋体"/>
                <w:szCs w:val="21"/>
              </w:rPr>
            </w:pPr>
          </w:p>
        </w:tc>
        <w:tc>
          <w:tcPr>
            <w:tcW w:w="1481" w:type="pct"/>
            <w:noWrap w:val="0"/>
            <w:tcMar>
              <w:left w:w="57" w:type="dxa"/>
              <w:right w:w="57" w:type="dxa"/>
            </w:tcMar>
            <w:vAlign w:val="center"/>
          </w:tcPr>
          <w:p>
            <w:pPr>
              <w:spacing w:line="300" w:lineRule="auto"/>
              <w:jc w:val="left"/>
              <w:rPr>
                <w:szCs w:val="21"/>
              </w:rPr>
            </w:pPr>
          </w:p>
        </w:tc>
        <w:tc>
          <w:tcPr>
            <w:tcW w:w="1619" w:type="pct"/>
            <w:noWrap w:val="0"/>
            <w:tcMar>
              <w:left w:w="28" w:type="dxa"/>
              <w:right w:w="28" w:type="dxa"/>
            </w:tcMar>
            <w:vAlign w:val="center"/>
          </w:tcPr>
          <w:p>
            <w:pPr>
              <w:spacing w:line="300" w:lineRule="auto"/>
              <w:jc w:val="left"/>
              <w:rPr>
                <w:rFonts w:hint="eastAsia" w:ascii="宋体" w:hAnsi="宋体"/>
                <w:bCs/>
                <w:szCs w:val="21"/>
                <w:lang w:val="en-US" w:eastAsia="zh-CN"/>
              </w:rPr>
            </w:pPr>
          </w:p>
        </w:tc>
        <w:tc>
          <w:tcPr>
            <w:tcW w:w="884" w:type="pct"/>
            <w:noWrap w:val="0"/>
            <w:tcMar>
              <w:left w:w="57" w:type="dxa"/>
              <w:right w:w="57" w:type="dxa"/>
            </w:tcMar>
            <w:vAlign w:val="center"/>
          </w:tcPr>
          <w:p>
            <w:pPr>
              <w:spacing w:line="300" w:lineRule="auto"/>
              <w:jc w:val="center"/>
              <w:rPr>
                <w:rFonts w:hint="eastAsia"/>
                <w:szCs w:val="21"/>
              </w:rPr>
            </w:pPr>
          </w:p>
        </w:tc>
        <w:tc>
          <w:tcPr>
            <w:tcW w:w="322" w:type="pct"/>
            <w:noWrap w:val="0"/>
            <w:vAlign w:val="center"/>
          </w:tcPr>
          <w:p>
            <w:pPr>
              <w:spacing w:line="360" w:lineRule="exact"/>
              <w:rPr>
                <w:rFonts w:ascii="宋体" w:hAnsi="宋体"/>
                <w:szCs w:val="21"/>
              </w:rPr>
            </w:pPr>
          </w:p>
        </w:tc>
      </w:tr>
    </w:tbl>
    <w:p>
      <w:pPr>
        <w:rPr>
          <w:szCs w:val="21"/>
        </w:rPr>
      </w:pPr>
      <w:r>
        <w:rPr>
          <w:rFonts w:hint="eastAsia"/>
          <w:szCs w:val="21"/>
        </w:rPr>
        <w:t>说明（1）发送</w:t>
      </w:r>
      <w:r>
        <w:rPr>
          <w:rFonts w:hint="eastAsia" w:ascii="宋体" w:hAnsi="宋体"/>
          <w:szCs w:val="21"/>
        </w:rPr>
        <w:t>《征求意见稿》的单位数：</w:t>
      </w:r>
      <w:r>
        <w:rPr>
          <w:rFonts w:hint="eastAsia" w:ascii="宋体" w:hAnsi="宋体"/>
          <w:szCs w:val="21"/>
          <w:lang w:val="en-US" w:eastAsia="zh-CN"/>
        </w:rPr>
        <w:t>31</w:t>
      </w:r>
      <w:r>
        <w:rPr>
          <w:rFonts w:hint="eastAsia" w:ascii="宋体" w:hAnsi="宋体"/>
          <w:szCs w:val="21"/>
        </w:rPr>
        <w:t>个；</w:t>
      </w:r>
    </w:p>
    <w:p>
      <w:pPr>
        <w:tabs>
          <w:tab w:val="left" w:pos="6300"/>
        </w:tabs>
        <w:rPr>
          <w:szCs w:val="21"/>
        </w:rPr>
      </w:pPr>
      <w:r>
        <w:rPr>
          <w:rFonts w:hint="eastAsia"/>
          <w:szCs w:val="21"/>
        </w:rPr>
        <w:t xml:space="preserve">    （2）收到</w:t>
      </w:r>
      <w:r>
        <w:rPr>
          <w:rFonts w:hint="eastAsia" w:ascii="宋体" w:hAnsi="宋体"/>
          <w:szCs w:val="21"/>
        </w:rPr>
        <w:t>《征求意见稿》后，回函的单位数：</w:t>
      </w:r>
      <w:r>
        <w:rPr>
          <w:rFonts w:hint="eastAsia" w:ascii="宋体" w:hAnsi="宋体"/>
          <w:szCs w:val="21"/>
          <w:lang w:val="en-US" w:eastAsia="zh-CN"/>
        </w:rPr>
        <w:t>31</w:t>
      </w:r>
      <w:r>
        <w:rPr>
          <w:rFonts w:hint="eastAsia" w:ascii="宋体" w:hAnsi="宋体"/>
          <w:szCs w:val="21"/>
        </w:rPr>
        <w:t xml:space="preserve"> 个；</w:t>
      </w:r>
      <w:r>
        <w:rPr>
          <w:rFonts w:ascii="宋体" w:hAnsi="宋体"/>
          <w:szCs w:val="21"/>
        </w:rPr>
        <w:tab/>
      </w:r>
    </w:p>
    <w:p>
      <w:pPr>
        <w:ind w:firstLine="435"/>
        <w:rPr>
          <w:rFonts w:ascii="宋体" w:hAnsi="宋体"/>
          <w:szCs w:val="21"/>
        </w:rPr>
      </w:pPr>
      <w:r>
        <w:rPr>
          <w:rFonts w:hint="eastAsia"/>
          <w:szCs w:val="21"/>
        </w:rPr>
        <w:t>（3）收到</w:t>
      </w:r>
      <w:r>
        <w:rPr>
          <w:rFonts w:hint="eastAsia" w:ascii="宋体" w:hAnsi="宋体"/>
          <w:szCs w:val="21"/>
        </w:rPr>
        <w:t>《征求意见稿》后，回函并有建议或意见的单位数：</w:t>
      </w:r>
      <w:r>
        <w:rPr>
          <w:rFonts w:hint="eastAsia" w:ascii="宋体" w:hAnsi="宋体"/>
          <w:szCs w:val="21"/>
          <w:lang w:val="en-US" w:eastAsia="zh-CN"/>
        </w:rPr>
        <w:t>11</w:t>
      </w:r>
      <w:r>
        <w:rPr>
          <w:rFonts w:hint="eastAsia" w:ascii="宋体" w:hAnsi="宋体"/>
          <w:szCs w:val="21"/>
        </w:rPr>
        <w:t>个；</w:t>
      </w:r>
    </w:p>
    <w:p>
      <w:pPr>
        <w:tabs>
          <w:tab w:val="left" w:pos="3990"/>
        </w:tabs>
        <w:ind w:firstLine="420"/>
        <w:rPr>
          <w:rFonts w:hint="eastAsia"/>
          <w:szCs w:val="21"/>
        </w:rPr>
      </w:pPr>
      <w:r>
        <w:rPr>
          <w:rFonts w:hint="eastAsia"/>
          <w:szCs w:val="21"/>
        </w:rPr>
        <w:t>（4）没有</w:t>
      </w:r>
      <w:r>
        <w:rPr>
          <w:rFonts w:hint="eastAsia" w:ascii="宋体" w:hAnsi="宋体"/>
          <w:szCs w:val="21"/>
        </w:rPr>
        <w:t>回函的单位数：</w:t>
      </w:r>
      <w:r>
        <w:rPr>
          <w:rFonts w:hint="eastAsia" w:ascii="宋体" w:hAnsi="宋体"/>
          <w:szCs w:val="21"/>
          <w:lang w:val="en-US" w:eastAsia="zh-CN"/>
        </w:rPr>
        <w:t>0</w:t>
      </w:r>
      <w:r>
        <w:rPr>
          <w:rFonts w:hint="eastAsia" w:ascii="宋体" w:hAnsi="宋体"/>
          <w:szCs w:val="21"/>
        </w:rPr>
        <w:t xml:space="preserve"> 个。</w:t>
      </w:r>
      <w:r>
        <w:rPr>
          <w:rFonts w:ascii="宋体" w:hAnsi="宋体"/>
          <w:szCs w:val="21"/>
        </w:rPr>
        <w:tab/>
      </w:r>
    </w:p>
    <w:p>
      <w:pPr>
        <w:spacing w:line="312" w:lineRule="auto"/>
        <w:jc w:val="center"/>
        <w:rPr>
          <w:rFonts w:eastAsiaTheme="minorEastAsia"/>
          <w:color w:val="000000" w:themeColor="text1"/>
          <w:szCs w:val="21"/>
          <w14:textFill>
            <w14:solidFill>
              <w14:schemeClr w14:val="tx1"/>
            </w14:solidFill>
          </w14:textFill>
        </w:rPr>
      </w:pPr>
    </w:p>
    <w:sectPr>
      <w:headerReference r:id="rId5" w:type="default"/>
      <w:footerReference r:id="rId6" w:type="default"/>
      <w:pgSz w:w="11906" w:h="16838"/>
      <w:pgMar w:top="1134" w:right="851" w:bottom="1134" w:left="851"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jc w:val="center"/>
                          </w:pPr>
                          <w:r>
                            <w:fldChar w:fldCharType="begin"/>
                          </w:r>
                          <w:r>
                            <w:instrText xml:space="preserve"> PAGE   \* MERGEFORMAT </w:instrText>
                          </w:r>
                          <w:r>
                            <w:fldChar w:fldCharType="separate"/>
                          </w:r>
                          <w:r>
                            <w:rPr>
                              <w:lang w:val="zh-CN"/>
                            </w:rPr>
                            <w:t>17</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5"/>
                      <w:jc w:val="center"/>
                    </w:pPr>
                    <w:r>
                      <w:fldChar w:fldCharType="begin"/>
                    </w:r>
                    <w:r>
                      <w:instrText xml:space="preserve"> PAGE   \* MERGEFORMAT </w:instrText>
                    </w:r>
                    <w:r>
                      <w:fldChar w:fldCharType="separate"/>
                    </w:r>
                    <w:r>
                      <w:rPr>
                        <w:lang w:val="zh-CN"/>
                      </w:rPr>
                      <w:t>17</w:t>
                    </w:r>
                    <w:r>
                      <w:rPr>
                        <w:lang w:val="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B5F72"/>
    <w:multiLevelType w:val="singleLevel"/>
    <w:tmpl w:val="93BB5F72"/>
    <w:lvl w:ilvl="0" w:tentative="0">
      <w:start w:val="1"/>
      <w:numFmt w:val="decimal"/>
      <w:suff w:val="nothing"/>
      <w:lvlText w:val="%1、"/>
      <w:lvlJc w:val="left"/>
    </w:lvl>
  </w:abstractNum>
  <w:abstractNum w:abstractNumId="1">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E2B40FB"/>
    <w:multiLevelType w:val="singleLevel"/>
    <w:tmpl w:val="0E2B40FB"/>
    <w:lvl w:ilvl="0" w:tentative="0">
      <w:start w:val="1"/>
      <w:numFmt w:val="upperLetter"/>
      <w:lvlText w:val="%1."/>
      <w:lvlJc w:val="left"/>
      <w:pPr>
        <w:tabs>
          <w:tab w:val="left" w:pos="312"/>
        </w:tabs>
      </w:pPr>
    </w:lvl>
  </w:abstractNum>
  <w:abstractNum w:abstractNumId="3">
    <w:nsid w:val="22A41359"/>
    <w:multiLevelType w:val="multilevel"/>
    <w:tmpl w:val="22A4135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1ZGY4N2MyZGU2ZDBiZjhlNmExNjUwN2U0MGI0OTEifQ=="/>
  </w:docVars>
  <w:rsids>
    <w:rsidRoot w:val="00172A27"/>
    <w:rsid w:val="0000010E"/>
    <w:rsid w:val="00000843"/>
    <w:rsid w:val="000046B0"/>
    <w:rsid w:val="00006A40"/>
    <w:rsid w:val="00010180"/>
    <w:rsid w:val="000102B4"/>
    <w:rsid w:val="00012DB2"/>
    <w:rsid w:val="00014853"/>
    <w:rsid w:val="00015388"/>
    <w:rsid w:val="0002096F"/>
    <w:rsid w:val="00022FF0"/>
    <w:rsid w:val="00024B42"/>
    <w:rsid w:val="00026D78"/>
    <w:rsid w:val="00032195"/>
    <w:rsid w:val="000332A6"/>
    <w:rsid w:val="000333CC"/>
    <w:rsid w:val="00033691"/>
    <w:rsid w:val="00035035"/>
    <w:rsid w:val="00036C57"/>
    <w:rsid w:val="00046620"/>
    <w:rsid w:val="00047D95"/>
    <w:rsid w:val="00050085"/>
    <w:rsid w:val="0005146E"/>
    <w:rsid w:val="0005350B"/>
    <w:rsid w:val="00060252"/>
    <w:rsid w:val="000604E4"/>
    <w:rsid w:val="00061D34"/>
    <w:rsid w:val="00061D46"/>
    <w:rsid w:val="00062070"/>
    <w:rsid w:val="0006432D"/>
    <w:rsid w:val="0006477B"/>
    <w:rsid w:val="00071169"/>
    <w:rsid w:val="00072756"/>
    <w:rsid w:val="000734DD"/>
    <w:rsid w:val="00073C3A"/>
    <w:rsid w:val="00074C09"/>
    <w:rsid w:val="00081A9E"/>
    <w:rsid w:val="00083A57"/>
    <w:rsid w:val="000842C3"/>
    <w:rsid w:val="00085404"/>
    <w:rsid w:val="00091DD9"/>
    <w:rsid w:val="000A0C8C"/>
    <w:rsid w:val="000A0CA9"/>
    <w:rsid w:val="000A180E"/>
    <w:rsid w:val="000A1AF4"/>
    <w:rsid w:val="000A1CC0"/>
    <w:rsid w:val="000A1DCD"/>
    <w:rsid w:val="000A2986"/>
    <w:rsid w:val="000A35F1"/>
    <w:rsid w:val="000A54AC"/>
    <w:rsid w:val="000A569E"/>
    <w:rsid w:val="000A5CC2"/>
    <w:rsid w:val="000A7FF3"/>
    <w:rsid w:val="000B14A6"/>
    <w:rsid w:val="000B3127"/>
    <w:rsid w:val="000B605E"/>
    <w:rsid w:val="000C1AC6"/>
    <w:rsid w:val="000C2217"/>
    <w:rsid w:val="000C44B2"/>
    <w:rsid w:val="000C44E3"/>
    <w:rsid w:val="000C52EA"/>
    <w:rsid w:val="000D2196"/>
    <w:rsid w:val="000D6334"/>
    <w:rsid w:val="000D7360"/>
    <w:rsid w:val="000E068C"/>
    <w:rsid w:val="000E3741"/>
    <w:rsid w:val="000E37CA"/>
    <w:rsid w:val="000E5B60"/>
    <w:rsid w:val="000E639A"/>
    <w:rsid w:val="000E6E9C"/>
    <w:rsid w:val="000E7ED5"/>
    <w:rsid w:val="000E7EDF"/>
    <w:rsid w:val="000F09A7"/>
    <w:rsid w:val="000F0CD7"/>
    <w:rsid w:val="000F1FD1"/>
    <w:rsid w:val="000F224C"/>
    <w:rsid w:val="000F2D70"/>
    <w:rsid w:val="000F3489"/>
    <w:rsid w:val="000F71AA"/>
    <w:rsid w:val="0010034F"/>
    <w:rsid w:val="00100D28"/>
    <w:rsid w:val="00103BE5"/>
    <w:rsid w:val="001074F0"/>
    <w:rsid w:val="00110508"/>
    <w:rsid w:val="001115A6"/>
    <w:rsid w:val="00112CBC"/>
    <w:rsid w:val="0011570F"/>
    <w:rsid w:val="00116D8F"/>
    <w:rsid w:val="00122903"/>
    <w:rsid w:val="001241A8"/>
    <w:rsid w:val="0012634B"/>
    <w:rsid w:val="0012792A"/>
    <w:rsid w:val="0013056C"/>
    <w:rsid w:val="001330C6"/>
    <w:rsid w:val="001345DA"/>
    <w:rsid w:val="00134E2D"/>
    <w:rsid w:val="00135E64"/>
    <w:rsid w:val="00136064"/>
    <w:rsid w:val="00137D4C"/>
    <w:rsid w:val="001424D5"/>
    <w:rsid w:val="001438F6"/>
    <w:rsid w:val="0015171C"/>
    <w:rsid w:val="00151F1C"/>
    <w:rsid w:val="00152747"/>
    <w:rsid w:val="00154608"/>
    <w:rsid w:val="00156452"/>
    <w:rsid w:val="00163269"/>
    <w:rsid w:val="00163B6C"/>
    <w:rsid w:val="001645BF"/>
    <w:rsid w:val="0016567C"/>
    <w:rsid w:val="00166ED4"/>
    <w:rsid w:val="00171087"/>
    <w:rsid w:val="0017147D"/>
    <w:rsid w:val="001742D0"/>
    <w:rsid w:val="00176CA2"/>
    <w:rsid w:val="0018074A"/>
    <w:rsid w:val="00181F09"/>
    <w:rsid w:val="00181F19"/>
    <w:rsid w:val="00182101"/>
    <w:rsid w:val="00182D22"/>
    <w:rsid w:val="00186DB8"/>
    <w:rsid w:val="00187FC9"/>
    <w:rsid w:val="0019163F"/>
    <w:rsid w:val="00192E96"/>
    <w:rsid w:val="00194EB2"/>
    <w:rsid w:val="001950F2"/>
    <w:rsid w:val="001A02DA"/>
    <w:rsid w:val="001A0910"/>
    <w:rsid w:val="001A1931"/>
    <w:rsid w:val="001A1A3D"/>
    <w:rsid w:val="001A287E"/>
    <w:rsid w:val="001A78A3"/>
    <w:rsid w:val="001B3592"/>
    <w:rsid w:val="001B3FA7"/>
    <w:rsid w:val="001B5781"/>
    <w:rsid w:val="001C35AF"/>
    <w:rsid w:val="001C4AB5"/>
    <w:rsid w:val="001C5722"/>
    <w:rsid w:val="001C5E29"/>
    <w:rsid w:val="001C6263"/>
    <w:rsid w:val="001D0C93"/>
    <w:rsid w:val="001D18F0"/>
    <w:rsid w:val="001D1A3E"/>
    <w:rsid w:val="001D200A"/>
    <w:rsid w:val="001D24F0"/>
    <w:rsid w:val="001D57BC"/>
    <w:rsid w:val="001D6080"/>
    <w:rsid w:val="001D783C"/>
    <w:rsid w:val="001D7A87"/>
    <w:rsid w:val="001E173F"/>
    <w:rsid w:val="001E1CFE"/>
    <w:rsid w:val="001E7268"/>
    <w:rsid w:val="001F00AE"/>
    <w:rsid w:val="001F194F"/>
    <w:rsid w:val="001F4370"/>
    <w:rsid w:val="001F5F9B"/>
    <w:rsid w:val="001F65ED"/>
    <w:rsid w:val="001F6B47"/>
    <w:rsid w:val="001F7DA6"/>
    <w:rsid w:val="0020225C"/>
    <w:rsid w:val="0021099A"/>
    <w:rsid w:val="0021153B"/>
    <w:rsid w:val="002119ED"/>
    <w:rsid w:val="002123C9"/>
    <w:rsid w:val="0021264D"/>
    <w:rsid w:val="00213E87"/>
    <w:rsid w:val="00216076"/>
    <w:rsid w:val="00220A49"/>
    <w:rsid w:val="002213BC"/>
    <w:rsid w:val="0022213B"/>
    <w:rsid w:val="00222AF0"/>
    <w:rsid w:val="002246A5"/>
    <w:rsid w:val="00224A26"/>
    <w:rsid w:val="002331F1"/>
    <w:rsid w:val="002344C3"/>
    <w:rsid w:val="002367F4"/>
    <w:rsid w:val="00237934"/>
    <w:rsid w:val="002408F8"/>
    <w:rsid w:val="00240D65"/>
    <w:rsid w:val="002414FB"/>
    <w:rsid w:val="00242023"/>
    <w:rsid w:val="00242AAA"/>
    <w:rsid w:val="00243777"/>
    <w:rsid w:val="00245A31"/>
    <w:rsid w:val="0024636D"/>
    <w:rsid w:val="002464C4"/>
    <w:rsid w:val="002474F1"/>
    <w:rsid w:val="00251D8E"/>
    <w:rsid w:val="00252622"/>
    <w:rsid w:val="00252865"/>
    <w:rsid w:val="00252CB5"/>
    <w:rsid w:val="002569A0"/>
    <w:rsid w:val="00257050"/>
    <w:rsid w:val="00260650"/>
    <w:rsid w:val="002634A5"/>
    <w:rsid w:val="00263B9F"/>
    <w:rsid w:val="00264880"/>
    <w:rsid w:val="002658D8"/>
    <w:rsid w:val="00270709"/>
    <w:rsid w:val="00271256"/>
    <w:rsid w:val="0027329B"/>
    <w:rsid w:val="00273376"/>
    <w:rsid w:val="00275581"/>
    <w:rsid w:val="0027611E"/>
    <w:rsid w:val="00276D32"/>
    <w:rsid w:val="00277FC2"/>
    <w:rsid w:val="00283872"/>
    <w:rsid w:val="002841A5"/>
    <w:rsid w:val="002842F4"/>
    <w:rsid w:val="0028555C"/>
    <w:rsid w:val="0029258B"/>
    <w:rsid w:val="002928C6"/>
    <w:rsid w:val="00292C1B"/>
    <w:rsid w:val="002935AF"/>
    <w:rsid w:val="00294B68"/>
    <w:rsid w:val="00295158"/>
    <w:rsid w:val="00295954"/>
    <w:rsid w:val="00296C10"/>
    <w:rsid w:val="00297A7C"/>
    <w:rsid w:val="002A6909"/>
    <w:rsid w:val="002A7884"/>
    <w:rsid w:val="002B10D8"/>
    <w:rsid w:val="002B1184"/>
    <w:rsid w:val="002B1448"/>
    <w:rsid w:val="002B1476"/>
    <w:rsid w:val="002B1CDE"/>
    <w:rsid w:val="002B1E00"/>
    <w:rsid w:val="002B1EB8"/>
    <w:rsid w:val="002B20FA"/>
    <w:rsid w:val="002B39F3"/>
    <w:rsid w:val="002B5739"/>
    <w:rsid w:val="002B6730"/>
    <w:rsid w:val="002B6D40"/>
    <w:rsid w:val="002B743A"/>
    <w:rsid w:val="002B7F73"/>
    <w:rsid w:val="002C2432"/>
    <w:rsid w:val="002C5386"/>
    <w:rsid w:val="002C6032"/>
    <w:rsid w:val="002D0A2F"/>
    <w:rsid w:val="002D4DC6"/>
    <w:rsid w:val="002D542A"/>
    <w:rsid w:val="002D7674"/>
    <w:rsid w:val="002E0737"/>
    <w:rsid w:val="002E1898"/>
    <w:rsid w:val="002E2919"/>
    <w:rsid w:val="002E2EDF"/>
    <w:rsid w:val="002F08A5"/>
    <w:rsid w:val="002F1734"/>
    <w:rsid w:val="002F3670"/>
    <w:rsid w:val="002F40D5"/>
    <w:rsid w:val="002F5DB4"/>
    <w:rsid w:val="00300719"/>
    <w:rsid w:val="00300DFD"/>
    <w:rsid w:val="003017C7"/>
    <w:rsid w:val="00302CA7"/>
    <w:rsid w:val="00305AB4"/>
    <w:rsid w:val="00306F8E"/>
    <w:rsid w:val="003070AE"/>
    <w:rsid w:val="00311372"/>
    <w:rsid w:val="0031608B"/>
    <w:rsid w:val="00323EFA"/>
    <w:rsid w:val="00326256"/>
    <w:rsid w:val="00331DA0"/>
    <w:rsid w:val="003320EC"/>
    <w:rsid w:val="003336E8"/>
    <w:rsid w:val="00333F1C"/>
    <w:rsid w:val="00336817"/>
    <w:rsid w:val="003371FA"/>
    <w:rsid w:val="00337B0D"/>
    <w:rsid w:val="00340092"/>
    <w:rsid w:val="003402ED"/>
    <w:rsid w:val="003406E3"/>
    <w:rsid w:val="003430B3"/>
    <w:rsid w:val="00344F6A"/>
    <w:rsid w:val="00346D81"/>
    <w:rsid w:val="00352BC9"/>
    <w:rsid w:val="003639DC"/>
    <w:rsid w:val="00363C9B"/>
    <w:rsid w:val="00363FF5"/>
    <w:rsid w:val="00364128"/>
    <w:rsid w:val="00366C1C"/>
    <w:rsid w:val="00367A46"/>
    <w:rsid w:val="00367C34"/>
    <w:rsid w:val="00370FF7"/>
    <w:rsid w:val="00371AA3"/>
    <w:rsid w:val="00372782"/>
    <w:rsid w:val="00373131"/>
    <w:rsid w:val="00376DAF"/>
    <w:rsid w:val="00376F19"/>
    <w:rsid w:val="00380950"/>
    <w:rsid w:val="00383014"/>
    <w:rsid w:val="00383889"/>
    <w:rsid w:val="00385C99"/>
    <w:rsid w:val="00386212"/>
    <w:rsid w:val="00386F96"/>
    <w:rsid w:val="003904DF"/>
    <w:rsid w:val="003918BA"/>
    <w:rsid w:val="003922C1"/>
    <w:rsid w:val="00392AC9"/>
    <w:rsid w:val="003936AE"/>
    <w:rsid w:val="003939C9"/>
    <w:rsid w:val="00395B19"/>
    <w:rsid w:val="0039640D"/>
    <w:rsid w:val="003A4DF7"/>
    <w:rsid w:val="003B1440"/>
    <w:rsid w:val="003B3203"/>
    <w:rsid w:val="003B4C78"/>
    <w:rsid w:val="003B65F5"/>
    <w:rsid w:val="003B6F67"/>
    <w:rsid w:val="003B7E75"/>
    <w:rsid w:val="003B7F17"/>
    <w:rsid w:val="003C014B"/>
    <w:rsid w:val="003C0CDA"/>
    <w:rsid w:val="003C1F6D"/>
    <w:rsid w:val="003C25C6"/>
    <w:rsid w:val="003C4307"/>
    <w:rsid w:val="003C492E"/>
    <w:rsid w:val="003C5392"/>
    <w:rsid w:val="003C5F0B"/>
    <w:rsid w:val="003C7814"/>
    <w:rsid w:val="003D0CCD"/>
    <w:rsid w:val="003D1280"/>
    <w:rsid w:val="003D7137"/>
    <w:rsid w:val="003D79E6"/>
    <w:rsid w:val="003D7AD1"/>
    <w:rsid w:val="003E0A25"/>
    <w:rsid w:val="003E1178"/>
    <w:rsid w:val="003E2665"/>
    <w:rsid w:val="003E47D4"/>
    <w:rsid w:val="003E6AEE"/>
    <w:rsid w:val="003E7121"/>
    <w:rsid w:val="003E7A01"/>
    <w:rsid w:val="003F03FD"/>
    <w:rsid w:val="003F34E7"/>
    <w:rsid w:val="003F5178"/>
    <w:rsid w:val="003F67B0"/>
    <w:rsid w:val="0040009E"/>
    <w:rsid w:val="00400C26"/>
    <w:rsid w:val="00400ED1"/>
    <w:rsid w:val="00402FE6"/>
    <w:rsid w:val="00403167"/>
    <w:rsid w:val="00404E31"/>
    <w:rsid w:val="00405AFC"/>
    <w:rsid w:val="00407943"/>
    <w:rsid w:val="00407AAB"/>
    <w:rsid w:val="00411827"/>
    <w:rsid w:val="00415749"/>
    <w:rsid w:val="004169D7"/>
    <w:rsid w:val="00424F60"/>
    <w:rsid w:val="004306FA"/>
    <w:rsid w:val="0043072C"/>
    <w:rsid w:val="00430D5C"/>
    <w:rsid w:val="00433247"/>
    <w:rsid w:val="00437F04"/>
    <w:rsid w:val="004425AD"/>
    <w:rsid w:val="0044631C"/>
    <w:rsid w:val="004468D7"/>
    <w:rsid w:val="00446A4B"/>
    <w:rsid w:val="0044747A"/>
    <w:rsid w:val="00451D1D"/>
    <w:rsid w:val="0045247E"/>
    <w:rsid w:val="00457F66"/>
    <w:rsid w:val="0046074C"/>
    <w:rsid w:val="00462904"/>
    <w:rsid w:val="00465945"/>
    <w:rsid w:val="00465D91"/>
    <w:rsid w:val="00471A2D"/>
    <w:rsid w:val="004755BD"/>
    <w:rsid w:val="00480F24"/>
    <w:rsid w:val="004814CC"/>
    <w:rsid w:val="00482AB5"/>
    <w:rsid w:val="00483671"/>
    <w:rsid w:val="004837ED"/>
    <w:rsid w:val="0048575A"/>
    <w:rsid w:val="00493E0A"/>
    <w:rsid w:val="0049424A"/>
    <w:rsid w:val="00494ED5"/>
    <w:rsid w:val="004961DA"/>
    <w:rsid w:val="004A12F6"/>
    <w:rsid w:val="004A28AA"/>
    <w:rsid w:val="004A2C5B"/>
    <w:rsid w:val="004A3A2A"/>
    <w:rsid w:val="004A4222"/>
    <w:rsid w:val="004A513C"/>
    <w:rsid w:val="004A6BD1"/>
    <w:rsid w:val="004B1768"/>
    <w:rsid w:val="004B415A"/>
    <w:rsid w:val="004B41B0"/>
    <w:rsid w:val="004B5EE1"/>
    <w:rsid w:val="004B5F05"/>
    <w:rsid w:val="004B7E33"/>
    <w:rsid w:val="004C0C60"/>
    <w:rsid w:val="004C144D"/>
    <w:rsid w:val="004C42C7"/>
    <w:rsid w:val="004C5FCA"/>
    <w:rsid w:val="004C63B3"/>
    <w:rsid w:val="004C6484"/>
    <w:rsid w:val="004C6DE0"/>
    <w:rsid w:val="004C7B0A"/>
    <w:rsid w:val="004D1285"/>
    <w:rsid w:val="004D1F41"/>
    <w:rsid w:val="004E18EC"/>
    <w:rsid w:val="004E282E"/>
    <w:rsid w:val="004E7AD9"/>
    <w:rsid w:val="004F0AC8"/>
    <w:rsid w:val="004F59CD"/>
    <w:rsid w:val="004F6883"/>
    <w:rsid w:val="00503416"/>
    <w:rsid w:val="00503CC1"/>
    <w:rsid w:val="005041BD"/>
    <w:rsid w:val="00505AB2"/>
    <w:rsid w:val="0050616B"/>
    <w:rsid w:val="00506192"/>
    <w:rsid w:val="0051067D"/>
    <w:rsid w:val="00511935"/>
    <w:rsid w:val="00512455"/>
    <w:rsid w:val="00512603"/>
    <w:rsid w:val="005139E1"/>
    <w:rsid w:val="00514BE8"/>
    <w:rsid w:val="00515853"/>
    <w:rsid w:val="0051585A"/>
    <w:rsid w:val="005164FF"/>
    <w:rsid w:val="0051780C"/>
    <w:rsid w:val="00526898"/>
    <w:rsid w:val="005275AB"/>
    <w:rsid w:val="005300C6"/>
    <w:rsid w:val="00535312"/>
    <w:rsid w:val="00535E44"/>
    <w:rsid w:val="00540267"/>
    <w:rsid w:val="005421E7"/>
    <w:rsid w:val="0054331E"/>
    <w:rsid w:val="005444CD"/>
    <w:rsid w:val="005469A5"/>
    <w:rsid w:val="00546DF5"/>
    <w:rsid w:val="005475AF"/>
    <w:rsid w:val="00551151"/>
    <w:rsid w:val="0055122C"/>
    <w:rsid w:val="00554610"/>
    <w:rsid w:val="00554A02"/>
    <w:rsid w:val="00560B7B"/>
    <w:rsid w:val="00561BAB"/>
    <w:rsid w:val="00561E1A"/>
    <w:rsid w:val="00564F29"/>
    <w:rsid w:val="0056535D"/>
    <w:rsid w:val="005671B8"/>
    <w:rsid w:val="00570BC3"/>
    <w:rsid w:val="005731B4"/>
    <w:rsid w:val="00573F64"/>
    <w:rsid w:val="005812BF"/>
    <w:rsid w:val="0058298B"/>
    <w:rsid w:val="00583712"/>
    <w:rsid w:val="00584051"/>
    <w:rsid w:val="00584DCF"/>
    <w:rsid w:val="00587778"/>
    <w:rsid w:val="0059018B"/>
    <w:rsid w:val="00590DF2"/>
    <w:rsid w:val="00591B99"/>
    <w:rsid w:val="0059227C"/>
    <w:rsid w:val="00592A0B"/>
    <w:rsid w:val="0059441F"/>
    <w:rsid w:val="00594AF1"/>
    <w:rsid w:val="00595C2D"/>
    <w:rsid w:val="00596F20"/>
    <w:rsid w:val="005A2CDB"/>
    <w:rsid w:val="005A433E"/>
    <w:rsid w:val="005A5F88"/>
    <w:rsid w:val="005A6367"/>
    <w:rsid w:val="005A7FAD"/>
    <w:rsid w:val="005B16F8"/>
    <w:rsid w:val="005B2B1D"/>
    <w:rsid w:val="005B35E5"/>
    <w:rsid w:val="005B3B2F"/>
    <w:rsid w:val="005B42D0"/>
    <w:rsid w:val="005B4F50"/>
    <w:rsid w:val="005B602A"/>
    <w:rsid w:val="005B65D7"/>
    <w:rsid w:val="005B76DD"/>
    <w:rsid w:val="005C04B7"/>
    <w:rsid w:val="005C0D74"/>
    <w:rsid w:val="005C1E9B"/>
    <w:rsid w:val="005C2AE2"/>
    <w:rsid w:val="005C6623"/>
    <w:rsid w:val="005C6E0A"/>
    <w:rsid w:val="005C748A"/>
    <w:rsid w:val="005C76D7"/>
    <w:rsid w:val="005D1372"/>
    <w:rsid w:val="005D255E"/>
    <w:rsid w:val="005D3037"/>
    <w:rsid w:val="005D5B2C"/>
    <w:rsid w:val="005D7599"/>
    <w:rsid w:val="005D7867"/>
    <w:rsid w:val="005E030E"/>
    <w:rsid w:val="005E2C35"/>
    <w:rsid w:val="005E48F0"/>
    <w:rsid w:val="005E5671"/>
    <w:rsid w:val="005E578E"/>
    <w:rsid w:val="005E7125"/>
    <w:rsid w:val="005F1F8E"/>
    <w:rsid w:val="005F7971"/>
    <w:rsid w:val="00600224"/>
    <w:rsid w:val="00606612"/>
    <w:rsid w:val="00607C62"/>
    <w:rsid w:val="00607F6D"/>
    <w:rsid w:val="00610273"/>
    <w:rsid w:val="006102D3"/>
    <w:rsid w:val="00613007"/>
    <w:rsid w:val="0061641E"/>
    <w:rsid w:val="00620F9A"/>
    <w:rsid w:val="006237B0"/>
    <w:rsid w:val="0063380C"/>
    <w:rsid w:val="0063508A"/>
    <w:rsid w:val="00636BDB"/>
    <w:rsid w:val="00636F2E"/>
    <w:rsid w:val="00637161"/>
    <w:rsid w:val="00642493"/>
    <w:rsid w:val="0064307D"/>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7AD"/>
    <w:rsid w:val="00673F33"/>
    <w:rsid w:val="00674769"/>
    <w:rsid w:val="00674D40"/>
    <w:rsid w:val="00675AA1"/>
    <w:rsid w:val="006773F1"/>
    <w:rsid w:val="00677B56"/>
    <w:rsid w:val="006800FC"/>
    <w:rsid w:val="006815E1"/>
    <w:rsid w:val="00681710"/>
    <w:rsid w:val="00683785"/>
    <w:rsid w:val="00685707"/>
    <w:rsid w:val="00686631"/>
    <w:rsid w:val="006877FE"/>
    <w:rsid w:val="006905BF"/>
    <w:rsid w:val="006920C3"/>
    <w:rsid w:val="0069435B"/>
    <w:rsid w:val="00696C74"/>
    <w:rsid w:val="006A070E"/>
    <w:rsid w:val="006A3F86"/>
    <w:rsid w:val="006A4377"/>
    <w:rsid w:val="006A6B27"/>
    <w:rsid w:val="006A71CE"/>
    <w:rsid w:val="006B17E0"/>
    <w:rsid w:val="006B1820"/>
    <w:rsid w:val="006B2E03"/>
    <w:rsid w:val="006B3ECC"/>
    <w:rsid w:val="006B48FC"/>
    <w:rsid w:val="006B6228"/>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72C"/>
    <w:rsid w:val="006E28B7"/>
    <w:rsid w:val="006E2ACE"/>
    <w:rsid w:val="006E4918"/>
    <w:rsid w:val="006E5A49"/>
    <w:rsid w:val="006E67A8"/>
    <w:rsid w:val="006E7ACD"/>
    <w:rsid w:val="006E7C18"/>
    <w:rsid w:val="006F17C9"/>
    <w:rsid w:val="006F27D4"/>
    <w:rsid w:val="006F526E"/>
    <w:rsid w:val="006F5BD0"/>
    <w:rsid w:val="00700E3B"/>
    <w:rsid w:val="007011A5"/>
    <w:rsid w:val="00703C42"/>
    <w:rsid w:val="00704897"/>
    <w:rsid w:val="00705F22"/>
    <w:rsid w:val="007123C8"/>
    <w:rsid w:val="00712513"/>
    <w:rsid w:val="00713AC2"/>
    <w:rsid w:val="00716A87"/>
    <w:rsid w:val="0071761A"/>
    <w:rsid w:val="00717801"/>
    <w:rsid w:val="0072080A"/>
    <w:rsid w:val="00721597"/>
    <w:rsid w:val="0072235E"/>
    <w:rsid w:val="00723AF6"/>
    <w:rsid w:val="00723B32"/>
    <w:rsid w:val="00723CFC"/>
    <w:rsid w:val="007255D5"/>
    <w:rsid w:val="00725B60"/>
    <w:rsid w:val="00726914"/>
    <w:rsid w:val="00726C2F"/>
    <w:rsid w:val="00727AB4"/>
    <w:rsid w:val="007356C9"/>
    <w:rsid w:val="007415D6"/>
    <w:rsid w:val="007436BB"/>
    <w:rsid w:val="00745772"/>
    <w:rsid w:val="00745D4F"/>
    <w:rsid w:val="00746EF3"/>
    <w:rsid w:val="00747E57"/>
    <w:rsid w:val="00750CFC"/>
    <w:rsid w:val="00752374"/>
    <w:rsid w:val="00752ACC"/>
    <w:rsid w:val="00752FB4"/>
    <w:rsid w:val="00754E21"/>
    <w:rsid w:val="00755B27"/>
    <w:rsid w:val="0076047C"/>
    <w:rsid w:val="00764446"/>
    <w:rsid w:val="00766258"/>
    <w:rsid w:val="007676C6"/>
    <w:rsid w:val="00770976"/>
    <w:rsid w:val="00771198"/>
    <w:rsid w:val="0077459D"/>
    <w:rsid w:val="0078372D"/>
    <w:rsid w:val="00790884"/>
    <w:rsid w:val="00790C4F"/>
    <w:rsid w:val="00790EBF"/>
    <w:rsid w:val="007941AE"/>
    <w:rsid w:val="007967ED"/>
    <w:rsid w:val="00796FFE"/>
    <w:rsid w:val="007A16E2"/>
    <w:rsid w:val="007A3FC1"/>
    <w:rsid w:val="007A7C20"/>
    <w:rsid w:val="007B1B7D"/>
    <w:rsid w:val="007B29F0"/>
    <w:rsid w:val="007B5DB0"/>
    <w:rsid w:val="007B631C"/>
    <w:rsid w:val="007B688D"/>
    <w:rsid w:val="007B74F4"/>
    <w:rsid w:val="007B7D0F"/>
    <w:rsid w:val="007C2A43"/>
    <w:rsid w:val="007C348D"/>
    <w:rsid w:val="007C35DE"/>
    <w:rsid w:val="007C5B98"/>
    <w:rsid w:val="007C5D68"/>
    <w:rsid w:val="007D1B48"/>
    <w:rsid w:val="007D27BC"/>
    <w:rsid w:val="007D75D0"/>
    <w:rsid w:val="007E17FF"/>
    <w:rsid w:val="007E2137"/>
    <w:rsid w:val="007E36FC"/>
    <w:rsid w:val="007E50D0"/>
    <w:rsid w:val="007E5723"/>
    <w:rsid w:val="007E5B7A"/>
    <w:rsid w:val="007E70D2"/>
    <w:rsid w:val="007E7DF3"/>
    <w:rsid w:val="007F335B"/>
    <w:rsid w:val="007F3D28"/>
    <w:rsid w:val="007F4259"/>
    <w:rsid w:val="007F42A2"/>
    <w:rsid w:val="00800AEB"/>
    <w:rsid w:val="0080190E"/>
    <w:rsid w:val="00801948"/>
    <w:rsid w:val="008029FF"/>
    <w:rsid w:val="008036B5"/>
    <w:rsid w:val="008039DF"/>
    <w:rsid w:val="008043CF"/>
    <w:rsid w:val="008067CC"/>
    <w:rsid w:val="008071D9"/>
    <w:rsid w:val="008130E4"/>
    <w:rsid w:val="008148E9"/>
    <w:rsid w:val="00814C67"/>
    <w:rsid w:val="00815B0F"/>
    <w:rsid w:val="0082271E"/>
    <w:rsid w:val="00822777"/>
    <w:rsid w:val="00825D21"/>
    <w:rsid w:val="008260E1"/>
    <w:rsid w:val="0082615F"/>
    <w:rsid w:val="00826C6B"/>
    <w:rsid w:val="008279F5"/>
    <w:rsid w:val="0083190B"/>
    <w:rsid w:val="00832B3D"/>
    <w:rsid w:val="00835BDA"/>
    <w:rsid w:val="00842D20"/>
    <w:rsid w:val="0084465E"/>
    <w:rsid w:val="008459EE"/>
    <w:rsid w:val="008462B5"/>
    <w:rsid w:val="0084647D"/>
    <w:rsid w:val="00851ED0"/>
    <w:rsid w:val="00854C07"/>
    <w:rsid w:val="00860505"/>
    <w:rsid w:val="0086177D"/>
    <w:rsid w:val="00862280"/>
    <w:rsid w:val="00872C9E"/>
    <w:rsid w:val="00873AC3"/>
    <w:rsid w:val="008803D8"/>
    <w:rsid w:val="00880BF7"/>
    <w:rsid w:val="00880F82"/>
    <w:rsid w:val="00881B81"/>
    <w:rsid w:val="00887888"/>
    <w:rsid w:val="00892D8F"/>
    <w:rsid w:val="00895135"/>
    <w:rsid w:val="008A3569"/>
    <w:rsid w:val="008A36D6"/>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7A92"/>
    <w:rsid w:val="009118E6"/>
    <w:rsid w:val="00914DB5"/>
    <w:rsid w:val="0091772E"/>
    <w:rsid w:val="00920149"/>
    <w:rsid w:val="0092194B"/>
    <w:rsid w:val="009227CD"/>
    <w:rsid w:val="0092358D"/>
    <w:rsid w:val="009254EF"/>
    <w:rsid w:val="009256A5"/>
    <w:rsid w:val="009279B4"/>
    <w:rsid w:val="00927C5A"/>
    <w:rsid w:val="009322D7"/>
    <w:rsid w:val="009351AE"/>
    <w:rsid w:val="00937915"/>
    <w:rsid w:val="00937C2A"/>
    <w:rsid w:val="00945C50"/>
    <w:rsid w:val="009514E6"/>
    <w:rsid w:val="00952E0B"/>
    <w:rsid w:val="00952E60"/>
    <w:rsid w:val="0095302E"/>
    <w:rsid w:val="0095338D"/>
    <w:rsid w:val="00953D99"/>
    <w:rsid w:val="00954F1C"/>
    <w:rsid w:val="00955795"/>
    <w:rsid w:val="00955911"/>
    <w:rsid w:val="009579E5"/>
    <w:rsid w:val="00960BDD"/>
    <w:rsid w:val="0096152F"/>
    <w:rsid w:val="00961FD6"/>
    <w:rsid w:val="00963674"/>
    <w:rsid w:val="00964A13"/>
    <w:rsid w:val="0096554B"/>
    <w:rsid w:val="009660B1"/>
    <w:rsid w:val="00971D90"/>
    <w:rsid w:val="00972EAC"/>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0BB9"/>
    <w:rsid w:val="009A2C15"/>
    <w:rsid w:val="009A48B0"/>
    <w:rsid w:val="009B2597"/>
    <w:rsid w:val="009B2744"/>
    <w:rsid w:val="009B79AC"/>
    <w:rsid w:val="009C2CC3"/>
    <w:rsid w:val="009C5117"/>
    <w:rsid w:val="009C76E1"/>
    <w:rsid w:val="009D01F9"/>
    <w:rsid w:val="009D2729"/>
    <w:rsid w:val="009D513B"/>
    <w:rsid w:val="009E2786"/>
    <w:rsid w:val="009E3323"/>
    <w:rsid w:val="009E3C41"/>
    <w:rsid w:val="009E4222"/>
    <w:rsid w:val="009E437C"/>
    <w:rsid w:val="009E47AE"/>
    <w:rsid w:val="009E4EC4"/>
    <w:rsid w:val="009E532E"/>
    <w:rsid w:val="009E5672"/>
    <w:rsid w:val="009E7658"/>
    <w:rsid w:val="009F479E"/>
    <w:rsid w:val="009F5C49"/>
    <w:rsid w:val="009F5DAD"/>
    <w:rsid w:val="009F6382"/>
    <w:rsid w:val="009F78CE"/>
    <w:rsid w:val="009F7A68"/>
    <w:rsid w:val="009F7B8A"/>
    <w:rsid w:val="00A01650"/>
    <w:rsid w:val="00A0169F"/>
    <w:rsid w:val="00A02009"/>
    <w:rsid w:val="00A0302A"/>
    <w:rsid w:val="00A03103"/>
    <w:rsid w:val="00A03DF7"/>
    <w:rsid w:val="00A03EF5"/>
    <w:rsid w:val="00A042AD"/>
    <w:rsid w:val="00A07086"/>
    <w:rsid w:val="00A07E9D"/>
    <w:rsid w:val="00A1283A"/>
    <w:rsid w:val="00A12D11"/>
    <w:rsid w:val="00A17980"/>
    <w:rsid w:val="00A248DD"/>
    <w:rsid w:val="00A25709"/>
    <w:rsid w:val="00A267A6"/>
    <w:rsid w:val="00A27A5C"/>
    <w:rsid w:val="00A3343B"/>
    <w:rsid w:val="00A33A0E"/>
    <w:rsid w:val="00A34DF3"/>
    <w:rsid w:val="00A35580"/>
    <w:rsid w:val="00A365CD"/>
    <w:rsid w:val="00A37A1F"/>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2258"/>
    <w:rsid w:val="00A629BE"/>
    <w:rsid w:val="00A66175"/>
    <w:rsid w:val="00A72A11"/>
    <w:rsid w:val="00A73569"/>
    <w:rsid w:val="00A76449"/>
    <w:rsid w:val="00A77438"/>
    <w:rsid w:val="00A7773A"/>
    <w:rsid w:val="00A77C1A"/>
    <w:rsid w:val="00A8120B"/>
    <w:rsid w:val="00A82F63"/>
    <w:rsid w:val="00A834B6"/>
    <w:rsid w:val="00A847A8"/>
    <w:rsid w:val="00A84C6B"/>
    <w:rsid w:val="00A8711B"/>
    <w:rsid w:val="00A96F81"/>
    <w:rsid w:val="00A976FA"/>
    <w:rsid w:val="00A97C9F"/>
    <w:rsid w:val="00AA2645"/>
    <w:rsid w:val="00AA265A"/>
    <w:rsid w:val="00AA540B"/>
    <w:rsid w:val="00AB10A7"/>
    <w:rsid w:val="00AB171A"/>
    <w:rsid w:val="00AB640E"/>
    <w:rsid w:val="00AC11C7"/>
    <w:rsid w:val="00AC1627"/>
    <w:rsid w:val="00AC20AF"/>
    <w:rsid w:val="00AC475D"/>
    <w:rsid w:val="00AC5F01"/>
    <w:rsid w:val="00AD0DDB"/>
    <w:rsid w:val="00AD0F4B"/>
    <w:rsid w:val="00AD1316"/>
    <w:rsid w:val="00AD2481"/>
    <w:rsid w:val="00AD2C06"/>
    <w:rsid w:val="00AD2E9B"/>
    <w:rsid w:val="00AD7CE1"/>
    <w:rsid w:val="00AD7DDD"/>
    <w:rsid w:val="00AE07E7"/>
    <w:rsid w:val="00AE1106"/>
    <w:rsid w:val="00AE24F5"/>
    <w:rsid w:val="00AE3993"/>
    <w:rsid w:val="00AE7126"/>
    <w:rsid w:val="00AE7153"/>
    <w:rsid w:val="00AE723E"/>
    <w:rsid w:val="00AE728B"/>
    <w:rsid w:val="00AF288C"/>
    <w:rsid w:val="00AF4851"/>
    <w:rsid w:val="00B01873"/>
    <w:rsid w:val="00B01E95"/>
    <w:rsid w:val="00B02501"/>
    <w:rsid w:val="00B02AD7"/>
    <w:rsid w:val="00B06B34"/>
    <w:rsid w:val="00B072E8"/>
    <w:rsid w:val="00B13F4A"/>
    <w:rsid w:val="00B1517C"/>
    <w:rsid w:val="00B154A8"/>
    <w:rsid w:val="00B174D9"/>
    <w:rsid w:val="00B220F1"/>
    <w:rsid w:val="00B251A5"/>
    <w:rsid w:val="00B25B50"/>
    <w:rsid w:val="00B2693C"/>
    <w:rsid w:val="00B269C0"/>
    <w:rsid w:val="00B2769A"/>
    <w:rsid w:val="00B27EB5"/>
    <w:rsid w:val="00B33660"/>
    <w:rsid w:val="00B3625D"/>
    <w:rsid w:val="00B36291"/>
    <w:rsid w:val="00B376A0"/>
    <w:rsid w:val="00B462E9"/>
    <w:rsid w:val="00B4737D"/>
    <w:rsid w:val="00B508A5"/>
    <w:rsid w:val="00B510D2"/>
    <w:rsid w:val="00B52556"/>
    <w:rsid w:val="00B53342"/>
    <w:rsid w:val="00B54154"/>
    <w:rsid w:val="00B54159"/>
    <w:rsid w:val="00B54F58"/>
    <w:rsid w:val="00B5610F"/>
    <w:rsid w:val="00B563D6"/>
    <w:rsid w:val="00B56E03"/>
    <w:rsid w:val="00B57954"/>
    <w:rsid w:val="00B60049"/>
    <w:rsid w:val="00B62071"/>
    <w:rsid w:val="00B623AB"/>
    <w:rsid w:val="00B6433D"/>
    <w:rsid w:val="00B66F49"/>
    <w:rsid w:val="00B6789F"/>
    <w:rsid w:val="00B73279"/>
    <w:rsid w:val="00B774DF"/>
    <w:rsid w:val="00B77D4E"/>
    <w:rsid w:val="00B818C3"/>
    <w:rsid w:val="00B84471"/>
    <w:rsid w:val="00B853E0"/>
    <w:rsid w:val="00B860E9"/>
    <w:rsid w:val="00B86346"/>
    <w:rsid w:val="00B86C55"/>
    <w:rsid w:val="00B879D0"/>
    <w:rsid w:val="00B90866"/>
    <w:rsid w:val="00B917FC"/>
    <w:rsid w:val="00B92BF9"/>
    <w:rsid w:val="00B92F78"/>
    <w:rsid w:val="00B94D04"/>
    <w:rsid w:val="00B974DF"/>
    <w:rsid w:val="00B97A1D"/>
    <w:rsid w:val="00B97BD9"/>
    <w:rsid w:val="00BA16C8"/>
    <w:rsid w:val="00BA1787"/>
    <w:rsid w:val="00BA17DA"/>
    <w:rsid w:val="00BA5146"/>
    <w:rsid w:val="00BB29B0"/>
    <w:rsid w:val="00BB6054"/>
    <w:rsid w:val="00BB6830"/>
    <w:rsid w:val="00BB7322"/>
    <w:rsid w:val="00BC1EBE"/>
    <w:rsid w:val="00BC677B"/>
    <w:rsid w:val="00BC7247"/>
    <w:rsid w:val="00BD1292"/>
    <w:rsid w:val="00BD3E12"/>
    <w:rsid w:val="00BD40FA"/>
    <w:rsid w:val="00BE07C9"/>
    <w:rsid w:val="00BE7122"/>
    <w:rsid w:val="00BF013A"/>
    <w:rsid w:val="00BF1244"/>
    <w:rsid w:val="00BF52B3"/>
    <w:rsid w:val="00BF592D"/>
    <w:rsid w:val="00BF6444"/>
    <w:rsid w:val="00C02390"/>
    <w:rsid w:val="00C027EA"/>
    <w:rsid w:val="00C1097A"/>
    <w:rsid w:val="00C15AC4"/>
    <w:rsid w:val="00C16A5D"/>
    <w:rsid w:val="00C16FCF"/>
    <w:rsid w:val="00C17DCE"/>
    <w:rsid w:val="00C22C6B"/>
    <w:rsid w:val="00C24CA2"/>
    <w:rsid w:val="00C27544"/>
    <w:rsid w:val="00C2763A"/>
    <w:rsid w:val="00C27A33"/>
    <w:rsid w:val="00C317D1"/>
    <w:rsid w:val="00C32990"/>
    <w:rsid w:val="00C33B55"/>
    <w:rsid w:val="00C35D4C"/>
    <w:rsid w:val="00C36AA5"/>
    <w:rsid w:val="00C40DAE"/>
    <w:rsid w:val="00C417FC"/>
    <w:rsid w:val="00C437B0"/>
    <w:rsid w:val="00C479DB"/>
    <w:rsid w:val="00C5289C"/>
    <w:rsid w:val="00C5372F"/>
    <w:rsid w:val="00C56CC6"/>
    <w:rsid w:val="00C57F39"/>
    <w:rsid w:val="00C62684"/>
    <w:rsid w:val="00C62E97"/>
    <w:rsid w:val="00C63201"/>
    <w:rsid w:val="00C659BF"/>
    <w:rsid w:val="00C65B29"/>
    <w:rsid w:val="00C66710"/>
    <w:rsid w:val="00C70FF0"/>
    <w:rsid w:val="00C76442"/>
    <w:rsid w:val="00C76B98"/>
    <w:rsid w:val="00C831AB"/>
    <w:rsid w:val="00C85A32"/>
    <w:rsid w:val="00C915A4"/>
    <w:rsid w:val="00C92209"/>
    <w:rsid w:val="00C923D8"/>
    <w:rsid w:val="00C96A7D"/>
    <w:rsid w:val="00CA0C05"/>
    <w:rsid w:val="00CA283F"/>
    <w:rsid w:val="00CA383D"/>
    <w:rsid w:val="00CA3E13"/>
    <w:rsid w:val="00CA454A"/>
    <w:rsid w:val="00CA76B0"/>
    <w:rsid w:val="00CB10E8"/>
    <w:rsid w:val="00CB1633"/>
    <w:rsid w:val="00CB39F2"/>
    <w:rsid w:val="00CB3E68"/>
    <w:rsid w:val="00CB7308"/>
    <w:rsid w:val="00CB7BE6"/>
    <w:rsid w:val="00CC2670"/>
    <w:rsid w:val="00CC473B"/>
    <w:rsid w:val="00CC4EA7"/>
    <w:rsid w:val="00CC57B8"/>
    <w:rsid w:val="00CC731D"/>
    <w:rsid w:val="00CC7AF7"/>
    <w:rsid w:val="00CC7D45"/>
    <w:rsid w:val="00CD25A3"/>
    <w:rsid w:val="00CD3443"/>
    <w:rsid w:val="00CD4D8F"/>
    <w:rsid w:val="00CD4E16"/>
    <w:rsid w:val="00CD582F"/>
    <w:rsid w:val="00CD5DBD"/>
    <w:rsid w:val="00CD6CCF"/>
    <w:rsid w:val="00CD6F3F"/>
    <w:rsid w:val="00CE0C87"/>
    <w:rsid w:val="00CE4947"/>
    <w:rsid w:val="00CE4D8F"/>
    <w:rsid w:val="00CE51DF"/>
    <w:rsid w:val="00CE63C6"/>
    <w:rsid w:val="00CE6DB0"/>
    <w:rsid w:val="00CE7929"/>
    <w:rsid w:val="00CF14FE"/>
    <w:rsid w:val="00CF423F"/>
    <w:rsid w:val="00CF4247"/>
    <w:rsid w:val="00CF66E5"/>
    <w:rsid w:val="00CF7E52"/>
    <w:rsid w:val="00D00049"/>
    <w:rsid w:val="00D0344B"/>
    <w:rsid w:val="00D052FF"/>
    <w:rsid w:val="00D053A8"/>
    <w:rsid w:val="00D05572"/>
    <w:rsid w:val="00D059BD"/>
    <w:rsid w:val="00D06868"/>
    <w:rsid w:val="00D10123"/>
    <w:rsid w:val="00D14B3A"/>
    <w:rsid w:val="00D23C7C"/>
    <w:rsid w:val="00D2514B"/>
    <w:rsid w:val="00D26A05"/>
    <w:rsid w:val="00D27AFB"/>
    <w:rsid w:val="00D3251C"/>
    <w:rsid w:val="00D3293E"/>
    <w:rsid w:val="00D358A0"/>
    <w:rsid w:val="00D364E8"/>
    <w:rsid w:val="00D37E79"/>
    <w:rsid w:val="00D40031"/>
    <w:rsid w:val="00D444E9"/>
    <w:rsid w:val="00D45373"/>
    <w:rsid w:val="00D46973"/>
    <w:rsid w:val="00D51D6E"/>
    <w:rsid w:val="00D5684E"/>
    <w:rsid w:val="00D60CF1"/>
    <w:rsid w:val="00D61D4E"/>
    <w:rsid w:val="00D627A0"/>
    <w:rsid w:val="00D62BBB"/>
    <w:rsid w:val="00D63D6E"/>
    <w:rsid w:val="00D64543"/>
    <w:rsid w:val="00D65801"/>
    <w:rsid w:val="00D66B5D"/>
    <w:rsid w:val="00D66FE0"/>
    <w:rsid w:val="00D67E36"/>
    <w:rsid w:val="00D77C0E"/>
    <w:rsid w:val="00D812CF"/>
    <w:rsid w:val="00D81811"/>
    <w:rsid w:val="00D81A5C"/>
    <w:rsid w:val="00D84861"/>
    <w:rsid w:val="00D92B70"/>
    <w:rsid w:val="00D9464C"/>
    <w:rsid w:val="00D979B0"/>
    <w:rsid w:val="00DA0918"/>
    <w:rsid w:val="00DA2967"/>
    <w:rsid w:val="00DA43A9"/>
    <w:rsid w:val="00DA4676"/>
    <w:rsid w:val="00DA582E"/>
    <w:rsid w:val="00DC4BA1"/>
    <w:rsid w:val="00DC4F44"/>
    <w:rsid w:val="00DC60EE"/>
    <w:rsid w:val="00DD33FA"/>
    <w:rsid w:val="00DD3BAF"/>
    <w:rsid w:val="00DD6D4E"/>
    <w:rsid w:val="00DD70C1"/>
    <w:rsid w:val="00DE2AFA"/>
    <w:rsid w:val="00DE4206"/>
    <w:rsid w:val="00DE68A7"/>
    <w:rsid w:val="00DE6A34"/>
    <w:rsid w:val="00DE6BD9"/>
    <w:rsid w:val="00DF270A"/>
    <w:rsid w:val="00DF275F"/>
    <w:rsid w:val="00DF4E97"/>
    <w:rsid w:val="00E01E44"/>
    <w:rsid w:val="00E02336"/>
    <w:rsid w:val="00E02A78"/>
    <w:rsid w:val="00E06F2D"/>
    <w:rsid w:val="00E16860"/>
    <w:rsid w:val="00E16B6F"/>
    <w:rsid w:val="00E172AB"/>
    <w:rsid w:val="00E17AC3"/>
    <w:rsid w:val="00E203A5"/>
    <w:rsid w:val="00E20C9D"/>
    <w:rsid w:val="00E22DE0"/>
    <w:rsid w:val="00E23F95"/>
    <w:rsid w:val="00E24DCD"/>
    <w:rsid w:val="00E26540"/>
    <w:rsid w:val="00E27E4C"/>
    <w:rsid w:val="00E3074A"/>
    <w:rsid w:val="00E311FA"/>
    <w:rsid w:val="00E338F5"/>
    <w:rsid w:val="00E340A6"/>
    <w:rsid w:val="00E344A8"/>
    <w:rsid w:val="00E344CA"/>
    <w:rsid w:val="00E37E10"/>
    <w:rsid w:val="00E435F4"/>
    <w:rsid w:val="00E45521"/>
    <w:rsid w:val="00E50610"/>
    <w:rsid w:val="00E50944"/>
    <w:rsid w:val="00E51658"/>
    <w:rsid w:val="00E51966"/>
    <w:rsid w:val="00E52C95"/>
    <w:rsid w:val="00E55128"/>
    <w:rsid w:val="00E5542E"/>
    <w:rsid w:val="00E60000"/>
    <w:rsid w:val="00E73FAC"/>
    <w:rsid w:val="00E75019"/>
    <w:rsid w:val="00E76EF5"/>
    <w:rsid w:val="00E861EA"/>
    <w:rsid w:val="00E95A3F"/>
    <w:rsid w:val="00E966A3"/>
    <w:rsid w:val="00E97A93"/>
    <w:rsid w:val="00EA0B23"/>
    <w:rsid w:val="00EA3F4A"/>
    <w:rsid w:val="00EA4584"/>
    <w:rsid w:val="00EA545B"/>
    <w:rsid w:val="00EA5E1E"/>
    <w:rsid w:val="00EA7123"/>
    <w:rsid w:val="00EB4EEB"/>
    <w:rsid w:val="00EB6C07"/>
    <w:rsid w:val="00EC2BC3"/>
    <w:rsid w:val="00EC3811"/>
    <w:rsid w:val="00EC4880"/>
    <w:rsid w:val="00EC4AF8"/>
    <w:rsid w:val="00EC4C53"/>
    <w:rsid w:val="00EC6651"/>
    <w:rsid w:val="00EC6F1C"/>
    <w:rsid w:val="00ED0334"/>
    <w:rsid w:val="00ED4979"/>
    <w:rsid w:val="00ED51F7"/>
    <w:rsid w:val="00ED7809"/>
    <w:rsid w:val="00EE1A1C"/>
    <w:rsid w:val="00EE207A"/>
    <w:rsid w:val="00EE32C3"/>
    <w:rsid w:val="00EE37FC"/>
    <w:rsid w:val="00EE3C09"/>
    <w:rsid w:val="00EE4D8B"/>
    <w:rsid w:val="00EE580F"/>
    <w:rsid w:val="00EE7CB8"/>
    <w:rsid w:val="00EE7F53"/>
    <w:rsid w:val="00EF13E4"/>
    <w:rsid w:val="00EF1FFC"/>
    <w:rsid w:val="00EF24D7"/>
    <w:rsid w:val="00EF31FB"/>
    <w:rsid w:val="00EF3CB6"/>
    <w:rsid w:val="00EF6149"/>
    <w:rsid w:val="00F03EDB"/>
    <w:rsid w:val="00F04B73"/>
    <w:rsid w:val="00F05F0F"/>
    <w:rsid w:val="00F10465"/>
    <w:rsid w:val="00F10BF7"/>
    <w:rsid w:val="00F115A4"/>
    <w:rsid w:val="00F1351E"/>
    <w:rsid w:val="00F147BD"/>
    <w:rsid w:val="00F16864"/>
    <w:rsid w:val="00F173C9"/>
    <w:rsid w:val="00F20106"/>
    <w:rsid w:val="00F2079F"/>
    <w:rsid w:val="00F2098A"/>
    <w:rsid w:val="00F20BBA"/>
    <w:rsid w:val="00F211DE"/>
    <w:rsid w:val="00F22753"/>
    <w:rsid w:val="00F23970"/>
    <w:rsid w:val="00F2407A"/>
    <w:rsid w:val="00F25592"/>
    <w:rsid w:val="00F25D6D"/>
    <w:rsid w:val="00F26C05"/>
    <w:rsid w:val="00F26CB0"/>
    <w:rsid w:val="00F2752E"/>
    <w:rsid w:val="00F34739"/>
    <w:rsid w:val="00F35194"/>
    <w:rsid w:val="00F355C3"/>
    <w:rsid w:val="00F35782"/>
    <w:rsid w:val="00F36DDC"/>
    <w:rsid w:val="00F36F12"/>
    <w:rsid w:val="00F40404"/>
    <w:rsid w:val="00F41187"/>
    <w:rsid w:val="00F46975"/>
    <w:rsid w:val="00F46BF3"/>
    <w:rsid w:val="00F503DE"/>
    <w:rsid w:val="00F5107A"/>
    <w:rsid w:val="00F51D56"/>
    <w:rsid w:val="00F525E0"/>
    <w:rsid w:val="00F548A0"/>
    <w:rsid w:val="00F56A99"/>
    <w:rsid w:val="00F56F55"/>
    <w:rsid w:val="00F57F6E"/>
    <w:rsid w:val="00F63F99"/>
    <w:rsid w:val="00F64BF1"/>
    <w:rsid w:val="00F65E63"/>
    <w:rsid w:val="00F66868"/>
    <w:rsid w:val="00F672FB"/>
    <w:rsid w:val="00F67DAE"/>
    <w:rsid w:val="00F73967"/>
    <w:rsid w:val="00F74579"/>
    <w:rsid w:val="00F77060"/>
    <w:rsid w:val="00F77E9E"/>
    <w:rsid w:val="00F80277"/>
    <w:rsid w:val="00F803B7"/>
    <w:rsid w:val="00F82451"/>
    <w:rsid w:val="00F83187"/>
    <w:rsid w:val="00F83590"/>
    <w:rsid w:val="00F85869"/>
    <w:rsid w:val="00F85B7E"/>
    <w:rsid w:val="00F864BD"/>
    <w:rsid w:val="00F86BC9"/>
    <w:rsid w:val="00F87499"/>
    <w:rsid w:val="00F87729"/>
    <w:rsid w:val="00F92A5D"/>
    <w:rsid w:val="00F93070"/>
    <w:rsid w:val="00F95351"/>
    <w:rsid w:val="00FA2949"/>
    <w:rsid w:val="00FA3AD1"/>
    <w:rsid w:val="00FB5882"/>
    <w:rsid w:val="00FB7CDE"/>
    <w:rsid w:val="00FC1558"/>
    <w:rsid w:val="00FC4C72"/>
    <w:rsid w:val="00FD01B2"/>
    <w:rsid w:val="00FD1EA7"/>
    <w:rsid w:val="00FD271E"/>
    <w:rsid w:val="00FD27A1"/>
    <w:rsid w:val="00FD684E"/>
    <w:rsid w:val="00FD6FE1"/>
    <w:rsid w:val="00FE1678"/>
    <w:rsid w:val="00FE33BB"/>
    <w:rsid w:val="00FE3922"/>
    <w:rsid w:val="00FE6B87"/>
    <w:rsid w:val="00FE72A7"/>
    <w:rsid w:val="00FE7DF6"/>
    <w:rsid w:val="00FF055E"/>
    <w:rsid w:val="00FF1914"/>
    <w:rsid w:val="00FF3BEC"/>
    <w:rsid w:val="00FF3C6E"/>
    <w:rsid w:val="00FF595B"/>
    <w:rsid w:val="00FF5B1A"/>
    <w:rsid w:val="00FF601A"/>
    <w:rsid w:val="00FF6D53"/>
    <w:rsid w:val="00FF7B5D"/>
    <w:rsid w:val="00FF7B8D"/>
    <w:rsid w:val="0182148B"/>
    <w:rsid w:val="02077293"/>
    <w:rsid w:val="02511125"/>
    <w:rsid w:val="028B5E2B"/>
    <w:rsid w:val="03155348"/>
    <w:rsid w:val="037C62EA"/>
    <w:rsid w:val="03EA0BB3"/>
    <w:rsid w:val="05092296"/>
    <w:rsid w:val="0677729B"/>
    <w:rsid w:val="06B34F7C"/>
    <w:rsid w:val="06FE04ED"/>
    <w:rsid w:val="0858729C"/>
    <w:rsid w:val="08C0311D"/>
    <w:rsid w:val="09D00502"/>
    <w:rsid w:val="0B075C7C"/>
    <w:rsid w:val="0C893289"/>
    <w:rsid w:val="0CBE3579"/>
    <w:rsid w:val="0D375951"/>
    <w:rsid w:val="0D4D24DC"/>
    <w:rsid w:val="0FBE2EFD"/>
    <w:rsid w:val="12622462"/>
    <w:rsid w:val="12FE4223"/>
    <w:rsid w:val="13D1184E"/>
    <w:rsid w:val="14583370"/>
    <w:rsid w:val="15CB0516"/>
    <w:rsid w:val="16992462"/>
    <w:rsid w:val="1A0C47CF"/>
    <w:rsid w:val="1E1641C1"/>
    <w:rsid w:val="1FD835FF"/>
    <w:rsid w:val="1FED79DE"/>
    <w:rsid w:val="22F95E08"/>
    <w:rsid w:val="2364317C"/>
    <w:rsid w:val="2369456A"/>
    <w:rsid w:val="23D65CA1"/>
    <w:rsid w:val="25134844"/>
    <w:rsid w:val="25474A74"/>
    <w:rsid w:val="25572FFE"/>
    <w:rsid w:val="263162C4"/>
    <w:rsid w:val="27485416"/>
    <w:rsid w:val="29E412C9"/>
    <w:rsid w:val="2C0559CB"/>
    <w:rsid w:val="2C6B3A80"/>
    <w:rsid w:val="2D8356FA"/>
    <w:rsid w:val="2DB43204"/>
    <w:rsid w:val="2F3F2FCA"/>
    <w:rsid w:val="2FA35FA1"/>
    <w:rsid w:val="2FD95108"/>
    <w:rsid w:val="306544D3"/>
    <w:rsid w:val="30824344"/>
    <w:rsid w:val="31E3004C"/>
    <w:rsid w:val="31ED21CC"/>
    <w:rsid w:val="33967A78"/>
    <w:rsid w:val="34EB79D4"/>
    <w:rsid w:val="36760EB9"/>
    <w:rsid w:val="38FF2C10"/>
    <w:rsid w:val="390A3043"/>
    <w:rsid w:val="3E2D3A78"/>
    <w:rsid w:val="3F756A43"/>
    <w:rsid w:val="41A26A97"/>
    <w:rsid w:val="42CB3072"/>
    <w:rsid w:val="43AE3386"/>
    <w:rsid w:val="44D0301E"/>
    <w:rsid w:val="44F81687"/>
    <w:rsid w:val="4542655A"/>
    <w:rsid w:val="45455EFA"/>
    <w:rsid w:val="460E5D1A"/>
    <w:rsid w:val="493823F6"/>
    <w:rsid w:val="4AF832EC"/>
    <w:rsid w:val="4C787046"/>
    <w:rsid w:val="4C9D782D"/>
    <w:rsid w:val="4CA0721A"/>
    <w:rsid w:val="4CC91D3C"/>
    <w:rsid w:val="504834EA"/>
    <w:rsid w:val="51785CC0"/>
    <w:rsid w:val="520C7A1F"/>
    <w:rsid w:val="528F1EB3"/>
    <w:rsid w:val="5441018B"/>
    <w:rsid w:val="55086591"/>
    <w:rsid w:val="55514A07"/>
    <w:rsid w:val="557C35CC"/>
    <w:rsid w:val="55833198"/>
    <w:rsid w:val="55C972EF"/>
    <w:rsid w:val="57B02E05"/>
    <w:rsid w:val="58CA3BD7"/>
    <w:rsid w:val="59CC3945"/>
    <w:rsid w:val="5A1E145A"/>
    <w:rsid w:val="5AA45D4C"/>
    <w:rsid w:val="5BF51897"/>
    <w:rsid w:val="5C9039FF"/>
    <w:rsid w:val="5CDA0B1F"/>
    <w:rsid w:val="5E086A6C"/>
    <w:rsid w:val="5E4E71EA"/>
    <w:rsid w:val="5EA64538"/>
    <w:rsid w:val="5F6C3E68"/>
    <w:rsid w:val="6267026A"/>
    <w:rsid w:val="63355EAF"/>
    <w:rsid w:val="65E10B1C"/>
    <w:rsid w:val="66D47E98"/>
    <w:rsid w:val="66F330A0"/>
    <w:rsid w:val="67892760"/>
    <w:rsid w:val="6B077AB6"/>
    <w:rsid w:val="6CE91A5C"/>
    <w:rsid w:val="6D8E2C95"/>
    <w:rsid w:val="6E4B434F"/>
    <w:rsid w:val="70137427"/>
    <w:rsid w:val="70182BA3"/>
    <w:rsid w:val="707748C2"/>
    <w:rsid w:val="71452860"/>
    <w:rsid w:val="7210681E"/>
    <w:rsid w:val="73BD0AFC"/>
    <w:rsid w:val="754206C3"/>
    <w:rsid w:val="75950FC1"/>
    <w:rsid w:val="75D12407"/>
    <w:rsid w:val="77A40B6C"/>
    <w:rsid w:val="77B56366"/>
    <w:rsid w:val="780E4EED"/>
    <w:rsid w:val="78511077"/>
    <w:rsid w:val="79B053F4"/>
    <w:rsid w:val="79F20C56"/>
    <w:rsid w:val="7A640412"/>
    <w:rsid w:val="7ACA1FD2"/>
    <w:rsid w:val="7ADD3894"/>
    <w:rsid w:val="7B1E2AF8"/>
    <w:rsid w:val="7B5805EA"/>
    <w:rsid w:val="7B6B446A"/>
    <w:rsid w:val="7B9A31DB"/>
    <w:rsid w:val="7D020E63"/>
    <w:rsid w:val="7E2A4AEE"/>
    <w:rsid w:val="7E921135"/>
    <w:rsid w:val="7EBD1463"/>
    <w:rsid w:val="7F0A12AD"/>
    <w:rsid w:val="7F104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9"/>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22"/>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5"/>
    <w:qFormat/>
    <w:uiPriority w:val="0"/>
    <w:pPr>
      <w:spacing w:after="120"/>
    </w:pPr>
  </w:style>
  <w:style w:type="paragraph" w:styleId="35">
    <w:name w:val="Body Text Indent"/>
    <w:basedOn w:val="1"/>
    <w:link w:val="157"/>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61"/>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3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31"/>
    <w:qFormat/>
    <w:uiPriority w:val="0"/>
    <w:pPr>
      <w:ind w:left="100" w:leftChars="2500"/>
    </w:pPr>
  </w:style>
  <w:style w:type="paragraph" w:styleId="51">
    <w:name w:val="Body Text Indent 2"/>
    <w:basedOn w:val="1"/>
    <w:link w:val="171"/>
    <w:qFormat/>
    <w:uiPriority w:val="0"/>
    <w:pPr>
      <w:spacing w:after="120" w:line="480" w:lineRule="auto"/>
      <w:ind w:left="420" w:leftChars="200"/>
    </w:pPr>
  </w:style>
  <w:style w:type="paragraph" w:styleId="52">
    <w:name w:val="endnote text"/>
    <w:basedOn w:val="1"/>
    <w:link w:val="169"/>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rPr>
  </w:style>
  <w:style w:type="paragraph" w:styleId="55">
    <w:name w:val="footer"/>
    <w:basedOn w:val="1"/>
    <w:link w:val="124"/>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65"/>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2"/>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67"/>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2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qFormat/>
    <w:uiPriority w:val="0"/>
    <w:rPr>
      <w:b/>
      <w:bCs/>
      <w:szCs w:val="24"/>
    </w:rPr>
  </w:style>
  <w:style w:type="paragraph" w:styleId="86">
    <w:name w:val="Body Text First Indent"/>
    <w:basedOn w:val="34"/>
    <w:link w:val="156"/>
    <w:qFormat/>
    <w:uiPriority w:val="0"/>
    <w:pPr>
      <w:ind w:firstLine="420" w:firstLineChars="100"/>
    </w:pPr>
  </w:style>
  <w:style w:type="paragraph" w:styleId="87">
    <w:name w:val="Body Text First Indent 2"/>
    <w:basedOn w:val="35"/>
    <w:link w:val="158"/>
    <w:qFormat/>
    <w:uiPriority w:val="0"/>
    <w:pPr>
      <w:ind w:firstLine="420" w:firstLineChars="200"/>
    </w:pPr>
  </w:style>
  <w:style w:type="table" w:styleId="89">
    <w:name w:val="Table Grid"/>
    <w:basedOn w:val="8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14:textFill>
        <w14:solidFill>
          <w14:schemeClr w14:val="folHlink"/>
        </w14:solidFill>
      </w14:textFill>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字符"/>
    <w:basedOn w:val="90"/>
    <w:link w:val="3"/>
    <w:qFormat/>
    <w:uiPriority w:val="0"/>
    <w:rPr>
      <w:b/>
      <w:bCs/>
      <w:kern w:val="44"/>
      <w:sz w:val="44"/>
      <w:szCs w:val="44"/>
    </w:rPr>
  </w:style>
  <w:style w:type="character" w:customStyle="1" w:styleId="109">
    <w:name w:val="标题 2 字符"/>
    <w:basedOn w:val="90"/>
    <w:link w:val="4"/>
    <w:qFormat/>
    <w:uiPriority w:val="0"/>
    <w:rPr>
      <w:rFonts w:ascii="Arial" w:hAnsi="Arial" w:eastAsia="黑体"/>
      <w:b/>
      <w:bCs/>
      <w:kern w:val="2"/>
      <w:sz w:val="32"/>
      <w:szCs w:val="32"/>
    </w:rPr>
  </w:style>
  <w:style w:type="character" w:customStyle="1" w:styleId="110">
    <w:name w:val="标题 3 字符"/>
    <w:basedOn w:val="90"/>
    <w:link w:val="5"/>
    <w:qFormat/>
    <w:uiPriority w:val="0"/>
    <w:rPr>
      <w:b/>
      <w:bCs/>
      <w:kern w:val="2"/>
      <w:sz w:val="32"/>
      <w:szCs w:val="32"/>
    </w:rPr>
  </w:style>
  <w:style w:type="character" w:customStyle="1" w:styleId="111">
    <w:name w:val="标题 4 字符"/>
    <w:basedOn w:val="90"/>
    <w:link w:val="6"/>
    <w:qFormat/>
    <w:uiPriority w:val="0"/>
    <w:rPr>
      <w:rFonts w:ascii="Arial" w:hAnsi="Arial" w:eastAsia="黑体"/>
      <w:b/>
      <w:bCs/>
      <w:kern w:val="2"/>
      <w:sz w:val="28"/>
      <w:szCs w:val="28"/>
    </w:rPr>
  </w:style>
  <w:style w:type="character" w:customStyle="1" w:styleId="112">
    <w:name w:val="标题 5 字符"/>
    <w:basedOn w:val="90"/>
    <w:link w:val="7"/>
    <w:qFormat/>
    <w:uiPriority w:val="0"/>
    <w:rPr>
      <w:b/>
      <w:bCs/>
      <w:kern w:val="2"/>
      <w:sz w:val="28"/>
      <w:szCs w:val="28"/>
    </w:rPr>
  </w:style>
  <w:style w:type="character" w:customStyle="1" w:styleId="113">
    <w:name w:val="标题 6 字符"/>
    <w:basedOn w:val="90"/>
    <w:link w:val="8"/>
    <w:qFormat/>
    <w:uiPriority w:val="0"/>
    <w:rPr>
      <w:rFonts w:ascii="Arial" w:hAnsi="Arial" w:eastAsia="黑体"/>
      <w:b/>
      <w:bCs/>
      <w:kern w:val="2"/>
      <w:sz w:val="24"/>
      <w:szCs w:val="24"/>
    </w:rPr>
  </w:style>
  <w:style w:type="character" w:customStyle="1" w:styleId="114">
    <w:name w:val="标题 7 字符"/>
    <w:basedOn w:val="90"/>
    <w:link w:val="9"/>
    <w:qFormat/>
    <w:uiPriority w:val="0"/>
    <w:rPr>
      <w:b/>
      <w:bCs/>
      <w:kern w:val="2"/>
      <w:sz w:val="24"/>
      <w:szCs w:val="24"/>
    </w:rPr>
  </w:style>
  <w:style w:type="character" w:customStyle="1" w:styleId="115">
    <w:name w:val="标题 8 字符"/>
    <w:basedOn w:val="90"/>
    <w:link w:val="10"/>
    <w:qFormat/>
    <w:uiPriority w:val="0"/>
    <w:rPr>
      <w:rFonts w:ascii="Arial" w:hAnsi="Arial" w:eastAsia="黑体"/>
      <w:kern w:val="2"/>
      <w:sz w:val="24"/>
      <w:szCs w:val="24"/>
    </w:rPr>
  </w:style>
  <w:style w:type="character" w:customStyle="1" w:styleId="116">
    <w:name w:val="标题 9 字符"/>
    <w:basedOn w:val="90"/>
    <w:link w:val="11"/>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字符"/>
    <w:basedOn w:val="90"/>
    <w:link w:val="28"/>
    <w:qFormat/>
    <w:uiPriority w:val="0"/>
    <w:rPr>
      <w:kern w:val="2"/>
      <w:sz w:val="21"/>
      <w:szCs w:val="21"/>
    </w:rPr>
  </w:style>
  <w:style w:type="character" w:customStyle="1" w:styleId="123">
    <w:name w:val="页眉 字符"/>
    <w:basedOn w:val="90"/>
    <w:link w:val="57"/>
    <w:qFormat/>
    <w:uiPriority w:val="0"/>
    <w:rPr>
      <w:kern w:val="2"/>
      <w:sz w:val="18"/>
      <w:szCs w:val="24"/>
    </w:rPr>
  </w:style>
  <w:style w:type="character" w:customStyle="1" w:styleId="124">
    <w:name w:val="页脚 字符"/>
    <w:basedOn w:val="90"/>
    <w:link w:val="55"/>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字符"/>
    <w:basedOn w:val="90"/>
    <w:link w:val="84"/>
    <w:qFormat/>
    <w:uiPriority w:val="0"/>
    <w:rPr>
      <w:rFonts w:ascii="Arial" w:hAnsi="Arial" w:cs="Arial"/>
      <w:b/>
      <w:bCs/>
      <w:kern w:val="2"/>
      <w:sz w:val="32"/>
      <w:szCs w:val="32"/>
    </w:rPr>
  </w:style>
  <w:style w:type="character" w:customStyle="1" w:styleId="128">
    <w:name w:val="t_tag"/>
    <w:basedOn w:val="90"/>
    <w:qFormat/>
    <w:uiPriority w:val="0"/>
  </w:style>
  <w:style w:type="character" w:customStyle="1" w:styleId="129">
    <w:name w:val="apple-converted-space"/>
    <w:basedOn w:val="90"/>
    <w:qFormat/>
    <w:uiPriority w:val="0"/>
  </w:style>
  <w:style w:type="character" w:customStyle="1" w:styleId="130">
    <w:name w:val="apple-style-span"/>
    <w:basedOn w:val="90"/>
    <w:qFormat/>
    <w:uiPriority w:val="0"/>
  </w:style>
  <w:style w:type="character" w:customStyle="1" w:styleId="131">
    <w:name w:val="日期 字符"/>
    <w:basedOn w:val="90"/>
    <w:link w:val="50"/>
    <w:qFormat/>
    <w:uiPriority w:val="0"/>
    <w:rPr>
      <w:kern w:val="2"/>
      <w:sz w:val="21"/>
      <w:szCs w:val="24"/>
    </w:rPr>
  </w:style>
  <w:style w:type="character" w:customStyle="1" w:styleId="132">
    <w:name w:val="HTML 预设格式 字符"/>
    <w:basedOn w:val="90"/>
    <w:link w:val="80"/>
    <w:qFormat/>
    <w:uiPriority w:val="99"/>
    <w:rPr>
      <w:rFonts w:ascii="宋体" w:hAnsi="宋体" w:cs="宋体"/>
      <w:sz w:val="24"/>
      <w:szCs w:val="24"/>
    </w:rPr>
  </w:style>
  <w:style w:type="character" w:customStyle="1" w:styleId="133">
    <w:name w:val="纯文本 字符"/>
    <w:basedOn w:val="90"/>
    <w:link w:val="45"/>
    <w:qFormat/>
    <w:uiPriority w:val="0"/>
    <w:rPr>
      <w:rFonts w:ascii="宋体" w:hAnsi="Courier New" w:cs="Courier New"/>
      <w:kern w:val="2"/>
      <w:sz w:val="21"/>
      <w:szCs w:val="21"/>
    </w:rPr>
  </w:style>
  <w:style w:type="character" w:customStyle="1" w:styleId="134">
    <w:name w:val="批注主题 字符"/>
    <w:basedOn w:val="122"/>
    <w:link w:val="85"/>
    <w:qFormat/>
    <w:uiPriority w:val="0"/>
    <w:rPr>
      <w:b/>
      <w:bCs/>
      <w:kern w:val="2"/>
      <w:sz w:val="21"/>
      <w:szCs w:val="24"/>
    </w:rPr>
  </w:style>
  <w:style w:type="character" w:customStyle="1" w:styleId="135">
    <w:name w:val="批注框文本 字符"/>
    <w:basedOn w:val="90"/>
    <w:link w:val="54"/>
    <w:qFormat/>
    <w:uiPriority w:val="0"/>
    <w:rPr>
      <w:kern w:val="2"/>
      <w:sz w:val="18"/>
      <w:szCs w:val="18"/>
    </w:rPr>
  </w:style>
  <w:style w:type="paragraph" w:styleId="136">
    <w:name w:val="List Paragraph"/>
    <w:basedOn w:val="1"/>
    <w:qFormat/>
    <w:uiPriority w:val="34"/>
    <w:pPr>
      <w:ind w:firstLine="420" w:firstLineChars="200"/>
    </w:pPr>
  </w:style>
  <w:style w:type="character" w:customStyle="1" w:styleId="137">
    <w:name w:val="段 Char Char"/>
    <w:basedOn w:val="90"/>
    <w:link w:val="121"/>
    <w:qFormat/>
    <w:uiPriority w:val="0"/>
    <w:rPr>
      <w:rFonts w:ascii="宋体" w:hAnsi="宋体"/>
      <w:sz w:val="21"/>
    </w:rPr>
  </w:style>
  <w:style w:type="character" w:customStyle="1" w:styleId="138">
    <w:name w:val="short_text1"/>
    <w:basedOn w:val="90"/>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字符"/>
    <w:basedOn w:val="90"/>
    <w:link w:val="2"/>
    <w:qFormat/>
    <w:uiPriority w:val="0"/>
    <w:rPr>
      <w:rFonts w:ascii="Courier New" w:hAnsi="Courier New" w:cs="Courier New"/>
      <w:kern w:val="2"/>
      <w:sz w:val="24"/>
      <w:szCs w:val="24"/>
    </w:rPr>
  </w:style>
  <w:style w:type="character" w:customStyle="1" w:styleId="155">
    <w:name w:val="正文文本 字符"/>
    <w:basedOn w:val="90"/>
    <w:link w:val="34"/>
    <w:qFormat/>
    <w:uiPriority w:val="0"/>
    <w:rPr>
      <w:kern w:val="2"/>
      <w:sz w:val="21"/>
      <w:szCs w:val="24"/>
    </w:rPr>
  </w:style>
  <w:style w:type="character" w:customStyle="1" w:styleId="156">
    <w:name w:val="正文首行缩进 字符"/>
    <w:basedOn w:val="155"/>
    <w:link w:val="86"/>
    <w:qFormat/>
    <w:uiPriority w:val="0"/>
    <w:rPr>
      <w:kern w:val="2"/>
      <w:sz w:val="21"/>
      <w:szCs w:val="24"/>
    </w:rPr>
  </w:style>
  <w:style w:type="character" w:customStyle="1" w:styleId="157">
    <w:name w:val="正文文本缩进 字符"/>
    <w:basedOn w:val="90"/>
    <w:link w:val="35"/>
    <w:qFormat/>
    <w:uiPriority w:val="0"/>
    <w:rPr>
      <w:kern w:val="2"/>
      <w:sz w:val="21"/>
      <w:szCs w:val="24"/>
    </w:rPr>
  </w:style>
  <w:style w:type="character" w:customStyle="1" w:styleId="158">
    <w:name w:val="正文首行缩进 2 字符"/>
    <w:basedOn w:val="157"/>
    <w:link w:val="87"/>
    <w:qFormat/>
    <w:uiPriority w:val="0"/>
    <w:rPr>
      <w:kern w:val="2"/>
      <w:sz w:val="21"/>
      <w:szCs w:val="24"/>
    </w:rPr>
  </w:style>
  <w:style w:type="character" w:customStyle="1" w:styleId="159">
    <w:name w:val="文档结构图 字符"/>
    <w:basedOn w:val="90"/>
    <w:link w:val="26"/>
    <w:qFormat/>
    <w:uiPriority w:val="0"/>
    <w:rPr>
      <w:kern w:val="2"/>
      <w:sz w:val="21"/>
      <w:szCs w:val="24"/>
      <w:shd w:val="clear" w:color="auto" w:fill="000080"/>
    </w:rPr>
  </w:style>
  <w:style w:type="character" w:customStyle="1" w:styleId="160">
    <w:name w:val="正文文本 3 字符"/>
    <w:basedOn w:val="90"/>
    <w:link w:val="31"/>
    <w:qFormat/>
    <w:uiPriority w:val="0"/>
    <w:rPr>
      <w:kern w:val="2"/>
      <w:sz w:val="16"/>
      <w:szCs w:val="16"/>
    </w:rPr>
  </w:style>
  <w:style w:type="character" w:customStyle="1" w:styleId="161">
    <w:name w:val="HTML 地址 字符"/>
    <w:basedOn w:val="90"/>
    <w:link w:val="41"/>
    <w:qFormat/>
    <w:uiPriority w:val="0"/>
    <w:rPr>
      <w:i/>
      <w:iCs/>
      <w:kern w:val="2"/>
      <w:sz w:val="21"/>
      <w:szCs w:val="24"/>
    </w:rPr>
  </w:style>
  <w:style w:type="character" w:customStyle="1" w:styleId="162">
    <w:name w:val="正文文本缩进 3 字符"/>
    <w:basedOn w:val="90"/>
    <w:link w:val="70"/>
    <w:qFormat/>
    <w:uiPriority w:val="0"/>
    <w:rPr>
      <w:kern w:val="2"/>
      <w:sz w:val="16"/>
      <w:szCs w:val="16"/>
    </w:rPr>
  </w:style>
  <w:style w:type="character" w:customStyle="1" w:styleId="163">
    <w:name w:val="电子邮件签名 字符"/>
    <w:basedOn w:val="90"/>
    <w:link w:val="19"/>
    <w:qFormat/>
    <w:uiPriority w:val="0"/>
    <w:rPr>
      <w:kern w:val="2"/>
      <w:sz w:val="21"/>
      <w:szCs w:val="24"/>
    </w:rPr>
  </w:style>
  <w:style w:type="character" w:customStyle="1" w:styleId="164">
    <w:name w:val="签名 字符"/>
    <w:basedOn w:val="90"/>
    <w:link w:val="58"/>
    <w:qFormat/>
    <w:uiPriority w:val="0"/>
    <w:rPr>
      <w:kern w:val="2"/>
      <w:sz w:val="21"/>
      <w:szCs w:val="24"/>
    </w:rPr>
  </w:style>
  <w:style w:type="character" w:customStyle="1" w:styleId="165">
    <w:name w:val="脚注文本 字符"/>
    <w:basedOn w:val="90"/>
    <w:link w:val="67"/>
    <w:qFormat/>
    <w:uiPriority w:val="0"/>
    <w:rPr>
      <w:kern w:val="2"/>
      <w:sz w:val="18"/>
      <w:szCs w:val="18"/>
    </w:rPr>
  </w:style>
  <w:style w:type="character" w:customStyle="1" w:styleId="166">
    <w:name w:val="注释标题 字符"/>
    <w:basedOn w:val="90"/>
    <w:link w:val="16"/>
    <w:qFormat/>
    <w:uiPriority w:val="0"/>
    <w:rPr>
      <w:kern w:val="2"/>
      <w:sz w:val="21"/>
      <w:szCs w:val="24"/>
    </w:rPr>
  </w:style>
  <w:style w:type="character" w:customStyle="1" w:styleId="167">
    <w:name w:val="正文文本 2 字符"/>
    <w:basedOn w:val="90"/>
    <w:link w:val="76"/>
    <w:qFormat/>
    <w:uiPriority w:val="0"/>
    <w:rPr>
      <w:kern w:val="2"/>
      <w:sz w:val="21"/>
      <w:szCs w:val="24"/>
    </w:rPr>
  </w:style>
  <w:style w:type="character" w:customStyle="1" w:styleId="168">
    <w:name w:val="称呼 字符"/>
    <w:basedOn w:val="90"/>
    <w:link w:val="30"/>
    <w:qFormat/>
    <w:uiPriority w:val="0"/>
    <w:rPr>
      <w:kern w:val="2"/>
      <w:sz w:val="21"/>
      <w:szCs w:val="24"/>
    </w:rPr>
  </w:style>
  <w:style w:type="character" w:customStyle="1" w:styleId="169">
    <w:name w:val="尾注文本 字符"/>
    <w:basedOn w:val="90"/>
    <w:link w:val="52"/>
    <w:qFormat/>
    <w:uiPriority w:val="0"/>
    <w:rPr>
      <w:kern w:val="2"/>
      <w:sz w:val="21"/>
      <w:szCs w:val="24"/>
    </w:rPr>
  </w:style>
  <w:style w:type="character" w:customStyle="1" w:styleId="170">
    <w:name w:val="结束语 字符"/>
    <w:basedOn w:val="90"/>
    <w:link w:val="32"/>
    <w:qFormat/>
    <w:uiPriority w:val="0"/>
    <w:rPr>
      <w:kern w:val="2"/>
      <w:sz w:val="21"/>
      <w:szCs w:val="24"/>
    </w:rPr>
  </w:style>
  <w:style w:type="character" w:customStyle="1" w:styleId="171">
    <w:name w:val="正文文本缩进 2 字符"/>
    <w:basedOn w:val="90"/>
    <w:link w:val="51"/>
    <w:qFormat/>
    <w:uiPriority w:val="0"/>
    <w:rPr>
      <w:kern w:val="2"/>
      <w:sz w:val="21"/>
      <w:szCs w:val="24"/>
    </w:rPr>
  </w:style>
  <w:style w:type="character" w:customStyle="1" w:styleId="172">
    <w:name w:val="副标题 字符"/>
    <w:basedOn w:val="90"/>
    <w:link w:val="64"/>
    <w:qFormat/>
    <w:uiPriority w:val="0"/>
    <w:rPr>
      <w:rFonts w:ascii="Arial" w:hAnsi="Arial" w:cs="Arial"/>
      <w:b/>
      <w:bCs/>
      <w:kern w:val="28"/>
      <w:sz w:val="32"/>
      <w:szCs w:val="32"/>
    </w:rPr>
  </w:style>
  <w:style w:type="character" w:customStyle="1" w:styleId="173">
    <w:name w:val="信息标题 字符"/>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 w:type="paragraph" w:customStyle="1" w:styleId="252">
    <w:name w:val="标准名称标题"/>
    <w:basedOn w:val="1"/>
    <w:next w:val="1"/>
    <w:qFormat/>
    <w:uiPriority w:val="0"/>
    <w:pPr>
      <w:widowControl/>
      <w:shd w:val="clear" w:color="FFFFFF" w:fill="FFFFFF"/>
      <w:spacing w:line="440" w:lineRule="exact"/>
      <w:jc w:val="center"/>
    </w:pPr>
    <w:rPr>
      <w:rFonts w:ascii="黑体" w:eastAsia="黑体"/>
      <w:kern w:val="0"/>
      <w:sz w:val="32"/>
      <w:szCs w:val="20"/>
    </w:rPr>
  </w:style>
  <w:style w:type="character" w:customStyle="1" w:styleId="253">
    <w:name w:val="font81"/>
    <w:basedOn w:val="90"/>
    <w:qFormat/>
    <w:uiPriority w:val="0"/>
    <w:rPr>
      <w:rFonts w:hint="default" w:ascii="Times New Roman" w:hAnsi="Times New Roman" w:cs="Times New Roman"/>
      <w:i/>
      <w:iCs/>
      <w:color w:val="000000"/>
      <w:sz w:val="18"/>
      <w:szCs w:val="18"/>
      <w:u w:val="none"/>
    </w:rPr>
  </w:style>
  <w:style w:type="character" w:customStyle="1" w:styleId="254">
    <w:name w:val="font61"/>
    <w:basedOn w:val="90"/>
    <w:qFormat/>
    <w:uiPriority w:val="0"/>
    <w:rPr>
      <w:rFonts w:hint="default" w:ascii="Times New Roman" w:hAnsi="Times New Roman" w:cs="Times New Roman"/>
      <w:color w:val="000000"/>
      <w:sz w:val="18"/>
      <w:szCs w:val="18"/>
      <w:u w:val="none"/>
    </w:rPr>
  </w:style>
  <w:style w:type="character" w:customStyle="1" w:styleId="255">
    <w:name w:val="font71"/>
    <w:basedOn w:val="90"/>
    <w:qFormat/>
    <w:uiPriority w:val="0"/>
    <w:rPr>
      <w:rFonts w:hint="eastAsia" w:ascii="宋体" w:hAnsi="宋体" w:eastAsia="宋体" w:cs="宋体"/>
      <w:color w:val="000000"/>
      <w:sz w:val="18"/>
      <w:szCs w:val="18"/>
      <w:u w:val="none"/>
    </w:rPr>
  </w:style>
  <w:style w:type="character" w:customStyle="1" w:styleId="256">
    <w:name w:val="font91"/>
    <w:basedOn w:val="90"/>
    <w:qFormat/>
    <w:uiPriority w:val="0"/>
    <w:rPr>
      <w:rFonts w:hint="eastAsia" w:ascii="宋体" w:hAnsi="宋体" w:eastAsia="宋体" w:cs="宋体"/>
      <w:color w:val="000000"/>
      <w:sz w:val="18"/>
      <w:szCs w:val="18"/>
      <w:u w:val="none"/>
    </w:rPr>
  </w:style>
  <w:style w:type="character" w:customStyle="1" w:styleId="257">
    <w:name w:val="font21"/>
    <w:basedOn w:val="90"/>
    <w:qFormat/>
    <w:uiPriority w:val="0"/>
    <w:rPr>
      <w:rFonts w:hint="eastAsia" w:ascii="宋体" w:hAnsi="宋体" w:eastAsia="宋体" w:cs="宋体"/>
      <w:color w:val="000000"/>
      <w:sz w:val="20"/>
      <w:szCs w:val="20"/>
      <w:u w:val="none"/>
    </w:rPr>
  </w:style>
  <w:style w:type="character" w:customStyle="1" w:styleId="258">
    <w:name w:val="font31"/>
    <w:basedOn w:val="90"/>
    <w:qFormat/>
    <w:uiPriority w:val="0"/>
    <w:rPr>
      <w:rFonts w:hint="default" w:ascii="Times New Roman" w:hAnsi="Times New Roman" w:cs="Times New Roman"/>
      <w:color w:val="000000"/>
      <w:sz w:val="20"/>
      <w:szCs w:val="20"/>
      <w:u w:val="none"/>
    </w:rPr>
  </w:style>
  <w:style w:type="character" w:customStyle="1" w:styleId="259">
    <w:name w:val="font51"/>
    <w:basedOn w:val="90"/>
    <w:qFormat/>
    <w:uiPriority w:val="0"/>
    <w:rPr>
      <w:rFonts w:hint="eastAsia" w:ascii="宋体" w:hAnsi="宋体" w:eastAsia="宋体" w:cs="宋体"/>
      <w:color w:val="FF0000"/>
      <w:sz w:val="20"/>
      <w:szCs w:val="20"/>
      <w:u w:val="none"/>
    </w:rPr>
  </w:style>
  <w:style w:type="character" w:customStyle="1" w:styleId="260">
    <w:name w:val="font41"/>
    <w:basedOn w:val="90"/>
    <w:qFormat/>
    <w:uiPriority w:val="0"/>
    <w:rPr>
      <w:rFonts w:hint="default" w:ascii="Times New Roman" w:hAnsi="Times New Roman" w:cs="Times New Roman"/>
      <w:color w:val="FF0000"/>
      <w:sz w:val="20"/>
      <w:szCs w:val="20"/>
      <w:u w:val="none"/>
    </w:rPr>
  </w:style>
  <w:style w:type="character" w:customStyle="1" w:styleId="261">
    <w:name w:val="列项——（一级） Char"/>
    <w:link w:val="262"/>
    <w:qFormat/>
    <w:uiPriority w:val="0"/>
    <w:rPr>
      <w:rFonts w:ascii="宋体" w:hAnsi="Times New Roman" w:eastAsia="宋体" w:cs="Times New Roman"/>
      <w:sz w:val="21"/>
      <w:szCs w:val="22"/>
      <w:lang w:val="en-US" w:eastAsia="zh-CN" w:bidi="ar-SA"/>
    </w:rPr>
  </w:style>
  <w:style w:type="paragraph" w:customStyle="1" w:styleId="262">
    <w:name w:val="列项——（一级）"/>
    <w:link w:val="261"/>
    <w:qFormat/>
    <w:uiPriority w:val="0"/>
    <w:pPr>
      <w:widowControl w:val="0"/>
      <w:tabs>
        <w:tab w:val="left" w:pos="854"/>
      </w:tabs>
      <w:ind w:left="840" w:leftChars="200" w:hanging="420" w:hangingChars="200"/>
      <w:jc w:val="both"/>
    </w:pPr>
    <w:rPr>
      <w:rFonts w:ascii="宋体" w:hAnsi="Times New Roman" w:eastAsia="宋体" w:cs="Times New Roman"/>
      <w:sz w:val="21"/>
      <w:szCs w:val="22"/>
      <w:lang w:val="en-US" w:eastAsia="zh-CN" w:bidi="ar-SA"/>
    </w:rPr>
  </w:style>
  <w:style w:type="character" w:customStyle="1" w:styleId="263">
    <w:name w:val="font11"/>
    <w:basedOn w:val="90"/>
    <w:qFormat/>
    <w:uiPriority w:val="0"/>
    <w:rPr>
      <w:rFonts w:hint="eastAsia" w:ascii="等线" w:hAnsi="等线" w:eastAsia="等线" w:cs="等线"/>
      <w:b/>
      <w:bCs/>
      <w:color w:val="000000"/>
      <w:sz w:val="22"/>
      <w:szCs w:val="22"/>
      <w:u w:val="none"/>
    </w:rPr>
  </w:style>
  <w:style w:type="character" w:customStyle="1" w:styleId="264">
    <w:name w:val="font01"/>
    <w:basedOn w:val="90"/>
    <w:qFormat/>
    <w:uiPriority w:val="0"/>
    <w:rPr>
      <w:rFonts w:hint="eastAsia" w:ascii="等线" w:hAnsi="等线" w:eastAsia="等线" w:cs="等线"/>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00EBED-DE28-4021-8985-10D5D685A410}">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12</Pages>
  <Words>9469</Words>
  <Characters>12066</Characters>
  <Lines>106</Lines>
  <Paragraphs>44</Paragraphs>
  <TotalTime>0</TotalTime>
  <ScaleCrop>false</ScaleCrop>
  <LinksUpToDate>false</LinksUpToDate>
  <CharactersWithSpaces>12302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2022-02-28T01:34:00Z</dcterms:created>
  <dc:creator>zljy05</dc:creator>
  <cp:lastModifiedBy>msmus</cp:lastModifiedBy>
  <cp:lastPrinted>2018-08-20T12:57:00Z</cp:lastPrinted>
  <dcterms:modified xsi:type="dcterms:W3CDTF">2023-09-18T05:58:35Z</dcterms:modified>
  <dc:title>再生锌化学分析方法</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9C98FC3DFCF445F6A8EFBBC049754BFA</vt:lpwstr>
  </property>
</Properties>
</file>