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0066" w:h="676" w:wrap="around" w:vAnchor="page" w:hAnchor="page" w:x="1079" w:y="1291"/>
        <w:autoSpaceDE w:val="0"/>
        <w:autoSpaceDN w:val="0"/>
        <w:adjustRightInd w:val="0"/>
        <w:spacing w:before="24"/>
        <w:ind w:right="550"/>
        <w:jc w:val="right"/>
        <w:rPr>
          <w:rFonts w:hint="eastAsia"/>
          <w:color w:val="000000"/>
          <w:spacing w:val="90"/>
          <w:w w:val="130"/>
          <w:position w:val="6"/>
        </w:rPr>
      </w:pPr>
    </w:p>
    <w:p>
      <w:pPr>
        <w:pStyle w:val="76"/>
        <w:framePr w:w="10066" w:h="676" w:vAnchor="page" w:hAnchor="page" w:x="1079" w:y="1291"/>
      </w:pPr>
      <w:r>
        <w:rPr>
          <w:rFonts w:hint="eastAsia"/>
          <w:color w:val="000000"/>
        </w:rPr>
        <w:t xml:space="preserve">   </w:t>
      </w:r>
    </w:p>
    <w:p>
      <w:pPr>
        <w:pStyle w:val="126"/>
        <w:framePr w:w="10066" w:h="676" w:x="1079" w:y="1291"/>
        <w:jc w:val="center"/>
        <w:rPr>
          <w:sz w:val="72"/>
          <w:szCs w:val="72"/>
        </w:rPr>
      </w:pPr>
      <w:r>
        <w:rPr>
          <w:rFonts w:hint="eastAsia"/>
          <w:w w:val="200"/>
          <w:sz w:val="72"/>
          <w:szCs w:val="72"/>
        </w:rPr>
        <w:t>团体标准</w:t>
      </w:r>
    </w:p>
    <w:p>
      <w:pPr>
        <w:framePr w:w="10066" w:h="676" w:wrap="around" w:vAnchor="page" w:hAnchor="page" w:x="1079" w:y="1291"/>
        <w:autoSpaceDE w:val="0"/>
        <w:autoSpaceDN w:val="0"/>
        <w:adjustRightInd w:val="0"/>
        <w:spacing w:before="24"/>
        <w:ind w:right="550"/>
        <w:jc w:val="right"/>
        <w:rPr>
          <w:color w:val="000000"/>
          <w:spacing w:val="90"/>
          <w:w w:val="130"/>
          <w:position w:val="6"/>
        </w:rPr>
      </w:pPr>
    </w:p>
    <w:p>
      <w:pPr>
        <w:pStyle w:val="144"/>
        <w:framePr w:w="2851" w:wrap="around" w:vAnchor="page" w:hAnchor="page" w:x="8557" w:y="3391"/>
        <w:spacing w:before="0"/>
        <w:jc w:val="both"/>
      </w:pPr>
      <w:r>
        <w:t xml:space="preserve">T/CNIA </w:t>
      </w:r>
      <w:r>
        <w:rPr>
          <w:rFonts w:hint="eastAsia"/>
        </w:rPr>
        <w:t>XXXX-20XX</w:t>
      </w:r>
    </w:p>
    <w:p>
      <w:pPr>
        <w:tabs>
          <w:tab w:val="left" w:pos="1050"/>
          <w:tab w:val="left" w:pos="5250"/>
          <w:tab w:val="left" w:pos="5670"/>
          <w:tab w:val="left" w:pos="5985"/>
        </w:tabs>
        <w:autoSpaceDE w:val="0"/>
        <w:autoSpaceDN w:val="0"/>
        <w:adjustRightInd w:val="0"/>
        <w:spacing w:line="240" w:lineRule="exact"/>
        <w:textAlignment w:val="baseline"/>
        <w:rPr>
          <w:rFonts w:ascii="黑体" w:eastAsia="黑体"/>
          <w:b/>
          <w:color w:val="000000"/>
          <w:spacing w:val="90"/>
          <w:w w:val="130"/>
          <w:kern w:val="0"/>
          <w:position w:val="6"/>
          <w:sz w:val="55"/>
          <w:u w:val="single"/>
        </w:rPr>
      </w:pPr>
    </w:p>
    <w:p>
      <w:pPr>
        <w:ind w:right="-426" w:rightChars="-203"/>
        <w:rPr>
          <w:color w:val="000000"/>
          <w:u w:val="single"/>
        </w:rPr>
      </w:pPr>
      <w:r>
        <w:rPr>
          <w:color w:val="000000"/>
          <w:u w:val="single"/>
        </w:rPr>
        <w:t xml:space="preserve">                                                                                                                                 </w:t>
      </w:r>
    </w:p>
    <w:p>
      <w:pPr>
        <w:jc w:val="center"/>
        <w:rPr>
          <w:rFonts w:hint="eastAsia" w:ascii="黑体" w:hAnsi="黑体" w:eastAsia="黑体"/>
          <w:b/>
          <w:bCs/>
          <w:kern w:val="0"/>
          <w:sz w:val="52"/>
        </w:rPr>
      </w:pPr>
    </w:p>
    <w:p>
      <w:pPr>
        <w:jc w:val="center"/>
        <w:rPr>
          <w:rFonts w:hint="eastAsia" w:ascii="黑体" w:hAnsi="黑体" w:eastAsia="黑体"/>
          <w:b/>
          <w:bCs/>
          <w:kern w:val="0"/>
          <w:sz w:val="52"/>
        </w:rPr>
      </w:pPr>
    </w:p>
    <w:p>
      <w:pPr>
        <w:jc w:val="center"/>
        <w:rPr>
          <w:rFonts w:hint="eastAsia" w:ascii="黑体" w:hAnsi="黑体" w:eastAsia="黑体"/>
          <w:b/>
          <w:bCs/>
          <w:kern w:val="0"/>
          <w:sz w:val="52"/>
        </w:rPr>
      </w:pPr>
    </w:p>
    <w:p>
      <w:pPr>
        <w:jc w:val="center"/>
        <w:rPr>
          <w:rFonts w:eastAsia="黑体"/>
          <w:kern w:val="0"/>
          <w:sz w:val="48"/>
          <w:szCs w:val="48"/>
        </w:rPr>
      </w:pPr>
      <w:r>
        <w:rPr>
          <w:rFonts w:hint="eastAsia" w:eastAsia="黑体"/>
          <w:kern w:val="0"/>
          <w:sz w:val="48"/>
          <w:szCs w:val="48"/>
        </w:rPr>
        <w:t>锡酸锌化学分析方法</w:t>
      </w:r>
    </w:p>
    <w:p>
      <w:pPr>
        <w:jc w:val="center"/>
        <w:rPr>
          <w:rFonts w:eastAsia="黑体"/>
          <w:kern w:val="0"/>
          <w:sz w:val="48"/>
          <w:szCs w:val="48"/>
        </w:rPr>
      </w:pPr>
      <w:r>
        <w:rPr>
          <w:rFonts w:hint="eastAsia" w:eastAsia="黑体"/>
          <w:kern w:val="0"/>
          <w:sz w:val="48"/>
          <w:szCs w:val="48"/>
        </w:rPr>
        <w:t>第1部分：锡含量的测定</w:t>
      </w:r>
    </w:p>
    <w:p>
      <w:pPr>
        <w:jc w:val="center"/>
        <w:rPr>
          <w:rFonts w:eastAsia="黑体"/>
          <w:kern w:val="0"/>
          <w:sz w:val="48"/>
          <w:szCs w:val="48"/>
        </w:rPr>
      </w:pPr>
      <w:r>
        <w:rPr>
          <w:rFonts w:hint="eastAsia" w:eastAsia="黑体"/>
          <w:kern w:val="0"/>
          <w:sz w:val="48"/>
          <w:szCs w:val="48"/>
        </w:rPr>
        <w:t>碘酸钾滴定法</w:t>
      </w:r>
    </w:p>
    <w:p>
      <w:pPr>
        <w:jc w:val="center"/>
        <w:rPr>
          <w:b/>
          <w:sz w:val="28"/>
          <w:szCs w:val="28"/>
        </w:rPr>
      </w:pPr>
    </w:p>
    <w:p>
      <w:pPr>
        <w:jc w:val="center"/>
        <w:rPr>
          <w:rFonts w:hint="eastAsia" w:ascii="黑体" w:hAnsi="黑体" w:eastAsia="黑体" w:cs="黑体"/>
          <w:b/>
          <w:sz w:val="28"/>
          <w:szCs w:val="28"/>
        </w:rPr>
      </w:pPr>
      <w:r>
        <w:rPr>
          <w:rFonts w:hint="eastAsia" w:ascii="黑体" w:hAnsi="黑体" w:eastAsia="黑体" w:cs="黑体"/>
          <w:b/>
          <w:sz w:val="28"/>
          <w:szCs w:val="28"/>
        </w:rPr>
        <w:t xml:space="preserve">Methods for </w:t>
      </w:r>
      <w:r>
        <w:rPr>
          <w:rFonts w:hint="eastAsia" w:ascii="黑体" w:hAnsi="黑体" w:eastAsia="黑体" w:cs="黑体"/>
          <w:b/>
          <w:sz w:val="28"/>
          <w:szCs w:val="28"/>
          <w:lang w:eastAsia="zh-CN"/>
        </w:rPr>
        <w:t>c</w:t>
      </w:r>
      <w:r>
        <w:rPr>
          <w:rFonts w:hint="eastAsia" w:ascii="黑体" w:hAnsi="黑体" w:eastAsia="黑体" w:cs="黑体"/>
          <w:b/>
          <w:sz w:val="28"/>
          <w:szCs w:val="28"/>
        </w:rPr>
        <w:t xml:space="preserve">hemical analysis of </w:t>
      </w:r>
      <w:r>
        <w:rPr>
          <w:rFonts w:hint="eastAsia" w:ascii="黑体" w:hAnsi="黑体" w:eastAsia="黑体" w:cs="黑体"/>
          <w:b/>
          <w:sz w:val="28"/>
          <w:szCs w:val="28"/>
          <w:lang w:eastAsia="zh-CN"/>
        </w:rPr>
        <w:t>z</w:t>
      </w:r>
      <w:r>
        <w:rPr>
          <w:rFonts w:hint="eastAsia" w:ascii="黑体" w:hAnsi="黑体" w:eastAsia="黑体" w:cs="黑体"/>
          <w:b/>
          <w:sz w:val="28"/>
          <w:szCs w:val="28"/>
        </w:rPr>
        <w:t xml:space="preserve">inc </w:t>
      </w:r>
      <w:r>
        <w:rPr>
          <w:rFonts w:hint="eastAsia" w:ascii="黑体" w:hAnsi="黑体" w:eastAsia="黑体" w:cs="黑体"/>
          <w:b/>
          <w:sz w:val="28"/>
          <w:szCs w:val="28"/>
          <w:lang w:eastAsia="zh-CN"/>
        </w:rPr>
        <w:t>s</w:t>
      </w:r>
      <w:r>
        <w:rPr>
          <w:rFonts w:hint="eastAsia" w:ascii="黑体" w:hAnsi="黑体" w:eastAsia="黑体" w:cs="黑体"/>
          <w:b/>
          <w:sz w:val="28"/>
          <w:szCs w:val="28"/>
        </w:rPr>
        <w:t>tannate—</w:t>
      </w:r>
    </w:p>
    <w:p>
      <w:pPr>
        <w:jc w:val="center"/>
        <w:rPr>
          <w:rFonts w:hint="eastAsia" w:ascii="黑体" w:hAnsi="黑体" w:eastAsia="黑体" w:cs="黑体"/>
          <w:b/>
          <w:sz w:val="28"/>
          <w:szCs w:val="28"/>
        </w:rPr>
      </w:pPr>
      <w:r>
        <w:rPr>
          <w:rFonts w:hint="eastAsia" w:ascii="黑体" w:hAnsi="黑体" w:eastAsia="黑体" w:cs="黑体"/>
          <w:b/>
          <w:sz w:val="28"/>
          <w:szCs w:val="28"/>
        </w:rPr>
        <w:t>Part 1：Determination of tin content—</w:t>
      </w:r>
    </w:p>
    <w:p>
      <w:pPr>
        <w:jc w:val="center"/>
        <w:rPr>
          <w:rFonts w:hint="eastAsia" w:ascii="黑体" w:hAnsi="黑体" w:eastAsia="黑体" w:cs="黑体"/>
          <w:b/>
          <w:sz w:val="28"/>
          <w:szCs w:val="28"/>
        </w:rPr>
      </w:pPr>
      <w:r>
        <w:rPr>
          <w:rFonts w:hint="eastAsia" w:ascii="黑体" w:hAnsi="黑体" w:eastAsia="黑体" w:cs="黑体"/>
          <w:b/>
          <w:sz w:val="28"/>
          <w:szCs w:val="28"/>
        </w:rPr>
        <w:t>Potassium iodate</w:t>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lang w:eastAsia="zh-CN"/>
        </w:rPr>
        <w:t>t</w:t>
      </w:r>
      <w:r>
        <w:rPr>
          <w:rFonts w:hint="eastAsia" w:ascii="黑体" w:hAnsi="黑体" w:eastAsia="黑体" w:cs="黑体"/>
          <w:b/>
          <w:sz w:val="28"/>
          <w:szCs w:val="28"/>
        </w:rPr>
        <w:t>itration</w:t>
      </w:r>
    </w:p>
    <w:p>
      <w:pPr>
        <w:jc w:val="center"/>
        <w:rPr>
          <w:rFonts w:hint="eastAsia" w:ascii="黑体" w:hAnsi="黑体" w:eastAsia="黑体" w:cs="黑体"/>
          <w:bCs/>
          <w:sz w:val="32"/>
          <w:szCs w:val="32"/>
        </w:rPr>
      </w:pPr>
      <w:r>
        <w:rPr>
          <w:rFonts w:hint="eastAsia" w:ascii="黑体" w:hAnsi="黑体" w:eastAsia="黑体" w:cs="黑体"/>
          <w:b/>
          <w:sz w:val="30"/>
          <w:szCs w:val="30"/>
        </w:rPr>
        <w:t>（</w:t>
      </w:r>
      <w:r>
        <w:rPr>
          <w:rFonts w:hint="eastAsia" w:ascii="黑体" w:hAnsi="黑体" w:eastAsia="黑体" w:cs="黑体"/>
          <w:b/>
          <w:sz w:val="30"/>
          <w:szCs w:val="30"/>
          <w:lang w:val="en-US" w:eastAsia="zh-CN"/>
        </w:rPr>
        <w:t>预审稿</w:t>
      </w:r>
      <w:r>
        <w:rPr>
          <w:rFonts w:hint="eastAsia" w:ascii="黑体" w:hAnsi="黑体" w:eastAsia="黑体" w:cs="黑体"/>
          <w:b/>
          <w:sz w:val="30"/>
          <w:szCs w:val="30"/>
        </w:rPr>
        <w:t>）</w:t>
      </w:r>
      <w:r>
        <w:rPr>
          <w:rFonts w:hint="eastAsia" w:ascii="黑体" w:hAnsi="黑体" w:eastAsia="黑体" w:cs="黑体"/>
          <w:bCs/>
          <w:sz w:val="32"/>
          <w:szCs w:val="32"/>
        </w:rPr>
        <w:t xml:space="preserve"> </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color w:val="000000"/>
        </w:rPr>
      </w:pPr>
    </w:p>
    <w:p>
      <w:pPr>
        <w:rPr>
          <w:rFonts w:hint="eastAsia"/>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autoSpaceDE w:val="0"/>
        <w:autoSpaceDN w:val="0"/>
        <w:adjustRightInd w:val="0"/>
        <w:spacing w:line="1134" w:lineRule="exact"/>
        <w:rPr>
          <w:rFonts w:ascii="黑体" w:eastAsia="黑体"/>
          <w:color w:val="000000"/>
          <w:kern w:val="0"/>
          <w:sz w:val="30"/>
          <w:u w:val="single"/>
        </w:rPr>
      </w:pPr>
      <w:r>
        <w:rPr>
          <w:color w:val="000000"/>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713740</wp:posOffset>
                </wp:positionV>
                <wp:extent cx="4620260" cy="977900"/>
                <wp:effectExtent l="4445" t="4445" r="23495" b="8255"/>
                <wp:wrapNone/>
                <wp:docPr id="6" name="文本框 245"/>
                <wp:cNvGraphicFramePr/>
                <a:graphic xmlns:a="http://schemas.openxmlformats.org/drawingml/2006/main">
                  <a:graphicData uri="http://schemas.microsoft.com/office/word/2010/wordprocessingShape">
                    <wps:wsp>
                      <wps:cNvSpPr txBox="1"/>
                      <wps:spPr>
                        <a:xfrm>
                          <a:off x="0" y="0"/>
                          <a:ext cx="4620260" cy="9779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Style w:val="124"/>
                              <w:spacing w:before="120" w:after="120"/>
                              <w:jc w:val="both"/>
                              <w:rPr>
                                <w:spacing w:val="32"/>
                                <w:sz w:val="44"/>
                                <w:szCs w:val="72"/>
                              </w:rPr>
                            </w:pPr>
                            <w:r>
                              <w:rPr>
                                <w:rFonts w:hint="eastAsia"/>
                                <w:spacing w:val="32"/>
                                <w:sz w:val="44"/>
                                <w:szCs w:val="72"/>
                              </w:rPr>
                              <w:t>中国有色金属工业协会</w:t>
                            </w:r>
                          </w:p>
                          <w:p>
                            <w:pPr>
                              <w:rPr>
                                <w:b/>
                              </w:rPr>
                            </w:pPr>
                            <w:r>
                              <w:rPr>
                                <w:rFonts w:hint="eastAsia"/>
                                <w:b/>
                                <w:w w:val="130"/>
                                <w:sz w:val="44"/>
                                <w:szCs w:val="72"/>
                              </w:rPr>
                              <w:t>中</w:t>
                            </w:r>
                            <w:r>
                              <w:rPr>
                                <w:b/>
                                <w:w w:val="130"/>
                                <w:sz w:val="44"/>
                                <w:szCs w:val="72"/>
                              </w:rPr>
                              <w:t xml:space="preserve"> </w:t>
                            </w:r>
                            <w:r>
                              <w:rPr>
                                <w:rFonts w:hint="eastAsia"/>
                                <w:b/>
                                <w:w w:val="130"/>
                                <w:sz w:val="44"/>
                                <w:szCs w:val="72"/>
                              </w:rPr>
                              <w:t>国</w:t>
                            </w:r>
                            <w:r>
                              <w:rPr>
                                <w:b/>
                                <w:w w:val="130"/>
                                <w:sz w:val="44"/>
                                <w:szCs w:val="72"/>
                              </w:rPr>
                              <w:t xml:space="preserve"> </w:t>
                            </w:r>
                            <w:r>
                              <w:rPr>
                                <w:rFonts w:hint="eastAsia"/>
                                <w:b/>
                                <w:w w:val="130"/>
                                <w:sz w:val="44"/>
                                <w:szCs w:val="72"/>
                              </w:rPr>
                              <w:t>有</w:t>
                            </w:r>
                            <w:r>
                              <w:rPr>
                                <w:b/>
                                <w:w w:val="130"/>
                                <w:sz w:val="44"/>
                                <w:szCs w:val="72"/>
                              </w:rPr>
                              <w:t xml:space="preserve"> </w:t>
                            </w:r>
                            <w:r>
                              <w:rPr>
                                <w:rFonts w:hint="eastAsia"/>
                                <w:b/>
                                <w:w w:val="130"/>
                                <w:sz w:val="44"/>
                                <w:szCs w:val="72"/>
                              </w:rPr>
                              <w:t>色</w:t>
                            </w:r>
                            <w:r>
                              <w:rPr>
                                <w:b/>
                                <w:w w:val="130"/>
                                <w:sz w:val="44"/>
                                <w:szCs w:val="72"/>
                              </w:rPr>
                              <w:t xml:space="preserve"> </w:t>
                            </w:r>
                            <w:r>
                              <w:rPr>
                                <w:rFonts w:hint="eastAsia"/>
                                <w:b/>
                                <w:w w:val="130"/>
                                <w:sz w:val="44"/>
                                <w:szCs w:val="72"/>
                              </w:rPr>
                              <w:t>金</w:t>
                            </w:r>
                            <w:r>
                              <w:rPr>
                                <w:b/>
                                <w:w w:val="130"/>
                                <w:sz w:val="44"/>
                                <w:szCs w:val="72"/>
                              </w:rPr>
                              <w:t xml:space="preserve"> </w:t>
                            </w:r>
                            <w:r>
                              <w:rPr>
                                <w:rFonts w:hint="eastAsia"/>
                                <w:b/>
                                <w:w w:val="130"/>
                                <w:sz w:val="44"/>
                                <w:szCs w:val="72"/>
                              </w:rPr>
                              <w:t>属</w:t>
                            </w:r>
                            <w:r>
                              <w:rPr>
                                <w:b/>
                                <w:w w:val="130"/>
                                <w:sz w:val="44"/>
                                <w:szCs w:val="72"/>
                              </w:rPr>
                              <w:t xml:space="preserve"> </w:t>
                            </w:r>
                            <w:r>
                              <w:rPr>
                                <w:rFonts w:hint="eastAsia"/>
                                <w:b/>
                                <w:w w:val="130"/>
                                <w:sz w:val="44"/>
                                <w:szCs w:val="72"/>
                              </w:rPr>
                              <w:t>学</w:t>
                            </w:r>
                            <w:r>
                              <w:rPr>
                                <w:b/>
                                <w:w w:val="130"/>
                                <w:sz w:val="44"/>
                                <w:szCs w:val="72"/>
                              </w:rPr>
                              <w:t xml:space="preserve"> </w:t>
                            </w:r>
                            <w:r>
                              <w:rPr>
                                <w:rFonts w:hint="eastAsia"/>
                                <w:b/>
                                <w:w w:val="130"/>
                                <w:sz w:val="44"/>
                                <w:szCs w:val="72"/>
                              </w:rPr>
                              <w:t>会</w:t>
                            </w:r>
                            <w:r>
                              <w:rPr>
                                <w:b/>
                                <w:w w:val="130"/>
                                <w:sz w:val="44"/>
                                <w:szCs w:val="72"/>
                              </w:rPr>
                              <w:t xml:space="preserve"> </w:t>
                            </w:r>
                            <w:r>
                              <w:rPr>
                                <w:rFonts w:ascii="黑体" w:eastAsia="黑体"/>
                                <w:b/>
                                <w:sz w:val="24"/>
                              </w:rPr>
                              <w:t xml:space="preserve">   </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245" o:spid="_x0000_s1026" o:spt="202" type="#_x0000_t202" style="position:absolute;left:0pt;margin-left:35.95pt;margin-top:56.2pt;height:77pt;width:363.8pt;z-index:251662336;mso-width-relative:page;mso-height-relative:margin;mso-height-percent:200;" fillcolor="#FFFFFF" filled="t" stroked="t" coordsize="21600,21600" o:gfxdata="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sqzD&#10;2wAAAAoBAAAPAAAAAAAAAAEAIAAAACIAAABkcnMvZG93bnJldi54bWxQSwECFAAUAAAACACHTuJA&#10;OnECIB4CAABgBAAADgAAAAAAAAABACAAAAAqAQAAZHJzL2Uyb0RvYy54bWxQSwUGAAAAAAYABgBZ&#10;AQAAugUAAAAA&#10;">
                <v:fill on="t" focussize="0,0"/>
                <v:stroke color="#FFFFFF" joinstyle="miter"/>
                <v:imagedata o:title=""/>
                <o:lock v:ext="edit" aspectratio="f"/>
                <v:textbox style="mso-fit-shape-to-text:t;">
                  <w:txbxContent>
                    <w:p>
                      <w:pPr>
                        <w:pStyle w:val="124"/>
                        <w:spacing w:before="120" w:after="120"/>
                        <w:jc w:val="both"/>
                        <w:rPr>
                          <w:spacing w:val="32"/>
                          <w:sz w:val="44"/>
                          <w:szCs w:val="72"/>
                        </w:rPr>
                      </w:pPr>
                      <w:r>
                        <w:rPr>
                          <w:rFonts w:hint="eastAsia"/>
                          <w:spacing w:val="32"/>
                          <w:sz w:val="44"/>
                          <w:szCs w:val="72"/>
                        </w:rPr>
                        <w:t>中国有色金属工业协会</w:t>
                      </w:r>
                    </w:p>
                    <w:p>
                      <w:pPr>
                        <w:rPr>
                          <w:b/>
                        </w:rPr>
                      </w:pPr>
                      <w:r>
                        <w:rPr>
                          <w:rFonts w:hint="eastAsia"/>
                          <w:b/>
                          <w:w w:val="130"/>
                          <w:sz w:val="44"/>
                          <w:szCs w:val="72"/>
                        </w:rPr>
                        <w:t>中</w:t>
                      </w:r>
                      <w:r>
                        <w:rPr>
                          <w:b/>
                          <w:w w:val="130"/>
                          <w:sz w:val="44"/>
                          <w:szCs w:val="72"/>
                        </w:rPr>
                        <w:t xml:space="preserve"> </w:t>
                      </w:r>
                      <w:r>
                        <w:rPr>
                          <w:rFonts w:hint="eastAsia"/>
                          <w:b/>
                          <w:w w:val="130"/>
                          <w:sz w:val="44"/>
                          <w:szCs w:val="72"/>
                        </w:rPr>
                        <w:t>国</w:t>
                      </w:r>
                      <w:r>
                        <w:rPr>
                          <w:b/>
                          <w:w w:val="130"/>
                          <w:sz w:val="44"/>
                          <w:szCs w:val="72"/>
                        </w:rPr>
                        <w:t xml:space="preserve"> </w:t>
                      </w:r>
                      <w:r>
                        <w:rPr>
                          <w:rFonts w:hint="eastAsia"/>
                          <w:b/>
                          <w:w w:val="130"/>
                          <w:sz w:val="44"/>
                          <w:szCs w:val="72"/>
                        </w:rPr>
                        <w:t>有</w:t>
                      </w:r>
                      <w:r>
                        <w:rPr>
                          <w:b/>
                          <w:w w:val="130"/>
                          <w:sz w:val="44"/>
                          <w:szCs w:val="72"/>
                        </w:rPr>
                        <w:t xml:space="preserve"> </w:t>
                      </w:r>
                      <w:r>
                        <w:rPr>
                          <w:rFonts w:hint="eastAsia"/>
                          <w:b/>
                          <w:w w:val="130"/>
                          <w:sz w:val="44"/>
                          <w:szCs w:val="72"/>
                        </w:rPr>
                        <w:t>色</w:t>
                      </w:r>
                      <w:r>
                        <w:rPr>
                          <w:b/>
                          <w:w w:val="130"/>
                          <w:sz w:val="44"/>
                          <w:szCs w:val="72"/>
                        </w:rPr>
                        <w:t xml:space="preserve"> </w:t>
                      </w:r>
                      <w:r>
                        <w:rPr>
                          <w:rFonts w:hint="eastAsia"/>
                          <w:b/>
                          <w:w w:val="130"/>
                          <w:sz w:val="44"/>
                          <w:szCs w:val="72"/>
                        </w:rPr>
                        <w:t>金</w:t>
                      </w:r>
                      <w:r>
                        <w:rPr>
                          <w:b/>
                          <w:w w:val="130"/>
                          <w:sz w:val="44"/>
                          <w:szCs w:val="72"/>
                        </w:rPr>
                        <w:t xml:space="preserve"> </w:t>
                      </w:r>
                      <w:r>
                        <w:rPr>
                          <w:rFonts w:hint="eastAsia"/>
                          <w:b/>
                          <w:w w:val="130"/>
                          <w:sz w:val="44"/>
                          <w:szCs w:val="72"/>
                        </w:rPr>
                        <w:t>属</w:t>
                      </w:r>
                      <w:r>
                        <w:rPr>
                          <w:b/>
                          <w:w w:val="130"/>
                          <w:sz w:val="44"/>
                          <w:szCs w:val="72"/>
                        </w:rPr>
                        <w:t xml:space="preserve"> </w:t>
                      </w:r>
                      <w:r>
                        <w:rPr>
                          <w:rFonts w:hint="eastAsia"/>
                          <w:b/>
                          <w:w w:val="130"/>
                          <w:sz w:val="44"/>
                          <w:szCs w:val="72"/>
                        </w:rPr>
                        <w:t>学</w:t>
                      </w:r>
                      <w:r>
                        <w:rPr>
                          <w:b/>
                          <w:w w:val="130"/>
                          <w:sz w:val="44"/>
                          <w:szCs w:val="72"/>
                        </w:rPr>
                        <w:t xml:space="preserve"> </w:t>
                      </w:r>
                      <w:r>
                        <w:rPr>
                          <w:rFonts w:hint="eastAsia"/>
                          <w:b/>
                          <w:w w:val="130"/>
                          <w:sz w:val="44"/>
                          <w:szCs w:val="72"/>
                        </w:rPr>
                        <w:t>会</w:t>
                      </w:r>
                      <w:r>
                        <w:rPr>
                          <w:b/>
                          <w:w w:val="130"/>
                          <w:sz w:val="44"/>
                          <w:szCs w:val="72"/>
                        </w:rPr>
                        <w:t xml:space="preserve"> </w:t>
                      </w:r>
                      <w:r>
                        <w:rPr>
                          <w:rFonts w:ascii="黑体" w:eastAsia="黑体"/>
                          <w:b/>
                          <w:sz w:val="24"/>
                        </w:rPr>
                        <w:t xml:space="preserve">   </w:t>
                      </w:r>
                    </w:p>
                  </w:txbxContent>
                </v:textbox>
              </v:shape>
            </w:pict>
          </mc:Fallback>
        </mc:AlternateContent>
      </w:r>
      <w:r>
        <w:rPr>
          <w:rFonts w:hint="eastAsia" w:ascii="黑体" w:hAnsi="宋体" w:eastAsia="黑体"/>
          <w:color w:val="000000"/>
          <w:kern w:val="0"/>
          <w:sz w:val="28"/>
          <w:u w:val="single"/>
        </w:rPr>
        <w:t>20XX-xx-xx发布                                  20XX一xx一xx实施</w:t>
      </w:r>
    </w:p>
    <w:p>
      <w:pPr>
        <w:pStyle w:val="131"/>
        <w:rPr>
          <w:color w:val="000000"/>
        </w:rPr>
        <w:sectPr>
          <w:headerReference r:id="rId3" w:type="default"/>
          <w:headerReference r:id="rId4" w:type="even"/>
          <w:footerReference r:id="rId5" w:type="even"/>
          <w:pgSz w:w="11906" w:h="16838"/>
          <w:pgMar w:top="1418" w:right="1418" w:bottom="1418" w:left="1418" w:header="0" w:footer="737" w:gutter="0"/>
          <w:pgNumType w:fmt="numberInDash"/>
          <w:cols w:space="720" w:num="1"/>
          <w:docGrid w:linePitch="312" w:charSpace="0"/>
        </w:sectPr>
      </w:pPr>
      <w:r>
        <w:rPr>
          <w:color w:val="000000"/>
        </w:rPr>
        <mc:AlternateContent>
          <mc:Choice Requires="wps">
            <w:drawing>
              <wp:anchor distT="0" distB="0" distL="114300" distR="114300" simplePos="0" relativeHeight="251663360" behindDoc="0" locked="0" layoutInCell="1" allowOverlap="1">
                <wp:simplePos x="0" y="0"/>
                <wp:positionH relativeFrom="column">
                  <wp:posOffset>5006340</wp:posOffset>
                </wp:positionH>
                <wp:positionV relativeFrom="paragraph">
                  <wp:posOffset>317500</wp:posOffset>
                </wp:positionV>
                <wp:extent cx="600075" cy="396240"/>
                <wp:effectExtent l="0" t="0" r="9525" b="3810"/>
                <wp:wrapNone/>
                <wp:docPr id="7" name="文本框 13"/>
                <wp:cNvGraphicFramePr/>
                <a:graphic xmlns:a="http://schemas.openxmlformats.org/drawingml/2006/main">
                  <a:graphicData uri="http://schemas.microsoft.com/office/word/2010/wordprocessingShape">
                    <wps:wsp>
                      <wps:cNvSpPr txBox="1"/>
                      <wps:spPr>
                        <a:xfrm>
                          <a:off x="0" y="0"/>
                          <a:ext cx="600075" cy="396240"/>
                        </a:xfrm>
                        <a:prstGeom prst="rect">
                          <a:avLst/>
                        </a:prstGeom>
                        <a:solidFill>
                          <a:srgbClr val="FFFFFF"/>
                        </a:solidFill>
                        <a:ln>
                          <a:noFill/>
                        </a:ln>
                      </wps:spPr>
                      <wps:txbx>
                        <w:txbxContent>
                          <w:p>
                            <w:pPr>
                              <w:rPr>
                                <w:b/>
                                <w:sz w:val="36"/>
                                <w:szCs w:val="36"/>
                              </w:rPr>
                            </w:pPr>
                            <w:r>
                              <w:rPr>
                                <w:rFonts w:hint="eastAsia"/>
                                <w:b/>
                                <w:sz w:val="36"/>
                                <w:szCs w:val="36"/>
                              </w:rPr>
                              <w:t>发布</w:t>
                            </w:r>
                          </w:p>
                        </w:txbxContent>
                      </wps:txbx>
                      <wps:bodyPr wrap="square" lIns="18000" tIns="45720" rIns="18000" bIns="45720" upright="1"/>
                    </wps:wsp>
                  </a:graphicData>
                </a:graphic>
              </wp:anchor>
            </w:drawing>
          </mc:Choice>
          <mc:Fallback>
            <w:pict>
              <v:shape id="文本框 13" o:spid="_x0000_s1026" o:spt="202" type="#_x0000_t202" style="position:absolute;left:0pt;margin-left:394.2pt;margin-top:25pt;height:31.2pt;width:47.25pt;z-index:251663360;mso-width-relative:page;mso-height-relative:page;" fillcolor="#FFFFFF" filled="t" stroked="f" coordsize="21600,21600" o:gfxdata="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8l71zYAAAA&#10;CgEAAA8AAAAAAAAAAQAgAAAAIgAAAGRycy9kb3ducmV2LnhtbFBLAQIUABQAAAAIAIdO4kCbxBu/&#10;5AEAALkDAAAOAAAAAAAAAAEAIAAAACcBAABkcnMvZTJvRG9jLnhtbFBLBQYAAAAABgAGAFkBAAB9&#10;BQAAAAA=&#10;">
                <v:fill on="t" focussize="0,0"/>
                <v:stroke on="f"/>
                <v:imagedata o:title=""/>
                <o:lock v:ext="edit" aspectratio="f"/>
                <v:textbox inset="0.5mm,1.27mm,0.5mm,1.27mm">
                  <w:txbxContent>
                    <w:p>
                      <w:pPr>
                        <w:rPr>
                          <w:b/>
                          <w:sz w:val="36"/>
                          <w:szCs w:val="36"/>
                        </w:rPr>
                      </w:pPr>
                      <w:r>
                        <w:rPr>
                          <w:rFonts w:hint="eastAsia"/>
                          <w:b/>
                          <w:sz w:val="36"/>
                          <w:szCs w:val="36"/>
                        </w:rPr>
                        <w:t>发布</w:t>
                      </w:r>
                    </w:p>
                  </w:txbxContent>
                </v:textbox>
              </v:shape>
            </w:pict>
          </mc:Fallback>
        </mc:AlternateContent>
      </w:r>
      <w:r>
        <w:rPr>
          <w:color w:val="000000"/>
        </w:rPr>
        <mc:AlternateContent>
          <mc:Choice Requires="wpg">
            <w:drawing>
              <wp:anchor distT="0" distB="0" distL="114300" distR="114300" simplePos="0" relativeHeight="251659264" behindDoc="0" locked="0" layoutInCell="1" allowOverlap="1">
                <wp:simplePos x="0" y="0"/>
                <wp:positionH relativeFrom="column">
                  <wp:posOffset>456565</wp:posOffset>
                </wp:positionH>
                <wp:positionV relativeFrom="paragraph">
                  <wp:posOffset>8519160</wp:posOffset>
                </wp:positionV>
                <wp:extent cx="5149850" cy="593090"/>
                <wp:effectExtent l="0" t="0" r="0" b="0"/>
                <wp:wrapNone/>
                <wp:docPr id="3" name="组合 247"/>
                <wp:cNvGraphicFramePr/>
                <a:graphic xmlns:a="http://schemas.openxmlformats.org/drawingml/2006/main">
                  <a:graphicData uri="http://schemas.microsoft.com/office/word/2010/wordprocessingGroup">
                    <wpg:wgp>
                      <wpg:cNvGrpSpPr/>
                      <wpg:grpSpPr>
                        <a:xfrm>
                          <a:off x="0" y="0"/>
                          <a:ext cx="5149850" cy="593090"/>
                          <a:chOff x="0" y="0"/>
                          <a:chExt cx="8110" cy="934"/>
                        </a:xfrm>
                      </wpg:grpSpPr>
                      <wps:wsp>
                        <wps:cNvPr id="1" name="文本框 248"/>
                        <wps:cNvSpPr txBox="1"/>
                        <wps:spPr>
                          <a:xfrm>
                            <a:off x="0" y="0"/>
                            <a:ext cx="7028" cy="934"/>
                          </a:xfrm>
                          <a:prstGeom prst="rect">
                            <a:avLst/>
                          </a:prstGeom>
                          <a:noFill/>
                          <a:ln>
                            <a:noFill/>
                          </a:ln>
                        </wps:spPr>
                        <wps:txbx>
                          <w:txbxContent>
                            <w:p>
                              <w:pPr>
                                <w:pStyle w:val="124"/>
                                <w:jc w:val="distribute"/>
                                <w:rPr>
                                  <w:rStyle w:val="44"/>
                                  <w:spacing w:val="-20"/>
                                  <w:sz w:val="30"/>
                                </w:rPr>
                              </w:pPr>
                              <w:r>
                                <w:rPr>
                                  <w:rFonts w:hint="eastAsia"/>
                                  <w:spacing w:val="-20"/>
                                  <w:sz w:val="30"/>
                                </w:rPr>
                                <w:t>中华人民共和国国家质量监督检验检疫总局</w:t>
                              </w:r>
                              <w:r>
                                <w:rPr>
                                  <w:rStyle w:val="44"/>
                                  <w:rFonts w:hint="eastAsia"/>
                                  <w:spacing w:val="-20"/>
                                  <w:sz w:val="30"/>
                                </w:rPr>
                                <w:t xml:space="preserve"> </w:t>
                              </w:r>
                            </w:p>
                            <w:p>
                              <w:pPr>
                                <w:pStyle w:val="124"/>
                                <w:jc w:val="distribute"/>
                                <w:rPr>
                                  <w:spacing w:val="-20"/>
                                  <w:sz w:val="30"/>
                                </w:rPr>
                              </w:pPr>
                              <w:r>
                                <w:rPr>
                                  <w:rFonts w:hint="eastAsia"/>
                                  <w:spacing w:val="-20"/>
                                  <w:sz w:val="30"/>
                                </w:rPr>
                                <w:t>中国国家标准化管理委员会</w:t>
                              </w:r>
                            </w:p>
                          </w:txbxContent>
                        </wps:txbx>
                        <wps:bodyPr wrap="square" lIns="0" tIns="0" rIns="0" bIns="0" upright="1"/>
                      </wps:wsp>
                      <wps:wsp>
                        <wps:cNvPr id="2" name="文本框 249"/>
                        <wps:cNvSpPr txBox="1"/>
                        <wps:spPr>
                          <a:xfrm>
                            <a:off x="7070" y="240"/>
                            <a:ext cx="1040" cy="446"/>
                          </a:xfrm>
                          <a:prstGeom prst="rect">
                            <a:avLst/>
                          </a:prstGeom>
                          <a:noFill/>
                          <a:ln>
                            <a:noFill/>
                          </a:ln>
                        </wps:spPr>
                        <wps:txbx>
                          <w:txbxContent>
                            <w:p>
                              <w:pPr>
                                <w:rPr>
                                  <w:b/>
                                </w:rPr>
                              </w:pPr>
                              <w:r>
                                <w:rPr>
                                  <w:rStyle w:val="44"/>
                                  <w:rFonts w:hint="eastAsia"/>
                                  <w:b/>
                                </w:rPr>
                                <w:t>发布</w:t>
                              </w:r>
                            </w:p>
                          </w:txbxContent>
                        </wps:txbx>
                        <wps:bodyPr wrap="square" lIns="91440" tIns="10800" rIns="91440" bIns="10800" upright="1"/>
                      </wps:wsp>
                    </wpg:wgp>
                  </a:graphicData>
                </a:graphic>
              </wp:anchor>
            </w:drawing>
          </mc:Choice>
          <mc:Fallback>
            <w:pict>
              <v:group id="组合 247" o:spid="_x0000_s1026" o:spt="203" style="position:absolute;left:0pt;margin-left:35.95pt;margin-top:670.8pt;height:46.7pt;width:405.5pt;z-index:251659264;mso-width-relative:page;mso-height-relative:page;" coordsize="8110,934" o:gfxdata="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hGWwL2wAAAAwBAAAPAAAAAAAAAAEAIAAAACIAAABkcnMvZG93bnJl&#10;di54bWxQSwECFAAUAAAACACHTuJAv4H54GwCAABaBgAADgAAAAAAAAABACAAAAAqAQAAZHJzL2Uy&#10;b0RvYy54bWxQSwUGAAAAAAYABgBZAQAACAYAAAAA&#10;">
                <o:lock v:ext="edit" aspectratio="f"/>
                <v:shape id="文本框 248" o:spid="_x0000_s1026" o:spt="202" type="#_x0000_t202" style="position:absolute;left:0;top:0;height:934;width:7028;" filled="f" stroked="f" coordsize="21600,21600" o:gfxdata="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3w3+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pStyle w:val="124"/>
                          <w:jc w:val="distribute"/>
                          <w:rPr>
                            <w:rStyle w:val="44"/>
                            <w:spacing w:val="-20"/>
                            <w:sz w:val="30"/>
                          </w:rPr>
                        </w:pPr>
                        <w:r>
                          <w:rPr>
                            <w:rFonts w:hint="eastAsia"/>
                            <w:spacing w:val="-20"/>
                            <w:sz w:val="30"/>
                          </w:rPr>
                          <w:t>中华人民共和国国家质量监督检验检疫总局</w:t>
                        </w:r>
                        <w:r>
                          <w:rPr>
                            <w:rStyle w:val="44"/>
                            <w:rFonts w:hint="eastAsia"/>
                            <w:spacing w:val="-20"/>
                            <w:sz w:val="30"/>
                          </w:rPr>
                          <w:t xml:space="preserve"> </w:t>
                        </w:r>
                      </w:p>
                      <w:p>
                        <w:pPr>
                          <w:pStyle w:val="124"/>
                          <w:jc w:val="distribute"/>
                          <w:rPr>
                            <w:spacing w:val="-20"/>
                            <w:sz w:val="30"/>
                          </w:rPr>
                        </w:pPr>
                        <w:r>
                          <w:rPr>
                            <w:rFonts w:hint="eastAsia"/>
                            <w:spacing w:val="-20"/>
                            <w:sz w:val="30"/>
                          </w:rPr>
                          <w:t>中国国家标准化管理委员会</w:t>
                        </w:r>
                      </w:p>
                    </w:txbxContent>
                  </v:textbox>
                </v:shape>
                <v:shape id="文本框 249" o:spid="_x0000_s1026" o:spt="202" type="#_x0000_t202" style="position:absolute;left:7070;top:240;height:446;width:1040;" filled="f" stroked="f" coordsize="21600,21600" o:gfxdata="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23IlugAAANoA&#10;AAAPAAAAAAAAAAEAIAAAACIAAABkcnMvZG93bnJldi54bWxQSwECFAAUAAAACACHTuJAMy8FnjsA&#10;AAA5AAAAEAAAAAAAAAABACAAAAAJAQAAZHJzL3NoYXBleG1sLnhtbFBLBQYAAAAABgAGAFsBAACz&#10;AwAAAAA=&#10;">
                  <v:fill on="f" focussize="0,0"/>
                  <v:stroke on="f"/>
                  <v:imagedata o:title=""/>
                  <o:lock v:ext="edit" aspectratio="f"/>
                  <v:textbox inset="2.54mm,0.3mm,2.54mm,0.3mm">
                    <w:txbxContent>
                      <w:p>
                        <w:pPr>
                          <w:rPr>
                            <w:b/>
                          </w:rPr>
                        </w:pPr>
                        <w:r>
                          <w:rPr>
                            <w:rStyle w:val="44"/>
                            <w:rFonts w:hint="eastAsia"/>
                            <w:b/>
                          </w:rPr>
                          <w:t>发布</w:t>
                        </w:r>
                      </w:p>
                    </w:txbxContent>
                  </v:textbox>
                </v:shape>
              </v:group>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8321040</wp:posOffset>
                </wp:positionV>
                <wp:extent cx="6121400" cy="0"/>
                <wp:effectExtent l="0" t="0" r="0" b="0"/>
                <wp:wrapNone/>
                <wp:docPr id="4" name="直线 25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250" o:spid="_x0000_s1026" o:spt="20" style="position:absolute;left:0pt;margin-left:0pt;margin-top:655.2pt;height:0pt;width:482pt;z-index:251660288;mso-width-relative:page;mso-height-relative:page;" filled="f" stroked="t" coordsize="21600,21600" o:gfxdata="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zSTStQA&#10;AAAKAQAADwAAAAAAAAABACAAAAAiAAAAZHJzL2Rvd25yZXYueG1sUEsBAhQAFAAAAAgAh07iQMrT&#10;pH3qAQAA3gMAAA4AAAAAAAAAAQAgAAAAIwEAAGRycy9lMm9Eb2MueG1sUEsFBgAAAAAGAAYAWQEA&#10;AH8FAAAAAA==&#10;">
                <v:fill on="f" focussize="0,0"/>
                <v:stroke weight="1pt" color="#800008" joinstyle="round"/>
                <v:imagedata o:title=""/>
                <o:lock v:ext="edit" aspectratio="f"/>
              </v:line>
            </w:pict>
          </mc:Fallback>
        </mc:AlternateContent>
      </w:r>
      <w:r>
        <w:rPr>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-10795</wp:posOffset>
                </wp:positionV>
                <wp:extent cx="2540000" cy="657860"/>
                <wp:effectExtent l="0" t="0" r="12700" b="8890"/>
                <wp:wrapNone/>
                <wp:docPr id="5" name="文本框 25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92"/>
                              <w:snapToGrid w:val="0"/>
                              <w:rPr>
                                <w:rFonts w:ascii="宋体" w:hAnsi="宋体" w:eastAsia="宋体"/>
                                <w:color w:val="000000"/>
                              </w:rPr>
                            </w:pPr>
                            <w:r>
                              <w:rPr>
                                <w:rFonts w:ascii="宋体" w:hAnsi="宋体" w:eastAsia="宋体"/>
                                <w:b/>
                                <w:color w:val="000000"/>
                              </w:rPr>
                              <w:t>ICS</w:t>
                            </w:r>
                            <w:r>
                              <w:rPr>
                                <w:rFonts w:hint="eastAsia" w:ascii="宋体" w:hAnsi="宋体" w:eastAsia="宋体"/>
                                <w:b/>
                                <w:color w:val="000000"/>
                              </w:rPr>
                              <w:t xml:space="preserve"> 77.150.60</w:t>
                            </w:r>
                            <w:r>
                              <w:rPr>
                                <w:rFonts w:ascii="宋体" w:hAnsi="宋体" w:eastAsia="宋体"/>
                                <w:color w:val="000000"/>
                              </w:rPr>
                              <w:t xml:space="preserve"> </w:t>
                            </w:r>
                          </w:p>
                          <w:p>
                            <w:r>
                              <w:rPr>
                                <w:rFonts w:hint="eastAsia" w:ascii="宋体" w:hAnsi="宋体"/>
                                <w:b/>
                                <w:color w:val="000000"/>
                                <w:lang w:val="en-US" w:eastAsia="zh-CN"/>
                              </w:rPr>
                              <w:t xml:space="preserve">CCS </w:t>
                            </w:r>
                            <w:r>
                              <w:rPr>
                                <w:rFonts w:hint="eastAsia" w:ascii="宋体" w:hAnsi="宋体"/>
                                <w:b/>
                                <w:color w:val="000000"/>
                              </w:rPr>
                              <w:t>H 62</w:t>
                            </w:r>
                          </w:p>
                        </w:txbxContent>
                      </wps:txbx>
                      <wps:bodyPr wrap="square" lIns="0" tIns="0" rIns="0" bIns="0" upright="1"/>
                    </wps:wsp>
                  </a:graphicData>
                </a:graphic>
              </wp:anchor>
            </w:drawing>
          </mc:Choice>
          <mc:Fallback>
            <w:pict>
              <v:shape id="文本框 251" o:spid="_x0000_s1026" o:spt="202" type="#_x0000_t202" style="position:absolute;left:0pt;margin-left:0pt;margin-top:-0.85pt;height:51.8pt;width:200pt;mso-position-horizontal-relative:margin;mso-position-vertical-relative:margin;z-index:251661312;mso-width-relative:page;mso-height-relative:page;" fillcolor="#FFFFFF" filled="t" stroked="f" coordsize="21600,21600" o:gfxdata="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TSAIzVAAAABwEAAA8AAAAAAAAA&#10;AQAgAAAAIgAAAGRycy9kb3ducmV2LnhtbFBLAQIUABQAAAAIAIdO4kBimy4D2wEAAKsDAAAOAAAA&#10;AAAAAAEAIAAAACQBAABkcnMvZTJvRG9jLnhtbFBLBQYAAAAABgAGAFkBAABxBQAAAAA=&#10;">
                <v:fill on="t" focussize="0,0"/>
                <v:stroke on="f"/>
                <v:imagedata o:title=""/>
                <o:lock v:ext="edit" aspectratio="f"/>
                <v:textbox inset="0mm,0mm,0mm,0mm">
                  <w:txbxContent>
                    <w:p>
                      <w:pPr>
                        <w:pStyle w:val="92"/>
                        <w:snapToGrid w:val="0"/>
                        <w:rPr>
                          <w:rFonts w:ascii="宋体" w:hAnsi="宋体" w:eastAsia="宋体"/>
                          <w:color w:val="000000"/>
                        </w:rPr>
                      </w:pPr>
                      <w:r>
                        <w:rPr>
                          <w:rFonts w:ascii="宋体" w:hAnsi="宋体" w:eastAsia="宋体"/>
                          <w:b/>
                          <w:color w:val="000000"/>
                        </w:rPr>
                        <w:t>ICS</w:t>
                      </w:r>
                      <w:r>
                        <w:rPr>
                          <w:rFonts w:hint="eastAsia" w:ascii="宋体" w:hAnsi="宋体" w:eastAsia="宋体"/>
                          <w:b/>
                          <w:color w:val="000000"/>
                        </w:rPr>
                        <w:t xml:space="preserve"> 77.150.60</w:t>
                      </w:r>
                      <w:r>
                        <w:rPr>
                          <w:rFonts w:ascii="宋体" w:hAnsi="宋体" w:eastAsia="宋体"/>
                          <w:color w:val="000000"/>
                        </w:rPr>
                        <w:t xml:space="preserve"> </w:t>
                      </w:r>
                    </w:p>
                    <w:p>
                      <w:r>
                        <w:rPr>
                          <w:rFonts w:hint="eastAsia" w:ascii="宋体" w:hAnsi="宋体"/>
                          <w:b/>
                          <w:color w:val="000000"/>
                          <w:lang w:val="en-US" w:eastAsia="zh-CN"/>
                        </w:rPr>
                        <w:t xml:space="preserve">CCS </w:t>
                      </w:r>
                      <w:r>
                        <w:rPr>
                          <w:rFonts w:hint="eastAsia" w:ascii="宋体" w:hAnsi="宋体"/>
                          <w:b/>
                          <w:color w:val="000000"/>
                        </w:rPr>
                        <w:t>H 62</w:t>
                      </w:r>
                    </w:p>
                  </w:txbxContent>
                </v:textbox>
                <w10:anchorlock/>
              </v:shape>
            </w:pict>
          </mc:Fallback>
        </mc:AlternateContent>
      </w:r>
    </w:p>
    <w:p>
      <w:pPr>
        <w:pStyle w:val="3"/>
        <w:jc w:val="center"/>
        <w:rPr>
          <w:rFonts w:hint="eastAsia" w:ascii="黑体" w:hAnsi="黑体" w:eastAsia="黑体" w:cs="黑体"/>
          <w:b w:val="0"/>
          <w:color w:val="000000"/>
          <w:sz w:val="32"/>
          <w:szCs w:val="32"/>
        </w:rPr>
      </w:pPr>
      <w:bookmarkStart w:id="0" w:name="_Toc106117413"/>
      <w:r>
        <w:rPr>
          <w:rFonts w:hint="eastAsia" w:ascii="黑体" w:hAnsi="黑体" w:eastAsia="黑体" w:cs="黑体"/>
          <w:b w:val="0"/>
          <w:color w:val="000000"/>
          <w:sz w:val="32"/>
          <w:szCs w:val="32"/>
        </w:rPr>
        <w:t>前</w:t>
      </w:r>
      <w:r>
        <w:rPr>
          <w:rFonts w:hint="eastAsia" w:ascii="黑体" w:hAnsi="黑体" w:eastAsia="黑体" w:cs="黑体"/>
          <w:b w:val="0"/>
          <w:color w:val="000000"/>
          <w:sz w:val="32"/>
          <w:szCs w:val="32"/>
          <w:lang w:val="de-DE"/>
        </w:rPr>
        <w:t xml:space="preserve">   </w:t>
      </w:r>
      <w:r>
        <w:rPr>
          <w:rFonts w:hint="eastAsia" w:ascii="黑体" w:hAnsi="黑体" w:eastAsia="黑体" w:cs="黑体"/>
          <w:b w:val="0"/>
          <w:color w:val="000000"/>
          <w:sz w:val="32"/>
          <w:szCs w:val="32"/>
        </w:rPr>
        <w:t>言</w:t>
      </w:r>
      <w:bookmarkEnd w:id="0"/>
    </w:p>
    <w:p>
      <w:pPr>
        <w:pStyle w:val="120"/>
        <w:snapToGrid w:val="0"/>
        <w:ind w:firstLine="420" w:firstLineChars="200"/>
        <w:jc w:val="left"/>
        <w:rPr>
          <w:rFonts w:hint="eastAsia" w:ascii="宋体" w:hAnsi="宋体"/>
        </w:rPr>
      </w:pPr>
      <w:bookmarkStart w:id="1" w:name="_Toc529266266"/>
      <w:bookmarkStart w:id="2" w:name="_Toc529266237"/>
      <w:bookmarkStart w:id="3" w:name="_Toc529266202"/>
      <w:r>
        <w:rPr>
          <w:rFonts w:ascii="宋体" w:hAnsi="宋体"/>
        </w:rPr>
        <w:t>本</w:t>
      </w:r>
      <w:r>
        <w:rPr>
          <w:rFonts w:hint="eastAsia" w:ascii="宋体" w:hAnsi="宋体"/>
          <w:spacing w:val="-2"/>
        </w:rPr>
        <w:t>文件</w:t>
      </w:r>
      <w:r>
        <w:rPr>
          <w:rFonts w:ascii="宋体" w:hAnsi="宋体"/>
        </w:rPr>
        <w:t>按照GB/T 1.1-2020</w:t>
      </w:r>
      <w:r>
        <w:rPr>
          <w:rFonts w:hint="eastAsia" w:ascii="宋体" w:hAnsi="宋体"/>
        </w:rPr>
        <w:t>《标准化工作导则 第1部分：标准化文件的结构和起草规则》</w:t>
      </w:r>
      <w:r>
        <w:rPr>
          <w:rFonts w:ascii="宋体" w:hAnsi="宋体"/>
        </w:rPr>
        <w:t>的</w:t>
      </w:r>
      <w:r>
        <w:rPr>
          <w:rFonts w:hint="eastAsia" w:ascii="宋体" w:hAnsi="宋体"/>
        </w:rPr>
        <w:t>规定</w:t>
      </w:r>
      <w:r>
        <w:rPr>
          <w:rFonts w:ascii="宋体" w:hAnsi="宋体"/>
        </w:rPr>
        <w:t>起草。</w:t>
      </w:r>
    </w:p>
    <w:p>
      <w:pPr>
        <w:pStyle w:val="2"/>
        <w:rPr>
          <w:szCs w:val="21"/>
        </w:rPr>
      </w:pPr>
      <w:r>
        <w:rPr>
          <w:rFonts w:hint="eastAsia"/>
          <w:szCs w:val="21"/>
        </w:rPr>
        <w:t>本文件是</w:t>
      </w:r>
      <w:r>
        <w:rPr>
          <w:szCs w:val="21"/>
        </w:rPr>
        <w:t xml:space="preserve">T/CNIA </w:t>
      </w:r>
      <w:r>
        <w:rPr>
          <w:rFonts w:hint="eastAsia"/>
          <w:szCs w:val="21"/>
        </w:rPr>
        <w:t>XXXX-20XX《锡酸锌化学分析方法》的第</w:t>
      </w:r>
      <w:r>
        <w:rPr>
          <w:rFonts w:hint="eastAsia"/>
          <w:szCs w:val="21"/>
          <w:lang w:val="en-US" w:eastAsia="zh-CN"/>
        </w:rPr>
        <w:t>3</w:t>
      </w:r>
      <w:r>
        <w:rPr>
          <w:rFonts w:hint="eastAsia"/>
          <w:szCs w:val="21"/>
        </w:rPr>
        <w:t>部分。</w:t>
      </w:r>
      <w:r>
        <w:rPr>
          <w:szCs w:val="21"/>
        </w:rPr>
        <w:t xml:space="preserve">T/CNIA </w:t>
      </w:r>
      <w:r>
        <w:rPr>
          <w:rFonts w:hint="eastAsia"/>
          <w:szCs w:val="21"/>
        </w:rPr>
        <w:t>XXXX-20XX 已经发布了以下部分：</w:t>
      </w:r>
    </w:p>
    <w:p>
      <w:pPr>
        <w:pStyle w:val="2"/>
        <w:rPr>
          <w:szCs w:val="21"/>
        </w:rPr>
      </w:pPr>
      <w:r>
        <w:rPr>
          <w:rFonts w:hint="eastAsia" w:hAnsi="宋体"/>
          <w:szCs w:val="21"/>
        </w:rPr>
        <w:t>——</w:t>
      </w:r>
      <w:r>
        <w:rPr>
          <w:rFonts w:hint="eastAsia"/>
          <w:szCs w:val="21"/>
        </w:rPr>
        <w:t>第1部分：锡含量的测定 碘酸钾滴定法</w:t>
      </w:r>
    </w:p>
    <w:p>
      <w:pPr>
        <w:pStyle w:val="2"/>
      </w:pPr>
      <w:r>
        <w:rPr>
          <w:rFonts w:hint="eastAsia"/>
          <w:szCs w:val="21"/>
        </w:rPr>
        <w:t>——第2部分：锌含量的测定 Na</w:t>
      </w:r>
      <w:r>
        <w:rPr>
          <w:rFonts w:hint="eastAsia"/>
          <w:szCs w:val="21"/>
          <w:vertAlign w:val="subscript"/>
        </w:rPr>
        <w:t>2</w:t>
      </w:r>
      <w:r>
        <w:rPr>
          <w:rFonts w:hint="eastAsia"/>
          <w:szCs w:val="21"/>
        </w:rPr>
        <w:t>EDTA滴定法；</w:t>
      </w:r>
    </w:p>
    <w:p>
      <w:pPr>
        <w:pStyle w:val="2"/>
      </w:pPr>
      <w:r>
        <w:rPr>
          <w:rFonts w:hint="eastAsia"/>
          <w:szCs w:val="21"/>
        </w:rPr>
        <w:t>——第3部分：氯含量的测定 氯化银比浊法；</w:t>
      </w:r>
    </w:p>
    <w:p>
      <w:pPr>
        <w:adjustRightInd w:val="0"/>
        <w:snapToGrid w:val="0"/>
        <w:spacing w:line="360" w:lineRule="exact"/>
        <w:ind w:firstLine="420" w:firstLineChars="200"/>
        <w:rPr>
          <w:rFonts w:hint="eastAsia"/>
          <w:szCs w:val="21"/>
        </w:rPr>
      </w:pPr>
      <w:r>
        <w:rPr>
          <w:rFonts w:hint="eastAsia" w:hAnsi="宋体"/>
          <w:szCs w:val="21"/>
        </w:rPr>
        <w:t>请注意本文件</w:t>
      </w:r>
      <w:r>
        <w:rPr>
          <w:rFonts w:hAnsi="宋体"/>
          <w:szCs w:val="21"/>
        </w:rPr>
        <w:t>的某些</w:t>
      </w:r>
      <w:r>
        <w:rPr>
          <w:rFonts w:hint="eastAsia" w:hAnsi="宋体"/>
          <w:szCs w:val="21"/>
        </w:rPr>
        <w:t>内容</w:t>
      </w:r>
      <w:r>
        <w:rPr>
          <w:rFonts w:hAnsi="宋体"/>
          <w:szCs w:val="21"/>
        </w:rPr>
        <w:t>可能涉及专利。本文件</w:t>
      </w:r>
      <w:r>
        <w:rPr>
          <w:rFonts w:hint="eastAsia" w:hAnsi="宋体"/>
          <w:szCs w:val="21"/>
        </w:rPr>
        <w:t>的</w:t>
      </w:r>
      <w:r>
        <w:rPr>
          <w:rFonts w:hAnsi="宋体"/>
          <w:szCs w:val="21"/>
        </w:rPr>
        <w:t>发布机构不承担识别专利的责任。</w:t>
      </w:r>
    </w:p>
    <w:p>
      <w:pPr>
        <w:pStyle w:val="120"/>
        <w:ind w:firstLine="420" w:firstLineChars="200"/>
        <w:jc w:val="left"/>
        <w:rPr>
          <w:rFonts w:ascii="宋体" w:hAnsi="宋体"/>
        </w:rPr>
      </w:pPr>
      <w:r>
        <w:rPr>
          <w:rFonts w:ascii="宋体" w:hAnsi="宋体"/>
        </w:rPr>
        <w:t>本</w:t>
      </w:r>
      <w:r>
        <w:rPr>
          <w:rFonts w:hint="eastAsia" w:ascii="宋体" w:hAnsi="宋体"/>
        </w:rPr>
        <w:t>文件</w:t>
      </w:r>
      <w:r>
        <w:rPr>
          <w:rFonts w:ascii="宋体" w:hAnsi="宋体"/>
        </w:rPr>
        <w:t>由</w:t>
      </w:r>
      <w:r>
        <w:rPr>
          <w:rFonts w:hint="eastAsia" w:ascii="宋体" w:hAnsi="宋体"/>
        </w:rPr>
        <w:t>全</w:t>
      </w:r>
      <w:r>
        <w:rPr>
          <w:rFonts w:ascii="宋体" w:hAnsi="宋体"/>
        </w:rPr>
        <w:t>国有色金属标准化</w:t>
      </w:r>
      <w:r>
        <w:rPr>
          <w:rFonts w:hint="eastAsia" w:ascii="宋体" w:hAnsi="宋体"/>
        </w:rPr>
        <w:t>技术</w:t>
      </w:r>
      <w:r>
        <w:rPr>
          <w:rFonts w:ascii="宋体" w:hAnsi="宋体"/>
        </w:rPr>
        <w:t>委员会</w:t>
      </w:r>
      <w:r>
        <w:rPr>
          <w:rFonts w:hint="eastAsia" w:ascii="宋体" w:hAnsi="宋体"/>
        </w:rPr>
        <w:t>（SAC/TC 243）提出并</w:t>
      </w:r>
      <w:r>
        <w:rPr>
          <w:rFonts w:ascii="宋体" w:hAnsi="宋体"/>
        </w:rPr>
        <w:t>归口。</w:t>
      </w:r>
    </w:p>
    <w:p>
      <w:pPr>
        <w:pStyle w:val="120"/>
        <w:ind w:firstLine="420" w:firstLineChars="200"/>
        <w:jc w:val="left"/>
        <w:rPr>
          <w:rFonts w:ascii="宋体" w:hAnsi="宋体"/>
        </w:rPr>
      </w:pPr>
      <w:r>
        <w:rPr>
          <w:rFonts w:ascii="宋体" w:hAnsi="宋体"/>
        </w:rPr>
        <w:t>本</w:t>
      </w:r>
      <w:r>
        <w:rPr>
          <w:rFonts w:hint="eastAsia" w:ascii="宋体" w:hAnsi="宋体"/>
        </w:rPr>
        <w:t>文件</w:t>
      </w:r>
      <w:r>
        <w:rPr>
          <w:rFonts w:ascii="宋体" w:hAnsi="宋体"/>
        </w:rPr>
        <w:t>起草单位：</w:t>
      </w:r>
    </w:p>
    <w:p>
      <w:pPr>
        <w:pStyle w:val="2"/>
        <w:sectPr>
          <w:headerReference r:id="rId6" w:type="default"/>
          <w:footerReference r:id="rId7" w:type="default"/>
          <w:pgSz w:w="11906" w:h="16838"/>
          <w:pgMar w:top="567" w:right="1134" w:bottom="1134" w:left="1418" w:header="1418" w:footer="1134" w:gutter="0"/>
          <w:pgNumType w:fmt="upperRoman" w:start="1"/>
          <w:cols w:space="425" w:num="1"/>
          <w:formProt w:val="0"/>
          <w:docGrid w:type="lines" w:linePitch="312" w:charSpace="0"/>
        </w:sectPr>
      </w:pPr>
      <w:r>
        <w:rPr>
          <w:rFonts w:hAnsi="宋体"/>
          <w:szCs w:val="21"/>
        </w:rPr>
        <w:t>本</w:t>
      </w:r>
      <w:r>
        <w:rPr>
          <w:rFonts w:hint="eastAsia" w:hAnsi="宋体"/>
          <w:szCs w:val="21"/>
        </w:rPr>
        <w:t>文件</w:t>
      </w:r>
      <w:r>
        <w:rPr>
          <w:rFonts w:hAnsi="宋体"/>
          <w:szCs w:val="21"/>
        </w:rPr>
        <w:t>主要起草人：</w:t>
      </w:r>
    </w:p>
    <w:bookmarkEnd w:id="1"/>
    <w:bookmarkEnd w:id="2"/>
    <w:bookmarkEnd w:id="3"/>
    <w:p>
      <w:pPr>
        <w:pStyle w:val="2"/>
        <w:pageBreakBefore/>
        <w:adjustRightInd w:val="0"/>
        <w:snapToGrid w:val="0"/>
        <w:ind w:firstLine="0" w:firstLineChars="0"/>
        <w:jc w:val="center"/>
        <w:rPr>
          <w:rFonts w:ascii="黑体" w:eastAsia="黑体"/>
          <w:sz w:val="32"/>
        </w:rPr>
      </w:pPr>
      <w:r>
        <w:rPr>
          <w:rFonts w:hint="eastAsia" w:ascii="黑体" w:eastAsia="黑体"/>
          <w:sz w:val="32"/>
        </w:rPr>
        <w:t>锡酸锌化学分析方法</w:t>
      </w:r>
    </w:p>
    <w:p>
      <w:pPr>
        <w:pStyle w:val="2"/>
        <w:adjustRightInd w:val="0"/>
        <w:snapToGrid w:val="0"/>
        <w:ind w:firstLine="0" w:firstLineChars="0"/>
        <w:jc w:val="center"/>
        <w:rPr>
          <w:rFonts w:ascii="黑体" w:eastAsia="黑体"/>
          <w:sz w:val="32"/>
        </w:rPr>
      </w:pPr>
      <w:r>
        <w:rPr>
          <w:rFonts w:hint="eastAsia" w:ascii="黑体" w:eastAsia="黑体"/>
          <w:sz w:val="32"/>
        </w:rPr>
        <w:t xml:space="preserve"> 第</w:t>
      </w:r>
      <w:r>
        <w:rPr>
          <w:rFonts w:ascii="黑体" w:eastAsia="黑体"/>
          <w:sz w:val="32"/>
        </w:rPr>
        <w:t>1</w:t>
      </w:r>
      <w:r>
        <w:rPr>
          <w:rFonts w:hint="eastAsia" w:ascii="黑体" w:eastAsia="黑体"/>
          <w:sz w:val="32"/>
        </w:rPr>
        <w:t>部分：锡含量的测定</w:t>
      </w:r>
    </w:p>
    <w:p>
      <w:pPr>
        <w:pStyle w:val="2"/>
        <w:adjustRightInd w:val="0"/>
        <w:snapToGrid w:val="0"/>
        <w:ind w:firstLine="0" w:firstLineChars="0"/>
        <w:jc w:val="center"/>
        <w:rPr>
          <w:rFonts w:ascii="黑体" w:eastAsia="黑体"/>
          <w:sz w:val="32"/>
        </w:rPr>
      </w:pPr>
      <w:r>
        <w:rPr>
          <w:rFonts w:hint="eastAsia" w:ascii="黑体" w:eastAsia="黑体"/>
          <w:sz w:val="32"/>
        </w:rPr>
        <w:t>碘酸钾滴定法</w:t>
      </w:r>
    </w:p>
    <w:p>
      <w:pPr>
        <w:pStyle w:val="62"/>
        <w:spacing w:before="312" w:after="312"/>
        <w:rPr>
          <w:rFonts w:hint="eastAsia" w:hAnsi="黑体" w:cs="黑体"/>
          <w:szCs w:val="21"/>
        </w:rPr>
      </w:pPr>
      <w:bookmarkStart w:id="4" w:name="_Toc529266238"/>
      <w:bookmarkStart w:id="5" w:name="_Toc106117414"/>
      <w:bookmarkStart w:id="6" w:name="_Toc529266203"/>
      <w:r>
        <w:rPr>
          <w:rFonts w:hint="eastAsia" w:hAnsi="黑体" w:cs="黑体"/>
          <w:szCs w:val="21"/>
        </w:rPr>
        <w:t>范围</w:t>
      </w:r>
      <w:bookmarkEnd w:id="4"/>
      <w:bookmarkEnd w:id="5"/>
      <w:bookmarkEnd w:id="6"/>
    </w:p>
    <w:p>
      <w:pPr>
        <w:ind w:firstLine="420" w:firstLineChars="200"/>
        <w:jc w:val="left"/>
        <w:rPr>
          <w:rFonts w:ascii="宋体" w:hAnsi="宋体" w:cs="宋体"/>
          <w:szCs w:val="21"/>
        </w:rPr>
      </w:pPr>
      <w:r>
        <w:rPr>
          <w:rFonts w:hint="eastAsia" w:ascii="宋体" w:hAnsi="宋体" w:cs="宋体"/>
          <w:szCs w:val="21"/>
        </w:rPr>
        <w:t>本文件</w:t>
      </w:r>
      <w:r>
        <w:rPr>
          <w:rFonts w:hint="eastAsia" w:ascii="宋体" w:hAnsi="宋体" w:cs="宋体"/>
          <w:szCs w:val="21"/>
          <w:lang w:val="en-US" w:eastAsia="zh-CN"/>
        </w:rPr>
        <w:t>描述</w:t>
      </w:r>
      <w:r>
        <w:rPr>
          <w:rFonts w:hint="eastAsia" w:ascii="宋体" w:hAnsi="宋体" w:cs="宋体"/>
          <w:szCs w:val="21"/>
        </w:rPr>
        <w:t>了</w:t>
      </w:r>
      <w:r>
        <w:rPr>
          <w:rFonts w:hint="eastAsia" w:ascii="宋体" w:hAnsi="宋体" w:cs="宋体"/>
          <w:szCs w:val="21"/>
          <w:lang w:val="en-US" w:eastAsia="zh-CN"/>
        </w:rPr>
        <w:t>采用碘酸钾滴定法测定</w:t>
      </w:r>
      <w:r>
        <w:rPr>
          <w:rFonts w:hint="eastAsia" w:ascii="宋体" w:hAnsi="宋体" w:cs="宋体"/>
          <w:szCs w:val="21"/>
        </w:rPr>
        <w:t>锡酸锌</w:t>
      </w:r>
      <w:r>
        <w:rPr>
          <w:rFonts w:hint="eastAsia" w:ascii="宋体" w:hAnsi="宋体" w:cs="宋体"/>
          <w:szCs w:val="21"/>
          <w:lang w:val="en-US" w:eastAsia="zh-CN"/>
        </w:rPr>
        <w:t>中锡含量</w:t>
      </w:r>
      <w:r>
        <w:rPr>
          <w:rFonts w:hint="eastAsia" w:ascii="宋体" w:hAnsi="宋体" w:cs="宋体"/>
          <w:szCs w:val="21"/>
        </w:rPr>
        <w:t>的方法。</w:t>
      </w:r>
    </w:p>
    <w:p>
      <w:pPr>
        <w:ind w:firstLine="420" w:firstLineChars="200"/>
        <w:jc w:val="left"/>
        <w:rPr>
          <w:rFonts w:ascii="宋体" w:hAnsi="宋体" w:cs="宋体"/>
          <w:szCs w:val="21"/>
        </w:rPr>
      </w:pPr>
      <w:r>
        <w:rPr>
          <w:rFonts w:hint="eastAsia" w:ascii="宋体" w:hAnsi="宋体" w:cs="宋体"/>
          <w:szCs w:val="21"/>
        </w:rPr>
        <w:t>本文</w:t>
      </w:r>
      <w:r>
        <w:rPr>
          <w:rFonts w:hint="eastAsia" w:ascii="宋体" w:hAnsi="宋体" w:cs="宋体"/>
          <w:szCs w:val="21"/>
          <w:lang w:val="en-US" w:eastAsia="zh-CN"/>
        </w:rPr>
        <w:t>件</w:t>
      </w:r>
      <w:r>
        <w:rPr>
          <w:rFonts w:hint="eastAsia" w:ascii="宋体" w:hAnsi="宋体" w:cs="宋体"/>
          <w:szCs w:val="21"/>
        </w:rPr>
        <w:t>适用于锡酸锌中锡含量的测定，测定范围为</w:t>
      </w:r>
      <w:r>
        <w:rPr>
          <w:rFonts w:hint="eastAsia"/>
        </w:rPr>
        <w:t>40.00%</w:t>
      </w:r>
      <w:r>
        <w:t>~</w:t>
      </w:r>
      <w:r>
        <w:rPr>
          <w:rFonts w:hint="eastAsia"/>
        </w:rPr>
        <w:t>51.00%。</w:t>
      </w:r>
    </w:p>
    <w:p>
      <w:pPr>
        <w:pStyle w:val="62"/>
        <w:spacing w:before="312" w:after="312"/>
        <w:rPr>
          <w:rFonts w:hint="eastAsia" w:hAnsi="黑体" w:cs="黑体"/>
          <w:szCs w:val="21"/>
        </w:rPr>
      </w:pPr>
      <w:bookmarkStart w:id="7" w:name="_Toc106117415"/>
      <w:bookmarkStart w:id="8" w:name="_Toc529266239"/>
      <w:bookmarkStart w:id="9" w:name="_Toc529266204"/>
      <w:r>
        <w:rPr>
          <w:rFonts w:hint="eastAsia" w:hAnsi="黑体" w:cs="黑体"/>
          <w:szCs w:val="21"/>
        </w:rPr>
        <w:t>规范性引用文件</w:t>
      </w:r>
      <w:bookmarkEnd w:id="7"/>
      <w:bookmarkEnd w:id="8"/>
      <w:bookmarkEnd w:id="9"/>
    </w:p>
    <w:p>
      <w:pPr>
        <w:pStyle w:val="2"/>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pPr>
      <w:r>
        <w:rPr>
          <w:rFonts w:hint="eastAsia"/>
        </w:rPr>
        <w:t>GB/T 6682 分析实验室用水规格和试验方法</w:t>
      </w:r>
    </w:p>
    <w:p>
      <w:pPr>
        <w:pStyle w:val="2"/>
      </w:pPr>
      <w:r>
        <w:rPr>
          <w:rFonts w:hint="eastAsia"/>
        </w:rPr>
        <w:t>GB/T 8170 数值修约规则与极限数值的表示和判定</w:t>
      </w:r>
    </w:p>
    <w:p>
      <w:pPr>
        <w:pStyle w:val="62"/>
        <w:spacing w:before="312" w:after="156" w:afterLines="50" w:line="360" w:lineRule="auto"/>
        <w:outlineLvl w:val="9"/>
        <w:rPr>
          <w:rFonts w:hint="eastAsia" w:hAnsi="黑体" w:cs="黑体"/>
          <w:szCs w:val="21"/>
        </w:rPr>
      </w:pPr>
      <w:r>
        <w:rPr>
          <w:rFonts w:hint="eastAsia" w:hAnsi="黑体" w:cs="黑体"/>
          <w:szCs w:val="21"/>
        </w:rPr>
        <w:t>术语和定义</w:t>
      </w:r>
    </w:p>
    <w:p>
      <w:pPr>
        <w:pStyle w:val="2"/>
        <w:rPr>
          <w:rFonts w:hint="eastAsia" w:hAnsi="宋体" w:cs="宋体"/>
          <w:szCs w:val="21"/>
        </w:rPr>
      </w:pPr>
      <w:r>
        <w:rPr>
          <w:rFonts w:hint="eastAsia"/>
        </w:rPr>
        <w:t>本文件没有需要界定的术语和定义</w:t>
      </w:r>
      <w:r>
        <w:rPr>
          <w:rFonts w:hint="eastAsia" w:hAnsi="宋体" w:cs="宋体"/>
          <w:color w:val="000000"/>
          <w:szCs w:val="21"/>
        </w:rPr>
        <w:t>。</w:t>
      </w:r>
    </w:p>
    <w:p>
      <w:pPr>
        <w:pStyle w:val="62"/>
        <w:spacing w:before="312" w:after="312"/>
        <w:rPr>
          <w:rFonts w:hint="eastAsia"/>
        </w:rPr>
      </w:pPr>
      <w:r>
        <w:rPr>
          <w:rFonts w:hint="eastAsia"/>
        </w:rPr>
        <w:t>原理</w:t>
      </w:r>
    </w:p>
    <w:p>
      <w:pPr>
        <w:pStyle w:val="2"/>
      </w:pPr>
      <w:r>
        <w:rPr>
          <w:rFonts w:hint="eastAsia"/>
        </w:rPr>
        <w:t>试料经盐酸溶解，用铁粉、金属铝将锡还原为二价锡，以淀粉为指示剂，用碘酸钾标准滴定溶液滴定试液呈蓝色为终点。</w:t>
      </w:r>
    </w:p>
    <w:p>
      <w:pPr>
        <w:pStyle w:val="60"/>
        <w:numPr>
          <w:ilvl w:val="0"/>
          <w:numId w:val="3"/>
        </w:numPr>
        <w:spacing w:before="156" w:after="156"/>
        <w:jc w:val="both"/>
        <w:rPr>
          <w:rFonts w:hAnsi="黑体"/>
        </w:rPr>
      </w:pPr>
      <w:r>
        <w:rPr>
          <w:rFonts w:hint="eastAsia" w:hAnsi="黑体"/>
        </w:rPr>
        <w:t>试剂</w:t>
      </w:r>
      <w:r>
        <w:rPr>
          <w:rFonts w:hint="eastAsia" w:hAnsi="黑体"/>
          <w:lang w:val="en-US" w:eastAsia="zh-CN"/>
        </w:rPr>
        <w:t>和</w:t>
      </w:r>
      <w:r>
        <w:rPr>
          <w:rFonts w:hint="eastAsia" w:hAnsi="黑体"/>
        </w:rPr>
        <w:t>材料</w:t>
      </w:r>
    </w:p>
    <w:p>
      <w:pPr>
        <w:pStyle w:val="2"/>
        <w:ind w:firstLine="0" w:firstLineChars="0"/>
        <w:rPr>
          <w:rFonts w:ascii="Times New Roman"/>
        </w:rPr>
      </w:pPr>
      <w:r>
        <w:rPr>
          <w:rFonts w:hint="eastAsia"/>
        </w:rPr>
        <w:t xml:space="preserve"> </w:t>
      </w:r>
      <w:r>
        <w:rPr>
          <w:rFonts w:ascii="Times New Roman"/>
        </w:rPr>
        <w:t xml:space="preserve">   </w:t>
      </w:r>
      <w:r>
        <w:rPr>
          <w:rFonts w:ascii="Times New Roman" w:hAnsi="宋体"/>
        </w:rPr>
        <w:t>除非另有说明，在分析中仅使用确认为分析纯</w:t>
      </w:r>
      <w:r>
        <w:rPr>
          <w:rFonts w:hint="eastAsia" w:ascii="Times New Roman" w:hAnsi="宋体"/>
          <w:lang w:val="en-US" w:eastAsia="zh-CN"/>
        </w:rPr>
        <w:t>及以上纯度</w:t>
      </w:r>
      <w:r>
        <w:rPr>
          <w:rFonts w:ascii="Times New Roman" w:hAnsi="宋体"/>
        </w:rPr>
        <w:t>的试剂和符合</w:t>
      </w:r>
      <w:r>
        <w:rPr>
          <w:rFonts w:ascii="Times New Roman"/>
        </w:rPr>
        <w:t>GB/T 6682</w:t>
      </w:r>
      <w:r>
        <w:rPr>
          <w:rFonts w:ascii="Times New Roman" w:hAnsi="宋体"/>
        </w:rPr>
        <w:t>规定的三级水。</w:t>
      </w:r>
    </w:p>
    <w:p>
      <w:pPr>
        <w:pStyle w:val="60"/>
        <w:spacing w:before="156" w:after="156"/>
        <w:rPr>
          <w:rFonts w:ascii="Times New Roman" w:eastAsia="宋体"/>
        </w:rPr>
      </w:pPr>
      <w:r>
        <w:rPr>
          <w:rFonts w:ascii="Times New Roman" w:hAnsi="宋体" w:eastAsia="宋体"/>
        </w:rPr>
        <w:t>金属锡</w:t>
      </w:r>
      <w:r>
        <w:rPr>
          <w:rFonts w:ascii="Times New Roman" w:eastAsia="宋体"/>
        </w:rPr>
        <w:t>(</w:t>
      </w:r>
      <w:r>
        <w:rPr>
          <w:rFonts w:ascii="Times New Roman" w:eastAsia="宋体"/>
          <w:i/>
          <w:sz w:val="24"/>
          <w:szCs w:val="18"/>
        </w:rPr>
        <w:t>w</w:t>
      </w:r>
      <w:r>
        <w:rPr>
          <w:rFonts w:ascii="Times New Roman" w:eastAsia="宋体"/>
          <w:sz w:val="24"/>
          <w:szCs w:val="18"/>
          <w:vertAlign w:val="subscript"/>
        </w:rPr>
        <w:t>Sn</w:t>
      </w:r>
      <w:r>
        <w:rPr>
          <w:rFonts w:ascii="Times New Roman" w:eastAsia="宋体"/>
        </w:rPr>
        <w:t>≥99.99%)</w:t>
      </w:r>
      <w:r>
        <w:rPr>
          <w:rFonts w:ascii="Times New Roman" w:hAnsi="宋体" w:eastAsia="宋体"/>
        </w:rPr>
        <w:t>。</w:t>
      </w:r>
    </w:p>
    <w:p>
      <w:pPr>
        <w:pStyle w:val="60"/>
        <w:spacing w:before="156" w:after="156"/>
        <w:rPr>
          <w:rFonts w:ascii="Times New Roman" w:eastAsia="宋体"/>
        </w:rPr>
      </w:pPr>
      <w:r>
        <w:rPr>
          <w:rFonts w:ascii="Times New Roman" w:hAnsi="宋体" w:eastAsia="宋体"/>
        </w:rPr>
        <w:t>还原铁粉</w:t>
      </w:r>
      <w:r>
        <w:rPr>
          <w:rFonts w:ascii="Times New Roman" w:eastAsia="宋体"/>
        </w:rPr>
        <w:t>(</w:t>
      </w:r>
      <w:r>
        <w:rPr>
          <w:rFonts w:ascii="Times New Roman" w:eastAsia="宋体"/>
          <w:i/>
          <w:sz w:val="24"/>
          <w:szCs w:val="18"/>
        </w:rPr>
        <w:t>w</w:t>
      </w:r>
      <w:r>
        <w:rPr>
          <w:rFonts w:ascii="Times New Roman" w:eastAsia="宋体"/>
          <w:vertAlign w:val="subscript"/>
        </w:rPr>
        <w:t>Fe</w:t>
      </w:r>
      <w:r>
        <w:rPr>
          <w:rFonts w:ascii="Times New Roman" w:eastAsia="宋体"/>
        </w:rPr>
        <w:t>≥98.0%)</w:t>
      </w:r>
      <w:r>
        <w:rPr>
          <w:rFonts w:hint="eastAsia" w:ascii="Times New Roman" w:eastAsia="宋体"/>
          <w:lang w:eastAsia="zh-CN"/>
        </w:rPr>
        <w:t>。</w:t>
      </w:r>
    </w:p>
    <w:p>
      <w:pPr>
        <w:pStyle w:val="60"/>
        <w:spacing w:before="156" w:after="156"/>
        <w:rPr>
          <w:rFonts w:ascii="Times New Roman" w:eastAsia="宋体"/>
        </w:rPr>
      </w:pPr>
      <w:r>
        <w:rPr>
          <w:rFonts w:ascii="Times New Roman" w:hAnsi="宋体" w:eastAsia="宋体"/>
        </w:rPr>
        <w:t>金属铝</w:t>
      </w:r>
      <w:r>
        <w:rPr>
          <w:rFonts w:ascii="Times New Roman" w:eastAsia="宋体"/>
        </w:rPr>
        <w:t>(</w:t>
      </w:r>
      <w:r>
        <w:rPr>
          <w:rFonts w:ascii="Times New Roman" w:eastAsia="宋体"/>
          <w:i/>
          <w:sz w:val="24"/>
          <w:szCs w:val="18"/>
        </w:rPr>
        <w:t>w</w:t>
      </w:r>
      <w:r>
        <w:rPr>
          <w:rFonts w:ascii="Times New Roman" w:eastAsia="宋体"/>
          <w:vertAlign w:val="subscript"/>
        </w:rPr>
        <w:t>Al</w:t>
      </w:r>
      <w:r>
        <w:rPr>
          <w:rFonts w:ascii="Times New Roman" w:hAnsi="宋体" w:eastAsia="宋体"/>
        </w:rPr>
        <w:t>＞</w:t>
      </w:r>
      <w:r>
        <w:rPr>
          <w:rFonts w:ascii="Times New Roman" w:eastAsia="宋体"/>
        </w:rPr>
        <w:t>99.5%)</w:t>
      </w:r>
      <w:r>
        <w:rPr>
          <w:rFonts w:ascii="Times New Roman" w:hAnsi="宋体" w:eastAsia="宋体"/>
        </w:rPr>
        <w:t>。</w:t>
      </w:r>
    </w:p>
    <w:p>
      <w:pPr>
        <w:pStyle w:val="60"/>
        <w:spacing w:before="156" w:after="156"/>
        <w:rPr>
          <w:rFonts w:ascii="Times New Roman" w:eastAsia="宋体"/>
        </w:rPr>
      </w:pPr>
      <w:r>
        <w:rPr>
          <w:rFonts w:hint="eastAsia" w:ascii="Times New Roman" w:eastAsia="宋体"/>
          <w:lang w:val="en-US" w:eastAsia="zh-CN"/>
        </w:rPr>
        <w:t>碘酸钾。</w:t>
      </w:r>
    </w:p>
    <w:p>
      <w:pPr>
        <w:pStyle w:val="60"/>
        <w:spacing w:before="156" w:after="156"/>
        <w:rPr>
          <w:rFonts w:ascii="Times New Roman" w:eastAsia="宋体"/>
        </w:rPr>
      </w:pPr>
      <w:r>
        <w:rPr>
          <w:rFonts w:hint="eastAsia" w:ascii="Times New Roman" w:eastAsia="宋体"/>
          <w:lang w:val="en-US" w:eastAsia="zh-CN"/>
        </w:rPr>
        <w:t>碘化钾。</w:t>
      </w:r>
    </w:p>
    <w:p>
      <w:pPr>
        <w:pStyle w:val="60"/>
        <w:spacing w:before="156" w:after="156"/>
      </w:pPr>
      <w:r>
        <w:rPr>
          <w:rFonts w:hint="eastAsia" w:ascii="Times New Roman" w:eastAsia="宋体"/>
          <w:lang w:val="en-US" w:eastAsia="zh-CN"/>
        </w:rPr>
        <w:t>无水碳酸钠。</w:t>
      </w:r>
    </w:p>
    <w:p>
      <w:pPr>
        <w:pStyle w:val="60"/>
        <w:spacing w:before="156" w:after="156"/>
        <w:rPr>
          <w:rFonts w:hint="default" w:eastAsia="宋体"/>
          <w:lang w:val="en-US" w:eastAsia="zh-CN"/>
        </w:rPr>
      </w:pPr>
      <w:r>
        <w:rPr>
          <w:rFonts w:ascii="Times New Roman" w:hAnsi="宋体" w:eastAsia="宋体"/>
        </w:rPr>
        <w:t>盐酸。</w:t>
      </w:r>
    </w:p>
    <w:p>
      <w:pPr>
        <w:pStyle w:val="60"/>
        <w:spacing w:before="156" w:after="156"/>
      </w:pPr>
      <w:r>
        <w:rPr>
          <w:rFonts w:ascii="Times New Roman" w:hAnsi="宋体" w:eastAsia="宋体"/>
        </w:rPr>
        <w:t>盐酸</w:t>
      </w:r>
      <w:r>
        <w:rPr>
          <w:rFonts w:ascii="Times New Roman" w:eastAsia="宋体"/>
        </w:rPr>
        <w:t>(</w:t>
      </w:r>
      <w:r>
        <w:rPr>
          <w:rFonts w:hint="eastAsia" w:ascii="Times New Roman" w:eastAsia="宋体"/>
          <w:lang w:val="en-US" w:eastAsia="zh-CN"/>
        </w:rPr>
        <w:t>1+1</w:t>
      </w:r>
      <w:r>
        <w:rPr>
          <w:rFonts w:ascii="Times New Roman" w:eastAsia="宋体"/>
        </w:rPr>
        <w:t>)</w:t>
      </w:r>
      <w:r>
        <w:rPr>
          <w:rFonts w:ascii="Times New Roman" w:hAnsi="宋体" w:eastAsia="宋体"/>
        </w:rPr>
        <w:t>。</w:t>
      </w:r>
    </w:p>
    <w:p>
      <w:pPr>
        <w:pStyle w:val="60"/>
        <w:spacing w:before="156" w:after="156"/>
      </w:pPr>
      <w:r>
        <w:rPr>
          <w:rFonts w:ascii="Times New Roman" w:hAnsi="宋体" w:eastAsia="宋体"/>
        </w:rPr>
        <w:t>碘酸钾标准滴定溶液：</w:t>
      </w:r>
      <w:r>
        <w:rPr>
          <w:rFonts w:ascii="Times New Roman" w:eastAsia="宋体"/>
        </w:rPr>
        <w:t>[c(1/6KIO</w:t>
      </w:r>
      <w:r>
        <w:rPr>
          <w:rFonts w:ascii="Times New Roman" w:eastAsia="宋体"/>
          <w:vertAlign w:val="subscript"/>
        </w:rPr>
        <w:t>3</w:t>
      </w:r>
      <w:r>
        <w:rPr>
          <w:rFonts w:ascii="Times New Roman" w:eastAsia="宋体"/>
        </w:rPr>
        <w:t>)≈0.050 mol/L]</w:t>
      </w:r>
      <w:r>
        <w:rPr>
          <w:rFonts w:ascii="Times New Roman" w:hAnsi="宋体" w:eastAsia="宋体"/>
        </w:rPr>
        <w:t>。</w:t>
      </w:r>
      <w:r>
        <w:rPr>
          <w:rFonts w:hint="eastAsia" w:ascii="Times New Roman" w:hAnsi="宋体" w:eastAsia="宋体"/>
        </w:rPr>
        <w:t>按以下步骤进行配置和标定：</w:t>
      </w:r>
    </w:p>
    <w:p>
      <w:pPr>
        <w:pStyle w:val="59"/>
        <w:numPr>
          <w:ilvl w:val="-1"/>
          <w:numId w:val="0"/>
        </w:numPr>
        <w:spacing w:before="156" w:after="156"/>
        <w:ind w:left="420" w:leftChars="200" w:firstLineChars="0"/>
        <w:rPr>
          <w:rFonts w:ascii="Times New Roman" w:eastAsia="宋体"/>
          <w:szCs w:val="20"/>
        </w:rPr>
      </w:pPr>
      <w:r>
        <w:rPr>
          <w:rFonts w:hint="eastAsia" w:ascii="Times New Roman" w:hAnsi="宋体" w:eastAsia="宋体"/>
          <w:szCs w:val="20"/>
          <w:lang w:val="en-US" w:eastAsia="zh-CN"/>
        </w:rPr>
        <w:t>a)</w:t>
      </w:r>
      <w:r>
        <w:rPr>
          <w:rFonts w:ascii="Times New Roman" w:hAnsi="宋体" w:eastAsia="宋体"/>
          <w:szCs w:val="20"/>
        </w:rPr>
        <w:t>配制：称取</w:t>
      </w:r>
      <w:r>
        <w:rPr>
          <w:rFonts w:ascii="Times New Roman" w:eastAsia="宋体"/>
          <w:szCs w:val="20"/>
        </w:rPr>
        <w:t>17.9 g</w:t>
      </w:r>
      <w:r>
        <w:rPr>
          <w:rFonts w:ascii="Times New Roman" w:hAnsi="宋体" w:eastAsia="宋体"/>
          <w:szCs w:val="20"/>
        </w:rPr>
        <w:t>碘酸钾</w:t>
      </w:r>
      <w:r>
        <w:rPr>
          <w:rFonts w:hint="eastAsia" w:ascii="Times New Roman" w:hAnsi="宋体" w:eastAsia="宋体"/>
          <w:szCs w:val="20"/>
          <w:lang w:val="en-US" w:eastAsia="zh-CN"/>
        </w:rPr>
        <w:t>(5.4)</w:t>
      </w:r>
      <w:r>
        <w:rPr>
          <w:rFonts w:ascii="Times New Roman" w:hAnsi="宋体" w:eastAsia="宋体"/>
          <w:szCs w:val="20"/>
        </w:rPr>
        <w:t>，溶于</w:t>
      </w:r>
      <w:r>
        <w:rPr>
          <w:rFonts w:ascii="Times New Roman" w:eastAsia="宋体"/>
          <w:szCs w:val="20"/>
        </w:rPr>
        <w:t>500 mL</w:t>
      </w:r>
      <w:r>
        <w:rPr>
          <w:rFonts w:ascii="Times New Roman" w:hAnsi="宋体" w:eastAsia="宋体"/>
          <w:szCs w:val="20"/>
        </w:rPr>
        <w:t>水中，加入</w:t>
      </w:r>
      <w:r>
        <w:rPr>
          <w:rFonts w:ascii="Times New Roman" w:eastAsia="宋体"/>
          <w:szCs w:val="20"/>
        </w:rPr>
        <w:t>89.5 g</w:t>
      </w:r>
      <w:r>
        <w:rPr>
          <w:rFonts w:ascii="Times New Roman" w:hAnsi="宋体" w:eastAsia="宋体"/>
          <w:szCs w:val="20"/>
        </w:rPr>
        <w:t>碘化钾</w:t>
      </w:r>
      <w:r>
        <w:rPr>
          <w:rFonts w:hint="eastAsia" w:ascii="Times New Roman" w:hAnsi="宋体" w:eastAsia="宋体"/>
          <w:szCs w:val="20"/>
          <w:lang w:val="en-US" w:eastAsia="zh-CN"/>
        </w:rPr>
        <w:t>(5.5)</w:t>
      </w:r>
      <w:r>
        <w:rPr>
          <w:rFonts w:ascii="Times New Roman" w:hAnsi="宋体" w:eastAsia="宋体"/>
          <w:szCs w:val="20"/>
        </w:rPr>
        <w:t>和</w:t>
      </w:r>
      <w:r>
        <w:rPr>
          <w:rFonts w:ascii="Times New Roman" w:eastAsia="宋体"/>
          <w:szCs w:val="20"/>
        </w:rPr>
        <w:t>10 g</w:t>
      </w:r>
      <w:r>
        <w:rPr>
          <w:rFonts w:ascii="Times New Roman" w:hAnsi="宋体" w:eastAsia="宋体"/>
          <w:szCs w:val="20"/>
        </w:rPr>
        <w:t>无水</w:t>
      </w:r>
      <w:r>
        <w:rPr>
          <w:rFonts w:hint="eastAsia" w:ascii="Times New Roman" w:eastAsia="宋体"/>
          <w:lang w:val="en-US" w:eastAsia="zh-CN"/>
        </w:rPr>
        <w:t>碳酸钠</w:t>
      </w:r>
      <w:r>
        <w:rPr>
          <w:rFonts w:hint="eastAsia" w:ascii="Times New Roman" w:eastAsia="宋体"/>
          <w:szCs w:val="20"/>
          <w:vertAlign w:val="baseline"/>
          <w:lang w:val="en-US" w:eastAsia="zh-CN"/>
        </w:rPr>
        <w:t>(5.6)，</w:t>
      </w:r>
      <w:r>
        <w:rPr>
          <w:rFonts w:ascii="Times New Roman" w:hAnsi="宋体" w:eastAsia="宋体"/>
          <w:szCs w:val="20"/>
        </w:rPr>
        <w:t>溶解后，用水稀释至</w:t>
      </w:r>
      <w:r>
        <w:rPr>
          <w:rFonts w:ascii="Times New Roman" w:eastAsia="宋体"/>
          <w:szCs w:val="20"/>
        </w:rPr>
        <w:t>10 L</w:t>
      </w:r>
      <w:r>
        <w:rPr>
          <w:rFonts w:ascii="Times New Roman" w:hAnsi="宋体" w:eastAsia="宋体"/>
          <w:szCs w:val="20"/>
        </w:rPr>
        <w:t>，摇匀，放置一周后标定。</w:t>
      </w:r>
    </w:p>
    <w:p>
      <w:pPr>
        <w:pStyle w:val="59"/>
        <w:numPr>
          <w:ilvl w:val="-1"/>
          <w:numId w:val="0"/>
        </w:numPr>
        <w:spacing w:before="156" w:after="156"/>
        <w:ind w:left="420" w:leftChars="200" w:firstLineChars="0"/>
        <w:rPr>
          <w:rFonts w:ascii="Times New Roman" w:eastAsia="宋体"/>
          <w:szCs w:val="20"/>
        </w:rPr>
      </w:pPr>
      <w:r>
        <w:rPr>
          <w:rFonts w:hint="eastAsia" w:ascii="Times New Roman" w:hAnsi="宋体" w:eastAsia="宋体"/>
          <w:szCs w:val="20"/>
          <w:lang w:val="en-US" w:eastAsia="zh-CN"/>
        </w:rPr>
        <w:t>b）</w:t>
      </w:r>
      <w:r>
        <w:rPr>
          <w:rFonts w:ascii="Times New Roman" w:hAnsi="宋体" w:eastAsia="宋体"/>
          <w:szCs w:val="20"/>
        </w:rPr>
        <w:t>标定：称取</w:t>
      </w:r>
      <w:r>
        <w:rPr>
          <w:rFonts w:ascii="Times New Roman" w:eastAsia="宋体"/>
          <w:szCs w:val="20"/>
        </w:rPr>
        <w:t>0.10 g</w:t>
      </w:r>
      <w:r>
        <w:rPr>
          <w:rFonts w:ascii="Times New Roman" w:hAnsi="宋体" w:eastAsia="宋体"/>
          <w:szCs w:val="20"/>
        </w:rPr>
        <w:t>金属锡</w:t>
      </w:r>
      <w:r>
        <w:rPr>
          <w:rFonts w:ascii="Times New Roman" w:eastAsia="宋体"/>
          <w:szCs w:val="20"/>
        </w:rPr>
        <w:t>(5.1)</w:t>
      </w:r>
      <w:r>
        <w:rPr>
          <w:rFonts w:ascii="Times New Roman" w:hAnsi="宋体" w:eastAsia="宋体"/>
          <w:szCs w:val="20"/>
        </w:rPr>
        <w:t>，</w:t>
      </w:r>
      <w:r>
        <w:rPr>
          <w:rFonts w:hint="eastAsia" w:ascii="Times New Roman" w:hAnsi="宋体" w:eastAsia="宋体"/>
          <w:szCs w:val="20"/>
        </w:rPr>
        <w:t>精确至</w:t>
      </w:r>
      <w:r>
        <w:rPr>
          <w:rFonts w:ascii="Times New Roman" w:eastAsia="宋体"/>
          <w:szCs w:val="20"/>
        </w:rPr>
        <w:t>0.0001 g</w:t>
      </w:r>
      <w:r>
        <w:rPr>
          <w:rFonts w:ascii="Times New Roman" w:hAnsi="宋体" w:eastAsia="宋体"/>
          <w:szCs w:val="20"/>
        </w:rPr>
        <w:t>，置于</w:t>
      </w:r>
      <w:r>
        <w:rPr>
          <w:rFonts w:ascii="Times New Roman" w:eastAsia="宋体"/>
          <w:szCs w:val="20"/>
        </w:rPr>
        <w:t>300 mL</w:t>
      </w:r>
      <w:r>
        <w:rPr>
          <w:rFonts w:ascii="Times New Roman" w:hAnsi="宋体" w:eastAsia="宋体"/>
          <w:szCs w:val="20"/>
        </w:rPr>
        <w:t>锥形瓶中，加入</w:t>
      </w:r>
      <w:r>
        <w:rPr>
          <w:rFonts w:ascii="Times New Roman" w:eastAsia="宋体"/>
          <w:szCs w:val="20"/>
        </w:rPr>
        <w:t>1 g</w:t>
      </w:r>
      <w:r>
        <w:rPr>
          <w:rFonts w:ascii="Times New Roman" w:hAnsi="宋体" w:eastAsia="宋体"/>
          <w:szCs w:val="20"/>
        </w:rPr>
        <w:t>还原铁粉</w:t>
      </w:r>
      <w:r>
        <w:rPr>
          <w:rFonts w:ascii="Times New Roman" w:eastAsia="宋体"/>
          <w:szCs w:val="20"/>
        </w:rPr>
        <w:t>(5.2)</w:t>
      </w:r>
      <w:r>
        <w:rPr>
          <w:rFonts w:ascii="Times New Roman" w:hAnsi="宋体" w:eastAsia="宋体"/>
          <w:szCs w:val="20"/>
        </w:rPr>
        <w:t>，</w:t>
      </w:r>
      <w:r>
        <w:rPr>
          <w:rFonts w:ascii="Times New Roman" w:eastAsia="宋体"/>
          <w:szCs w:val="20"/>
        </w:rPr>
        <w:t>80 mL</w:t>
      </w:r>
      <w:r>
        <w:rPr>
          <w:rFonts w:ascii="Times New Roman" w:hAnsi="宋体" w:eastAsia="宋体"/>
          <w:szCs w:val="20"/>
        </w:rPr>
        <w:t>盐酸</w:t>
      </w:r>
      <w:r>
        <w:rPr>
          <w:rFonts w:ascii="Times New Roman" w:eastAsia="宋体"/>
          <w:szCs w:val="20"/>
        </w:rPr>
        <w:t>(5.</w:t>
      </w:r>
      <w:r>
        <w:rPr>
          <w:rFonts w:hint="eastAsia" w:ascii="Times New Roman" w:eastAsia="宋体"/>
          <w:szCs w:val="20"/>
          <w:lang w:val="en-US" w:eastAsia="zh-CN"/>
        </w:rPr>
        <w:t>8</w:t>
      </w:r>
      <w:r>
        <w:rPr>
          <w:rFonts w:ascii="Times New Roman" w:eastAsia="宋体"/>
          <w:szCs w:val="20"/>
        </w:rPr>
        <w:t>)</w:t>
      </w:r>
      <w:r>
        <w:rPr>
          <w:rFonts w:ascii="Times New Roman" w:hAnsi="宋体" w:eastAsia="宋体"/>
          <w:szCs w:val="20"/>
        </w:rPr>
        <w:t>，</w:t>
      </w:r>
      <w:r>
        <w:rPr>
          <w:rFonts w:ascii="Times New Roman" w:eastAsia="宋体"/>
          <w:szCs w:val="20"/>
        </w:rPr>
        <w:t>20 mL</w:t>
      </w:r>
      <w:r>
        <w:rPr>
          <w:rFonts w:ascii="Times New Roman" w:hAnsi="宋体" w:eastAsia="宋体"/>
          <w:szCs w:val="20"/>
        </w:rPr>
        <w:t>水，</w:t>
      </w:r>
      <w:r>
        <w:rPr>
          <w:rFonts w:hint="eastAsia" w:ascii="Times New Roman" w:hAnsi="宋体" w:eastAsia="宋体"/>
          <w:szCs w:val="20"/>
        </w:rPr>
        <w:t>根据还原装置图（图1），用橡皮塞塞紧瓶口，低温加热至溶解完全，取下，稍冷</w:t>
      </w:r>
      <w:r>
        <w:rPr>
          <w:rFonts w:ascii="Times New Roman" w:hAnsi="宋体" w:eastAsia="宋体"/>
          <w:szCs w:val="20"/>
        </w:rPr>
        <w:t>，加入</w:t>
      </w:r>
      <w:r>
        <w:rPr>
          <w:rFonts w:ascii="Times New Roman" w:eastAsia="宋体"/>
          <w:szCs w:val="20"/>
        </w:rPr>
        <w:t>1.5 g</w:t>
      </w:r>
      <w:r>
        <w:rPr>
          <w:rFonts w:ascii="Times New Roman" w:hAnsi="宋体" w:eastAsia="宋体"/>
          <w:szCs w:val="20"/>
        </w:rPr>
        <w:t>金属铝</w:t>
      </w:r>
      <w:r>
        <w:rPr>
          <w:rFonts w:ascii="Times New Roman" w:eastAsia="宋体"/>
          <w:szCs w:val="20"/>
        </w:rPr>
        <w:t>(5.3)</w:t>
      </w:r>
      <w:r>
        <w:rPr>
          <w:rFonts w:ascii="Times New Roman" w:hAnsi="宋体" w:eastAsia="宋体"/>
          <w:szCs w:val="20"/>
        </w:rPr>
        <w:t>。充分摇动锥形瓶至大部分金属铝溶解，剩余少量铝时，加热煮沸至试液产生大气泡</w:t>
      </w:r>
      <w:r>
        <w:rPr>
          <w:rFonts w:ascii="Times New Roman" w:eastAsia="宋体"/>
          <w:szCs w:val="20"/>
        </w:rPr>
        <w:t>1 min</w:t>
      </w:r>
      <w:r>
        <w:rPr>
          <w:rFonts w:ascii="Times New Roman" w:hAnsi="宋体" w:eastAsia="宋体"/>
          <w:szCs w:val="20"/>
        </w:rPr>
        <w:t>。在二氧化碳气体保护下，将锥形瓶置于流水中冷却至室温。取下锥形瓶，立即于试液中加入</w:t>
      </w:r>
      <w:r>
        <w:rPr>
          <w:rFonts w:ascii="Times New Roman" w:eastAsia="宋体"/>
          <w:szCs w:val="20"/>
        </w:rPr>
        <w:t>5 mL</w:t>
      </w:r>
      <w:r>
        <w:rPr>
          <w:rFonts w:ascii="Times New Roman" w:hAnsi="宋体" w:eastAsia="宋体"/>
          <w:szCs w:val="20"/>
        </w:rPr>
        <w:t>淀粉溶液</w:t>
      </w:r>
      <w:r>
        <w:rPr>
          <w:rFonts w:ascii="Times New Roman" w:eastAsia="宋体"/>
          <w:szCs w:val="20"/>
        </w:rPr>
        <w:t>(5.</w:t>
      </w:r>
      <w:r>
        <w:rPr>
          <w:rFonts w:hint="eastAsia" w:ascii="Times New Roman" w:eastAsia="宋体"/>
          <w:szCs w:val="20"/>
          <w:lang w:val="en-US" w:eastAsia="zh-CN"/>
        </w:rPr>
        <w:t>10</w:t>
      </w:r>
      <w:r>
        <w:rPr>
          <w:rFonts w:ascii="Times New Roman" w:eastAsia="宋体"/>
          <w:szCs w:val="20"/>
        </w:rPr>
        <w:t>)</w:t>
      </w:r>
      <w:r>
        <w:rPr>
          <w:rFonts w:ascii="Times New Roman" w:hAnsi="宋体" w:eastAsia="宋体"/>
          <w:szCs w:val="20"/>
        </w:rPr>
        <w:t>，用碘酸钾标准滴定溶液</w:t>
      </w:r>
      <w:r>
        <w:rPr>
          <w:rFonts w:ascii="Times New Roman" w:eastAsia="宋体"/>
          <w:szCs w:val="20"/>
        </w:rPr>
        <w:t>(5.</w:t>
      </w:r>
      <w:r>
        <w:rPr>
          <w:rFonts w:hint="eastAsia" w:ascii="Times New Roman" w:eastAsia="宋体"/>
          <w:szCs w:val="20"/>
          <w:lang w:val="en-US" w:eastAsia="zh-CN"/>
        </w:rPr>
        <w:t>9</w:t>
      </w:r>
      <w:r>
        <w:rPr>
          <w:rFonts w:ascii="Times New Roman" w:eastAsia="宋体"/>
          <w:szCs w:val="20"/>
        </w:rPr>
        <w:t>)</w:t>
      </w:r>
      <w:r>
        <w:rPr>
          <w:rFonts w:ascii="Times New Roman" w:hAnsi="宋体" w:eastAsia="宋体"/>
          <w:szCs w:val="20"/>
        </w:rPr>
        <w:t>滴定至浅蓝色为终点。随同做空白试验。</w:t>
      </w:r>
    </w:p>
    <w:p>
      <w:pPr>
        <w:pStyle w:val="133"/>
        <w:numPr>
          <w:ilvl w:val="0"/>
          <w:numId w:val="0"/>
        </w:numPr>
        <w:ind w:firstLine="360" w:firstLineChars="200"/>
        <w:rPr>
          <w:rFonts w:ascii="Times New Roman"/>
          <w:sz w:val="18"/>
          <w:szCs w:val="18"/>
        </w:rPr>
      </w:pPr>
      <w:r>
        <w:rPr>
          <w:rFonts w:hint="eastAsia" w:ascii="黑体" w:hAnsi="黑体" w:eastAsia="黑体" w:cs="黑体"/>
          <w:sz w:val="18"/>
          <w:szCs w:val="18"/>
        </w:rPr>
        <w:t xml:space="preserve">注: </w:t>
      </w:r>
      <w:r>
        <w:rPr>
          <w:rFonts w:ascii="Times New Roman" w:hAnsi="宋体"/>
          <w:sz w:val="18"/>
          <w:szCs w:val="18"/>
        </w:rPr>
        <w:t>采用盖氏漏斗作为还原装置进行标定时，称取</w:t>
      </w:r>
      <w:r>
        <w:rPr>
          <w:rFonts w:ascii="Times New Roman"/>
          <w:sz w:val="18"/>
          <w:szCs w:val="18"/>
        </w:rPr>
        <w:t>0.10 g</w:t>
      </w:r>
      <w:r>
        <w:rPr>
          <w:rFonts w:ascii="Times New Roman" w:hAnsi="宋体"/>
          <w:sz w:val="18"/>
          <w:szCs w:val="18"/>
        </w:rPr>
        <w:t>金属锡</w:t>
      </w:r>
      <w:r>
        <w:rPr>
          <w:rFonts w:ascii="Times New Roman"/>
          <w:sz w:val="18"/>
          <w:szCs w:val="18"/>
        </w:rPr>
        <w:t>(5.1)</w:t>
      </w:r>
      <w:r>
        <w:rPr>
          <w:rFonts w:ascii="Times New Roman" w:hAnsi="宋体"/>
          <w:sz w:val="18"/>
          <w:szCs w:val="18"/>
        </w:rPr>
        <w:t>，</w:t>
      </w:r>
      <w:r>
        <w:rPr>
          <w:rFonts w:ascii="Times New Roman"/>
          <w:sz w:val="18"/>
          <w:szCs w:val="18"/>
        </w:rPr>
        <w:t xml:space="preserve"> </w:t>
      </w:r>
      <w:r>
        <w:rPr>
          <w:rFonts w:hint="eastAsia" w:ascii="Times New Roman"/>
          <w:sz w:val="18"/>
          <w:szCs w:val="18"/>
          <w:lang w:val="en-US" w:eastAsia="zh-CN"/>
        </w:rPr>
        <w:t>精</w:t>
      </w:r>
      <w:r>
        <w:rPr>
          <w:rFonts w:ascii="Times New Roman" w:hAnsi="宋体"/>
          <w:sz w:val="18"/>
          <w:szCs w:val="18"/>
        </w:rPr>
        <w:t>确</w:t>
      </w:r>
      <w:r>
        <w:rPr>
          <w:rFonts w:hint="eastAsia" w:ascii="Times New Roman" w:hAnsi="宋体"/>
          <w:sz w:val="18"/>
          <w:szCs w:val="18"/>
          <w:lang w:val="en-US" w:eastAsia="zh-CN"/>
        </w:rPr>
        <w:t>至</w:t>
      </w:r>
      <w:r>
        <w:rPr>
          <w:rFonts w:ascii="Times New Roman"/>
          <w:sz w:val="18"/>
          <w:szCs w:val="18"/>
        </w:rPr>
        <w:t>0.0001 g</w:t>
      </w:r>
      <w:r>
        <w:rPr>
          <w:rFonts w:ascii="Times New Roman" w:hAnsi="宋体"/>
          <w:sz w:val="18"/>
          <w:szCs w:val="18"/>
        </w:rPr>
        <w:t>，置于</w:t>
      </w:r>
      <w:r>
        <w:rPr>
          <w:rFonts w:ascii="Times New Roman"/>
          <w:sz w:val="18"/>
          <w:szCs w:val="18"/>
        </w:rPr>
        <w:t>300 mL</w:t>
      </w:r>
      <w:r>
        <w:rPr>
          <w:rFonts w:ascii="Times New Roman" w:hAnsi="宋体"/>
          <w:sz w:val="18"/>
          <w:szCs w:val="18"/>
        </w:rPr>
        <w:t>锥形瓶中，加入</w:t>
      </w:r>
      <w:r>
        <w:rPr>
          <w:rFonts w:ascii="Times New Roman"/>
          <w:sz w:val="18"/>
          <w:szCs w:val="18"/>
        </w:rPr>
        <w:t>1 g</w:t>
      </w:r>
      <w:r>
        <w:rPr>
          <w:rFonts w:ascii="Times New Roman" w:hAnsi="宋体"/>
          <w:sz w:val="18"/>
          <w:szCs w:val="18"/>
        </w:rPr>
        <w:t>还原铁粉</w:t>
      </w:r>
      <w:r>
        <w:rPr>
          <w:rFonts w:ascii="Times New Roman"/>
          <w:sz w:val="18"/>
          <w:szCs w:val="18"/>
        </w:rPr>
        <w:t>(5.2)</w:t>
      </w:r>
      <w:r>
        <w:rPr>
          <w:rFonts w:ascii="Times New Roman" w:hAnsi="宋体"/>
          <w:sz w:val="18"/>
          <w:szCs w:val="18"/>
        </w:rPr>
        <w:t>，</w:t>
      </w:r>
      <w:r>
        <w:rPr>
          <w:rFonts w:ascii="Times New Roman"/>
          <w:sz w:val="18"/>
          <w:szCs w:val="18"/>
        </w:rPr>
        <w:t>80 mL</w:t>
      </w:r>
      <w:r>
        <w:rPr>
          <w:rFonts w:ascii="Times New Roman" w:hAnsi="宋体"/>
          <w:sz w:val="18"/>
          <w:szCs w:val="18"/>
        </w:rPr>
        <w:t>盐酸</w:t>
      </w:r>
      <w:r>
        <w:rPr>
          <w:rFonts w:ascii="Times New Roman"/>
          <w:sz w:val="18"/>
          <w:szCs w:val="18"/>
        </w:rPr>
        <w:t>(5.</w:t>
      </w:r>
      <w:r>
        <w:rPr>
          <w:rFonts w:hint="eastAsia" w:ascii="Times New Roman"/>
          <w:sz w:val="18"/>
          <w:szCs w:val="18"/>
          <w:lang w:val="en-US" w:eastAsia="zh-CN"/>
        </w:rPr>
        <w:t>8</w:t>
      </w:r>
      <w:r>
        <w:rPr>
          <w:rFonts w:ascii="Times New Roman"/>
          <w:sz w:val="18"/>
          <w:szCs w:val="18"/>
        </w:rPr>
        <w:t>)</w:t>
      </w:r>
      <w:r>
        <w:rPr>
          <w:rFonts w:ascii="Times New Roman" w:hAnsi="宋体"/>
          <w:sz w:val="18"/>
          <w:szCs w:val="18"/>
        </w:rPr>
        <w:t>，</w:t>
      </w:r>
      <w:r>
        <w:rPr>
          <w:rFonts w:ascii="Times New Roman"/>
          <w:sz w:val="18"/>
          <w:szCs w:val="18"/>
        </w:rPr>
        <w:t>20 mL</w:t>
      </w:r>
      <w:r>
        <w:rPr>
          <w:rFonts w:ascii="Times New Roman" w:hAnsi="宋体"/>
          <w:sz w:val="18"/>
          <w:szCs w:val="18"/>
        </w:rPr>
        <w:t>水，将锥形瓶置于电热板上，加热使锡完全溶解</w:t>
      </w:r>
      <w:r>
        <w:rPr>
          <w:rFonts w:hint="eastAsia" w:ascii="Times New Roman" w:hAnsi="宋体"/>
          <w:sz w:val="18"/>
          <w:szCs w:val="18"/>
        </w:rPr>
        <w:t>，取下稍冷，</w:t>
      </w:r>
      <w:r>
        <w:rPr>
          <w:rFonts w:ascii="Times New Roman" w:hAnsi="宋体"/>
          <w:sz w:val="18"/>
          <w:szCs w:val="18"/>
        </w:rPr>
        <w:t>加入</w:t>
      </w:r>
      <w:r>
        <w:rPr>
          <w:rFonts w:ascii="Times New Roman"/>
          <w:sz w:val="18"/>
          <w:szCs w:val="18"/>
        </w:rPr>
        <w:t>1 g</w:t>
      </w:r>
      <w:r>
        <w:rPr>
          <w:rFonts w:ascii="Times New Roman" w:hAnsi="宋体"/>
          <w:sz w:val="18"/>
          <w:szCs w:val="18"/>
        </w:rPr>
        <w:t>金属铝</w:t>
      </w:r>
      <w:r>
        <w:rPr>
          <w:rFonts w:ascii="Times New Roman"/>
          <w:sz w:val="18"/>
          <w:szCs w:val="18"/>
        </w:rPr>
        <w:t>(5.3)</w:t>
      </w:r>
      <w:r>
        <w:rPr>
          <w:rFonts w:ascii="Times New Roman" w:hAnsi="宋体"/>
          <w:sz w:val="18"/>
          <w:szCs w:val="18"/>
        </w:rPr>
        <w:t>，充分摇动至大部分金属铝溶解后，</w:t>
      </w:r>
      <w:r>
        <w:rPr>
          <w:rFonts w:hint="eastAsia" w:ascii="Times New Roman" w:hAnsi="宋体"/>
          <w:sz w:val="18"/>
          <w:szCs w:val="18"/>
        </w:rPr>
        <w:t>再</w:t>
      </w:r>
      <w:r>
        <w:rPr>
          <w:rFonts w:ascii="Times New Roman" w:hAnsi="宋体"/>
          <w:sz w:val="18"/>
          <w:szCs w:val="18"/>
        </w:rPr>
        <w:t>补</w:t>
      </w:r>
      <w:r>
        <w:rPr>
          <w:rFonts w:hint="eastAsia" w:ascii="Times New Roman" w:hAnsi="宋体"/>
          <w:sz w:val="18"/>
          <w:szCs w:val="18"/>
        </w:rPr>
        <w:t>加</w:t>
      </w:r>
      <w:r>
        <w:rPr>
          <w:rFonts w:ascii="Times New Roman"/>
          <w:sz w:val="18"/>
          <w:szCs w:val="18"/>
        </w:rPr>
        <w:t>0.5 g</w:t>
      </w:r>
      <w:r>
        <w:rPr>
          <w:rFonts w:ascii="Times New Roman" w:hAnsi="宋体"/>
          <w:sz w:val="18"/>
          <w:szCs w:val="18"/>
        </w:rPr>
        <w:t>金属铝</w:t>
      </w:r>
      <w:r>
        <w:rPr>
          <w:rFonts w:ascii="Times New Roman"/>
          <w:sz w:val="18"/>
          <w:szCs w:val="18"/>
        </w:rPr>
        <w:t>(5.3)</w:t>
      </w:r>
      <w:r>
        <w:rPr>
          <w:rFonts w:ascii="Times New Roman" w:hAnsi="宋体"/>
          <w:sz w:val="18"/>
          <w:szCs w:val="18"/>
        </w:rPr>
        <w:t>，用带橡皮塞的盖氏漏斗塞紧，在盖氏漏斗中加入饱和碳酸氢钠溶液</w:t>
      </w:r>
      <w:r>
        <w:rPr>
          <w:rFonts w:ascii="Times New Roman"/>
          <w:sz w:val="18"/>
          <w:szCs w:val="18"/>
        </w:rPr>
        <w:t>(5.</w:t>
      </w:r>
      <w:r>
        <w:rPr>
          <w:rFonts w:hint="eastAsia" w:ascii="Times New Roman"/>
          <w:sz w:val="18"/>
          <w:szCs w:val="18"/>
          <w:lang w:val="en-US" w:eastAsia="zh-CN"/>
        </w:rPr>
        <w:t>11</w:t>
      </w:r>
      <w:r>
        <w:rPr>
          <w:rFonts w:ascii="Times New Roman"/>
          <w:sz w:val="18"/>
          <w:szCs w:val="18"/>
        </w:rPr>
        <w:t>)</w:t>
      </w:r>
      <w:r>
        <w:rPr>
          <w:rFonts w:ascii="Times New Roman" w:hAnsi="宋体"/>
          <w:sz w:val="18"/>
          <w:szCs w:val="18"/>
        </w:rPr>
        <w:t>，充分摇动，待剩余少量金属铝时，加热至试液产生大气泡</w:t>
      </w:r>
      <w:r>
        <w:rPr>
          <w:rFonts w:ascii="Times New Roman"/>
          <w:sz w:val="18"/>
          <w:szCs w:val="18"/>
        </w:rPr>
        <w:t>1 min</w:t>
      </w:r>
      <w:r>
        <w:rPr>
          <w:rFonts w:ascii="Times New Roman" w:hAnsi="宋体"/>
          <w:sz w:val="18"/>
          <w:szCs w:val="18"/>
        </w:rPr>
        <w:t>，取下，于盖氏漏斗中补加少量饱和碳酸氢钠溶液</w:t>
      </w:r>
      <w:r>
        <w:rPr>
          <w:rFonts w:ascii="Times New Roman"/>
          <w:sz w:val="18"/>
          <w:szCs w:val="18"/>
        </w:rPr>
        <w:t>(5.</w:t>
      </w:r>
      <w:r>
        <w:rPr>
          <w:rFonts w:hint="eastAsia" w:ascii="Times New Roman"/>
          <w:sz w:val="18"/>
          <w:szCs w:val="18"/>
          <w:lang w:val="en-US" w:eastAsia="zh-CN"/>
        </w:rPr>
        <w:t>11</w:t>
      </w:r>
      <w:r>
        <w:rPr>
          <w:rFonts w:ascii="Times New Roman"/>
          <w:sz w:val="18"/>
          <w:szCs w:val="18"/>
        </w:rPr>
        <w:t>)</w:t>
      </w:r>
      <w:r>
        <w:rPr>
          <w:rFonts w:ascii="Times New Roman" w:hAnsi="宋体"/>
          <w:sz w:val="18"/>
          <w:szCs w:val="18"/>
        </w:rPr>
        <w:t>，置于流水中冷却至室温。取下锥形瓶，立即加入</w:t>
      </w:r>
      <w:r>
        <w:rPr>
          <w:rFonts w:ascii="Times New Roman"/>
          <w:sz w:val="18"/>
          <w:szCs w:val="18"/>
        </w:rPr>
        <w:t>5 mL</w:t>
      </w:r>
      <w:r>
        <w:rPr>
          <w:rFonts w:ascii="Times New Roman" w:hAnsi="宋体"/>
          <w:sz w:val="18"/>
          <w:szCs w:val="18"/>
        </w:rPr>
        <w:t>淀粉溶液</w:t>
      </w:r>
      <w:r>
        <w:rPr>
          <w:rFonts w:ascii="Times New Roman"/>
          <w:sz w:val="18"/>
          <w:szCs w:val="18"/>
        </w:rPr>
        <w:t>(5.</w:t>
      </w:r>
      <w:r>
        <w:rPr>
          <w:rFonts w:hint="eastAsia" w:ascii="Times New Roman"/>
          <w:sz w:val="18"/>
          <w:szCs w:val="18"/>
          <w:lang w:val="en-US" w:eastAsia="zh-CN"/>
        </w:rPr>
        <w:t>10</w:t>
      </w:r>
      <w:r>
        <w:rPr>
          <w:rFonts w:ascii="Times New Roman"/>
          <w:sz w:val="18"/>
          <w:szCs w:val="18"/>
        </w:rPr>
        <w:t>)</w:t>
      </w:r>
      <w:r>
        <w:rPr>
          <w:rFonts w:ascii="Times New Roman" w:hAnsi="宋体"/>
          <w:sz w:val="18"/>
          <w:szCs w:val="18"/>
        </w:rPr>
        <w:t>，用碘酸钾标准滴定溶液</w:t>
      </w:r>
      <w:r>
        <w:rPr>
          <w:rFonts w:ascii="Times New Roman"/>
          <w:sz w:val="18"/>
          <w:szCs w:val="18"/>
        </w:rPr>
        <w:t>(5.</w:t>
      </w:r>
      <w:r>
        <w:rPr>
          <w:rFonts w:hint="eastAsia" w:ascii="Times New Roman"/>
          <w:sz w:val="18"/>
          <w:szCs w:val="18"/>
          <w:lang w:val="en-US" w:eastAsia="zh-CN"/>
        </w:rPr>
        <w:t>9</w:t>
      </w:r>
      <w:r>
        <w:rPr>
          <w:rFonts w:ascii="Times New Roman"/>
          <w:sz w:val="18"/>
          <w:szCs w:val="18"/>
        </w:rPr>
        <w:t>)</w:t>
      </w:r>
      <w:r>
        <w:rPr>
          <w:rFonts w:ascii="Times New Roman" w:hAnsi="宋体"/>
          <w:sz w:val="18"/>
          <w:szCs w:val="18"/>
        </w:rPr>
        <w:t>滴定至浅蓝色为终点。随同做空白试验。</w:t>
      </w:r>
    </w:p>
    <w:p>
      <w:pPr>
        <w:widowControl/>
        <w:tabs>
          <w:tab w:val="center" w:pos="4201"/>
          <w:tab w:val="right" w:leader="dot" w:pos="9298"/>
        </w:tabs>
        <w:autoSpaceDE w:val="0"/>
        <w:autoSpaceDN w:val="0"/>
        <w:ind w:firstLine="315" w:firstLineChars="150"/>
        <w:rPr>
          <w:kern w:val="0"/>
          <w:szCs w:val="20"/>
        </w:rPr>
      </w:pPr>
      <w:r>
        <w:rPr>
          <w:rFonts w:hAnsi="宋体"/>
          <w:kern w:val="0"/>
          <w:szCs w:val="20"/>
        </w:rPr>
        <w:t>按式</w:t>
      </w:r>
      <w:r>
        <w:rPr>
          <w:kern w:val="0"/>
          <w:szCs w:val="20"/>
        </w:rPr>
        <w:t>(1)</w:t>
      </w:r>
      <w:r>
        <w:rPr>
          <w:rFonts w:hAnsi="宋体"/>
          <w:kern w:val="0"/>
          <w:szCs w:val="20"/>
        </w:rPr>
        <w:t>计算碘酸钾标准滴定溶液的浓度：</w:t>
      </w:r>
    </w:p>
    <w:p>
      <w:pPr>
        <w:widowControl/>
        <w:tabs>
          <w:tab w:val="center" w:pos="4201"/>
          <w:tab w:val="right" w:leader="dot" w:pos="9298"/>
        </w:tabs>
        <w:autoSpaceDE w:val="0"/>
        <w:autoSpaceDN w:val="0"/>
        <w:ind w:right="420" w:firstLine="480" w:firstLineChars="200"/>
        <w:jc w:val="right"/>
        <w:rPr>
          <w:kern w:val="0"/>
          <w:szCs w:val="20"/>
        </w:rPr>
      </w:pPr>
      <m:oMath>
        <m:r>
          <m:rPr/>
          <w:rPr>
            <w:rFonts w:ascii="Cambria Math" w:hAnsi="Cambria Math"/>
            <w:kern w:val="0"/>
            <w:sz w:val="24"/>
            <w:szCs w:val="20"/>
          </w:rPr>
          <m:t>c</m:t>
        </m:r>
        <m:r>
          <m:rPr>
            <m:sty m:val="p"/>
          </m:rPr>
          <w:rPr>
            <w:rFonts w:ascii="Cambria Math"/>
            <w:kern w:val="0"/>
            <w:sz w:val="24"/>
            <w:szCs w:val="20"/>
          </w:rPr>
          <m:t>=</m:t>
        </m:r>
        <m:f>
          <m:fPr>
            <m:ctrlPr>
              <w:rPr>
                <w:rFonts w:ascii="Cambria Math" w:hAnsi="Cambria Math"/>
                <w:kern w:val="0"/>
                <w:sz w:val="24"/>
                <w:szCs w:val="20"/>
              </w:rPr>
            </m:ctrlPr>
          </m:fPr>
          <m:num>
            <m:sSub>
              <m:sSubPr>
                <m:ctrlPr>
                  <w:rPr>
                    <w:rFonts w:ascii="Cambria Math" w:hAnsi="Cambria Math"/>
                    <w:i/>
                    <w:kern w:val="0"/>
                    <w:sz w:val="24"/>
                    <w:szCs w:val="20"/>
                  </w:rPr>
                </m:ctrlPr>
              </m:sSubPr>
              <m:e>
                <m:r>
                  <m:rPr/>
                  <w:rPr>
                    <w:rFonts w:ascii="Cambria Math" w:hAnsi="Cambria Math"/>
                    <w:kern w:val="0"/>
                    <w:sz w:val="24"/>
                    <w:szCs w:val="20"/>
                  </w:rPr>
                  <m:t>m</m:t>
                </m:r>
                <m:ctrlPr>
                  <w:rPr>
                    <w:rFonts w:ascii="Cambria Math" w:hAnsi="Cambria Math"/>
                    <w:i/>
                    <w:kern w:val="0"/>
                    <w:sz w:val="24"/>
                    <w:szCs w:val="20"/>
                  </w:rPr>
                </m:ctrlPr>
              </m:e>
              <m:sub>
                <m:r>
                  <m:rPr/>
                  <w:rPr>
                    <w:rFonts w:ascii="Cambria Math" w:hAnsi="Cambria Math"/>
                    <w:kern w:val="0"/>
                    <w:sz w:val="24"/>
                    <w:szCs w:val="20"/>
                  </w:rPr>
                  <m:t>0</m:t>
                </m:r>
                <m:ctrlPr>
                  <w:rPr>
                    <w:rFonts w:ascii="Cambria Math" w:hAnsi="Cambria Math"/>
                    <w:i/>
                    <w:kern w:val="0"/>
                    <w:sz w:val="24"/>
                    <w:szCs w:val="20"/>
                  </w:rPr>
                </m:ctrlPr>
              </m:sub>
            </m:sSub>
            <m:ctrlPr>
              <w:rPr>
                <w:rFonts w:ascii="Cambria Math" w:hAnsi="Cambria Math"/>
                <w:i/>
                <w:kern w:val="0"/>
                <w:sz w:val="24"/>
                <w:szCs w:val="20"/>
              </w:rPr>
            </m:ctrlPr>
          </m:num>
          <m:den>
            <m:r>
              <m:rPr>
                <m:sty m:val="p"/>
              </m:rPr>
              <w:rPr>
                <w:rFonts w:ascii="Cambria Math"/>
                <w:kern w:val="0"/>
                <w:sz w:val="24"/>
                <w:szCs w:val="20"/>
              </w:rPr>
              <m:t>59.35</m:t>
            </m:r>
            <m:d>
              <m:dPr>
                <m:ctrlPr>
                  <w:rPr>
                    <w:rFonts w:ascii="Cambria Math" w:hAnsi="Cambria Math"/>
                    <w:kern w:val="0"/>
                    <w:sz w:val="24"/>
                    <w:szCs w:val="20"/>
                  </w:rPr>
                </m:ctrlPr>
              </m:dPr>
              <m:e>
                <m:sSub>
                  <m:sSubPr>
                    <m:ctrlPr>
                      <w:rPr>
                        <w:rFonts w:ascii="Cambria Math" w:hAnsi="Cambria Math"/>
                        <w:i/>
                        <w:kern w:val="0"/>
                        <w:sz w:val="24"/>
                        <w:szCs w:val="20"/>
                      </w:rPr>
                    </m:ctrlPr>
                  </m:sSubPr>
                  <m:e>
                    <m:r>
                      <m:rPr/>
                      <w:rPr>
                        <w:rFonts w:ascii="Cambria Math" w:hAnsi="Cambria Math"/>
                        <w:kern w:val="0"/>
                        <w:sz w:val="24"/>
                        <w:szCs w:val="20"/>
                      </w:rPr>
                      <m:t>V</m:t>
                    </m:r>
                    <m:ctrlPr>
                      <w:rPr>
                        <w:rFonts w:ascii="Cambria Math" w:hAnsi="Cambria Math"/>
                        <w:i/>
                        <w:kern w:val="0"/>
                        <w:sz w:val="24"/>
                        <w:szCs w:val="20"/>
                      </w:rPr>
                    </m:ctrlPr>
                  </m:e>
                  <m:sub>
                    <m:r>
                      <m:rPr/>
                      <w:rPr>
                        <w:rFonts w:ascii="Cambria Math"/>
                        <w:kern w:val="0"/>
                        <w:sz w:val="24"/>
                        <w:szCs w:val="20"/>
                      </w:rPr>
                      <m:t>1</m:t>
                    </m:r>
                    <m:ctrlPr>
                      <w:rPr>
                        <w:rFonts w:ascii="Cambria Math" w:hAnsi="Cambria Math"/>
                        <w:i/>
                        <w:kern w:val="0"/>
                        <w:sz w:val="24"/>
                        <w:szCs w:val="20"/>
                      </w:rPr>
                    </m:ctrlPr>
                  </m:sub>
                </m:sSub>
                <m:r>
                  <m:rPr>
                    <m:sty m:val="p"/>
                  </m:rPr>
                  <w:rPr>
                    <w:rFonts w:ascii="Cambria Math" w:hAnsi="Cambria Math"/>
                    <w:kern w:val="0"/>
                    <w:sz w:val="24"/>
                    <w:szCs w:val="20"/>
                  </w:rPr>
                  <m:t>−</m:t>
                </m:r>
                <m:sSub>
                  <m:sSubPr>
                    <m:ctrlPr>
                      <w:rPr>
                        <w:rFonts w:ascii="Cambria Math" w:hAnsi="Cambria Math"/>
                        <w:i/>
                        <w:kern w:val="0"/>
                        <w:sz w:val="24"/>
                        <w:szCs w:val="20"/>
                      </w:rPr>
                    </m:ctrlPr>
                  </m:sSubPr>
                  <m:e>
                    <m:r>
                      <m:rPr/>
                      <w:rPr>
                        <w:rFonts w:ascii="Cambria Math" w:hAnsi="Cambria Math"/>
                        <w:kern w:val="0"/>
                        <w:sz w:val="24"/>
                        <w:szCs w:val="20"/>
                      </w:rPr>
                      <m:t>V</m:t>
                    </m:r>
                    <m:ctrlPr>
                      <w:rPr>
                        <w:rFonts w:ascii="Cambria Math" w:hAnsi="Cambria Math"/>
                        <w:i/>
                        <w:kern w:val="0"/>
                        <w:sz w:val="24"/>
                        <w:szCs w:val="20"/>
                      </w:rPr>
                    </m:ctrlPr>
                  </m:e>
                  <m:sub>
                    <m:r>
                      <m:rPr/>
                      <w:rPr>
                        <w:rFonts w:ascii="Cambria Math"/>
                        <w:kern w:val="0"/>
                        <w:sz w:val="24"/>
                        <w:szCs w:val="20"/>
                      </w:rPr>
                      <m:t>0</m:t>
                    </m:r>
                    <m:ctrlPr>
                      <w:rPr>
                        <w:rFonts w:ascii="Cambria Math" w:hAnsi="Cambria Math"/>
                        <w:i/>
                        <w:kern w:val="0"/>
                        <w:sz w:val="24"/>
                        <w:szCs w:val="20"/>
                      </w:rPr>
                    </m:ctrlPr>
                  </m:sub>
                </m:sSub>
                <m:ctrlPr>
                  <w:rPr>
                    <w:rFonts w:ascii="Cambria Math" w:hAnsi="Cambria Math"/>
                    <w:i/>
                    <w:kern w:val="0"/>
                    <w:sz w:val="24"/>
                    <w:szCs w:val="20"/>
                  </w:rPr>
                </m:ctrlPr>
              </m:e>
            </m:d>
            <m:r>
              <m:rPr>
                <m:sty m:val="p"/>
              </m:rPr>
              <w:rPr>
                <w:rFonts w:ascii="Cambria Math" w:hAnsi="Cambria Math"/>
                <w:kern w:val="0"/>
                <w:sz w:val="24"/>
                <w:szCs w:val="20"/>
              </w:rPr>
              <m:t>×</m:t>
            </m:r>
            <m:sSup>
              <m:sSupPr>
                <m:ctrlPr>
                  <w:rPr>
                    <w:rFonts w:ascii="Cambria Math" w:hAnsi="Cambria Math"/>
                    <w:kern w:val="0"/>
                    <w:sz w:val="24"/>
                    <w:szCs w:val="20"/>
                  </w:rPr>
                </m:ctrlPr>
              </m:sSupPr>
              <m:e>
                <m:r>
                  <m:rPr>
                    <m:sty m:val="p"/>
                  </m:rPr>
                  <w:rPr>
                    <w:rFonts w:ascii="Cambria Math"/>
                    <w:kern w:val="0"/>
                    <w:sz w:val="24"/>
                    <w:szCs w:val="20"/>
                  </w:rPr>
                  <m:t>10</m:t>
                </m:r>
                <m:ctrlPr>
                  <w:rPr>
                    <w:rFonts w:ascii="Cambria Math" w:hAnsi="Cambria Math"/>
                    <w:i/>
                    <w:kern w:val="0"/>
                    <w:sz w:val="24"/>
                    <w:szCs w:val="20"/>
                  </w:rPr>
                </m:ctrlPr>
              </m:e>
              <m:sup>
                <m:r>
                  <m:rPr>
                    <m:sty m:val="p"/>
                  </m:rPr>
                  <w:rPr>
                    <w:rFonts w:ascii="Cambria Math" w:hAnsi="Cambria Math"/>
                    <w:kern w:val="0"/>
                    <w:sz w:val="24"/>
                    <w:szCs w:val="20"/>
                  </w:rPr>
                  <m:t>−</m:t>
                </m:r>
                <m:r>
                  <m:rPr>
                    <m:sty m:val="p"/>
                  </m:rPr>
                  <w:rPr>
                    <w:rFonts w:ascii="Cambria Math"/>
                    <w:kern w:val="0"/>
                    <w:sz w:val="24"/>
                    <w:szCs w:val="20"/>
                  </w:rPr>
                  <m:t>3</m:t>
                </m:r>
                <m:ctrlPr>
                  <w:rPr>
                    <w:rFonts w:ascii="Cambria Math" w:hAnsi="Cambria Math"/>
                    <w:i/>
                    <w:kern w:val="0"/>
                    <w:sz w:val="24"/>
                    <w:szCs w:val="20"/>
                  </w:rPr>
                </m:ctrlPr>
              </m:sup>
            </m:sSup>
            <m:ctrlPr>
              <w:rPr>
                <w:rFonts w:ascii="Cambria Math" w:hAnsi="Cambria Math"/>
                <w:kern w:val="0"/>
                <w:sz w:val="24"/>
                <w:szCs w:val="20"/>
              </w:rPr>
            </m:ctrlPr>
          </m:den>
        </m:f>
      </m:oMath>
      <w:r>
        <w:rPr>
          <w:kern w:val="0"/>
          <w:szCs w:val="20"/>
        </w:rPr>
        <w:fldChar w:fldCharType="begin"/>
      </w:r>
      <w:r>
        <w:rPr>
          <w:kern w:val="0"/>
          <w:szCs w:val="20"/>
        </w:rPr>
        <w:instrText xml:space="preserve"> QUOTE </w:instrText>
      </w:r>
      <w:r>
        <w:rPr>
          <w:position w:val="-26"/>
        </w:rPr>
        <w:pict>
          <v:shape id="_x0000_i1025" o:spt="75" type="#_x0000_t75" style="height:31.5pt;width:99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90&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5DB8&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200DA5&quot;/&gt;&lt;wsp:rsid wsp:val=&quot;002050BB&quot;/&gt;&lt;wsp:rsid wsp:val=&quot;00206723&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F39&quot;/&gt;&lt;wsp:rsid wsp:val=&quot;003056B9&quot;/&gt;&lt;wsp:rsid wsp:val=&quot;0031534C&quot;/&gt;&lt;wsp:rsid wsp:val=&quot;00321ADB&quot;/&gt;&lt;wsp:rsid wsp:val=&quot;00322365&quot;/&gt;&lt;wsp:rsid wsp:val=&quot;00323A3D&quot;/&gt;&lt;wsp:rsid wsp:val=&quot;00324801&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7139B&quot;/&gt;&lt;wsp:rsid wsp:val=&quot;00373218&quot;/&gt;&lt;wsp:rsid wsp:val=&quot;00375564&quot;/&gt;&lt;wsp:rsid wsp:val=&quot;003756F1&quot;/&gt;&lt;wsp:rsid wsp:val=&quot;00383191&quot;/&gt;&lt;wsp:rsid wsp:val=&quot;00385B23&quot;/&gt;&lt;wsp:rsid wsp:val=&quot;00386DED&quot;/&gt;&lt;wsp:rsid wsp:val=&quot;003912E7&quot;/&gt;&lt;wsp:rsid wsp:val=&quot;00393947&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E91&quot;/&gt;&lt;wsp:rsid wsp:val=&quot;0047442B&quot;/&gt;&lt;wsp:rsid wsp:val=&quot;00474675&quot;/&gt;&lt;wsp:rsid wsp:val=&quot;0047470C&quot;/&gt;&lt;wsp:rsid wsp:val=&quot;00475898&quot;/&gt;&lt;wsp:rsid wsp:val=&quot;004826D7&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44A8&quot;/&gt;&lt;wsp:rsid wsp:val=&quot;00724EFB&quot;/&gt;&lt;wsp:rsid wsp:val=&quot;00733A4F&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58D&quot;/&gt;&lt;wsp:rsid wsp:val=&quot;007F7D52&quot;/&gt;&lt;wsp:rsid wsp:val=&quot;0080654C&quot;/&gt;&lt;wsp:rsid wsp:val=&quot;008071C6&quot;/&gt;&lt;wsp:rsid wsp:val=&quot;00817A00&quot;/&gt;&lt;wsp:rsid wsp:val=&quot;008209AE&quot;/&gt;&lt;wsp:rsid wsp:val=&quot;00835DB3&quot;/&gt;&lt;wsp:rsid wsp:val=&quot;0083617B&quot;/&gt;&lt;wsp:rsid wsp:val=&quot;008371BD&quot;/&gt;&lt;wsp:rsid wsp:val=&quot;00847924&quot;/&gt;&lt;wsp:rsid wsp:val=&quot;008504A8&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2E82&quot;/&gt;&lt;wsp:rsid wsp:val=&quot;008A02F1&quot;/&gt;&lt;wsp:rsid wsp:val=&quot;008A4054&quot;/&gt;&lt;wsp:rsid wsp:val=&quot;008A41A6&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331C&quot;/&gt;&lt;wsp:rsid wsp:val=&quot;00916B1C&quot;/&gt;&lt;wsp:rsid wsp:val=&quot;009247BE&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7F34&quot;/&gt;&lt;wsp:rsid wsp:val=&quot;00A2083C&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10FF&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636A8&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35CB&quot;/&gt;&lt;wsp:rsid wsp:val=&quot;00DE7D5A&quot;/&gt;&lt;wsp:rsid wsp:val=&quot;00DF10FE&quot;/&gt;&lt;wsp:rsid wsp:val=&quot;00DF21E9&quot;/&gt;&lt;wsp:rsid wsp:val=&quot;00DF2910&quot;/&gt;&lt;wsp:rsid wsp:val=&quot;00E00F14&quot;/&gt;&lt;wsp:rsid wsp:val=&quot;00E018AF&quot;/&gt;&lt;wsp:rsid wsp:val=&quot;00E02F75&quot;/&gt;&lt;wsp:rsid wsp:val=&quot;00E06386&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E2BED&quot;/&gt;&lt;wsp:rsid wsp:val=&quot;00EE374B&quot;/&gt;&lt;wsp:rsid wsp:val=&quot;00EF74CE&quot;/&gt;&lt;wsp:rsid wsp:val=&quot;00F11BB5&quot;/&gt;&lt;wsp:rsid wsp:val=&quot;00F133E3&quot;/&gt;&lt;wsp:rsid wsp:val=&quot;00F1417B&quot;/&gt;&lt;wsp:rsid wsp:val=&quot;00F31847&quot;/&gt;&lt;wsp:rsid wsp:val=&quot;00F34B99&quot;/&gt;&lt;wsp:rsid wsp:val=&quot;00F433A9&quot;/&gt;&lt;wsp:rsid wsp:val=&quot;00F43F53&quot;/&gt;&lt;wsp:rsid wsp:val=&quot;00F519B8&quot;/&gt;&lt;wsp:rsid wsp:val=&quot;00F52361&quot;/&gt;&lt;wsp:rsid wsp:val=&quot;00F52DAB&quot;/&gt;&lt;wsp:rsid wsp:val=&quot;00F53389&quot;/&gt;&lt;wsp:rsid wsp:val=&quot;00F543F0&quot;/&gt;&lt;wsp:rsid wsp:val=&quot;00F559DC&quot;/&gt;&lt;wsp:rsid wsp:val=&quot;00F56D92&quot;/&gt;&lt;wsp:rsid wsp:val=&quot;00F76E81&quot;/&gt;&lt;wsp:rsid wsp:val=&quot;00F81D29&quot;/&gt;&lt;wsp:rsid wsp:val=&quot;00F91C4D&quot;/&gt;&lt;wsp:rsid wsp:val=&quot;00F92FD9&quot;/&gt;&lt;wsp:rsid wsp:val=&quot;00FA379A&quot;/&gt;&lt;wsp:rsid wsp:val=&quot;00FA6684&quot;/&gt;&lt;wsp:rsid wsp:val=&quot;00FA731E&quot;/&gt;&lt;wsp:rsid wsp:val=&quot;00FB2B38&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x:sect&gt;&lt;w:p wsp:rsidR=&quot;00000000&quot; wsp:rsidRDefault=&quot;00B210FF&quot; wsp:rsidP=&quot;00B210FF&quot;&gt;&lt;m:oMathPara&gt;&lt;m:oMath&gt;&lt;m:r&gt;&lt;w:rPr&gt;&lt;w:rFonts w:ascii=&quot;Cambria Math&quot; w:h-ansi=&quot;Cambria Math&quot;/&gt;&lt;wx:font wx:val=&quot;Cambria Math&quot;/&gt;&lt;w:i/&gt;&lt;w:kern w:val=&quot;0&quot;/&gt;&lt;w:sz w:val=&quot;24&quot;/&gt;&lt;w:sz-cs w:val=&quot;20&quot;/&gt;&lt;/w:rPr&gt;&lt;m:t&gt;c&lt;/m:t&gt;&lt;/m:r&gt;&lt;m:r&gt;&lt;m:rPr&gt;&lt;m:sty m:val=&quot;p&quot;/&gt;&lt;/m:rPr&gt;&lt;w:rPr&gt;&lt;w:rFonts w:ascii=&quot;Cambria Math&quot;/&gt;&lt;wx:font wx:val=&quot;Cambria Math&quot;/&gt;&lt;w:kern w:val=&quot;0&quot;/&gt;&lt;w:sz w:val=&quot;24&quot;/&gt;&lt;w:sz-cs w:val=&quot;20&quot;/&gt;&lt;/w:rPr&gt;&lt;m:t&gt;=&lt;/m:t&gt;&lt;/m:r&gt;&lt;m:f&gt;&lt;m:fPr&gt;&lt;m:ctrlPr&gt;&lt;w:rPr&gt;&lt;w:rFonts w:ascii=&quot;Cambria Math&quot; w:h-ansi=&quot;Cambria Math&quot;/&gt;&lt;wx:font wx:val=&quot;Cambria Math&quot;/&gt;&lt;w:kern w:val=&quot;0&quot;/&gt;&lt;w:sz w:val=&quot;24&quot;/&gt;&lt;w:sz-cs w:val=&quot;20&quot;/&gt;&lt;/w:rPr&gt;&lt;/m:ctrlPr&gt;&lt;/m:fPr&gt;&lt;m:num&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m&lt;/m:t&gt;&lt;/m:r&gt;&lt;/m:e&gt;&lt;m:sub&gt;&lt;m:r&gt;&lt;w:rPr&gt;&lt;w:rFonts w:ascii=&quot;Cambria Math&quot; w:h-ansi=&quot;Cambria Math&quot;/&gt;&lt;wx:font wx:val=&quot;Cambria Math&quot;/&gt;&lt;w:i/&gt;&lt;w:kern w:val=&quot;0&quot;/&gt;&lt;w:sz w:val=&quot;24&quot;/&gt;&lt;w:sz-cs w:val=&quot;20&quot;/&gt;&lt;/w:rPr&gt;&lt;m:t&gt;0&lt;/m:t&gt;&lt;/m:r&gt;&lt;/m:sub&gt;&lt;/m:sSub&gt;&lt;/m:num&gt;&lt;m:den&gt;&lt;m:r&gt;&lt;m:rPr&gt;&lt;m:sty m:val=&quot;p&quot;/&gt;&lt;/m:rPr&gt;&lt;w:rPr&gt;&lt;w:rFonts w:ascii=&quot;Cambria Math&quot;/&gt;&lt;wx:font wx:val=&quot;Cambria Math&quot;/&gt;&lt;w:kern w:val=&quot;0&quot;/&gt;&lt;w:sz w:val=&quot;24&quot;/&gt;&lt;w:sz-cs w:val=&quot;20&quot;/&gt;&lt;/w:rPr&gt;&lt;m:t&gt;59.35&lt;/m:t&gt;&lt;/m:r&gt;&lt;m:d&gt;&lt;m:dPr&gt;&lt;m:ctrlPr&gt;&lt;w:rPr&gt;&lt;w:rFonts w:ascii=&quot;Cambria Math&quot; w:h-ansi=&quot;Cambria Math&quot;/&gt;&lt;wx:font wx:val=&quot;Cambria Math&quot;/&gt;&lt;w:kern w:val=&quot;0&quot;/&gt;&lt;w:sz w:val=&quot;24&quot;/&gt;&lt;w:sz-cs w:val=&quot;20&quot;/&gt;&lt;/w:rPr&gt;&lt;/m:ctrlPr&gt;&lt;/m:dPr&gt;&lt;m:e&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V&lt;/m:t&gt;&lt;/m:r&gt;&lt;/m:e&gt;&lt;m:sub&gt;&lt;m:r&gt;&lt;w:rPr&gt;&lt;w:rFonts w:ascii=&quot;Cambria Math&quot;/&gt;&lt;wx:font wx:val=&quot;Cambria Math&quot;/&gt;&lt;w:i/&gt;&lt;w:kern w:val=&quot;0&quot;/&gt;&lt;w:sz w:val=&quot;24&quot;/&gt;&lt;w:sz-cs w:val=&quot;20&quot;/&gt;&lt;/w:rPr&gt;&lt;m:t&gt;1&lt;/m:t&gt;&lt;/m:r&gt;&lt;/m:sub&gt;&lt;/m:sSub&gt;&lt;m:r&gt;&lt;m:rPr&gt;&lt;m:sty m:val=&quot;p&quot;/&gt;&lt;/m:rPr&gt;&lt;w:rPr&gt;&lt;w:rFonts w:ascii=&quot;Cambria Math&quot; w:h-ansi=&quot;Cambria Math&quot;/&gt;&lt;wx:font wx:val=&quot;Cambria Math&quot;/&gt;&lt;w:kern w:val=&quot;0&quot;/&gt;&lt;w:sz w:val=&quot;24&quot;/&gt;&lt;w:sz-cs w:val=&quot;20&quot;/&gt;&lt;/w:rPr&gt;&lt;m:t&gt;-&lt;/m:t&gt;&lt;/m:r&gt;&lt;m:sSub&gt;&lt;m:sSubPr&gt;&lt;m:ctrlPr&gt;&lt;w:rPr&gt;&lt;w:rFonts w:ascii=&quot;Cambria Math&quot; w:h-ansi=&quot;Cambria Math&quot;/&gt;&lt;wx:font wx:val=&quot;Cambria Math&quot;/&gt;&lt;w:i/&gt;&lt;w:kern w:val=&quot;0&quot;/&gt;&lt;w:sz w:val=&quot;24&quot;/&gt;&lt;w:sz-cs w:val=&quot;20&quot;/&gt;&lt;/w:rPr&gt;&lt;/m:ctrlPr&gt;&lt;/m:sSubPr&gt;&lt;m:e&gt;&lt;m:r&gt;&lt;w:rPr&gt;&lt;w:rFonts w:ascii=&quot;Cambria Math&quot; w:h-ansi=&quot;Cambria Math&quot;/&gt;&lt;wx:font wx:val=&quot;Cambria Math&quot;/&gt;&lt;w:i/&gt;&lt;w:kern w:val=&quot;0&quot;/&gt;&lt;w:sz w:val=&quot;24&quot;/&gt;&lt;w:sz-cs w:val=&quot;20&quot;/&gt;&lt;/w:rPr&gt;&lt;m:t&gt;V&lt;/m:t&gt;&lt;/m:r&gt;&lt;/m:e&gt;&lt;m:sub&gt;&lt;m:r&gt;&lt;w:rPr&gt;&lt;w:rFonts w:ascii=&quot;Cambria Math&quot;/&gt;&lt;wx:font wx:val=&quot;Cambria Math&quot;/&gt;&lt;w:i/&gt;&lt;w:kern w:val=&quot;0&quot;/&gt;&lt;w:sz w:val=&quot;24&quot;/&gt;&lt;w:sz-cs w:val=&quot;20&quot;/&gt;&lt;/w:rPr&gt;&lt;m:t&gt;0&lt;/m:t&gt;&lt;/m:r&gt;&lt;/m:sub&gt;&lt;/m:sSub&gt;&lt;/m:e&gt;&lt;/m:d&gt;&lt;m:r&gt;&lt;m:rPr&gt;&lt;m:sty m:val=&quot;p&quot;/&gt;&lt;/m:rPr&gt;&lt;w:rPr&gt;&lt;w:rFonts w:ascii=&quot;Cambria Math&quot; w:h-ansi=&quot;Cambria Math&quot;/&gt;&lt;wx:font wx:val=&quot;Cambria Math&quot;/&gt;&lt;w:kern w:val=&quot;0&quot;/&gt;&lt;w:sz w:val=&quot;24&quot;/&gt;&lt;w:sz-cs w:val=&quot;20&quot;/&gt;&lt;/w:rPr&gt;&lt;m:t&gt;×&lt;/m:t&gt;&lt;/m:r&gt;&lt;m:sSup&gt;&lt;m:sSupPr&gt;&lt;m:ctrlPr&gt;&lt;w:rPr&gt;&lt;w:rFonts w:ascii=&quot;Cambria Math&quot; w:h-ansi=&quot;Cambria Math&quot;/&gt;&lt;wx:font wx:val=&quot;Cambria Math&quot;/&gt;&lt;w:kern w:val=&quot;0&quot;/&gt;&lt;w:sz w:val=&quot;24&quot;/&gt;&lt;w:sz-cs w:val=&quot;20&quot;/&gt;&lt;/w:rPr&gt;&lt;/m:ctrlPr&gt;&lt;/m:sSupPr&gt;&lt;m:e&gt;&lt;m:r&gt;&lt;m:rPr&gt;&lt;m:sty m:val=&quot;p&quot;/&gt;&lt;/m:rPr&gt;&lt;w:rPr&gt;&lt;w:rFonts w:ascii=&quot;Cambria Math&quot;/&gt;&lt;wx:font wx:val=&quot;Cambria Math&quot;/&gt;&lt;w:kern w:val=&quot;0&quot;/&gt;&lt;w:sz w:val=&quot;24&quot;/&gt;&lt;w:sz-cs w:val=&quot;20&quot;/&gt;&lt;/w:rPr&gt;&lt;m:t&gt;10&lt;/m:t&gt;&lt;/m:r&gt;&lt;/m:e&gt;&lt;m:sup&gt;&lt;m:r&gt;&lt;m:rPr&gt;&lt;m:sty m:val=&quot;p&quot;/&gt;&lt;/m:rPr&gt;&lt;w:rPr&gt;&lt;w:rFonts w:ascii=&quot;Cambria Math&quot; w:h-ansi=&quot;Cambria Math&quot;/&gt;&lt;wx:font wx:val=&quot;Cambria Math&quot;/&gt;&lt;w:kern w:val=&quot;0&quot;/&gt;&lt;w:sz w:val=&quot;24&quot;/&gt;&lt;w:sz-cs w:val=&quot;20&quot;/&gt;&lt;/w:rPr&gt;&lt;m:t&gt;-&lt;/m:t&gt;&lt;/m:r&gt;&lt;m:r&gt;&lt;m:rPr&gt;&lt;m:sty m:val=&quot;p&quot;/&gt;&lt;/m:rPr&gt;&lt;w:rPr&gt;&lt;w:rFonts w:ascii=&quot;Cambria Math&quot;/&gt;&lt;wx:font wx:val=&quot;Cambria Math&quot;/&gt;&lt;w:kern w:val=&quot;0&quot;/&gt;&lt;w:sz w:val=&quot;24&quot;/&gt;&lt;w:sz-cs w:val=&quot;20&quot;/&gt;&lt;/w:rPr&gt;&lt;m:t&gt;3&lt;/m:t&gt;&lt;/m:r&gt;&lt;/m:sup&gt;&lt;/m:sSup&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3" chromakey="#FFFFFF" o:title=""/>
            <o:lock v:ext="edit" aspectratio="t"/>
            <w10:wrap type="none"/>
            <w10:anchorlock/>
          </v:shape>
        </w:pict>
      </w:r>
      <w:r>
        <w:rPr>
          <w:kern w:val="0"/>
          <w:szCs w:val="20"/>
        </w:rPr>
        <w:instrText xml:space="preserve"> </w:instrText>
      </w:r>
      <w:r>
        <w:rPr>
          <w:kern w:val="0"/>
          <w:szCs w:val="20"/>
        </w:rPr>
        <w:fldChar w:fldCharType="separate"/>
      </w:r>
      <w:r>
        <w:rPr>
          <w:kern w:val="0"/>
          <w:szCs w:val="20"/>
        </w:rPr>
        <w:fldChar w:fldCharType="end"/>
      </w:r>
      <w:r>
        <w:rPr>
          <w:kern w:val="0"/>
          <w:szCs w:val="20"/>
        </w:rPr>
        <w:t>…………………………………(1)</w:t>
      </w:r>
    </w:p>
    <w:p>
      <w:pPr>
        <w:widowControl/>
        <w:tabs>
          <w:tab w:val="center" w:pos="4201"/>
          <w:tab w:val="right" w:leader="dot" w:pos="9298"/>
        </w:tabs>
        <w:autoSpaceDE w:val="0"/>
        <w:autoSpaceDN w:val="0"/>
        <w:ind w:firstLine="420" w:firstLineChars="200"/>
        <w:rPr>
          <w:kern w:val="0"/>
          <w:szCs w:val="20"/>
        </w:rPr>
      </w:pPr>
      <w:r>
        <w:rPr>
          <w:rFonts w:hAnsi="宋体"/>
          <w:kern w:val="0"/>
          <w:szCs w:val="20"/>
        </w:rPr>
        <w:t>式中：</w:t>
      </w:r>
    </w:p>
    <w:p>
      <w:pPr>
        <w:widowControl/>
        <w:tabs>
          <w:tab w:val="center" w:pos="4201"/>
          <w:tab w:val="right" w:leader="dot" w:pos="9298"/>
        </w:tabs>
        <w:autoSpaceDE w:val="0"/>
        <w:autoSpaceDN w:val="0"/>
        <w:ind w:firstLine="420" w:firstLineChars="200"/>
        <w:jc w:val="left"/>
        <w:rPr>
          <w:kern w:val="0"/>
          <w:szCs w:val="20"/>
        </w:rPr>
      </w:pPr>
      <w:r>
        <w:rPr>
          <w:i/>
          <w:kern w:val="0"/>
          <w:szCs w:val="20"/>
        </w:rPr>
        <w:t xml:space="preserve">C  </w:t>
      </w:r>
      <w:r>
        <w:rPr>
          <w:rFonts w:hint="eastAsia"/>
          <w:i/>
          <w:kern w:val="0"/>
          <w:szCs w:val="20"/>
          <w:lang w:val="en-US" w:eastAsia="zh-CN"/>
        </w:rPr>
        <w:t xml:space="preserve"> </w:t>
      </w:r>
      <w:r>
        <w:rPr>
          <w:kern w:val="0"/>
          <w:szCs w:val="20"/>
        </w:rPr>
        <w:t>——</w:t>
      </w:r>
      <w:r>
        <w:rPr>
          <w:rFonts w:hAnsi="宋体"/>
          <w:kern w:val="0"/>
          <w:szCs w:val="20"/>
        </w:rPr>
        <w:t>碘酸钾标准滴定溶液的实际浓度，单位为摩尔每升</w:t>
      </w:r>
      <w:r>
        <w:rPr>
          <w:kern w:val="0"/>
          <w:szCs w:val="20"/>
        </w:rPr>
        <w:t>(mol/L)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m</w:t>
      </w:r>
      <w:r>
        <w:rPr>
          <w:i w:val="0"/>
          <w:iCs/>
          <w:kern w:val="0"/>
          <w:szCs w:val="20"/>
          <w:vertAlign w:val="subscript"/>
        </w:rPr>
        <w:t>0</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金属锡量，单位为克（</w:t>
      </w:r>
      <w:r>
        <w:rPr>
          <w:kern w:val="0"/>
          <w:szCs w:val="20"/>
        </w:rPr>
        <w:t>g</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V</w:t>
      </w:r>
      <w:r>
        <w:rPr>
          <w:i w:val="0"/>
          <w:iCs/>
          <w:kern w:val="0"/>
          <w:szCs w:val="20"/>
          <w:vertAlign w:val="subscript"/>
        </w:rPr>
        <w:t>1</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标定时，滴定锡标准所消耗的碘酸钾标准滴定溶液的体积，单位为毫升</w:t>
      </w:r>
      <w:r>
        <w:rPr>
          <w:kern w:val="0"/>
          <w:szCs w:val="20"/>
        </w:rPr>
        <w:t>(mL)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i/>
          <w:kern w:val="0"/>
          <w:szCs w:val="20"/>
        </w:rPr>
        <w:t>V</w:t>
      </w:r>
      <w:r>
        <w:rPr>
          <w:i w:val="0"/>
          <w:iCs/>
          <w:kern w:val="0"/>
          <w:szCs w:val="20"/>
          <w:vertAlign w:val="subscript"/>
        </w:rPr>
        <w:t>0</w:t>
      </w:r>
      <w:r>
        <w:rPr>
          <w:i/>
          <w:kern w:val="0"/>
          <w:szCs w:val="20"/>
        </w:rPr>
        <w:t xml:space="preserve">  </w:t>
      </w:r>
      <w:r>
        <w:rPr>
          <w:rFonts w:hint="eastAsia"/>
          <w:i/>
          <w:kern w:val="0"/>
          <w:szCs w:val="20"/>
          <w:lang w:val="en-US" w:eastAsia="zh-CN"/>
        </w:rPr>
        <w:t xml:space="preserve"> </w:t>
      </w:r>
      <w:r>
        <w:rPr>
          <w:kern w:val="0"/>
          <w:szCs w:val="20"/>
        </w:rPr>
        <w:t>——</w:t>
      </w:r>
      <w:r>
        <w:rPr>
          <w:rFonts w:hAnsi="宋体"/>
          <w:kern w:val="0"/>
          <w:szCs w:val="20"/>
        </w:rPr>
        <w:t>标定时，滴定空白试液所消耗的碘酸钾标准滴定溶液的体积，单位为毫升</w:t>
      </w:r>
      <w:r>
        <w:rPr>
          <w:kern w:val="0"/>
          <w:szCs w:val="20"/>
        </w:rPr>
        <w:t>(mL)</w:t>
      </w:r>
      <w:r>
        <w:rPr>
          <w:rFonts w:hAnsi="宋体"/>
          <w:kern w:val="0"/>
          <w:szCs w:val="20"/>
        </w:rPr>
        <w:t>；</w:t>
      </w:r>
    </w:p>
    <w:p>
      <w:pPr>
        <w:widowControl/>
        <w:tabs>
          <w:tab w:val="center" w:pos="4201"/>
          <w:tab w:val="right" w:leader="dot" w:pos="9298"/>
        </w:tabs>
        <w:autoSpaceDE w:val="0"/>
        <w:autoSpaceDN w:val="0"/>
        <w:ind w:firstLine="420" w:firstLineChars="200"/>
        <w:jc w:val="left"/>
        <w:rPr>
          <w:kern w:val="0"/>
          <w:szCs w:val="20"/>
        </w:rPr>
      </w:pPr>
      <w:r>
        <w:rPr>
          <w:kern w:val="0"/>
          <w:szCs w:val="20"/>
        </w:rPr>
        <w:t>59.35——</w:t>
      </w:r>
      <w:r>
        <w:rPr>
          <w:rFonts w:hAnsi="宋体"/>
          <w:kern w:val="0"/>
          <w:szCs w:val="20"/>
        </w:rPr>
        <w:t>锡</w:t>
      </w:r>
      <w:r>
        <w:rPr>
          <w:kern w:val="0"/>
          <w:szCs w:val="20"/>
        </w:rPr>
        <w:t>(1/2Sn)</w:t>
      </w:r>
      <w:r>
        <w:rPr>
          <w:rFonts w:hAnsi="宋体"/>
          <w:kern w:val="0"/>
          <w:szCs w:val="20"/>
        </w:rPr>
        <w:t>的摩尔质量，单位为克每摩尔</w:t>
      </w:r>
      <w:r>
        <w:rPr>
          <w:kern w:val="0"/>
          <w:szCs w:val="20"/>
        </w:rPr>
        <w:t>(g/mol)</w:t>
      </w:r>
      <w:r>
        <w:rPr>
          <w:rFonts w:hAnsi="宋体"/>
          <w:kern w:val="0"/>
          <w:szCs w:val="20"/>
        </w:rPr>
        <w:t>。</w:t>
      </w:r>
    </w:p>
    <w:p>
      <w:pPr>
        <w:widowControl/>
        <w:tabs>
          <w:tab w:val="center" w:pos="4201"/>
          <w:tab w:val="right" w:leader="dot" w:pos="9298"/>
        </w:tabs>
        <w:autoSpaceDE w:val="0"/>
        <w:autoSpaceDN w:val="0"/>
        <w:ind w:firstLine="424" w:firstLineChars="202"/>
        <w:rPr>
          <w:kern w:val="0"/>
          <w:szCs w:val="20"/>
        </w:rPr>
      </w:pPr>
      <w:r>
        <w:rPr>
          <w:rFonts w:hAnsi="宋体"/>
          <w:kern w:val="0"/>
          <w:szCs w:val="20"/>
        </w:rPr>
        <w:t>平行标定三份，其极差值不大于</w:t>
      </w:r>
      <w:r>
        <w:rPr>
          <w:kern w:val="0"/>
          <w:szCs w:val="20"/>
        </w:rPr>
        <w:t>1.5×10</w:t>
      </w:r>
      <w:r>
        <w:rPr>
          <w:kern w:val="0"/>
          <w:szCs w:val="20"/>
          <w:vertAlign w:val="superscript"/>
        </w:rPr>
        <w:t xml:space="preserve"> -4 </w:t>
      </w:r>
      <w:r>
        <w:rPr>
          <w:kern w:val="0"/>
          <w:szCs w:val="20"/>
        </w:rPr>
        <w:t>mol/L</w:t>
      </w:r>
      <w:r>
        <w:rPr>
          <w:rFonts w:hAnsi="宋体"/>
          <w:kern w:val="0"/>
          <w:szCs w:val="20"/>
        </w:rPr>
        <w:t>时，取其平均值，否则重新标定。</w:t>
      </w:r>
    </w:p>
    <w:p>
      <w:pPr>
        <w:pStyle w:val="60"/>
        <w:spacing w:before="156" w:after="156"/>
        <w:rPr>
          <w:rFonts w:ascii="Times New Roman" w:eastAsia="宋体"/>
        </w:rPr>
      </w:pPr>
      <w:r>
        <w:rPr>
          <w:rFonts w:ascii="Times New Roman" w:hAnsi="宋体" w:eastAsia="宋体"/>
        </w:rPr>
        <w:t>淀粉溶液</w:t>
      </w:r>
      <w:r>
        <w:rPr>
          <w:rFonts w:ascii="Times New Roman" w:eastAsia="宋体"/>
        </w:rPr>
        <w:t>(10 g/L)</w:t>
      </w:r>
      <w:r>
        <w:rPr>
          <w:rFonts w:ascii="Times New Roman" w:hAnsi="宋体" w:eastAsia="宋体"/>
        </w:rPr>
        <w:t>。</w:t>
      </w:r>
    </w:p>
    <w:p>
      <w:pPr>
        <w:pStyle w:val="133"/>
        <w:numPr>
          <w:ilvl w:val="0"/>
          <w:numId w:val="0"/>
        </w:numPr>
        <w:ind w:firstLine="420" w:firstLineChars="200"/>
        <w:rPr>
          <w:rFonts w:ascii="Times New Roman"/>
        </w:rPr>
      </w:pPr>
      <w:r>
        <w:rPr>
          <w:rFonts w:ascii="Times New Roman" w:hAnsi="宋体"/>
        </w:rPr>
        <w:t>称取</w:t>
      </w:r>
      <w:r>
        <w:rPr>
          <w:rFonts w:ascii="Times New Roman"/>
        </w:rPr>
        <w:t>1 g</w:t>
      </w:r>
      <w:r>
        <w:rPr>
          <w:rFonts w:ascii="Times New Roman" w:hAnsi="宋体"/>
        </w:rPr>
        <w:t>可溶性淀粉置于</w:t>
      </w:r>
      <w:r>
        <w:rPr>
          <w:rFonts w:ascii="Times New Roman"/>
        </w:rPr>
        <w:t>300 mL</w:t>
      </w:r>
      <w:r>
        <w:rPr>
          <w:rFonts w:ascii="Times New Roman" w:hAnsi="宋体"/>
        </w:rPr>
        <w:t>烧杯中，加</w:t>
      </w:r>
      <w:r>
        <w:rPr>
          <w:rFonts w:ascii="Times New Roman"/>
        </w:rPr>
        <w:t>20 mL</w:t>
      </w:r>
      <w:r>
        <w:rPr>
          <w:rFonts w:ascii="Times New Roman" w:hAnsi="宋体"/>
        </w:rPr>
        <w:t>水，调成浆状，搅拌下加入</w:t>
      </w:r>
      <w:r>
        <w:rPr>
          <w:rFonts w:ascii="Times New Roman"/>
        </w:rPr>
        <w:t>20 mL</w:t>
      </w:r>
      <w:r>
        <w:rPr>
          <w:rFonts w:ascii="Times New Roman" w:hAnsi="宋体"/>
        </w:rPr>
        <w:t>氢氧化钠溶液</w:t>
      </w:r>
      <w:r>
        <w:rPr>
          <w:rFonts w:ascii="Times New Roman"/>
        </w:rPr>
        <w:t>(25 g/L)</w:t>
      </w:r>
      <w:r>
        <w:rPr>
          <w:rFonts w:ascii="Times New Roman" w:hAnsi="宋体"/>
        </w:rPr>
        <w:t>，搅拌溶解，加入</w:t>
      </w:r>
      <w:r>
        <w:rPr>
          <w:rFonts w:ascii="Times New Roman"/>
        </w:rPr>
        <w:t>60 mL</w:t>
      </w:r>
      <w:r>
        <w:rPr>
          <w:rFonts w:ascii="Times New Roman" w:hAnsi="宋体"/>
        </w:rPr>
        <w:t>水。</w:t>
      </w:r>
    </w:p>
    <w:p>
      <w:pPr>
        <w:pStyle w:val="60"/>
        <w:spacing w:before="156" w:after="156"/>
        <w:rPr>
          <w:rFonts w:ascii="Times New Roman" w:eastAsia="宋体"/>
        </w:rPr>
      </w:pPr>
      <w:r>
        <w:rPr>
          <w:rFonts w:ascii="Times New Roman" w:hAnsi="宋体" w:eastAsia="宋体"/>
        </w:rPr>
        <w:t>饱和碳酸氢钠溶液。</w:t>
      </w:r>
    </w:p>
    <w:p>
      <w:pPr>
        <w:pStyle w:val="60"/>
        <w:numPr>
          <w:ilvl w:val="0"/>
          <w:numId w:val="0"/>
        </w:numPr>
        <w:spacing w:before="156" w:after="156"/>
        <w:ind w:firstLine="420" w:firstLineChars="200"/>
        <w:rPr>
          <w:rFonts w:ascii="Times New Roman" w:eastAsia="宋体"/>
        </w:rPr>
      </w:pPr>
      <w:r>
        <w:rPr>
          <w:rFonts w:ascii="Times New Roman" w:hAnsi="宋体" w:eastAsia="宋体"/>
        </w:rPr>
        <w:t>煮沸</w:t>
      </w:r>
      <w:r>
        <w:rPr>
          <w:rFonts w:ascii="Times New Roman" w:eastAsia="宋体"/>
        </w:rPr>
        <w:t>5</w:t>
      </w:r>
      <w:r>
        <w:rPr>
          <w:rFonts w:ascii="Times New Roman" w:hAnsi="宋体" w:eastAsia="宋体"/>
        </w:rPr>
        <w:t>分钟</w:t>
      </w:r>
      <w:r>
        <w:rPr>
          <w:rFonts w:hint="eastAsia" w:ascii="Times New Roman" w:hAnsi="宋体" w:eastAsia="宋体"/>
          <w:lang w:val="en-US" w:eastAsia="zh-CN"/>
        </w:rPr>
        <w:t>去</w:t>
      </w:r>
      <w:r>
        <w:rPr>
          <w:rFonts w:ascii="Times New Roman" w:hAnsi="宋体" w:eastAsia="宋体"/>
        </w:rPr>
        <w:t>除</w:t>
      </w:r>
      <w:r>
        <w:rPr>
          <w:rFonts w:hint="eastAsia" w:ascii="Times New Roman" w:hAnsi="宋体" w:eastAsia="宋体"/>
          <w:lang w:val="en-US" w:eastAsia="zh-CN"/>
        </w:rPr>
        <w:t>溶解氧</w:t>
      </w:r>
      <w:r>
        <w:rPr>
          <w:rFonts w:ascii="Times New Roman" w:hAnsi="宋体" w:eastAsia="宋体"/>
        </w:rPr>
        <w:t>，冷却后使用。</w:t>
      </w:r>
    </w:p>
    <w:p>
      <w:pPr>
        <w:pStyle w:val="60"/>
        <w:spacing w:before="156" w:after="156"/>
        <w:rPr>
          <w:rFonts w:ascii="Times New Roman" w:eastAsia="宋体"/>
        </w:rPr>
      </w:pPr>
      <w:r>
        <w:rPr>
          <w:rFonts w:ascii="Times New Roman" w:hAnsi="宋体" w:eastAsia="宋体"/>
        </w:rPr>
        <w:t>二氧化碳气体。</w:t>
      </w:r>
    </w:p>
    <w:p>
      <w:pPr>
        <w:pStyle w:val="60"/>
        <w:numPr>
          <w:ilvl w:val="0"/>
          <w:numId w:val="3"/>
        </w:numPr>
        <w:spacing w:before="156" w:after="156"/>
        <w:rPr>
          <w:rFonts w:hint="eastAsia" w:ascii="黑体" w:hAnsi="黑体" w:eastAsia="黑体" w:cs="黑体"/>
        </w:rPr>
      </w:pPr>
      <w:r>
        <w:rPr>
          <w:rFonts w:hint="eastAsia" w:ascii="黑体" w:hAnsi="黑体" w:eastAsia="黑体" w:cs="黑体"/>
        </w:rPr>
        <w:t>仪器设备</w:t>
      </w:r>
    </w:p>
    <w:p>
      <w:pPr>
        <w:pStyle w:val="2"/>
        <w:rPr>
          <w:rFonts w:ascii="Times New Roman" w:hAnsi="宋体"/>
        </w:rPr>
      </w:pPr>
      <w:r>
        <w:rPr>
          <w:rFonts w:ascii="Times New Roman" w:hAnsi="宋体"/>
        </w:rPr>
        <w:t>还原装置见图</w:t>
      </w:r>
      <w:r>
        <w:rPr>
          <w:rFonts w:ascii="Times New Roman"/>
        </w:rPr>
        <w:t>1</w:t>
      </w:r>
      <w:r>
        <w:rPr>
          <w:rFonts w:ascii="Times New Roman" w:hAnsi="宋体"/>
        </w:rPr>
        <w:t>。</w:t>
      </w:r>
    </w:p>
    <w:p>
      <w:pPr>
        <w:pStyle w:val="2"/>
        <w:rPr>
          <w:rFonts w:ascii="Times New Roman" w:eastAsia="等线"/>
        </w:rPr>
      </w:pPr>
      <w:r>
        <w:rPr>
          <w:rFonts w:ascii="Times New Roman" w:eastAsia="等线"/>
        </w:rPr>
        <w:drawing>
          <wp:inline distT="0" distB="0" distL="114300" distR="114300">
            <wp:extent cx="5609590" cy="1673225"/>
            <wp:effectExtent l="0" t="0" r="10160" b="317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4"/>
                    <a:stretch>
                      <a:fillRect/>
                    </a:stretch>
                  </pic:blipFill>
                  <pic:spPr>
                    <a:xfrm>
                      <a:off x="0" y="0"/>
                      <a:ext cx="5609590" cy="1673225"/>
                    </a:xfrm>
                    <a:prstGeom prst="rect">
                      <a:avLst/>
                    </a:prstGeom>
                    <a:noFill/>
                    <a:ln>
                      <a:noFill/>
                    </a:ln>
                  </pic:spPr>
                </pic:pic>
              </a:graphicData>
            </a:graphic>
          </wp:inline>
        </w:drawing>
      </w:r>
    </w:p>
    <w:p>
      <w:pPr>
        <w:pStyle w:val="2"/>
        <w:rPr>
          <w:rFonts w:ascii="Times New Roman" w:eastAsia="等线"/>
        </w:rPr>
      </w:pPr>
    </w:p>
    <w:p>
      <w:pPr>
        <w:widowControl/>
        <w:tabs>
          <w:tab w:val="center" w:pos="4201"/>
          <w:tab w:val="right" w:leader="dot" w:pos="9298"/>
        </w:tabs>
        <w:autoSpaceDE w:val="0"/>
        <w:autoSpaceDN w:val="0"/>
        <w:ind w:firstLine="360" w:firstLineChars="200"/>
        <w:rPr>
          <w:kern w:val="0"/>
          <w:sz w:val="18"/>
          <w:szCs w:val="18"/>
        </w:rPr>
      </w:pPr>
      <w:r>
        <w:rPr>
          <w:rFonts w:hAnsi="宋体"/>
          <w:kern w:val="0"/>
          <w:sz w:val="18"/>
          <w:szCs w:val="18"/>
        </w:rPr>
        <w:t>标引序号说明：</w:t>
      </w:r>
    </w:p>
    <w:p>
      <w:pPr>
        <w:widowControl/>
        <w:tabs>
          <w:tab w:val="center" w:pos="4201"/>
          <w:tab w:val="right" w:leader="dot" w:pos="9298"/>
        </w:tabs>
        <w:autoSpaceDE w:val="0"/>
        <w:autoSpaceDN w:val="0"/>
        <w:ind w:firstLine="360" w:firstLineChars="200"/>
        <w:rPr>
          <w:kern w:val="0"/>
          <w:sz w:val="18"/>
          <w:szCs w:val="18"/>
        </w:rPr>
      </w:pPr>
      <w:r>
        <w:rPr>
          <w:kern w:val="0"/>
          <w:sz w:val="18"/>
          <w:szCs w:val="18"/>
        </w:rPr>
        <w:t>1——</w:t>
      </w:r>
      <w:r>
        <w:rPr>
          <w:rFonts w:hAnsi="宋体"/>
          <w:kern w:val="0"/>
          <w:sz w:val="18"/>
          <w:szCs w:val="18"/>
        </w:rPr>
        <w:t>橡皮塞；</w:t>
      </w:r>
    </w:p>
    <w:p>
      <w:pPr>
        <w:widowControl/>
        <w:tabs>
          <w:tab w:val="center" w:pos="4201"/>
          <w:tab w:val="right" w:leader="dot" w:pos="9298"/>
        </w:tabs>
        <w:autoSpaceDE w:val="0"/>
        <w:autoSpaceDN w:val="0"/>
        <w:ind w:firstLine="360" w:firstLineChars="200"/>
        <w:rPr>
          <w:kern w:val="0"/>
          <w:sz w:val="18"/>
          <w:szCs w:val="18"/>
        </w:rPr>
      </w:pPr>
      <w:r>
        <w:rPr>
          <w:kern w:val="0"/>
          <w:sz w:val="18"/>
          <w:szCs w:val="18"/>
        </w:rPr>
        <w:t>2</w:t>
      </w:r>
      <w:r>
        <w:rPr>
          <w:rFonts w:hAnsi="宋体"/>
          <w:kern w:val="0"/>
          <w:sz w:val="18"/>
          <w:szCs w:val="18"/>
        </w:rPr>
        <w:t>，</w:t>
      </w:r>
      <w:r>
        <w:rPr>
          <w:kern w:val="0"/>
          <w:sz w:val="18"/>
          <w:szCs w:val="18"/>
        </w:rPr>
        <w:t>3——</w:t>
      </w:r>
      <w:r>
        <w:rPr>
          <w:rFonts w:hAnsi="宋体"/>
          <w:kern w:val="0"/>
          <w:sz w:val="18"/>
          <w:szCs w:val="18"/>
        </w:rPr>
        <w:t>玻璃管；</w:t>
      </w:r>
    </w:p>
    <w:p>
      <w:pPr>
        <w:widowControl/>
        <w:tabs>
          <w:tab w:val="center" w:pos="4201"/>
          <w:tab w:val="right" w:leader="dot" w:pos="9298"/>
        </w:tabs>
        <w:autoSpaceDE w:val="0"/>
        <w:autoSpaceDN w:val="0"/>
        <w:ind w:firstLine="360" w:firstLineChars="200"/>
        <w:rPr>
          <w:kern w:val="0"/>
          <w:sz w:val="18"/>
          <w:szCs w:val="18"/>
        </w:rPr>
      </w:pPr>
      <w:r>
        <w:rPr>
          <w:kern w:val="0"/>
          <w:sz w:val="18"/>
          <w:szCs w:val="18"/>
        </w:rPr>
        <w:t>4——</w:t>
      </w:r>
      <w:r>
        <w:rPr>
          <w:rFonts w:hAnsi="宋体"/>
          <w:kern w:val="0"/>
          <w:sz w:val="18"/>
          <w:szCs w:val="18"/>
        </w:rPr>
        <w:t>橡皮管；</w:t>
      </w:r>
    </w:p>
    <w:p>
      <w:pPr>
        <w:widowControl/>
        <w:tabs>
          <w:tab w:val="center" w:pos="4201"/>
          <w:tab w:val="right" w:leader="dot" w:pos="9298"/>
        </w:tabs>
        <w:autoSpaceDE w:val="0"/>
        <w:autoSpaceDN w:val="0"/>
        <w:ind w:firstLine="360" w:firstLineChars="200"/>
        <w:rPr>
          <w:kern w:val="0"/>
          <w:szCs w:val="20"/>
        </w:rPr>
      </w:pPr>
      <w:r>
        <w:rPr>
          <w:kern w:val="0"/>
          <w:sz w:val="18"/>
          <w:szCs w:val="18"/>
        </w:rPr>
        <w:t>5——300 mL</w:t>
      </w:r>
      <w:r>
        <w:rPr>
          <w:rFonts w:hAnsi="宋体"/>
          <w:kern w:val="0"/>
          <w:sz w:val="18"/>
          <w:szCs w:val="18"/>
        </w:rPr>
        <w:t>锥形瓶。</w:t>
      </w:r>
    </w:p>
    <w:p>
      <w:pPr>
        <w:widowControl/>
        <w:tabs>
          <w:tab w:val="center" w:pos="4201"/>
          <w:tab w:val="right" w:leader="dot" w:pos="9298"/>
        </w:tabs>
        <w:autoSpaceDE w:val="0"/>
        <w:autoSpaceDN w:val="0"/>
        <w:ind w:firstLine="420" w:firstLineChars="200"/>
        <w:jc w:val="center"/>
        <w:rPr>
          <w:rFonts w:hint="eastAsia" w:ascii="黑体" w:hAnsi="黑体" w:eastAsia="黑体" w:cs="黑体"/>
          <w:kern w:val="0"/>
          <w:szCs w:val="21"/>
        </w:rPr>
      </w:pPr>
      <w:r>
        <w:rPr>
          <w:rFonts w:hint="eastAsia" w:ascii="黑体" w:hAnsi="黑体" w:eastAsia="黑体" w:cs="黑体"/>
          <w:kern w:val="0"/>
          <w:szCs w:val="21"/>
        </w:rPr>
        <w:t>图1  还原装置</w:t>
      </w:r>
    </w:p>
    <w:p>
      <w:pPr>
        <w:widowControl/>
        <w:tabs>
          <w:tab w:val="center" w:pos="4201"/>
          <w:tab w:val="right" w:leader="dot" w:pos="9298"/>
        </w:tabs>
        <w:autoSpaceDE w:val="0"/>
        <w:autoSpaceDN w:val="0"/>
        <w:ind w:firstLine="420" w:firstLineChars="200"/>
        <w:jc w:val="center"/>
        <w:rPr>
          <w:rFonts w:hAnsi="宋体"/>
          <w:kern w:val="0"/>
          <w:szCs w:val="21"/>
        </w:rPr>
      </w:pP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样品</w:t>
      </w:r>
    </w:p>
    <w:p>
      <w:pPr>
        <w:pStyle w:val="2"/>
        <w:rPr>
          <w:rFonts w:ascii="Times New Roman"/>
        </w:rPr>
      </w:pPr>
      <w:r>
        <w:rPr>
          <w:rFonts w:hint="eastAsia" w:ascii="Times New Roman" w:hAnsi="宋体"/>
        </w:rPr>
        <w:t>样品</w:t>
      </w:r>
      <w:r>
        <w:rPr>
          <w:rFonts w:ascii="Times New Roman" w:hAnsi="宋体"/>
        </w:rPr>
        <w:t>密封包装</w:t>
      </w:r>
      <w:r>
        <w:rPr>
          <w:rFonts w:hint="eastAsia" w:ascii="Times New Roman" w:hAnsi="宋体"/>
        </w:rPr>
        <w:t>。</w:t>
      </w: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试验步骤</w:t>
      </w:r>
    </w:p>
    <w:p>
      <w:pPr>
        <w:pStyle w:val="60"/>
        <w:spacing w:before="156" w:after="156"/>
        <w:rPr>
          <w:rFonts w:hint="eastAsia" w:ascii="黑体" w:hAnsi="黑体" w:eastAsia="黑体" w:cs="黑体"/>
        </w:rPr>
      </w:pPr>
      <w:r>
        <w:rPr>
          <w:rFonts w:hint="eastAsia" w:ascii="黑体" w:hAnsi="黑体" w:eastAsia="黑体" w:cs="黑体"/>
        </w:rPr>
        <w:t>试料</w:t>
      </w:r>
    </w:p>
    <w:p>
      <w:pPr>
        <w:pStyle w:val="2"/>
        <w:ind w:firstLineChars="0"/>
        <w:rPr>
          <w:rFonts w:ascii="Times New Roman"/>
        </w:rPr>
      </w:pPr>
      <w:r>
        <w:rPr>
          <w:rFonts w:ascii="Times New Roman" w:hAnsi="宋体"/>
        </w:rPr>
        <w:t>称取</w:t>
      </w:r>
      <w:r>
        <w:rPr>
          <w:rFonts w:ascii="Times New Roman"/>
        </w:rPr>
        <w:t>0.25g</w:t>
      </w:r>
      <w:r>
        <w:rPr>
          <w:rFonts w:hint="eastAsia" w:ascii="Times New Roman" w:hAnsi="宋体"/>
          <w:lang w:val="en-US" w:eastAsia="zh-CN"/>
        </w:rPr>
        <w:t>样品</w:t>
      </w:r>
      <w:r>
        <w:rPr>
          <w:rFonts w:ascii="Times New Roman" w:hAnsi="宋体"/>
        </w:rPr>
        <w:t>，精确至</w:t>
      </w:r>
      <w:r>
        <w:rPr>
          <w:rFonts w:ascii="Times New Roman"/>
        </w:rPr>
        <w:t>0.0001g</w:t>
      </w:r>
      <w:r>
        <w:rPr>
          <w:rFonts w:ascii="Times New Roman" w:hAnsi="宋体"/>
        </w:rPr>
        <w:t>。</w:t>
      </w:r>
    </w:p>
    <w:p>
      <w:pPr>
        <w:pStyle w:val="60"/>
        <w:spacing w:before="156" w:after="156"/>
        <w:rPr>
          <w:rFonts w:hint="eastAsia" w:ascii="黑体" w:hAnsi="黑体" w:eastAsia="黑体" w:cs="黑体"/>
        </w:rPr>
      </w:pPr>
      <w:r>
        <w:rPr>
          <w:rFonts w:hint="eastAsia" w:ascii="黑体" w:hAnsi="黑体" w:eastAsia="黑体" w:cs="黑体"/>
        </w:rPr>
        <w:t>平行试验</w:t>
      </w:r>
    </w:p>
    <w:p>
      <w:pPr>
        <w:pStyle w:val="133"/>
        <w:numPr>
          <w:ilvl w:val="0"/>
          <w:numId w:val="0"/>
        </w:numPr>
        <w:rPr>
          <w:rFonts w:ascii="Times New Roman"/>
        </w:rPr>
      </w:pPr>
      <w:r>
        <w:rPr>
          <w:rFonts w:ascii="Times New Roman"/>
        </w:rPr>
        <w:t xml:space="preserve">    </w:t>
      </w:r>
      <w:r>
        <w:rPr>
          <w:rFonts w:ascii="Times New Roman" w:hAnsi="宋体"/>
          <w:szCs w:val="20"/>
        </w:rPr>
        <w:t>独立地进行两次测定，取其平均值。</w:t>
      </w:r>
    </w:p>
    <w:p>
      <w:pPr>
        <w:pStyle w:val="60"/>
        <w:spacing w:before="156" w:after="156"/>
        <w:rPr>
          <w:rFonts w:hint="eastAsia" w:ascii="黑体" w:hAnsi="黑体" w:eastAsia="黑体" w:cs="黑体"/>
        </w:rPr>
      </w:pPr>
      <w:r>
        <w:rPr>
          <w:rFonts w:hint="eastAsia" w:ascii="黑体" w:hAnsi="黑体" w:eastAsia="黑体" w:cs="黑体"/>
        </w:rPr>
        <w:t>空白试验</w:t>
      </w:r>
    </w:p>
    <w:p>
      <w:pPr>
        <w:pStyle w:val="133"/>
        <w:numPr>
          <w:ilvl w:val="0"/>
          <w:numId w:val="0"/>
        </w:numPr>
        <w:ind w:firstLine="420" w:firstLineChars="200"/>
        <w:rPr>
          <w:rFonts w:ascii="Times New Roman"/>
        </w:rPr>
      </w:pPr>
      <w:r>
        <w:rPr>
          <w:rFonts w:ascii="Times New Roman" w:hAnsi="宋体"/>
        </w:rPr>
        <w:t>随同试料做空白试验。</w:t>
      </w:r>
    </w:p>
    <w:p>
      <w:pPr>
        <w:pStyle w:val="60"/>
        <w:spacing w:before="156" w:after="156"/>
        <w:rPr>
          <w:rFonts w:hint="eastAsia" w:ascii="黑体" w:hAnsi="黑体" w:eastAsia="黑体" w:cs="黑体"/>
        </w:rPr>
      </w:pPr>
      <w:r>
        <w:rPr>
          <w:rFonts w:hint="eastAsia" w:ascii="黑体" w:hAnsi="黑体" w:eastAsia="黑体" w:cs="黑体"/>
        </w:rPr>
        <w:t>测定</w:t>
      </w:r>
    </w:p>
    <w:p>
      <w:pPr>
        <w:pStyle w:val="59"/>
        <w:spacing w:before="156" w:after="156"/>
        <w:rPr>
          <w:rFonts w:ascii="Times New Roman" w:eastAsia="宋体"/>
        </w:rPr>
      </w:pPr>
      <w:r>
        <w:rPr>
          <w:rFonts w:ascii="Times New Roman" w:hAnsi="宋体" w:eastAsia="宋体"/>
        </w:rPr>
        <w:t>将试料</w:t>
      </w:r>
      <w:r>
        <w:rPr>
          <w:rFonts w:ascii="Times New Roman" w:eastAsia="宋体"/>
        </w:rPr>
        <w:t>(8.1)</w:t>
      </w:r>
      <w:r>
        <w:rPr>
          <w:rFonts w:ascii="Times New Roman" w:hAnsi="宋体" w:eastAsia="宋体"/>
        </w:rPr>
        <w:t>置于</w:t>
      </w:r>
      <w:r>
        <w:rPr>
          <w:rFonts w:ascii="Times New Roman" w:eastAsia="宋体"/>
        </w:rPr>
        <w:t>300 mL</w:t>
      </w:r>
      <w:r>
        <w:rPr>
          <w:rFonts w:ascii="Times New Roman" w:hAnsi="宋体" w:eastAsia="宋体"/>
        </w:rPr>
        <w:t>锥形瓶中，加入</w:t>
      </w:r>
      <w:r>
        <w:rPr>
          <w:rFonts w:ascii="Times New Roman" w:eastAsia="宋体"/>
        </w:rPr>
        <w:t>1 g</w:t>
      </w:r>
      <w:r>
        <w:rPr>
          <w:rFonts w:ascii="Times New Roman" w:hAnsi="宋体" w:eastAsia="宋体"/>
        </w:rPr>
        <w:t>还原铁粉</w:t>
      </w:r>
      <w:r>
        <w:rPr>
          <w:rFonts w:ascii="Times New Roman" w:eastAsia="宋体"/>
          <w:szCs w:val="20"/>
        </w:rPr>
        <w:t>(5.2)</w:t>
      </w:r>
      <w:r>
        <w:rPr>
          <w:rFonts w:ascii="Times New Roman" w:hAnsi="宋体" w:eastAsia="宋体"/>
        </w:rPr>
        <w:t>，</w:t>
      </w:r>
      <w:r>
        <w:rPr>
          <w:rFonts w:ascii="Times New Roman" w:eastAsia="宋体"/>
        </w:rPr>
        <w:t>100 mL</w:t>
      </w:r>
      <w:r>
        <w:rPr>
          <w:rFonts w:ascii="Times New Roman" w:hAnsi="宋体" w:eastAsia="宋体"/>
        </w:rPr>
        <w:t>盐酸</w:t>
      </w:r>
      <w:r>
        <w:rPr>
          <w:rFonts w:ascii="Times New Roman" w:eastAsia="宋体"/>
        </w:rPr>
        <w:t>(5.</w:t>
      </w:r>
      <w:r>
        <w:rPr>
          <w:rFonts w:hint="eastAsia" w:ascii="Times New Roman" w:eastAsia="宋体"/>
          <w:lang w:val="en-US" w:eastAsia="zh-CN"/>
        </w:rPr>
        <w:t>8</w:t>
      </w:r>
      <w:r>
        <w:rPr>
          <w:rFonts w:ascii="Times New Roman" w:eastAsia="宋体"/>
        </w:rPr>
        <w:t>)</w:t>
      </w:r>
      <w:r>
        <w:rPr>
          <w:rFonts w:ascii="Times New Roman" w:hAnsi="宋体" w:eastAsia="宋体"/>
        </w:rPr>
        <w:t>。</w:t>
      </w:r>
    </w:p>
    <w:p>
      <w:pPr>
        <w:pStyle w:val="59"/>
        <w:spacing w:before="156" w:after="156"/>
        <w:rPr>
          <w:rFonts w:ascii="Times New Roman" w:eastAsia="宋体"/>
        </w:rPr>
      </w:pPr>
      <w:r>
        <w:rPr>
          <w:rFonts w:hint="eastAsia" w:ascii="Times New Roman" w:hAnsi="宋体" w:eastAsia="宋体"/>
          <w:szCs w:val="20"/>
        </w:rPr>
        <w:t>根据还原装置图（图1）中，用橡皮塞塞紧瓶口，低温加热至溶解完全，取下，稍冷</w:t>
      </w:r>
      <w:r>
        <w:rPr>
          <w:rFonts w:hint="eastAsia" w:ascii="Times New Roman" w:hAnsi="宋体" w:eastAsia="宋体"/>
          <w:szCs w:val="20"/>
          <w:lang w:eastAsia="zh-CN"/>
        </w:rPr>
        <w:t>。</w:t>
      </w:r>
      <w:r>
        <w:rPr>
          <w:rFonts w:ascii="Times New Roman" w:hAnsi="宋体" w:eastAsia="宋体"/>
        </w:rPr>
        <w:t>加入</w:t>
      </w:r>
      <w:r>
        <w:rPr>
          <w:rFonts w:ascii="Times New Roman" w:eastAsia="宋体"/>
        </w:rPr>
        <w:t>1.5 g</w:t>
      </w:r>
      <w:r>
        <w:rPr>
          <w:rFonts w:ascii="Times New Roman" w:hAnsi="宋体" w:eastAsia="宋体"/>
        </w:rPr>
        <w:t>金属铝</w:t>
      </w:r>
      <w:r>
        <w:rPr>
          <w:rFonts w:ascii="Times New Roman" w:eastAsia="宋体"/>
          <w:szCs w:val="20"/>
        </w:rPr>
        <w:t>(5.3)</w:t>
      </w:r>
      <w:r>
        <w:rPr>
          <w:rFonts w:ascii="Times New Roman" w:hAnsi="宋体" w:eastAsia="宋体"/>
        </w:rPr>
        <w:t>，充分摇动锥形瓶，待剧烈反应后剩余少量铝时，加热煮沸至试液产生大气泡</w:t>
      </w:r>
      <w:r>
        <w:rPr>
          <w:rFonts w:ascii="Times New Roman" w:eastAsia="宋体"/>
        </w:rPr>
        <w:t>1 min</w:t>
      </w:r>
      <w:r>
        <w:rPr>
          <w:rFonts w:ascii="Times New Roman" w:hAnsi="宋体" w:eastAsia="宋体"/>
        </w:rPr>
        <w:t>左右，在二氧化碳气体保护下，将锥形瓶放入流水中冷却至室温。</w:t>
      </w:r>
    </w:p>
    <w:p>
      <w:pPr>
        <w:pStyle w:val="59"/>
        <w:numPr>
          <w:ilvl w:val="0"/>
          <w:numId w:val="0"/>
        </w:numPr>
        <w:spacing w:before="156" w:after="156"/>
        <w:ind w:firstLine="360" w:firstLineChars="200"/>
        <w:rPr>
          <w:rFonts w:ascii="Times New Roman" w:eastAsia="宋体"/>
          <w:sz w:val="18"/>
          <w:szCs w:val="18"/>
        </w:rPr>
      </w:pPr>
      <w:r>
        <w:rPr>
          <w:rFonts w:hint="eastAsia" w:ascii="黑体" w:hAnsi="黑体" w:eastAsia="黑体" w:cs="黑体"/>
          <w:sz w:val="18"/>
          <w:szCs w:val="18"/>
        </w:rPr>
        <w:t>注:</w:t>
      </w:r>
      <w:r>
        <w:rPr>
          <w:rFonts w:hint="default" w:ascii="Times New Roman" w:hAnsi="Times New Roman" w:eastAsia="宋体" w:cs="Times New Roman"/>
          <w:sz w:val="18"/>
          <w:szCs w:val="18"/>
        </w:rPr>
        <w:t>采用盖氏漏斗作为还原装置时，将锥形瓶置于电热板上低温加热至试料和铁粉完全溶解，加入1 g金属铝</w:t>
      </w:r>
      <w:r>
        <w:rPr>
          <w:rFonts w:hint="default" w:ascii="Times New Roman" w:hAnsi="Times New Roman" w:eastAsia="宋体" w:cs="Times New Roman"/>
          <w:szCs w:val="20"/>
        </w:rPr>
        <w:t>(5.3)</w:t>
      </w:r>
      <w:r>
        <w:rPr>
          <w:rFonts w:hint="default" w:ascii="Times New Roman" w:hAnsi="Times New Roman" w:eastAsia="宋体" w:cs="Times New Roman"/>
          <w:sz w:val="18"/>
          <w:szCs w:val="18"/>
        </w:rPr>
        <w:t>，充分摇动至铝大部分溶解后，再补加0.5 g金属铝，用带橡皮塞的盖氏漏斗塞紧，在盖氏漏斗中加入饱和碳酸氢钠溶液（5.</w:t>
      </w:r>
      <w:r>
        <w:rPr>
          <w:rFonts w:hint="eastAsia" w:ascii="Times New Roman" w:eastAsia="宋体" w:cs="Times New Roman"/>
          <w:sz w:val="18"/>
          <w:szCs w:val="18"/>
          <w:lang w:val="en-US" w:eastAsia="zh-CN"/>
        </w:rPr>
        <w:t>11</w:t>
      </w:r>
      <w:r>
        <w:rPr>
          <w:rFonts w:hint="default" w:ascii="Times New Roman" w:hAnsi="Times New Roman" w:eastAsia="宋体" w:cs="Times New Roman"/>
          <w:sz w:val="18"/>
          <w:szCs w:val="18"/>
        </w:rPr>
        <w:t>），充分摇动，待剩余少量铝时，加热至试液产生大气泡1 min，取下，于盖氏漏斗中补加少量饱和碳酸氢钠，流水冷却至室温。</w:t>
      </w:r>
    </w:p>
    <w:p>
      <w:pPr>
        <w:pStyle w:val="59"/>
        <w:spacing w:before="156" w:after="156"/>
        <w:rPr>
          <w:rFonts w:ascii="Times New Roman" w:eastAsia="宋体"/>
        </w:rPr>
      </w:pPr>
      <w:r>
        <w:rPr>
          <w:rFonts w:ascii="Times New Roman" w:hAnsi="宋体" w:eastAsia="宋体"/>
        </w:rPr>
        <w:t>取下锥形瓶，立即加入</w:t>
      </w:r>
      <w:r>
        <w:rPr>
          <w:rFonts w:ascii="Times New Roman" w:eastAsia="宋体"/>
        </w:rPr>
        <w:t>5 mL</w:t>
      </w:r>
      <w:r>
        <w:rPr>
          <w:rFonts w:ascii="Times New Roman" w:hAnsi="宋体" w:eastAsia="宋体"/>
        </w:rPr>
        <w:t>淀粉溶液</w:t>
      </w:r>
      <w:r>
        <w:rPr>
          <w:rFonts w:hint="default" w:ascii="Times New Roman" w:hAnsi="Times New Roman" w:eastAsia="宋体" w:cs="Times New Roman"/>
          <w:szCs w:val="20"/>
        </w:rPr>
        <w:t>(5.</w:t>
      </w:r>
      <w:r>
        <w:rPr>
          <w:rFonts w:hint="eastAsia" w:ascii="Times New Roman" w:eastAsia="宋体" w:cs="Times New Roman"/>
          <w:szCs w:val="20"/>
          <w:lang w:val="en-US" w:eastAsia="zh-CN"/>
        </w:rPr>
        <w:t>10</w:t>
      </w:r>
      <w:r>
        <w:rPr>
          <w:rFonts w:hint="default" w:ascii="Times New Roman" w:hAnsi="Times New Roman" w:eastAsia="宋体" w:cs="Times New Roman"/>
          <w:szCs w:val="20"/>
        </w:rPr>
        <w:t>)</w:t>
      </w:r>
      <w:r>
        <w:rPr>
          <w:rFonts w:ascii="Times New Roman" w:hAnsi="宋体" w:eastAsia="宋体"/>
        </w:rPr>
        <w:t>，用碘酸钾标准滴定溶液</w:t>
      </w:r>
      <w:r>
        <w:rPr>
          <w:rFonts w:hint="default" w:ascii="Times New Roman" w:hAnsi="Times New Roman" w:eastAsia="宋体" w:cs="Times New Roman"/>
          <w:szCs w:val="20"/>
        </w:rPr>
        <w:t>(5.</w:t>
      </w:r>
      <w:r>
        <w:rPr>
          <w:rFonts w:hint="eastAsia" w:ascii="Times New Roman" w:eastAsia="宋体" w:cs="Times New Roman"/>
          <w:szCs w:val="20"/>
          <w:lang w:val="en-US" w:eastAsia="zh-CN"/>
        </w:rPr>
        <w:t>9</w:t>
      </w:r>
      <w:r>
        <w:rPr>
          <w:rFonts w:hint="default" w:ascii="Times New Roman" w:hAnsi="Times New Roman" w:eastAsia="宋体" w:cs="Times New Roman"/>
          <w:szCs w:val="20"/>
        </w:rPr>
        <w:t>)</w:t>
      </w:r>
      <w:r>
        <w:rPr>
          <w:rFonts w:ascii="Times New Roman" w:hAnsi="宋体" w:eastAsia="宋体"/>
        </w:rPr>
        <w:t>滴定至浅蓝色为终点。</w:t>
      </w:r>
    </w:p>
    <w:p>
      <w:pPr>
        <w:pStyle w:val="60"/>
        <w:numPr>
          <w:ilvl w:val="0"/>
          <w:numId w:val="3"/>
        </w:numPr>
        <w:spacing w:before="156" w:after="156"/>
        <w:rPr>
          <w:rFonts w:hint="eastAsia" w:ascii="黑体" w:hAnsi="黑体" w:eastAsia="黑体" w:cs="黑体"/>
        </w:rPr>
      </w:pPr>
      <w:r>
        <w:rPr>
          <w:rFonts w:hint="eastAsia" w:ascii="黑体" w:hAnsi="黑体" w:eastAsia="黑体" w:cs="黑体"/>
        </w:rPr>
        <w:t>试验数据处理</w:t>
      </w:r>
    </w:p>
    <w:p>
      <w:pPr>
        <w:pStyle w:val="60"/>
        <w:numPr>
          <w:ilvl w:val="0"/>
          <w:numId w:val="0"/>
        </w:numPr>
        <w:spacing w:before="156" w:after="156"/>
        <w:ind w:firstLine="420" w:firstLineChars="200"/>
        <w:rPr>
          <w:rFonts w:ascii="Times New Roman" w:eastAsia="宋体"/>
        </w:rPr>
      </w:pPr>
      <w:r>
        <w:rPr>
          <w:rFonts w:ascii="Times New Roman" w:hAnsi="宋体" w:eastAsia="宋体"/>
        </w:rPr>
        <w:t>锡的含量以锡的质量分数</w:t>
      </w:r>
      <w:r>
        <w:rPr>
          <w:rFonts w:ascii="Times New Roman" w:eastAsia="宋体"/>
          <w:i/>
          <w:sz w:val="24"/>
          <w:szCs w:val="18"/>
        </w:rPr>
        <w:t>w</w:t>
      </w:r>
      <w:r>
        <w:rPr>
          <w:rFonts w:ascii="Times New Roman" w:eastAsia="宋体"/>
          <w:i w:val="0"/>
          <w:iCs/>
          <w:sz w:val="24"/>
          <w:szCs w:val="18"/>
          <w:vertAlign w:val="subscript"/>
        </w:rPr>
        <w:t>Sn</w:t>
      </w:r>
      <w:r>
        <w:rPr>
          <w:rFonts w:ascii="Times New Roman" w:hAnsi="宋体" w:eastAsia="宋体"/>
        </w:rPr>
        <w:t>计，按公式</w:t>
      </w:r>
      <w:r>
        <w:rPr>
          <w:rFonts w:ascii="Times New Roman" w:eastAsia="宋体"/>
        </w:rPr>
        <w:t>(2)</w:t>
      </w:r>
      <w:r>
        <w:rPr>
          <w:rFonts w:ascii="Times New Roman" w:hAnsi="宋体" w:eastAsia="宋体"/>
        </w:rPr>
        <w:t>计算：</w:t>
      </w:r>
    </w:p>
    <w:p>
      <w:pPr>
        <w:pStyle w:val="2"/>
        <w:ind w:right="420"/>
        <w:jc w:val="center"/>
        <w:rPr>
          <w:rFonts w:ascii="Times New Roman"/>
        </w:rPr>
      </w:pPr>
      <w:r>
        <w:rPr>
          <w:rFonts w:ascii="Times New Roman"/>
        </w:rPr>
        <w:t xml:space="preserve">          </w:t>
      </w:r>
      <w:r>
        <w:rPr>
          <w:rFonts w:ascii="Times New Roman"/>
        </w:rPr>
        <w:fldChar w:fldCharType="begin"/>
      </w:r>
      <w:r>
        <w:rPr>
          <w:rFonts w:ascii="Times New Roman"/>
        </w:rPr>
        <w:instrText xml:space="preserve"> QUOTE </w:instrText>
      </w:r>
      <w:r>
        <w:rPr>
          <w:rFonts w:ascii="Times New Roman"/>
          <w:position w:val="-23"/>
        </w:rPr>
        <w:pict>
          <v:shape id="_x0000_i1026" o:spt="75" type="#_x0000_t75" style="height:31.5pt;width:173.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6&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07F85&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86DE1&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B570D&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4B2E&quot;/&gt;&lt;wsp:rsid wsp:val=&quot;000F5DB8&quot;/&gt;&lt;wsp:rsid wsp:val=&quot;000F6F3C&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1F68AF&quot;/&gt;&lt;wsp:rsid wsp:val=&quot;00200DA5&quot;/&gt;&lt;wsp:rsid wsp:val=&quot;002050BB&quot;/&gt;&lt;wsp:rsid wsp:val=&quot;00206723&quot;/&gt;&lt;wsp:rsid wsp:val=&quot;0021164C&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1D7D&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0F26&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7A4&quot;/&gt;&lt;wsp:rsid wsp:val=&quot;00301F39&quot;/&gt;&lt;wsp:rsid wsp:val=&quot;003056B9&quot;/&gt;&lt;wsp:rsid wsp:val=&quot;00306DDF&quot;/&gt;&lt;wsp:rsid wsp:val=&quot;0031534C&quot;/&gt;&lt;wsp:rsid wsp:val=&quot;00321ADB&quot;/&gt;&lt;wsp:rsid wsp:val=&quot;00322365&quot;/&gt;&lt;wsp:rsid wsp:val=&quot;00323A3D&quot;/&gt;&lt;wsp:rsid wsp:val=&quot;00324801&quot;/&gt;&lt;wsp:rsid wsp:val=&quot;003254A2&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6611E&quot;/&gt;&lt;wsp:rsid wsp:val=&quot;0037139B&quot;/&gt;&lt;wsp:rsid wsp:val=&quot;00373218&quot;/&gt;&lt;wsp:rsid wsp:val=&quot;00375564&quot;/&gt;&lt;wsp:rsid wsp:val=&quot;003756F1&quot;/&gt;&lt;wsp:rsid wsp:val=&quot;00383191&quot;/&gt;&lt;wsp:rsid wsp:val=&quot;00385B23&quot;/&gt;&lt;wsp:rsid wsp:val=&quot;00386DED&quot;/&gt;&lt;wsp:rsid wsp:val=&quot;00390B71&quot;/&gt;&lt;wsp:rsid wsp:val=&quot;003912E7&quot;/&gt;&lt;wsp:rsid wsp:val=&quot;00393947&quot;/&gt;&lt;wsp:rsid wsp:val=&quot;00397E0E&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E62A1&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4D6&quot;/&gt;&lt;wsp:rsid wsp:val=&quot;00471E91&quot;/&gt;&lt;wsp:rsid wsp:val=&quot;0047442B&quot;/&gt;&lt;wsp:rsid wsp:val=&quot;00474675&quot;/&gt;&lt;wsp:rsid wsp:val=&quot;0047470C&quot;/&gt;&lt;wsp:rsid wsp:val=&quot;00475898&quot;/&gt;&lt;wsp:rsid wsp:val=&quot;004826D7&quot;/&gt;&lt;wsp:rsid wsp:val=&quot;00483814&quot;/&gt;&lt;wsp:rsid wsp:val=&quot;00492A7B&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24CB&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1C10&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5096&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19F8&quot;/&gt;&lt;wsp:rsid wsp:val=&quot;007244A8&quot;/&gt;&lt;wsp:rsid wsp:val=&quot;00724EFB&quot;/&gt;&lt;wsp:rsid wsp:val=&quot;00733A4F&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4D78&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0F9&quot;/&gt;&lt;wsp:rsid wsp:val=&quot;007F758D&quot;/&gt;&lt;wsp:rsid wsp:val=&quot;007F7D52&quot;/&gt;&lt;wsp:rsid wsp:val=&quot;00801449&quot;/&gt;&lt;wsp:rsid wsp:val=&quot;0080654C&quot;/&gt;&lt;wsp:rsid wsp:val=&quot;008071C6&quot;/&gt;&lt;wsp:rsid wsp:val=&quot;00817A00&quot;/&gt;&lt;wsp:rsid wsp:val=&quot;0082090D&quot;/&gt;&lt;wsp:rsid wsp:val=&quot;008209AE&quot;/&gt;&lt;wsp:rsid wsp:val=&quot;00835DB3&quot;/&gt;&lt;wsp:rsid wsp:val=&quot;0083617B&quot;/&gt;&lt;wsp:rsid wsp:val=&quot;008371BD&quot;/&gt;&lt;wsp:rsid wsp:val=&quot;00847924&quot;/&gt;&lt;wsp:rsid wsp:val=&quot;008504A8&quot;/&gt;&lt;wsp:rsid wsp:val=&quot;00850A8A&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0497&quot;/&gt;&lt;wsp:rsid wsp:val=&quot;00892E82&quot;/&gt;&lt;wsp:rsid wsp:val=&quot;008A02F1&quot;/&gt;&lt;wsp:rsid wsp:val=&quot;008A3FC0&quot;/&gt;&lt;wsp:rsid wsp:val=&quot;008A4054&quot;/&gt;&lt;wsp:rsid wsp:val=&quot;008A41A6&quot;/&gt;&lt;wsp:rsid wsp:val=&quot;008B6872&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22ED&quot;/&gt;&lt;wsp:rsid wsp:val=&quot;0091331C&quot;/&gt;&lt;wsp:rsid wsp:val=&quot;00916B1C&quot;/&gt;&lt;wsp:rsid wsp:val=&quot;009247BE&quot;/&gt;&lt;wsp:rsid wsp:val=&quot;009279CB&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860&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1A96&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66D8&quot;/&gt;&lt;wsp:rsid wsp:val=&quot;00A07F34&quot;/&gt;&lt;wsp:rsid wsp:val=&quot;00A2083C&quot;/&gt;&lt;wsp:rsid wsp:val=&quot;00A20DB0&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3825&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3A8&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233F&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55E5B&quot;/&gt;&lt;wsp:rsid wsp:val=&quot;00B636A8&quot;/&gt;&lt;wsp:rsid wsp:val=&quot;00B6411F&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3C3C&quot;/&gt;&lt;wsp:rsid wsp:val=&quot;00B9550C&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C3A9B&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41DB3&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A5DBF&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27B3&quot;/&gt;&lt;wsp:rsid wsp:val=&quot;00DE35CB&quot;/&gt;&lt;wsp:rsid wsp:val=&quot;00DE4370&quot;/&gt;&lt;wsp:rsid wsp:val=&quot;00DE7D5A&quot;/&gt;&lt;wsp:rsid wsp:val=&quot;00DF10FE&quot;/&gt;&lt;wsp:rsid wsp:val=&quot;00DF21E9&quot;/&gt;&lt;wsp:rsid wsp:val=&quot;00DF2910&quot;/&gt;&lt;wsp:rsid wsp:val=&quot;00E00F14&quot;/&gt;&lt;wsp:rsid wsp:val=&quot;00E018AF&quot;/&gt;&lt;wsp:rsid wsp:val=&quot;00E02F75&quot;/&gt;&lt;wsp:rsid wsp:val=&quot;00E04BA5&quot;/&gt;&lt;wsp:rsid wsp:val=&quot;00E04FD4&quot;/&gt;&lt;wsp:rsid wsp:val=&quot;00E06386&quot;/&gt;&lt;wsp:rsid wsp:val=&quot;00E074A8&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1E13&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2D33&quot;/&gt;&lt;wsp:rsid wsp:val=&quot;00EA538A&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D39E3&quot;/&gt;&lt;wsp:rsid wsp:val=&quot;00EE2BED&quot;/&gt;&lt;wsp:rsid wsp:val=&quot;00EE374B&quot;/&gt;&lt;wsp:rsid wsp:val=&quot;00EF74CE&quot;/&gt;&lt;wsp:rsid wsp:val=&quot;00F11BB5&quot;/&gt;&lt;wsp:rsid wsp:val=&quot;00F133E3&quot;/&gt;&lt;wsp:rsid wsp:val=&quot;00F1417B&quot;/&gt;&lt;wsp:rsid wsp:val=&quot;00F21186&quot;/&gt;&lt;wsp:rsid wsp:val=&quot;00F24995&quot;/&gt;&lt;wsp:rsid wsp:val=&quot;00F31847&quot;/&gt;&lt;wsp:rsid wsp:val=&quot;00F34B99&quot;/&gt;&lt;wsp:rsid wsp:val=&quot;00F433A9&quot;/&gt;&lt;wsp:rsid wsp:val=&quot;00F43F53&quot;/&gt;&lt;wsp:rsid wsp:val=&quot;00F47222&quot;/&gt;&lt;wsp:rsid wsp:val=&quot;00F519B8&quot;/&gt;&lt;wsp:rsid wsp:val=&quot;00F52361&quot;/&gt;&lt;wsp:rsid wsp:val=&quot;00F52DAB&quot;/&gt;&lt;wsp:rsid wsp:val=&quot;00F53389&quot;/&gt;&lt;wsp:rsid wsp:val=&quot;00F543F0&quot;/&gt;&lt;wsp:rsid wsp:val=&quot;00F559DC&quot;/&gt;&lt;wsp:rsid wsp:val=&quot;00F56D92&quot;/&gt;&lt;wsp:rsid wsp:val=&quot;00F6188B&quot;/&gt;&lt;wsp:rsid wsp:val=&quot;00F76E81&quot;/&gt;&lt;wsp:rsid wsp:val=&quot;00F81D29&quot;/&gt;&lt;wsp:rsid wsp:val=&quot;00F87C1B&quot;/&gt;&lt;wsp:rsid wsp:val=&quot;00F91C4D&quot;/&gt;&lt;wsp:rsid wsp:val=&quot;00F92FD9&quot;/&gt;&lt;wsp:rsid wsp:val=&quot;00FA379A&quot;/&gt;&lt;wsp:rsid wsp:val=&quot;00FA6684&quot;/&gt;&lt;wsp:rsid wsp:val=&quot;00FA731E&quot;/&gt;&lt;wsp:rsid wsp:val=&quot;00FB2B38&quot;/&gt;&lt;wsp:rsid wsp:val=&quot;00FC261E&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p wsp:rsidR=&quot;00000000&quot; wsp:rsidRDefault=&quot;00970860&quot;&gt;&lt;m:oMathPara&gt;&lt;m:oMath&gt;&lt;m:sSub&gt;&lt;m:sSubPr&gt;&lt;m:ctrlPr&gt;&lt;w:rPr&gt;&lt;w:rFonts w:ascii=&quot;Cambria Math&quot; w:fareast=&quot;宋体&quot; w:h-ansi=&quot;Cambria Math&quot;/&gt;&lt;wx:font wx:val=&quot;Cambria Math&quot;/&gt;&lt;w:sz-cs w:val=&quot;21&quot;/&gt;&lt;w:vertAlign w:val=&quot;subscript&quot;/&gt;&lt;/w:rPr&gt;&lt;/m:ctrlPr&gt;&lt;/m:sSubPr&gt;&lt;m:e&gt;&lt;m:r&gt;&lt;w:rPr&gt;&lt;w:rFonts w:ascii=&quot;Cambria Math&quot; w:h-ansi=&quot;Cambria Math&quot;/&gt;&lt;wx:font wx:val=&quot;Cambria Math&quot;/&gt;&lt;w:i/&gt;&lt;w:sz w:val=&quot;24&quot;/&gt;&lt;w:sz-cs w:val=&quot;18&quot;/&gt;&lt;/w:rPr&gt;&lt;m:t&gt;w&lt;/m:t&gt;&lt;/m:r&gt;&lt;/m:e&gt;&lt;m:sub&gt;&lt;m:r&gt;&lt;w:rPr&gt;&lt;w:rFonts w:ascii=&quot;Cambria Math&quot; w:fareast=&quot;宋体&quot; w:h-ansi=&quot;Cambria Math&quot;/&gt;&lt;wx:font wx:val=&quot;Cambria Math&quot;/&gt;&lt;w:i/&gt;&lt;w:sz-cs w:val=&quot;21&quot;/&gt;&lt;w:vertAlign w:val=&quot;subscript&quot;/&gt;&lt;/w:rPr&gt;&lt;m:t&gt;Sn&lt;/m:t&gt;&lt;/m:r&gt;&lt;/m:sub&gt;&lt;/m:sSub&gt;&lt;m:r&gt;&lt;m:rPr&gt;&lt;m:sty m:val=&quot;p&quot;/&gt;&lt;/m:rPr&gt;&lt;w:rPr&gt;&lt;w:rFonts w:ascii=&quot;Cambria Math&quot;/&gt;&lt;wx:font wx:val=&quot;Cambria Math&quot;/&gt;&lt;w:color w:val=&quot;333333&quot;/&gt;&lt;w:sz-cs w:val=&quot;21&quot;/&gt;&lt;w:shd w:val=&quot;clear&quot; w:color=&quot;auto&quot; w:fill=&quot;FFFFFF&quot;/&gt;&lt;/w:rPr&gt;&lt;m:t&gt;=&lt;/m:t&gt;&lt;/m:r&gt;&lt;m:f&gt;&lt;m:fPr&gt;&lt;m:ctrlPr&gt;&lt;w:rPr&gt;&lt;w:rFonts w:ascii=&quot;Cambria Math&quot; w:h-ansi=&quot;Cambria Math&quot;/&gt;&lt;wx:font wx:val=&quot;Cambria Math&quot;/&gt;&lt;w:color w:val=&quot;333333&quot;/&gt;&lt;w:sz-cs w:val=&quot;21&quot;/&gt;&lt;w:shd w:val=&quot;clear&quot; w:color=&quot;auto&quot; w:fill=&quot;FFFFFF&quot;/&gt;&lt;/w:rPr&gt;&lt;/m:ctrlPr&gt;&lt;/m:fPr&gt;&lt;m:num&gt;&lt;m:r&gt;&lt;w:rPr&gt;&lt;w:rFonts w:ascii=&quot;Cambria Math&quot; w:h-ansi=&quot;Cambria Math&quot;/&gt;&lt;wx:font wx:val=&quot;Cambria Math&quot;/&gt;&lt;w:i/&gt;&lt;w:color w:val=&quot;333333&quot;/&gt;&lt;w:sz-cs w:val=&quot;21&quot;/&gt;&lt;w:shd w:val=&quot;clear&quot; w:color=&quot;auto&quot; w:fill=&quot;FFFFFF&quot;/&gt;&lt;/w:rPr&gt;&lt;m:t&gt;c&lt;/m:t&gt;&lt;/m:r&gt;&lt;m:r&gt;&lt;m:rPr&gt;&lt;m:sty m:val=&quot;p&quot;/&gt;&lt;/m:rPr&gt;&lt;w:rPr&gt;&lt;w:color w:val=&quot;333333&quot;/&gt;&lt;w:sz-cs w:val=&quot;21&quot;/&gt;&lt;w:shd w:val=&quot;clear&quot; w:color=&quot;auto&quot; w:fill=&quot;FFFFFF&quot;/&gt;&lt;/w:rPr&gt;&lt;m:t&gt;∙&lt;/m:t&gt;&lt;/m:r&gt;&lt;m:d&gt;&lt;m:dPr&gt;&lt;m:ctrlPr&gt;&lt;w:rPr&gt;&lt;w:rFonts w:ascii=&quot;Cambria Math&quot; w:h-ansi=&quot;Cambria Math&quot;/&gt;&lt;wx:font wx:val=&quot;Cambria Math&quot;/&gt;&lt;w:color w:val=&quot;333333&quot;/&gt;&lt;w:sz-cs w:val=&quot;21&quot;/&gt;&lt;w:shd w:val=&quot;clear&quot; w:color=&quot;auto&quot; w:fill=&quot;FFFFFF&quot;/&gt;&lt;/w:rPr&gt;&lt;/m:ctrlPr&gt;&lt;/m:dPr&gt;&lt;m:e&gt;&lt;m:sSub&gt;&lt;m:sSubPr&gt;&lt;m:ctrlPr&gt;&lt;w:rPr&gt;&lt;w:rFonts w:ascii=&quot;Cambria Math&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gt;&lt;wx:font wx:val=&quot;Cambria Math&quot;/&gt;&lt;w:i/&gt;&lt;w:color w:val=&quot;333333&quot;/&gt;&lt;w:sz-cs w:val=&quot;21&quot;/&gt;&lt;w:shd w:val=&quot;clear&quot; w:color=&quot;auto&quot; w:fill=&quot;FFFFFF&quot;/&gt;&lt;/w:rPr&gt;&lt;m:t&gt;2&lt;/m:t&gt;&lt;/m:r&gt;&lt;/m:sub&gt;&lt;/m:sSub&gt;&lt;m:r&gt;&lt;m:rPr&gt;&lt;m:sty m:val=&quot;p&quot;/&gt;&lt;/m:rPr&gt;&lt;w:rPr&gt;&lt;w:color w:val=&quot;333333&quot;/&gt;&lt;w:sz-cs w:val=&quot;21&quot;/&gt;&lt;w:shd w:val=&quot;clear&quot; w:color=&quot;auto&quot; w:fill=&quot;FFFFFF&quot;/&gt;&lt;/w:rPr&gt;&lt;m:t&gt;-&lt;/m:t&gt;&lt;/m:r&gt;&lt;m:sSub&gt;&lt;m:sSubPr&gt;&lt;m:ctrlPr&gt;&lt;w:rPr&gt;&lt;w:rFonts w:ascii=&quot;Cambria Math&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gt;&lt;wx:font wx:val=&quot;Cambria Math&quot;/&gt;&lt;w:i/&gt;&lt;w:color w:val=&quot;333333&quot;/&gt;&lt;w:sz-cs w:val=&quot;21&quot;/&gt;&lt;w:shd w:val=&quot;clear&quot; w:color=&quot;auto&quot; w:fill=&quot;FFFFFF&quot;/&gt;&lt;/w:rPr&gt;&lt;m:t&gt;3&lt;/m:t&gt;&lt;/m:r&gt;&lt;/m:sub&gt;&lt;/m:sSub&gt;&lt;/m:e&gt;&lt;/m:d&gt;&lt;m:r&gt;&lt;m:rPr&gt;&lt;m:sty m:val=&quot;p&quot;/&gt;&lt;/m:rPr&gt;&lt;w:rPr&gt;&lt;w:rFonts w:ascii=&quot;Cambria Math&quot;/&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59.35&lt;/m:t&gt;&lt;/m:r&gt;&lt;m:r&gt;&lt;m:rPr&gt;&lt;m:sty m:val=&quot;p&quot;/&gt;&lt;/m:rPr&gt;&lt;w:rPr&gt;&lt;w:rFonts w:ascii=&quot;Cambria Math&quot;/&gt;&lt;w:color w:val=&quot;333333&quot;/&gt;&lt;w:sz-cs w:val=&quot;21&quot;/&gt;&lt;w:shd w:val=&quot;clear&quot; w:color=&quot;auto&quot; w:fill=&quot;FFFFFF&quot;/&gt;&lt;/w:rPr&gt;&lt;m:t&gt;×&lt;/m:t&gt;&lt;/m:r&gt;&lt;m:sSup&gt;&lt;m:sSupPr&gt;&lt;m:ctrlPr&gt;&lt;w:rPr&gt;&lt;w:rFonts w:ascii=&quot;Cambria Math&quot; w:h-ansi=&quot;Cambria Math&quot;/&gt;&lt;wx:font wx:val=&quot;Cambria Math&quot;/&gt;&lt;w:color w:val=&quot;333333&quot;/&gt;&lt;w:sz-cs w:val=&quot;21&quot;/&gt;&lt;w:shd w:val=&quot;clear&quot; w:color=&quot;auto&quot; w:fill=&quot;FFFFFF&quot;/&gt;&lt;/w:rPr&gt;&lt;/m:ctrlPr&gt;&lt;/m:sSupPr&gt;&lt;m:e&gt;&lt;m:r&gt;&lt;m:rPr&gt;&lt;m:sty m:val=&quot;p&quot;/&gt;&lt;/m:rPr&gt;&lt;w:rPr&gt;&lt;w:rFonts w:ascii=&quot;Cambria Math&quot;/&gt;&lt;wx:font wx:val=&quot;Cambria Math&quot;/&gt;&lt;w:color w:val=&quot;333333&quot;/&gt;&lt;w:sz-cs w:val=&quot;21&quot;/&gt;&lt;w:shd w:val=&quot;clear&quot; w:color=&quot;auto&quot; w:fill=&quot;FFFFFF&quot;/&gt;&lt;/w:rPr&gt;&lt;m:t&gt;10&lt;/m:t&gt;&lt;/m:r&gt;&lt;/m:e&gt;&lt;m:sup&gt;&lt;m:r&gt;&lt;m:rPr&gt;&lt;m:sty m:val=&quot;p&quot;/&gt;&lt;/m:rPr&gt;&lt;w:rPr&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3&lt;/m:t&gt;&lt;/m:r&gt;&lt;/m:sup&gt;&lt;/m:sSup&gt;&lt;/m:num&gt;&lt;m:den&gt;&lt;m:r&gt;&lt;w:rPr&gt;&lt;w:rFonts w:ascii=&quot;Cambria Math&quot; w:h-ansi=&quot;Cambria Math&quot;/&gt;&lt;wx:font wx:val=&quot;Cambria Math&quot;/&gt;&lt;w:i/&gt;&lt;w:color w:val=&quot;333333&quot;/&gt;&lt;w:sz-cs w:val=&quot;21&quot;/&gt;&lt;w:shd w:val=&quot;clear&quot; w:color=&quot;auto&quot; w:fill=&quot;FFFFFF&quot;/&gt;&lt;/w:rPr&gt;&lt;m:t&gt;m&lt;/m:t&gt;&lt;/m:r&gt;&lt;/m:den&gt;&lt;/m:f&gt;&lt;m:r&gt;&lt;m:rPr&gt;&lt;m:sty m:val=&quot;p&quot;/&gt;&lt;/m:rPr&gt;&lt;w:rPr&gt;&lt;w:rFonts w:ascii=&quot;Cambria Math&quot;/&gt;&lt;w:color w:val=&quot;333333&quot;/&gt;&lt;w:sz-cs w:val=&quot;21&quot;/&gt;&lt;w:shd w:val=&quot;clear&quot; w:color=&quot;auto&quot; w:fill=&quot;FFFFFF&quot;/&gt;&lt;/w:rPr&gt;&lt;m:t&gt;×&lt;/m:t&gt;&lt;/m:r&gt;&lt;m:r&gt;&lt;m:rPr&gt;&lt;m:sty m:val=&quot;p&quot;/&gt;&lt;/m:rPr&gt;&lt;w:rPr&gt;&lt;w:rFonts w:ascii=&quot;Cambria Math&quot;/&gt;&lt;wx:font wx:val=&quot;Cambria Math&quot;/&gt;&lt;w:color w:val=&quot;333333&quot;/&gt;&lt;w:sz-cs w:val=&quot;21&quot;/&gt;&lt;w:shd w:val=&quot;clear&quot; w:color=&quot;auto&quot; w:fill=&quot;FFFFFF&quot;/&gt;&lt;/w:rPr&gt;&lt;m:t&gt;100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15" chromakey="#FFFFFF" o:title=""/>
            <o:lock v:ext="edit" aspectratio="t"/>
            <w10:wrap type="none"/>
            <w10:anchorlock/>
          </v:shape>
        </w:pict>
      </w:r>
      <w:r>
        <w:rPr>
          <w:rFonts w:ascii="Times New Roman"/>
        </w:rPr>
        <w:instrText xml:space="preserve"> </w:instrText>
      </w:r>
      <w:r>
        <w:rPr>
          <w:rFonts w:ascii="Times New Roman"/>
        </w:rPr>
        <w:fldChar w:fldCharType="separate"/>
      </w:r>
      <w:r>
        <w:rPr>
          <w:rFonts w:ascii="Times New Roman"/>
        </w:rPr>
        <w:fldChar w:fldCharType="end"/>
      </w:r>
      <m:oMath>
        <m:sSub>
          <m:sSubPr>
            <m:ctrlPr>
              <w:rPr>
                <w:rFonts w:ascii="Cambria Math" w:hAnsi="Cambria Math" w:eastAsia="宋体"/>
                <w:sz w:val="28"/>
                <w:szCs w:val="21"/>
                <w:vertAlign w:val="subscript"/>
              </w:rPr>
            </m:ctrlPr>
          </m:sSubPr>
          <m:e>
            <m:r>
              <m:rPr/>
              <w:rPr>
                <w:rFonts w:ascii="Cambria Math" w:hAnsi="Cambria Math"/>
                <w:sz w:val="28"/>
                <w:szCs w:val="18"/>
              </w:rPr>
              <m:t>w</m:t>
            </m:r>
            <m:ctrlPr>
              <w:rPr>
                <w:rFonts w:ascii="Cambria Math" w:hAnsi="Cambria Math" w:eastAsia="宋体"/>
                <w:sz w:val="28"/>
                <w:szCs w:val="21"/>
                <w:vertAlign w:val="subscript"/>
              </w:rPr>
            </m:ctrlPr>
          </m:e>
          <m:sub>
            <m:r>
              <m:rPr/>
              <w:rPr>
                <w:rFonts w:ascii="Cambria Math" w:hAnsi="Cambria Math" w:eastAsia="宋体"/>
                <w:sz w:val="28"/>
                <w:szCs w:val="21"/>
                <w:vertAlign w:val="subscript"/>
              </w:rPr>
              <m:t>Sn</m:t>
            </m:r>
            <m:ctrlPr>
              <w:rPr>
                <w:rFonts w:ascii="Cambria Math" w:hAnsi="Cambria Math" w:eastAsia="宋体"/>
                <w:sz w:val="28"/>
                <w:szCs w:val="21"/>
                <w:vertAlign w:val="subscript"/>
              </w:rPr>
            </m:ctrlPr>
          </m:sub>
        </m:sSub>
        <m:r>
          <m:rPr>
            <m:sty m:val="p"/>
          </m:rPr>
          <w:rPr>
            <w:rFonts w:ascii="Cambria Math"/>
            <w:color w:val="333333"/>
            <w:sz w:val="28"/>
            <w:szCs w:val="21"/>
            <w:shd w:val="clear" w:color="auto" w:fill="FFFFFF"/>
          </w:rPr>
          <m:t>=</m:t>
        </m:r>
        <m:f>
          <m:fPr>
            <m:ctrlPr>
              <w:rPr>
                <w:rFonts w:hint="default" w:ascii="Cambria Math" w:hAnsi="Cambria Math" w:cs="Times New Roman"/>
                <w:color w:val="333333"/>
                <w:sz w:val="28"/>
                <w:szCs w:val="28"/>
                <w:shd w:val="clear" w:color="auto" w:fill="FFFFFF"/>
              </w:rPr>
            </m:ctrlPr>
          </m:fPr>
          <m:num>
            <m:r>
              <m:rPr/>
              <w:rPr>
                <w:rFonts w:hint="default" w:ascii="Cambria Math" w:hAnsi="Cambria Math" w:cs="Times New Roman"/>
                <w:color w:val="333333"/>
                <w:sz w:val="28"/>
                <w:szCs w:val="28"/>
                <w:shd w:val="clear" w:color="auto" w:fill="FFFFFF"/>
              </w:rPr>
              <m:t>c</m:t>
            </m:r>
            <m:r>
              <m:rPr>
                <m:sty m:val="p"/>
              </m:rPr>
              <w:rPr>
                <w:rFonts w:hint="default" w:ascii="Cambria Math" w:hAnsi="Cambria Math" w:cs="Times New Roman"/>
                <w:color w:val="333333"/>
                <w:sz w:val="28"/>
                <w:szCs w:val="28"/>
                <w:shd w:val="clear" w:color="auto" w:fill="FFFFFF"/>
              </w:rPr>
              <m:t>∙</m:t>
            </m:r>
            <m:d>
              <m:dPr>
                <m:ctrlPr>
                  <w:rPr>
                    <w:rFonts w:hint="default" w:ascii="Cambria Math" w:hAnsi="Cambria Math" w:cs="Times New Roman"/>
                    <w:color w:val="333333"/>
                    <w:sz w:val="28"/>
                    <w:szCs w:val="28"/>
                    <w:shd w:val="clear" w:color="auto" w:fill="FFFFFF"/>
                  </w:rPr>
                </m:ctrlPr>
              </m:dPr>
              <m:e>
                <m:sSub>
                  <m:sSubPr>
                    <m:ctrlPr>
                      <w:rPr>
                        <w:rFonts w:hint="default" w:ascii="Cambria Math" w:hAnsi="Cambria Math" w:cs="Times New Roman"/>
                        <w:i/>
                        <w:color w:val="333333"/>
                        <w:sz w:val="28"/>
                        <w:szCs w:val="28"/>
                        <w:shd w:val="clear" w:color="auto" w:fill="FFFFFF"/>
                      </w:rPr>
                    </m:ctrlPr>
                  </m:sSubPr>
                  <m:e>
                    <m:r>
                      <m:rPr/>
                      <w:rPr>
                        <w:rFonts w:hint="default" w:ascii="Cambria Math" w:hAnsi="Cambria Math" w:cs="Times New Roman"/>
                        <w:color w:val="333333"/>
                        <w:sz w:val="28"/>
                        <w:szCs w:val="28"/>
                        <w:shd w:val="clear" w:color="auto" w:fill="FFFFFF"/>
                      </w:rPr>
                      <m:t>V</m:t>
                    </m:r>
                    <m:ctrlPr>
                      <w:rPr>
                        <w:rFonts w:hint="default" w:ascii="Cambria Math" w:hAnsi="Cambria Math" w:cs="Times New Roman"/>
                        <w:i/>
                        <w:color w:val="333333"/>
                        <w:sz w:val="28"/>
                        <w:szCs w:val="28"/>
                        <w:shd w:val="clear" w:color="auto" w:fill="FFFFFF"/>
                      </w:rPr>
                    </m:ctrlPr>
                  </m:e>
                  <m:sub>
                    <m:r>
                      <m:rPr/>
                      <w:rPr>
                        <w:rFonts w:hint="default" w:ascii="Cambria Math" w:hAnsi="Cambria Math" w:cs="Times New Roman"/>
                        <w:color w:val="333333"/>
                        <w:sz w:val="28"/>
                        <w:szCs w:val="28"/>
                        <w:shd w:val="clear" w:color="auto" w:fill="FFFFFF"/>
                      </w:rPr>
                      <m:t>2</m:t>
                    </m:r>
                    <m:ctrlPr>
                      <w:rPr>
                        <w:rFonts w:hint="default" w:ascii="Cambria Math" w:hAnsi="Cambria Math" w:cs="Times New Roman"/>
                        <w:i/>
                        <w:color w:val="333333"/>
                        <w:sz w:val="28"/>
                        <w:szCs w:val="28"/>
                        <w:shd w:val="clear" w:color="auto" w:fill="FFFFFF"/>
                      </w:rPr>
                    </m:ctrlPr>
                  </m:sub>
                </m:sSub>
                <m:r>
                  <m:rPr>
                    <m:sty m:val="p"/>
                  </m:rPr>
                  <w:rPr>
                    <w:rFonts w:hint="default" w:ascii="Cambria Math" w:hAnsi="Cambria Math" w:cs="Times New Roman"/>
                    <w:color w:val="333333"/>
                    <w:sz w:val="28"/>
                    <w:szCs w:val="28"/>
                    <w:shd w:val="clear" w:color="auto" w:fill="FFFFFF"/>
                  </w:rPr>
                  <m:t>−</m:t>
                </m:r>
                <m:sSub>
                  <m:sSubPr>
                    <m:ctrlPr>
                      <w:rPr>
                        <w:rFonts w:hint="default" w:ascii="Cambria Math" w:hAnsi="Cambria Math" w:cs="Times New Roman"/>
                        <w:i/>
                        <w:color w:val="333333"/>
                        <w:sz w:val="28"/>
                        <w:szCs w:val="28"/>
                        <w:shd w:val="clear" w:color="auto" w:fill="FFFFFF"/>
                      </w:rPr>
                    </m:ctrlPr>
                  </m:sSubPr>
                  <m:e>
                    <m:r>
                      <m:rPr/>
                      <w:rPr>
                        <w:rFonts w:hint="default" w:ascii="Cambria Math" w:hAnsi="Cambria Math" w:cs="Times New Roman"/>
                        <w:color w:val="333333"/>
                        <w:sz w:val="28"/>
                        <w:szCs w:val="28"/>
                        <w:shd w:val="clear" w:color="auto" w:fill="FFFFFF"/>
                      </w:rPr>
                      <m:t>V</m:t>
                    </m:r>
                    <m:ctrlPr>
                      <w:rPr>
                        <w:rFonts w:hint="default" w:ascii="Cambria Math" w:hAnsi="Cambria Math" w:cs="Times New Roman"/>
                        <w:i/>
                        <w:color w:val="333333"/>
                        <w:sz w:val="28"/>
                        <w:szCs w:val="28"/>
                        <w:shd w:val="clear" w:color="auto" w:fill="FFFFFF"/>
                      </w:rPr>
                    </m:ctrlPr>
                  </m:e>
                  <m:sub>
                    <m:r>
                      <m:rPr/>
                      <w:rPr>
                        <w:rFonts w:hint="default" w:ascii="Cambria Math" w:hAnsi="Cambria Math" w:cs="Times New Roman"/>
                        <w:color w:val="333333"/>
                        <w:sz w:val="28"/>
                        <w:szCs w:val="28"/>
                        <w:shd w:val="clear" w:color="auto" w:fill="FFFFFF"/>
                      </w:rPr>
                      <m:t>3</m:t>
                    </m:r>
                    <m:ctrlPr>
                      <w:rPr>
                        <w:rFonts w:hint="default" w:ascii="Cambria Math" w:hAnsi="Cambria Math" w:cs="Times New Roman"/>
                        <w:i/>
                        <w:color w:val="333333"/>
                        <w:sz w:val="28"/>
                        <w:szCs w:val="28"/>
                        <w:shd w:val="clear" w:color="auto" w:fill="FFFFFF"/>
                      </w:rPr>
                    </m:ctrlPr>
                  </m:sub>
                </m:sSub>
                <m:ctrlPr>
                  <w:rPr>
                    <w:rFonts w:hint="default" w:ascii="Cambria Math" w:hAnsi="Cambria Math" w:cs="Times New Roman"/>
                    <w:i/>
                    <w:color w:val="333333"/>
                    <w:sz w:val="28"/>
                    <w:szCs w:val="28"/>
                    <w:shd w:val="clear" w:color="auto" w:fill="FFFFFF"/>
                  </w:rPr>
                </m:ctrlPr>
              </m:e>
            </m:d>
            <m:r>
              <m:rPr>
                <m:sty m:val="p"/>
              </m:rPr>
              <w:rPr>
                <w:rFonts w:hint="default" w:ascii="Cambria Math" w:hAnsi="Cambria Math" w:cs="Times New Roman"/>
                <w:color w:val="333333"/>
                <w:sz w:val="28"/>
                <w:szCs w:val="28"/>
                <w:shd w:val="clear" w:color="auto" w:fill="FFFFFF"/>
              </w:rPr>
              <m:t>×59.35×</m:t>
            </m:r>
            <m:sSup>
              <m:sSupPr>
                <m:ctrlPr>
                  <w:rPr>
                    <w:rFonts w:hint="default" w:ascii="Cambria Math" w:hAnsi="Cambria Math" w:cs="Times New Roman"/>
                    <w:color w:val="333333"/>
                    <w:sz w:val="28"/>
                    <w:szCs w:val="28"/>
                    <w:shd w:val="clear" w:color="auto" w:fill="FFFFFF"/>
                  </w:rPr>
                </m:ctrlPr>
              </m:sSupPr>
              <m:e>
                <m:r>
                  <m:rPr>
                    <m:sty m:val="p"/>
                  </m:rPr>
                  <w:rPr>
                    <w:rFonts w:hint="default" w:ascii="Cambria Math" w:hAnsi="Cambria Math" w:cs="Times New Roman"/>
                    <w:color w:val="333333"/>
                    <w:sz w:val="28"/>
                    <w:szCs w:val="28"/>
                    <w:shd w:val="clear" w:color="auto" w:fill="FFFFFF"/>
                  </w:rPr>
                  <m:t>10</m:t>
                </m:r>
                <m:ctrlPr>
                  <w:rPr>
                    <w:rFonts w:hint="default" w:ascii="Cambria Math" w:hAnsi="Cambria Math" w:cs="Times New Roman"/>
                    <w:i/>
                    <w:color w:val="333333"/>
                    <w:sz w:val="28"/>
                    <w:szCs w:val="28"/>
                    <w:shd w:val="clear" w:color="auto" w:fill="FFFFFF"/>
                  </w:rPr>
                </m:ctrlPr>
              </m:e>
              <m:sup>
                <m:r>
                  <m:rPr>
                    <m:sty m:val="p"/>
                  </m:rPr>
                  <w:rPr>
                    <w:rFonts w:hint="default" w:ascii="Cambria Math" w:hAnsi="Cambria Math" w:cs="Times New Roman"/>
                    <w:color w:val="333333"/>
                    <w:sz w:val="28"/>
                    <w:szCs w:val="28"/>
                    <w:shd w:val="clear" w:color="auto" w:fill="FFFFFF"/>
                  </w:rPr>
                  <m:t>−3</m:t>
                </m:r>
                <m:ctrlPr>
                  <w:rPr>
                    <w:rFonts w:hint="default" w:ascii="Cambria Math" w:hAnsi="Cambria Math" w:cs="Times New Roman"/>
                    <w:i/>
                    <w:color w:val="333333"/>
                    <w:sz w:val="28"/>
                    <w:szCs w:val="28"/>
                    <w:shd w:val="clear" w:color="auto" w:fill="FFFFFF"/>
                  </w:rPr>
                </m:ctrlPr>
              </m:sup>
            </m:sSup>
            <m:ctrlPr>
              <w:rPr>
                <w:rFonts w:hint="default" w:ascii="Cambria Math" w:hAnsi="Cambria Math" w:cs="Times New Roman"/>
                <w:color w:val="333333"/>
                <w:sz w:val="28"/>
                <w:szCs w:val="28"/>
                <w:shd w:val="clear" w:color="auto" w:fill="FFFFFF"/>
              </w:rPr>
            </m:ctrlPr>
          </m:num>
          <m:den>
            <m:r>
              <m:rPr/>
              <w:rPr>
                <w:rFonts w:hint="default" w:ascii="Cambria Math" w:hAnsi="Cambria Math" w:cs="Times New Roman"/>
                <w:color w:val="333333"/>
                <w:sz w:val="28"/>
                <w:szCs w:val="28"/>
                <w:shd w:val="clear" w:color="auto" w:fill="FFFFFF"/>
              </w:rPr>
              <m:t>m</m:t>
            </m:r>
            <m:ctrlPr>
              <w:rPr>
                <w:rFonts w:hint="default" w:ascii="Cambria Math" w:hAnsi="Cambria Math" w:cs="Times New Roman"/>
                <w:color w:val="333333"/>
                <w:sz w:val="28"/>
                <w:szCs w:val="28"/>
                <w:shd w:val="clear" w:color="auto" w:fill="FFFFFF"/>
              </w:rPr>
            </m:ctrlPr>
          </m:den>
        </m:f>
        <m:r>
          <m:rPr>
            <m:sty m:val="p"/>
          </m:rPr>
          <w:rPr>
            <w:rFonts w:hint="default" w:ascii="Cambria Math" w:hAnsi="Cambria Math" w:cs="Times New Roman"/>
            <w:color w:val="333333"/>
            <w:sz w:val="28"/>
            <w:szCs w:val="28"/>
            <w:shd w:val="clear" w:color="auto" w:fill="FFFFFF"/>
          </w:rPr>
          <m:t xml:space="preserve">×100 </m:t>
        </m:r>
      </m:oMath>
      <w:r>
        <w:rPr>
          <w:rFonts w:hint="eastAsia" w:hAnsi="Cambria Math" w:cs="Times New Roman"/>
          <w:b w:val="0"/>
          <w:i w:val="0"/>
          <w:color w:val="333333"/>
          <w:sz w:val="28"/>
          <w:szCs w:val="28"/>
          <w:shd w:val="clear" w:color="auto" w:fill="FFFFFF"/>
          <w:lang w:val="en-US" w:eastAsia="zh-CN"/>
        </w:rPr>
        <w:t xml:space="preserve"> </w:t>
      </w:r>
      <w:r>
        <w:rPr>
          <w:rFonts w:ascii="Times New Roman"/>
        </w:rPr>
        <w:t>.</w:t>
      </w:r>
      <w:r>
        <w:rPr>
          <w:rFonts w:ascii="Times New Roman"/>
        </w:rPr>
        <w:fldChar w:fldCharType="begin"/>
      </w:r>
      <w:r>
        <w:rPr>
          <w:rFonts w:ascii="Times New Roman"/>
        </w:rPr>
        <w:instrText xml:space="preserve"> QUOTE </w:instrText>
      </w:r>
      <w:r>
        <w:rPr>
          <w:rFonts w:ascii="Times New Roman"/>
          <w:position w:val="-23"/>
        </w:rPr>
        <w:pict>
          <v:shape id="_x0000_i1027" o:spt="75" type="#_x0000_t75" style="height:31.5pt;width:138.7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removePersonalInformation/&gt;&lt;w:doNotEmbedSystemFonts/&gt;&lt;w:stylePaneFormatFilter w:val=&quot;3F01&quot;/&gt;&lt;w:defaultTabStop w:val=&quot;420&quot;/&gt;&lt;w:drawingGridHorizontalSpacing w:val=&quot;105&quot;/&gt;&lt;w:drawingGridVerticalSpacing w:val=&quot;156&quot;/&gt;&lt;w:displayHorizontalDrawingGridEvery w:val=&quot;2&quot;/&gt;&lt;w:displayVerticalDrawingGridEvery w:val=&quot;2&quot;/&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5E1FBC&quot;/&gt;&lt;wsp:rsid wsp:val=&quot;00000244&quot;/&gt;&lt;wsp:rsid wsp:val=&quot;0000185F&quot;/&gt;&lt;wsp:rsid wsp:val=&quot;0000586F&quot;/&gt;&lt;wsp:rsid wsp:val=&quot;00013D86&quot;/&gt;&lt;wsp:rsid wsp:val=&quot;00013E02&quot;/&gt;&lt;wsp:rsid wsp:val=&quot;00015905&quot;/&gt;&lt;wsp:rsid wsp:val=&quot;0002143C&quot;/&gt;&lt;wsp:rsid wsp:val=&quot;000256A5&quot;/&gt;&lt;wsp:rsid wsp:val=&quot;00025A65&quot;/&gt;&lt;wsp:rsid wsp:val=&quot;00026C31&quot;/&gt;&lt;wsp:rsid wsp:val=&quot;00026E6E&quot;/&gt;&lt;wsp:rsid wsp:val=&quot;00027280&quot;/&gt;&lt;wsp:rsid wsp:val=&quot;000320A7&quot;/&gt;&lt;wsp:rsid wsp:val=&quot;00035925&quot;/&gt;&lt;wsp:rsid wsp:val=&quot;0004209B&quot;/&gt;&lt;wsp:rsid wsp:val=&quot;000464C3&quot;/&gt;&lt;wsp:rsid wsp:val=&quot;00051846&quot;/&gt;&lt;wsp:rsid wsp:val=&quot;00053014&quot;/&gt;&lt;wsp:rsid wsp:val=&quot;00057CBE&quot;/&gt;&lt;wsp:rsid wsp:val=&quot;0006069C&quot;/&gt;&lt;wsp:rsid wsp:val=&quot;000667E2&quot;/&gt;&lt;wsp:rsid wsp:val=&quot;00067CDF&quot;/&gt;&lt;wsp:rsid wsp:val=&quot;00074FBE&quot;/&gt;&lt;wsp:rsid wsp:val=&quot;00083A09&quot;/&gt;&lt;wsp:rsid wsp:val=&quot;0009005E&quot;/&gt;&lt;wsp:rsid wsp:val=&quot;00092857&quot;/&gt;&lt;wsp:rsid wsp:val=&quot;000A20A9&quot;/&gt;&lt;wsp:rsid wsp:val=&quot;000A48B1&quot;/&gt;&lt;wsp:rsid wsp:val=&quot;000A54ED&quot;/&gt;&lt;wsp:rsid wsp:val=&quot;000B08A1&quot;/&gt;&lt;wsp:rsid wsp:val=&quot;000B271D&quot;/&gt;&lt;wsp:rsid wsp:val=&quot;000B3143&quot;/&gt;&lt;wsp:rsid wsp:val=&quot;000C6B05&quot;/&gt;&lt;wsp:rsid wsp:val=&quot;000C6DD6&quot;/&gt;&lt;wsp:rsid wsp:val=&quot;000C71C5&quot;/&gt;&lt;wsp:rsid wsp:val=&quot;000C73D4&quot;/&gt;&lt;wsp:rsid wsp:val=&quot;000D18F7&quot;/&gt;&lt;wsp:rsid wsp:val=&quot;000D3D4C&quot;/&gt;&lt;wsp:rsid wsp:val=&quot;000D3F5F&quot;/&gt;&lt;wsp:rsid wsp:val=&quot;000D4F51&quot;/&gt;&lt;wsp:rsid wsp:val=&quot;000D718B&quot;/&gt;&lt;wsp:rsid wsp:val=&quot;000E0C46&quot;/&gt;&lt;wsp:rsid wsp:val=&quot;000E274A&quot;/&gt;&lt;wsp:rsid wsp:val=&quot;000F030C&quot;/&gt;&lt;wsp:rsid wsp:val=&quot;000F129C&quot;/&gt;&lt;wsp:rsid wsp:val=&quot;000F1CA2&quot;/&gt;&lt;wsp:rsid wsp:val=&quot;000F2D0B&quot;/&gt;&lt;wsp:rsid wsp:val=&quot;000F5DB8&quot;/&gt;&lt;wsp:rsid wsp:val=&quot;000F7E4D&quot;/&gt;&lt;wsp:rsid wsp:val=&quot;00104621&quot;/&gt;&lt;wsp:rsid wsp:val=&quot;001056DE&quot;/&gt;&lt;wsp:rsid wsp:val=&quot;001124C0&quot;/&gt;&lt;wsp:rsid wsp:val=&quot;00117570&quot;/&gt;&lt;wsp:rsid wsp:val=&quot;001178DD&quot;/&gt;&lt;wsp:rsid wsp:val=&quot;00123BA3&quot;/&gt;&lt;wsp:rsid wsp:val=&quot;00124304&quot;/&gt;&lt;wsp:rsid wsp:val=&quot;0013175F&quot;/&gt;&lt;wsp:rsid wsp:val=&quot;00140BA2&quot;/&gt;&lt;wsp:rsid wsp:val=&quot;001415A3&quot;/&gt;&lt;wsp:rsid wsp:val=&quot;001508D7&quot;/&gt;&lt;wsp:rsid wsp:val=&quot;001512B4&quot;/&gt;&lt;wsp:rsid wsp:val=&quot;001620A5&quot;/&gt;&lt;wsp:rsid wsp:val=&quot;00164E53&quot;/&gt;&lt;wsp:rsid wsp:val=&quot;0016699D&quot;/&gt;&lt;wsp:rsid wsp:val=&quot;00175159&quot;/&gt;&lt;wsp:rsid wsp:val=&quot;00176208&quot;/&gt;&lt;wsp:rsid wsp:val=&quot;0018211B&quot;/&gt;&lt;wsp:rsid wsp:val=&quot;001840D3&quot;/&gt;&lt;wsp:rsid wsp:val=&quot;00187B7C&quot;/&gt;&lt;wsp:rsid wsp:val=&quot;001900F8&quot;/&gt;&lt;wsp:rsid wsp:val=&quot;00190D81&quot;/&gt;&lt;wsp:rsid wsp:val=&quot;00191258&quot;/&gt;&lt;wsp:rsid wsp:val=&quot;00192680&quot;/&gt;&lt;wsp:rsid wsp:val=&quot;00193037&quot;/&gt;&lt;wsp:rsid wsp:val=&quot;00193A2C&quot;/&gt;&lt;wsp:rsid wsp:val=&quot;00197592&quot;/&gt;&lt;wsp:rsid wsp:val=&quot;001A288E&quot;/&gt;&lt;wsp:rsid wsp:val=&quot;001A4936&quot;/&gt;&lt;wsp:rsid wsp:val=&quot;001A528D&quot;/&gt;&lt;wsp:rsid wsp:val=&quot;001B6DC2&quot;/&gt;&lt;wsp:rsid wsp:val=&quot;001B6FD9&quot;/&gt;&lt;wsp:rsid wsp:val=&quot;001C149C&quot;/&gt;&lt;wsp:rsid wsp:val=&quot;001C21AC&quot;/&gt;&lt;wsp:rsid wsp:val=&quot;001C2C55&quot;/&gt;&lt;wsp:rsid wsp:val=&quot;001C47BA&quot;/&gt;&lt;wsp:rsid wsp:val=&quot;001C59EA&quot;/&gt;&lt;wsp:rsid wsp:val=&quot;001D0968&quot;/&gt;&lt;wsp:rsid wsp:val=&quot;001D2D89&quot;/&gt;&lt;wsp:rsid wsp:val=&quot;001D406C&quot;/&gt;&lt;wsp:rsid wsp:val=&quot;001D41EE&quot;/&gt;&lt;wsp:rsid wsp:val=&quot;001E0380&quot;/&gt;&lt;wsp:rsid wsp:val=&quot;001E13B1&quot;/&gt;&lt;wsp:rsid wsp:val=&quot;001F3A19&quot;/&gt;&lt;wsp:rsid wsp:val=&quot;001F4432&quot;/&gt;&lt;wsp:rsid wsp:val=&quot;001F5746&quot;/&gt;&lt;wsp:rsid wsp:val=&quot;00200DA5&quot;/&gt;&lt;wsp:rsid wsp:val=&quot;002050BB&quot;/&gt;&lt;wsp:rsid wsp:val=&quot;00206723&quot;/&gt;&lt;wsp:rsid wsp:val=&quot;00215362&quot;/&gt;&lt;wsp:rsid wsp:val=&quot;002203B1&quot;/&gt;&lt;wsp:rsid wsp:val=&quot;0022555C&quot;/&gt;&lt;wsp:rsid wsp:val=&quot;00234467&quot;/&gt;&lt;wsp:rsid wsp:val=&quot;00237D8D&quot;/&gt;&lt;wsp:rsid wsp:val=&quot;00241DA2&quot;/&gt;&lt;wsp:rsid wsp:val=&quot;0024380E&quot;/&gt;&lt;wsp:rsid wsp:val=&quot;00247FEE&quot;/&gt;&lt;wsp:rsid wsp:val=&quot;00250E7D&quot;/&gt;&lt;wsp:rsid wsp:val=&quot;0025481A&quot;/&gt;&lt;wsp:rsid wsp:val=&quot;00255C98&quot;/&gt;&lt;wsp:rsid wsp:val=&quot;002565D5&quot;/&gt;&lt;wsp:rsid wsp:val=&quot;00260A1E&quot;/&gt;&lt;wsp:rsid wsp:val=&quot;002622C0&quot;/&gt;&lt;wsp:rsid wsp:val=&quot;002725D9&quot;/&gt;&lt;wsp:rsid wsp:val=&quot;002778AE&quot;/&gt;&lt;wsp:rsid wsp:val=&quot;0028269A&quot;/&gt;&lt;wsp:rsid wsp:val=&quot;002834D8&quot;/&gt;&lt;wsp:rsid wsp:val=&quot;00283590&quot;/&gt;&lt;wsp:rsid wsp:val=&quot;00284880&quot;/&gt;&lt;wsp:rsid wsp:val=&quot;002868DA&quot;/&gt;&lt;wsp:rsid wsp:val=&quot;00286973&quot;/&gt;&lt;wsp:rsid wsp:val=&quot;00286CFE&quot;/&gt;&lt;wsp:rsid wsp:val=&quot;00294E70&quot;/&gt;&lt;wsp:rsid wsp:val=&quot;002975F9&quot;/&gt;&lt;wsp:rsid wsp:val=&quot;002A1924&quot;/&gt;&lt;wsp:rsid wsp:val=&quot;002A1A40&quot;/&gt;&lt;wsp:rsid wsp:val=&quot;002A7420&quot;/&gt;&lt;wsp:rsid wsp:val=&quot;002B0F12&quot;/&gt;&lt;wsp:rsid wsp:val=&quot;002B1308&quot;/&gt;&lt;wsp:rsid wsp:val=&quot;002B4554&quot;/&gt;&lt;wsp:rsid wsp:val=&quot;002C2287&quot;/&gt;&lt;wsp:rsid wsp:val=&quot;002C3C9C&quot;/&gt;&lt;wsp:rsid wsp:val=&quot;002C42D0&quot;/&gt;&lt;wsp:rsid wsp:val=&quot;002C6793&quot;/&gt;&lt;wsp:rsid wsp:val=&quot;002C72D8&quot;/&gt;&lt;wsp:rsid wsp:val=&quot;002C7BF1&quot;/&gt;&lt;wsp:rsid wsp:val=&quot;002D11FA&quot;/&gt;&lt;wsp:rsid wsp:val=&quot;002D500E&quot;/&gt;&lt;wsp:rsid wsp:val=&quot;002E0646&quot;/&gt;&lt;wsp:rsid wsp:val=&quot;002E0DDF&quot;/&gt;&lt;wsp:rsid wsp:val=&quot;002E2906&quot;/&gt;&lt;wsp:rsid wsp:val=&quot;002E5635&quot;/&gt;&lt;wsp:rsid wsp:val=&quot;002E64C3&quot;/&gt;&lt;wsp:rsid wsp:val=&quot;002E6A2C&quot;/&gt;&lt;wsp:rsid wsp:val=&quot;002F08BC&quot;/&gt;&lt;wsp:rsid wsp:val=&quot;002F1D8C&quot;/&gt;&lt;wsp:rsid wsp:val=&quot;002F21DA&quot;/&gt;&lt;wsp:rsid wsp:val=&quot;00301F39&quot;/&gt;&lt;wsp:rsid wsp:val=&quot;003056B9&quot;/&gt;&lt;wsp:rsid wsp:val=&quot;0031534C&quot;/&gt;&lt;wsp:rsid wsp:val=&quot;00321ADB&quot;/&gt;&lt;wsp:rsid wsp:val=&quot;00322365&quot;/&gt;&lt;wsp:rsid wsp:val=&quot;00323A3D&quot;/&gt;&lt;wsp:rsid wsp:val=&quot;00324801&quot;/&gt;&lt;wsp:rsid wsp:val=&quot;00325926&quot;/&gt;&lt;wsp:rsid wsp:val=&quot;00325C94&quot;/&gt;&lt;wsp:rsid wsp:val=&quot;00327A8A&quot;/&gt;&lt;wsp:rsid wsp:val=&quot;00336610&quot;/&gt;&lt;wsp:rsid wsp:val=&quot;003374A7&quot;/&gt;&lt;wsp:rsid wsp:val=&quot;00343F73&quot;/&gt;&lt;wsp:rsid wsp:val=&quot;00344E18&quot;/&gt;&lt;wsp:rsid wsp:val=&quot;00345060&quot;/&gt;&lt;wsp:rsid wsp:val=&quot;0035323B&quot;/&gt;&lt;wsp:rsid wsp:val=&quot;003561BE&quot;/&gt;&lt;wsp:rsid wsp:val=&quot;003609D2&quot;/&gt;&lt;wsp:rsid wsp:val=&quot;00361E51&quot;/&gt;&lt;wsp:rsid wsp:val=&quot;0036291A&quot;/&gt;&lt;wsp:rsid wsp:val=&quot;0036304C&quot;/&gt;&lt;wsp:rsid wsp:val=&quot;00363F22&quot;/&gt;&lt;wsp:rsid wsp:val=&quot;0037139B&quot;/&gt;&lt;wsp:rsid wsp:val=&quot;00373218&quot;/&gt;&lt;wsp:rsid wsp:val=&quot;00375564&quot;/&gt;&lt;wsp:rsid wsp:val=&quot;003756F1&quot;/&gt;&lt;wsp:rsid wsp:val=&quot;00383191&quot;/&gt;&lt;wsp:rsid wsp:val=&quot;00385B23&quot;/&gt;&lt;wsp:rsid wsp:val=&quot;00386DED&quot;/&gt;&lt;wsp:rsid wsp:val=&quot;003912E7&quot;/&gt;&lt;wsp:rsid wsp:val=&quot;00393947&quot;/&gt;&lt;wsp:rsid wsp:val=&quot;003A2275&quot;/&gt;&lt;wsp:rsid wsp:val=&quot;003A3FEC&quot;/&gt;&lt;wsp:rsid wsp:val=&quot;003A62E8&quot;/&gt;&lt;wsp:rsid wsp:val=&quot;003A6A4F&quot;/&gt;&lt;wsp:rsid wsp:val=&quot;003A7088&quot;/&gt;&lt;wsp:rsid wsp:val=&quot;003B00DF&quot;/&gt;&lt;wsp:rsid wsp:val=&quot;003B1275&quot;/&gt;&lt;wsp:rsid wsp:val=&quot;003B1778&quot;/&gt;&lt;wsp:rsid wsp:val=&quot;003B5B1A&quot;/&gt;&lt;wsp:rsid wsp:val=&quot;003C0D19&quot;/&gt;&lt;wsp:rsid wsp:val=&quot;003C11CB&quot;/&gt;&lt;wsp:rsid wsp:val=&quot;003C1260&quot;/&gt;&lt;wsp:rsid wsp:val=&quot;003C1AC9&quot;/&gt;&lt;wsp:rsid wsp:val=&quot;003C51BD&quot;/&gt;&lt;wsp:rsid wsp:val=&quot;003C6AC6&quot;/&gt;&lt;wsp:rsid wsp:val=&quot;003C75F3&quot;/&gt;&lt;wsp:rsid wsp:val=&quot;003C78A3&quot;/&gt;&lt;wsp:rsid wsp:val=&quot;003C7A20&quot;/&gt;&lt;wsp:rsid wsp:val=&quot;003C7E96&quot;/&gt;&lt;wsp:rsid wsp:val=&quot;003D0252&quot;/&gt;&lt;wsp:rsid wsp:val=&quot;003D1346&quot;/&gt;&lt;wsp:rsid wsp:val=&quot;003D397A&quot;/&gt;&lt;wsp:rsid wsp:val=&quot;003E09A7&quot;/&gt;&lt;wsp:rsid wsp:val=&quot;003E1867&quot;/&gt;&lt;wsp:rsid wsp:val=&quot;003E5729&quot;/&gt;&lt;wsp:rsid wsp:val=&quot;003F4EE0&quot;/&gt;&lt;wsp:rsid wsp:val=&quot;00402153&quot;/&gt;&lt;wsp:rsid wsp:val=&quot;00402FC1&quot;/&gt;&lt;wsp:rsid wsp:val=&quot;00425082&quot;/&gt;&lt;wsp:rsid wsp:val=&quot;004262ED&quot;/&gt;&lt;wsp:rsid wsp:val=&quot;00427D5B&quot;/&gt;&lt;wsp:rsid wsp:val=&quot;00431DEB&quot;/&gt;&lt;wsp:rsid wsp:val=&quot;0043543F&quot;/&gt;&lt;wsp:rsid wsp:val=&quot;00445AD4&quot;/&gt;&lt;wsp:rsid wsp:val=&quot;00446582&quot;/&gt;&lt;wsp:rsid wsp:val=&quot;00446B29&quot;/&gt;&lt;wsp:rsid wsp:val=&quot;0045016A&quot;/&gt;&lt;wsp:rsid wsp:val=&quot;00453F9A&quot;/&gt;&lt;wsp:rsid wsp:val=&quot;00462894&quot;/&gt;&lt;wsp:rsid wsp:val=&quot;00465417&quot;/&gt;&lt;wsp:rsid wsp:val=&quot;00470723&quot;/&gt;&lt;wsp:rsid wsp:val=&quot;00471E91&quot;/&gt;&lt;wsp:rsid wsp:val=&quot;0047442B&quot;/&gt;&lt;wsp:rsid wsp:val=&quot;00474675&quot;/&gt;&lt;wsp:rsid wsp:val=&quot;0047470C&quot;/&gt;&lt;wsp:rsid wsp:val=&quot;00475898&quot;/&gt;&lt;wsp:rsid wsp:val=&quot;004826D7&quot;/&gt;&lt;wsp:rsid wsp:val=&quot;004A35F9&quot;/&gt;&lt;wsp:rsid wsp:val=&quot;004A4EA0&quot;/&gt;&lt;wsp:rsid wsp:val=&quot;004B24C1&quot;/&gt;&lt;wsp:rsid wsp:val=&quot;004B40C8&quot;/&gt;&lt;wsp:rsid wsp:val=&quot;004C292F&quot;/&gt;&lt;wsp:rsid wsp:val=&quot;004C43C9&quot;/&gt;&lt;wsp:rsid wsp:val=&quot;004C7DEF&quot;/&gt;&lt;wsp:rsid wsp:val=&quot;004E2485&quot;/&gt;&lt;wsp:rsid wsp:val=&quot;004E4FD8&quot;/&gt;&lt;wsp:rsid wsp:val=&quot;004E65EE&quot;/&gt;&lt;wsp:rsid wsp:val=&quot;004E7CE5&quot;/&gt;&lt;wsp:rsid wsp:val=&quot;004F50FC&quot;/&gt;&lt;wsp:rsid wsp:val=&quot;004F5293&quot;/&gt;&lt;wsp:rsid wsp:val=&quot;00510280&quot;/&gt;&lt;wsp:rsid wsp:val=&quot;00513D73&quot;/&gt;&lt;wsp:rsid wsp:val=&quot;00514A43&quot;/&gt;&lt;wsp:rsid wsp:val=&quot;005160AA&quot;/&gt;&lt;wsp:rsid wsp:val=&quot;00516DBD&quot;/&gt;&lt;wsp:rsid wsp:val=&quot;005174E5&quot;/&gt;&lt;wsp:rsid wsp:val=&quot;00522393&quot;/&gt;&lt;wsp:rsid wsp:val=&quot;00522620&quot;/&gt;&lt;wsp:rsid wsp:val=&quot;005242F0&quot;/&gt;&lt;wsp:rsid wsp:val=&quot;00525656&quot;/&gt;&lt;wsp:rsid wsp:val=&quot;00534C02&quot;/&gt;&lt;wsp:rsid wsp:val=&quot;0054264B&quot;/&gt;&lt;wsp:rsid wsp:val=&quot;00543786&quot;/&gt;&lt;wsp:rsid wsp:val=&quot;005533D7&quot;/&gt;&lt;wsp:rsid wsp:val=&quot;00555AEF&quot;/&gt;&lt;wsp:rsid wsp:val=&quot;005572A1&quot;/&gt;&lt;wsp:rsid wsp:val=&quot;005703DE&quot;/&gt;&lt;wsp:rsid wsp:val=&quot;005769D9&quot;/&gt;&lt;wsp:rsid wsp:val=&quot;0058170D&quot;/&gt;&lt;wsp:rsid wsp:val=&quot;0058464E&quot;/&gt;&lt;wsp:rsid wsp:val=&quot;005908FF&quot;/&gt;&lt;wsp:rsid wsp:val=&quot;005A0196&quot;/&gt;&lt;wsp:rsid wsp:val=&quot;005A01CB&quot;/&gt;&lt;wsp:rsid wsp:val=&quot;005A585E&quot;/&gt;&lt;wsp:rsid wsp:val=&quot;005A58FF&quot;/&gt;&lt;wsp:rsid wsp:val=&quot;005A5EAF&quot;/&gt;&lt;wsp:rsid wsp:val=&quot;005A64C0&quot;/&gt;&lt;wsp:rsid wsp:val=&quot;005B2F5D&quot;/&gt;&lt;wsp:rsid wsp:val=&quot;005B3C11&quot;/&gt;&lt;wsp:rsid wsp:val=&quot;005B7C71&quot;/&gt;&lt;wsp:rsid wsp:val=&quot;005C0BA5&quot;/&gt;&lt;wsp:rsid wsp:val=&quot;005C1C28&quot;/&gt;&lt;wsp:rsid wsp:val=&quot;005C6DB5&quot;/&gt;&lt;wsp:rsid wsp:val=&quot;005D2A66&quot;/&gt;&lt;wsp:rsid wsp:val=&quot;005D2FB2&quot;/&gt;&lt;wsp:rsid wsp:val=&quot;005E19E7&quot;/&gt;&lt;wsp:rsid wsp:val=&quot;005E1FBC&quot;/&gt;&lt;wsp:rsid wsp:val=&quot;005E389D&quot;/&gt;&lt;wsp:rsid wsp:val=&quot;005F216E&quot;/&gt;&lt;wsp:rsid wsp:val=&quot;005F4F87&quot;/&gt;&lt;wsp:rsid wsp:val=&quot;006149A3&quot;/&gt;&lt;wsp:rsid wsp:val=&quot;0061716C&quot;/&gt;&lt;wsp:rsid wsp:val=&quot;00617D54&quot;/&gt;&lt;wsp:rsid wsp:val=&quot;0062285F&quot;/&gt;&lt;wsp:rsid wsp:val=&quot;006243A1&quot;/&gt;&lt;wsp:rsid wsp:val=&quot;00632E56&quot;/&gt;&lt;wsp:rsid wsp:val=&quot;00635CBA&quot;/&gt;&lt;wsp:rsid wsp:val=&quot;00636C15&quot;/&gt;&lt;wsp:rsid wsp:val=&quot;0064338B&quot;/&gt;&lt;wsp:rsid wsp:val=&quot;00646542&quot;/&gt;&lt;wsp:rsid wsp:val=&quot;006504F4&quot;/&gt;&lt;wsp:rsid wsp:val=&quot;00654BC9&quot;/&gt;&lt;wsp:rsid wsp:val=&quot;006552FD&quot;/&gt;&lt;wsp:rsid wsp:val=&quot;006610EE&quot;/&gt;&lt;wsp:rsid wsp:val=&quot;00662922&quot;/&gt;&lt;wsp:rsid wsp:val=&quot;00663AF3&quot;/&gt;&lt;wsp:rsid wsp:val=&quot;006669B4&quot;/&gt;&lt;wsp:rsid wsp:val=&quot;00666B6C&quot;/&gt;&lt;wsp:rsid wsp:val=&quot;00682682&quot;/&gt;&lt;wsp:rsid wsp:val=&quot;00682702&quot;/&gt;&lt;wsp:rsid wsp:val=&quot;0069165C&quot;/&gt;&lt;wsp:rsid wsp:val=&quot;00692368&quot;/&gt;&lt;wsp:rsid wsp:val=&quot;006A2AE2&quot;/&gt;&lt;wsp:rsid wsp:val=&quot;006A2EBC&quot;/&gt;&lt;wsp:rsid wsp:val=&quot;006A5EA0&quot;/&gt;&lt;wsp:rsid wsp:val=&quot;006A783B&quot;/&gt;&lt;wsp:rsid wsp:val=&quot;006A7B33&quot;/&gt;&lt;wsp:rsid wsp:val=&quot;006B4E13&quot;/&gt;&lt;wsp:rsid wsp:val=&quot;006B75DD&quot;/&gt;&lt;wsp:rsid wsp:val=&quot;006C67E0&quot;/&gt;&lt;wsp:rsid wsp:val=&quot;006C7ABA&quot;/&gt;&lt;wsp:rsid wsp:val=&quot;006C7F14&quot;/&gt;&lt;wsp:rsid wsp:val=&quot;006D0D60&quot;/&gt;&lt;wsp:rsid wsp:val=&quot;006D1122&quot;/&gt;&lt;wsp:rsid wsp:val=&quot;006D3C00&quot;/&gt;&lt;wsp:rsid wsp:val=&quot;006D4559&quot;/&gt;&lt;wsp:rsid wsp:val=&quot;006D55B8&quot;/&gt;&lt;wsp:rsid wsp:val=&quot;006D6A5B&quot;/&gt;&lt;wsp:rsid wsp:val=&quot;006E3675&quot;/&gt;&lt;wsp:rsid wsp:val=&quot;006E4A7F&quot;/&gt;&lt;wsp:rsid wsp:val=&quot;006F5096&quot;/&gt;&lt;wsp:rsid wsp:val=&quot;006F788C&quot;/&gt;&lt;wsp:rsid wsp:val=&quot;00702040&quot;/&gt;&lt;wsp:rsid wsp:val=&quot;00704DF6&quot;/&gt;&lt;wsp:rsid wsp:val=&quot;00705A7C&quot;/&gt;&lt;wsp:rsid wsp:val=&quot;0070651C&quot;/&gt;&lt;wsp:rsid wsp:val=&quot;007104A0&quot;/&gt;&lt;wsp:rsid wsp:val=&quot;0071170E&quot;/&gt;&lt;wsp:rsid wsp:val=&quot;007132A3&quot;/&gt;&lt;wsp:rsid wsp:val=&quot;00716421&quot;/&gt;&lt;wsp:rsid wsp:val=&quot;007244A8&quot;/&gt;&lt;wsp:rsid wsp:val=&quot;00724EFB&quot;/&gt;&lt;wsp:rsid wsp:val=&quot;00733A4F&quot;/&gt;&lt;wsp:rsid wsp:val=&quot;00737DA1&quot;/&gt;&lt;wsp:rsid wsp:val=&quot;007419C3&quot;/&gt;&lt;wsp:rsid wsp:val=&quot;00745A20&quot;/&gt;&lt;wsp:rsid wsp:val=&quot;007467A7&quot;/&gt;&lt;wsp:rsid wsp:val=&quot;007469DD&quot;/&gt;&lt;wsp:rsid wsp:val=&quot;0074741B&quot;/&gt;&lt;wsp:rsid wsp:val=&quot;0074759E&quot;/&gt;&lt;wsp:rsid wsp:val=&quot;007478EA&quot;/&gt;&lt;wsp:rsid wsp:val=&quot;0075415C&quot;/&gt;&lt;wsp:rsid wsp:val=&quot;00757883&quot;/&gt;&lt;wsp:rsid wsp:val=&quot;00762A07&quot;/&gt;&lt;wsp:rsid wsp:val=&quot;00763502&quot;/&gt;&lt;wsp:rsid wsp:val=&quot;00772062&quot;/&gt;&lt;wsp:rsid wsp:val=&quot;007809A5&quot;/&gt;&lt;wsp:rsid wsp:val=&quot;0078108C&quot;/&gt;&lt;wsp:rsid wsp:val=&quot;007913AB&quot;/&gt;&lt;wsp:rsid wsp:val=&quot;007914F7&quot;/&gt;&lt;wsp:rsid wsp:val=&quot;00797CC9&quot;/&gt;&lt;wsp:rsid wsp:val=&quot;007B1625&quot;/&gt;&lt;wsp:rsid wsp:val=&quot;007B706E&quot;/&gt;&lt;wsp:rsid wsp:val=&quot;007B71EB&quot;/&gt;&lt;wsp:rsid wsp:val=&quot;007C6205&quot;/&gt;&lt;wsp:rsid wsp:val=&quot;007C686A&quot;/&gt;&lt;wsp:rsid wsp:val=&quot;007C728E&quot;/&gt;&lt;wsp:rsid wsp:val=&quot;007D2C53&quot;/&gt;&lt;wsp:rsid wsp:val=&quot;007D3D60&quot;/&gt;&lt;wsp:rsid wsp:val=&quot;007D6E1D&quot;/&gt;&lt;wsp:rsid wsp:val=&quot;007D7854&quot;/&gt;&lt;wsp:rsid wsp:val=&quot;007D7D8E&quot;/&gt;&lt;wsp:rsid wsp:val=&quot;007E1980&quot;/&gt;&lt;wsp:rsid wsp:val=&quot;007E4B76&quot;/&gt;&lt;wsp:rsid wsp:val=&quot;007E5EA8&quot;/&gt;&lt;wsp:rsid wsp:val=&quot;007F0CF1&quot;/&gt;&lt;wsp:rsid wsp:val=&quot;007F12A5&quot;/&gt;&lt;wsp:rsid wsp:val=&quot;007F2657&quot;/&gt;&lt;wsp:rsid wsp:val=&quot;007F4CF1&quot;/&gt;&lt;wsp:rsid wsp:val=&quot;007F758D&quot;/&gt;&lt;wsp:rsid wsp:val=&quot;007F7D52&quot;/&gt;&lt;wsp:rsid wsp:val=&quot;0080654C&quot;/&gt;&lt;wsp:rsid wsp:val=&quot;008071C6&quot;/&gt;&lt;wsp:rsid wsp:val=&quot;00817A00&quot;/&gt;&lt;wsp:rsid wsp:val=&quot;008209AE&quot;/&gt;&lt;wsp:rsid wsp:val=&quot;00835DB3&quot;/&gt;&lt;wsp:rsid wsp:val=&quot;0083617B&quot;/&gt;&lt;wsp:rsid wsp:val=&quot;008371BD&quot;/&gt;&lt;wsp:rsid wsp:val=&quot;00847924&quot;/&gt;&lt;wsp:rsid wsp:val=&quot;008504A8&quot;/&gt;&lt;wsp:rsid wsp:val=&quot;0085282E&quot;/&gt;&lt;wsp:rsid wsp:val=&quot;0087198C&quot;/&gt;&lt;wsp:rsid wsp:val=&quot;00872C1F&quot;/&gt;&lt;wsp:rsid wsp:val=&quot;00873B42&quot;/&gt;&lt;wsp:rsid wsp:val=&quot;00874A74&quot;/&gt;&lt;wsp:rsid wsp:val=&quot;0088074A&quot;/&gt;&lt;wsp:rsid wsp:val=&quot;008856D8&quot;/&gt;&lt;wsp:rsid wsp:val=&quot;0088681B&quot;/&gt;&lt;wsp:rsid wsp:val=&quot;00886DE6&quot;/&gt;&lt;wsp:rsid wsp:val=&quot;00892E82&quot;/&gt;&lt;wsp:rsid wsp:val=&quot;008A02F1&quot;/&gt;&lt;wsp:rsid wsp:val=&quot;008A4054&quot;/&gt;&lt;wsp:rsid wsp:val=&quot;008A41A6&quot;/&gt;&lt;wsp:rsid wsp:val=&quot;008C1B58&quot;/&gt;&lt;wsp:rsid wsp:val=&quot;008C39AE&quot;/&gt;&lt;wsp:rsid wsp:val=&quot;008C590D&quot;/&gt;&lt;wsp:rsid wsp:val=&quot;008C5C43&quot;/&gt;&lt;wsp:rsid wsp:val=&quot;008D2F09&quot;/&gt;&lt;wsp:rsid wsp:val=&quot;008D45FC&quot;/&gt;&lt;wsp:rsid wsp:val=&quot;008D66B3&quot;/&gt;&lt;wsp:rsid wsp:val=&quot;008E031B&quot;/&gt;&lt;wsp:rsid wsp:val=&quot;008E7029&quot;/&gt;&lt;wsp:rsid wsp:val=&quot;008E7EF6&quot;/&gt;&lt;wsp:rsid wsp:val=&quot;008F14DA&quot;/&gt;&lt;wsp:rsid wsp:val=&quot;008F1F98&quot;/&gt;&lt;wsp:rsid wsp:val=&quot;008F6758&quot;/&gt;&lt;wsp:rsid wsp:val=&quot;008F6AD0&quot;/&gt;&lt;wsp:rsid wsp:val=&quot;008F7161&quot;/&gt;&lt;wsp:rsid wsp:val=&quot;008F7F68&quot;/&gt;&lt;wsp:rsid wsp:val=&quot;009040DD&quot;/&gt;&lt;wsp:rsid wsp:val=&quot;00905B47&quot;/&gt;&lt;wsp:rsid wsp:val=&quot;0091331C&quot;/&gt;&lt;wsp:rsid wsp:val=&quot;00916B1C&quot;/&gt;&lt;wsp:rsid wsp:val=&quot;009247BE&quot;/&gt;&lt;wsp:rsid wsp:val=&quot;009279DE&quot;/&gt;&lt;wsp:rsid wsp:val=&quot;00930116&quot;/&gt;&lt;wsp:rsid wsp:val=&quot;0094212C&quot;/&gt;&lt;wsp:rsid wsp:val=&quot;00945362&quot;/&gt;&lt;wsp:rsid wsp:val=&quot;00945F6A&quot;/&gt;&lt;wsp:rsid wsp:val=&quot;0095250B&quot;/&gt;&lt;wsp:rsid wsp:val=&quot;00954689&quot;/&gt;&lt;wsp:rsid wsp:val=&quot;009617C9&quot;/&gt;&lt;wsp:rsid wsp:val=&quot;00961AEC&quot;/&gt;&lt;wsp:rsid wsp:val=&quot;00961C93&quot;/&gt;&lt;wsp:rsid wsp:val=&quot;00965324&quot;/&gt;&lt;wsp:rsid wsp:val=&quot;0097091E&quot;/&gt;&lt;wsp:rsid wsp:val=&quot;00975165&quot;/&gt;&lt;wsp:rsid wsp:val=&quot;009760D3&quot;/&gt;&lt;wsp:rsid wsp:val=&quot;00977132&quot;/&gt;&lt;wsp:rsid wsp:val=&quot;0097735B&quot;/&gt;&lt;wsp:rsid wsp:val=&quot;00981A4B&quot;/&gt;&lt;wsp:rsid wsp:val=&quot;00982501&quot;/&gt;&lt;wsp:rsid wsp:val=&quot;00983829&quot;/&gt;&lt;wsp:rsid wsp:val=&quot;00984A80&quot;/&gt;&lt;wsp:rsid wsp:val=&quot;00985C4E&quot;/&gt;&lt;wsp:rsid wsp:val=&quot;009877D3&quot;/&gt;&lt;wsp:rsid wsp:val=&quot;0099288E&quot;/&gt;&lt;wsp:rsid wsp:val=&quot;00994E8F&quot;/&gt;&lt;wsp:rsid wsp:val=&quot;009951DC&quot;/&gt;&lt;wsp:rsid wsp:val=&quot;009959BB&quot;/&gt;&lt;wsp:rsid wsp:val=&quot;00997158&quot;/&gt;&lt;wsp:rsid wsp:val=&quot;009A080E&quot;/&gt;&lt;wsp:rsid wsp:val=&quot;009A1E77&quot;/&gt;&lt;wsp:rsid wsp:val=&quot;009A3A7C&quot;/&gt;&lt;wsp:rsid wsp:val=&quot;009A6A75&quot;/&gt;&lt;wsp:rsid wsp:val=&quot;009A7665&quot;/&gt;&lt;wsp:rsid wsp:val=&quot;009B2ADB&quot;/&gt;&lt;wsp:rsid wsp:val=&quot;009B603A&quot;/&gt;&lt;wsp:rsid wsp:val=&quot;009B7665&quot;/&gt;&lt;wsp:rsid wsp:val=&quot;009B7BE6&quot;/&gt;&lt;wsp:rsid wsp:val=&quot;009C021C&quot;/&gt;&lt;wsp:rsid wsp:val=&quot;009C08A3&quot;/&gt;&lt;wsp:rsid wsp:val=&quot;009C2D0E&quot;/&gt;&lt;wsp:rsid wsp:val=&quot;009C3DAC&quot;/&gt;&lt;wsp:rsid wsp:val=&quot;009C42E0&quot;/&gt;&lt;wsp:rsid wsp:val=&quot;009D5362&quot;/&gt;&lt;wsp:rsid wsp:val=&quot;009E1415&quot;/&gt;&lt;wsp:rsid wsp:val=&quot;009E6116&quot;/&gt;&lt;wsp:rsid wsp:val=&quot;009F1E53&quot;/&gt;&lt;wsp:rsid wsp:val=&quot;009F3F41&quot;/&gt;&lt;wsp:rsid wsp:val=&quot;009F65FA&quot;/&gt;&lt;wsp:rsid wsp:val=&quot;009F6F8D&quot;/&gt;&lt;wsp:rsid wsp:val=&quot;00A02E43&quot;/&gt;&lt;wsp:rsid wsp:val=&quot;00A0414C&quot;/&gt;&lt;wsp:rsid wsp:val=&quot;00A0447A&quot;/&gt;&lt;wsp:rsid wsp:val=&quot;00A065F9&quot;/&gt;&lt;wsp:rsid wsp:val=&quot;00A07F34&quot;/&gt;&lt;wsp:rsid wsp:val=&quot;00A2083C&quot;/&gt;&lt;wsp:rsid wsp:val=&quot;00A22154&quot;/&gt;&lt;wsp:rsid wsp:val=&quot;00A25C38&quot;/&gt;&lt;wsp:rsid wsp:val=&quot;00A26E30&quot;/&gt;&lt;wsp:rsid wsp:val=&quot;00A36429&quot;/&gt;&lt;wsp:rsid wsp:val=&quot;00A36BBE&quot;/&gt;&lt;wsp:rsid wsp:val=&quot;00A4307A&quot;/&gt;&lt;wsp:rsid wsp:val=&quot;00A47EBB&quot;/&gt;&lt;wsp:rsid wsp:val=&quot;00A51CDD&quot;/&gt;&lt;wsp:rsid wsp:val=&quot;00A55BD4&quot;/&gt;&lt;wsp:rsid wsp:val=&quot;00A56CD5&quot;/&gt;&lt;wsp:rsid wsp:val=&quot;00A6730D&quot;/&gt;&lt;wsp:rsid wsp:val=&quot;00A71625&quot;/&gt;&lt;wsp:rsid wsp:val=&quot;00A71B9B&quot;/&gt;&lt;wsp:rsid wsp:val=&quot;00A751C7&quot;/&gt;&lt;wsp:rsid wsp:val=&quot;00A82921&quot;/&gt;&lt;wsp:rsid wsp:val=&quot;00A8448F&quot;/&gt;&lt;wsp:rsid wsp:val=&quot;00A851E0&quot;/&gt;&lt;wsp:rsid wsp:val=&quot;00A87844&quot;/&gt;&lt;wsp:rsid wsp:val=&quot;00A87C61&quot;/&gt;&lt;wsp:rsid wsp:val=&quot;00A9386B&quot;/&gt;&lt;wsp:rsid wsp:val=&quot;00A953C3&quot;/&gt;&lt;wsp:rsid wsp:val=&quot;00AA038C&quot;/&gt;&lt;wsp:rsid wsp:val=&quot;00AA28A5&quot;/&gt;&lt;wsp:rsid wsp:val=&quot;00AA34C5&quot;/&gt;&lt;wsp:rsid wsp:val=&quot;00AA6914&quot;/&gt;&lt;wsp:rsid wsp:val=&quot;00AA7A09&quot;/&gt;&lt;wsp:rsid wsp:val=&quot;00AB13F9&quot;/&gt;&lt;wsp:rsid wsp:val=&quot;00AB3B50&quot;/&gt;&lt;wsp:rsid wsp:val=&quot;00AB6B1F&quot;/&gt;&lt;wsp:rsid wsp:val=&quot;00AC05B1&quot;/&gt;&lt;wsp:rsid wsp:val=&quot;00AC200D&quot;/&gt;&lt;wsp:rsid wsp:val=&quot;00AC265A&quot;/&gt;&lt;wsp:rsid wsp:val=&quot;00AC5F65&quot;/&gt;&lt;wsp:rsid wsp:val=&quot;00AD0A8C&quot;/&gt;&lt;wsp:rsid wsp:val=&quot;00AD356C&quot;/&gt;&lt;wsp:rsid wsp:val=&quot;00AE1FD6&quot;/&gt;&lt;wsp:rsid wsp:val=&quot;00AE2914&quot;/&gt;&lt;wsp:rsid wsp:val=&quot;00AE6D15&quot;/&gt;&lt;wsp:rsid wsp:val=&quot;00AF42C0&quot;/&gt;&lt;wsp:rsid wsp:val=&quot;00AF54D4&quot;/&gt;&lt;wsp:rsid wsp:val=&quot;00B04182&quot;/&gt;&lt;wsp:rsid wsp:val=&quot;00B057BA&quot;/&gt;&lt;wsp:rsid wsp:val=&quot;00B07AE3&quot;/&gt;&lt;wsp:rsid wsp:val=&quot;00B1043C&quot;/&gt;&lt;wsp:rsid wsp:val=&quot;00B11430&quot;/&gt;&lt;wsp:rsid wsp:val=&quot;00B21005&quot;/&gt;&lt;wsp:rsid wsp:val=&quot;00B23A1D&quot;/&gt;&lt;wsp:rsid wsp:val=&quot;00B26CF8&quot;/&gt;&lt;wsp:rsid wsp:val=&quot;00B26DED&quot;/&gt;&lt;wsp:rsid wsp:val=&quot;00B353EB&quot;/&gt;&lt;wsp:rsid wsp:val=&quot;00B3656A&quot;/&gt;&lt;wsp:rsid wsp:val=&quot;00B439C4&quot;/&gt;&lt;wsp:rsid wsp:val=&quot;00B4535E&quot;/&gt;&lt;wsp:rsid wsp:val=&quot;00B52A8C&quot;/&gt;&lt;wsp:rsid wsp:val=&quot;00B636A8&quot;/&gt;&lt;wsp:rsid wsp:val=&quot;00B6495D&quot;/&gt;&lt;wsp:rsid wsp:val=&quot;00B665C6&quot;/&gt;&lt;wsp:rsid wsp:val=&quot;00B66CD2&quot;/&gt;&lt;wsp:rsid wsp:val=&quot;00B70AE8&quot;/&gt;&lt;wsp:rsid wsp:val=&quot;00B766BC&quot;/&gt;&lt;wsp:rsid wsp:val=&quot;00B805AF&quot;/&gt;&lt;wsp:rsid wsp:val=&quot;00B82555&quot;/&gt;&lt;wsp:rsid wsp:val=&quot;00B82E84&quot;/&gt;&lt;wsp:rsid wsp:val=&quot;00B869EC&quot;/&gt;&lt;wsp:rsid wsp:val=&quot;00B9397A&quot;/&gt;&lt;wsp:rsid wsp:val=&quot;00B959AD&quot;/&gt;&lt;wsp:rsid wsp:val=&quot;00B9633D&quot;/&gt;&lt;wsp:rsid wsp:val=&quot;00BA1D46&quot;/&gt;&lt;wsp:rsid wsp:val=&quot;00BA2EBE&quot;/&gt;&lt;wsp:rsid wsp:val=&quot;00BA6499&quot;/&gt;&lt;wsp:rsid wsp:val=&quot;00BB0F28&quot;/&gt;&lt;wsp:rsid wsp:val=&quot;00BB458A&quot;/&gt;&lt;wsp:rsid wsp:val=&quot;00BC2F82&quot;/&gt;&lt;wsp:rsid wsp:val=&quot;00BD00D3&quot;/&gt;&lt;wsp:rsid wsp:val=&quot;00BD1659&quot;/&gt;&lt;wsp:rsid wsp:val=&quot;00BD3AA9&quot;/&gt;&lt;wsp:rsid wsp:val=&quot;00BD44FC&quot;/&gt;&lt;wsp:rsid wsp:val=&quot;00BD4A18&quot;/&gt;&lt;wsp:rsid wsp:val=&quot;00BD58B6&quot;/&gt;&lt;wsp:rsid wsp:val=&quot;00BD6DB2&quot;/&gt;&lt;wsp:rsid wsp:val=&quot;00BE11CF&quot;/&gt;&lt;wsp:rsid wsp:val=&quot;00BE21AB&quot;/&gt;&lt;wsp:rsid wsp:val=&quot;00BE55CB&quot;/&gt;&lt;wsp:rsid wsp:val=&quot;00BF07D7&quot;/&gt;&lt;wsp:rsid wsp:val=&quot;00BF26B0&quot;/&gt;&lt;wsp:rsid wsp:val=&quot;00BF3840&quot;/&gt;&lt;wsp:rsid wsp:val=&quot;00BF617A&quot;/&gt;&lt;wsp:rsid wsp:val=&quot;00C0379D&quot;/&gt;&lt;wsp:rsid wsp:val=&quot;00C03931&quot;/&gt;&lt;wsp:rsid wsp:val=&quot;00C05D6F&quot;/&gt;&lt;wsp:rsid wsp:val=&quot;00C05FE3&quot;/&gt;&lt;wsp:rsid wsp:val=&quot;00C1292E&quot;/&gt;&lt;wsp:rsid wsp:val=&quot;00C16537&quot;/&gt;&lt;wsp:rsid wsp:val=&quot;00C16C0C&quot;/&gt;&lt;wsp:rsid wsp:val=&quot;00C2136D&quot;/&gt;&lt;wsp:rsid wsp:val=&quot;00C214EE&quot;/&gt;&lt;wsp:rsid wsp:val=&quot;00C2314B&quot;/&gt;&lt;wsp:rsid wsp:val=&quot;00C23EEB&quot;/&gt;&lt;wsp:rsid wsp:val=&quot;00C24971&quot;/&gt;&lt;wsp:rsid wsp:val=&quot;00C26BE5&quot;/&gt;&lt;wsp:rsid wsp:val=&quot;00C26E4D&quot;/&gt;&lt;wsp:rsid wsp:val=&quot;00C27909&quot;/&gt;&lt;wsp:rsid wsp:val=&quot;00C27B03&quot;/&gt;&lt;wsp:rsid wsp:val=&quot;00C314E1&quot;/&gt;&lt;wsp:rsid wsp:val=&quot;00C3340E&quot;/&gt;&lt;wsp:rsid wsp:val=&quot;00C34397&quot;/&gt;&lt;wsp:rsid wsp:val=&quot;00C4095D&quot;/&gt;&lt;wsp:rsid wsp:val=&quot;00C41A14&quot;/&gt;&lt;wsp:rsid wsp:val=&quot;00C5579A&quot;/&gt;&lt;wsp:rsid wsp:val=&quot;00C601D2&quot;/&gt;&lt;wsp:rsid wsp:val=&quot;00C63FB9&quot;/&gt;&lt;wsp:rsid wsp:val=&quot;00C657AB&quot;/&gt;&lt;wsp:rsid wsp:val=&quot;00C65BCC&quot;/&gt;&lt;wsp:rsid wsp:val=&quot;00C66970&quot;/&gt;&lt;wsp:rsid wsp:val=&quot;00C67D84&quot;/&gt;&lt;wsp:rsid wsp:val=&quot;00C70066&quot;/&gt;&lt;wsp:rsid wsp:val=&quot;00C7500D&quot;/&gt;&lt;wsp:rsid wsp:val=&quot;00C83C9D&quot;/&gt;&lt;wsp:rsid wsp:val=&quot;00C8691C&quot;/&gt;&lt;wsp:rsid wsp:val=&quot;00CA168A&quot;/&gt;&lt;wsp:rsid wsp:val=&quot;00CA1A84&quot;/&gt;&lt;wsp:rsid wsp:val=&quot;00CA357E&quot;/&gt;&lt;wsp:rsid wsp:val=&quot;00CA44F9&quot;/&gt;&lt;wsp:rsid wsp:val=&quot;00CA46BA&quot;/&gt;&lt;wsp:rsid wsp:val=&quot;00CA4A69&quot;/&gt;&lt;wsp:rsid wsp:val=&quot;00CA54D8&quot;/&gt;&lt;wsp:rsid wsp:val=&quot;00CB1560&quot;/&gt;&lt;wsp:rsid wsp:val=&quot;00CC1F35&quot;/&gt;&lt;wsp:rsid wsp:val=&quot;00CC3E0C&quot;/&gt;&lt;wsp:rsid wsp:val=&quot;00CC58D3&quot;/&gt;&lt;wsp:rsid wsp:val=&quot;00CC784D&quot;/&gt;&lt;wsp:rsid wsp:val=&quot;00CD75B2&quot;/&gt;&lt;wsp:rsid wsp:val=&quot;00CE6840&quot;/&gt;&lt;wsp:rsid wsp:val=&quot;00CF6AFF&quot;/&gt;&lt;wsp:rsid wsp:val=&quot;00D0337B&quot;/&gt;&lt;wsp:rsid wsp:val=&quot;00D0398E&quot;/&gt;&lt;wsp:rsid wsp:val=&quot;00D079B2&quot;/&gt;&lt;wsp:rsid wsp:val=&quot;00D114E9&quot;/&gt;&lt;wsp:rsid wsp:val=&quot;00D23324&quot;/&gt;&lt;wsp:rsid wsp:val=&quot;00D25E02&quot;/&gt;&lt;wsp:rsid wsp:val=&quot;00D32DA1&quot;/&gt;&lt;wsp:rsid wsp:val=&quot;00D34E83&quot;/&gt;&lt;wsp:rsid wsp:val=&quot;00D367A4&quot;/&gt;&lt;wsp:rsid wsp:val=&quot;00D42098&quot;/&gt;&lt;wsp:rsid wsp:val=&quot;00D429C6&quot;/&gt;&lt;wsp:rsid wsp:val=&quot;00D4687F&quot;/&gt;&lt;wsp:rsid wsp:val=&quot;00D47748&quot;/&gt;&lt;wsp:rsid wsp:val=&quot;00D510F9&quot;/&gt;&lt;wsp:rsid wsp:val=&quot;00D54CC3&quot;/&gt;&lt;wsp:rsid wsp:val=&quot;00D573A8&quot;/&gt;&lt;wsp:rsid wsp:val=&quot;00D6041A&quot;/&gt;&lt;wsp:rsid wsp:val=&quot;00D633EB&quot;/&gt;&lt;wsp:rsid wsp:val=&quot;00D82FF7&quot;/&gt;&lt;wsp:rsid wsp:val=&quot;00D847FE&quot;/&gt;&lt;wsp:rsid wsp:val=&quot;00D84874&quot;/&gt;&lt;wsp:rsid wsp:val=&quot;00D87774&quot;/&gt;&lt;wsp:rsid wsp:val=&quot;00D9191F&quot;/&gt;&lt;wsp:rsid wsp:val=&quot;00D964EA&quot;/&gt;&lt;wsp:rsid wsp:val=&quot;00D966D0&quot;/&gt;&lt;wsp:rsid wsp:val=&quot;00DA0C59&quot;/&gt;&lt;wsp:rsid wsp:val=&quot;00DA3991&quot;/&gt;&lt;wsp:rsid wsp:val=&quot;00DA3C33&quot;/&gt;&lt;wsp:rsid wsp:val=&quot;00DA4BE6&quot;/&gt;&lt;wsp:rsid wsp:val=&quot;00DB529C&quot;/&gt;&lt;wsp:rsid wsp:val=&quot;00DB58C9&quot;/&gt;&lt;wsp:rsid wsp:val=&quot;00DB5DBC&quot;/&gt;&lt;wsp:rsid wsp:val=&quot;00DB6EC3&quot;/&gt;&lt;wsp:rsid wsp:val=&quot;00DB76EE&quot;/&gt;&lt;wsp:rsid wsp:val=&quot;00DB7E6C&quot;/&gt;&lt;wsp:rsid wsp:val=&quot;00DC01AE&quot;/&gt;&lt;wsp:rsid wsp:val=&quot;00DC2258&quot;/&gt;&lt;wsp:rsid wsp:val=&quot;00DD5A29&quot;/&gt;&lt;wsp:rsid wsp:val=&quot;00DD5D9D&quot;/&gt;&lt;wsp:rsid wsp:val=&quot;00DE0C2B&quot;/&gt;&lt;wsp:rsid wsp:val=&quot;00DE27B3&quot;/&gt;&lt;wsp:rsid wsp:val=&quot;00DE35CB&quot;/&gt;&lt;wsp:rsid wsp:val=&quot;00DE7D5A&quot;/&gt;&lt;wsp:rsid wsp:val=&quot;00DF10FE&quot;/&gt;&lt;wsp:rsid wsp:val=&quot;00DF21E9&quot;/&gt;&lt;wsp:rsid wsp:val=&quot;00DF2910&quot;/&gt;&lt;wsp:rsid wsp:val=&quot;00E00F14&quot;/&gt;&lt;wsp:rsid wsp:val=&quot;00E018AF&quot;/&gt;&lt;wsp:rsid wsp:val=&quot;00E02F75&quot;/&gt;&lt;wsp:rsid wsp:val=&quot;00E06386&quot;/&gt;&lt;wsp:rsid wsp:val=&quot;00E12F40&quot;/&gt;&lt;wsp:rsid wsp:val=&quot;00E24EB4&quot;/&gt;&lt;wsp:rsid wsp:val=&quot;00E273A7&quot;/&gt;&lt;wsp:rsid wsp:val=&quot;00E320ED&quot;/&gt;&lt;wsp:rsid wsp:val=&quot;00E3290F&quot;/&gt;&lt;wsp:rsid wsp:val=&quot;00E33AFB&quot;/&gt;&lt;wsp:rsid wsp:val=&quot;00E34218&quot;/&gt;&lt;wsp:rsid wsp:val=&quot;00E3695E&quot;/&gt;&lt;wsp:rsid wsp:val=&quot;00E42910&quot;/&gt;&lt;wsp:rsid wsp:val=&quot;00E46282&quot;/&gt;&lt;wsp:rsid wsp:val=&quot;00E47474&quot;/&gt;&lt;wsp:rsid wsp:val=&quot;00E5216E&quot;/&gt;&lt;wsp:rsid wsp:val=&quot;00E61191&quot;/&gt;&lt;wsp:rsid wsp:val=&quot;00E64AE3&quot;/&gt;&lt;wsp:rsid wsp:val=&quot;00E77B98&quot;/&gt;&lt;wsp:rsid wsp:val=&quot;00E82344&quot;/&gt;&lt;wsp:rsid wsp:val=&quot;00E84C82&quot;/&gt;&lt;wsp:rsid wsp:val=&quot;00E84D64&quot;/&gt;&lt;wsp:rsid wsp:val=&quot;00E87408&quot;/&gt;&lt;wsp:rsid wsp:val=&quot;00E914C4&quot;/&gt;&lt;wsp:rsid wsp:val=&quot;00E934F5&quot;/&gt;&lt;wsp:rsid wsp:val=&quot;00E96961&quot;/&gt;&lt;wsp:rsid wsp:val=&quot;00EA6C72&quot;/&gt;&lt;wsp:rsid wsp:val=&quot;00EA72EC&quot;/&gt;&lt;wsp:rsid wsp:val=&quot;00EA7BC8&quot;/&gt;&lt;wsp:rsid wsp:val=&quot;00EB0ECE&quot;/&gt;&lt;wsp:rsid wsp:val=&quot;00EB11CB&quot;/&gt;&lt;wsp:rsid wsp:val=&quot;00EB275A&quot;/&gt;&lt;wsp:rsid wsp:val=&quot;00EB786A&quot;/&gt;&lt;wsp:rsid wsp:val=&quot;00EC1578&quot;/&gt;&lt;wsp:rsid wsp:val=&quot;00EC1C72&quot;/&gt;&lt;wsp:rsid wsp:val=&quot;00EC3CC9&quot;/&gt;&lt;wsp:rsid wsp:val=&quot;00EC680A&quot;/&gt;&lt;wsp:rsid wsp:val=&quot;00ED053A&quot;/&gt;&lt;wsp:rsid wsp:val=&quot;00EE2BED&quot;/&gt;&lt;wsp:rsid wsp:val=&quot;00EE374B&quot;/&gt;&lt;wsp:rsid wsp:val=&quot;00EF74CE&quot;/&gt;&lt;wsp:rsid wsp:val=&quot;00F11BB5&quot;/&gt;&lt;wsp:rsid wsp:val=&quot;00F133E3&quot;/&gt;&lt;wsp:rsid wsp:val=&quot;00F1417B&quot;/&gt;&lt;wsp:rsid wsp:val=&quot;00F31847&quot;/&gt;&lt;wsp:rsid wsp:val=&quot;00F34B99&quot;/&gt;&lt;wsp:rsid wsp:val=&quot;00F433A9&quot;/&gt;&lt;wsp:rsid wsp:val=&quot;00F43F53&quot;/&gt;&lt;wsp:rsid wsp:val=&quot;00F519B8&quot;/&gt;&lt;wsp:rsid wsp:val=&quot;00F52361&quot;/&gt;&lt;wsp:rsid wsp:val=&quot;00F52DAB&quot;/&gt;&lt;wsp:rsid wsp:val=&quot;00F53389&quot;/&gt;&lt;wsp:rsid wsp:val=&quot;00F543F0&quot;/&gt;&lt;wsp:rsid wsp:val=&quot;00F559DC&quot;/&gt;&lt;wsp:rsid wsp:val=&quot;00F56D92&quot;/&gt;&lt;wsp:rsid wsp:val=&quot;00F76E81&quot;/&gt;&lt;wsp:rsid wsp:val=&quot;00F81D29&quot;/&gt;&lt;wsp:rsid wsp:val=&quot;00F91C4D&quot;/&gt;&lt;wsp:rsid wsp:val=&quot;00F92FD9&quot;/&gt;&lt;wsp:rsid wsp:val=&quot;00FA379A&quot;/&gt;&lt;wsp:rsid wsp:val=&quot;00FA6684&quot;/&gt;&lt;wsp:rsid wsp:val=&quot;00FA731E&quot;/&gt;&lt;wsp:rsid wsp:val=&quot;00FB2B38&quot;/&gt;&lt;wsp:rsid wsp:val=&quot;00FC6358&quot;/&gt;&lt;wsp:rsid wsp:val=&quot;00FD320D&quot;/&gt;&lt;wsp:rsid wsp:val=&quot;00FD327A&quot;/&gt;&lt;wsp:rsid wsp:val=&quot;00FE1291&quot;/&gt;&lt;wsp:rsid wsp:val=&quot;00FE23DE&quot;/&gt;&lt;wsp:rsid wsp:val=&quot;00FE3FBA&quot;/&gt;&lt;wsp:rsid wsp:val=&quot;00FE4B8F&quot;/&gt;&lt;wsp:rsid wsp:val=&quot;00FE56EF&quot;/&gt;&lt;wsp:rsid wsp:val=&quot;00FF47F3&quot;/&gt;&lt;wsp:rsid wsp:val=&quot;022D7B86&quot;/&gt;&lt;wsp:rsid wsp:val=&quot;03B34AE7&quot;/&gt;&lt;wsp:rsid wsp:val=&quot;0804369C&quot;/&gt;&lt;wsp:rsid wsp:val=&quot;0BAC5486&quot;/&gt;&lt;wsp:rsid wsp:val=&quot;0C4B469E&quot;/&gt;&lt;wsp:rsid wsp:val=&quot;0F8942BC&quot;/&gt;&lt;wsp:rsid wsp:val=&quot;102B2EE1&quot;/&gt;&lt;wsp:rsid wsp:val=&quot;110802F6&quot;/&gt;&lt;wsp:rsid wsp:val=&quot;120E0503&quot;/&gt;&lt;wsp:rsid wsp:val=&quot;12E9462C&quot;/&gt;&lt;wsp:rsid wsp:val=&quot;155B2EA2&quot;/&gt;&lt;wsp:rsid wsp:val=&quot;168944F3&quot;/&gt;&lt;wsp:rsid wsp:val=&quot;216725DE&quot;/&gt;&lt;wsp:rsid wsp:val=&quot;21C37641&quot;/&gt;&lt;wsp:rsid wsp:val=&quot;22783AE7&quot;/&gt;&lt;wsp:rsid wsp:val=&quot;23BA735E&quot;/&gt;&lt;wsp:rsid wsp:val=&quot;287670E7&quot;/&gt;&lt;wsp:rsid wsp:val=&quot;291174B7&quot;/&gt;&lt;wsp:rsid wsp:val=&quot;298A408F&quot;/&gt;&lt;wsp:rsid wsp:val=&quot;29B60F67&quot;/&gt;&lt;wsp:rsid wsp:val=&quot;29C05D95&quot;/&gt;&lt;wsp:rsid wsp:val=&quot;2A2261E6&quot;/&gt;&lt;wsp:rsid wsp:val=&quot;2E72119C&quot;/&gt;&lt;wsp:rsid wsp:val=&quot;2ED10E1D&quot;/&gt;&lt;wsp:rsid wsp:val=&quot;2FAF15A7&quot;/&gt;&lt;wsp:rsid wsp:val=&quot;2FCC0814&quot;/&gt;&lt;wsp:rsid wsp:val=&quot;3061410E&quot;/&gt;&lt;wsp:rsid wsp:val=&quot;33595834&quot;/&gt;&lt;wsp:rsid wsp:val=&quot;33FE2D95&quot;/&gt;&lt;wsp:rsid wsp:val=&quot;36A45FB9&quot;/&gt;&lt;wsp:rsid wsp:val=&quot;373F7C64&quot;/&gt;&lt;wsp:rsid wsp:val=&quot;3FA32812&quot;/&gt;&lt;wsp:rsid wsp:val=&quot;413D433E&quot;/&gt;&lt;wsp:rsid wsp:val=&quot;415F1B8A&quot;/&gt;&lt;wsp:rsid wsp:val=&quot;43B2066C&quot;/&gt;&lt;wsp:rsid wsp:val=&quot;46791764&quot;/&gt;&lt;wsp:rsid wsp:val=&quot;4AF413DF&quot;/&gt;&lt;wsp:rsid wsp:val=&quot;4F1D22E9&quot;/&gt;&lt;wsp:rsid wsp:val=&quot;57DF2922&quot;/&gt;&lt;wsp:rsid wsp:val=&quot;592B2AD9&quot;/&gt;&lt;wsp:rsid wsp:val=&quot;595A6602&quot;/&gt;&lt;wsp:rsid wsp:val=&quot;5D541CD4&quot;/&gt;&lt;wsp:rsid wsp:val=&quot;5EDE1B81&quot;/&gt;&lt;wsp:rsid wsp:val=&quot;5F323CDA&quot;/&gt;&lt;wsp:rsid wsp:val=&quot;616A6C8B&quot;/&gt;&lt;wsp:rsid wsp:val=&quot;62992827&quot;/&gt;&lt;wsp:rsid wsp:val=&quot;6E1161BE&quot;/&gt;&lt;wsp:rsid wsp:val=&quot;6F147191&quot;/&gt;&lt;wsp:rsid wsp:val=&quot;6FEF5396&quot;/&gt;&lt;wsp:rsid wsp:val=&quot;71B0641E&quot;/&gt;&lt;wsp:rsid wsp:val=&quot;74EA089B&quot;/&gt;&lt;wsp:rsid wsp:val=&quot;76E32EA6&quot;/&gt;&lt;wsp:rsid wsp:val=&quot;78B83CC8&quot;/&gt;&lt;wsp:rsid wsp:val=&quot;78CE346D&quot;/&gt;&lt;wsp:rsid wsp:val=&quot;7DA829AA&quot;/&gt;&lt;/wsp:rsids&gt;&lt;/w:docPr&gt;&lt;w:body&gt;&lt;wx:sect&gt;&lt;w:p wsp:rsidR=&quot;00000000&quot; wsp:rsidRDefault=&quot;00737DA1&quot; wsp:rsidP=&quot;00737DA1&quot;&gt;&lt;m:oMathPara&gt;&lt;m:oMath&gt;&lt;m:sSub&gt;&lt;m:sSubPr&gt;&lt;m:ctrlPr&gt;&lt;w:rPr&gt;&lt;w:rFonts w:ascii=&quot;Cambria Math&quot; w:fareast=&quot;等线&quot; w:h-ansi=&quot;Cambria Math&quot;/&gt;&lt;wx:font wx:val=&quot;Cambria Math&quot;/&gt;&lt;w:sz-cs w:val=&quot;21&quot;/&gt;&lt;w:vertAlign w:val=&quot;subscript&quot;/&gt;&lt;/w:rPr&gt;&lt;/m:ctrlPr&gt;&lt;/m:sSubPr&gt;&lt;m:e&gt;&lt;m:r&gt;&lt;w:rPr&gt;&lt;w:rFonts w:ascii=&quot;Cambria Math&quot; w:fareast=&quot;等线&quot; w:h-ansi=&quot;Cambria Math&quot;/&gt;&lt;wx:font wx:val=&quot;Cambria Math&quot;/&gt;&lt;w:i/&gt;&lt;/w:rPr&gt;&lt;w:sym w:font=&quot;Symbol&quot; w:char=&quot;F077&quot;/&gt;&lt;/m:r&gt;&lt;/m:e&gt;&lt;m:sub&gt;&lt;m:r&gt;&lt;w:rPr&gt;&lt;w:rFonts w:ascii=&quot;Cambria Math&quot; w:fareast=&quot;等线&quot; w:h-ansi=&quot;Cambria Math&quot;/&gt;&lt;wx:font wx:val=&quot;Cambria Math&quot;/&gt;&lt;w:i/&gt;&lt;w:sz-cs w:val=&quot;21&quot;/&gt;&lt;w:vertAlign w:val=&quot;subscript&quot;/&gt;&lt;/w:rPr&gt;&lt;m:t&gt;Sn&lt;/m:t&gt;&lt;/m:r&gt;&lt;/m:sub&gt;&lt;/m:sSub&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lt;/m:t&gt;&lt;/m:r&gt;&lt;m:f&gt;&lt;m:f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fPr&gt;&lt;m:num&gt;&lt;m:r&gt;&lt;w:rPr&gt;&lt;w:rFonts w:ascii=&quot;Cambria Math&quot; w:fareast=&quot;等线&quot; w:h-ansi=&quot;Cambria Math&quot;/&gt;&lt;wx:font wx:val=&quot;Cambria Math&quot;/&gt;&lt;w:i/&gt;&lt;w:color w:val=&quot;333333&quot;/&gt;&lt;w:sz-cs w:val=&quot;21&quot;/&gt;&lt;w:shd w:val=&quot;clear&quot; w:color=&quot;auto&quot; w:fill=&quot;FFFFFF&quot;/&gt;&lt;/w:rPr&gt;&lt;m:t&gt;c&lt;/m:t&gt;&lt;/m:r&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d&gt;&lt;m:d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dPr&gt;&lt;m:e&gt;&lt;m:sSub&gt;&lt;m:sSubPr&gt;&lt;m:ctrlPr&gt;&lt;w:rPr&gt;&lt;w:rFonts w:ascii=&quot;Cambria Math&quot; w:fareast=&quot;等线&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fareast=&quot;等线&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 w:fareast=&quot;等线&quot;/&gt;&lt;wx:font wx:val=&quot;Cambria Math&quot;/&gt;&lt;w:i/&gt;&lt;w:color w:val=&quot;333333&quot;/&gt;&lt;w:sz-cs w:val=&quot;21&quot;/&gt;&lt;w:shd w:val=&quot;clear&quot; w:color=&quot;auto&quot; w:fill=&quot;FFFFFF&quot;/&gt;&lt;/w:rPr&gt;&lt;m:t&gt;2&lt;/m:t&gt;&lt;/m:r&gt;&lt;/m:sub&gt;&lt;/m:sSub&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sSub&gt;&lt;m:sSubPr&gt;&lt;m:ctrlPr&gt;&lt;w:rPr&gt;&lt;w:rFonts w:ascii=&quot;Cambria Math&quot; w:fareast=&quot;等线&quot; w:h-ansi=&quot;Cambria Math&quot;/&gt;&lt;wx:font wx:val=&quot;Cambria Math&quot;/&gt;&lt;w:i/&gt;&lt;w:color w:val=&quot;333333&quot;/&gt;&lt;w:sz-cs w:val=&quot;21&quot;/&gt;&lt;w:shd w:val=&quot;clear&quot; w:color=&quot;auto&quot; w:fill=&quot;FFFFFF&quot;/&gt;&lt;/w:rPr&gt;&lt;/m:ctrlPr&gt;&lt;/m:sSubPr&gt;&lt;m:e&gt;&lt;m:r&gt;&lt;w:rPr&gt;&lt;w:rFonts w:ascii=&quot;Cambria Math&quot; w:fareast=&quot;等线&quot; w:h-ansi=&quot;Cambria Math&quot;/&gt;&lt;wx:font wx:val=&quot;Cambria Math&quot;/&gt;&lt;w:i/&gt;&lt;w:color w:val=&quot;333333&quot;/&gt;&lt;w:sz-cs w:val=&quot;21&quot;/&gt;&lt;w:shd w:val=&quot;clear&quot; w:color=&quot;auto&quot; w:fill=&quot;FFFFFF&quot;/&gt;&lt;/w:rPr&gt;&lt;m:t&gt;V&lt;/m:t&gt;&lt;/m:r&gt;&lt;/m:e&gt;&lt;m:sub&gt;&lt;m:r&gt;&lt;w:rPr&gt;&lt;w:rFonts w:ascii=&quot;Cambria Math&quot; w:fareast=&quot;等线&quot;/&gt;&lt;wx:font wx:val=&quot;Cambria Math&quot;/&gt;&lt;w:i/&gt;&lt;w:color w:val=&quot;333333&quot;/&gt;&lt;w:sz-cs w:val=&quot;21&quot;/&gt;&lt;w:shd w:val=&quot;clear&quot; w:color=&quot;auto&quot; w:fill=&quot;FFFFFF&quot;/&gt;&lt;/w:rPr&gt;&lt;m:t&gt;3&lt;/m:t&gt;&lt;/m:r&gt;&lt;/m:sub&gt;&lt;/m:sSub&gt;&lt;/m:e&gt;&lt;/m:d&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59.35&lt;/m:t&gt;&lt;/m:r&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sSup&gt;&lt;m:sSupPr&gt;&lt;m:ctrlPr&gt;&lt;w:rPr&gt;&lt;w:rFonts w:ascii=&quot;Cambria Math&quot; w:fareast=&quot;等线&quot; w:h-ansi=&quot;Cambria Math&quot;/&gt;&lt;wx:font wx:val=&quot;Cambria Math&quot;/&gt;&lt;w:color w:val=&quot;333333&quot;/&gt;&lt;w:sz-cs w:val=&quot;21&quot;/&gt;&lt;w:shd w:val=&quot;clear&quot; w:color=&quot;auto&quot; w:fill=&quot;FFFFFF&quot;/&gt;&lt;/w:rPr&gt;&lt;/m:ctrlPr&gt;&lt;/m:sSupPr&gt;&lt;m:e&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10&lt;/m:t&gt;&lt;/m:r&gt;&lt;/m:e&gt;&lt;m:sup&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3&lt;/m:t&gt;&lt;/m:r&gt;&lt;/m:sup&gt;&lt;/m:sSup&gt;&lt;/m:num&gt;&lt;m:den&gt;&lt;m:r&gt;&lt;w:rPr&gt;&lt;w:rFonts w:ascii=&quot;Cambria Math&quot; w:fareast=&quot;等线&quot; w:h-ansi=&quot;Cambria Math&quot;/&gt;&lt;wx:font wx:val=&quot;Cambria Math&quot;/&gt;&lt;w:i/&gt;&lt;w:color w:val=&quot;333333&quot;/&gt;&lt;w:sz-cs w:val=&quot;21&quot;/&gt;&lt;w:shd w:val=&quot;clear&quot; w:color=&quot;auto&quot; w:fill=&quot;FFFFFF&quot;/&gt;&lt;w:vertAlign w:val=&quot;subscript&quot;/&gt;&lt;/w:rPr&gt;&lt;m:t&gt;m&lt;/m:t&gt;&lt;/m:r&gt;&lt;/m:den&gt;&lt;/m:f&gt;&lt;m:r&gt;&lt;m:rPr&gt;&lt;m:sty m:val=&quot;p&quot;/&gt;&lt;/m:rPr&gt;&lt;w:rPr&gt;&lt;w:rFonts w:ascii=&quot;Cambria Math&quot; w:fareast=&quot;等线&quot; w:h-ansi=&quot;Cambria Math&quot;/&gt;&lt;wx:font wx:val=&quot;Cambria Math&quot;/&gt;&lt;w:color w:val=&quot;333333&quot;/&gt;&lt;w:sz-cs w:val=&quot;21&quot;/&gt;&lt;w:shd w:val=&quot;clear&quot; w:color=&quot;auto&quot; w:fill=&quot;FFFFFF&quot;/&gt;&lt;/w:rPr&gt;&lt;m:t&gt;×&lt;/m:t&gt;&lt;/m:r&gt;&lt;m:r&gt;&lt;m:rPr&gt;&lt;m:sty m:val=&quot;p&quot;/&gt;&lt;/m:rPr&gt;&lt;w:rPr&gt;&lt;w:rFonts w:ascii=&quot;Cambria Math&quot; w:fareast=&quot;等线&quot;/&gt;&lt;wx:font wx:val=&quot;Cambria Math&quot;/&gt;&lt;w:color w:val=&quot;333333&quot;/&gt;&lt;w:sz-cs w:val=&quot;21&quot;/&gt;&lt;w:shd w:val=&quot;clear&quot; w:color=&quot;auto&quot; w:fill=&quot;FFFFFF&quot;/&gt;&lt;/w:rPr&gt;&lt;m:t&gt;100&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16" chromakey="#FFFFFF" o:title=""/>
            <o:lock v:ext="edit" aspectratio="t"/>
            <w10:wrap type="none"/>
            <w10:anchorlock/>
          </v:shape>
        </w:pict>
      </w:r>
      <w:r>
        <w:rPr>
          <w:rFonts w:ascii="Times New Roman"/>
        </w:rPr>
        <w:instrText xml:space="preserve"> </w:instrText>
      </w:r>
      <w:r>
        <w:rPr>
          <w:rFonts w:ascii="Times New Roman"/>
        </w:rPr>
        <w:fldChar w:fldCharType="separate"/>
      </w:r>
      <w:r>
        <w:rPr>
          <w:rFonts w:ascii="Times New Roman"/>
        </w:rPr>
        <w:fldChar w:fldCharType="end"/>
      </w:r>
      <w:r>
        <w:rPr>
          <w:rFonts w:ascii="Times New Roman"/>
        </w:rPr>
        <w:t>…………………….………(2)</w:t>
      </w:r>
    </w:p>
    <w:p>
      <w:pPr>
        <w:pStyle w:val="133"/>
        <w:numPr>
          <w:ilvl w:val="0"/>
          <w:numId w:val="0"/>
        </w:numPr>
        <w:ind w:firstLine="420" w:firstLineChars="200"/>
        <w:rPr>
          <w:rFonts w:ascii="Times New Roman"/>
        </w:rPr>
      </w:pPr>
      <w:r>
        <w:rPr>
          <w:rFonts w:ascii="Times New Roman" w:hAnsi="宋体"/>
        </w:rPr>
        <w:t>式中：</w:t>
      </w:r>
    </w:p>
    <w:p>
      <w:pPr>
        <w:pStyle w:val="133"/>
        <w:numPr>
          <w:ilvl w:val="0"/>
          <w:numId w:val="0"/>
        </w:numPr>
        <w:ind w:firstLine="420" w:firstLineChars="200"/>
        <w:rPr>
          <w:rFonts w:ascii="Times New Roman"/>
        </w:rPr>
      </w:pPr>
      <w:r>
        <w:rPr>
          <w:rFonts w:ascii="Times New Roman"/>
          <w:i/>
          <w:szCs w:val="20"/>
        </w:rPr>
        <w:t>C</w:t>
      </w:r>
      <w:r>
        <w:rPr>
          <w:rFonts w:ascii="Times New Roman"/>
        </w:rPr>
        <w:t>——</w:t>
      </w:r>
      <w:r>
        <w:rPr>
          <w:rFonts w:ascii="Times New Roman" w:hAnsi="宋体"/>
        </w:rPr>
        <w:t>碘酸钾标准滴定溶液的实际浓度，单位为摩尔每升</w:t>
      </w:r>
      <w:r>
        <w:rPr>
          <w:rFonts w:ascii="Times New Roman"/>
        </w:rPr>
        <w:t>(mol/L)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V</w:t>
      </w:r>
      <w:r>
        <w:rPr>
          <w:rFonts w:ascii="Times New Roman"/>
          <w:i w:val="0"/>
          <w:iCs/>
          <w:szCs w:val="20"/>
          <w:vertAlign w:val="subscript"/>
        </w:rPr>
        <w:t>2</w:t>
      </w:r>
      <w:r>
        <w:rPr>
          <w:rFonts w:ascii="Times New Roman"/>
        </w:rPr>
        <w:t>——</w:t>
      </w:r>
      <w:r>
        <w:rPr>
          <w:rFonts w:ascii="Times New Roman" w:hAnsi="宋体"/>
        </w:rPr>
        <w:t>测定时，滴定试料溶液所消耗碘酸钾标准滴定溶液的体积，单位为毫升</w:t>
      </w:r>
      <w:r>
        <w:rPr>
          <w:rFonts w:ascii="Times New Roman"/>
        </w:rPr>
        <w:t>(mL)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V</w:t>
      </w:r>
      <w:r>
        <w:rPr>
          <w:rFonts w:ascii="Times New Roman"/>
          <w:i w:val="0"/>
          <w:iCs/>
          <w:szCs w:val="20"/>
          <w:vertAlign w:val="subscript"/>
        </w:rPr>
        <w:t>3</w:t>
      </w:r>
      <w:r>
        <w:rPr>
          <w:rFonts w:ascii="Times New Roman"/>
        </w:rPr>
        <w:t>——</w:t>
      </w:r>
      <w:r>
        <w:rPr>
          <w:rFonts w:ascii="Times New Roman" w:hAnsi="宋体"/>
        </w:rPr>
        <w:t>测定时，滴定空白试液所消耗碘酸钾标准滴定溶液的体积，单位为毫升</w:t>
      </w:r>
      <w:r>
        <w:rPr>
          <w:rFonts w:ascii="Times New Roman"/>
        </w:rPr>
        <w:t>(mL)</w:t>
      </w:r>
      <w:r>
        <w:rPr>
          <w:rFonts w:ascii="Times New Roman" w:hAnsi="宋体"/>
        </w:rPr>
        <w:t>；</w:t>
      </w:r>
    </w:p>
    <w:p>
      <w:pPr>
        <w:pStyle w:val="133"/>
        <w:numPr>
          <w:ilvl w:val="0"/>
          <w:numId w:val="0"/>
        </w:numPr>
        <w:ind w:firstLine="420" w:firstLineChars="200"/>
        <w:rPr>
          <w:rFonts w:ascii="Times New Roman"/>
        </w:rPr>
      </w:pPr>
      <w:r>
        <w:rPr>
          <w:rFonts w:ascii="Times New Roman"/>
          <w:i/>
          <w:szCs w:val="20"/>
        </w:rPr>
        <w:t>m</w:t>
      </w:r>
      <w:r>
        <w:rPr>
          <w:rFonts w:ascii="Times New Roman"/>
        </w:rPr>
        <w:t>——</w:t>
      </w:r>
      <w:r>
        <w:rPr>
          <w:rFonts w:ascii="Times New Roman" w:hAnsi="宋体"/>
        </w:rPr>
        <w:t>试料的质量，单位为克</w:t>
      </w:r>
      <w:r>
        <w:rPr>
          <w:rFonts w:ascii="Times New Roman"/>
        </w:rPr>
        <w:t>(g)</w:t>
      </w:r>
      <w:r>
        <w:rPr>
          <w:rFonts w:ascii="Times New Roman" w:hAnsi="宋体"/>
        </w:rPr>
        <w:t>；</w:t>
      </w:r>
    </w:p>
    <w:p>
      <w:pPr>
        <w:pStyle w:val="133"/>
        <w:numPr>
          <w:ilvl w:val="0"/>
          <w:numId w:val="0"/>
        </w:numPr>
        <w:ind w:firstLine="420" w:firstLineChars="200"/>
        <w:rPr>
          <w:rFonts w:ascii="Times New Roman"/>
        </w:rPr>
      </w:pPr>
      <w:r>
        <w:rPr>
          <w:rFonts w:ascii="Times New Roman"/>
        </w:rPr>
        <w:t>59.35——</w:t>
      </w:r>
      <w:r>
        <w:rPr>
          <w:rFonts w:ascii="Times New Roman" w:hAnsi="宋体"/>
        </w:rPr>
        <w:t>锡</w:t>
      </w:r>
      <w:r>
        <w:rPr>
          <w:rFonts w:ascii="Times New Roman"/>
        </w:rPr>
        <w:t>(1/2Sn)</w:t>
      </w:r>
      <w:r>
        <w:rPr>
          <w:rFonts w:ascii="Times New Roman" w:hAnsi="宋体"/>
        </w:rPr>
        <w:t>的摩尔质量，单位为克每摩尔</w:t>
      </w:r>
      <w:r>
        <w:rPr>
          <w:rFonts w:ascii="Times New Roman"/>
        </w:rPr>
        <w:t>(g/mol)</w:t>
      </w:r>
      <w:r>
        <w:rPr>
          <w:rFonts w:ascii="Times New Roman" w:hAnsi="宋体"/>
        </w:rPr>
        <w:t>。</w:t>
      </w:r>
    </w:p>
    <w:p>
      <w:pPr>
        <w:pStyle w:val="133"/>
        <w:numPr>
          <w:ilvl w:val="0"/>
          <w:numId w:val="0"/>
        </w:numPr>
        <w:ind w:firstLine="420" w:firstLineChars="200"/>
        <w:rPr>
          <w:rFonts w:hint="default" w:ascii="Times New Roman" w:eastAsia="宋体"/>
          <w:lang w:val="en-US" w:eastAsia="zh-CN"/>
        </w:rPr>
      </w:pPr>
      <w:r>
        <w:rPr>
          <w:rFonts w:ascii="Times New Roman" w:hAnsi="宋体"/>
        </w:rPr>
        <w:t>计算结果表示至小数点后两位</w:t>
      </w:r>
      <w:r>
        <w:rPr>
          <w:rFonts w:hint="eastAsia" w:ascii="Times New Roman" w:hAnsi="宋体"/>
          <w:lang w:eastAsia="zh-CN"/>
        </w:rPr>
        <w:t>，</w:t>
      </w:r>
      <w:r>
        <w:rPr>
          <w:rFonts w:hint="eastAsia" w:ascii="Times New Roman" w:hAnsi="宋体"/>
          <w:lang w:val="en-US" w:eastAsia="zh-CN"/>
        </w:rPr>
        <w:t>按照GB/T 8170规定修约。</w:t>
      </w:r>
    </w:p>
    <w:p>
      <w:pPr>
        <w:pStyle w:val="60"/>
        <w:numPr>
          <w:ilvl w:val="0"/>
          <w:numId w:val="3"/>
        </w:numPr>
        <w:spacing w:before="156" w:after="156"/>
        <w:rPr>
          <w:rFonts w:hint="eastAsia" w:ascii="黑体" w:hAnsi="黑体" w:eastAsia="黑体" w:cs="黑体"/>
          <w:bCs/>
        </w:rPr>
      </w:pPr>
      <w:r>
        <w:rPr>
          <w:rFonts w:hint="eastAsia" w:ascii="黑体" w:hAnsi="黑体" w:eastAsia="黑体" w:cs="黑体"/>
          <w:bCs/>
        </w:rPr>
        <w:t>精密度</w:t>
      </w:r>
    </w:p>
    <w:p>
      <w:pPr>
        <w:pStyle w:val="60"/>
        <w:spacing w:before="156" w:after="156"/>
        <w:rPr>
          <w:rFonts w:hint="eastAsia" w:ascii="黑体" w:hAnsi="黑体" w:eastAsia="黑体" w:cs="黑体"/>
        </w:rPr>
      </w:pPr>
      <w:r>
        <w:rPr>
          <w:rFonts w:hint="eastAsia" w:ascii="黑体" w:hAnsi="黑体" w:eastAsia="黑体" w:cs="黑体"/>
        </w:rPr>
        <w:t>重复性</w:t>
      </w:r>
    </w:p>
    <w:p>
      <w:pPr>
        <w:ind w:firstLine="420" w:firstLineChars="200"/>
        <w:rPr>
          <w:szCs w:val="21"/>
        </w:rPr>
      </w:pPr>
      <w:r>
        <w:rPr>
          <w:rFonts w:hAnsi="宋体"/>
          <w:szCs w:val="21"/>
        </w:rPr>
        <w:t>在重复性条件下获得的两次独立测试结果的测定值，在表</w:t>
      </w:r>
      <w:r>
        <w:rPr>
          <w:szCs w:val="21"/>
        </w:rPr>
        <w:t>3</w:t>
      </w:r>
      <w:r>
        <w:rPr>
          <w:rFonts w:hAnsi="宋体"/>
          <w:szCs w:val="21"/>
        </w:rPr>
        <w:t>给出的平均值范围内，这两个测试结果的绝对值不超过重复性限</w:t>
      </w:r>
      <w:r>
        <w:rPr>
          <w:rFonts w:hint="eastAsia" w:hAnsi="宋体"/>
          <w:szCs w:val="21"/>
        </w:rPr>
        <w:t>(</w:t>
      </w:r>
      <w:r>
        <w:rPr>
          <w:i/>
          <w:szCs w:val="21"/>
        </w:rPr>
        <w:t>r</w:t>
      </w:r>
      <w:r>
        <w:rPr>
          <w:rFonts w:hint="eastAsia" w:hAnsi="宋体"/>
          <w:szCs w:val="21"/>
        </w:rPr>
        <w:t>)</w:t>
      </w:r>
      <w:r>
        <w:rPr>
          <w:rFonts w:hAnsi="宋体"/>
          <w:szCs w:val="21"/>
        </w:rPr>
        <w:t>，超过重复性</w:t>
      </w:r>
      <w:r>
        <w:rPr>
          <w:rFonts w:hint="eastAsia" w:hAnsi="宋体"/>
          <w:szCs w:val="21"/>
          <w:lang w:val="en-US" w:eastAsia="zh-CN"/>
        </w:rPr>
        <w:t>限</w:t>
      </w:r>
      <w:r>
        <w:rPr>
          <w:szCs w:val="21"/>
        </w:rPr>
        <w:t>(</w:t>
      </w:r>
      <w:r>
        <w:rPr>
          <w:i/>
          <w:szCs w:val="21"/>
        </w:rPr>
        <w:t>r</w:t>
      </w:r>
      <w:r>
        <w:rPr>
          <w:rFonts w:hint="eastAsia" w:hAnsi="宋体"/>
          <w:szCs w:val="21"/>
        </w:rPr>
        <w:t>)</w:t>
      </w:r>
      <w:r>
        <w:rPr>
          <w:rFonts w:hAnsi="宋体"/>
          <w:szCs w:val="21"/>
        </w:rPr>
        <w:t>的情况不超过</w:t>
      </w:r>
      <w:r>
        <w:rPr>
          <w:szCs w:val="21"/>
        </w:rPr>
        <w:t>5%</w:t>
      </w:r>
      <w:r>
        <w:rPr>
          <w:rFonts w:hAnsi="宋体"/>
          <w:szCs w:val="21"/>
        </w:rPr>
        <w:t>，重复性限</w:t>
      </w:r>
      <w:r>
        <w:rPr>
          <w:rFonts w:hint="eastAsia" w:hAnsi="宋体"/>
          <w:szCs w:val="21"/>
        </w:rPr>
        <w:t>(</w:t>
      </w:r>
      <w:r>
        <w:rPr>
          <w:i/>
          <w:szCs w:val="21"/>
        </w:rPr>
        <w:t>r</w:t>
      </w:r>
      <w:r>
        <w:rPr>
          <w:rFonts w:hint="eastAsia"/>
          <w:szCs w:val="21"/>
        </w:rPr>
        <w:t>)</w:t>
      </w:r>
      <w:r>
        <w:rPr>
          <w:rFonts w:hAnsi="宋体"/>
          <w:szCs w:val="21"/>
        </w:rPr>
        <w:t>按表</w:t>
      </w:r>
      <w:r>
        <w:rPr>
          <w:szCs w:val="21"/>
        </w:rPr>
        <w:t>3</w:t>
      </w:r>
      <w:r>
        <w:rPr>
          <w:rFonts w:hAnsi="宋体"/>
          <w:szCs w:val="21"/>
        </w:rPr>
        <w:t>数据采用线性内插法或外延法求得。</w:t>
      </w:r>
    </w:p>
    <w:p>
      <w:pPr>
        <w:pStyle w:val="98"/>
        <w:numPr>
          <w:ilvl w:val="0"/>
          <w:numId w:val="10"/>
        </w:numPr>
        <w:spacing w:before="156" w:after="156"/>
        <w:rPr>
          <w:rFonts w:hint="eastAsia" w:ascii="黑体" w:hAnsi="黑体" w:eastAsia="黑体" w:cs="黑体"/>
        </w:rPr>
      </w:pPr>
      <w:r>
        <w:rPr>
          <w:rFonts w:hint="eastAsia" w:ascii="黑体" w:hAnsi="黑体" w:eastAsia="黑体" w:cs="黑体"/>
        </w:rPr>
        <w:t>重复性限</w:t>
      </w:r>
      <w:r>
        <w:rPr>
          <w:rFonts w:hint="eastAsia" w:hAnsi="黑体" w:cs="黑体"/>
          <w:lang w:eastAsia="zh-CN"/>
        </w:rPr>
        <w:t>（</w:t>
      </w:r>
      <w:r>
        <w:rPr>
          <w:rFonts w:hint="eastAsia" w:hAnsi="黑体" w:cs="黑体"/>
          <w:i/>
          <w:iCs/>
          <w:lang w:val="en-US" w:eastAsia="zh-CN"/>
        </w:rPr>
        <w:t>r</w:t>
      </w:r>
      <w:r>
        <w:rPr>
          <w:rFonts w:hint="eastAsia" w:hAnsi="黑体" w:cs="黑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2"/>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rPr>
              <w:t>质量分数</w:t>
            </w:r>
            <w:r>
              <w:rPr>
                <w:rFonts w:hint="default" w:ascii="Times New Roman" w:hAnsi="Times New Roman" w:cs="Times New Roman"/>
                <w:i/>
                <w:sz w:val="18"/>
                <w:szCs w:val="18"/>
              </w:rPr>
              <w:t>w</w:t>
            </w:r>
            <w:r>
              <w:rPr>
                <w:rFonts w:hint="default" w:ascii="Times New Roman" w:hAnsi="Times New Roman" w:cs="Times New Roman"/>
                <w:i w:val="0"/>
                <w:iCs/>
                <w:sz w:val="18"/>
                <w:szCs w:val="18"/>
                <w:vertAlign w:val="subscript"/>
              </w:rPr>
              <w:t>Sn</w:t>
            </w:r>
            <w:r>
              <w:rPr>
                <w:rFonts w:hint="default" w:ascii="Times New Roman" w:hAnsi="Times New Roman" w:cs="Times New Roman"/>
                <w:sz w:val="18"/>
                <w:szCs w:val="18"/>
              </w:rPr>
              <w:t>/%</w:t>
            </w:r>
          </w:p>
        </w:tc>
        <w:tc>
          <w:tcPr>
            <w:tcW w:w="2392"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45.80</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47.36</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2"/>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rPr>
              <w:t>重复性限(r)/%</w:t>
            </w:r>
          </w:p>
        </w:tc>
        <w:tc>
          <w:tcPr>
            <w:tcW w:w="2392"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0.22</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0.25</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0.26</w:t>
            </w:r>
          </w:p>
        </w:tc>
      </w:tr>
    </w:tbl>
    <w:p>
      <w:pPr>
        <w:pStyle w:val="2"/>
      </w:pPr>
    </w:p>
    <w:p>
      <w:pPr>
        <w:ind w:firstLine="420" w:firstLineChars="200"/>
        <w:rPr>
          <w:szCs w:val="21"/>
        </w:rPr>
      </w:pPr>
    </w:p>
    <w:p>
      <w:pPr>
        <w:pStyle w:val="60"/>
        <w:spacing w:before="156" w:after="156"/>
        <w:rPr>
          <w:rFonts w:hint="eastAsia" w:ascii="黑体" w:hAnsi="黑体" w:eastAsia="黑体" w:cs="黑体"/>
        </w:rPr>
      </w:pPr>
      <w:r>
        <w:rPr>
          <w:rFonts w:hint="eastAsia" w:ascii="黑体" w:hAnsi="黑体" w:eastAsia="黑体" w:cs="黑体"/>
        </w:rPr>
        <w:t>再现性</w:t>
      </w:r>
    </w:p>
    <w:p>
      <w:pPr>
        <w:pStyle w:val="2"/>
        <w:ind w:firstLineChars="0"/>
        <w:rPr>
          <w:rFonts w:ascii="Times New Roman"/>
        </w:rPr>
      </w:pPr>
      <w:r>
        <w:rPr>
          <w:rFonts w:ascii="Times New Roman" w:hAnsi="宋体"/>
          <w:kern w:val="2"/>
          <w:szCs w:val="21"/>
        </w:rPr>
        <w:t>在再现性条件下获得的两次独立测试结果的测定值，在表</w:t>
      </w:r>
      <w:r>
        <w:rPr>
          <w:rFonts w:ascii="Times New Roman"/>
          <w:kern w:val="2"/>
          <w:szCs w:val="21"/>
        </w:rPr>
        <w:t>4</w:t>
      </w:r>
      <w:r>
        <w:rPr>
          <w:rFonts w:ascii="Times New Roman" w:hAnsi="宋体"/>
          <w:kern w:val="2"/>
          <w:szCs w:val="21"/>
        </w:rPr>
        <w:t>给出的平均值范围内，两个测试结果的绝对差值不超过再现性限</w:t>
      </w:r>
      <w:r>
        <w:rPr>
          <w:rFonts w:hint="eastAsia" w:ascii="Times New Roman" w:hAnsi="宋体"/>
          <w:kern w:val="2"/>
          <w:szCs w:val="21"/>
        </w:rPr>
        <w:t>(</w:t>
      </w:r>
      <w:r>
        <w:rPr>
          <w:rFonts w:ascii="Times New Roman"/>
          <w:i/>
          <w:kern w:val="2"/>
          <w:szCs w:val="21"/>
        </w:rPr>
        <w:t>R</w:t>
      </w:r>
      <w:r>
        <w:rPr>
          <w:rFonts w:hint="eastAsia" w:ascii="Times New Roman" w:hAnsi="宋体"/>
          <w:kern w:val="2"/>
          <w:szCs w:val="21"/>
        </w:rPr>
        <w:t>)</w:t>
      </w:r>
      <w:r>
        <w:rPr>
          <w:rFonts w:ascii="Times New Roman" w:hAnsi="宋体"/>
          <w:kern w:val="2"/>
          <w:szCs w:val="21"/>
        </w:rPr>
        <w:t>，超过再现性限</w:t>
      </w:r>
      <w:r>
        <w:rPr>
          <w:rFonts w:ascii="Times New Roman"/>
          <w:kern w:val="2"/>
          <w:szCs w:val="21"/>
        </w:rPr>
        <w:t>(</w:t>
      </w:r>
      <w:r>
        <w:rPr>
          <w:rFonts w:ascii="Times New Roman"/>
          <w:i/>
          <w:kern w:val="2"/>
          <w:szCs w:val="21"/>
        </w:rPr>
        <w:t>R</w:t>
      </w:r>
      <w:r>
        <w:rPr>
          <w:rFonts w:hint="eastAsia" w:ascii="Times New Roman"/>
          <w:kern w:val="2"/>
          <w:szCs w:val="21"/>
        </w:rPr>
        <w:t>)</w:t>
      </w:r>
      <w:r>
        <w:rPr>
          <w:rFonts w:ascii="Times New Roman" w:hAnsi="宋体"/>
          <w:kern w:val="2"/>
          <w:szCs w:val="21"/>
        </w:rPr>
        <w:t>的情况不超过</w:t>
      </w:r>
      <w:r>
        <w:rPr>
          <w:rFonts w:ascii="Times New Roman"/>
          <w:kern w:val="2"/>
          <w:szCs w:val="21"/>
        </w:rPr>
        <w:t>5%</w:t>
      </w:r>
      <w:r>
        <w:rPr>
          <w:rFonts w:ascii="Times New Roman" w:hAnsi="宋体"/>
          <w:kern w:val="2"/>
          <w:szCs w:val="21"/>
        </w:rPr>
        <w:t>，再现性限</w:t>
      </w:r>
      <w:r>
        <w:rPr>
          <w:rFonts w:hint="eastAsia" w:ascii="Times New Roman" w:hAnsi="宋体"/>
          <w:kern w:val="2"/>
          <w:szCs w:val="21"/>
        </w:rPr>
        <w:t>(</w:t>
      </w:r>
      <w:r>
        <w:rPr>
          <w:rFonts w:ascii="Times New Roman"/>
          <w:i/>
          <w:kern w:val="2"/>
          <w:szCs w:val="21"/>
        </w:rPr>
        <w:t>R</w:t>
      </w:r>
      <w:r>
        <w:rPr>
          <w:rFonts w:hint="eastAsia" w:ascii="Times New Roman" w:hAnsi="宋体"/>
          <w:kern w:val="2"/>
          <w:szCs w:val="21"/>
        </w:rPr>
        <w:t>)</w:t>
      </w:r>
      <w:r>
        <w:rPr>
          <w:rFonts w:ascii="Times New Roman" w:hAnsi="宋体"/>
          <w:kern w:val="2"/>
          <w:szCs w:val="21"/>
        </w:rPr>
        <w:t>按表</w:t>
      </w:r>
      <w:r>
        <w:rPr>
          <w:rFonts w:ascii="Times New Roman"/>
          <w:kern w:val="2"/>
          <w:szCs w:val="21"/>
        </w:rPr>
        <w:t>4</w:t>
      </w:r>
      <w:r>
        <w:rPr>
          <w:rFonts w:ascii="Times New Roman" w:hAnsi="宋体"/>
          <w:kern w:val="2"/>
          <w:szCs w:val="21"/>
        </w:rPr>
        <w:t>数据采用线性内插法或外延法求得。</w:t>
      </w:r>
    </w:p>
    <w:p>
      <w:pPr>
        <w:pStyle w:val="98"/>
        <w:numPr>
          <w:ilvl w:val="0"/>
          <w:numId w:val="10"/>
        </w:numPr>
        <w:spacing w:before="156" w:after="156"/>
        <w:rPr>
          <w:rFonts w:hint="eastAsia" w:ascii="黑体" w:hAnsi="黑体" w:eastAsia="黑体" w:cs="黑体"/>
        </w:rPr>
      </w:pPr>
      <w:r>
        <w:rPr>
          <w:rFonts w:hint="eastAsia" w:ascii="黑体" w:hAnsi="黑体" w:eastAsia="黑体" w:cs="黑体"/>
        </w:rPr>
        <w:t>再现性限</w:t>
      </w:r>
      <w:r>
        <w:rPr>
          <w:rFonts w:hint="eastAsia" w:hAnsi="黑体" w:cs="黑体"/>
          <w:lang w:eastAsia="zh-CN"/>
        </w:rPr>
        <w:t>（</w:t>
      </w:r>
      <w:r>
        <w:rPr>
          <w:rFonts w:hint="eastAsia" w:hAnsi="黑体" w:cs="黑体"/>
          <w:i/>
          <w:iCs/>
          <w:lang w:val="en-US" w:eastAsia="zh-CN"/>
        </w:rPr>
        <w:t>R</w:t>
      </w:r>
      <w:r>
        <w:rPr>
          <w:rFonts w:hint="eastAsia" w:hAnsi="黑体" w:cs="黑体"/>
          <w:lang w:val="en-US" w:eastAsia="zh-CN"/>
        </w:rPr>
        <w:t>）</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2"/>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2"/>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rPr>
              <w:t>质量分数</w:t>
            </w:r>
            <w:r>
              <w:rPr>
                <w:rFonts w:hint="default" w:ascii="Times New Roman" w:hAnsi="Times New Roman" w:cs="Times New Roman"/>
                <w:i/>
                <w:sz w:val="18"/>
                <w:szCs w:val="18"/>
              </w:rPr>
              <w:t>w</w:t>
            </w:r>
            <w:r>
              <w:rPr>
                <w:rFonts w:hint="default" w:ascii="Times New Roman" w:hAnsi="Times New Roman" w:cs="Times New Roman"/>
                <w:i w:val="0"/>
                <w:iCs/>
                <w:sz w:val="18"/>
                <w:szCs w:val="18"/>
                <w:vertAlign w:val="subscript"/>
              </w:rPr>
              <w:t>Sn</w:t>
            </w:r>
            <w:r>
              <w:rPr>
                <w:rFonts w:hint="default" w:ascii="Times New Roman" w:hAnsi="Times New Roman" w:cs="Times New Roman"/>
                <w:sz w:val="18"/>
                <w:szCs w:val="18"/>
              </w:rPr>
              <w:t>/%</w:t>
            </w:r>
          </w:p>
        </w:tc>
        <w:tc>
          <w:tcPr>
            <w:tcW w:w="2392" w:type="dxa"/>
            <w:vAlign w:val="center"/>
          </w:tcPr>
          <w:p>
            <w:pPr>
              <w:pStyle w:val="2"/>
              <w:ind w:firstLine="360" w:firstLineChars="200"/>
              <w:jc w:val="center"/>
              <w:rPr>
                <w:rFonts w:hint="default" w:ascii="Times New Roman" w:hAnsi="Times New Roman" w:eastAsia="宋体" w:cs="Times New Roman"/>
                <w:sz w:val="18"/>
                <w:szCs w:val="18"/>
                <w:vertAlign w:val="baseline"/>
                <w:lang w:val="en-US" w:eastAsia="zh-CN" w:bidi="ar-SA"/>
              </w:rPr>
            </w:pPr>
            <w:r>
              <w:rPr>
                <w:rFonts w:hint="default" w:ascii="Times New Roman" w:hAnsi="Times New Roman" w:cs="Times New Roman"/>
                <w:sz w:val="18"/>
                <w:szCs w:val="18"/>
                <w:vertAlign w:val="baseline"/>
                <w:lang w:val="en-US" w:eastAsia="zh-CN"/>
              </w:rPr>
              <w:t>45.80</w:t>
            </w:r>
          </w:p>
        </w:tc>
        <w:tc>
          <w:tcPr>
            <w:tcW w:w="2393" w:type="dxa"/>
            <w:vAlign w:val="center"/>
          </w:tcPr>
          <w:p>
            <w:pPr>
              <w:pStyle w:val="2"/>
              <w:ind w:firstLine="360" w:firstLineChars="200"/>
              <w:jc w:val="center"/>
              <w:rPr>
                <w:rFonts w:hint="default" w:ascii="Times New Roman" w:hAnsi="Times New Roman" w:eastAsia="宋体" w:cs="Times New Roman"/>
                <w:sz w:val="18"/>
                <w:szCs w:val="18"/>
                <w:vertAlign w:val="baseline"/>
                <w:lang w:val="en-US" w:eastAsia="zh-CN" w:bidi="ar-SA"/>
              </w:rPr>
            </w:pPr>
            <w:r>
              <w:rPr>
                <w:rFonts w:hint="default" w:ascii="Times New Roman" w:hAnsi="Times New Roman" w:cs="Times New Roman"/>
                <w:sz w:val="18"/>
                <w:szCs w:val="18"/>
                <w:vertAlign w:val="baseline"/>
                <w:lang w:val="en-US" w:eastAsia="zh-CN"/>
              </w:rPr>
              <w:t>47.36</w:t>
            </w:r>
          </w:p>
        </w:tc>
        <w:tc>
          <w:tcPr>
            <w:tcW w:w="2393" w:type="dxa"/>
            <w:vAlign w:val="center"/>
          </w:tcPr>
          <w:p>
            <w:pPr>
              <w:pStyle w:val="2"/>
              <w:ind w:firstLine="360" w:firstLineChars="200"/>
              <w:jc w:val="center"/>
              <w:rPr>
                <w:rFonts w:hint="default" w:ascii="Times New Roman" w:hAnsi="Times New Roman" w:eastAsia="宋体" w:cs="Times New Roman"/>
                <w:sz w:val="18"/>
                <w:szCs w:val="18"/>
                <w:vertAlign w:val="baseline"/>
                <w:lang w:val="en-US" w:eastAsia="zh-CN" w:bidi="ar-SA"/>
              </w:rPr>
            </w:pPr>
            <w:r>
              <w:rPr>
                <w:rFonts w:hint="default" w:ascii="Times New Roman" w:hAnsi="Times New Roman" w:cs="Times New Roman"/>
                <w:sz w:val="18"/>
                <w:szCs w:val="18"/>
                <w:vertAlign w:val="baseline"/>
                <w:lang w:val="en-US" w:eastAsia="zh-CN"/>
              </w:rPr>
              <w:t>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2"/>
              <w:jc w:val="center"/>
              <w:rPr>
                <w:rFonts w:hint="default" w:ascii="Times New Roman" w:hAnsi="Times New Roman" w:cs="Times New Roman"/>
                <w:sz w:val="18"/>
                <w:szCs w:val="18"/>
                <w:vertAlign w:val="baseline"/>
              </w:rPr>
            </w:pPr>
            <w:r>
              <w:rPr>
                <w:rFonts w:hint="default" w:ascii="Times New Roman" w:hAnsi="Times New Roman" w:cs="Times New Roman"/>
                <w:sz w:val="18"/>
                <w:szCs w:val="18"/>
              </w:rPr>
              <w:t>再现性限(R)/%</w:t>
            </w:r>
          </w:p>
        </w:tc>
        <w:tc>
          <w:tcPr>
            <w:tcW w:w="2392"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0.30</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0.34</w:t>
            </w:r>
          </w:p>
        </w:tc>
        <w:tc>
          <w:tcPr>
            <w:tcW w:w="2393" w:type="dxa"/>
            <w:vAlign w:val="center"/>
          </w:tcPr>
          <w:p>
            <w:pPr>
              <w:pStyle w:val="2"/>
              <w:jc w:val="center"/>
              <w:rPr>
                <w:rFonts w:hint="default" w:ascii="Times New Roman" w:hAnsi="Times New Roman" w:eastAsia="宋体" w:cs="Times New Roman"/>
                <w:sz w:val="18"/>
                <w:szCs w:val="18"/>
                <w:vertAlign w:val="baseline"/>
                <w:lang w:val="en-US" w:eastAsia="zh-CN"/>
              </w:rPr>
            </w:pPr>
            <w:r>
              <w:rPr>
                <w:rFonts w:hint="default" w:ascii="Times New Roman" w:hAnsi="Times New Roman" w:cs="Times New Roman"/>
                <w:sz w:val="18"/>
                <w:szCs w:val="18"/>
                <w:vertAlign w:val="baseline"/>
                <w:lang w:val="en-US" w:eastAsia="zh-CN"/>
              </w:rPr>
              <w:t>0.45</w:t>
            </w:r>
          </w:p>
        </w:tc>
      </w:tr>
    </w:tbl>
    <w:p>
      <w:pPr>
        <w:pStyle w:val="2"/>
      </w:pPr>
    </w:p>
    <w:p>
      <w:pPr>
        <w:pStyle w:val="2"/>
      </w:pPr>
    </w:p>
    <w:p>
      <w:pPr>
        <w:pStyle w:val="2"/>
        <w:ind w:firstLine="0" w:firstLineChars="0"/>
        <w:rPr>
          <w:rFonts w:ascii="Times New Roman"/>
        </w:rPr>
      </w:pPr>
    </w:p>
    <w:p>
      <w:pPr>
        <w:pStyle w:val="62"/>
        <w:spacing w:before="312" w:after="312"/>
        <w:rPr>
          <w:rFonts w:hint="eastAsia" w:ascii="黑体" w:hAnsi="黑体" w:eastAsia="黑体" w:cs="黑体"/>
        </w:rPr>
      </w:pPr>
      <w:r>
        <w:rPr>
          <w:rFonts w:hint="eastAsia" w:ascii="黑体" w:hAnsi="黑体" w:eastAsia="黑体" w:cs="黑体"/>
        </w:rPr>
        <w:t>试验报告</w:t>
      </w:r>
    </w:p>
    <w:p>
      <w:pPr>
        <w:ind w:firstLine="420" w:firstLineChars="200"/>
        <w:rPr>
          <w:szCs w:val="21"/>
        </w:rPr>
      </w:pPr>
      <w:r>
        <w:rPr>
          <w:rFonts w:hAnsi="宋体"/>
          <w:szCs w:val="21"/>
        </w:rPr>
        <w:t>试验报告至少应给出以下几个方面的内容：</w:t>
      </w:r>
    </w:p>
    <w:p>
      <w:pPr>
        <w:ind w:firstLine="420" w:firstLineChars="200"/>
        <w:rPr>
          <w:szCs w:val="21"/>
        </w:rPr>
      </w:pPr>
      <w:r>
        <w:rPr>
          <w:szCs w:val="21"/>
        </w:rPr>
        <w:t>——</w:t>
      </w:r>
      <w:r>
        <w:rPr>
          <w:rFonts w:hAnsi="宋体"/>
          <w:szCs w:val="21"/>
        </w:rPr>
        <w:t>试验对象；</w:t>
      </w:r>
    </w:p>
    <w:p>
      <w:pPr>
        <w:ind w:firstLine="420" w:firstLineChars="200"/>
        <w:rPr>
          <w:szCs w:val="21"/>
        </w:rPr>
      </w:pPr>
      <w:r>
        <w:rPr>
          <w:szCs w:val="21"/>
        </w:rPr>
        <w:t>——</w:t>
      </w:r>
      <w:r>
        <w:rPr>
          <w:rFonts w:hAnsi="宋体"/>
          <w:szCs w:val="21"/>
        </w:rPr>
        <w:t>本文件编号；</w:t>
      </w:r>
    </w:p>
    <w:p>
      <w:pPr>
        <w:ind w:firstLine="420" w:firstLineChars="200"/>
        <w:rPr>
          <w:szCs w:val="21"/>
        </w:rPr>
      </w:pPr>
      <w:r>
        <w:rPr>
          <w:szCs w:val="21"/>
        </w:rPr>
        <w:t>——</w:t>
      </w:r>
      <w:r>
        <w:rPr>
          <w:rFonts w:hAnsi="宋体"/>
          <w:szCs w:val="21"/>
        </w:rPr>
        <w:t>分析结果</w:t>
      </w:r>
      <w:r>
        <w:rPr>
          <w:rFonts w:hint="eastAsia" w:hAnsi="宋体"/>
          <w:szCs w:val="21"/>
          <w:lang w:val="en-US" w:eastAsia="zh-CN"/>
        </w:rPr>
        <w:t>及其表示</w:t>
      </w:r>
      <w:r>
        <w:rPr>
          <w:rFonts w:hAnsi="宋体"/>
          <w:szCs w:val="21"/>
        </w:rPr>
        <w:t>；</w:t>
      </w:r>
    </w:p>
    <w:p>
      <w:pPr>
        <w:ind w:firstLine="420" w:firstLineChars="200"/>
        <w:rPr>
          <w:szCs w:val="21"/>
        </w:rPr>
      </w:pPr>
      <w:r>
        <w:rPr>
          <w:szCs w:val="21"/>
        </w:rPr>
        <w:t>——</w:t>
      </w:r>
      <w:r>
        <w:rPr>
          <w:rFonts w:hAnsi="宋体"/>
          <w:szCs w:val="21"/>
        </w:rPr>
        <w:t>与基本分析步骤的差异；</w:t>
      </w:r>
    </w:p>
    <w:p>
      <w:pPr>
        <w:ind w:firstLine="420" w:firstLineChars="200"/>
        <w:rPr>
          <w:szCs w:val="21"/>
        </w:rPr>
      </w:pPr>
      <w:r>
        <w:rPr>
          <w:szCs w:val="21"/>
        </w:rPr>
        <w:t>——</w:t>
      </w:r>
      <w:r>
        <w:rPr>
          <w:rFonts w:hAnsi="宋体"/>
          <w:szCs w:val="21"/>
        </w:rPr>
        <w:t>测定中观察到的异常现象；</w:t>
      </w:r>
    </w:p>
    <w:p>
      <w:pPr>
        <w:ind w:firstLine="420" w:firstLineChars="200"/>
        <w:rPr>
          <w:szCs w:val="21"/>
        </w:rPr>
      </w:pPr>
      <w:r>
        <w:rPr>
          <w:szCs w:val="21"/>
        </w:rPr>
        <w:t>——试验日期</w:t>
      </w:r>
      <w:r>
        <w:rPr>
          <w:rFonts w:hint="eastAsia"/>
          <w:szCs w:val="21"/>
        </w:rPr>
        <w:t>。</w:t>
      </w:r>
    </w:p>
    <w:p>
      <w:pPr>
        <w:pStyle w:val="2"/>
        <w:rPr>
          <w:color w:val="000000"/>
        </w:rPr>
      </w:pPr>
    </w:p>
    <w:p>
      <w:pPr>
        <w:pStyle w:val="2"/>
        <w:rPr>
          <w:color w:val="000000"/>
        </w:rPr>
        <w:sectPr>
          <w:footerReference r:id="rId11" w:type="first"/>
          <w:headerReference r:id="rId8" w:type="default"/>
          <w:footerReference r:id="rId9" w:type="default"/>
          <w:footerReference r:id="rId10" w:type="even"/>
          <w:pgSz w:w="11906" w:h="16838"/>
          <w:pgMar w:top="567" w:right="1134" w:bottom="1134" w:left="1418" w:header="1418" w:footer="1134" w:gutter="0"/>
          <w:pgNumType w:start="1"/>
          <w:cols w:space="720" w:num="1"/>
          <w:formProt w:val="0"/>
          <w:docGrid w:type="lines" w:linePitch="312" w:charSpace="0"/>
        </w:sectPr>
      </w:pPr>
    </w:p>
    <w:p>
      <w:pPr>
        <w:widowControl/>
        <w:numPr>
          <w:ilvl w:val="1"/>
          <w:numId w:val="0"/>
        </w:numPr>
        <w:jc w:val="center"/>
        <w:outlineLvl w:val="1"/>
        <w:rPr>
          <w:rFonts w:hint="eastAsia" w:ascii="黑体" w:hAnsi="黑体" w:eastAsia="黑体" w:cs="黑体"/>
          <w:lang w:eastAsia="zh-CN"/>
        </w:rPr>
      </w:pPr>
      <w:r>
        <w:rPr>
          <w:rFonts w:hint="eastAsia" w:ascii="黑体" w:hAnsi="黑体" w:eastAsia="黑体" w:cs="黑体"/>
        </w:rPr>
        <w:t xml:space="preserve">附 录  </w:t>
      </w:r>
      <w:r>
        <w:rPr>
          <w:rFonts w:hint="eastAsia" w:ascii="黑体" w:hAnsi="黑体" w:eastAsia="黑体" w:cs="黑体"/>
          <w:lang w:val="en-US" w:eastAsia="zh-CN"/>
        </w:rPr>
        <w:t>A</w:t>
      </w:r>
    </w:p>
    <w:p>
      <w:pPr>
        <w:widowControl/>
        <w:numPr>
          <w:ilvl w:val="1"/>
          <w:numId w:val="0"/>
        </w:numPr>
        <w:jc w:val="center"/>
        <w:outlineLvl w:val="1"/>
        <w:rPr>
          <w:rFonts w:ascii="黑体" w:hAnsi="黑体" w:eastAsia="黑体" w:cs="黑体"/>
        </w:rPr>
      </w:pPr>
      <w:r>
        <w:rPr>
          <w:rFonts w:hint="eastAsia" w:ascii="黑体" w:hAnsi="黑体" w:eastAsia="黑体" w:cs="黑体"/>
        </w:rPr>
        <w:t>(资料性)</w:t>
      </w:r>
    </w:p>
    <w:p>
      <w:pPr>
        <w:widowControl/>
        <w:numPr>
          <w:ilvl w:val="1"/>
          <w:numId w:val="0"/>
        </w:numPr>
        <w:jc w:val="center"/>
        <w:outlineLvl w:val="1"/>
        <w:rPr>
          <w:rFonts w:ascii="黑体" w:hAnsi="黑体" w:eastAsia="黑体" w:cs="黑体"/>
        </w:rPr>
      </w:pPr>
      <w:r>
        <w:rPr>
          <w:rFonts w:hint="eastAsia" w:ascii="黑体" w:hAnsi="黑体" w:eastAsia="黑体" w:cs="黑体"/>
        </w:rPr>
        <w:t>精密度试验原始数据</w:t>
      </w:r>
    </w:p>
    <w:p>
      <w:pPr>
        <w:widowControl/>
        <w:numPr>
          <w:ilvl w:val="1"/>
          <w:numId w:val="0"/>
        </w:numPr>
        <w:jc w:val="center"/>
        <w:outlineLvl w:val="1"/>
      </w:pPr>
    </w:p>
    <w:p>
      <w:pPr>
        <w:widowControl/>
        <w:numPr>
          <w:ilvl w:val="1"/>
          <w:numId w:val="0"/>
        </w:numPr>
        <w:ind w:firstLine="420"/>
        <w:jc w:val="left"/>
        <w:outlineLvl w:val="1"/>
      </w:pPr>
      <w:r>
        <w:rPr>
          <w:rFonts w:hint="eastAsia"/>
        </w:rPr>
        <w:t>精密度数据是在2</w:t>
      </w:r>
      <w:r>
        <w:t>02</w:t>
      </w:r>
      <w:r>
        <w:rPr>
          <w:rFonts w:hint="eastAsia"/>
          <w:lang w:val="en-US" w:eastAsia="zh-CN"/>
        </w:rPr>
        <w:t>3</w:t>
      </w:r>
      <w:r>
        <w:rPr>
          <w:rFonts w:hint="eastAsia"/>
        </w:rPr>
        <w:t>年由</w:t>
      </w:r>
      <w:r>
        <w:rPr>
          <w:rFonts w:hint="eastAsia"/>
          <w:lang w:val="en-US" w:eastAsia="zh-CN"/>
        </w:rPr>
        <w:t>X</w:t>
      </w:r>
      <w:r>
        <w:rPr>
          <w:rFonts w:hint="eastAsia"/>
        </w:rPr>
        <w:t>家实验室对</w:t>
      </w:r>
      <w:r>
        <w:rPr>
          <w:rFonts w:hint="eastAsia"/>
          <w:lang w:val="en-US" w:eastAsia="zh-CN"/>
        </w:rPr>
        <w:t>锡</w:t>
      </w:r>
      <w:r>
        <w:rPr>
          <w:rFonts w:hint="eastAsia"/>
        </w:rPr>
        <w:t>含量的</w:t>
      </w:r>
      <w:r>
        <w:rPr>
          <w:rFonts w:hint="eastAsia"/>
          <w:lang w:val="en-US" w:eastAsia="zh-CN"/>
        </w:rPr>
        <w:t>X</w:t>
      </w:r>
      <w:r>
        <w:rPr>
          <w:rFonts w:hint="eastAsia"/>
        </w:rPr>
        <w:t>个不同水平进行共同试验确定的，每个实验室对每个水平</w:t>
      </w:r>
      <w:r>
        <w:rPr>
          <w:rFonts w:hint="eastAsia"/>
          <w:lang w:val="en-US" w:eastAsia="zh-CN"/>
        </w:rPr>
        <w:t>锡</w:t>
      </w:r>
      <w:r>
        <w:rPr>
          <w:rFonts w:hint="eastAsia"/>
        </w:rPr>
        <w:t>含量在重复性条件下独立测定</w:t>
      </w:r>
      <w:r>
        <w:rPr>
          <w:rFonts w:hint="eastAsia"/>
          <w:lang w:val="en-US" w:eastAsia="zh-CN"/>
        </w:rPr>
        <w:t>X</w:t>
      </w:r>
      <w:r>
        <w:rPr>
          <w:rFonts w:hint="eastAsia"/>
        </w:rPr>
        <w:t>次。精密度实验结果的原始数据见表</w:t>
      </w:r>
      <w:r>
        <w:rPr>
          <w:rFonts w:hint="eastAsia"/>
          <w:lang w:val="en-US" w:eastAsia="zh-CN"/>
        </w:rPr>
        <w:t>A</w:t>
      </w:r>
      <w:r>
        <w:rPr>
          <w:rFonts w:hint="eastAsia"/>
        </w:rPr>
        <w:t>.</w:t>
      </w:r>
      <w:r>
        <w:rPr>
          <w:rFonts w:hint="eastAsia"/>
          <w:lang w:val="en-US" w:eastAsia="zh-CN"/>
        </w:rPr>
        <w:t>1</w:t>
      </w:r>
      <w:r>
        <w:rPr>
          <w:rFonts w:hint="eastAsia"/>
        </w:rPr>
        <w:t>。</w:t>
      </w:r>
    </w:p>
    <w:p>
      <w:pPr>
        <w:pStyle w:val="2"/>
        <w:rPr>
          <w:color w:val="000000"/>
        </w:rPr>
      </w:pPr>
    </w:p>
    <w:p>
      <w:pPr>
        <w:widowControl/>
        <w:numPr>
          <w:ilvl w:val="1"/>
          <w:numId w:val="0"/>
        </w:numPr>
        <w:ind w:firstLine="3570" w:firstLineChars="1700"/>
        <w:outlineLvl w:val="1"/>
        <w:rPr>
          <w:rFonts w:ascii="黑体" w:hAnsi="黑体" w:eastAsia="黑体" w:cs="黑体"/>
        </w:rPr>
      </w:pPr>
      <w:r>
        <w:rPr>
          <w:rFonts w:hint="eastAsia" w:ascii="黑体" w:hAnsi="黑体" w:eastAsia="黑体" w:cs="黑体"/>
        </w:rPr>
        <w:t>表</w:t>
      </w:r>
      <w:r>
        <w:rPr>
          <w:rFonts w:hint="eastAsia" w:ascii="黑体" w:hAnsi="黑体" w:eastAsia="黑体" w:cs="黑体"/>
          <w:lang w:val="en-US" w:eastAsia="zh-CN"/>
        </w:rPr>
        <w:t>A</w:t>
      </w:r>
      <w:r>
        <w:rPr>
          <w:rFonts w:hint="eastAsia" w:ascii="黑体" w:hAnsi="黑体" w:eastAsia="黑体" w:cs="黑体"/>
        </w:rPr>
        <w:t>.</w:t>
      </w:r>
      <w:r>
        <w:rPr>
          <w:rFonts w:hint="eastAsia" w:ascii="黑体" w:hAnsi="黑体" w:eastAsia="黑体" w:cs="黑体"/>
          <w:lang w:val="en-US" w:eastAsia="zh-CN"/>
        </w:rPr>
        <w:t>1</w:t>
      </w:r>
      <w:r>
        <w:rPr>
          <w:rFonts w:hint="eastAsia" w:ascii="黑体" w:hAnsi="黑体" w:eastAsia="黑体" w:cs="黑体"/>
        </w:rPr>
        <w:t xml:space="preserve">  精密度试验原始数据</w:t>
      </w:r>
    </w:p>
    <w:tbl>
      <w:tblPr>
        <w:tblStyle w:val="33"/>
        <w:tblW w:w="9694" w:type="dxa"/>
        <w:jc w:val="center"/>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1622"/>
        <w:gridCol w:w="1623"/>
        <w:gridCol w:w="1623"/>
        <w:gridCol w:w="1623"/>
        <w:gridCol w:w="1017"/>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restart"/>
            <w:tcBorders>
              <w:top w:val="single" w:color="auto" w:sz="12" w:space="0"/>
            </w:tcBorders>
            <w:vAlign w:val="center"/>
          </w:tcPr>
          <w:p>
            <w:pPr>
              <w:widowControl/>
              <w:numPr>
                <w:ilvl w:val="1"/>
                <w:numId w:val="0"/>
              </w:numPr>
              <w:jc w:val="center"/>
              <w:outlineLvl w:val="1"/>
              <w:rPr>
                <w:sz w:val="18"/>
                <w:szCs w:val="18"/>
              </w:rPr>
            </w:pPr>
            <w:r>
              <w:rPr>
                <w:rFonts w:hint="eastAsia"/>
                <w:sz w:val="18"/>
                <w:szCs w:val="18"/>
              </w:rPr>
              <w:t>实验室</w:t>
            </w:r>
          </w:p>
        </w:tc>
        <w:tc>
          <w:tcPr>
            <w:tcW w:w="1622" w:type="dxa"/>
            <w:vMerge w:val="restart"/>
            <w:tcBorders>
              <w:top w:val="single" w:color="auto" w:sz="12" w:space="0"/>
            </w:tcBorders>
            <w:vAlign w:val="center"/>
          </w:tcPr>
          <w:p>
            <w:pPr>
              <w:widowControl/>
              <w:numPr>
                <w:ilvl w:val="1"/>
                <w:numId w:val="0"/>
              </w:numPr>
              <w:jc w:val="center"/>
              <w:outlineLvl w:val="1"/>
              <w:rPr>
                <w:sz w:val="18"/>
                <w:szCs w:val="18"/>
              </w:rPr>
            </w:pPr>
            <w:r>
              <w:rPr>
                <w:sz w:val="18"/>
                <w:szCs w:val="18"/>
              </w:rPr>
              <w:t>n</w:t>
            </w:r>
          </w:p>
        </w:tc>
        <w:tc>
          <w:tcPr>
            <w:tcW w:w="5886" w:type="dxa"/>
            <w:gridSpan w:val="4"/>
            <w:tcBorders>
              <w:top w:val="single" w:color="auto" w:sz="12" w:space="0"/>
            </w:tcBorders>
            <w:vAlign w:val="center"/>
          </w:tcPr>
          <w:p>
            <w:pPr>
              <w:widowControl/>
              <w:numPr>
                <w:ilvl w:val="1"/>
                <w:numId w:val="0"/>
              </w:numPr>
              <w:jc w:val="center"/>
              <w:outlineLvl w:val="1"/>
              <w:rPr>
                <w:sz w:val="18"/>
                <w:szCs w:val="18"/>
              </w:rPr>
            </w:pPr>
            <w:r>
              <w:rPr>
                <w:rFonts w:hint="eastAsia"/>
                <w:sz w:val="18"/>
                <w:szCs w:val="18"/>
                <w:lang w:val="en-US" w:eastAsia="zh-CN"/>
              </w:rPr>
              <w:t>锡</w:t>
            </w:r>
            <w:r>
              <w:rPr>
                <w:rFonts w:hint="eastAsia"/>
                <w:sz w:val="18"/>
                <w:szCs w:val="18"/>
              </w:rPr>
              <w:t>的质量分数</w:t>
            </w:r>
          </w:p>
          <w:p>
            <w:pPr>
              <w:widowControl/>
              <w:numPr>
                <w:ilvl w:val="1"/>
                <w:numId w:val="0"/>
              </w:numPr>
              <w:jc w:val="center"/>
              <w:outlineLvl w:val="1"/>
              <w:rPr>
                <w:sz w:val="18"/>
                <w:szCs w:val="18"/>
              </w:rPr>
            </w:pPr>
            <w:r>
              <w:rPr>
                <w:sz w:val="18"/>
                <w:szCs w:val="18"/>
              </w:rPr>
              <w:t>%</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bottom w:val="single" w:color="auto" w:sz="12" w:space="0"/>
            </w:tcBorders>
            <w:vAlign w:val="center"/>
          </w:tcPr>
          <w:p>
            <w:pPr>
              <w:widowControl/>
              <w:numPr>
                <w:ilvl w:val="1"/>
                <w:numId w:val="0"/>
              </w:numPr>
              <w:jc w:val="center"/>
              <w:outlineLvl w:val="1"/>
              <w:rPr>
                <w:sz w:val="18"/>
                <w:szCs w:val="18"/>
              </w:rPr>
            </w:pPr>
          </w:p>
        </w:tc>
        <w:tc>
          <w:tcPr>
            <w:tcW w:w="1622" w:type="dxa"/>
            <w:vMerge w:val="continue"/>
            <w:tcBorders>
              <w:bottom w:val="single" w:color="auto" w:sz="12" w:space="0"/>
            </w:tcBorders>
            <w:vAlign w:val="center"/>
          </w:tcPr>
          <w:p>
            <w:pPr>
              <w:widowControl/>
              <w:numPr>
                <w:ilvl w:val="1"/>
                <w:numId w:val="0"/>
              </w:numPr>
              <w:jc w:val="center"/>
              <w:outlineLvl w:val="1"/>
              <w:rPr>
                <w:sz w:val="18"/>
                <w:szCs w:val="18"/>
              </w:rPr>
            </w:pPr>
          </w:p>
        </w:tc>
        <w:tc>
          <w:tcPr>
            <w:tcW w:w="1623"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水平1</w:t>
            </w:r>
          </w:p>
        </w:tc>
        <w:tc>
          <w:tcPr>
            <w:tcW w:w="1623"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水平2</w:t>
            </w:r>
          </w:p>
        </w:tc>
        <w:tc>
          <w:tcPr>
            <w:tcW w:w="1623"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水平3</w:t>
            </w:r>
          </w:p>
        </w:tc>
        <w:tc>
          <w:tcPr>
            <w:tcW w:w="1017" w:type="dxa"/>
            <w:tcBorders>
              <w:bottom w:val="single" w:color="auto" w:sz="12" w:space="0"/>
            </w:tcBorders>
            <w:vAlign w:val="center"/>
          </w:tcPr>
          <w:p>
            <w:pPr>
              <w:widowControl/>
              <w:numPr>
                <w:ilvl w:val="1"/>
                <w:numId w:val="0"/>
              </w:numPr>
              <w:jc w:val="center"/>
              <w:outlineLvl w:val="1"/>
              <w:rPr>
                <w:sz w:val="18"/>
                <w:szCs w:val="18"/>
              </w:rPr>
            </w:pPr>
            <w:r>
              <w:rPr>
                <w:rFonts w:hint="eastAsia"/>
                <w:sz w:val="18"/>
                <w:szCs w:val="18"/>
              </w:rPr>
              <w:t>水平4</w:t>
            </w: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restart"/>
            <w:tcBorders>
              <w:top w:val="single" w:color="auto" w:sz="12" w:space="0"/>
              <w:tl2br w:val="nil"/>
              <w:tr2bl w:val="nil"/>
            </w:tcBorders>
            <w:vAlign w:val="center"/>
          </w:tcPr>
          <w:p>
            <w:pPr>
              <w:widowControl/>
              <w:numPr>
                <w:ilvl w:val="1"/>
                <w:numId w:val="0"/>
              </w:numPr>
              <w:jc w:val="center"/>
              <w:outlineLvl w:val="1"/>
              <w:rPr>
                <w:sz w:val="18"/>
                <w:szCs w:val="18"/>
              </w:rPr>
            </w:pPr>
            <w:r>
              <w:rPr>
                <w:rFonts w:hint="eastAsia"/>
                <w:sz w:val="18"/>
                <w:szCs w:val="18"/>
              </w:rPr>
              <w:t>1</w:t>
            </w:r>
          </w:p>
        </w:tc>
        <w:tc>
          <w:tcPr>
            <w:tcW w:w="1622" w:type="dxa"/>
            <w:tcBorders>
              <w:top w:val="single" w:color="auto" w:sz="12" w:space="0"/>
              <w:tl2br w:val="nil"/>
              <w:tr2bl w:val="nil"/>
            </w:tcBorders>
            <w:vAlign w:val="center"/>
          </w:tcPr>
          <w:p>
            <w:pPr>
              <w:widowControl/>
              <w:numPr>
                <w:ilvl w:val="1"/>
                <w:numId w:val="0"/>
              </w:numPr>
              <w:jc w:val="center"/>
              <w:outlineLvl w:val="1"/>
              <w:rPr>
                <w:sz w:val="18"/>
                <w:szCs w:val="18"/>
              </w:rPr>
            </w:pPr>
            <w:r>
              <w:rPr>
                <w:rFonts w:hint="eastAsia"/>
                <w:sz w:val="18"/>
                <w:szCs w:val="18"/>
              </w:rPr>
              <w:t>1</w:t>
            </w:r>
          </w:p>
        </w:tc>
        <w:tc>
          <w:tcPr>
            <w:tcW w:w="1623" w:type="dxa"/>
            <w:tcBorders>
              <w:top w:val="single" w:color="auto" w:sz="12" w:space="0"/>
              <w:tl2br w:val="nil"/>
              <w:tr2bl w:val="nil"/>
            </w:tcBorders>
            <w:vAlign w:val="center"/>
          </w:tcPr>
          <w:p>
            <w:pPr>
              <w:widowControl/>
              <w:numPr>
                <w:ilvl w:val="1"/>
                <w:numId w:val="0"/>
              </w:numPr>
              <w:jc w:val="center"/>
              <w:outlineLvl w:val="1"/>
              <w:rPr>
                <w:sz w:val="18"/>
                <w:szCs w:val="18"/>
              </w:rPr>
            </w:pPr>
          </w:p>
        </w:tc>
        <w:tc>
          <w:tcPr>
            <w:tcW w:w="1623" w:type="dxa"/>
            <w:tcBorders>
              <w:top w:val="single" w:color="auto" w:sz="12" w:space="0"/>
              <w:tl2br w:val="nil"/>
              <w:tr2bl w:val="nil"/>
            </w:tcBorders>
            <w:vAlign w:val="center"/>
          </w:tcPr>
          <w:p>
            <w:pPr>
              <w:widowControl/>
              <w:numPr>
                <w:ilvl w:val="1"/>
                <w:numId w:val="0"/>
              </w:numPr>
              <w:jc w:val="center"/>
              <w:outlineLvl w:val="1"/>
              <w:rPr>
                <w:sz w:val="18"/>
                <w:szCs w:val="18"/>
              </w:rPr>
            </w:pPr>
          </w:p>
        </w:tc>
        <w:tc>
          <w:tcPr>
            <w:tcW w:w="1623" w:type="dxa"/>
            <w:tcBorders>
              <w:top w:val="single" w:color="auto" w:sz="12" w:space="0"/>
              <w:tl2br w:val="nil"/>
              <w:tr2bl w:val="nil"/>
            </w:tcBorders>
            <w:vAlign w:val="center"/>
          </w:tcPr>
          <w:p>
            <w:pPr>
              <w:widowControl/>
              <w:numPr>
                <w:ilvl w:val="1"/>
                <w:numId w:val="0"/>
              </w:numPr>
              <w:jc w:val="center"/>
              <w:outlineLvl w:val="1"/>
              <w:rPr>
                <w:sz w:val="18"/>
                <w:szCs w:val="18"/>
              </w:rPr>
            </w:pPr>
          </w:p>
        </w:tc>
        <w:tc>
          <w:tcPr>
            <w:tcW w:w="1017" w:type="dxa"/>
            <w:tcBorders>
              <w:top w:val="single" w:color="auto" w:sz="12" w:space="0"/>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rFonts w:hint="eastAsia"/>
                <w:sz w:val="18"/>
                <w:szCs w:val="18"/>
              </w:rPr>
              <w:t>2</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rFonts w:hint="eastAsia"/>
                <w:sz w:val="18"/>
                <w:szCs w:val="18"/>
              </w:rPr>
              <w:t>3</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rFonts w:hint="eastAsia"/>
                <w:sz w:val="18"/>
                <w:szCs w:val="18"/>
              </w:rPr>
              <w:t>4</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restart"/>
            <w:tcBorders>
              <w:tl2br w:val="nil"/>
              <w:tr2bl w:val="nil"/>
            </w:tcBorders>
            <w:vAlign w:val="center"/>
          </w:tcPr>
          <w:p>
            <w:pPr>
              <w:widowControl/>
              <w:numPr>
                <w:ilvl w:val="1"/>
                <w:numId w:val="0"/>
              </w:numPr>
              <w:jc w:val="center"/>
              <w:outlineLvl w:val="1"/>
              <w:rPr>
                <w:sz w:val="18"/>
                <w:szCs w:val="18"/>
              </w:rPr>
            </w:pPr>
            <w:r>
              <w:rPr>
                <w:rFonts w:hint="eastAsia"/>
                <w:sz w:val="18"/>
                <w:szCs w:val="18"/>
              </w:rPr>
              <w:t>2</w:t>
            </w:r>
          </w:p>
        </w:tc>
        <w:tc>
          <w:tcPr>
            <w:tcW w:w="1622" w:type="dxa"/>
            <w:tcBorders>
              <w:tl2br w:val="nil"/>
              <w:tr2bl w:val="nil"/>
            </w:tcBorders>
            <w:vAlign w:val="center"/>
          </w:tcPr>
          <w:p>
            <w:pPr>
              <w:widowControl/>
              <w:numPr>
                <w:ilvl w:val="1"/>
                <w:numId w:val="0"/>
              </w:numPr>
              <w:jc w:val="center"/>
              <w:outlineLvl w:val="1"/>
              <w:rPr>
                <w:sz w:val="18"/>
                <w:szCs w:val="18"/>
              </w:rPr>
            </w:pPr>
            <w:r>
              <w:rPr>
                <w:sz w:val="18"/>
                <w:szCs w:val="18"/>
              </w:rPr>
              <w:t>1</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sz w:val="18"/>
                <w:szCs w:val="18"/>
              </w:rPr>
              <w:t>2</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sz w:val="18"/>
                <w:szCs w:val="18"/>
              </w:rPr>
              <w:t>3</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186" w:type="dxa"/>
            <w:vMerge w:val="continue"/>
            <w:tcBorders>
              <w:tl2br w:val="nil"/>
              <w:tr2bl w:val="nil"/>
            </w:tcBorders>
            <w:vAlign w:val="center"/>
          </w:tcPr>
          <w:p>
            <w:pPr>
              <w:widowControl/>
              <w:numPr>
                <w:ilvl w:val="1"/>
                <w:numId w:val="0"/>
              </w:numPr>
              <w:jc w:val="center"/>
              <w:outlineLvl w:val="1"/>
              <w:rPr>
                <w:sz w:val="18"/>
                <w:szCs w:val="18"/>
              </w:rPr>
            </w:pPr>
          </w:p>
        </w:tc>
        <w:tc>
          <w:tcPr>
            <w:tcW w:w="1622" w:type="dxa"/>
            <w:tcBorders>
              <w:tl2br w:val="nil"/>
              <w:tr2bl w:val="nil"/>
            </w:tcBorders>
            <w:vAlign w:val="center"/>
          </w:tcPr>
          <w:p>
            <w:pPr>
              <w:widowControl/>
              <w:numPr>
                <w:ilvl w:val="1"/>
                <w:numId w:val="0"/>
              </w:numPr>
              <w:jc w:val="center"/>
              <w:outlineLvl w:val="1"/>
              <w:rPr>
                <w:sz w:val="18"/>
                <w:szCs w:val="18"/>
              </w:rPr>
            </w:pPr>
            <w:r>
              <w:rPr>
                <w:sz w:val="18"/>
                <w:szCs w:val="18"/>
              </w:rPr>
              <w:t>4</w:t>
            </w: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623" w:type="dxa"/>
            <w:tcBorders>
              <w:tl2br w:val="nil"/>
              <w:tr2bl w:val="nil"/>
            </w:tcBorders>
            <w:vAlign w:val="center"/>
          </w:tcPr>
          <w:p>
            <w:pPr>
              <w:widowControl/>
              <w:numPr>
                <w:ilvl w:val="1"/>
                <w:numId w:val="0"/>
              </w:numPr>
              <w:jc w:val="center"/>
              <w:outlineLvl w:val="1"/>
              <w:rPr>
                <w:sz w:val="18"/>
                <w:szCs w:val="18"/>
              </w:rPr>
            </w:pPr>
          </w:p>
        </w:tc>
        <w:tc>
          <w:tcPr>
            <w:tcW w:w="1017" w:type="dxa"/>
            <w:tcBorders>
              <w:tl2br w:val="nil"/>
              <w:tr2bl w:val="nil"/>
            </w:tcBorders>
            <w:vAlign w:val="center"/>
          </w:tcPr>
          <w:p>
            <w:pPr>
              <w:widowControl/>
              <w:numPr>
                <w:ilvl w:val="1"/>
                <w:numId w:val="0"/>
              </w:numPr>
              <w:jc w:val="center"/>
              <w:outlineLvl w:val="1"/>
              <w:rPr>
                <w:sz w:val="18"/>
                <w:szCs w:val="18"/>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94" w:type="dxa"/>
            <w:gridSpan w:val="6"/>
            <w:tcBorders>
              <w:tl2br w:val="nil"/>
              <w:tr2bl w:val="nil"/>
            </w:tcBorders>
            <w:vAlign w:val="center"/>
          </w:tcPr>
          <w:p>
            <w:pPr>
              <w:widowControl/>
              <w:numPr>
                <w:ilvl w:val="1"/>
                <w:numId w:val="0"/>
              </w:numPr>
              <w:jc w:val="both"/>
              <w:outlineLvl w:val="1"/>
              <w:rPr>
                <w:sz w:val="18"/>
                <w:szCs w:val="18"/>
              </w:rPr>
            </w:pPr>
            <w:r>
              <w:rPr>
                <w:rFonts w:hint="eastAsia" w:ascii="黑体" w:hAnsi="黑体" w:eastAsia="黑体" w:cs="黑体"/>
                <w:sz w:val="15"/>
                <w:szCs w:val="15"/>
              </w:rPr>
              <w:t>注</w:t>
            </w:r>
            <w:r>
              <w:rPr>
                <w:rFonts w:hint="eastAsia"/>
                <w:sz w:val="15"/>
                <w:szCs w:val="15"/>
              </w:rPr>
              <w:t>：</w:t>
            </w:r>
            <w:r>
              <w:rPr>
                <w:sz w:val="15"/>
                <w:szCs w:val="15"/>
              </w:rPr>
              <w:t>双星号（**）</w:t>
            </w:r>
            <w:r>
              <w:rPr>
                <w:rFonts w:hint="eastAsia"/>
                <w:sz w:val="15"/>
                <w:szCs w:val="15"/>
              </w:rPr>
              <w:t>表示</w:t>
            </w:r>
            <w:r>
              <w:rPr>
                <w:sz w:val="15"/>
                <w:szCs w:val="15"/>
              </w:rPr>
              <w:t>离群值</w:t>
            </w:r>
            <w:r>
              <w:rPr>
                <w:rFonts w:hint="eastAsia"/>
                <w:sz w:val="15"/>
                <w:szCs w:val="15"/>
              </w:rPr>
              <w:t>。</w:t>
            </w:r>
          </w:p>
        </w:tc>
      </w:tr>
    </w:tbl>
    <w:p>
      <w:pPr>
        <w:pStyle w:val="2"/>
        <w:rPr>
          <w:color w:val="000000"/>
        </w:rPr>
      </w:pPr>
    </w:p>
    <w:p>
      <w:pPr>
        <w:rPr>
          <w:rFonts w:ascii="宋体" w:hAnsi="宋体"/>
          <w:color w:val="000000"/>
          <w:szCs w:val="21"/>
          <w:u w:val="thick"/>
        </w:rPr>
      </w:pPr>
      <w:r>
        <w:rPr>
          <w:rFonts w:hint="eastAsia" w:ascii="宋体" w:hAnsi="宋体"/>
          <w:color w:val="000000"/>
          <w:szCs w:val="21"/>
        </w:rPr>
        <w:t xml:space="preserve">                         </w:t>
      </w:r>
      <w:r>
        <w:rPr>
          <w:rFonts w:hint="eastAsia" w:ascii="宋体" w:hAnsi="宋体"/>
          <w:color w:val="000000"/>
          <w:szCs w:val="21"/>
          <w:u w:val="thick"/>
        </w:rPr>
        <w:t xml:space="preserve">          </w:t>
      </w:r>
      <w:bookmarkStart w:id="10" w:name="_GoBack"/>
      <w:bookmarkEnd w:id="10"/>
      <w:r>
        <w:rPr>
          <w:rFonts w:hint="eastAsia" w:ascii="宋体" w:hAnsi="宋体"/>
          <w:color w:val="000000"/>
          <w:szCs w:val="21"/>
          <w:u w:val="thick"/>
        </w:rPr>
        <w:t xml:space="preserve">                      </w:t>
      </w:r>
    </w:p>
    <w:p>
      <w:pPr>
        <w:rPr>
          <w:rFonts w:ascii="宋体" w:hAnsi="宋体"/>
          <w:color w:val="000000"/>
          <w:szCs w:val="21"/>
          <w:u w:val="thick"/>
        </w:rPr>
      </w:pPr>
    </w:p>
    <w:p>
      <w:pPr>
        <w:pStyle w:val="2"/>
        <w:rPr>
          <w:color w:val="000000"/>
        </w:rPr>
      </w:pPr>
    </w:p>
    <w:p>
      <w:pPr>
        <w:pStyle w:val="133"/>
        <w:numPr>
          <w:ilvl w:val="0"/>
          <w:numId w:val="0"/>
        </w:numPr>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- 2 -</w:t>
    </w:r>
    <w:r>
      <w:rPr>
        <w:rFonts w:ascii="宋体" w:hAnsi="宋体"/>
      </w:rPr>
      <w:fldChar w:fldCharType="end"/>
    </w:r>
  </w:p>
  <w:p>
    <w:pPr>
      <w:pStyle w:val="19"/>
      <w:framePr w:wrap="around" w:vAnchor="text" w:hAnchor="margin" w:xAlign="inside" w:y="1"/>
      <w:ind w:firstLine="360"/>
      <w:rPr>
        <w:rStyle w:val="36"/>
      </w:rPr>
    </w:pPr>
  </w:p>
  <w:p>
    <w:pPr>
      <w:pStyle w:val="132"/>
      <w:ind w:left="0" w:right="360"/>
      <w:rPr>
        <w:rStyle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 PAGE   \* MERGEFORMAT </w:instrText>
    </w:r>
    <w:r>
      <w:fldChar w:fldCharType="separate"/>
    </w:r>
    <w:r>
      <w:rPr>
        <w:lang w:val="zh-CN"/>
      </w:rPr>
      <w:t>4</w:t>
    </w:r>
    <w:r>
      <w:fldChar w:fldCharType="end"/>
    </w:r>
  </w:p>
  <w:p>
    <w:pPr>
      <w:pStyle w:val="8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fldChar w:fldCharType="begin"/>
    </w:r>
    <w:r>
      <w:instrText xml:space="preserve"> PAGE   \* MERGEFORMAT </w:instrText>
    </w:r>
    <w:r>
      <w:fldChar w:fldCharType="separate"/>
    </w:r>
    <w:r>
      <w:rPr>
        <w:lang w:val="zh-CN"/>
      </w:rPr>
      <w:t>16</w:t>
    </w:r>
    <w:r>
      <w:fldChar w:fldCharType="end"/>
    </w:r>
  </w:p>
  <w:p>
    <w:pPr>
      <w:pStyle w:val="132"/>
      <w:tabs>
        <w:tab w:val="left" w:pos="1035"/>
      </w:tabs>
      <w:ind w:left="0" w:right="360"/>
      <w:rPr>
        <w:rStyle w:val="3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hint="eastAsia"/>
      </w:rPr>
    </w:pPr>
    <w:r>
      <w:rPr>
        <w:rFonts w:hint="eastAsia" w:ascii="黑体" w:eastAsia="黑体"/>
        <w:sz w:val="21"/>
        <w:szCs w:val="21"/>
      </w:rPr>
      <w:t>T/CNIA XXXX-20XX</w:t>
    </w: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7"/>
    </w:pPr>
    <w:r>
      <w:t>XX/T XXXXX—202X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hint="eastAsia"/>
      </w:rPr>
    </w:pPr>
    <w:r>
      <w:rPr>
        <w:rFonts w:hint="eastAsia" w:ascii="黑体" w:eastAsia="黑体"/>
        <w:sz w:val="21"/>
        <w:szCs w:val="21"/>
      </w:rPr>
      <w:t>T/CNIA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F583A"/>
    <w:multiLevelType w:val="multilevel"/>
    <w:tmpl w:val="1DBF583A"/>
    <w:lvl w:ilvl="0" w:tentative="0">
      <w:start w:val="1"/>
      <w:numFmt w:val="decimal"/>
      <w:pStyle w:val="14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6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9"/>
      <w:suff w:val="nothing"/>
      <w:lvlText w:val="%1.%2.%3　"/>
      <w:lvlJc w:val="left"/>
      <w:pPr>
        <w:ind w:left="0" w:firstLine="0"/>
      </w:pPr>
      <w:rPr>
        <w:rFonts w:hint="default" w:ascii="黑体" w:hAnsi="黑体" w:eastAsia="黑体" w:cs="黑体"/>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tentative="0">
      <w:start w:val="1"/>
      <w:numFmt w:val="upperLetter"/>
      <w:pStyle w:val="114"/>
      <w:suff w:val="space"/>
      <w:lvlText w:val="%1"/>
      <w:lvlJc w:val="left"/>
      <w:pPr>
        <w:ind w:left="623" w:hanging="425"/>
      </w:pPr>
      <w:rPr>
        <w:rFonts w:hint="eastAsia"/>
      </w:rPr>
    </w:lvl>
    <w:lvl w:ilvl="1" w:tentative="0">
      <w:start w:val="1"/>
      <w:numFmt w:val="decimal"/>
      <w:pStyle w:val="12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tentative="0">
      <w:start w:val="1"/>
      <w:numFmt w:val="none"/>
      <w:pStyle w:val="91"/>
      <w:suff w:val="nothing"/>
      <w:lvlText w:val="%1——"/>
      <w:lvlJc w:val="left"/>
      <w:pPr>
        <w:ind w:left="833" w:hanging="408"/>
      </w:pPr>
      <w:rPr>
        <w:rFonts w:hint="eastAsia"/>
      </w:rPr>
    </w:lvl>
    <w:lvl w:ilvl="1" w:tentative="0">
      <w:start w:val="1"/>
      <w:numFmt w:val="bullet"/>
      <w:pStyle w:val="93"/>
      <w:lvlText w:val=""/>
      <w:lvlJc w:val="left"/>
      <w:pPr>
        <w:tabs>
          <w:tab w:val="left" w:pos="760"/>
        </w:tabs>
        <w:ind w:left="1264" w:hanging="413"/>
      </w:pPr>
      <w:rPr>
        <w:rFonts w:hint="default" w:ascii="Symbol" w:hAnsi="Symbol"/>
        <w:color w:val="auto"/>
      </w:rPr>
    </w:lvl>
    <w:lvl w:ilvl="2" w:tentative="0">
      <w:start w:val="1"/>
      <w:numFmt w:val="bullet"/>
      <w:pStyle w:val="7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5">
    <w:nsid w:val="44C50F90"/>
    <w:multiLevelType w:val="multilevel"/>
    <w:tmpl w:val="44C50F90"/>
    <w:lvl w:ilvl="0" w:tentative="0">
      <w:start w:val="1"/>
      <w:numFmt w:val="lowerLetter"/>
      <w:pStyle w:val="11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4"/>
      <w:lvlText w:val="%2)"/>
      <w:lvlJc w:val="left"/>
      <w:pPr>
        <w:tabs>
          <w:tab w:val="left" w:pos="1260"/>
        </w:tabs>
        <w:ind w:left="1259" w:hanging="419"/>
      </w:pPr>
      <w:rPr>
        <w:rFonts w:hint="eastAsia"/>
      </w:rPr>
    </w:lvl>
    <w:lvl w:ilvl="2" w:tentative="0">
      <w:start w:val="1"/>
      <w:numFmt w:val="decimal"/>
      <w:pStyle w:val="12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11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5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5"/>
      <w:suff w:val="nothing"/>
      <w:lvlText w:val="%1.%2.%3　"/>
      <w:lvlJc w:val="left"/>
      <w:pPr>
        <w:ind w:left="0" w:firstLine="0"/>
      </w:pPr>
      <w:rPr>
        <w:rFonts w:hint="eastAsia" w:ascii="黑体" w:hAnsi="Times New Roman" w:eastAsia="黑体"/>
        <w:b w:val="0"/>
        <w:i w:val="0"/>
        <w:sz w:val="21"/>
      </w:rPr>
    </w:lvl>
    <w:lvl w:ilvl="3" w:tentative="0">
      <w:start w:val="1"/>
      <w:numFmt w:val="decimal"/>
      <w:pStyle w:val="66"/>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35"/>
      <w:lvlText w:val="%1)"/>
      <w:lvlJc w:val="left"/>
      <w:pPr>
        <w:tabs>
          <w:tab w:val="left" w:pos="839"/>
        </w:tabs>
        <w:ind w:left="839" w:hanging="419"/>
      </w:pPr>
      <w:rPr>
        <w:rFonts w:hint="eastAsia" w:ascii="宋体" w:eastAsia="宋体"/>
        <w:b w:val="0"/>
        <w:i w:val="0"/>
        <w:sz w:val="21"/>
      </w:rPr>
    </w:lvl>
    <w:lvl w:ilvl="1" w:tentative="0">
      <w:start w:val="1"/>
      <w:numFmt w:val="decimal"/>
      <w:pStyle w:val="14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4"/>
  </w:num>
  <w:num w:numId="2">
    <w:abstractNumId w:val="8"/>
  </w:num>
  <w:num w:numId="3">
    <w:abstractNumId w:val="1"/>
  </w:num>
  <w:num w:numId="4">
    <w:abstractNumId w:val="3"/>
  </w:num>
  <w:num w:numId="5">
    <w:abstractNumId w:val="5"/>
  </w:num>
  <w:num w:numId="6">
    <w:abstractNumId w:val="6"/>
  </w:num>
  <w:num w:numId="7">
    <w:abstractNumId w:val="2"/>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YzdjZGZmYTg4ODk3ZjhiZWVkODZlNDE4MWJmZTgifQ=="/>
  </w:docVars>
  <w:rsids>
    <w:rsidRoot w:val="005E1FBC"/>
    <w:rsid w:val="00000244"/>
    <w:rsid w:val="0000185F"/>
    <w:rsid w:val="0000586F"/>
    <w:rsid w:val="00007F85"/>
    <w:rsid w:val="00013D86"/>
    <w:rsid w:val="00013E02"/>
    <w:rsid w:val="00015905"/>
    <w:rsid w:val="0002143C"/>
    <w:rsid w:val="000256A5"/>
    <w:rsid w:val="00025A65"/>
    <w:rsid w:val="00026C31"/>
    <w:rsid w:val="00026E6E"/>
    <w:rsid w:val="00027280"/>
    <w:rsid w:val="000320A7"/>
    <w:rsid w:val="00035925"/>
    <w:rsid w:val="0004209B"/>
    <w:rsid w:val="000464C3"/>
    <w:rsid w:val="00051846"/>
    <w:rsid w:val="00053014"/>
    <w:rsid w:val="00057CBE"/>
    <w:rsid w:val="0006069C"/>
    <w:rsid w:val="000667E2"/>
    <w:rsid w:val="00067CDF"/>
    <w:rsid w:val="00073A1E"/>
    <w:rsid w:val="00074FBE"/>
    <w:rsid w:val="00083A09"/>
    <w:rsid w:val="00086DE1"/>
    <w:rsid w:val="0009005E"/>
    <w:rsid w:val="00092857"/>
    <w:rsid w:val="000A20A9"/>
    <w:rsid w:val="000A48B1"/>
    <w:rsid w:val="000A54ED"/>
    <w:rsid w:val="000B08A1"/>
    <w:rsid w:val="000B271D"/>
    <w:rsid w:val="000B3143"/>
    <w:rsid w:val="000B570D"/>
    <w:rsid w:val="000C6B05"/>
    <w:rsid w:val="000C6DD6"/>
    <w:rsid w:val="000C71C5"/>
    <w:rsid w:val="000C73D4"/>
    <w:rsid w:val="000D18F7"/>
    <w:rsid w:val="000D3D4C"/>
    <w:rsid w:val="000D3F5F"/>
    <w:rsid w:val="000D4F51"/>
    <w:rsid w:val="000D718B"/>
    <w:rsid w:val="000E0C46"/>
    <w:rsid w:val="000E274A"/>
    <w:rsid w:val="000F030C"/>
    <w:rsid w:val="000F129C"/>
    <w:rsid w:val="000F1CA2"/>
    <w:rsid w:val="000F2D0B"/>
    <w:rsid w:val="000F4B2E"/>
    <w:rsid w:val="000F5DB8"/>
    <w:rsid w:val="000F6F3C"/>
    <w:rsid w:val="000F7E4D"/>
    <w:rsid w:val="00104621"/>
    <w:rsid w:val="001056DE"/>
    <w:rsid w:val="001124C0"/>
    <w:rsid w:val="00117570"/>
    <w:rsid w:val="001178DD"/>
    <w:rsid w:val="00123BA3"/>
    <w:rsid w:val="00124304"/>
    <w:rsid w:val="0013175F"/>
    <w:rsid w:val="00140BA2"/>
    <w:rsid w:val="001415A3"/>
    <w:rsid w:val="001508D7"/>
    <w:rsid w:val="001512B4"/>
    <w:rsid w:val="00151601"/>
    <w:rsid w:val="001620A5"/>
    <w:rsid w:val="00164E53"/>
    <w:rsid w:val="0016699D"/>
    <w:rsid w:val="00175159"/>
    <w:rsid w:val="00176208"/>
    <w:rsid w:val="0018211B"/>
    <w:rsid w:val="001840D3"/>
    <w:rsid w:val="00187B7C"/>
    <w:rsid w:val="001900F8"/>
    <w:rsid w:val="00190D81"/>
    <w:rsid w:val="00191258"/>
    <w:rsid w:val="00192680"/>
    <w:rsid w:val="00193037"/>
    <w:rsid w:val="00193A2C"/>
    <w:rsid w:val="00197592"/>
    <w:rsid w:val="001A288E"/>
    <w:rsid w:val="001A4936"/>
    <w:rsid w:val="001A528D"/>
    <w:rsid w:val="001B6DC2"/>
    <w:rsid w:val="001B6FD9"/>
    <w:rsid w:val="001C149C"/>
    <w:rsid w:val="001C21AC"/>
    <w:rsid w:val="001C2C55"/>
    <w:rsid w:val="001C47BA"/>
    <w:rsid w:val="001C59EA"/>
    <w:rsid w:val="001D0968"/>
    <w:rsid w:val="001D2D89"/>
    <w:rsid w:val="001D406C"/>
    <w:rsid w:val="001D41EE"/>
    <w:rsid w:val="001E0380"/>
    <w:rsid w:val="001E13B1"/>
    <w:rsid w:val="001F3A19"/>
    <w:rsid w:val="001F4432"/>
    <w:rsid w:val="001F5746"/>
    <w:rsid w:val="001F68AF"/>
    <w:rsid w:val="00200DA5"/>
    <w:rsid w:val="002050BB"/>
    <w:rsid w:val="00206723"/>
    <w:rsid w:val="002070D4"/>
    <w:rsid w:val="0021164C"/>
    <w:rsid w:val="00215362"/>
    <w:rsid w:val="002203B1"/>
    <w:rsid w:val="0022555C"/>
    <w:rsid w:val="00234467"/>
    <w:rsid w:val="00237D8D"/>
    <w:rsid w:val="00241DA2"/>
    <w:rsid w:val="0024380E"/>
    <w:rsid w:val="00247FEE"/>
    <w:rsid w:val="00250E7D"/>
    <w:rsid w:val="0025481A"/>
    <w:rsid w:val="00255C98"/>
    <w:rsid w:val="002565D5"/>
    <w:rsid w:val="00260A1E"/>
    <w:rsid w:val="002622C0"/>
    <w:rsid w:val="002725D9"/>
    <w:rsid w:val="002778AE"/>
    <w:rsid w:val="00281D7D"/>
    <w:rsid w:val="0028269A"/>
    <w:rsid w:val="002834D8"/>
    <w:rsid w:val="00283590"/>
    <w:rsid w:val="00284880"/>
    <w:rsid w:val="002868DA"/>
    <w:rsid w:val="00286973"/>
    <w:rsid w:val="00286CFE"/>
    <w:rsid w:val="00294E70"/>
    <w:rsid w:val="002975F9"/>
    <w:rsid w:val="002A1924"/>
    <w:rsid w:val="002A1A40"/>
    <w:rsid w:val="002A7420"/>
    <w:rsid w:val="002B04F1"/>
    <w:rsid w:val="002B0F12"/>
    <w:rsid w:val="002B1308"/>
    <w:rsid w:val="002B4554"/>
    <w:rsid w:val="002C0F26"/>
    <w:rsid w:val="002C2287"/>
    <w:rsid w:val="002C3C9C"/>
    <w:rsid w:val="002C42D0"/>
    <w:rsid w:val="002C6793"/>
    <w:rsid w:val="002C72D8"/>
    <w:rsid w:val="002C7BF1"/>
    <w:rsid w:val="002D11FA"/>
    <w:rsid w:val="002D500E"/>
    <w:rsid w:val="002E0646"/>
    <w:rsid w:val="002E0DDF"/>
    <w:rsid w:val="002E2906"/>
    <w:rsid w:val="002E5635"/>
    <w:rsid w:val="002E64C3"/>
    <w:rsid w:val="002E6A2C"/>
    <w:rsid w:val="002F08BC"/>
    <w:rsid w:val="002F1D8C"/>
    <w:rsid w:val="002F21DA"/>
    <w:rsid w:val="003017A4"/>
    <w:rsid w:val="00301F39"/>
    <w:rsid w:val="003056B9"/>
    <w:rsid w:val="00306DDF"/>
    <w:rsid w:val="0031534C"/>
    <w:rsid w:val="00321ADB"/>
    <w:rsid w:val="00322365"/>
    <w:rsid w:val="00323A3D"/>
    <w:rsid w:val="00324801"/>
    <w:rsid w:val="003254A2"/>
    <w:rsid w:val="00325926"/>
    <w:rsid w:val="00325C94"/>
    <w:rsid w:val="00327A8A"/>
    <w:rsid w:val="00336610"/>
    <w:rsid w:val="003374A7"/>
    <w:rsid w:val="00343F73"/>
    <w:rsid w:val="00344E18"/>
    <w:rsid w:val="00345060"/>
    <w:rsid w:val="0035323B"/>
    <w:rsid w:val="003561BE"/>
    <w:rsid w:val="003609D2"/>
    <w:rsid w:val="00361E51"/>
    <w:rsid w:val="0036291A"/>
    <w:rsid w:val="0036304C"/>
    <w:rsid w:val="00363F22"/>
    <w:rsid w:val="0036611E"/>
    <w:rsid w:val="0037139B"/>
    <w:rsid w:val="00373218"/>
    <w:rsid w:val="00375564"/>
    <w:rsid w:val="003756F1"/>
    <w:rsid w:val="00382C3D"/>
    <w:rsid w:val="00383191"/>
    <w:rsid w:val="00385B23"/>
    <w:rsid w:val="00386DED"/>
    <w:rsid w:val="00390B71"/>
    <w:rsid w:val="003912E7"/>
    <w:rsid w:val="00393947"/>
    <w:rsid w:val="00397E0E"/>
    <w:rsid w:val="003A2275"/>
    <w:rsid w:val="003A3FEC"/>
    <w:rsid w:val="003A62E8"/>
    <w:rsid w:val="003A6A4F"/>
    <w:rsid w:val="003A7088"/>
    <w:rsid w:val="003B00DF"/>
    <w:rsid w:val="003B1275"/>
    <w:rsid w:val="003B1778"/>
    <w:rsid w:val="003B5B1A"/>
    <w:rsid w:val="003C0D19"/>
    <w:rsid w:val="003C11CB"/>
    <w:rsid w:val="003C1260"/>
    <w:rsid w:val="003C1AC9"/>
    <w:rsid w:val="003C51BD"/>
    <w:rsid w:val="003C6AC6"/>
    <w:rsid w:val="003C75F3"/>
    <w:rsid w:val="003C78A3"/>
    <w:rsid w:val="003C7A20"/>
    <w:rsid w:val="003C7E96"/>
    <w:rsid w:val="003D0252"/>
    <w:rsid w:val="003D1346"/>
    <w:rsid w:val="003D397A"/>
    <w:rsid w:val="003E09A7"/>
    <w:rsid w:val="003E1867"/>
    <w:rsid w:val="003E5729"/>
    <w:rsid w:val="003E62A1"/>
    <w:rsid w:val="003F4EE0"/>
    <w:rsid w:val="00402153"/>
    <w:rsid w:val="00402FC1"/>
    <w:rsid w:val="00425082"/>
    <w:rsid w:val="004262ED"/>
    <w:rsid w:val="00427D5B"/>
    <w:rsid w:val="00431DEB"/>
    <w:rsid w:val="0043543F"/>
    <w:rsid w:val="00445AD4"/>
    <w:rsid w:val="00446582"/>
    <w:rsid w:val="00446B29"/>
    <w:rsid w:val="0045016A"/>
    <w:rsid w:val="00453F9A"/>
    <w:rsid w:val="00462894"/>
    <w:rsid w:val="00465417"/>
    <w:rsid w:val="00470723"/>
    <w:rsid w:val="004714D6"/>
    <w:rsid w:val="00471E91"/>
    <w:rsid w:val="0047442B"/>
    <w:rsid w:val="00474675"/>
    <w:rsid w:val="0047470C"/>
    <w:rsid w:val="00475898"/>
    <w:rsid w:val="004826D7"/>
    <w:rsid w:val="00483814"/>
    <w:rsid w:val="00492A7B"/>
    <w:rsid w:val="004A2778"/>
    <w:rsid w:val="004A35F9"/>
    <w:rsid w:val="004A4EA0"/>
    <w:rsid w:val="004B24C1"/>
    <w:rsid w:val="004B40C8"/>
    <w:rsid w:val="004C292F"/>
    <w:rsid w:val="004C43C9"/>
    <w:rsid w:val="004C7DEF"/>
    <w:rsid w:val="004E2485"/>
    <w:rsid w:val="004E4FD8"/>
    <w:rsid w:val="004E57B4"/>
    <w:rsid w:val="004E65EE"/>
    <w:rsid w:val="004E7CE5"/>
    <w:rsid w:val="004F50FC"/>
    <w:rsid w:val="004F5293"/>
    <w:rsid w:val="00510280"/>
    <w:rsid w:val="00513D73"/>
    <w:rsid w:val="00514A43"/>
    <w:rsid w:val="005160AA"/>
    <w:rsid w:val="00516DBD"/>
    <w:rsid w:val="005174E5"/>
    <w:rsid w:val="00522393"/>
    <w:rsid w:val="00522620"/>
    <w:rsid w:val="005242F0"/>
    <w:rsid w:val="00525656"/>
    <w:rsid w:val="00526104"/>
    <w:rsid w:val="00534C02"/>
    <w:rsid w:val="0054264B"/>
    <w:rsid w:val="00543786"/>
    <w:rsid w:val="005533D7"/>
    <w:rsid w:val="00555AEF"/>
    <w:rsid w:val="005572A1"/>
    <w:rsid w:val="005703DE"/>
    <w:rsid w:val="005769D9"/>
    <w:rsid w:val="0058170D"/>
    <w:rsid w:val="0058464E"/>
    <w:rsid w:val="005908FF"/>
    <w:rsid w:val="005A0196"/>
    <w:rsid w:val="005A01CB"/>
    <w:rsid w:val="005A585E"/>
    <w:rsid w:val="005A58FF"/>
    <w:rsid w:val="005A5EAF"/>
    <w:rsid w:val="005A64C0"/>
    <w:rsid w:val="005B2F5D"/>
    <w:rsid w:val="005B3C11"/>
    <w:rsid w:val="005B7C71"/>
    <w:rsid w:val="005C0BA5"/>
    <w:rsid w:val="005C1C28"/>
    <w:rsid w:val="005C6DB5"/>
    <w:rsid w:val="005D2A66"/>
    <w:rsid w:val="005D2FB2"/>
    <w:rsid w:val="005E19E7"/>
    <w:rsid w:val="005E1FBC"/>
    <w:rsid w:val="005E389D"/>
    <w:rsid w:val="005F216E"/>
    <w:rsid w:val="005F24CB"/>
    <w:rsid w:val="005F4B05"/>
    <w:rsid w:val="005F4F87"/>
    <w:rsid w:val="005F5F72"/>
    <w:rsid w:val="00606784"/>
    <w:rsid w:val="006149A3"/>
    <w:rsid w:val="0061716C"/>
    <w:rsid w:val="00617D54"/>
    <w:rsid w:val="0062285F"/>
    <w:rsid w:val="006243A1"/>
    <w:rsid w:val="00632E56"/>
    <w:rsid w:val="00635CBA"/>
    <w:rsid w:val="00636C15"/>
    <w:rsid w:val="0064338B"/>
    <w:rsid w:val="00646542"/>
    <w:rsid w:val="006504F4"/>
    <w:rsid w:val="00651C10"/>
    <w:rsid w:val="00654BC9"/>
    <w:rsid w:val="006552FD"/>
    <w:rsid w:val="006610EE"/>
    <w:rsid w:val="00662922"/>
    <w:rsid w:val="00663AF3"/>
    <w:rsid w:val="006669B4"/>
    <w:rsid w:val="00666B6C"/>
    <w:rsid w:val="00682682"/>
    <w:rsid w:val="00682702"/>
    <w:rsid w:val="0069165C"/>
    <w:rsid w:val="00692368"/>
    <w:rsid w:val="00694238"/>
    <w:rsid w:val="006A2AE2"/>
    <w:rsid w:val="006A2EBC"/>
    <w:rsid w:val="006A5EA0"/>
    <w:rsid w:val="006A783B"/>
    <w:rsid w:val="006A7B33"/>
    <w:rsid w:val="006B4E13"/>
    <w:rsid w:val="006B75DD"/>
    <w:rsid w:val="006C67E0"/>
    <w:rsid w:val="006C7ABA"/>
    <w:rsid w:val="006C7F14"/>
    <w:rsid w:val="006D0D60"/>
    <w:rsid w:val="006D1122"/>
    <w:rsid w:val="006D3C00"/>
    <w:rsid w:val="006D4559"/>
    <w:rsid w:val="006D55B8"/>
    <w:rsid w:val="006D6382"/>
    <w:rsid w:val="006D6A5B"/>
    <w:rsid w:val="006E3675"/>
    <w:rsid w:val="006E4A7F"/>
    <w:rsid w:val="006F5096"/>
    <w:rsid w:val="006F788C"/>
    <w:rsid w:val="00702040"/>
    <w:rsid w:val="00704DF6"/>
    <w:rsid w:val="00705A7C"/>
    <w:rsid w:val="0070651C"/>
    <w:rsid w:val="007104A0"/>
    <w:rsid w:val="0071170E"/>
    <w:rsid w:val="007132A3"/>
    <w:rsid w:val="00716421"/>
    <w:rsid w:val="007219F8"/>
    <w:rsid w:val="007244A8"/>
    <w:rsid w:val="00724EFB"/>
    <w:rsid w:val="00733A4F"/>
    <w:rsid w:val="007419C3"/>
    <w:rsid w:val="0074438C"/>
    <w:rsid w:val="00745A20"/>
    <w:rsid w:val="007467A7"/>
    <w:rsid w:val="007469DD"/>
    <w:rsid w:val="0074741B"/>
    <w:rsid w:val="0074759E"/>
    <w:rsid w:val="007478EA"/>
    <w:rsid w:val="0075415C"/>
    <w:rsid w:val="00757883"/>
    <w:rsid w:val="00762A07"/>
    <w:rsid w:val="00763502"/>
    <w:rsid w:val="00772062"/>
    <w:rsid w:val="00777E53"/>
    <w:rsid w:val="007809A5"/>
    <w:rsid w:val="0078108C"/>
    <w:rsid w:val="007913AB"/>
    <w:rsid w:val="007914F7"/>
    <w:rsid w:val="00797CC9"/>
    <w:rsid w:val="007B1625"/>
    <w:rsid w:val="007B706E"/>
    <w:rsid w:val="007B71EB"/>
    <w:rsid w:val="007C6205"/>
    <w:rsid w:val="007C686A"/>
    <w:rsid w:val="007C728E"/>
    <w:rsid w:val="007D2C53"/>
    <w:rsid w:val="007D3D60"/>
    <w:rsid w:val="007D4D78"/>
    <w:rsid w:val="007D6E1D"/>
    <w:rsid w:val="007D7854"/>
    <w:rsid w:val="007D7D8E"/>
    <w:rsid w:val="007E1980"/>
    <w:rsid w:val="007E4B76"/>
    <w:rsid w:val="007E5EA8"/>
    <w:rsid w:val="007F0CF1"/>
    <w:rsid w:val="007F12A5"/>
    <w:rsid w:val="007F2657"/>
    <w:rsid w:val="007F4CF1"/>
    <w:rsid w:val="007F70F9"/>
    <w:rsid w:val="007F758D"/>
    <w:rsid w:val="007F7D52"/>
    <w:rsid w:val="00801449"/>
    <w:rsid w:val="0080654C"/>
    <w:rsid w:val="008071C6"/>
    <w:rsid w:val="00817A00"/>
    <w:rsid w:val="0082090D"/>
    <w:rsid w:val="008209AE"/>
    <w:rsid w:val="00835DB3"/>
    <w:rsid w:val="0083617B"/>
    <w:rsid w:val="008371BD"/>
    <w:rsid w:val="00847924"/>
    <w:rsid w:val="008504A8"/>
    <w:rsid w:val="00850A8A"/>
    <w:rsid w:val="0085282E"/>
    <w:rsid w:val="00861113"/>
    <w:rsid w:val="0087198C"/>
    <w:rsid w:val="00872C1F"/>
    <w:rsid w:val="00873B42"/>
    <w:rsid w:val="00874A74"/>
    <w:rsid w:val="0088074A"/>
    <w:rsid w:val="008856D8"/>
    <w:rsid w:val="0088681B"/>
    <w:rsid w:val="00886DE6"/>
    <w:rsid w:val="00890497"/>
    <w:rsid w:val="0089104B"/>
    <w:rsid w:val="00892E82"/>
    <w:rsid w:val="008A02F1"/>
    <w:rsid w:val="008A3FC0"/>
    <w:rsid w:val="008A4054"/>
    <w:rsid w:val="008A41A6"/>
    <w:rsid w:val="008B6872"/>
    <w:rsid w:val="008C1B58"/>
    <w:rsid w:val="008C39AE"/>
    <w:rsid w:val="008C590D"/>
    <w:rsid w:val="008C5C43"/>
    <w:rsid w:val="008D2F09"/>
    <w:rsid w:val="008D45FC"/>
    <w:rsid w:val="008D66B3"/>
    <w:rsid w:val="008E031B"/>
    <w:rsid w:val="008E7029"/>
    <w:rsid w:val="008E7EF6"/>
    <w:rsid w:val="008F14DA"/>
    <w:rsid w:val="008F1F98"/>
    <w:rsid w:val="008F6758"/>
    <w:rsid w:val="008F6AD0"/>
    <w:rsid w:val="008F7161"/>
    <w:rsid w:val="008F7F68"/>
    <w:rsid w:val="0090247D"/>
    <w:rsid w:val="009040DD"/>
    <w:rsid w:val="00905B47"/>
    <w:rsid w:val="009122ED"/>
    <w:rsid w:val="0091331C"/>
    <w:rsid w:val="00916B1C"/>
    <w:rsid w:val="009247BE"/>
    <w:rsid w:val="009279CB"/>
    <w:rsid w:val="009279DE"/>
    <w:rsid w:val="00930116"/>
    <w:rsid w:val="0094212C"/>
    <w:rsid w:val="00945362"/>
    <w:rsid w:val="00945F6A"/>
    <w:rsid w:val="0095250B"/>
    <w:rsid w:val="00954689"/>
    <w:rsid w:val="009617C9"/>
    <w:rsid w:val="00961AEC"/>
    <w:rsid w:val="00961C93"/>
    <w:rsid w:val="00965324"/>
    <w:rsid w:val="0097091E"/>
    <w:rsid w:val="00975165"/>
    <w:rsid w:val="009760D3"/>
    <w:rsid w:val="00977132"/>
    <w:rsid w:val="0097735B"/>
    <w:rsid w:val="00981A4B"/>
    <w:rsid w:val="00982501"/>
    <w:rsid w:val="00983829"/>
    <w:rsid w:val="00984A80"/>
    <w:rsid w:val="00985C4E"/>
    <w:rsid w:val="009877D3"/>
    <w:rsid w:val="0099288E"/>
    <w:rsid w:val="00994E8F"/>
    <w:rsid w:val="009951DC"/>
    <w:rsid w:val="009959BB"/>
    <w:rsid w:val="00997158"/>
    <w:rsid w:val="009A080E"/>
    <w:rsid w:val="009A1E77"/>
    <w:rsid w:val="009A3A7C"/>
    <w:rsid w:val="009A6A75"/>
    <w:rsid w:val="009A7665"/>
    <w:rsid w:val="009B2ADB"/>
    <w:rsid w:val="009B603A"/>
    <w:rsid w:val="009B7665"/>
    <w:rsid w:val="009B7BE6"/>
    <w:rsid w:val="009C021C"/>
    <w:rsid w:val="009C08A3"/>
    <w:rsid w:val="009C2D0E"/>
    <w:rsid w:val="009C3DAC"/>
    <w:rsid w:val="009C42E0"/>
    <w:rsid w:val="009D1A96"/>
    <w:rsid w:val="009D5362"/>
    <w:rsid w:val="009E1415"/>
    <w:rsid w:val="009E6116"/>
    <w:rsid w:val="009F1E53"/>
    <w:rsid w:val="009F3F41"/>
    <w:rsid w:val="009F65FA"/>
    <w:rsid w:val="009F6F8D"/>
    <w:rsid w:val="00A02E43"/>
    <w:rsid w:val="00A03BF1"/>
    <w:rsid w:val="00A0414C"/>
    <w:rsid w:val="00A0447A"/>
    <w:rsid w:val="00A065F9"/>
    <w:rsid w:val="00A066D8"/>
    <w:rsid w:val="00A07F34"/>
    <w:rsid w:val="00A2083C"/>
    <w:rsid w:val="00A20DB0"/>
    <w:rsid w:val="00A22154"/>
    <w:rsid w:val="00A25C38"/>
    <w:rsid w:val="00A26E30"/>
    <w:rsid w:val="00A36429"/>
    <w:rsid w:val="00A36BBE"/>
    <w:rsid w:val="00A4307A"/>
    <w:rsid w:val="00A47EBB"/>
    <w:rsid w:val="00A51CDD"/>
    <w:rsid w:val="00A55BD4"/>
    <w:rsid w:val="00A56CD5"/>
    <w:rsid w:val="00A6730D"/>
    <w:rsid w:val="00A71625"/>
    <w:rsid w:val="00A71B9B"/>
    <w:rsid w:val="00A73825"/>
    <w:rsid w:val="00A751C7"/>
    <w:rsid w:val="00A82921"/>
    <w:rsid w:val="00A8448F"/>
    <w:rsid w:val="00A851E0"/>
    <w:rsid w:val="00A87844"/>
    <w:rsid w:val="00A87C61"/>
    <w:rsid w:val="00A9386B"/>
    <w:rsid w:val="00A953C3"/>
    <w:rsid w:val="00AA038C"/>
    <w:rsid w:val="00AA28A5"/>
    <w:rsid w:val="00AA34C5"/>
    <w:rsid w:val="00AA6914"/>
    <w:rsid w:val="00AA73A8"/>
    <w:rsid w:val="00AA7A09"/>
    <w:rsid w:val="00AB13F9"/>
    <w:rsid w:val="00AB3B50"/>
    <w:rsid w:val="00AB6B1F"/>
    <w:rsid w:val="00AC05B1"/>
    <w:rsid w:val="00AC200D"/>
    <w:rsid w:val="00AC265A"/>
    <w:rsid w:val="00AC293D"/>
    <w:rsid w:val="00AC5F65"/>
    <w:rsid w:val="00AC75DF"/>
    <w:rsid w:val="00AD0A8C"/>
    <w:rsid w:val="00AD356C"/>
    <w:rsid w:val="00AE1FD6"/>
    <w:rsid w:val="00AE2914"/>
    <w:rsid w:val="00AE6D15"/>
    <w:rsid w:val="00AF42C0"/>
    <w:rsid w:val="00AF54D4"/>
    <w:rsid w:val="00B04182"/>
    <w:rsid w:val="00B057BA"/>
    <w:rsid w:val="00B07AE3"/>
    <w:rsid w:val="00B1043C"/>
    <w:rsid w:val="00B11430"/>
    <w:rsid w:val="00B20A5A"/>
    <w:rsid w:val="00B21005"/>
    <w:rsid w:val="00B2233F"/>
    <w:rsid w:val="00B23A1D"/>
    <w:rsid w:val="00B26CF8"/>
    <w:rsid w:val="00B26DED"/>
    <w:rsid w:val="00B353EB"/>
    <w:rsid w:val="00B3656A"/>
    <w:rsid w:val="00B439C4"/>
    <w:rsid w:val="00B4535E"/>
    <w:rsid w:val="00B52A8C"/>
    <w:rsid w:val="00B55E5B"/>
    <w:rsid w:val="00B636A8"/>
    <w:rsid w:val="00B6411F"/>
    <w:rsid w:val="00B6495D"/>
    <w:rsid w:val="00B665C6"/>
    <w:rsid w:val="00B66CD2"/>
    <w:rsid w:val="00B70AE8"/>
    <w:rsid w:val="00B766BC"/>
    <w:rsid w:val="00B805AF"/>
    <w:rsid w:val="00B82555"/>
    <w:rsid w:val="00B82E84"/>
    <w:rsid w:val="00B869EC"/>
    <w:rsid w:val="00B9397A"/>
    <w:rsid w:val="00B93C3C"/>
    <w:rsid w:val="00B9550C"/>
    <w:rsid w:val="00B959AD"/>
    <w:rsid w:val="00B9633D"/>
    <w:rsid w:val="00BA1D46"/>
    <w:rsid w:val="00BA2EBE"/>
    <w:rsid w:val="00BA6499"/>
    <w:rsid w:val="00BB0F28"/>
    <w:rsid w:val="00BB458A"/>
    <w:rsid w:val="00BC2F82"/>
    <w:rsid w:val="00BC3A9B"/>
    <w:rsid w:val="00BD00D3"/>
    <w:rsid w:val="00BD1659"/>
    <w:rsid w:val="00BD3AA9"/>
    <w:rsid w:val="00BD44FC"/>
    <w:rsid w:val="00BD4A18"/>
    <w:rsid w:val="00BD58B6"/>
    <w:rsid w:val="00BD6DB2"/>
    <w:rsid w:val="00BE11CF"/>
    <w:rsid w:val="00BE21AB"/>
    <w:rsid w:val="00BE55CB"/>
    <w:rsid w:val="00BF07D7"/>
    <w:rsid w:val="00BF26B0"/>
    <w:rsid w:val="00BF3840"/>
    <w:rsid w:val="00BF617A"/>
    <w:rsid w:val="00C0379D"/>
    <w:rsid w:val="00C03931"/>
    <w:rsid w:val="00C05D6F"/>
    <w:rsid w:val="00C05FE3"/>
    <w:rsid w:val="00C1292E"/>
    <w:rsid w:val="00C16537"/>
    <w:rsid w:val="00C16C0C"/>
    <w:rsid w:val="00C2136D"/>
    <w:rsid w:val="00C214EE"/>
    <w:rsid w:val="00C2314B"/>
    <w:rsid w:val="00C23EEB"/>
    <w:rsid w:val="00C24971"/>
    <w:rsid w:val="00C24AD2"/>
    <w:rsid w:val="00C26BE5"/>
    <w:rsid w:val="00C26E4D"/>
    <w:rsid w:val="00C27909"/>
    <w:rsid w:val="00C27B03"/>
    <w:rsid w:val="00C314E1"/>
    <w:rsid w:val="00C3340E"/>
    <w:rsid w:val="00C34397"/>
    <w:rsid w:val="00C4095D"/>
    <w:rsid w:val="00C41A14"/>
    <w:rsid w:val="00C41DB3"/>
    <w:rsid w:val="00C5579A"/>
    <w:rsid w:val="00C601D2"/>
    <w:rsid w:val="00C63FB9"/>
    <w:rsid w:val="00C657AB"/>
    <w:rsid w:val="00C65BCC"/>
    <w:rsid w:val="00C66970"/>
    <w:rsid w:val="00C67D84"/>
    <w:rsid w:val="00C70066"/>
    <w:rsid w:val="00C7500D"/>
    <w:rsid w:val="00C83C9D"/>
    <w:rsid w:val="00C8691C"/>
    <w:rsid w:val="00C90A97"/>
    <w:rsid w:val="00CA168A"/>
    <w:rsid w:val="00CA1A84"/>
    <w:rsid w:val="00CA357E"/>
    <w:rsid w:val="00CA44F9"/>
    <w:rsid w:val="00CA46BA"/>
    <w:rsid w:val="00CA4A69"/>
    <w:rsid w:val="00CA54D8"/>
    <w:rsid w:val="00CA5DBF"/>
    <w:rsid w:val="00CB1560"/>
    <w:rsid w:val="00CC1F35"/>
    <w:rsid w:val="00CC3E0C"/>
    <w:rsid w:val="00CC58D3"/>
    <w:rsid w:val="00CC784D"/>
    <w:rsid w:val="00CD75B2"/>
    <w:rsid w:val="00CE6840"/>
    <w:rsid w:val="00CF6AFF"/>
    <w:rsid w:val="00D0337B"/>
    <w:rsid w:val="00D0398E"/>
    <w:rsid w:val="00D079B2"/>
    <w:rsid w:val="00D114E9"/>
    <w:rsid w:val="00D23324"/>
    <w:rsid w:val="00D25E02"/>
    <w:rsid w:val="00D32DA1"/>
    <w:rsid w:val="00D34E83"/>
    <w:rsid w:val="00D367A4"/>
    <w:rsid w:val="00D42098"/>
    <w:rsid w:val="00D429C6"/>
    <w:rsid w:val="00D4687F"/>
    <w:rsid w:val="00D47748"/>
    <w:rsid w:val="00D47B4A"/>
    <w:rsid w:val="00D510F9"/>
    <w:rsid w:val="00D54CC3"/>
    <w:rsid w:val="00D573A8"/>
    <w:rsid w:val="00D6041A"/>
    <w:rsid w:val="00D62E3A"/>
    <w:rsid w:val="00D633EB"/>
    <w:rsid w:val="00D82FF7"/>
    <w:rsid w:val="00D847FE"/>
    <w:rsid w:val="00D84874"/>
    <w:rsid w:val="00D87774"/>
    <w:rsid w:val="00D9191F"/>
    <w:rsid w:val="00D964EA"/>
    <w:rsid w:val="00D966D0"/>
    <w:rsid w:val="00DA0C59"/>
    <w:rsid w:val="00DA3991"/>
    <w:rsid w:val="00DA3C33"/>
    <w:rsid w:val="00DA4BE6"/>
    <w:rsid w:val="00DB529C"/>
    <w:rsid w:val="00DB58C9"/>
    <w:rsid w:val="00DB5DBC"/>
    <w:rsid w:val="00DB6EC3"/>
    <w:rsid w:val="00DB76EE"/>
    <w:rsid w:val="00DB7E6C"/>
    <w:rsid w:val="00DC01AE"/>
    <w:rsid w:val="00DC2258"/>
    <w:rsid w:val="00DD5A29"/>
    <w:rsid w:val="00DD5D9D"/>
    <w:rsid w:val="00DE0C2B"/>
    <w:rsid w:val="00DE27B3"/>
    <w:rsid w:val="00DE35CB"/>
    <w:rsid w:val="00DE4370"/>
    <w:rsid w:val="00DE7D5A"/>
    <w:rsid w:val="00DF10FE"/>
    <w:rsid w:val="00DF21E9"/>
    <w:rsid w:val="00DF2910"/>
    <w:rsid w:val="00E00F14"/>
    <w:rsid w:val="00E018AF"/>
    <w:rsid w:val="00E02F75"/>
    <w:rsid w:val="00E04BA5"/>
    <w:rsid w:val="00E04FD4"/>
    <w:rsid w:val="00E06386"/>
    <w:rsid w:val="00E074A8"/>
    <w:rsid w:val="00E12F40"/>
    <w:rsid w:val="00E24EB4"/>
    <w:rsid w:val="00E273A7"/>
    <w:rsid w:val="00E320ED"/>
    <w:rsid w:val="00E3290F"/>
    <w:rsid w:val="00E33AFB"/>
    <w:rsid w:val="00E34218"/>
    <w:rsid w:val="00E3695E"/>
    <w:rsid w:val="00E42910"/>
    <w:rsid w:val="00E46282"/>
    <w:rsid w:val="00E47474"/>
    <w:rsid w:val="00E5216E"/>
    <w:rsid w:val="00E561FD"/>
    <w:rsid w:val="00E61191"/>
    <w:rsid w:val="00E61E13"/>
    <w:rsid w:val="00E64AE3"/>
    <w:rsid w:val="00E77B98"/>
    <w:rsid w:val="00E82344"/>
    <w:rsid w:val="00E84C82"/>
    <w:rsid w:val="00E84D64"/>
    <w:rsid w:val="00E87408"/>
    <w:rsid w:val="00E914C4"/>
    <w:rsid w:val="00E934F5"/>
    <w:rsid w:val="00E96961"/>
    <w:rsid w:val="00EA25FA"/>
    <w:rsid w:val="00EA2D33"/>
    <w:rsid w:val="00EA538A"/>
    <w:rsid w:val="00EA6C72"/>
    <w:rsid w:val="00EA72EC"/>
    <w:rsid w:val="00EA7BC8"/>
    <w:rsid w:val="00EB0ECE"/>
    <w:rsid w:val="00EB11CB"/>
    <w:rsid w:val="00EB275A"/>
    <w:rsid w:val="00EB786A"/>
    <w:rsid w:val="00EC1578"/>
    <w:rsid w:val="00EC1C72"/>
    <w:rsid w:val="00EC3CC9"/>
    <w:rsid w:val="00EC680A"/>
    <w:rsid w:val="00ED053A"/>
    <w:rsid w:val="00ED39E3"/>
    <w:rsid w:val="00ED5079"/>
    <w:rsid w:val="00EE2BED"/>
    <w:rsid w:val="00EE374B"/>
    <w:rsid w:val="00EF74CE"/>
    <w:rsid w:val="00F11BB5"/>
    <w:rsid w:val="00F133E3"/>
    <w:rsid w:val="00F1417B"/>
    <w:rsid w:val="00F21186"/>
    <w:rsid w:val="00F24995"/>
    <w:rsid w:val="00F31847"/>
    <w:rsid w:val="00F34B99"/>
    <w:rsid w:val="00F433A9"/>
    <w:rsid w:val="00F43F53"/>
    <w:rsid w:val="00F47222"/>
    <w:rsid w:val="00F519B8"/>
    <w:rsid w:val="00F52361"/>
    <w:rsid w:val="00F52DAB"/>
    <w:rsid w:val="00F53389"/>
    <w:rsid w:val="00F543F0"/>
    <w:rsid w:val="00F559DC"/>
    <w:rsid w:val="00F56D92"/>
    <w:rsid w:val="00F6188B"/>
    <w:rsid w:val="00F76E81"/>
    <w:rsid w:val="00F81D29"/>
    <w:rsid w:val="00F87C1B"/>
    <w:rsid w:val="00F91C4D"/>
    <w:rsid w:val="00F92FD9"/>
    <w:rsid w:val="00FA379A"/>
    <w:rsid w:val="00FA6684"/>
    <w:rsid w:val="00FA731E"/>
    <w:rsid w:val="00FB2B38"/>
    <w:rsid w:val="00FC261E"/>
    <w:rsid w:val="00FC6358"/>
    <w:rsid w:val="00FD320D"/>
    <w:rsid w:val="00FD327A"/>
    <w:rsid w:val="00FE1291"/>
    <w:rsid w:val="00FE23DE"/>
    <w:rsid w:val="00FE3FBA"/>
    <w:rsid w:val="00FE4B8F"/>
    <w:rsid w:val="00FE56EF"/>
    <w:rsid w:val="00FF47F3"/>
    <w:rsid w:val="022D7B86"/>
    <w:rsid w:val="03B34AE7"/>
    <w:rsid w:val="043D1065"/>
    <w:rsid w:val="0804369C"/>
    <w:rsid w:val="0A1B6C73"/>
    <w:rsid w:val="0A4E1D23"/>
    <w:rsid w:val="0BAC5486"/>
    <w:rsid w:val="0C4B469E"/>
    <w:rsid w:val="0DFF74B0"/>
    <w:rsid w:val="0E75151F"/>
    <w:rsid w:val="0F8942BC"/>
    <w:rsid w:val="102B2EE1"/>
    <w:rsid w:val="110802F6"/>
    <w:rsid w:val="120E0503"/>
    <w:rsid w:val="12E9462C"/>
    <w:rsid w:val="14646D36"/>
    <w:rsid w:val="15515490"/>
    <w:rsid w:val="155B2EA2"/>
    <w:rsid w:val="168944F3"/>
    <w:rsid w:val="1DC609B1"/>
    <w:rsid w:val="1FD40E39"/>
    <w:rsid w:val="216725DE"/>
    <w:rsid w:val="21C37641"/>
    <w:rsid w:val="22783AE7"/>
    <w:rsid w:val="23BA735E"/>
    <w:rsid w:val="23CD06C0"/>
    <w:rsid w:val="25DF76E4"/>
    <w:rsid w:val="26FF38D1"/>
    <w:rsid w:val="287670E7"/>
    <w:rsid w:val="291174B7"/>
    <w:rsid w:val="298A408F"/>
    <w:rsid w:val="29B60F67"/>
    <w:rsid w:val="29C05D95"/>
    <w:rsid w:val="2A2261E6"/>
    <w:rsid w:val="2E72119C"/>
    <w:rsid w:val="2ED10E1D"/>
    <w:rsid w:val="2FAF15A7"/>
    <w:rsid w:val="2FCC0814"/>
    <w:rsid w:val="3061410E"/>
    <w:rsid w:val="33595834"/>
    <w:rsid w:val="33FE2D95"/>
    <w:rsid w:val="34780D28"/>
    <w:rsid w:val="348103AA"/>
    <w:rsid w:val="36A45FB9"/>
    <w:rsid w:val="373F7C64"/>
    <w:rsid w:val="3FA32812"/>
    <w:rsid w:val="413D433E"/>
    <w:rsid w:val="415F1B8A"/>
    <w:rsid w:val="43B2066C"/>
    <w:rsid w:val="46791764"/>
    <w:rsid w:val="4AF413DF"/>
    <w:rsid w:val="4D626381"/>
    <w:rsid w:val="4F1D22E9"/>
    <w:rsid w:val="51BF7EA8"/>
    <w:rsid w:val="53EE050A"/>
    <w:rsid w:val="55615EA1"/>
    <w:rsid w:val="577A46A0"/>
    <w:rsid w:val="57DF2922"/>
    <w:rsid w:val="592B2AD9"/>
    <w:rsid w:val="595A6602"/>
    <w:rsid w:val="59691EC3"/>
    <w:rsid w:val="5A102F99"/>
    <w:rsid w:val="5A2B0594"/>
    <w:rsid w:val="5D541CD4"/>
    <w:rsid w:val="5EDE1B81"/>
    <w:rsid w:val="5F323CDA"/>
    <w:rsid w:val="616A6C8B"/>
    <w:rsid w:val="62992827"/>
    <w:rsid w:val="675F78A1"/>
    <w:rsid w:val="6E1161BE"/>
    <w:rsid w:val="6E6B7334"/>
    <w:rsid w:val="6F147191"/>
    <w:rsid w:val="6FEF5396"/>
    <w:rsid w:val="705F703A"/>
    <w:rsid w:val="71B0641E"/>
    <w:rsid w:val="71C665EA"/>
    <w:rsid w:val="74EA089B"/>
    <w:rsid w:val="76E32EA6"/>
    <w:rsid w:val="7723522B"/>
    <w:rsid w:val="78B83CC8"/>
    <w:rsid w:val="78CE346D"/>
    <w:rsid w:val="7AC05388"/>
    <w:rsid w:val="7CFD4FC2"/>
    <w:rsid w:val="7DA829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5"/>
    <w:qFormat/>
    <w:uiPriority w:val="0"/>
    <w:pPr>
      <w:keepNext/>
      <w:keepLines/>
      <w:spacing w:before="260" w:after="260" w:line="416" w:lineRule="auto"/>
      <w:outlineLvl w:val="1"/>
    </w:pPr>
    <w:rPr>
      <w:rFonts w:ascii="Cambria" w:hAnsi="Cambria"/>
      <w:b/>
      <w:bCs/>
      <w:sz w:val="32"/>
      <w:szCs w:val="32"/>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customStyle="1" w:styleId="2">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Date"/>
    <w:basedOn w:val="1"/>
    <w:next w:val="1"/>
    <w:link w:val="42"/>
    <w:qFormat/>
    <w:uiPriority w:val="0"/>
    <w:pPr>
      <w:ind w:left="100" w:leftChars="2500"/>
    </w:pPr>
  </w:style>
  <w:style w:type="paragraph" w:styleId="18">
    <w:name w:val="endnote text"/>
    <w:basedOn w:val="1"/>
    <w:semiHidden/>
    <w:qFormat/>
    <w:uiPriority w:val="0"/>
    <w:pPr>
      <w:snapToGrid w:val="0"/>
      <w:jc w:val="left"/>
    </w:pPr>
  </w:style>
  <w:style w:type="paragraph" w:styleId="19">
    <w:name w:val="footer"/>
    <w:basedOn w:val="1"/>
    <w:link w:val="52"/>
    <w:qFormat/>
    <w:uiPriority w:val="99"/>
    <w:pPr>
      <w:snapToGrid w:val="0"/>
      <w:ind w:right="210" w:rightChars="100"/>
      <w:jc w:val="right"/>
    </w:pPr>
    <w:rPr>
      <w:sz w:val="18"/>
      <w:szCs w:val="18"/>
    </w:rPr>
  </w:style>
  <w:style w:type="paragraph" w:styleId="20">
    <w:name w:val="header"/>
    <w:basedOn w:val="1"/>
    <w:link w:val="51"/>
    <w:qFormat/>
    <w:uiPriority w:val="0"/>
    <w:pPr>
      <w:snapToGrid w:val="0"/>
      <w:jc w:val="left"/>
    </w:pPr>
    <w:rPr>
      <w:sz w:val="18"/>
      <w:szCs w:val="18"/>
    </w:rPr>
  </w:style>
  <w:style w:type="paragraph" w:styleId="21">
    <w:name w:val="toc 1"/>
    <w:basedOn w:val="1"/>
    <w:next w:val="1"/>
    <w:qFormat/>
    <w:uiPriority w:val="39"/>
    <w:pPr>
      <w:tabs>
        <w:tab w:val="right" w:leader="dot" w:pos="9242"/>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
    <w:qFormat/>
    <w:uiPriority w:val="0"/>
    <w:pPr>
      <w:tabs>
        <w:tab w:val="right" w:leader="dot" w:pos="9299"/>
      </w:tabs>
      <w:jc w:val="left"/>
    </w:pPr>
    <w:rPr>
      <w:rFonts w:ascii="宋体"/>
      <w:szCs w:val="21"/>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0"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2"/>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99"/>
    <w:rPr>
      <w:color w:val="0000FF"/>
      <w:spacing w:val="0"/>
      <w:w w:val="100"/>
      <w:szCs w:val="21"/>
      <w:u w:val="single"/>
    </w:rPr>
  </w:style>
  <w:style w:type="character" w:styleId="39">
    <w:name w:val="footnote reference"/>
    <w:semiHidden/>
    <w:qFormat/>
    <w:uiPriority w:val="0"/>
    <w:rPr>
      <w:vertAlign w:val="superscript"/>
    </w:rPr>
  </w:style>
  <w:style w:type="character" w:customStyle="1" w:styleId="40">
    <w:name w:val="Body Text Indent Char Char"/>
    <w:link w:val="41"/>
    <w:qFormat/>
    <w:uiPriority w:val="0"/>
    <w:rPr>
      <w:color w:val="000000"/>
      <w:sz w:val="24"/>
      <w:szCs w:val="24"/>
    </w:rPr>
  </w:style>
  <w:style w:type="paragraph" w:customStyle="1" w:styleId="41">
    <w:name w:val="正文文本缩进1"/>
    <w:basedOn w:val="1"/>
    <w:link w:val="40"/>
    <w:qFormat/>
    <w:uiPriority w:val="0"/>
    <w:pPr>
      <w:ind w:left="2002" w:leftChars="2002"/>
    </w:pPr>
    <w:rPr>
      <w:color w:val="000000"/>
      <w:kern w:val="0"/>
      <w:sz w:val="24"/>
    </w:rPr>
  </w:style>
  <w:style w:type="character" w:customStyle="1" w:styleId="42">
    <w:name w:val="日期 字符"/>
    <w:link w:val="17"/>
    <w:qFormat/>
    <w:uiPriority w:val="0"/>
    <w:rPr>
      <w:kern w:val="2"/>
      <w:sz w:val="21"/>
      <w:szCs w:val="24"/>
    </w:rPr>
  </w:style>
  <w:style w:type="character" w:customStyle="1" w:styleId="43">
    <w:name w:val="段 Char"/>
    <w:link w:val="2"/>
    <w:qFormat/>
    <w:uiPriority w:val="0"/>
    <w:rPr>
      <w:rFonts w:ascii="宋体"/>
      <w:sz w:val="21"/>
      <w:lang w:val="en-US" w:eastAsia="zh-CN" w:bidi="ar-SA"/>
    </w:rPr>
  </w:style>
  <w:style w:type="character" w:customStyle="1" w:styleId="44">
    <w:name w:val="发布"/>
    <w:qFormat/>
    <w:uiPriority w:val="0"/>
    <w:rPr>
      <w:rFonts w:ascii="黑体" w:eastAsia="黑体"/>
      <w:spacing w:val="85"/>
      <w:w w:val="100"/>
      <w:position w:val="3"/>
      <w:sz w:val="28"/>
      <w:szCs w:val="28"/>
    </w:rPr>
  </w:style>
  <w:style w:type="character" w:customStyle="1" w:styleId="45">
    <w:name w:val="标题 2 字符"/>
    <w:link w:val="4"/>
    <w:semiHidden/>
    <w:qFormat/>
    <w:uiPriority w:val="0"/>
    <w:rPr>
      <w:rFonts w:ascii="Cambria" w:hAnsi="Cambria" w:eastAsia="宋体" w:cs="Times New Roman"/>
      <w:b/>
      <w:bCs/>
      <w:kern w:val="2"/>
      <w:sz w:val="32"/>
      <w:szCs w:val="32"/>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
    <w:link w:val="46"/>
    <w:qFormat/>
    <w:uiPriority w:val="0"/>
    <w:pPr>
      <w:tabs>
        <w:tab w:val="left" w:pos="360"/>
      </w:tabs>
    </w:pPr>
    <w:rPr>
      <w:rFonts w:ascii="宋体" w:hAnsi="宋体" w:eastAsia="宋体" w:cs="Times New Roman"/>
      <w:kern w:val="2"/>
      <w:sz w:val="18"/>
      <w:szCs w:val="18"/>
      <w:lang w:val="en-US" w:eastAsia="zh-CN" w:bidi="ar-SA"/>
    </w:rPr>
  </w:style>
  <w:style w:type="character" w:customStyle="1" w:styleId="48">
    <w:name w:val="标题 1 字符"/>
    <w:link w:val="3"/>
    <w:qFormat/>
    <w:uiPriority w:val="0"/>
    <w:rPr>
      <w:b/>
      <w:bCs/>
      <w:kern w:val="44"/>
      <w:sz w:val="44"/>
      <w:szCs w:val="44"/>
    </w:rPr>
  </w:style>
  <w:style w:type="character" w:customStyle="1" w:styleId="49">
    <w:name w:val="附录公式 Char"/>
    <w:basedOn w:val="43"/>
    <w:link w:val="50"/>
    <w:qFormat/>
    <w:uiPriority w:val="0"/>
  </w:style>
  <w:style w:type="paragraph" w:customStyle="1" w:styleId="50">
    <w:name w:val="附录公式"/>
    <w:basedOn w:val="2"/>
    <w:next w:val="2"/>
    <w:link w:val="49"/>
    <w:qFormat/>
    <w:uiPriority w:val="0"/>
  </w:style>
  <w:style w:type="character" w:customStyle="1" w:styleId="51">
    <w:name w:val="页眉 字符"/>
    <w:link w:val="20"/>
    <w:qFormat/>
    <w:uiPriority w:val="0"/>
    <w:rPr>
      <w:kern w:val="2"/>
      <w:sz w:val="18"/>
      <w:szCs w:val="18"/>
    </w:rPr>
  </w:style>
  <w:style w:type="character" w:customStyle="1" w:styleId="52">
    <w:name w:val="页脚 字符"/>
    <w:link w:val="19"/>
    <w:qFormat/>
    <w:uiPriority w:val="99"/>
    <w:rPr>
      <w:kern w:val="2"/>
      <w:sz w:val="18"/>
      <w:szCs w:val="18"/>
    </w:rPr>
  </w:style>
  <w:style w:type="paragraph" w:customStyle="1" w:styleId="53">
    <w:name w:val="_Style 52"/>
    <w:basedOn w:val="3"/>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54">
    <w:name w:val="前言、引言标题"/>
    <w:next w:val="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附录一级条标题"/>
    <w:basedOn w:val="56"/>
    <w:next w:val="2"/>
    <w:qFormat/>
    <w:uiPriority w:val="0"/>
    <w:pPr>
      <w:numPr>
        <w:ilvl w:val="2"/>
      </w:numPr>
      <w:tabs>
        <w:tab w:val="left" w:pos="360"/>
      </w:tabs>
      <w:autoSpaceDN w:val="0"/>
      <w:spacing w:beforeLines="50" w:afterLines="50"/>
      <w:outlineLvl w:val="2"/>
    </w:pPr>
  </w:style>
  <w:style w:type="paragraph" w:customStyle="1" w:styleId="56">
    <w:name w:val="附录章标题"/>
    <w:next w:val="2"/>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5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8">
    <w:name w:val="附录标识"/>
    <w:basedOn w:val="1"/>
    <w:next w:val="2"/>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59">
    <w:name w:val="二级条标题"/>
    <w:basedOn w:val="60"/>
    <w:next w:val="2"/>
    <w:qFormat/>
    <w:uiPriority w:val="0"/>
    <w:pPr>
      <w:numPr>
        <w:ilvl w:val="2"/>
        <w:numId w:val="3"/>
      </w:numPr>
      <w:spacing w:before="50" w:after="50"/>
      <w:outlineLvl w:val="3"/>
    </w:pPr>
  </w:style>
  <w:style w:type="paragraph" w:customStyle="1" w:styleId="60">
    <w:name w:val="一级条标题"/>
    <w:next w:val="2"/>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61">
    <w:name w:val="图的脚注"/>
    <w:next w:val="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62">
    <w:name w:val="章标题"/>
    <w:next w:val="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63">
    <w:name w:val="注：（正文）"/>
    <w:basedOn w:val="64"/>
    <w:next w:val="2"/>
    <w:qFormat/>
    <w:uiPriority w:val="0"/>
  </w:style>
  <w:style w:type="paragraph" w:customStyle="1" w:styleId="64">
    <w:name w:val="注："/>
    <w:next w:val="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5">
    <w:name w:val="附录三级条标题"/>
    <w:basedOn w:val="66"/>
    <w:next w:val="2"/>
    <w:qFormat/>
    <w:uiPriority w:val="0"/>
    <w:pPr>
      <w:numPr>
        <w:ilvl w:val="4"/>
      </w:numPr>
      <w:tabs>
        <w:tab w:val="left" w:pos="360"/>
      </w:tabs>
      <w:outlineLvl w:val="4"/>
    </w:pPr>
  </w:style>
  <w:style w:type="paragraph" w:customStyle="1" w:styleId="66">
    <w:name w:val="附录二级条标题"/>
    <w:basedOn w:val="1"/>
    <w:next w:val="2"/>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示例后文字"/>
    <w:basedOn w:val="2"/>
    <w:next w:val="2"/>
    <w:qFormat/>
    <w:uiPriority w:val="0"/>
    <w:pPr>
      <w:ind w:firstLine="360"/>
    </w:pPr>
    <w:rPr>
      <w:sz w:val="18"/>
    </w:rPr>
  </w:style>
  <w:style w:type="paragraph" w:customStyle="1" w:styleId="69">
    <w:name w:val="示例"/>
    <w:next w:val="67"/>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70">
    <w:name w:val="列项◆（三级）"/>
    <w:basedOn w:val="1"/>
    <w:qFormat/>
    <w:uiPriority w:val="0"/>
    <w:pPr>
      <w:numPr>
        <w:ilvl w:val="2"/>
        <w:numId w:val="4"/>
      </w:numPr>
    </w:pPr>
    <w:rPr>
      <w:rFonts w:ascii="宋体"/>
      <w:szCs w:val="21"/>
    </w:rPr>
  </w:style>
  <w:style w:type="paragraph" w:customStyle="1" w:styleId="71">
    <w:name w:val="正文公式编号制表符"/>
    <w:basedOn w:val="2"/>
    <w:next w:val="2"/>
    <w:qFormat/>
    <w:uiPriority w:val="0"/>
    <w:pPr>
      <w:ind w:firstLine="0" w:firstLineChars="0"/>
    </w:pPr>
  </w:style>
  <w:style w:type="paragraph" w:customStyle="1" w:styleId="7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7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标准标志"/>
    <w:next w:val="1"/>
    <w:qFormat/>
    <w:uiPriority w:val="99"/>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其他实施日期"/>
    <w:basedOn w:val="78"/>
    <w:qFormat/>
    <w:uiPriority w:val="0"/>
  </w:style>
  <w:style w:type="paragraph" w:customStyle="1" w:styleId="78">
    <w:name w:val="实施日期"/>
    <w:basedOn w:val="75"/>
    <w:qFormat/>
    <w:uiPriority w:val="0"/>
    <w:pPr>
      <w:framePr w:vAnchor="page" w:hAnchor="text"/>
      <w:jc w:val="right"/>
    </w:pPr>
  </w:style>
  <w:style w:type="paragraph" w:customStyle="1" w:styleId="79">
    <w:name w:val="条文脚注"/>
    <w:basedOn w:val="25"/>
    <w:qFormat/>
    <w:uiPriority w:val="0"/>
    <w:pPr>
      <w:numPr>
        <w:ilvl w:val="0"/>
        <w:numId w:val="0"/>
      </w:numPr>
      <w:jc w:val="both"/>
    </w:pPr>
  </w:style>
  <w:style w:type="paragraph" w:customStyle="1" w:styleId="80">
    <w:name w:val="图标脚注说明"/>
    <w:basedOn w:val="2"/>
    <w:qFormat/>
    <w:uiPriority w:val="0"/>
    <w:pPr>
      <w:ind w:left="840" w:hanging="420" w:firstLineChars="0"/>
    </w:pPr>
    <w:rPr>
      <w:sz w:val="18"/>
      <w:szCs w:val="18"/>
    </w:rPr>
  </w:style>
  <w:style w:type="paragraph" w:customStyle="1" w:styleId="81">
    <w:name w:val="附录二级无"/>
    <w:basedOn w:val="66"/>
    <w:qFormat/>
    <w:uiPriority w:val="0"/>
    <w:pPr>
      <w:tabs>
        <w:tab w:val="clear" w:pos="360"/>
      </w:tabs>
      <w:spacing w:beforeLines="0" w:afterLines="0"/>
    </w:pPr>
    <w:rPr>
      <w:rFonts w:ascii="宋体" w:eastAsia="宋体"/>
      <w:szCs w:val="21"/>
    </w:rPr>
  </w:style>
  <w:style w:type="paragraph" w:customStyle="1" w:styleId="8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3">
    <w:name w:val="三级无"/>
    <w:basedOn w:val="84"/>
    <w:qFormat/>
    <w:uiPriority w:val="0"/>
    <w:pPr>
      <w:spacing w:beforeLines="0" w:afterLines="0"/>
    </w:pPr>
    <w:rPr>
      <w:rFonts w:ascii="宋体" w:eastAsia="宋体"/>
    </w:rPr>
  </w:style>
  <w:style w:type="paragraph" w:customStyle="1" w:styleId="84">
    <w:name w:val="三级条标题"/>
    <w:basedOn w:val="59"/>
    <w:next w:val="2"/>
    <w:qFormat/>
    <w:uiPriority w:val="0"/>
    <w:pPr>
      <w:numPr>
        <w:ilvl w:val="3"/>
      </w:numPr>
      <w:outlineLvl w:val="4"/>
    </w:pPr>
  </w:style>
  <w:style w:type="paragraph" w:customStyle="1" w:styleId="85">
    <w:name w:val="封面标准英文名称"/>
    <w:basedOn w:val="73"/>
    <w:qFormat/>
    <w:uiPriority w:val="0"/>
    <w:pPr>
      <w:spacing w:before="370" w:line="400" w:lineRule="exact"/>
    </w:pPr>
    <w:rPr>
      <w:rFonts w:ascii="Times New Roman"/>
      <w:sz w:val="28"/>
      <w:szCs w:val="28"/>
    </w:rPr>
  </w:style>
  <w:style w:type="paragraph" w:customStyle="1" w:styleId="86">
    <w:name w:val="封面标准文稿类别"/>
    <w:basedOn w:val="87"/>
    <w:qFormat/>
    <w:uiPriority w:val="0"/>
    <w:pPr>
      <w:spacing w:after="160" w:line="240" w:lineRule="auto"/>
    </w:pPr>
    <w:rPr>
      <w:sz w:val="24"/>
    </w:rPr>
  </w:style>
  <w:style w:type="paragraph" w:customStyle="1" w:styleId="87">
    <w:name w:val="封面一致性程度标识"/>
    <w:basedOn w:val="85"/>
    <w:qFormat/>
    <w:uiPriority w:val="0"/>
    <w:pPr>
      <w:spacing w:before="440"/>
    </w:pPr>
    <w:rPr>
      <w:rFonts w:ascii="宋体" w:eastAsia="宋体"/>
    </w:rPr>
  </w:style>
  <w:style w:type="paragraph" w:customStyle="1" w:styleId="88">
    <w:name w:val="参考文献"/>
    <w:basedOn w:val="1"/>
    <w:next w:val="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9">
    <w:name w:val="附录公式编号制表符"/>
    <w:basedOn w:val="1"/>
    <w:next w:val="2"/>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表标号"/>
    <w:basedOn w:val="1"/>
    <w:next w:val="2"/>
    <w:qFormat/>
    <w:uiPriority w:val="0"/>
    <w:pPr>
      <w:numPr>
        <w:ilvl w:val="0"/>
        <w:numId w:val="6"/>
      </w:numPr>
      <w:spacing w:line="14" w:lineRule="exact"/>
      <w:ind w:left="811" w:hanging="448"/>
      <w:jc w:val="center"/>
      <w:outlineLvl w:val="0"/>
    </w:pPr>
    <w:rPr>
      <w:color w:val="FFFFFF"/>
    </w:rPr>
  </w:style>
  <w:style w:type="paragraph" w:customStyle="1" w:styleId="91">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92">
    <w:name w:val="文献分类号"/>
    <w:qFormat/>
    <w:uiPriority w:val="99"/>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3">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94">
    <w:name w:val="附录五级条标题"/>
    <w:basedOn w:val="95"/>
    <w:next w:val="2"/>
    <w:qFormat/>
    <w:uiPriority w:val="0"/>
    <w:pPr>
      <w:numPr>
        <w:ilvl w:val="6"/>
      </w:numPr>
      <w:tabs>
        <w:tab w:val="left" w:pos="360"/>
      </w:tabs>
      <w:outlineLvl w:val="6"/>
    </w:pPr>
  </w:style>
  <w:style w:type="paragraph" w:customStyle="1" w:styleId="95">
    <w:name w:val="附录四级条标题"/>
    <w:basedOn w:val="65"/>
    <w:next w:val="2"/>
    <w:qFormat/>
    <w:uiPriority w:val="0"/>
    <w:pPr>
      <w:numPr>
        <w:ilvl w:val="5"/>
      </w:numPr>
      <w:outlineLvl w:val="5"/>
    </w:pPr>
  </w:style>
  <w:style w:type="paragraph" w:customStyle="1" w:styleId="96">
    <w:name w:val="标准书眉_偶数页"/>
    <w:basedOn w:val="97"/>
    <w:next w:val="1"/>
    <w:qFormat/>
    <w:uiPriority w:val="0"/>
    <w:pPr>
      <w:tabs>
        <w:tab w:val="center" w:pos="4154"/>
        <w:tab w:val="right" w:pos="8306"/>
      </w:tabs>
      <w:jc w:val="left"/>
    </w:pPr>
  </w:style>
  <w:style w:type="paragraph" w:customStyle="1" w:styleId="9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8">
    <w:name w:val="正文表标题"/>
    <w:next w:val="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99">
    <w:name w:val="封面标准文稿编辑信息"/>
    <w:basedOn w:val="86"/>
    <w:qFormat/>
    <w:uiPriority w:val="0"/>
    <w:pPr>
      <w:spacing w:before="180" w:line="180" w:lineRule="exact"/>
    </w:pPr>
    <w:rPr>
      <w:sz w:val="21"/>
    </w:rPr>
  </w:style>
  <w:style w:type="paragraph" w:customStyle="1" w:styleId="100">
    <w:name w:val="其他标准标志"/>
    <w:basedOn w:val="76"/>
    <w:qFormat/>
    <w:uiPriority w:val="0"/>
    <w:pPr>
      <w:framePr w:w="6101" w:vAnchor="page" w:hAnchor="page" w:x="4673" w:y="942"/>
    </w:pPr>
    <w:rPr>
      <w:w w:val="130"/>
    </w:rPr>
  </w:style>
  <w:style w:type="paragraph" w:customStyle="1" w:styleId="101">
    <w:name w:val="五级无"/>
    <w:basedOn w:val="102"/>
    <w:qFormat/>
    <w:uiPriority w:val="0"/>
    <w:pPr>
      <w:spacing w:beforeLines="0" w:afterLines="0"/>
    </w:pPr>
    <w:rPr>
      <w:rFonts w:ascii="宋体" w:eastAsia="宋体"/>
    </w:rPr>
  </w:style>
  <w:style w:type="paragraph" w:customStyle="1" w:styleId="102">
    <w:name w:val="五级条标题"/>
    <w:basedOn w:val="103"/>
    <w:next w:val="2"/>
    <w:qFormat/>
    <w:uiPriority w:val="0"/>
    <w:pPr>
      <w:numPr>
        <w:ilvl w:val="5"/>
      </w:numPr>
      <w:outlineLvl w:val="6"/>
    </w:pPr>
  </w:style>
  <w:style w:type="paragraph" w:customStyle="1" w:styleId="103">
    <w:name w:val="四级条标题"/>
    <w:basedOn w:val="84"/>
    <w:next w:val="2"/>
    <w:qFormat/>
    <w:uiPriority w:val="0"/>
    <w:pPr>
      <w:numPr>
        <w:ilvl w:val="4"/>
      </w:numPr>
      <w:outlineLvl w:val="5"/>
    </w:pPr>
  </w:style>
  <w:style w:type="paragraph" w:customStyle="1" w:styleId="104">
    <w:name w:val="附录四级无"/>
    <w:basedOn w:val="95"/>
    <w:qFormat/>
    <w:uiPriority w:val="0"/>
    <w:pPr>
      <w:tabs>
        <w:tab w:val="clear" w:pos="360"/>
      </w:tabs>
      <w:spacing w:beforeLines="0" w:afterLines="0"/>
    </w:pPr>
    <w:rPr>
      <w:rFonts w:ascii="宋体" w:eastAsia="宋体"/>
      <w:szCs w:val="21"/>
    </w:rPr>
  </w:style>
  <w:style w:type="paragraph" w:customStyle="1" w:styleId="105">
    <w:name w:val="附录三级无"/>
    <w:basedOn w:val="65"/>
    <w:qFormat/>
    <w:uiPriority w:val="0"/>
    <w:pPr>
      <w:tabs>
        <w:tab w:val="clear" w:pos="360"/>
      </w:tabs>
      <w:spacing w:beforeLines="0" w:afterLines="0"/>
    </w:pPr>
    <w:rPr>
      <w:rFonts w:ascii="宋体" w:eastAsia="宋体"/>
      <w:szCs w:val="21"/>
    </w:rPr>
  </w:style>
  <w:style w:type="paragraph" w:customStyle="1" w:styleId="106">
    <w:name w:val="附录一级无"/>
    <w:basedOn w:val="55"/>
    <w:qFormat/>
    <w:uiPriority w:val="0"/>
    <w:pPr>
      <w:tabs>
        <w:tab w:val="clear" w:pos="360"/>
      </w:tabs>
      <w:spacing w:beforeLines="0" w:afterLines="0"/>
    </w:pPr>
    <w:rPr>
      <w:rFonts w:ascii="宋体" w:eastAsia="宋体"/>
      <w:szCs w:val="21"/>
    </w:rPr>
  </w:style>
  <w:style w:type="paragraph" w:customStyle="1" w:styleId="107">
    <w:name w:val="封面标准名称2"/>
    <w:basedOn w:val="73"/>
    <w:qFormat/>
    <w:uiPriority w:val="0"/>
    <w:pPr>
      <w:framePr w:y="4469"/>
      <w:spacing w:beforeLines="630"/>
    </w:pPr>
  </w:style>
  <w:style w:type="paragraph" w:customStyle="1" w:styleId="108">
    <w:name w:val="目次、标准名称标题"/>
    <w:basedOn w:val="1"/>
    <w:next w:val="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示例×："/>
    <w:basedOn w:val="62"/>
    <w:qFormat/>
    <w:uiPriority w:val="0"/>
    <w:pPr>
      <w:numPr>
        <w:ilvl w:val="0"/>
        <w:numId w:val="0"/>
      </w:numPr>
      <w:spacing w:beforeLines="0" w:afterLines="0"/>
      <w:ind w:firstLine="363"/>
      <w:outlineLvl w:val="9"/>
    </w:pPr>
    <w:rPr>
      <w:rFonts w:ascii="宋体" w:eastAsia="宋体"/>
      <w:sz w:val="18"/>
      <w:szCs w:val="18"/>
    </w:rPr>
  </w:style>
  <w:style w:type="paragraph" w:customStyle="1" w:styleId="110">
    <w:name w:val="标准书眉一"/>
    <w:qFormat/>
    <w:uiPriority w:val="0"/>
    <w:pPr>
      <w:jc w:val="both"/>
    </w:pPr>
    <w:rPr>
      <w:rFonts w:ascii="Times New Roman" w:hAnsi="Times New Roman" w:eastAsia="宋体" w:cs="Times New Roman"/>
      <w:lang w:val="en-US" w:eastAsia="zh-CN" w:bidi="ar-SA"/>
    </w:rPr>
  </w:style>
  <w:style w:type="paragraph" w:customStyle="1" w:styleId="11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12">
    <w:name w:val="参考文献、索引标题"/>
    <w:basedOn w:val="1"/>
    <w:next w:val="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正文图标题"/>
    <w:next w:val="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4">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115">
    <w:name w:val="其他发布日期"/>
    <w:basedOn w:val="75"/>
    <w:qFormat/>
    <w:uiPriority w:val="0"/>
    <w:pPr>
      <w:framePr w:vAnchor="page" w:hAnchor="text" w:x="1419"/>
    </w:pPr>
  </w:style>
  <w:style w:type="paragraph" w:customStyle="1" w:styleId="116">
    <w:name w:val="附录表标题"/>
    <w:basedOn w:val="1"/>
    <w:next w:val="2"/>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117">
    <w:name w:val="封面标准文稿类别2"/>
    <w:basedOn w:val="86"/>
    <w:qFormat/>
    <w:uiPriority w:val="0"/>
    <w:pPr>
      <w:framePr w:y="4469"/>
    </w:pPr>
  </w:style>
  <w:style w:type="paragraph" w:customStyle="1" w:styleId="118">
    <w:name w:val="封面一致性程度标识2"/>
    <w:basedOn w:val="87"/>
    <w:qFormat/>
    <w:uiPriority w:val="0"/>
    <w:pPr>
      <w:framePr w:y="4469"/>
    </w:pPr>
  </w:style>
  <w:style w:type="paragraph" w:customStyle="1" w:styleId="119">
    <w:name w:val="终结线"/>
    <w:basedOn w:val="1"/>
    <w:qFormat/>
    <w:uiPriority w:val="0"/>
    <w:pPr>
      <w:framePr w:hSpace="181" w:vSpace="181" w:wrap="around" w:vAnchor="text" w:hAnchor="margin" w:xAlign="center" w:y="285"/>
    </w:pPr>
  </w:style>
  <w:style w:type="paragraph" w:customStyle="1" w:styleId="120">
    <w:name w:val="p0"/>
    <w:basedOn w:val="1"/>
    <w:qFormat/>
    <w:uiPriority w:val="0"/>
    <w:pPr>
      <w:widowControl/>
    </w:pPr>
    <w:rPr>
      <w:kern w:val="0"/>
      <w:szCs w:val="21"/>
    </w:rPr>
  </w:style>
  <w:style w:type="paragraph" w:customStyle="1" w:styleId="12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12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3">
    <w:name w:val="其他发布部门"/>
    <w:basedOn w:val="124"/>
    <w:qFormat/>
    <w:uiPriority w:val="0"/>
    <w:pPr>
      <w:framePr w:y="15310"/>
      <w:spacing w:line="0" w:lineRule="atLeast"/>
    </w:pPr>
    <w:rPr>
      <w:rFonts w:ascii="黑体" w:eastAsia="黑体"/>
      <w:b w:val="0"/>
    </w:rPr>
  </w:style>
  <w:style w:type="paragraph" w:customStyle="1" w:styleId="124">
    <w:name w:val="发布部门"/>
    <w:next w:val="2"/>
    <w:qFormat/>
    <w:uiPriority w:val="99"/>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6">
    <w:name w:val="标准称谓"/>
    <w:next w:val="1"/>
    <w:qFormat/>
    <w:uiPriority w:val="9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7">
    <w:name w:val="附录图标题"/>
    <w:basedOn w:val="1"/>
    <w:next w:val="2"/>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12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29">
    <w:name w:val="附录标题"/>
    <w:basedOn w:val="2"/>
    <w:next w:val="2"/>
    <w:qFormat/>
    <w:uiPriority w:val="0"/>
    <w:pPr>
      <w:ind w:firstLine="0" w:firstLineChars="0"/>
      <w:jc w:val="center"/>
    </w:pPr>
    <w:rPr>
      <w:rFonts w:ascii="黑体" w:eastAsia="黑体"/>
    </w:rPr>
  </w:style>
  <w:style w:type="paragraph" w:customStyle="1" w:styleId="13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3">
    <w:name w:val="二级无"/>
    <w:basedOn w:val="59"/>
    <w:qFormat/>
    <w:uiPriority w:val="0"/>
    <w:pPr>
      <w:numPr>
        <w:ilvl w:val="2"/>
        <w:numId w:val="3"/>
      </w:numPr>
      <w:spacing w:beforeLines="0" w:afterLines="0"/>
    </w:pPr>
    <w:rPr>
      <w:rFonts w:ascii="宋体" w:eastAsia="宋体"/>
    </w:rPr>
  </w:style>
  <w:style w:type="paragraph" w:customStyle="1" w:styleId="134">
    <w:name w:val="封面标准文稿编辑信息2"/>
    <w:basedOn w:val="99"/>
    <w:qFormat/>
    <w:uiPriority w:val="0"/>
    <w:pPr>
      <w:framePr w:y="4469"/>
    </w:pPr>
  </w:style>
  <w:style w:type="paragraph" w:customStyle="1" w:styleId="13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36">
    <w:name w:val="四级无"/>
    <w:basedOn w:val="103"/>
    <w:qFormat/>
    <w:uiPriority w:val="0"/>
    <w:pPr>
      <w:spacing w:beforeLines="0" w:afterLines="0"/>
    </w:pPr>
    <w:rPr>
      <w:rFonts w:ascii="宋体" w:eastAsia="宋体"/>
    </w:rPr>
  </w:style>
  <w:style w:type="paragraph" w:customStyle="1" w:styleId="137">
    <w:name w:val="附录五级无"/>
    <w:basedOn w:val="94"/>
    <w:qFormat/>
    <w:uiPriority w:val="0"/>
    <w:pPr>
      <w:tabs>
        <w:tab w:val="clear" w:pos="360"/>
      </w:tabs>
      <w:spacing w:beforeLines="0" w:afterLines="0"/>
    </w:pPr>
    <w:rPr>
      <w:rFonts w:ascii="宋体" w:eastAsia="宋体"/>
      <w:szCs w:val="21"/>
    </w:rPr>
  </w:style>
  <w:style w:type="paragraph" w:customStyle="1" w:styleId="138">
    <w:name w:val="图表脚注说明"/>
    <w:basedOn w:val="1"/>
    <w:qFormat/>
    <w:uiPriority w:val="0"/>
    <w:pPr>
      <w:ind w:left="544" w:hanging="181"/>
    </w:pPr>
    <w:rPr>
      <w:rFonts w:ascii="宋体"/>
      <w:sz w:val="18"/>
      <w:szCs w:val="18"/>
    </w:rPr>
  </w:style>
  <w:style w:type="paragraph" w:customStyle="1" w:styleId="139">
    <w:name w:val="封面标准英文名称2"/>
    <w:basedOn w:val="85"/>
    <w:qFormat/>
    <w:uiPriority w:val="0"/>
    <w:pPr>
      <w:framePr w:y="4469"/>
    </w:pPr>
  </w:style>
  <w:style w:type="paragraph" w:customStyle="1" w:styleId="14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42">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43">
    <w:name w:val="一级无"/>
    <w:basedOn w:val="60"/>
    <w:qFormat/>
    <w:uiPriority w:val="0"/>
    <w:pPr>
      <w:spacing w:beforeLines="0" w:afterLines="0"/>
    </w:pPr>
    <w:rPr>
      <w:rFonts w:ascii="宋体" w:eastAsia="宋体"/>
    </w:rPr>
  </w:style>
  <w:style w:type="paragraph" w:customStyle="1" w:styleId="14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4832\&#26700;&#38754;\&#38177;&#26448;&#20844;&#21496;&#20225;&#19994;&#26631;&#20934;(&#26446;&#22825;&#25935;)\2013&#38177;&#31890;&#26631;&#20934;&#33609;&#26696;&#65288;&#25253;&#25209;&#312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2013锡粒标准草案（报批稿）</Template>
  <Pages>7</Pages>
  <Words>2400</Words>
  <Characters>3039</Characters>
  <Lines>24</Lines>
  <Paragraphs>6</Paragraphs>
  <TotalTime>2</TotalTime>
  <ScaleCrop>false</ScaleCrop>
  <LinksUpToDate>false</LinksUpToDate>
  <CharactersWithSpaces>3372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2022-09-20T09:16:00Z</dcterms:created>
  <dcterms:modified xsi:type="dcterms:W3CDTF">2023-09-22T13:12:18Z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F0693B1324404E80AC56E2CA97FE83E1_12</vt:lpwstr>
  </property>
</Properties>
</file>