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left="0" w:leftChars="0" w:right="0" w:firstLine="0" w:firstLineChars="0"/>
        <w:jc w:val="center"/>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征求意见稿意见汇总处理表</w:t>
      </w:r>
    </w:p>
    <w:p>
      <w:pPr>
        <w:rPr>
          <w:rFonts w:hint="eastAsia" w:ascii="宋体" w:hAnsi="宋体" w:eastAsia="宋体" w:cs="宋体"/>
          <w:sz w:val="18"/>
          <w:szCs w:val="18"/>
          <w:lang w:val="en-US" w:eastAsia="zh-CN"/>
        </w:rPr>
      </w:pPr>
      <w:r>
        <w:rPr>
          <w:rFonts w:hint="eastAsia" w:ascii="宋体" w:hAnsi="宋体" w:eastAsia="宋体" w:cs="宋体"/>
          <w:sz w:val="21"/>
          <w:szCs w:val="21"/>
          <w:lang w:val="en-US" w:eastAsia="zh-CN"/>
        </w:rPr>
        <w:t>标准项目名称：铸造碳化</w:t>
      </w:r>
      <w:r>
        <w:rPr>
          <w:rFonts w:hint="eastAsia" w:ascii="宋体" w:hAnsi="宋体" w:cs="宋体"/>
          <w:sz w:val="21"/>
          <w:szCs w:val="21"/>
          <w:lang w:val="en-US" w:eastAsia="zh-CN"/>
        </w:rPr>
        <w:t>钨</w:t>
      </w:r>
      <w:bookmarkStart w:id="0" w:name="_GoBack"/>
      <w:bookmarkEnd w:id="0"/>
      <w:r>
        <w:rPr>
          <w:rFonts w:hint="eastAsia" w:ascii="宋体" w:hAnsi="宋体" w:eastAsia="宋体" w:cs="宋体"/>
          <w:sz w:val="21"/>
          <w:szCs w:val="21"/>
          <w:lang w:val="en-US" w:eastAsia="zh-CN"/>
        </w:rPr>
        <w:t>粉 杂质元素含量的测定 电感耦合等离子体原子发射光谱法</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承办人：菅豫梅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电话：13558924877</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共 2 页  第 1 页</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标准项目负责起草单位：自贡硬质合金有限责任公司</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2023年5月4日填写</w:t>
      </w:r>
    </w:p>
    <w:tbl>
      <w:tblPr>
        <w:tblStyle w:val="5"/>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
        <w:gridCol w:w="709"/>
        <w:gridCol w:w="2835"/>
        <w:gridCol w:w="2268"/>
        <w:gridCol w:w="709"/>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序号</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标准</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章条</w:t>
            </w:r>
          </w:p>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编号</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意见内容</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提出单位</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处理意见</w:t>
            </w:r>
          </w:p>
        </w:tc>
        <w:tc>
          <w:tcPr>
            <w:tcW w:w="1616"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2.4.1（编制说明）</w:t>
            </w:r>
          </w:p>
        </w:tc>
        <w:tc>
          <w:tcPr>
            <w:tcW w:w="2835" w:type="dxa"/>
            <w:vAlign w:val="center"/>
          </w:tcPr>
          <w:p>
            <w:pPr>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取1.0mL为氢氟酸用量可以吗？</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南昌硬质合金有限责任公司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未采纳</w:t>
            </w:r>
          </w:p>
        </w:tc>
        <w:tc>
          <w:tcPr>
            <w:tcW w:w="1616"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单晶铸造碳化钨溶解完全有风险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表4（编制说明）</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为什么有的元素一个分析波长，有的元素两个分析波长？</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株洲钻石切削刀具股份有限公司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未采纳</w:t>
            </w:r>
          </w:p>
        </w:tc>
        <w:tc>
          <w:tcPr>
            <w:tcW w:w="1616"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由于不同实验室仪器型号不同，微量元素谱线波长可能有差异，推荐的两条都可采用，检测结果相符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封面</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H 16修改为CCS H 16</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4</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封面</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发布单位改为“中华人民共和国工业和信息化部”</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引导语不是最新版，修改为“下列文件中的内容通过文中的规范性引用而构成本文件必不可少的条款。其中，注日期的引用文件，仅该日期对应的版本适用于本文件；不注日期的引用文件，其最新版本（包括所有的修改单）适用于本文件。”</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w:t>
            </w:r>
          </w:p>
        </w:tc>
        <w:tc>
          <w:tcPr>
            <w:tcW w:w="2835" w:type="dxa"/>
            <w:vAlign w:val="center"/>
          </w:tcPr>
          <w:p>
            <w:pPr>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5.5改为5.1，5.1改为5.2，其余顺延</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5.4</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聚四氟乙烯消解管（50mL或100mL）修改为聚四氟乙烯消解管（50mL或100mL）或聚四氟乙烯烧杯（100mL）</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厦门钨业技术中心</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6.2</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电热消解仪或微波消解仪修改为 电热消解仪、微波消解仪或电热板</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厦门钨业技术中心</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7.1</w:t>
            </w:r>
          </w:p>
        </w:tc>
        <w:tc>
          <w:tcPr>
            <w:tcW w:w="2835" w:type="dxa"/>
            <w:vAlign w:val="center"/>
          </w:tcPr>
          <w:p>
            <w:pPr>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删除表1，按表1称取粉末试样，精确至0.0001g修改为准确称取0.2 g样品，精确至0.0001g</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厦门钨业技术中心</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7.4.1</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……或微波消解仪中修改为……或微波消解仪、电热板上</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厦门钨业技术中心</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7.4.2</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用水稀释至容量瓶的刻度处，摇匀待测改为用水稀释至刻度，混匀</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中国有色桂林矿产地质研究院有限公司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7.5.1</w:t>
            </w:r>
          </w:p>
        </w:tc>
        <w:tc>
          <w:tcPr>
            <w:tcW w:w="2835" w:type="dxa"/>
            <w:vAlign w:val="center"/>
          </w:tcPr>
          <w:p>
            <w:pPr>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数字与单位mL之间加空格</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中国有色桂林矿产地质研究院有限公司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7.5.2</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分析线改为分析波长</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株洲钻石切削刀具股份有限公司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7.5、9</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表1分页加表头和“续”，表1、表2、表3加表题</w: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15</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kern w:val="2"/>
                <w:sz w:val="18"/>
                <w:szCs w:val="18"/>
                <w:lang w:val="en-US" w:eastAsia="zh-CN" w:bidi="ar-SA"/>
              </w:rPr>
              <w:pict>
                <v:shape id="_x0000_i1025" o:spt="75" type="#_x0000_t75" style="height:10.5pt;width:11.25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r>
              <w:rPr>
                <w:rFonts w:hint="eastAsia" w:ascii="宋体" w:hAnsi="宋体" w:eastAsia="宋体" w:cs="宋体"/>
                <w:sz w:val="18"/>
                <w:szCs w:val="18"/>
                <w:lang w:val="en-US" w:eastAsia="zh-CN"/>
              </w:rPr>
              <w:t>改为</w:t>
            </w:r>
            <w:r>
              <w:rPr>
                <w:rFonts w:hint="eastAsia" w:ascii="宋体" w:hAnsi="宋体" w:eastAsia="宋体" w:cs="宋体"/>
                <w:kern w:val="2"/>
                <w:sz w:val="18"/>
                <w:szCs w:val="18"/>
                <w:lang w:val="en-US" w:eastAsia="zh-CN" w:bidi="ar-SA"/>
              </w:rPr>
              <w:pict>
                <v:shape id="_x0000_i1027" o:spt="75" type="#_x0000_t75" style="height:18pt;width:14.2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tc>
        <w:tc>
          <w:tcPr>
            <w:tcW w:w="2268"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中国有色桂林矿产地质研究院有限公司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16</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8、9</w:t>
            </w:r>
          </w:p>
        </w:tc>
        <w:tc>
          <w:tcPr>
            <w:tcW w:w="2835" w:type="dxa"/>
            <w:vAlign w:val="center"/>
          </w:tcPr>
          <w:p>
            <w:pPr>
              <w:jc w:val="left"/>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公式等涉及的字母用斜体</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color w:val="auto"/>
                <w:sz w:val="18"/>
                <w:szCs w:val="18"/>
                <w:lang w:val="en-US" w:eastAsia="zh-CN"/>
              </w:rPr>
              <w:t>中国有色桂林矿产地质研究院有限公司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2835" w:type="dxa"/>
            <w:vAlign w:val="center"/>
          </w:tcPr>
          <w:p>
            <w:pPr>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使用的标准（包括发布或出版年号）修改为本文件编号</w:t>
            </w:r>
          </w:p>
        </w:tc>
        <w:tc>
          <w:tcPr>
            <w:tcW w:w="2268"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有色标委会</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采纳</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18</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深圳市注成科技股份有限公司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19</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崇义章源钨业股份有限公司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广东省科学院工业分析检测中心</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21</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自贡长城表面工程技术有限公司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22</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国合通用（青岛）测试评价有限公司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23</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株洲硬质合金集团有限公司</w:t>
            </w:r>
          </w:p>
        </w:tc>
        <w:tc>
          <w:tcPr>
            <w:tcW w:w="709" w:type="dxa"/>
            <w:vAlign w:val="center"/>
          </w:tcPr>
          <w:p>
            <w:pPr>
              <w:jc w:val="center"/>
              <w:rPr>
                <w:rFonts w:hint="eastAsia" w:ascii="宋体" w:hAnsi="宋体" w:eastAsia="宋体" w:cs="宋体"/>
                <w:kern w:val="2"/>
                <w:sz w:val="18"/>
                <w:szCs w:val="18"/>
                <w:lang w:val="en-US" w:eastAsia="zh-CN" w:bidi="ar-SA"/>
              </w:rPr>
            </w:pPr>
            <w:r>
              <w:rPr>
                <w:rFonts w:hint="eastAsia" w:ascii="宋体" w:hAnsi="宋体" w:cs="宋体"/>
                <w:sz w:val="18"/>
                <w:szCs w:val="18"/>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24</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2835"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无意见</w:t>
            </w:r>
          </w:p>
        </w:tc>
        <w:tc>
          <w:tcPr>
            <w:tcW w:w="2268" w:type="dxa"/>
            <w:vAlign w:val="center"/>
          </w:tcPr>
          <w:p>
            <w:pPr>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洛阳金鹭硬质合金工具有限公司</w:t>
            </w:r>
          </w:p>
        </w:tc>
        <w:tc>
          <w:tcPr>
            <w:tcW w:w="709"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616" w:type="dxa"/>
            <w:vAlign w:val="center"/>
          </w:tcPr>
          <w:p>
            <w:pPr>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 w:type="dxa"/>
            <w:vAlign w:val="center"/>
          </w:tcPr>
          <w:p>
            <w:pPr>
              <w:jc w:val="center"/>
              <w:rPr>
                <w:rFonts w:hint="default" w:ascii="宋体" w:hAnsi="宋体" w:eastAsia="宋体" w:cs="宋体"/>
                <w:sz w:val="18"/>
                <w:szCs w:val="18"/>
                <w:lang w:val="en-US" w:eastAsia="zh-CN"/>
              </w:rPr>
            </w:pPr>
          </w:p>
        </w:tc>
        <w:tc>
          <w:tcPr>
            <w:tcW w:w="709" w:type="dxa"/>
            <w:vAlign w:val="center"/>
          </w:tcPr>
          <w:p>
            <w:pPr>
              <w:jc w:val="center"/>
              <w:rPr>
                <w:rFonts w:hint="default" w:ascii="宋体" w:hAnsi="宋体" w:eastAsia="宋体" w:cs="宋体"/>
                <w:sz w:val="18"/>
                <w:szCs w:val="18"/>
                <w:lang w:val="en-US" w:eastAsia="zh-CN"/>
              </w:rPr>
            </w:pPr>
          </w:p>
        </w:tc>
        <w:tc>
          <w:tcPr>
            <w:tcW w:w="2835" w:type="dxa"/>
            <w:vAlign w:val="center"/>
          </w:tcPr>
          <w:p>
            <w:pPr>
              <w:jc w:val="center"/>
              <w:rPr>
                <w:rFonts w:hint="eastAsia" w:ascii="宋体" w:hAnsi="宋体" w:eastAsia="宋体" w:cs="宋体"/>
                <w:sz w:val="18"/>
                <w:szCs w:val="18"/>
                <w:lang w:val="en-US" w:eastAsia="zh-CN"/>
              </w:rPr>
            </w:pPr>
          </w:p>
        </w:tc>
        <w:tc>
          <w:tcPr>
            <w:tcW w:w="2268" w:type="dxa"/>
            <w:vAlign w:val="center"/>
          </w:tcPr>
          <w:p>
            <w:pPr>
              <w:jc w:val="center"/>
              <w:rPr>
                <w:rFonts w:hint="eastAsia" w:ascii="宋体" w:hAnsi="宋体" w:eastAsia="宋体" w:cs="宋体"/>
                <w:color w:val="auto"/>
                <w:sz w:val="18"/>
                <w:szCs w:val="18"/>
                <w:lang w:val="en-US" w:eastAsia="zh-CN"/>
              </w:rPr>
            </w:pPr>
          </w:p>
        </w:tc>
        <w:tc>
          <w:tcPr>
            <w:tcW w:w="709" w:type="dxa"/>
            <w:vAlign w:val="center"/>
          </w:tcPr>
          <w:p>
            <w:pPr>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616" w:type="dxa"/>
            <w:vAlign w:val="center"/>
          </w:tcPr>
          <w:p>
            <w:pPr>
              <w:jc w:val="center"/>
              <w:rPr>
                <w:rFonts w:hint="eastAsia" w:ascii="宋体" w:hAnsi="宋体" w:eastAsia="宋体" w:cs="宋体"/>
                <w:sz w:val="18"/>
                <w:szCs w:val="18"/>
                <w:lang w:val="en-US" w:eastAsia="zh-CN"/>
              </w:rPr>
            </w:pPr>
          </w:p>
        </w:tc>
      </w:tr>
    </w:tbl>
    <w:p>
      <w:pPr>
        <w:rPr>
          <w:rFonts w:hint="eastAsia" w:ascii="宋体" w:hAnsi="宋体" w:eastAsia="宋体" w:cs="宋体"/>
          <w:sz w:val="18"/>
          <w:szCs w:val="18"/>
          <w:lang w:val="en-US" w:eastAsia="zh-CN"/>
        </w:rPr>
      </w:pP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说明：</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发送“征求意见稿”的单位数：12个。</w:t>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收到“征求意见稿”后，回函的单位数：12个。</w:t>
      </w:r>
      <w:r>
        <w:rPr>
          <w:rFonts w:hint="eastAsia" w:ascii="宋体" w:hAnsi="宋体" w:eastAsia="宋体" w:cs="宋体"/>
          <w:sz w:val="18"/>
          <w:szCs w:val="18"/>
          <w:lang w:val="en-US" w:eastAsia="zh-CN"/>
        </w:rPr>
        <w:tab/>
      </w:r>
      <w:r>
        <w:rPr>
          <w:rFonts w:hint="eastAsia" w:ascii="宋体" w:hAnsi="宋体" w:eastAsia="宋体" w:cs="宋体"/>
          <w:sz w:val="18"/>
          <w:szCs w:val="18"/>
          <w:lang w:val="en-US" w:eastAsia="zh-CN"/>
        </w:rPr>
        <w:tab/>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收到“征求意见稿”后，回函并有建议或意见的单位数：5个。</w:t>
      </w:r>
      <w:r>
        <w:rPr>
          <w:rFonts w:hint="eastAsia" w:ascii="宋体" w:hAnsi="宋体" w:eastAsia="宋体" w:cs="宋体"/>
          <w:sz w:val="18"/>
          <w:szCs w:val="18"/>
          <w:lang w:val="en-US" w:eastAsia="zh-CN"/>
        </w:rPr>
        <w:tab/>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没有回函的单位数： 0个。</w:t>
      </w:r>
    </w:p>
    <w:p>
      <w:pPr>
        <w:rPr>
          <w:rFonts w:hint="eastAsia" w:ascii="宋体" w:hAnsi="宋体" w:eastAsia="宋体" w:cs="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jAyNzlkYTU1YTVkOTA4ZjUyYzk5MDIwMTkxNWRjYjkifQ=="/>
  </w:docVars>
  <w:rsids>
    <w:rsidRoot w:val="74297670"/>
    <w:rsid w:val="047E200F"/>
    <w:rsid w:val="069D0630"/>
    <w:rsid w:val="0C0C0309"/>
    <w:rsid w:val="0E300AB0"/>
    <w:rsid w:val="15115F9B"/>
    <w:rsid w:val="151A0871"/>
    <w:rsid w:val="16474F92"/>
    <w:rsid w:val="175F7A07"/>
    <w:rsid w:val="17BC2723"/>
    <w:rsid w:val="18A767E7"/>
    <w:rsid w:val="18A94336"/>
    <w:rsid w:val="19D837F1"/>
    <w:rsid w:val="1ACD74CD"/>
    <w:rsid w:val="1AE73CC9"/>
    <w:rsid w:val="1B010D13"/>
    <w:rsid w:val="1BEF5391"/>
    <w:rsid w:val="1C3742EF"/>
    <w:rsid w:val="216142AB"/>
    <w:rsid w:val="24DD637B"/>
    <w:rsid w:val="27880347"/>
    <w:rsid w:val="2855073C"/>
    <w:rsid w:val="2A79781B"/>
    <w:rsid w:val="2B3B75BD"/>
    <w:rsid w:val="2C12302A"/>
    <w:rsid w:val="2E6809EB"/>
    <w:rsid w:val="307B41DA"/>
    <w:rsid w:val="31280FEA"/>
    <w:rsid w:val="31983FB4"/>
    <w:rsid w:val="32447948"/>
    <w:rsid w:val="328D4874"/>
    <w:rsid w:val="32974665"/>
    <w:rsid w:val="34B0027C"/>
    <w:rsid w:val="355514BD"/>
    <w:rsid w:val="37092113"/>
    <w:rsid w:val="38CC2E77"/>
    <w:rsid w:val="3BD140DA"/>
    <w:rsid w:val="3D610905"/>
    <w:rsid w:val="428E7590"/>
    <w:rsid w:val="445C0A75"/>
    <w:rsid w:val="45471709"/>
    <w:rsid w:val="45C07C1F"/>
    <w:rsid w:val="478D7DF4"/>
    <w:rsid w:val="4A4E0DD7"/>
    <w:rsid w:val="4A9A296E"/>
    <w:rsid w:val="4F54768D"/>
    <w:rsid w:val="509903CB"/>
    <w:rsid w:val="51C029F2"/>
    <w:rsid w:val="534310A1"/>
    <w:rsid w:val="54B47CA3"/>
    <w:rsid w:val="55361124"/>
    <w:rsid w:val="557B34F2"/>
    <w:rsid w:val="565254FB"/>
    <w:rsid w:val="5871271A"/>
    <w:rsid w:val="59917F16"/>
    <w:rsid w:val="5CA13D2C"/>
    <w:rsid w:val="5D55372A"/>
    <w:rsid w:val="60B21E91"/>
    <w:rsid w:val="63E1605B"/>
    <w:rsid w:val="64B0361D"/>
    <w:rsid w:val="653B4842"/>
    <w:rsid w:val="66C30450"/>
    <w:rsid w:val="67017EC4"/>
    <w:rsid w:val="687308BE"/>
    <w:rsid w:val="6876658A"/>
    <w:rsid w:val="6E885F73"/>
    <w:rsid w:val="71106024"/>
    <w:rsid w:val="71270F39"/>
    <w:rsid w:val="71F903BB"/>
    <w:rsid w:val="74297670"/>
    <w:rsid w:val="75BE7814"/>
    <w:rsid w:val="75D10DCD"/>
    <w:rsid w:val="778F7F8D"/>
    <w:rsid w:val="784C159B"/>
    <w:rsid w:val="7AF414C0"/>
    <w:rsid w:val="7BE80F2D"/>
    <w:rsid w:val="7BED33BC"/>
    <w:rsid w:val="7D800EA1"/>
    <w:rsid w:val="7D9F0F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kern w:val="0"/>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 Char"/>
    <w:basedOn w:val="1"/>
    <w:link w:val="6"/>
    <w:qFormat/>
    <w:uiPriority w:val="0"/>
  </w:style>
  <w:style w:type="character" w:styleId="8">
    <w:name w:val="page number"/>
    <w:basedOn w:val="6"/>
    <w:uiPriority w:val="0"/>
    <w:rPr>
      <w:rFonts w:cs="Times New Roman"/>
    </w:rPr>
  </w:style>
  <w:style w:type="paragraph" w:customStyle="1" w:styleId="9">
    <w:name w:val="封面标准英文名称"/>
    <w:qFormat/>
    <w:uiPriority w:val="0"/>
    <w:pPr>
      <w:widowControl w:val="0"/>
      <w:spacing w:before="370" w:beforeLines="0" w:line="400" w:lineRule="exact"/>
      <w:jc w:val="center"/>
    </w:pPr>
    <w:rPr>
      <w:rFonts w:ascii="Times New Roman" w:hAnsi="Times New Roman" w:eastAsia="宋体" w:cs="Times New Roman"/>
      <w:sz w:val="28"/>
      <w:lang w:val="en-US" w:eastAsia="zh-CN" w:bidi="ar-SA"/>
    </w:rPr>
  </w:style>
  <w:style w:type="paragraph" w:customStyle="1" w:styleId="10">
    <w:name w:val="文献分类号"/>
    <w:qFormat/>
    <w:uiPriority w:val="0"/>
    <w:pPr>
      <w:widowControl w:val="0"/>
      <w:textAlignment w:val="center"/>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1084</Words>
  <Characters>1192</Characters>
  <Lines>0</Lines>
  <Paragraphs>0</Paragraphs>
  <TotalTime>0</TotalTime>
  <ScaleCrop>false</ScaleCrop>
  <LinksUpToDate>false</LinksUpToDate>
  <CharactersWithSpaces>1239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2023-04-28T06:01:00Z</dcterms:created>
  <dc:creator>Administrator</dc:creator>
  <cp:lastModifiedBy>Administrator</cp:lastModifiedBy>
  <dcterms:modified xsi:type="dcterms:W3CDTF">2023-09-05T02:27:48Z</dcterms:modified>
  <dc:title>标准征求意见稿意见汇总处理表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B1AE1B78BAFB4EB1BE3CDE7A109ACA48_12</vt:lpwstr>
  </property>
</Properties>
</file>