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《照相制版用铜板》行业标准</w:t>
      </w:r>
    </w:p>
    <w:p>
      <w:pPr>
        <w:jc w:val="center"/>
        <w:rPr>
          <w:b/>
          <w:bCs/>
          <w:sz w:val="32"/>
          <w:szCs w:val="32"/>
        </w:rPr>
      </w:pPr>
      <w:r>
        <w:rPr>
          <w:rFonts w:hint="eastAsia"/>
          <w:b/>
          <w:bCs/>
          <w:sz w:val="32"/>
          <w:szCs w:val="32"/>
        </w:rPr>
        <w:t>（送审稿）编制说明</w:t>
      </w:r>
    </w:p>
    <w:p>
      <w:pPr>
        <w:pStyle w:val="16"/>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hint="eastAsia" w:ascii="黑体" w:eastAsia="黑体" w:cs="Arial"/>
          <w:color w:val="auto"/>
          <w:sz w:val="24"/>
          <w:szCs w:val="24"/>
        </w:rPr>
      </w:pPr>
      <w:r>
        <w:rPr>
          <w:rFonts w:hint="eastAsia" w:ascii="黑体" w:eastAsia="黑体" w:cs="Arial"/>
          <w:color w:val="auto"/>
          <w:sz w:val="24"/>
          <w:szCs w:val="24"/>
        </w:rPr>
        <w:t>一、工作简况</w:t>
      </w:r>
    </w:p>
    <w:p>
      <w:pPr>
        <w:pStyle w:val="16"/>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hint="eastAsia" w:ascii="黑体" w:eastAsia="黑体" w:cs="Arial"/>
          <w:color w:val="auto"/>
          <w:sz w:val="24"/>
          <w:szCs w:val="24"/>
        </w:rPr>
      </w:pPr>
      <w:r>
        <w:rPr>
          <w:rFonts w:hint="eastAsia" w:ascii="黑体" w:eastAsia="黑体" w:cs="Arial"/>
          <w:color w:val="auto"/>
          <w:sz w:val="24"/>
          <w:szCs w:val="24"/>
        </w:rPr>
        <w:t>1.1任务来源</w:t>
      </w:r>
    </w:p>
    <w:p>
      <w:pPr>
        <w:spacing w:line="360" w:lineRule="auto"/>
        <w:ind w:firstLine="480" w:firstLineChars="200"/>
        <w:rPr>
          <w:rFonts w:ascii="宋体" w:hAnsi="宋体"/>
          <w:bCs/>
          <w:sz w:val="24"/>
        </w:rPr>
      </w:pPr>
      <w:r>
        <w:rPr>
          <w:rFonts w:hint="eastAsia" w:ascii="宋体" w:hAnsi="宋体" w:cs="宋体"/>
          <w:sz w:val="24"/>
        </w:rPr>
        <w:t>根据工信厅科函[2022]94号</w:t>
      </w:r>
      <w:r>
        <w:rPr>
          <w:rFonts w:hint="eastAsia" w:ascii="宋体" w:hAnsi="宋体"/>
          <w:sz w:val="24"/>
        </w:rPr>
        <w:t>和有色标委[2022]102号《</w:t>
      </w:r>
      <w:r>
        <w:rPr>
          <w:rFonts w:ascii="宋体" w:hAnsi="宋体"/>
          <w:sz w:val="24"/>
        </w:rPr>
        <w:t>关于转发20</w:t>
      </w:r>
      <w:r>
        <w:rPr>
          <w:rFonts w:hint="eastAsia" w:ascii="宋体" w:hAnsi="宋体"/>
          <w:sz w:val="24"/>
        </w:rPr>
        <w:t>22</w:t>
      </w:r>
      <w:r>
        <w:rPr>
          <w:rFonts w:ascii="宋体" w:hAnsi="宋体"/>
          <w:sz w:val="24"/>
        </w:rPr>
        <w:t>年第</w:t>
      </w:r>
      <w:r>
        <w:rPr>
          <w:rFonts w:hint="eastAsia" w:ascii="宋体" w:hAnsi="宋体"/>
          <w:sz w:val="24"/>
        </w:rPr>
        <w:t>一</w:t>
      </w:r>
      <w:r>
        <w:rPr>
          <w:rFonts w:ascii="宋体" w:hAnsi="宋体"/>
          <w:sz w:val="24"/>
        </w:rPr>
        <w:t>批有色金属国家、行业</w:t>
      </w:r>
      <w:r>
        <w:rPr>
          <w:rFonts w:hint="eastAsia" w:ascii="宋体" w:hAnsi="宋体"/>
          <w:sz w:val="24"/>
        </w:rPr>
        <w:t>、协会</w:t>
      </w:r>
      <w:r>
        <w:rPr>
          <w:rFonts w:ascii="宋体" w:hAnsi="宋体"/>
          <w:sz w:val="24"/>
        </w:rPr>
        <w:t>标准制（修）订项目计划的通知</w:t>
      </w:r>
      <w:r>
        <w:rPr>
          <w:rFonts w:hint="eastAsia" w:ascii="宋体" w:hAnsi="宋体"/>
          <w:sz w:val="24"/>
        </w:rPr>
        <w:t>》</w:t>
      </w:r>
      <w:r>
        <w:rPr>
          <w:rFonts w:hint="eastAsia" w:ascii="宋体" w:hAnsi="宋体" w:cs="宋体"/>
          <w:sz w:val="24"/>
        </w:rPr>
        <w:t>，</w:t>
      </w:r>
      <w:r>
        <w:rPr>
          <w:rFonts w:hint="eastAsia" w:ascii="宋体" w:hAnsi="宋体" w:cs="宋体"/>
          <w:bCs/>
          <w:sz w:val="24"/>
        </w:rPr>
        <w:t>其中</w:t>
      </w:r>
      <w:r>
        <w:rPr>
          <w:rFonts w:hint="eastAsia" w:ascii="宋体" w:hAnsi="宋体" w:cs="宋体"/>
          <w:sz w:val="24"/>
        </w:rPr>
        <w:t>项目计划号</w:t>
      </w:r>
      <w:r>
        <w:rPr>
          <w:rFonts w:hint="eastAsia"/>
          <w:bCs/>
          <w:sz w:val="24"/>
        </w:rPr>
        <w:t>“</w:t>
      </w:r>
      <w:r>
        <w:rPr>
          <w:bCs/>
          <w:sz w:val="24"/>
        </w:rPr>
        <w:t>2022-0048T-YS</w:t>
      </w:r>
      <w:r>
        <w:rPr>
          <w:rFonts w:hint="eastAsia"/>
          <w:bCs/>
          <w:sz w:val="24"/>
        </w:rPr>
        <w:t>”</w:t>
      </w:r>
      <w:r>
        <w:rPr>
          <w:rFonts w:hint="eastAsia" w:ascii="宋体" w:hAnsi="宋体" w:cs="宋体"/>
          <w:sz w:val="24"/>
        </w:rPr>
        <w:t>《</w:t>
      </w:r>
      <w:r>
        <w:rPr>
          <w:rFonts w:hint="eastAsia"/>
          <w:bCs/>
          <w:sz w:val="24"/>
        </w:rPr>
        <w:t>照相制版用铜板</w:t>
      </w:r>
      <w:r>
        <w:rPr>
          <w:rFonts w:hint="eastAsia" w:ascii="宋体" w:hAnsi="宋体" w:cs="宋体"/>
          <w:sz w:val="24"/>
        </w:rPr>
        <w:t>》行业标准由中铝洛阳铜加工有限公司等单位负责起草，完成年限2024年4月。</w:t>
      </w:r>
    </w:p>
    <w:p>
      <w:pPr>
        <w:pStyle w:val="16"/>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hint="eastAsia" w:ascii="黑体" w:eastAsia="黑体" w:cs="Arial"/>
          <w:color w:val="auto"/>
          <w:sz w:val="24"/>
          <w:szCs w:val="24"/>
        </w:rPr>
      </w:pPr>
      <w:r>
        <w:rPr>
          <w:rFonts w:hint="eastAsia" w:ascii="黑体" w:eastAsia="黑体" w:cs="Arial"/>
          <w:color w:val="auto"/>
          <w:sz w:val="24"/>
          <w:szCs w:val="24"/>
        </w:rPr>
        <w:t>1.2立项</w:t>
      </w:r>
      <w:r>
        <w:rPr>
          <w:rFonts w:hint="eastAsia" w:ascii="黑体" w:eastAsia="黑体" w:cs="Arial"/>
          <w:color w:val="auto"/>
          <w:sz w:val="24"/>
          <w:szCs w:val="24"/>
          <w:lang w:val="en-US" w:eastAsia="zh-CN"/>
        </w:rPr>
        <w:t>目的</w:t>
      </w:r>
      <w:r>
        <w:rPr>
          <w:rFonts w:hint="eastAsia" w:ascii="黑体" w:eastAsia="黑体" w:cs="Arial"/>
          <w:color w:val="auto"/>
          <w:sz w:val="24"/>
          <w:szCs w:val="24"/>
        </w:rPr>
        <w:t>和意义</w:t>
      </w:r>
    </w:p>
    <w:p>
      <w:pPr>
        <w:widowControl/>
        <w:shd w:val="clear" w:color="auto" w:fill="FFFFFF"/>
        <w:spacing w:line="360" w:lineRule="auto"/>
        <w:ind w:firstLine="480"/>
        <w:jc w:val="left"/>
        <w:rPr>
          <w:rFonts w:ascii="宋体" w:hAnsi="宋体" w:cs="黑体"/>
          <w:b/>
          <w:sz w:val="24"/>
        </w:rPr>
      </w:pPr>
      <w:bookmarkStart w:id="0" w:name="OLE_LINK3"/>
      <w:bookmarkStart w:id="1" w:name="OLE_LINK4"/>
      <w:r>
        <w:rPr>
          <w:rFonts w:ascii="宋体" w:hAnsi="宋体"/>
          <w:sz w:val="24"/>
        </w:rPr>
        <w:t>照相</w:t>
      </w:r>
      <w:r>
        <w:rPr>
          <w:rFonts w:hint="eastAsia" w:ascii="宋体" w:hAnsi="宋体"/>
          <w:sz w:val="24"/>
        </w:rPr>
        <w:t>制</w:t>
      </w:r>
      <w:r>
        <w:rPr>
          <w:rFonts w:ascii="宋体" w:hAnsi="宋体"/>
          <w:sz w:val="24"/>
        </w:rPr>
        <w:t>版铜版</w:t>
      </w:r>
      <w:r>
        <w:rPr>
          <w:rFonts w:hint="eastAsia" w:ascii="宋体" w:hAnsi="宋体"/>
          <w:sz w:val="24"/>
        </w:rPr>
        <w:t>，是印刷行业制作</w:t>
      </w:r>
      <w:r>
        <w:rPr>
          <w:rFonts w:ascii="宋体" w:hAnsi="宋体" w:cs="宋体"/>
          <w:kern w:val="0"/>
          <w:sz w:val="24"/>
        </w:rPr>
        <w:t>凸版印版</w:t>
      </w:r>
      <w:r>
        <w:rPr>
          <w:rFonts w:hint="eastAsia" w:ascii="宋体" w:hAnsi="宋体" w:cs="宋体"/>
          <w:kern w:val="0"/>
          <w:sz w:val="24"/>
        </w:rPr>
        <w:t>的专用材料</w:t>
      </w:r>
      <w:r>
        <w:rPr>
          <w:rFonts w:hint="eastAsia" w:ascii="宋体" w:hAnsi="宋体"/>
          <w:sz w:val="24"/>
        </w:rPr>
        <w:t>。铜板一般用于制作质量要求较高、印刷数量较多的图案制版。</w:t>
      </w:r>
      <w:r>
        <w:rPr>
          <w:rFonts w:ascii="宋体" w:hAnsi="宋体"/>
          <w:sz w:val="24"/>
        </w:rPr>
        <w:t>紫铜</w:t>
      </w:r>
      <w:r>
        <w:rPr>
          <w:rFonts w:hint="eastAsia" w:ascii="宋体" w:hAnsi="宋体"/>
          <w:sz w:val="24"/>
        </w:rPr>
        <w:t>和银铜具有良好的塑性、导热性、耐蚀性及易加工成型等性能，</w:t>
      </w:r>
      <w:r>
        <w:rPr>
          <w:rFonts w:ascii="宋体" w:hAnsi="宋体"/>
          <w:sz w:val="24"/>
        </w:rPr>
        <w:t>用于</w:t>
      </w:r>
      <w:r>
        <w:rPr>
          <w:rFonts w:hint="eastAsia" w:ascii="宋体" w:hAnsi="宋体"/>
          <w:sz w:val="24"/>
        </w:rPr>
        <w:t>照相制版、</w:t>
      </w:r>
      <w:r>
        <w:rPr>
          <w:rFonts w:ascii="宋体" w:hAnsi="宋体"/>
          <w:sz w:val="24"/>
        </w:rPr>
        <w:t>印刷摄影图片</w:t>
      </w:r>
      <w:r>
        <w:rPr>
          <w:rFonts w:hint="eastAsia" w:ascii="宋体" w:hAnsi="宋体"/>
          <w:sz w:val="24"/>
        </w:rPr>
        <w:t>、</w:t>
      </w:r>
      <w:r>
        <w:rPr>
          <w:rFonts w:ascii="宋体" w:hAnsi="宋体"/>
          <w:sz w:val="24"/>
        </w:rPr>
        <w:t>包装印刷、电化铝烫印中占有举足轻重的位置。</w:t>
      </w:r>
      <w:r>
        <w:rPr>
          <w:rFonts w:hint="eastAsia" w:ascii="宋体" w:hAnsi="宋体"/>
          <w:sz w:val="24"/>
        </w:rPr>
        <w:t>同时替代</w:t>
      </w:r>
      <w:r>
        <w:rPr>
          <w:rFonts w:ascii="宋体" w:hAnsi="宋体"/>
          <w:sz w:val="24"/>
        </w:rPr>
        <w:t>铅</w:t>
      </w:r>
      <w:r>
        <w:rPr>
          <w:rFonts w:hint="eastAsia" w:ascii="宋体" w:hAnsi="宋体"/>
          <w:sz w:val="24"/>
        </w:rPr>
        <w:t>制版</w:t>
      </w:r>
      <w:r>
        <w:rPr>
          <w:rFonts w:ascii="宋体" w:hAnsi="宋体"/>
          <w:sz w:val="24"/>
        </w:rPr>
        <w:t>，保护工人的健康和人们生活的环境。</w:t>
      </w:r>
      <w:r>
        <w:rPr>
          <w:rFonts w:hint="eastAsia" w:ascii="宋体" w:hAnsi="宋体"/>
          <w:sz w:val="24"/>
        </w:rPr>
        <w:t>本标准的修订有助于铜产品转型升级、消化过剩产能，并促进新产品、新技术发展，提升节能环保产业供给质量和水平。同时</w:t>
      </w:r>
      <w:r>
        <w:rPr>
          <w:rFonts w:hint="eastAsia" w:ascii="宋体" w:hAnsi="宋体" w:cs="宋体"/>
          <w:kern w:val="0"/>
          <w:sz w:val="24"/>
        </w:rPr>
        <w:t>提高产品质量的可靠性、稳定性、一致性水平，增加高性能、功能化、差别化产品的有效供给，带动原材料工业质量品牌整体提升，为制造业高质量发展提供保障。</w:t>
      </w:r>
    </w:p>
    <w:p>
      <w:pPr>
        <w:pStyle w:val="16"/>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hint="eastAsia" w:ascii="黑体" w:eastAsia="黑体" w:cs="Arial"/>
          <w:color w:val="auto"/>
          <w:sz w:val="24"/>
          <w:szCs w:val="24"/>
        </w:rPr>
      </w:pPr>
      <w:r>
        <w:rPr>
          <w:rFonts w:hint="eastAsia" w:ascii="黑体" w:eastAsia="黑体" w:cs="Arial"/>
          <w:color w:val="auto"/>
          <w:sz w:val="24"/>
          <w:szCs w:val="24"/>
        </w:rPr>
        <w:t>1.3</w:t>
      </w:r>
      <w:r>
        <w:rPr>
          <w:rFonts w:hint="eastAsia" w:ascii="黑体" w:eastAsia="黑体" w:cs="Arial"/>
          <w:color w:val="auto"/>
          <w:sz w:val="24"/>
          <w:szCs w:val="24"/>
          <w:lang w:val="en-US" w:eastAsia="zh-CN"/>
        </w:rPr>
        <w:t>主要参加单位和工作成员所作的工作</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1）项目编制组</w:t>
      </w:r>
    </w:p>
    <w:p>
      <w:pPr>
        <w:pStyle w:val="7"/>
        <w:spacing w:line="360" w:lineRule="auto"/>
        <w:ind w:firstLine="480" w:firstLineChars="200"/>
        <w:rPr>
          <w:rFonts w:ascii="宋体" w:hAnsi="宋体" w:cs="宋体"/>
          <w:sz w:val="24"/>
        </w:rPr>
      </w:pPr>
      <w:r>
        <w:rPr>
          <w:rFonts w:hint="eastAsia" w:ascii="宋体" w:hAnsi="宋体" w:cs="宋体"/>
          <w:sz w:val="24"/>
        </w:rPr>
        <w:t>标准制订计划任务正式下达后，立即成立了标准编制组，并落实起草任务，确定标准的主要起草人，拟定该标准的工作计划。具体分工为：中铝洛阳铜加工有限公司总负责，市场和同行业信息收集、资料汇总及执笔；</w:t>
      </w:r>
      <w:r>
        <w:rPr>
          <w:rFonts w:hint="eastAsia" w:ascii="宋体" w:hAnsi="宋体"/>
          <w:sz w:val="24"/>
        </w:rPr>
        <w:t>其他参编单位</w:t>
      </w:r>
      <w:r>
        <w:rPr>
          <w:rFonts w:hint="eastAsia" w:ascii="宋体" w:hAnsi="宋体" w:cs="宋体"/>
          <w:sz w:val="24"/>
        </w:rPr>
        <w:t>负责补充市场信息和标准数据的验证。编制组分工明确，紧密合作，共同完成标准的修订工作。</w:t>
      </w:r>
    </w:p>
    <w:bookmarkEnd w:id="0"/>
    <w:bookmarkEnd w:id="1"/>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2）编制单位技术基础</w:t>
      </w:r>
    </w:p>
    <w:p>
      <w:pPr>
        <w:spacing w:line="360" w:lineRule="auto"/>
        <w:ind w:firstLine="480" w:firstLineChars="200"/>
        <w:rPr>
          <w:rFonts w:ascii="宋体" w:hAnsi="宋体" w:cs="宋体"/>
          <w:sz w:val="24"/>
        </w:rPr>
      </w:pPr>
      <w:r>
        <w:rPr>
          <w:rFonts w:hint="eastAsia" w:ascii="宋体" w:hAnsi="宋体" w:cs="宋体"/>
          <w:sz w:val="24"/>
        </w:rPr>
        <w:t>中铝洛阳铜加工有限公司是综合性有色金属加工企业，拥有铜及铜合金高精度电子带、大管大棒、弥散强化无氧铜、宽厚板等多条生产线，产品涉及铜及铜合金板、带、箔、管、棒、型材，广泛应用于电子信息通讯、新能源、汽车、海洋工程、轨道交通等领域。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公司</w:t>
      </w:r>
      <w:r>
        <w:rPr>
          <w:rFonts w:ascii="宋体" w:hAnsi="宋体" w:cs="宋体"/>
          <w:sz w:val="24"/>
        </w:rPr>
        <w:t>先后从德国、美国、法国、日本、英国、意大利等十二个国家引进了</w:t>
      </w:r>
      <w:r>
        <w:rPr>
          <w:rFonts w:hint="eastAsia" w:ascii="宋体" w:hAnsi="宋体" w:cs="宋体"/>
          <w:sz w:val="24"/>
        </w:rPr>
        <w:t>10</w:t>
      </w:r>
      <w:r>
        <w:rPr>
          <w:rFonts w:ascii="宋体" w:hAnsi="宋体" w:cs="宋体"/>
          <w:sz w:val="24"/>
        </w:rPr>
        <w:t>0</w:t>
      </w:r>
      <w:r>
        <w:rPr>
          <w:rFonts w:hint="eastAsia" w:ascii="宋体" w:hAnsi="宋体" w:cs="宋体"/>
          <w:sz w:val="24"/>
        </w:rPr>
        <w:t>多</w:t>
      </w:r>
      <w:r>
        <w:rPr>
          <w:rFonts w:ascii="宋体" w:hAnsi="宋体" w:cs="宋体"/>
          <w:sz w:val="24"/>
        </w:rPr>
        <w:t>台(套)先进的</w:t>
      </w:r>
      <w:r>
        <w:rPr>
          <w:rFonts w:hint="eastAsia" w:ascii="宋体" w:hAnsi="宋体" w:cs="宋体"/>
          <w:sz w:val="24"/>
        </w:rPr>
        <w:t>无损探伤</w:t>
      </w:r>
      <w:r>
        <w:rPr>
          <w:rFonts w:ascii="宋体" w:hAnsi="宋体" w:cs="宋体"/>
          <w:sz w:val="24"/>
        </w:rPr>
        <w:t>和</w:t>
      </w:r>
      <w:r>
        <w:rPr>
          <w:rFonts w:hint="eastAsia" w:ascii="宋体" w:hAnsi="宋体" w:cs="宋体"/>
          <w:sz w:val="24"/>
        </w:rPr>
        <w:t>理化</w:t>
      </w:r>
      <w:r>
        <w:rPr>
          <w:rFonts w:ascii="宋体" w:hAnsi="宋体" w:cs="宋体"/>
          <w:sz w:val="24"/>
        </w:rPr>
        <w:t>检测</w:t>
      </w:r>
      <w:r>
        <w:rPr>
          <w:rFonts w:hint="eastAsia" w:ascii="宋体" w:hAnsi="宋体" w:cs="宋体"/>
          <w:sz w:val="24"/>
        </w:rPr>
        <w:t>设备</w:t>
      </w:r>
      <w:r>
        <w:rPr>
          <w:rFonts w:ascii="宋体" w:hAnsi="宋体" w:cs="宋体"/>
          <w:sz w:val="24"/>
        </w:rPr>
        <w:t>，为有色金属产品的研制和生产打下了坚实的基础。</w:t>
      </w:r>
      <w:r>
        <w:rPr>
          <w:rFonts w:hint="eastAsia" w:ascii="宋体" w:hAnsi="宋体" w:cs="宋体"/>
          <w:sz w:val="24"/>
        </w:rPr>
        <w:t>公司拥有一支高素质的科研技术研发队伍，具备丰富的生产技术经验、技术能力和标准编写能力。铜合金护套带材生产技术成熟，产品质量稳定、性能满足用户使用要求，有较好的技术基础和能力。</w:t>
      </w:r>
    </w:p>
    <w:p>
      <w:pPr>
        <w:spacing w:line="360" w:lineRule="auto"/>
        <w:ind w:firstLine="480" w:firstLineChars="200"/>
        <w:rPr>
          <w:rFonts w:hint="eastAsia" w:ascii="宋体" w:hAnsi="宋体" w:cs="宋体"/>
          <w:sz w:val="24"/>
        </w:rPr>
      </w:pPr>
      <w:r>
        <w:rPr>
          <w:rFonts w:hint="eastAsia" w:ascii="宋体" w:hAnsi="宋体" w:cs="宋体"/>
          <w:sz w:val="24"/>
        </w:rPr>
        <w:t>绍兴市特种设备检测院，是从事绍兴市辖区内锅炉、压力容器、压力管道、电梯、起重机械、场（厂）内机动车辆等特种设备安全性能监督检验检测及特种设备作业人员考试工作的公益二类事业单位。绍兴市特检院拥有总局核准的甲类综合检验机构资质，核准项目39项；资质认定有9大类53个项目，检验机构认可和实验室认可有21个领域92个项目，建有绍兴市特种设备智能检测与评价重点实验室、浙江省博士后工作站、绍兴市博士创新站。机构占地面积6.3亩，现有资产总额14038万元，固定资产原值8324万元，办公面积1.7万平方米。拥有工业CT、场发射扫描电镜、气相色谱质谱联用仪、数字X射线、超声相控阵、TOFD、声发射、疲劳试验机、高温拉伸试验机等先进仪器设备1066台（套），价值约5201万元，已初步形成一个集人才培养、技术应用和学术研究为一体的创新平台。</w:t>
      </w:r>
    </w:p>
    <w:p>
      <w:pPr>
        <w:spacing w:line="360" w:lineRule="auto"/>
        <w:ind w:firstLine="480" w:firstLineChars="200"/>
        <w:rPr>
          <w:rFonts w:hint="default" w:ascii="宋体" w:hAnsi="宋体" w:cs="黑体"/>
          <w:b w:val="0"/>
          <w:bCs w:val="0"/>
          <w:sz w:val="24"/>
          <w:lang w:val="en-US"/>
        </w:rPr>
      </w:pPr>
      <w:r>
        <w:rPr>
          <w:rFonts w:hint="eastAsia" w:ascii="宋体" w:hAnsi="宋体" w:cs="宋体"/>
          <w:b w:val="0"/>
          <w:bCs w:val="0"/>
          <w:sz w:val="24"/>
          <w:lang w:val="en-US" w:eastAsia="zh-CN"/>
        </w:rPr>
        <w:t>（3</w:t>
      </w:r>
      <w:r>
        <w:rPr>
          <w:rFonts w:hint="eastAsia" w:ascii="宋体" w:hAnsi="宋体" w:cs="宋体"/>
          <w:b w:val="0"/>
          <w:bCs w:val="0"/>
          <w:sz w:val="24"/>
          <w:lang w:eastAsia="zh-CN"/>
        </w:rPr>
        <w:t>）</w:t>
      </w:r>
      <w:r>
        <w:rPr>
          <w:rFonts w:hint="eastAsia" w:ascii="宋体" w:hAnsi="宋体" w:eastAsia="宋体" w:cs="Times New Roman"/>
          <w:b w:val="0"/>
          <w:bCs w:val="0"/>
          <w:sz w:val="24"/>
          <w:lang w:val="en-US" w:eastAsia="zh-CN"/>
        </w:rPr>
        <w:t>编制组成员及分工</w:t>
      </w:r>
    </w:p>
    <w:p>
      <w:pPr>
        <w:spacing w:line="360" w:lineRule="auto"/>
        <w:ind w:firstLine="480" w:firstLineChars="200"/>
        <w:rPr>
          <w:rFonts w:ascii="宋体" w:hAnsi="宋体" w:cs="宋体"/>
          <w:sz w:val="24"/>
        </w:rPr>
      </w:pPr>
      <w:r>
        <w:rPr>
          <w:rFonts w:hint="eastAsia" w:ascii="宋体" w:hAnsi="宋体" w:cs="宋体"/>
          <w:sz w:val="24"/>
        </w:rPr>
        <w:t>标准制订计划任务正式下达后，立即成立了标准编制组，并落实起草任务，确定标准的主要起草人（详见表1），拟定该标准的工作计划。标准主要起草人及工作职责如下：</w:t>
      </w:r>
    </w:p>
    <w:p>
      <w:pPr>
        <w:spacing w:line="360" w:lineRule="auto"/>
        <w:jc w:val="center"/>
        <w:rPr>
          <w:rFonts w:ascii="宋体" w:hAnsi="宋体" w:cs="宋体"/>
          <w:bCs/>
          <w:sz w:val="24"/>
        </w:rPr>
      </w:pPr>
      <w:r>
        <w:rPr>
          <w:rFonts w:hint="eastAsia" w:ascii="宋体" w:hAnsi="宋体" w:cs="宋体"/>
          <w:bCs/>
          <w:sz w:val="24"/>
        </w:rPr>
        <w:t>表1   标准编制组成员及职责</w:t>
      </w:r>
    </w:p>
    <w:tbl>
      <w:tblPr>
        <w:tblStyle w:val="17"/>
        <w:tblW w:w="87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108" w:type="dxa"/>
          <w:bottom w:w="57" w:type="dxa"/>
          <w:right w:w="108" w:type="dxa"/>
        </w:tblCellMar>
      </w:tblPr>
      <w:tblGrid>
        <w:gridCol w:w="696"/>
        <w:gridCol w:w="1276"/>
        <w:gridCol w:w="68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696" w:type="dxa"/>
            <w:tcBorders>
              <w:bottom w:val="single" w:color="auto" w:sz="8" w:space="0"/>
            </w:tcBorders>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序号</w:t>
            </w:r>
          </w:p>
        </w:tc>
        <w:tc>
          <w:tcPr>
            <w:tcW w:w="1276" w:type="dxa"/>
            <w:tcBorders>
              <w:bottom w:val="single" w:color="auto" w:sz="8" w:space="0"/>
            </w:tcBorders>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起草人姓名</w:t>
            </w:r>
          </w:p>
        </w:tc>
        <w:tc>
          <w:tcPr>
            <w:tcW w:w="6814" w:type="dxa"/>
            <w:tcBorders>
              <w:bottom w:val="single" w:color="auto" w:sz="8" w:space="0"/>
            </w:tcBorders>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职责及分工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696" w:type="dxa"/>
            <w:tcBorders>
              <w:top w:val="single" w:color="auto" w:sz="8" w:space="0"/>
              <w:bottom w:val="single" w:color="auto" w:sz="4" w:space="0"/>
            </w:tcBorders>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1</w:t>
            </w:r>
          </w:p>
        </w:tc>
        <w:tc>
          <w:tcPr>
            <w:tcW w:w="1276" w:type="dxa"/>
            <w:tcBorders>
              <w:top w:val="single" w:color="auto" w:sz="8" w:space="0"/>
              <w:bottom w:val="single" w:color="auto" w:sz="4" w:space="0"/>
            </w:tcBorders>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赵万花</w:t>
            </w:r>
          </w:p>
        </w:tc>
        <w:tc>
          <w:tcPr>
            <w:tcW w:w="6814" w:type="dxa"/>
            <w:tcBorders>
              <w:top w:val="single" w:color="auto" w:sz="8" w:space="0"/>
              <w:bottom w:val="single" w:color="auto" w:sz="4" w:space="0"/>
            </w:tcBorders>
            <w:noWrap/>
            <w:tcMar>
              <w:top w:w="0" w:type="dxa"/>
              <w:left w:w="108" w:type="dxa"/>
              <w:bottom w:w="0" w:type="dxa"/>
              <w:right w:w="108" w:type="dxa"/>
            </w:tcMar>
            <w:vAlign w:val="center"/>
          </w:tcPr>
          <w:p>
            <w:pPr>
              <w:pStyle w:val="16"/>
              <w:spacing w:before="0" w:beforeAutospacing="0" w:after="0" w:afterAutospacing="0"/>
              <w:rPr>
                <w:rFonts w:asciiTheme="minorEastAsia" w:hAnsiTheme="minorEastAsia" w:eastAsiaTheme="minorEastAsia"/>
                <w:sz w:val="21"/>
                <w:szCs w:val="21"/>
              </w:rPr>
            </w:pPr>
            <w:r>
              <w:rPr>
                <w:rFonts w:hint="eastAsia" w:asciiTheme="minorEastAsia" w:hAnsiTheme="minorEastAsia" w:eastAsiaTheme="minorEastAsia"/>
                <w:sz w:val="21"/>
                <w:szCs w:val="21"/>
              </w:rPr>
              <w:t>标准执笔人，负责标准编制过程中各方案得编制，负责各种文件的编制；负责指标的汇总计算及指标确定；负责标准协调管理；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696" w:type="dxa"/>
            <w:tcBorders>
              <w:top w:val="single" w:color="auto" w:sz="4" w:space="0"/>
              <w:bottom w:val="single" w:color="auto" w:sz="4" w:space="0"/>
            </w:tcBorders>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2</w:t>
            </w:r>
          </w:p>
        </w:tc>
        <w:tc>
          <w:tcPr>
            <w:tcW w:w="1276" w:type="dxa"/>
            <w:tcBorders>
              <w:top w:val="single" w:color="auto" w:sz="4" w:space="0"/>
              <w:bottom w:val="single" w:color="auto" w:sz="4" w:space="0"/>
            </w:tcBorders>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赵鲸</w:t>
            </w:r>
          </w:p>
        </w:tc>
        <w:tc>
          <w:tcPr>
            <w:tcW w:w="6814" w:type="dxa"/>
            <w:tcBorders>
              <w:top w:val="single" w:color="auto" w:sz="4" w:space="0"/>
              <w:bottom w:val="single" w:color="auto" w:sz="4" w:space="0"/>
            </w:tcBorders>
            <w:noWrap/>
            <w:tcMar>
              <w:top w:w="0" w:type="dxa"/>
              <w:left w:w="108" w:type="dxa"/>
              <w:bottom w:w="0" w:type="dxa"/>
              <w:right w:w="108" w:type="dxa"/>
            </w:tcMar>
            <w:vAlign w:val="center"/>
          </w:tcPr>
          <w:p>
            <w:pPr>
              <w:pStyle w:val="16"/>
              <w:spacing w:before="0" w:beforeAutospacing="0" w:after="0" w:afterAutospacing="0" w:line="320" w:lineRule="exact"/>
              <w:rPr>
                <w:rFonts w:asciiTheme="minorEastAsia" w:hAnsiTheme="minorEastAsia" w:eastAsiaTheme="minorEastAsia"/>
                <w:sz w:val="21"/>
                <w:szCs w:val="21"/>
              </w:rPr>
            </w:pPr>
            <w:r>
              <w:rPr>
                <w:rFonts w:hint="eastAsia"/>
                <w:sz w:val="21"/>
                <w:szCs w:val="21"/>
              </w:rPr>
              <w:t>标准编制组负责人，</w:t>
            </w:r>
            <w:r>
              <w:rPr>
                <w:rFonts w:hint="eastAsia" w:asciiTheme="minorEastAsia" w:hAnsiTheme="minorEastAsia" w:eastAsiaTheme="minorEastAsia"/>
                <w:sz w:val="21"/>
                <w:szCs w:val="21"/>
              </w:rPr>
              <w:t>负责标准编制方案的确定、标准审查和指标确定；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696" w:type="dxa"/>
            <w:tcBorders>
              <w:top w:val="single" w:color="auto" w:sz="4" w:space="0"/>
              <w:bottom w:val="single" w:color="auto" w:sz="4" w:space="0"/>
            </w:tcBorders>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3</w:t>
            </w:r>
          </w:p>
        </w:tc>
        <w:tc>
          <w:tcPr>
            <w:tcW w:w="1276" w:type="dxa"/>
            <w:tcBorders>
              <w:top w:val="single" w:color="auto" w:sz="4" w:space="0"/>
              <w:bottom w:val="single" w:color="auto" w:sz="4" w:space="0"/>
            </w:tcBorders>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方冬松</w:t>
            </w:r>
          </w:p>
        </w:tc>
        <w:tc>
          <w:tcPr>
            <w:tcW w:w="6814" w:type="dxa"/>
            <w:tcBorders>
              <w:top w:val="single" w:color="auto" w:sz="4" w:space="0"/>
              <w:bottom w:val="single" w:color="auto" w:sz="4" w:space="0"/>
            </w:tcBorders>
            <w:noWrap/>
            <w:tcMar>
              <w:top w:w="0" w:type="dxa"/>
              <w:left w:w="108" w:type="dxa"/>
              <w:bottom w:w="0" w:type="dxa"/>
              <w:right w:w="108" w:type="dxa"/>
            </w:tcMar>
            <w:vAlign w:val="center"/>
          </w:tcPr>
          <w:p>
            <w:pPr>
              <w:jc w:val="left"/>
              <w:rPr>
                <w:rFonts w:ascii="宋体" w:hAnsi="宋体"/>
                <w:sz w:val="21"/>
                <w:szCs w:val="21"/>
              </w:rPr>
            </w:pPr>
            <w:r>
              <w:rPr>
                <w:rFonts w:hint="eastAsia" w:ascii="宋体" w:hAnsi="宋体"/>
                <w:sz w:val="21"/>
                <w:szCs w:val="21"/>
              </w:rPr>
              <w:t>负责板材数据的归集和指标验证，指标确定，参加标准讨论和指标确定；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696" w:type="dxa"/>
            <w:tcBorders>
              <w:top w:val="single" w:color="auto" w:sz="4" w:space="0"/>
              <w:bottom w:val="single" w:color="auto" w:sz="4" w:space="0"/>
            </w:tcBorders>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4</w:t>
            </w:r>
          </w:p>
        </w:tc>
        <w:tc>
          <w:tcPr>
            <w:tcW w:w="1276" w:type="dxa"/>
            <w:tcBorders>
              <w:top w:val="single" w:color="auto" w:sz="4" w:space="0"/>
              <w:bottom w:val="single" w:color="auto" w:sz="4" w:space="0"/>
            </w:tcBorders>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cs="宋体"/>
                <w:sz w:val="21"/>
                <w:szCs w:val="21"/>
              </w:rPr>
              <w:t>绍兴特检</w:t>
            </w:r>
          </w:p>
        </w:tc>
        <w:tc>
          <w:tcPr>
            <w:tcW w:w="6814" w:type="dxa"/>
            <w:tcBorders>
              <w:top w:val="single" w:color="auto" w:sz="4" w:space="0"/>
              <w:bottom w:val="single" w:color="auto" w:sz="4" w:space="0"/>
            </w:tcBorders>
            <w:noWrap/>
            <w:tcMar>
              <w:top w:w="0" w:type="dxa"/>
              <w:left w:w="108" w:type="dxa"/>
              <w:bottom w:w="0" w:type="dxa"/>
              <w:right w:w="108" w:type="dxa"/>
            </w:tcMar>
            <w:vAlign w:val="center"/>
          </w:tcPr>
          <w:p>
            <w:pPr>
              <w:jc w:val="left"/>
              <w:rPr>
                <w:rFonts w:ascii="宋体" w:hAnsi="宋体"/>
                <w:sz w:val="21"/>
                <w:szCs w:val="21"/>
              </w:rPr>
            </w:pPr>
            <w:r>
              <w:rPr>
                <w:rFonts w:hint="eastAsia" w:ascii="宋体" w:hAnsi="宋体"/>
                <w:sz w:val="21"/>
                <w:szCs w:val="21"/>
              </w:rPr>
              <w:t>负责标准产品技术指标试验、验证和分析，指标确定，参加标准讨论、预审和审定；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696" w:type="dxa"/>
            <w:tcBorders>
              <w:top w:val="single" w:color="auto" w:sz="4" w:space="0"/>
            </w:tcBorders>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5</w:t>
            </w:r>
          </w:p>
        </w:tc>
        <w:tc>
          <w:tcPr>
            <w:tcW w:w="1276" w:type="dxa"/>
            <w:tcBorders>
              <w:top w:val="single" w:color="auto" w:sz="4" w:space="0"/>
            </w:tcBorders>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韦卫</w:t>
            </w:r>
          </w:p>
        </w:tc>
        <w:tc>
          <w:tcPr>
            <w:tcW w:w="6814" w:type="dxa"/>
            <w:tcBorders>
              <w:top w:val="single" w:color="auto" w:sz="4" w:space="0"/>
            </w:tcBorders>
            <w:noWrap/>
            <w:tcMar>
              <w:top w:w="0" w:type="dxa"/>
              <w:left w:w="108" w:type="dxa"/>
              <w:bottom w:w="0" w:type="dxa"/>
              <w:right w:w="108" w:type="dxa"/>
            </w:tcMar>
            <w:vAlign w:val="center"/>
          </w:tcPr>
          <w:p>
            <w:pPr>
              <w:jc w:val="left"/>
              <w:rPr>
                <w:rFonts w:ascii="宋体" w:hAnsi="宋体"/>
                <w:sz w:val="21"/>
                <w:szCs w:val="21"/>
              </w:rPr>
            </w:pPr>
            <w:r>
              <w:rPr>
                <w:rFonts w:hint="eastAsia" w:ascii="宋体" w:hAnsi="宋体"/>
                <w:sz w:val="21"/>
                <w:szCs w:val="21"/>
              </w:rPr>
              <w:t>负责板材数据验证，参加标准讨论，</w:t>
            </w:r>
            <w:r>
              <w:rPr>
                <w:rFonts w:hint="eastAsia" w:asciiTheme="minorEastAsia" w:hAnsiTheme="minorEastAsia" w:eastAsiaTheme="minorEastAsia"/>
                <w:sz w:val="21"/>
                <w:szCs w:val="21"/>
              </w:rPr>
              <w:t>市场信息收集；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696" w:type="dxa"/>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6</w:t>
            </w:r>
          </w:p>
        </w:tc>
        <w:tc>
          <w:tcPr>
            <w:tcW w:w="1276" w:type="dxa"/>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cs="宋体"/>
                <w:sz w:val="21"/>
                <w:szCs w:val="21"/>
              </w:rPr>
              <w:t>绍兴特检</w:t>
            </w:r>
          </w:p>
        </w:tc>
        <w:tc>
          <w:tcPr>
            <w:tcW w:w="6814" w:type="dxa"/>
            <w:noWrap/>
            <w:tcMar>
              <w:top w:w="0" w:type="dxa"/>
              <w:left w:w="108" w:type="dxa"/>
              <w:bottom w:w="0" w:type="dxa"/>
              <w:right w:w="108" w:type="dxa"/>
            </w:tcMar>
            <w:vAlign w:val="center"/>
          </w:tcPr>
          <w:p>
            <w:pPr>
              <w:jc w:val="left"/>
              <w:rPr>
                <w:rFonts w:ascii="宋体" w:hAnsi="宋体"/>
                <w:sz w:val="21"/>
                <w:szCs w:val="21"/>
              </w:rPr>
            </w:pPr>
            <w:r>
              <w:rPr>
                <w:rFonts w:hint="eastAsia" w:ascii="宋体" w:hAnsi="宋体"/>
                <w:sz w:val="21"/>
                <w:szCs w:val="21"/>
              </w:rPr>
              <w:t>负责标准产品试验数据归集和计算，相关标准信息和</w:t>
            </w:r>
            <w:r>
              <w:rPr>
                <w:rFonts w:hint="eastAsia" w:asciiTheme="minorEastAsia" w:hAnsiTheme="minorEastAsia" w:eastAsiaTheme="minorEastAsia"/>
                <w:sz w:val="21"/>
                <w:szCs w:val="21"/>
              </w:rPr>
              <w:t>市场信息收集</w:t>
            </w:r>
            <w:r>
              <w:rPr>
                <w:rFonts w:hint="eastAsia" w:ascii="宋体" w:hAnsi="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696" w:type="dxa"/>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7</w:t>
            </w:r>
          </w:p>
        </w:tc>
        <w:tc>
          <w:tcPr>
            <w:tcW w:w="1276" w:type="dxa"/>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张娟</w:t>
            </w:r>
          </w:p>
        </w:tc>
        <w:tc>
          <w:tcPr>
            <w:tcW w:w="6814" w:type="dxa"/>
            <w:noWrap/>
            <w:tcMar>
              <w:top w:w="0" w:type="dxa"/>
              <w:left w:w="108" w:type="dxa"/>
              <w:bottom w:w="0" w:type="dxa"/>
              <w:right w:w="108" w:type="dxa"/>
            </w:tcMar>
            <w:vAlign w:val="center"/>
          </w:tcPr>
          <w:p>
            <w:pPr>
              <w:jc w:val="left"/>
              <w:rPr>
                <w:rFonts w:ascii="宋体" w:hAnsi="宋体"/>
                <w:sz w:val="21"/>
                <w:szCs w:val="21"/>
              </w:rPr>
            </w:pPr>
            <w:r>
              <w:rPr>
                <w:rFonts w:hint="eastAsia" w:ascii="宋体" w:hAnsi="宋体"/>
                <w:sz w:val="21"/>
                <w:szCs w:val="21"/>
              </w:rPr>
              <w:t>负责板材性能验证、数据计算分析，参加标准讨论和指标确定；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696" w:type="dxa"/>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sz w:val="21"/>
                <w:szCs w:val="21"/>
              </w:rPr>
              <w:t>9</w:t>
            </w:r>
          </w:p>
        </w:tc>
        <w:tc>
          <w:tcPr>
            <w:tcW w:w="1276" w:type="dxa"/>
            <w:noWrap/>
            <w:tcMar>
              <w:top w:w="0" w:type="dxa"/>
              <w:left w:w="108" w:type="dxa"/>
              <w:bottom w:w="0" w:type="dxa"/>
              <w:right w:w="108" w:type="dxa"/>
            </w:tcMar>
            <w:vAlign w:val="center"/>
          </w:tcPr>
          <w:p>
            <w:pPr>
              <w:jc w:val="center"/>
              <w:rPr>
                <w:rFonts w:ascii="宋体" w:hAnsi="宋体"/>
                <w:sz w:val="21"/>
                <w:szCs w:val="21"/>
              </w:rPr>
            </w:pPr>
            <w:r>
              <w:rPr>
                <w:rFonts w:hint="eastAsia" w:ascii="宋体" w:hAnsi="宋体" w:cs="宋体"/>
                <w:sz w:val="21"/>
                <w:szCs w:val="21"/>
              </w:rPr>
              <w:t>绍兴特检</w:t>
            </w:r>
          </w:p>
        </w:tc>
        <w:tc>
          <w:tcPr>
            <w:tcW w:w="6814" w:type="dxa"/>
            <w:noWrap/>
            <w:tcMar>
              <w:top w:w="0" w:type="dxa"/>
              <w:left w:w="108" w:type="dxa"/>
              <w:bottom w:w="0" w:type="dxa"/>
              <w:right w:w="108" w:type="dxa"/>
            </w:tcMar>
            <w:vAlign w:val="center"/>
          </w:tcPr>
          <w:p>
            <w:pPr>
              <w:jc w:val="left"/>
              <w:rPr>
                <w:rFonts w:ascii="宋体" w:hAnsi="宋体"/>
                <w:sz w:val="21"/>
                <w:szCs w:val="21"/>
              </w:rPr>
            </w:pPr>
            <w:r>
              <w:rPr>
                <w:rFonts w:hint="eastAsia" w:ascii="宋体" w:hAnsi="宋体"/>
                <w:sz w:val="21"/>
                <w:szCs w:val="21"/>
              </w:rPr>
              <w:t>负责标准产品试验审核，相关标准信息</w:t>
            </w:r>
            <w:r>
              <w:rPr>
                <w:rFonts w:hint="eastAsia" w:asciiTheme="minorEastAsia" w:hAnsiTheme="minorEastAsia" w:eastAsiaTheme="minorEastAsia"/>
                <w:sz w:val="21"/>
                <w:szCs w:val="21"/>
              </w:rPr>
              <w:t>收集</w:t>
            </w:r>
            <w:r>
              <w:rPr>
                <w:rFonts w:hint="eastAsia" w:ascii="宋体" w:hAnsi="宋体"/>
                <w:sz w:val="21"/>
                <w:szCs w:val="21"/>
              </w:rPr>
              <w:t>。</w:t>
            </w:r>
          </w:p>
        </w:tc>
      </w:tr>
    </w:tbl>
    <w:p>
      <w:pPr>
        <w:pStyle w:val="16"/>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1.4主要工作</w:t>
      </w:r>
      <w:r>
        <w:rPr>
          <w:rFonts w:hint="eastAsia" w:ascii="黑体" w:eastAsia="黑体" w:cs="Arial"/>
          <w:color w:val="auto"/>
          <w:sz w:val="24"/>
          <w:szCs w:val="24"/>
          <w:lang w:val="en-US" w:eastAsia="zh-CN"/>
        </w:rPr>
        <w:t>过程</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 xml:space="preserve">1.4.1 </w:t>
      </w:r>
      <w:r>
        <w:rPr>
          <w:rFonts w:hint="eastAsia" w:ascii="黑体" w:eastAsia="黑体" w:cs="Arial"/>
          <w:color w:val="auto"/>
          <w:sz w:val="24"/>
          <w:szCs w:val="24"/>
          <w:lang w:val="en-US" w:eastAsia="zh-CN"/>
        </w:rPr>
        <w:t>标准</w:t>
      </w:r>
      <w:r>
        <w:rPr>
          <w:rFonts w:hint="eastAsia" w:ascii="黑体" w:hAnsi="宋体" w:eastAsia="黑体" w:cs="宋体"/>
          <w:bCs/>
          <w:color w:val="auto"/>
          <w:sz w:val="24"/>
          <w:szCs w:val="24"/>
          <w:lang w:val="en-US" w:eastAsia="zh-CN"/>
        </w:rPr>
        <w:t>预研</w:t>
      </w:r>
    </w:p>
    <w:p>
      <w:pPr>
        <w:spacing w:line="360" w:lineRule="auto"/>
        <w:ind w:firstLine="480" w:firstLineChars="200"/>
        <w:rPr>
          <w:rFonts w:ascii="宋体" w:hAnsi="宋体"/>
          <w:sz w:val="24"/>
        </w:rPr>
      </w:pPr>
      <w:r>
        <w:rPr>
          <w:rFonts w:hint="eastAsia" w:ascii="宋体" w:hAnsi="宋体"/>
          <w:sz w:val="24"/>
        </w:rPr>
        <w:t>现行的YS/T 567－2010《照相制版用铜板》行业标准，2010年实施，距今已经13年。GB/T 5231-2022《加工铜及铜合金牌号和化学成分》、</w:t>
      </w:r>
      <w:r>
        <w:rPr>
          <w:rFonts w:ascii="宋体" w:hAnsi="宋体"/>
          <w:sz w:val="24"/>
        </w:rPr>
        <w:t>GB/T 29094-2012</w:t>
      </w:r>
      <w:r>
        <w:rPr>
          <w:rFonts w:hint="eastAsia" w:ascii="宋体" w:hAnsi="宋体"/>
          <w:sz w:val="24"/>
        </w:rPr>
        <w:t>《铜及铜合金状态表示方法》标准已发布实施，合金牌号和状态表示方法有很大的变化。</w:t>
      </w:r>
    </w:p>
    <w:p>
      <w:pPr>
        <w:spacing w:line="360" w:lineRule="auto"/>
        <w:ind w:firstLine="480" w:firstLineChars="200"/>
        <w:rPr>
          <w:rFonts w:ascii="宋体" w:hAnsi="宋体" w:cs="宋体"/>
          <w:kern w:val="0"/>
          <w:sz w:val="24"/>
        </w:rPr>
      </w:pPr>
      <w:r>
        <w:rPr>
          <w:rFonts w:hint="eastAsia"/>
          <w:sz w:val="24"/>
        </w:rPr>
        <w:t>随着我国经济发展，</w:t>
      </w:r>
      <w:r>
        <w:rPr>
          <w:rFonts w:hint="eastAsia" w:cs="宋体" w:asciiTheme="minorEastAsia" w:hAnsiTheme="minorEastAsia" w:eastAsiaTheme="minorEastAsia"/>
          <w:kern w:val="0"/>
          <w:sz w:val="24"/>
        </w:rPr>
        <w:t>我国印刷业进入新发展阶段，</w:t>
      </w:r>
      <w:r>
        <w:rPr>
          <w:rFonts w:hint="eastAsia" w:ascii="宋体" w:hAnsi="宋体"/>
          <w:sz w:val="24"/>
        </w:rPr>
        <w:t>坚持绿色化、数字化、智能化、融合化的发展方向，正在由规模速度型向质量效益型转型。随着印刷业的发展，对照相制版用铜板也提出更高、更新的需求和技术要求，要求</w:t>
      </w:r>
      <w:r>
        <w:rPr>
          <w:rFonts w:ascii="宋体" w:hAnsi="宋体"/>
          <w:sz w:val="24"/>
        </w:rPr>
        <w:t>铜</w:t>
      </w:r>
      <w:r>
        <w:rPr>
          <w:rFonts w:hint="eastAsia" w:ascii="宋体" w:hAnsi="宋体"/>
          <w:sz w:val="24"/>
        </w:rPr>
        <w:t>板</w:t>
      </w:r>
      <w:r>
        <w:rPr>
          <w:rFonts w:ascii="宋体" w:hAnsi="宋体"/>
          <w:sz w:val="24"/>
        </w:rPr>
        <w:t>无杂质、</w:t>
      </w:r>
      <w:r>
        <w:rPr>
          <w:rFonts w:hint="eastAsia" w:ascii="宋体" w:hAnsi="宋体"/>
          <w:sz w:val="24"/>
        </w:rPr>
        <w:t>性能</w:t>
      </w:r>
      <w:r>
        <w:rPr>
          <w:rFonts w:ascii="宋体" w:hAnsi="宋体"/>
          <w:sz w:val="24"/>
        </w:rPr>
        <w:t>适中</w:t>
      </w:r>
      <w:r>
        <w:rPr>
          <w:rFonts w:hint="eastAsia" w:ascii="宋体" w:hAnsi="宋体"/>
          <w:sz w:val="24"/>
        </w:rPr>
        <w:t>，板材外形尺寸均匀</w:t>
      </w:r>
      <w:r>
        <w:rPr>
          <w:rFonts w:ascii="宋体" w:hAnsi="宋体"/>
          <w:sz w:val="24"/>
        </w:rPr>
        <w:t>，伸缩性小，抗水性好</w:t>
      </w:r>
      <w:r>
        <w:rPr>
          <w:rFonts w:hint="eastAsia" w:ascii="宋体" w:hAnsi="宋体"/>
          <w:sz w:val="24"/>
        </w:rPr>
        <w:t>，同时表面</w:t>
      </w:r>
      <w:r>
        <w:rPr>
          <w:rFonts w:ascii="宋体" w:hAnsi="宋体"/>
          <w:sz w:val="24"/>
        </w:rPr>
        <w:t>光洁</w:t>
      </w:r>
      <w:r>
        <w:rPr>
          <w:rFonts w:hint="eastAsia" w:ascii="宋体" w:hAnsi="宋体"/>
          <w:sz w:val="24"/>
        </w:rPr>
        <w:t>，</w:t>
      </w:r>
      <w:r>
        <w:rPr>
          <w:rFonts w:ascii="宋体" w:hAnsi="宋体"/>
          <w:sz w:val="24"/>
        </w:rPr>
        <w:t>不许有斑点、条痕</w:t>
      </w:r>
      <w:r>
        <w:rPr>
          <w:rFonts w:hint="eastAsia" w:ascii="宋体" w:hAnsi="宋体"/>
          <w:sz w:val="24"/>
        </w:rPr>
        <w:t>、</w:t>
      </w:r>
      <w:r>
        <w:rPr>
          <w:rFonts w:ascii="宋体" w:hAnsi="宋体"/>
          <w:sz w:val="24"/>
        </w:rPr>
        <w:t>皱纹、孔眼等</w:t>
      </w:r>
      <w:r>
        <w:rPr>
          <w:rFonts w:hint="eastAsia" w:ascii="宋体" w:hAnsi="宋体"/>
          <w:sz w:val="24"/>
        </w:rPr>
        <w:t>任何影响使用的缺陷，原标准已不适应市场与照相制版使用要求。如：根据市场需求增加TAg0.15及相应要求，修改后标准牌号有T2、TAg0.1和TAg0.15,可满足不同客户的适用性；增加合金代号，与国际铜的表示更加接轨；原标准状态与新的状态表示标准</w:t>
      </w:r>
      <w:r>
        <w:rPr>
          <w:rFonts w:ascii="宋体" w:hAnsi="宋体"/>
          <w:sz w:val="24"/>
        </w:rPr>
        <w:t>GB/T 29094-2012</w:t>
      </w:r>
      <w:r>
        <w:rPr>
          <w:rFonts w:hint="eastAsia" w:ascii="宋体" w:hAnsi="宋体"/>
          <w:sz w:val="24"/>
        </w:rPr>
        <w:t>不一致；原标准铜板宽度只有400mm、600mm，板材长度范围</w:t>
      </w:r>
      <w:r>
        <w:rPr>
          <w:rFonts w:hint="eastAsia" w:ascii="宋体" w:hAnsi="宋体" w:cs="宋体"/>
          <w:kern w:val="0"/>
          <w:sz w:val="24"/>
        </w:rPr>
        <w:t>（550～1200）mm，</w:t>
      </w:r>
      <w:r>
        <w:rPr>
          <w:rFonts w:hint="eastAsia" w:ascii="宋体" w:hAnsi="宋体"/>
          <w:sz w:val="24"/>
        </w:rPr>
        <w:t>不能满足照相制版对宽度的需求，修改后板材宽度为</w:t>
      </w:r>
      <w:r>
        <w:rPr>
          <w:rFonts w:hint="eastAsia" w:ascii="宋体" w:hAnsi="宋体" w:cs="宋体"/>
          <w:kern w:val="0"/>
          <w:sz w:val="24"/>
        </w:rPr>
        <w:t>（400～880）mm，</w:t>
      </w:r>
      <w:r>
        <w:rPr>
          <w:rFonts w:hint="eastAsia" w:ascii="宋体" w:hAnsi="宋体"/>
          <w:sz w:val="24"/>
        </w:rPr>
        <w:t>板材长度</w:t>
      </w:r>
      <w:r>
        <w:rPr>
          <w:rFonts w:hint="eastAsia" w:ascii="宋体" w:hAnsi="宋体" w:cs="宋体"/>
          <w:kern w:val="0"/>
          <w:sz w:val="24"/>
        </w:rPr>
        <w:t>为（500～1500）mm,更好的满足照相制版需求；同时增加试样取样按YS/T 668的规定进行、完善随行文件规定等，修订后的标准更加完善和适用。</w:t>
      </w:r>
    </w:p>
    <w:p>
      <w:pPr>
        <w:spacing w:line="360" w:lineRule="auto"/>
        <w:ind w:firstLine="480" w:firstLineChars="200"/>
        <w:rPr>
          <w:rFonts w:ascii="宋体" w:hAnsi="宋体" w:cs="黑体"/>
          <w:b/>
          <w:sz w:val="24"/>
        </w:rPr>
      </w:pPr>
      <w:r>
        <w:rPr>
          <w:rFonts w:hint="eastAsia" w:ascii="宋体" w:hAnsi="宋体" w:cs="宋体"/>
          <w:kern w:val="0"/>
          <w:sz w:val="24"/>
        </w:rPr>
        <w:t>标准在使用过程中存在的以上问题及不完善，影响了照相制版质量提高和推广应用，</w:t>
      </w:r>
      <w:r>
        <w:rPr>
          <w:rFonts w:hint="eastAsia" w:ascii="宋体" w:hAnsi="宋体"/>
          <w:sz w:val="24"/>
        </w:rPr>
        <w:t>为适应市场的竞争需要，提高产品的竞争能力，需修订现行标准。本标准的修订有助于铜产品转型升级、消化过剩产能，并促进新产品、新技术发展，提升节能环保产业供给质量和水平。同时</w:t>
      </w:r>
      <w:r>
        <w:rPr>
          <w:rFonts w:hint="eastAsia" w:ascii="宋体" w:hAnsi="宋体" w:cs="宋体"/>
          <w:kern w:val="0"/>
          <w:sz w:val="24"/>
        </w:rPr>
        <w:t>提高产品质量的可靠性、稳定性、一致性水平，增加高性能、功能化、差别化产品的有效供给，带动原材料工业质量品牌整体提升，为制造业高质量发展提供保障。</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1.4.2标准立项</w:t>
      </w:r>
    </w:p>
    <w:p>
      <w:pPr>
        <w:spacing w:line="360" w:lineRule="auto"/>
        <w:ind w:firstLine="480" w:firstLineChars="200"/>
        <w:rPr>
          <w:rFonts w:asciiTheme="minorEastAsia" w:hAnsiTheme="minorEastAsia" w:eastAsiaTheme="minorEastAsia"/>
          <w:sz w:val="21"/>
          <w:szCs w:val="21"/>
        </w:rPr>
      </w:pPr>
      <w:r>
        <w:rPr>
          <w:rFonts w:hint="eastAsia" w:ascii="宋体" w:hAnsi="宋体" w:eastAsia="宋体" w:cs="宋体"/>
          <w:sz w:val="24"/>
        </w:rPr>
        <w:t>标准项目2021年</w:t>
      </w:r>
      <w:r>
        <w:rPr>
          <w:rFonts w:hint="eastAsia" w:ascii="宋体" w:hAnsi="宋体" w:eastAsia="宋体" w:cs="宋体"/>
          <w:sz w:val="24"/>
          <w:lang w:val="en-US" w:eastAsia="zh-CN"/>
        </w:rPr>
        <w:t>4</w:t>
      </w:r>
      <w:r>
        <w:rPr>
          <w:rFonts w:hint="eastAsia" w:ascii="宋体" w:hAnsi="宋体" w:eastAsia="宋体" w:cs="宋体"/>
          <w:sz w:val="24"/>
        </w:rPr>
        <w:t>月提交全体委员会议讨论后</w:t>
      </w:r>
      <w:r>
        <w:rPr>
          <w:rFonts w:hint="eastAsia" w:ascii="宋体" w:hAnsi="宋体" w:eastAsia="宋体" w:cs="宋体"/>
          <w:sz w:val="24"/>
          <w:lang w:val="en-US" w:eastAsia="zh-CN"/>
        </w:rPr>
        <w:t>申请立项</w:t>
      </w:r>
      <w:r>
        <w:rPr>
          <w:rFonts w:hint="eastAsia" w:ascii="宋体" w:hAnsi="宋体" w:eastAsia="宋体" w:cs="宋体"/>
          <w:sz w:val="24"/>
          <w:lang w:eastAsia="zh-CN"/>
        </w:rPr>
        <w:t>，</w:t>
      </w:r>
      <w:r>
        <w:rPr>
          <w:rFonts w:hint="eastAsia" w:ascii="宋体" w:hAnsi="宋体" w:eastAsia="宋体" w:cs="宋体"/>
          <w:sz w:val="24"/>
          <w:lang w:val="en-US" w:eastAsia="zh-CN"/>
        </w:rPr>
        <w:t>2022年4月</w:t>
      </w:r>
      <w:r>
        <w:rPr>
          <w:rFonts w:hint="eastAsia" w:ascii="宋体" w:hAnsi="宋体" w:eastAsia="宋体" w:cs="宋体"/>
          <w:sz w:val="24"/>
        </w:rPr>
        <w:t>根据工信厅科函</w:t>
      </w:r>
      <w:r>
        <w:rPr>
          <w:rFonts w:hint="eastAsia" w:ascii="宋体" w:hAnsi="宋体" w:cs="宋体"/>
          <w:sz w:val="24"/>
        </w:rPr>
        <w:t>[2022]94号《</w:t>
      </w:r>
      <w:r>
        <w:rPr>
          <w:rFonts w:hint="eastAsia" w:ascii="宋体" w:hAnsi="宋体"/>
          <w:color w:val="auto"/>
          <w:sz w:val="24"/>
          <w:lang w:val="en-US" w:eastAsia="zh-CN"/>
        </w:rPr>
        <w:t>工业和信息化部</w:t>
      </w:r>
      <w:r>
        <w:rPr>
          <w:rFonts w:hint="eastAsia" w:ascii="宋体" w:hAnsi="宋体" w:cs="宋体"/>
          <w:sz w:val="24"/>
        </w:rPr>
        <w:t>2022年第一批行业标准制修订</w:t>
      </w:r>
      <w:r>
        <w:rPr>
          <w:rFonts w:hint="eastAsia" w:ascii="宋体" w:hAnsi="宋体" w:cs="宋体"/>
          <w:sz w:val="24"/>
          <w:lang w:val="en-US" w:eastAsia="zh-CN"/>
        </w:rPr>
        <w:t>和外文版计划</w:t>
      </w:r>
      <w:r>
        <w:rPr>
          <w:rFonts w:hint="eastAsia" w:ascii="宋体" w:hAnsi="宋体" w:cs="宋体"/>
          <w:sz w:val="24"/>
        </w:rPr>
        <w:t>计划》，《</w:t>
      </w:r>
      <w:r>
        <w:rPr>
          <w:rFonts w:hint="eastAsia"/>
          <w:bCs/>
          <w:sz w:val="24"/>
        </w:rPr>
        <w:t>照相制版用铜板</w:t>
      </w:r>
      <w:r>
        <w:rPr>
          <w:rFonts w:hint="eastAsia" w:ascii="宋体" w:hAnsi="宋体" w:cs="宋体"/>
          <w:sz w:val="24"/>
        </w:rPr>
        <w:t>》行业标准获批立项，项目计划号“</w:t>
      </w:r>
      <w:r>
        <w:rPr>
          <w:rFonts w:ascii="宋体" w:hAnsi="宋体" w:cs="宋体"/>
          <w:sz w:val="24"/>
        </w:rPr>
        <w:t>20</w:t>
      </w:r>
      <w:r>
        <w:rPr>
          <w:rFonts w:hint="eastAsia" w:ascii="宋体" w:hAnsi="宋体" w:cs="宋体"/>
          <w:sz w:val="24"/>
        </w:rPr>
        <w:t>22</w:t>
      </w:r>
      <w:r>
        <w:rPr>
          <w:rFonts w:ascii="宋体" w:hAnsi="宋体" w:cs="宋体"/>
          <w:sz w:val="24"/>
        </w:rPr>
        <w:t>-0048T -YS</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rPr>
        <w:t xml:space="preserve"> </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1.4.3标准起草阶段</w:t>
      </w:r>
    </w:p>
    <w:p>
      <w:pPr>
        <w:spacing w:line="360" w:lineRule="auto"/>
        <w:ind w:firstLine="480" w:firstLineChars="200"/>
        <w:rPr>
          <w:rFonts w:ascii="宋体" w:hAnsi="宋体" w:cs="宋体"/>
          <w:sz w:val="24"/>
        </w:rPr>
      </w:pPr>
      <w:r>
        <w:rPr>
          <w:rFonts w:ascii="宋体" w:hAnsi="宋体" w:cs="宋体"/>
          <w:sz w:val="24"/>
        </w:rPr>
        <w:t>紫铜</w:t>
      </w:r>
      <w:r>
        <w:rPr>
          <w:rFonts w:hint="eastAsia" w:ascii="宋体" w:hAnsi="宋体" w:cs="宋体"/>
          <w:sz w:val="24"/>
        </w:rPr>
        <w:t>和银铜具有良好的塑性、导热性、耐蚀性及易加工成型等性能，</w:t>
      </w:r>
      <w:r>
        <w:rPr>
          <w:rFonts w:ascii="宋体" w:hAnsi="宋体" w:cs="宋体"/>
          <w:sz w:val="24"/>
        </w:rPr>
        <w:t>用于</w:t>
      </w:r>
      <w:r>
        <w:rPr>
          <w:rFonts w:hint="eastAsia" w:ascii="宋体" w:hAnsi="宋体" w:cs="宋体"/>
          <w:sz w:val="24"/>
        </w:rPr>
        <w:t>照相制版、</w:t>
      </w:r>
      <w:r>
        <w:rPr>
          <w:rFonts w:ascii="宋体" w:hAnsi="宋体" w:cs="宋体"/>
          <w:sz w:val="24"/>
        </w:rPr>
        <w:t>印刷摄影图片</w:t>
      </w:r>
      <w:r>
        <w:rPr>
          <w:rFonts w:hint="eastAsia" w:ascii="宋体" w:hAnsi="宋体" w:cs="宋体"/>
          <w:sz w:val="24"/>
        </w:rPr>
        <w:t>、</w:t>
      </w:r>
      <w:r>
        <w:rPr>
          <w:rFonts w:ascii="宋体" w:hAnsi="宋体" w:cs="宋体"/>
          <w:sz w:val="24"/>
        </w:rPr>
        <w:t>包装印刷、电化铝烫印中占有举足轻重的位置。</w:t>
      </w:r>
      <w:r>
        <w:rPr>
          <w:rFonts w:hint="eastAsia" w:ascii="宋体" w:hAnsi="宋体" w:cs="宋体"/>
          <w:sz w:val="24"/>
        </w:rPr>
        <w:t>同时替代</w:t>
      </w:r>
      <w:r>
        <w:rPr>
          <w:rFonts w:ascii="宋体" w:hAnsi="宋体" w:cs="宋体"/>
          <w:sz w:val="24"/>
        </w:rPr>
        <w:t>铅</w:t>
      </w:r>
      <w:r>
        <w:rPr>
          <w:rFonts w:hint="eastAsia" w:ascii="宋体" w:hAnsi="宋体" w:cs="宋体"/>
          <w:sz w:val="24"/>
        </w:rPr>
        <w:t>制版</w:t>
      </w:r>
      <w:r>
        <w:rPr>
          <w:rFonts w:ascii="宋体" w:hAnsi="宋体" w:cs="宋体"/>
          <w:sz w:val="24"/>
        </w:rPr>
        <w:t>，保护工人的健康和人们生活的环境。</w:t>
      </w:r>
      <w:r>
        <w:rPr>
          <w:rFonts w:hint="eastAsia" w:ascii="宋体" w:hAnsi="宋体" w:cs="宋体"/>
          <w:sz w:val="24"/>
        </w:rPr>
        <w:t>随着印刷业的发展，对照相制版用铜板也提出更高、更新的需求和技术要求，要求</w:t>
      </w:r>
      <w:r>
        <w:rPr>
          <w:rFonts w:ascii="宋体" w:hAnsi="宋体" w:cs="宋体"/>
          <w:sz w:val="24"/>
        </w:rPr>
        <w:t>铜</w:t>
      </w:r>
      <w:r>
        <w:rPr>
          <w:rFonts w:hint="eastAsia" w:ascii="宋体" w:hAnsi="宋体" w:cs="宋体"/>
          <w:sz w:val="24"/>
        </w:rPr>
        <w:t>板</w:t>
      </w:r>
      <w:r>
        <w:rPr>
          <w:rFonts w:ascii="宋体" w:hAnsi="宋体" w:cs="宋体"/>
          <w:sz w:val="24"/>
        </w:rPr>
        <w:t>无杂质、</w:t>
      </w:r>
      <w:r>
        <w:rPr>
          <w:rFonts w:hint="eastAsia" w:ascii="宋体" w:hAnsi="宋体" w:cs="宋体"/>
          <w:sz w:val="24"/>
        </w:rPr>
        <w:t>性能</w:t>
      </w:r>
      <w:r>
        <w:rPr>
          <w:rFonts w:ascii="宋体" w:hAnsi="宋体" w:cs="宋体"/>
          <w:sz w:val="24"/>
        </w:rPr>
        <w:t>适中</w:t>
      </w:r>
      <w:r>
        <w:rPr>
          <w:rFonts w:hint="eastAsia" w:ascii="宋体" w:hAnsi="宋体" w:cs="宋体"/>
          <w:sz w:val="24"/>
        </w:rPr>
        <w:t>，板材外形尺寸均匀</w:t>
      </w:r>
      <w:r>
        <w:rPr>
          <w:rFonts w:ascii="宋体" w:hAnsi="宋体" w:cs="宋体"/>
          <w:sz w:val="24"/>
        </w:rPr>
        <w:t>，伸缩性小，抗水性好</w:t>
      </w:r>
      <w:r>
        <w:rPr>
          <w:rFonts w:hint="eastAsia" w:ascii="宋体" w:hAnsi="宋体" w:cs="宋体"/>
          <w:sz w:val="24"/>
        </w:rPr>
        <w:t>，同时表面</w:t>
      </w:r>
      <w:r>
        <w:rPr>
          <w:rFonts w:ascii="宋体" w:hAnsi="宋体" w:cs="宋体"/>
          <w:sz w:val="24"/>
        </w:rPr>
        <w:t>光洁</w:t>
      </w:r>
      <w:r>
        <w:rPr>
          <w:rFonts w:hint="eastAsia" w:ascii="宋体" w:hAnsi="宋体" w:cs="宋体"/>
          <w:sz w:val="24"/>
        </w:rPr>
        <w:t>，</w:t>
      </w:r>
      <w:r>
        <w:rPr>
          <w:rFonts w:ascii="宋体" w:hAnsi="宋体" w:cs="宋体"/>
          <w:sz w:val="24"/>
        </w:rPr>
        <w:t>不许有斑点、条痕</w:t>
      </w:r>
      <w:r>
        <w:rPr>
          <w:rFonts w:hint="eastAsia" w:ascii="宋体" w:hAnsi="宋体" w:cs="宋体"/>
          <w:sz w:val="24"/>
        </w:rPr>
        <w:t>、</w:t>
      </w:r>
      <w:r>
        <w:rPr>
          <w:rFonts w:ascii="宋体" w:hAnsi="宋体" w:cs="宋体"/>
          <w:sz w:val="24"/>
        </w:rPr>
        <w:t>皱纹、孔眼等</w:t>
      </w:r>
      <w:r>
        <w:rPr>
          <w:rFonts w:hint="eastAsia" w:ascii="宋体" w:hAnsi="宋体" w:cs="宋体"/>
          <w:sz w:val="24"/>
        </w:rPr>
        <w:t>任何影响使用的缺陷，原标准已不适应市场与照相制版使用要求。</w:t>
      </w:r>
    </w:p>
    <w:p>
      <w:pPr>
        <w:pStyle w:val="16"/>
        <w:spacing w:before="0" w:beforeAutospacing="0" w:after="0" w:afterAutospacing="0" w:line="360" w:lineRule="auto"/>
        <w:ind w:firstLine="482"/>
        <w:rPr>
          <w:bCs/>
        </w:rPr>
      </w:pPr>
      <w:r>
        <w:rPr>
          <w:rFonts w:hint="eastAsia"/>
          <w:bCs/>
        </w:rPr>
        <w:t>在标准起草修订过程中，编制组查阅了印刷制版相关信息和标准，本标准适应市场和环境需要，根据使用要求和国内实际情况，结合我国铜版生产实际，规范照相制版用铜板</w:t>
      </w:r>
      <w:r>
        <w:rPr>
          <w:bCs/>
        </w:rPr>
        <w:t>的技术要求</w:t>
      </w:r>
      <w:r>
        <w:rPr>
          <w:rFonts w:hint="eastAsia"/>
          <w:bCs/>
        </w:rPr>
        <w:t>，经过充分讨论，2023年4月初形成了标准《讨论稿》及其编制说明。</w:t>
      </w:r>
    </w:p>
    <w:p>
      <w:pPr>
        <w:spacing w:line="360" w:lineRule="auto"/>
        <w:ind w:firstLine="480" w:firstLineChars="200"/>
        <w:rPr>
          <w:rFonts w:asciiTheme="minorEastAsia" w:hAnsiTheme="minorEastAsia" w:eastAsiaTheme="minorEastAsia"/>
          <w:bCs/>
          <w:sz w:val="24"/>
        </w:rPr>
      </w:pPr>
      <w:r>
        <w:rPr>
          <w:rFonts w:hint="eastAsia"/>
          <w:bCs/>
          <w:sz w:val="24"/>
        </w:rPr>
        <w:t>2023年4月24日～27日由</w:t>
      </w:r>
      <w:r>
        <w:rPr>
          <w:bCs/>
          <w:sz w:val="24"/>
        </w:rPr>
        <w:t>全国有色金属标准化技术委员会</w:t>
      </w:r>
      <w:r>
        <w:rPr>
          <w:rFonts w:hint="eastAsia"/>
          <w:bCs/>
          <w:sz w:val="24"/>
        </w:rPr>
        <w:t>主持</w:t>
      </w:r>
      <w:r>
        <w:rPr>
          <w:bCs/>
          <w:sz w:val="24"/>
        </w:rPr>
        <w:t>在</w:t>
      </w:r>
      <w:r>
        <w:rPr>
          <w:rFonts w:hint="eastAsia"/>
          <w:bCs/>
          <w:sz w:val="24"/>
        </w:rPr>
        <w:t>湖北省武汉市召开该标准的讨论会。编制组根据标准讨论会会议精神和各专家意见，</w:t>
      </w:r>
      <w:r>
        <w:rPr>
          <w:rFonts w:hint="eastAsia" w:ascii="宋体" w:hAnsi="宋体"/>
          <w:sz w:val="24"/>
        </w:rPr>
        <w:t>对标准进行修改和完善</w:t>
      </w:r>
      <w:r>
        <w:rPr>
          <w:rFonts w:hint="eastAsia" w:ascii="宋体" w:hAnsi="宋体"/>
          <w:bCs/>
          <w:sz w:val="24"/>
        </w:rPr>
        <w:t>，形成了标准《预审稿》</w:t>
      </w:r>
      <w:r>
        <w:rPr>
          <w:rFonts w:hint="eastAsia" w:asciiTheme="minorEastAsia" w:hAnsiTheme="minorEastAsia" w:eastAsiaTheme="minorEastAsia"/>
          <w:bCs/>
          <w:sz w:val="24"/>
        </w:rPr>
        <w:t>及《编制说明》。</w:t>
      </w:r>
    </w:p>
    <w:p>
      <w:pPr>
        <w:spacing w:line="360" w:lineRule="auto"/>
        <w:ind w:firstLine="480" w:firstLineChars="200"/>
        <w:rPr>
          <w:rFonts w:asciiTheme="minorEastAsia" w:hAnsiTheme="minorEastAsia" w:eastAsiaTheme="minorEastAsia"/>
          <w:bCs/>
          <w:sz w:val="24"/>
        </w:rPr>
      </w:pPr>
      <w:r>
        <w:rPr>
          <w:rFonts w:hint="eastAsia"/>
          <w:bCs/>
          <w:sz w:val="24"/>
        </w:rPr>
        <w:t>2023年6月25日～27日由</w:t>
      </w:r>
      <w:r>
        <w:rPr>
          <w:bCs/>
          <w:sz w:val="24"/>
        </w:rPr>
        <w:t>全国有色金属标准化技术委员会</w:t>
      </w:r>
      <w:r>
        <w:rPr>
          <w:rFonts w:hint="eastAsia"/>
          <w:bCs/>
          <w:sz w:val="24"/>
        </w:rPr>
        <w:t>主持</w:t>
      </w:r>
      <w:r>
        <w:rPr>
          <w:bCs/>
          <w:sz w:val="24"/>
        </w:rPr>
        <w:t>在</w:t>
      </w:r>
      <w:r>
        <w:rPr>
          <w:rFonts w:hint="eastAsia"/>
          <w:bCs/>
          <w:sz w:val="24"/>
        </w:rPr>
        <w:t>辽宁省沈阳市召开该标准的预审会。编制组根据会议要求和专家意见，对标准进行修改和完善，形成了标准《征求意见稿》</w:t>
      </w:r>
      <w:r>
        <w:rPr>
          <w:rFonts w:hint="eastAsia" w:asciiTheme="minorEastAsia" w:hAnsiTheme="minorEastAsia" w:eastAsiaTheme="minorEastAsia"/>
          <w:bCs/>
          <w:sz w:val="24"/>
        </w:rPr>
        <w:t>及《编制说明》。</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1.4.4 征求意见阶段</w:t>
      </w:r>
    </w:p>
    <w:p>
      <w:pPr>
        <w:widowControl/>
        <w:spacing w:line="360" w:lineRule="auto"/>
        <w:ind w:firstLine="480" w:firstLineChars="200"/>
        <w:rPr>
          <w:rFonts w:hint="eastAsia" w:ascii="宋体" w:hAnsi="宋体"/>
          <w:sz w:val="24"/>
        </w:rPr>
      </w:pPr>
      <w:r>
        <w:rPr>
          <w:rFonts w:hint="eastAsia" w:ascii="宋体" w:hAnsi="宋体"/>
          <w:sz w:val="24"/>
        </w:rPr>
        <w:t>本标准分别于2023年7月发送《征求意见稿》，</w:t>
      </w:r>
      <w:r>
        <w:rPr>
          <w:rFonts w:hint="eastAsia" w:asciiTheme="minorEastAsia" w:hAnsiTheme="minorEastAsia" w:eastAsiaTheme="minorEastAsia"/>
          <w:sz w:val="24"/>
        </w:rPr>
        <w:t>回函并有建议或意见的单位18个，回函无意见的单位6个，没有回函的单位0个；括生产单位21家，科研院所3家，基本覆盖该领域相关的主要单位。</w:t>
      </w:r>
      <w:r>
        <w:rPr>
          <w:rFonts w:hint="eastAsia" w:ascii="宋体" w:hAnsi="宋体"/>
          <w:sz w:val="24"/>
        </w:rPr>
        <w:t>编制组根据会议专家意见和回函意见情况，对标准稿进行修改和完善，于2023年</w:t>
      </w:r>
      <w:r>
        <w:rPr>
          <w:rFonts w:hint="eastAsia" w:ascii="宋体" w:hAnsi="宋体"/>
          <w:sz w:val="24"/>
          <w:lang w:val="en-US" w:eastAsia="zh-CN"/>
        </w:rPr>
        <w:t>9</w:t>
      </w:r>
      <w:bookmarkStart w:id="8" w:name="_GoBack"/>
      <w:bookmarkEnd w:id="8"/>
      <w:r>
        <w:rPr>
          <w:rFonts w:hint="eastAsia" w:ascii="宋体" w:hAnsi="宋体"/>
          <w:sz w:val="24"/>
        </w:rPr>
        <w:t>月形成本标准《送审稿》及《编制说明》。</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1.4.5审查阶段</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技术专家审查</w:t>
      </w:r>
    </w:p>
    <w:p>
      <w:pPr>
        <w:widowControl/>
        <w:spacing w:line="360" w:lineRule="auto"/>
        <w:ind w:firstLine="480" w:firstLineChars="200"/>
        <w:rPr>
          <w:rFonts w:hint="eastAsia" w:ascii="宋体" w:hAnsi="宋体"/>
          <w:sz w:val="24"/>
          <w:lang w:val="en-US" w:eastAsia="zh-CN"/>
        </w:rPr>
      </w:pPr>
      <w:bookmarkStart w:id="2" w:name="OLE_LINK5"/>
      <w:r>
        <w:rPr>
          <w:rFonts w:hint="eastAsia" w:ascii="宋体" w:hAnsi="宋体"/>
          <w:sz w:val="24"/>
          <w:lang w:val="en-US" w:eastAsia="zh-CN"/>
        </w:rPr>
        <w:t>2022年9月25～28日在重庆市，由全国有色金属标准化技术委员会主持，召开了《</w:t>
      </w:r>
      <w:r>
        <w:rPr>
          <w:rFonts w:hint="eastAsia" w:ascii="宋体" w:hAnsi="宋体"/>
          <w:sz w:val="24"/>
        </w:rPr>
        <w:t>照相制版用铜板</w:t>
      </w:r>
      <w:r>
        <w:rPr>
          <w:rFonts w:hint="eastAsia" w:ascii="宋体" w:hAnsi="宋体"/>
          <w:sz w:val="24"/>
          <w:lang w:val="en-US" w:eastAsia="zh-CN"/>
        </w:rPr>
        <w:t>》标准审定会，共有xx个单位的xx名专家（详见有色金属标准审定会专家签名表）参加了会议。</w:t>
      </w:r>
    </w:p>
    <w:p>
      <w:pPr>
        <w:widowControl/>
        <w:spacing w:line="360" w:lineRule="auto"/>
        <w:ind w:firstLine="480" w:firstLineChars="200"/>
      </w:pPr>
      <w:r>
        <w:rPr>
          <w:rFonts w:hint="eastAsia" w:ascii="宋体" w:hAnsi="宋体"/>
          <w:sz w:val="24"/>
          <w:lang w:val="en-US" w:eastAsia="zh-CN"/>
        </w:rPr>
        <w:t>与会专家对 《</w:t>
      </w:r>
      <w:r>
        <w:rPr>
          <w:rFonts w:hint="eastAsia" w:ascii="宋体" w:hAnsi="宋体"/>
          <w:sz w:val="24"/>
        </w:rPr>
        <w:t>照相制版用铜板</w:t>
      </w:r>
      <w:r>
        <w:rPr>
          <w:rFonts w:hint="eastAsia" w:ascii="宋体" w:hAnsi="宋体"/>
          <w:sz w:val="24"/>
          <w:lang w:val="en-US" w:eastAsia="zh-CN"/>
        </w:rPr>
        <w:t>》标准的送审稿进行了认真审定，提出了xx条修改意见，编制小组会后按照专家的修改意见进行了修改，完善了《送审稿》及《送审稿编制说明》。</w:t>
      </w:r>
      <w:bookmarkEnd w:id="2"/>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二、编制原则</w:t>
      </w:r>
    </w:p>
    <w:p>
      <w:pPr>
        <w:spacing w:line="360" w:lineRule="auto"/>
        <w:ind w:firstLine="480" w:firstLineChars="200"/>
        <w:rPr>
          <w:rFonts w:ascii="宋体" w:hAnsi="宋体"/>
          <w:kern w:val="0"/>
          <w:sz w:val="24"/>
        </w:rPr>
      </w:pPr>
      <w:r>
        <w:rPr>
          <w:rFonts w:hint="eastAsia" w:ascii="宋体" w:hAnsi="宋体"/>
          <w:sz w:val="24"/>
          <w:lang w:eastAsia="zh-CN"/>
        </w:rPr>
        <w:t>（</w:t>
      </w:r>
      <w:r>
        <w:rPr>
          <w:rFonts w:hint="eastAsia" w:ascii="宋体" w:hAnsi="宋体"/>
          <w:sz w:val="24"/>
        </w:rPr>
        <w:t>1）</w:t>
      </w:r>
      <w:r>
        <w:rPr>
          <w:rFonts w:hint="eastAsia" w:ascii="宋体" w:hAnsi="宋体"/>
          <w:kern w:val="0"/>
          <w:sz w:val="24"/>
        </w:rPr>
        <w:t>本标准按照</w:t>
      </w:r>
      <w:r>
        <w:rPr>
          <w:rFonts w:ascii="宋体" w:hAnsi="宋体"/>
          <w:kern w:val="0"/>
          <w:sz w:val="24"/>
        </w:rPr>
        <w:t>GB/T1.1-20</w:t>
      </w:r>
      <w:r>
        <w:rPr>
          <w:rFonts w:hint="eastAsia" w:ascii="宋体" w:hAnsi="宋体"/>
          <w:kern w:val="0"/>
          <w:sz w:val="24"/>
        </w:rPr>
        <w:t>20《标准化工作导则 第1部分：标准化文件的结构和起草规则》的规则进行起草。</w:t>
      </w:r>
    </w:p>
    <w:p>
      <w:pPr>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rPr>
        <w:t>2）查阅相关标准和客户的相关技术要求；</w:t>
      </w:r>
    </w:p>
    <w:p>
      <w:pPr>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rPr>
        <w:t>3）根据照相制版用铜板应用领域的消费特点和环保理念，力求做到标准的合理性与实用性；</w:t>
      </w:r>
    </w:p>
    <w:p>
      <w:pPr>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rPr>
        <w:t>4）根据产品工艺的成熟与完善、技术发展水平及测试数据确定技术指标取值范围。</w:t>
      </w:r>
    </w:p>
    <w:p>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rPr>
        <w:t>5）完全按照GB/T 1.1和有色加工产品标准和国家标准编写示例的要求进行格式和结构编写。</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default"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三、标准主要技术内容的确定依据及主要试验和验证情况分析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3.1 本标准与YS/T 567-2010标准的比较</w:t>
      </w:r>
    </w:p>
    <w:p>
      <w:pPr>
        <w:spacing w:line="360" w:lineRule="auto"/>
        <w:ind w:firstLine="480" w:firstLineChars="200"/>
        <w:rPr>
          <w:rFonts w:hint="eastAsia" w:ascii="宋体" w:hAnsi="宋体"/>
          <w:sz w:val="24"/>
        </w:rPr>
      </w:pPr>
      <w:r>
        <w:rPr>
          <w:rFonts w:hint="eastAsia" w:ascii="宋体" w:hAnsi="宋体"/>
          <w:sz w:val="24"/>
        </w:rPr>
        <w:t>本标准与</w:t>
      </w:r>
      <w:r>
        <w:rPr>
          <w:rFonts w:hint="eastAsia" w:ascii="宋体" w:hAnsi="宋体"/>
          <w:bCs/>
          <w:sz w:val="24"/>
        </w:rPr>
        <w:t>YS/T 567－2010《照相制版用铜板》</w:t>
      </w:r>
      <w:r>
        <w:rPr>
          <w:rFonts w:hint="eastAsia" w:ascii="宋体" w:hAnsi="宋体"/>
          <w:sz w:val="24"/>
        </w:rPr>
        <w:t>相比，主要变化如</w:t>
      </w:r>
      <w:r>
        <w:rPr>
          <w:rFonts w:hint="eastAsia" w:ascii="宋体" w:hAnsi="宋体"/>
          <w:sz w:val="24"/>
          <w:lang w:val="en-US" w:eastAsia="zh-CN"/>
        </w:rPr>
        <w:t>表2</w:t>
      </w:r>
      <w:r>
        <w:rPr>
          <w:rFonts w:hint="eastAsia" w:ascii="宋体" w:hAnsi="宋体"/>
          <w:sz w:val="24"/>
        </w:rPr>
        <w:t>：</w:t>
      </w:r>
    </w:p>
    <w:p>
      <w:pPr>
        <w:spacing w:line="360" w:lineRule="auto"/>
        <w:jc w:val="center"/>
        <w:rPr>
          <w:rFonts w:hint="eastAsia" w:ascii="宋体" w:hAnsi="宋体" w:cs="宋体"/>
          <w:bCs/>
          <w:sz w:val="24"/>
        </w:rPr>
      </w:pPr>
      <w:r>
        <w:rPr>
          <w:rFonts w:hint="eastAsia" w:ascii="宋体" w:hAnsi="宋体" w:cs="宋体"/>
          <w:bCs/>
          <w:sz w:val="24"/>
        </w:rPr>
        <w:t>表</w:t>
      </w:r>
      <w:r>
        <w:rPr>
          <w:rFonts w:hint="eastAsia" w:ascii="宋体" w:hAnsi="宋体" w:cs="宋体"/>
          <w:bCs/>
          <w:sz w:val="24"/>
          <w:lang w:val="en-US" w:eastAsia="zh-CN"/>
        </w:rPr>
        <w:t>2</w:t>
      </w:r>
      <w:r>
        <w:rPr>
          <w:rFonts w:hint="eastAsia" w:ascii="宋体" w:hAnsi="宋体" w:cs="宋体"/>
          <w:bCs/>
          <w:sz w:val="24"/>
        </w:rPr>
        <w:t xml:space="preserve">  本标准主要修改内容</w:t>
      </w:r>
    </w:p>
    <w:tbl>
      <w:tblPr>
        <w:tblStyle w:val="18"/>
        <w:tblW w:w="9165"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755"/>
        <w:gridCol w:w="3555"/>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pPr>
              <w:spacing w:line="36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序号</w:t>
            </w:r>
          </w:p>
        </w:tc>
        <w:tc>
          <w:tcPr>
            <w:tcW w:w="1755" w:type="dxa"/>
            <w:vAlign w:val="center"/>
          </w:tcPr>
          <w:p>
            <w:pPr>
              <w:spacing w:line="36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项目</w:t>
            </w:r>
          </w:p>
        </w:tc>
        <w:tc>
          <w:tcPr>
            <w:tcW w:w="3555" w:type="dxa"/>
            <w:vAlign w:val="center"/>
          </w:tcPr>
          <w:p>
            <w:pPr>
              <w:spacing w:line="360" w:lineRule="exact"/>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本标准</w:t>
            </w:r>
          </w:p>
        </w:tc>
        <w:tc>
          <w:tcPr>
            <w:tcW w:w="3195" w:type="dxa"/>
            <w:vAlign w:val="center"/>
          </w:tcPr>
          <w:p>
            <w:pPr>
              <w:spacing w:line="36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GB/T11091-2014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pPr>
              <w:spacing w:line="36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p>
        </w:tc>
        <w:tc>
          <w:tcPr>
            <w:tcW w:w="1755" w:type="dxa"/>
            <w:vAlign w:val="center"/>
          </w:tcPr>
          <w:p>
            <w:pPr>
              <w:spacing w:line="360" w:lineRule="exact"/>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规范性引用文件</w:t>
            </w:r>
          </w:p>
        </w:tc>
        <w:tc>
          <w:tcPr>
            <w:tcW w:w="3555" w:type="dxa"/>
            <w:vAlign w:val="center"/>
          </w:tcPr>
          <w:p>
            <w:pPr>
              <w:adjustRightInd w:val="0"/>
              <w:spacing w:line="360" w:lineRule="auto"/>
              <w:jc w:val="both"/>
              <w:textAlignment w:val="baseline"/>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增加GB/T 8170、YS/T 482、YS/T 668</w:t>
            </w:r>
          </w:p>
        </w:tc>
        <w:tc>
          <w:tcPr>
            <w:tcW w:w="3195" w:type="dxa"/>
            <w:vAlign w:val="center"/>
          </w:tcPr>
          <w:p>
            <w:pPr>
              <w:spacing w:line="360" w:lineRule="exact"/>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pPr>
              <w:spacing w:line="36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t>
            </w:r>
          </w:p>
        </w:tc>
        <w:tc>
          <w:tcPr>
            <w:tcW w:w="1755" w:type="dxa"/>
            <w:vAlign w:val="center"/>
          </w:tcPr>
          <w:p>
            <w:pPr>
              <w:spacing w:line="360" w:lineRule="exact"/>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合金</w:t>
            </w:r>
            <w:r>
              <w:rPr>
                <w:rFonts w:hint="eastAsia" w:ascii="宋体" w:hAnsi="宋体" w:eastAsia="宋体" w:cs="宋体"/>
                <w:b w:val="0"/>
                <w:bCs/>
                <w:color w:val="auto"/>
                <w:sz w:val="21"/>
                <w:szCs w:val="21"/>
              </w:rPr>
              <w:t>牌号</w:t>
            </w:r>
          </w:p>
        </w:tc>
        <w:tc>
          <w:tcPr>
            <w:tcW w:w="3555" w:type="dxa"/>
            <w:vAlign w:val="center"/>
          </w:tcPr>
          <w:p>
            <w:pPr>
              <w:spacing w:line="360" w:lineRule="exact"/>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T2</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 xml:space="preserve"> TAg0.1</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TAg0.15</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增加代号</w:t>
            </w:r>
          </w:p>
        </w:tc>
        <w:tc>
          <w:tcPr>
            <w:tcW w:w="3195" w:type="dxa"/>
            <w:vAlign w:val="center"/>
          </w:tcPr>
          <w:p>
            <w:pPr>
              <w:spacing w:line="360" w:lineRule="exact"/>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T2</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 xml:space="preserve"> TAg0.1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pPr>
              <w:spacing w:line="36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w:t>
            </w:r>
          </w:p>
        </w:tc>
        <w:tc>
          <w:tcPr>
            <w:tcW w:w="1755" w:type="dxa"/>
            <w:vAlign w:val="center"/>
          </w:tcPr>
          <w:p>
            <w:pPr>
              <w:spacing w:line="360" w:lineRule="exact"/>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状态</w:t>
            </w:r>
          </w:p>
        </w:tc>
        <w:tc>
          <w:tcPr>
            <w:tcW w:w="3555" w:type="dxa"/>
            <w:vAlign w:val="center"/>
          </w:tcPr>
          <w:p>
            <w:pPr>
              <w:spacing w:line="240" w:lineRule="auto"/>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硬（H04）</w:t>
            </w:r>
          </w:p>
        </w:tc>
        <w:tc>
          <w:tcPr>
            <w:tcW w:w="3195" w:type="dxa"/>
            <w:vAlign w:val="center"/>
          </w:tcPr>
          <w:p>
            <w:pPr>
              <w:spacing w:line="360" w:lineRule="exact"/>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硬（Y）态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pPr>
              <w:spacing w:line="36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w:t>
            </w:r>
          </w:p>
        </w:tc>
        <w:tc>
          <w:tcPr>
            <w:tcW w:w="1755" w:type="dxa"/>
            <w:vAlign w:val="center"/>
          </w:tcPr>
          <w:p>
            <w:pPr>
              <w:spacing w:line="360" w:lineRule="exact"/>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宽</w:t>
            </w:r>
            <w:r>
              <w:rPr>
                <w:rFonts w:hint="eastAsia" w:ascii="宋体" w:hAnsi="宋体" w:eastAsia="宋体" w:cs="宋体"/>
                <w:b w:val="0"/>
                <w:bCs/>
                <w:color w:val="auto"/>
                <w:sz w:val="21"/>
                <w:szCs w:val="21"/>
              </w:rPr>
              <w:t>度，mm</w:t>
            </w:r>
          </w:p>
        </w:tc>
        <w:tc>
          <w:tcPr>
            <w:tcW w:w="3555" w:type="dxa"/>
            <w:vAlign w:val="center"/>
          </w:tcPr>
          <w:p>
            <w:pPr>
              <w:spacing w:line="360" w:lineRule="exact"/>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400～880</w:t>
            </w:r>
          </w:p>
        </w:tc>
        <w:tc>
          <w:tcPr>
            <w:tcW w:w="3195" w:type="dxa"/>
            <w:vAlign w:val="center"/>
          </w:tcPr>
          <w:p>
            <w:pPr>
              <w:spacing w:line="360" w:lineRule="exact"/>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pPr>
              <w:spacing w:line="36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w:t>
            </w:r>
          </w:p>
        </w:tc>
        <w:tc>
          <w:tcPr>
            <w:tcW w:w="1755" w:type="dxa"/>
            <w:vAlign w:val="center"/>
          </w:tcPr>
          <w:p>
            <w:pPr>
              <w:spacing w:line="360" w:lineRule="exact"/>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长度</w:t>
            </w:r>
            <w:r>
              <w:rPr>
                <w:rFonts w:hint="eastAsia" w:ascii="宋体" w:hAnsi="宋体" w:eastAsia="宋体" w:cs="宋体"/>
                <w:b w:val="0"/>
                <w:bCs/>
                <w:color w:val="auto"/>
                <w:sz w:val="21"/>
                <w:szCs w:val="21"/>
              </w:rPr>
              <w:t>，mm</w:t>
            </w:r>
          </w:p>
        </w:tc>
        <w:tc>
          <w:tcPr>
            <w:tcW w:w="3555" w:type="dxa"/>
            <w:vAlign w:val="center"/>
          </w:tcPr>
          <w:p>
            <w:pPr>
              <w:spacing w:line="360" w:lineRule="exact"/>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5</w:t>
            </w:r>
            <w:r>
              <w:rPr>
                <w:rFonts w:hint="eastAsia" w:ascii="宋体" w:hAnsi="宋体" w:eastAsia="宋体" w:cs="宋体"/>
                <w:b w:val="0"/>
                <w:bCs/>
                <w:color w:val="auto"/>
                <w:sz w:val="21"/>
                <w:szCs w:val="21"/>
                <w:lang w:val="en-US" w:eastAsia="zh-CN"/>
              </w:rPr>
              <w:t>0</w:t>
            </w:r>
            <w:r>
              <w:rPr>
                <w:rFonts w:hint="eastAsia" w:ascii="宋体" w:hAnsi="宋体" w:eastAsia="宋体" w:cs="宋体"/>
                <w:b w:val="0"/>
                <w:bCs/>
                <w:color w:val="auto"/>
                <w:sz w:val="21"/>
                <w:szCs w:val="21"/>
              </w:rPr>
              <w:t>0～1</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00</w:t>
            </w:r>
          </w:p>
        </w:tc>
        <w:tc>
          <w:tcPr>
            <w:tcW w:w="3195" w:type="dxa"/>
            <w:vAlign w:val="center"/>
          </w:tcPr>
          <w:p>
            <w:pPr>
              <w:spacing w:line="360" w:lineRule="exact"/>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550～1200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pPr>
              <w:spacing w:line="36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w:t>
            </w:r>
          </w:p>
        </w:tc>
        <w:tc>
          <w:tcPr>
            <w:tcW w:w="1755" w:type="dxa"/>
            <w:vAlign w:val="center"/>
          </w:tcPr>
          <w:p>
            <w:pPr>
              <w:spacing w:line="360" w:lineRule="exact"/>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厚度允许偏差</w:t>
            </w:r>
          </w:p>
        </w:tc>
        <w:tc>
          <w:tcPr>
            <w:tcW w:w="3555" w:type="dxa"/>
            <w:vAlign w:val="center"/>
          </w:tcPr>
          <w:p>
            <w:pPr>
              <w:spacing w:line="360" w:lineRule="exact"/>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普通级“±”偏差</w:t>
            </w:r>
            <w:r>
              <w:rPr>
                <w:rFonts w:hint="eastAsia" w:ascii="宋体" w:hAnsi="宋体" w:eastAsia="宋体" w:cs="宋体"/>
                <w:b w:val="0"/>
                <w:bCs/>
                <w:color w:val="auto"/>
                <w:sz w:val="21"/>
                <w:szCs w:val="21"/>
                <w:lang w:eastAsia="zh-CN"/>
              </w:rPr>
              <w:t>；</w:t>
            </w:r>
          </w:p>
          <w:p>
            <w:pPr>
              <w:pStyle w:val="2"/>
              <w:widowControl w:val="0"/>
              <w:ind w:left="0" w:leftChars="0" w:firstLine="0" w:firstLineChars="0"/>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增加了</w:t>
            </w:r>
            <w:r>
              <w:rPr>
                <w:rFonts w:hint="eastAsia" w:ascii="宋体" w:hAnsi="宋体" w:eastAsia="宋体" w:cs="宋体"/>
                <w:b w:val="0"/>
                <w:bCs/>
                <w:color w:val="auto"/>
                <w:sz w:val="21"/>
                <w:szCs w:val="21"/>
                <w:lang w:val="en-US" w:eastAsia="zh-CN"/>
              </w:rPr>
              <w:t>宽度600mm以上</w:t>
            </w:r>
            <w:r>
              <w:rPr>
                <w:rFonts w:hint="eastAsia" w:ascii="宋体" w:hAnsi="宋体" w:eastAsia="宋体" w:cs="宋体"/>
                <w:b w:val="0"/>
                <w:bCs/>
                <w:color w:val="auto"/>
                <w:sz w:val="21"/>
                <w:szCs w:val="21"/>
              </w:rPr>
              <w:t>厚度1.0mm～1.4mm板材</w:t>
            </w:r>
            <w:r>
              <w:rPr>
                <w:rFonts w:hint="eastAsia" w:ascii="宋体" w:hAnsi="宋体" w:eastAsia="宋体" w:cs="宋体"/>
                <w:b w:val="0"/>
                <w:bCs/>
                <w:color w:val="auto"/>
                <w:sz w:val="21"/>
                <w:szCs w:val="21"/>
                <w:lang w:val="en-US" w:eastAsia="zh-CN"/>
              </w:rPr>
              <w:t>厚度</w:t>
            </w:r>
            <w:r>
              <w:rPr>
                <w:rFonts w:hint="eastAsia" w:ascii="宋体" w:hAnsi="宋体" w:eastAsia="宋体" w:cs="宋体"/>
                <w:b w:val="0"/>
                <w:bCs/>
                <w:color w:val="auto"/>
                <w:sz w:val="21"/>
                <w:szCs w:val="21"/>
              </w:rPr>
              <w:t>允许偏差的规定</w:t>
            </w:r>
            <w:r>
              <w:rPr>
                <w:rFonts w:hint="eastAsia" w:ascii="宋体" w:hAnsi="宋体" w:eastAsia="宋体" w:cs="宋体"/>
                <w:b w:val="0"/>
                <w:bCs/>
                <w:color w:val="auto"/>
                <w:sz w:val="21"/>
                <w:szCs w:val="21"/>
                <w:lang w:eastAsia="zh-CN"/>
              </w:rPr>
              <w:t>。</w:t>
            </w:r>
          </w:p>
        </w:tc>
        <w:tc>
          <w:tcPr>
            <w:tcW w:w="3195" w:type="dxa"/>
            <w:vAlign w:val="center"/>
          </w:tcPr>
          <w:p>
            <w:pPr>
              <w:spacing w:line="360" w:lineRule="exact"/>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普通级</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单向（-）</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pPr>
              <w:spacing w:line="36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w:t>
            </w:r>
          </w:p>
        </w:tc>
        <w:tc>
          <w:tcPr>
            <w:tcW w:w="1755" w:type="dxa"/>
            <w:vAlign w:val="center"/>
          </w:tcPr>
          <w:p>
            <w:pPr>
              <w:spacing w:line="360" w:lineRule="exact"/>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宽度允许偏差</w:t>
            </w:r>
          </w:p>
        </w:tc>
        <w:tc>
          <w:tcPr>
            <w:tcW w:w="3555" w:type="dxa"/>
            <w:vAlign w:val="center"/>
          </w:tcPr>
          <w:p>
            <w:pPr>
              <w:spacing w:line="360" w:lineRule="exact"/>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规定</w:t>
            </w:r>
            <w:r>
              <w:rPr>
                <w:rFonts w:hint="eastAsia" w:ascii="宋体" w:hAnsi="宋体" w:eastAsia="宋体" w:cs="宋体"/>
                <w:b w:val="0"/>
                <w:bCs/>
                <w:color w:val="auto"/>
                <w:sz w:val="21"/>
                <w:szCs w:val="21"/>
              </w:rPr>
              <w:t>400</w:t>
            </w:r>
            <w:r>
              <w:rPr>
                <w:rFonts w:hint="eastAsia" w:ascii="宋体" w:hAnsi="宋体" w:eastAsia="宋体" w:cs="宋体"/>
                <w:b w:val="0"/>
                <w:bCs/>
                <w:color w:val="auto"/>
                <w:sz w:val="21"/>
                <w:szCs w:val="21"/>
                <w:lang w:val="en-US" w:eastAsia="zh-CN"/>
              </w:rPr>
              <w:t>mm</w:t>
            </w:r>
            <w:r>
              <w:rPr>
                <w:rFonts w:hint="eastAsia" w:ascii="宋体" w:hAnsi="宋体" w:eastAsia="宋体" w:cs="宋体"/>
                <w:b w:val="0"/>
                <w:bCs/>
                <w:color w:val="auto"/>
                <w:sz w:val="21"/>
                <w:szCs w:val="21"/>
              </w:rPr>
              <w:t>～880</w:t>
            </w:r>
            <w:r>
              <w:rPr>
                <w:rFonts w:hint="eastAsia" w:ascii="宋体" w:hAnsi="宋体" w:eastAsia="宋体" w:cs="宋体"/>
                <w:b w:val="0"/>
                <w:bCs/>
                <w:color w:val="auto"/>
                <w:sz w:val="21"/>
                <w:szCs w:val="21"/>
                <w:lang w:val="en-US" w:eastAsia="zh-CN"/>
              </w:rPr>
              <w:t>mm</w:t>
            </w:r>
            <w:r>
              <w:rPr>
                <w:rFonts w:hint="eastAsia" w:ascii="宋体" w:hAnsi="宋体" w:eastAsia="宋体" w:cs="宋体"/>
                <w:b w:val="0"/>
                <w:bCs/>
                <w:color w:val="auto"/>
                <w:sz w:val="21"/>
                <w:szCs w:val="21"/>
              </w:rPr>
              <w:t>宽度允许偏差</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并加严宽度允许偏差，并加严1</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4mm</w:t>
            </w:r>
          </w:p>
        </w:tc>
        <w:tc>
          <w:tcPr>
            <w:tcW w:w="3195" w:type="dxa"/>
            <w:vAlign w:val="center"/>
          </w:tcPr>
          <w:p>
            <w:pPr>
              <w:spacing w:line="360" w:lineRule="exact"/>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规定</w:t>
            </w:r>
            <w:r>
              <w:rPr>
                <w:rFonts w:hint="eastAsia" w:ascii="宋体" w:hAnsi="宋体" w:eastAsia="宋体" w:cs="宋体"/>
                <w:b w:val="0"/>
                <w:bCs/>
                <w:color w:val="auto"/>
                <w:sz w:val="21"/>
                <w:szCs w:val="21"/>
                <w:lang w:val="en-US" w:eastAsia="zh-CN"/>
              </w:rPr>
              <w:t>400</w:t>
            </w:r>
            <w:r>
              <w:rPr>
                <w:rFonts w:hint="eastAsia" w:ascii="宋体" w:hAnsi="宋体" w:eastAsia="宋体" w:cs="宋体"/>
                <w:b w:val="0"/>
                <w:bCs/>
                <w:color w:val="auto"/>
                <w:sz w:val="21"/>
                <w:szCs w:val="21"/>
              </w:rPr>
              <w:t>mm</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600</w:t>
            </w:r>
            <w:r>
              <w:rPr>
                <w:rFonts w:hint="eastAsia" w:ascii="宋体" w:hAnsi="宋体" w:eastAsia="宋体" w:cs="宋体"/>
                <w:b w:val="0"/>
                <w:bCs/>
                <w:color w:val="auto"/>
                <w:sz w:val="21"/>
                <w:szCs w:val="21"/>
              </w:rPr>
              <w:t>mm宽度允许偏差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pPr>
              <w:spacing w:line="36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w:t>
            </w:r>
          </w:p>
        </w:tc>
        <w:tc>
          <w:tcPr>
            <w:tcW w:w="1755" w:type="dxa"/>
            <w:vAlign w:val="center"/>
          </w:tcPr>
          <w:p>
            <w:pPr>
              <w:spacing w:line="360" w:lineRule="exact"/>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长度允许偏差</w:t>
            </w:r>
          </w:p>
        </w:tc>
        <w:tc>
          <w:tcPr>
            <w:tcW w:w="3555" w:type="dxa"/>
            <w:vAlign w:val="center"/>
          </w:tcPr>
          <w:p>
            <w:pPr>
              <w:spacing w:line="360" w:lineRule="exact"/>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板材的定尺或倍尺长度的允许偏差为＋10mm。倍尺长度应加入锯切分段时的锯切量，每一段锯切量为5mm”</w:t>
            </w:r>
          </w:p>
        </w:tc>
        <w:tc>
          <w:tcPr>
            <w:tcW w:w="3195" w:type="dxa"/>
            <w:vAlign w:val="center"/>
          </w:tcPr>
          <w:p>
            <w:pPr>
              <w:spacing w:line="240" w:lineRule="auto"/>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板材应平直，一般以不定尺供货，需方要求定吃的板材应在合同中注明；定尺长度允许偏差为+10mm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pPr>
              <w:spacing w:line="36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w:t>
            </w:r>
          </w:p>
        </w:tc>
        <w:tc>
          <w:tcPr>
            <w:tcW w:w="1755" w:type="dxa"/>
            <w:vAlign w:val="center"/>
          </w:tcPr>
          <w:p>
            <w:pPr>
              <w:spacing w:line="360" w:lineRule="exact"/>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平整度</w:t>
            </w:r>
          </w:p>
        </w:tc>
        <w:tc>
          <w:tcPr>
            <w:tcW w:w="3555" w:type="dxa"/>
            <w:vAlign w:val="center"/>
          </w:tcPr>
          <w:p>
            <w:pPr>
              <w:spacing w:line="360" w:lineRule="exact"/>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增加了板材平整度的规定</w:t>
            </w:r>
          </w:p>
        </w:tc>
        <w:tc>
          <w:tcPr>
            <w:tcW w:w="3195" w:type="dxa"/>
            <w:vAlign w:val="center"/>
          </w:tcPr>
          <w:p>
            <w:pPr>
              <w:spacing w:line="360" w:lineRule="exact"/>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pPr>
              <w:spacing w:line="36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w:t>
            </w:r>
          </w:p>
        </w:tc>
        <w:tc>
          <w:tcPr>
            <w:tcW w:w="1755" w:type="dxa"/>
            <w:vAlign w:val="center"/>
          </w:tcPr>
          <w:p>
            <w:pPr>
              <w:spacing w:line="360" w:lineRule="exact"/>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表面质量</w:t>
            </w:r>
          </w:p>
        </w:tc>
        <w:tc>
          <w:tcPr>
            <w:tcW w:w="3555" w:type="dxa"/>
            <w:vAlign w:val="center"/>
          </w:tcPr>
          <w:p>
            <w:pPr>
              <w:spacing w:line="360" w:lineRule="exact"/>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板材的非工作表面应划一红道，予以识别</w:t>
            </w:r>
          </w:p>
        </w:tc>
        <w:tc>
          <w:tcPr>
            <w:tcW w:w="3195" w:type="dxa"/>
            <w:vAlign w:val="center"/>
          </w:tcPr>
          <w:p>
            <w:pPr>
              <w:spacing w:line="360" w:lineRule="exact"/>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板材的非工作表面应进行标识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pPr>
              <w:spacing w:line="36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w:t>
            </w:r>
          </w:p>
        </w:tc>
        <w:tc>
          <w:tcPr>
            <w:tcW w:w="1755" w:type="dxa"/>
            <w:vAlign w:val="center"/>
          </w:tcPr>
          <w:p>
            <w:pPr>
              <w:spacing w:line="360" w:lineRule="exact"/>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化学分析方法</w:t>
            </w:r>
          </w:p>
        </w:tc>
        <w:tc>
          <w:tcPr>
            <w:tcW w:w="3555" w:type="dxa"/>
            <w:vAlign w:val="center"/>
          </w:tcPr>
          <w:p>
            <w:pPr>
              <w:spacing w:line="360" w:lineRule="exact"/>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增加“板材的化学成分分析方法按GB/T5121（所有部分）或YS/T482的规定进行”的规定</w:t>
            </w:r>
          </w:p>
        </w:tc>
        <w:tc>
          <w:tcPr>
            <w:tcW w:w="3195" w:type="dxa"/>
            <w:vAlign w:val="center"/>
          </w:tcPr>
          <w:p>
            <w:pPr>
              <w:spacing w:line="360" w:lineRule="exact"/>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pPr>
              <w:spacing w:line="36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w:t>
            </w:r>
          </w:p>
        </w:tc>
        <w:tc>
          <w:tcPr>
            <w:tcW w:w="1755" w:type="dxa"/>
            <w:vAlign w:val="center"/>
          </w:tcPr>
          <w:p>
            <w:pPr>
              <w:spacing w:line="360" w:lineRule="exact"/>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取样</w:t>
            </w:r>
          </w:p>
        </w:tc>
        <w:tc>
          <w:tcPr>
            <w:tcW w:w="3555" w:type="dxa"/>
            <w:vAlign w:val="center"/>
          </w:tcPr>
          <w:p>
            <w:pPr>
              <w:spacing w:line="360" w:lineRule="exact"/>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增加“取样方法按YS/T 668的规定进行”</w:t>
            </w:r>
          </w:p>
        </w:tc>
        <w:tc>
          <w:tcPr>
            <w:tcW w:w="3195" w:type="dxa"/>
            <w:vAlign w:val="center"/>
          </w:tcPr>
          <w:p>
            <w:pPr>
              <w:spacing w:line="360" w:lineRule="exact"/>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0" w:type="dxa"/>
            <w:vAlign w:val="center"/>
          </w:tcPr>
          <w:p>
            <w:pPr>
              <w:spacing w:line="360" w:lineRule="exact"/>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w:t>
            </w:r>
          </w:p>
        </w:tc>
        <w:tc>
          <w:tcPr>
            <w:tcW w:w="1755" w:type="dxa"/>
            <w:vAlign w:val="center"/>
          </w:tcPr>
          <w:p>
            <w:pPr>
              <w:spacing w:line="360" w:lineRule="exact"/>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检验结果修约</w:t>
            </w:r>
          </w:p>
        </w:tc>
        <w:tc>
          <w:tcPr>
            <w:tcW w:w="3555" w:type="dxa"/>
            <w:vAlign w:val="center"/>
          </w:tcPr>
          <w:p>
            <w:pPr>
              <w:spacing w:line="360" w:lineRule="exact"/>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检验结果的数值按GB/T 8170规定进行修约，并采用修约值比较法判定。</w:t>
            </w:r>
          </w:p>
        </w:tc>
        <w:tc>
          <w:tcPr>
            <w:tcW w:w="3195" w:type="dxa"/>
            <w:vAlign w:val="center"/>
          </w:tcPr>
          <w:p>
            <w:pPr>
              <w:spacing w:line="360" w:lineRule="exact"/>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无</w:t>
            </w:r>
          </w:p>
        </w:tc>
      </w:tr>
    </w:tbl>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3.2 标准的主要内容确定依据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3.2..1标准适用范围</w:t>
      </w:r>
    </w:p>
    <w:p>
      <w:pPr>
        <w:adjustRightInd w:val="0"/>
        <w:spacing w:line="360" w:lineRule="auto"/>
        <w:ind w:firstLine="480" w:firstLineChars="200"/>
        <w:jc w:val="left"/>
        <w:textAlignment w:val="baseline"/>
        <w:rPr>
          <w:rFonts w:hint="eastAsia" w:ascii="宋体" w:hAnsi="宋体"/>
          <w:sz w:val="24"/>
        </w:rPr>
      </w:pPr>
      <w:r>
        <w:rPr>
          <w:rFonts w:hint="eastAsia" w:ascii="宋体" w:hAnsi="宋体"/>
          <w:sz w:val="24"/>
        </w:rPr>
        <w:t>根据使用要求和国内实际情况，结合我国铜版生产实际，规范照相制版用铜板的技术要求进行修订。</w:t>
      </w:r>
    </w:p>
    <w:p>
      <w:pPr>
        <w:adjustRightInd w:val="0"/>
        <w:spacing w:line="360" w:lineRule="auto"/>
        <w:ind w:firstLine="480" w:firstLineChars="200"/>
        <w:jc w:val="left"/>
        <w:textAlignment w:val="baseline"/>
        <w:rPr>
          <w:rFonts w:hint="eastAsia" w:ascii="宋体" w:hAnsi="宋体"/>
          <w:sz w:val="24"/>
        </w:rPr>
      </w:pPr>
      <w:r>
        <w:rPr>
          <w:rFonts w:hint="eastAsia" w:ascii="宋体" w:hAnsi="宋体"/>
          <w:sz w:val="24"/>
        </w:rPr>
        <w:t>本文件规定了照相制版用铜板的分类和标记、技术要求、试验方法、检验规则、标志、包装、运输、贮存及随行文件和订货单内容。本文件适用于印刷工业照相制版用铜板材。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3.2.2 规范性引用文件</w:t>
      </w:r>
    </w:p>
    <w:p>
      <w:pPr>
        <w:adjustRightInd w:val="0"/>
        <w:spacing w:line="360" w:lineRule="auto"/>
        <w:ind w:firstLine="480" w:firstLineChars="200"/>
        <w:jc w:val="left"/>
        <w:textAlignment w:val="baseline"/>
        <w:rPr>
          <w:rFonts w:ascii="宋体" w:hAnsi="宋体"/>
          <w:sz w:val="24"/>
        </w:rPr>
      </w:pPr>
      <w:r>
        <w:rPr>
          <w:rFonts w:hint="eastAsia" w:ascii="宋体" w:hAnsi="宋体"/>
          <w:sz w:val="24"/>
        </w:rPr>
        <w:t>（1）标注内容增加了“检验结果的数值按GB/T 8170规定进行修约，并采用修约值比较法判定”的规定”，因此规范性引用文件增加“GB/T 8170  数值修约规则与极限数值的表示和判定；</w:t>
      </w:r>
    </w:p>
    <w:p>
      <w:pPr>
        <w:adjustRightInd w:val="0"/>
        <w:spacing w:line="360" w:lineRule="auto"/>
        <w:ind w:firstLine="480" w:firstLineChars="200"/>
        <w:jc w:val="left"/>
        <w:textAlignment w:val="baseline"/>
        <w:rPr>
          <w:rFonts w:ascii="宋体" w:hAnsi="宋体"/>
          <w:sz w:val="24"/>
        </w:rPr>
      </w:pPr>
      <w:r>
        <w:rPr>
          <w:rFonts w:hint="eastAsia" w:ascii="宋体" w:hAnsi="宋体"/>
          <w:sz w:val="24"/>
        </w:rPr>
        <w:t>（2）“YS/T 482</w:t>
      </w:r>
      <w:r>
        <w:rPr>
          <w:rFonts w:hint="eastAsia" w:ascii="宋体" w:hAnsi="宋体" w:cs="宋体"/>
          <w:sz w:val="24"/>
        </w:rPr>
        <w:t>铜及铜合金分析方法 光电发射光谱法</w:t>
      </w:r>
      <w:r>
        <w:rPr>
          <w:rFonts w:hint="eastAsia" w:ascii="宋体" w:hAnsi="宋体"/>
          <w:sz w:val="24"/>
        </w:rPr>
        <w:t>”标准能更加快速的分析铜的成分，提高工作效率；为了更加规范取样，</w:t>
      </w:r>
    </w:p>
    <w:p>
      <w:pPr>
        <w:adjustRightInd w:val="0"/>
        <w:spacing w:line="360" w:lineRule="auto"/>
        <w:ind w:firstLine="480" w:firstLineChars="200"/>
        <w:jc w:val="left"/>
        <w:textAlignment w:val="baseline"/>
        <w:rPr>
          <w:rFonts w:ascii="宋体" w:hAnsi="宋体" w:cs="Courier New"/>
          <w:b/>
          <w:bCs/>
          <w:sz w:val="24"/>
        </w:rPr>
      </w:pPr>
      <w:r>
        <w:rPr>
          <w:rFonts w:hint="eastAsia" w:ascii="宋体" w:hAnsi="宋体"/>
          <w:sz w:val="24"/>
        </w:rPr>
        <w:t>（2）为规范理化检测的取样，提高检测准确性，标准7.4中增加““取样方法按YS/T 668的规定进行”，因此规范性引用文件增加“YS/T 668铜及铜合金理化检测取样方法”。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3.2.3  术语和定义</w:t>
      </w:r>
    </w:p>
    <w:p>
      <w:pPr>
        <w:adjustRightInd w:val="0"/>
        <w:spacing w:line="360" w:lineRule="auto"/>
        <w:ind w:firstLine="480" w:firstLineChars="200"/>
        <w:jc w:val="left"/>
        <w:textAlignment w:val="baseline"/>
        <w:rPr>
          <w:rFonts w:ascii="宋体" w:hAnsi="宋体"/>
          <w:sz w:val="24"/>
        </w:rPr>
      </w:pPr>
      <w:r>
        <w:rPr>
          <w:rFonts w:hint="eastAsia" w:ascii="宋体" w:hAnsi="宋体"/>
          <w:sz w:val="24"/>
        </w:rPr>
        <w:t>本文件没有需要界定的术语和定义。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3.2.4 技术要求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3.2.4.1 牌号、规格、状态</w:t>
      </w:r>
    </w:p>
    <w:p>
      <w:pPr>
        <w:spacing w:line="360" w:lineRule="auto"/>
        <w:ind w:firstLine="480" w:firstLineChars="200"/>
        <w:rPr>
          <w:rFonts w:ascii="宋体" w:hAnsi="宋体"/>
          <w:sz w:val="24"/>
        </w:rPr>
      </w:pPr>
      <w:r>
        <w:rPr>
          <w:rFonts w:hint="eastAsia" w:ascii="宋体" w:hAnsi="宋体"/>
          <w:sz w:val="24"/>
        </w:rPr>
        <w:t>本标准所含铜合金材料的牌号、规格是依据市场需求、批量供货合同和实际情况确定，修订后标准</w:t>
      </w:r>
      <w:r>
        <w:rPr>
          <w:rFonts w:hint="eastAsia" w:ascii="宋体" w:hAnsi="宋体" w:cs="宋体"/>
          <w:bCs/>
          <w:sz w:val="24"/>
        </w:rPr>
        <w:t>牌号为</w:t>
      </w:r>
      <w:r>
        <w:rPr>
          <w:rFonts w:hint="eastAsia" w:ascii="宋体" w:hAnsi="宋体"/>
          <w:sz w:val="24"/>
        </w:rPr>
        <w:t>T2（</w:t>
      </w:r>
      <w:r>
        <w:t>T11050</w:t>
      </w:r>
      <w:r>
        <w:rPr>
          <w:rFonts w:hint="eastAsia" w:ascii="宋体" w:hAnsi="宋体"/>
          <w:sz w:val="24"/>
        </w:rPr>
        <w:t>）</w:t>
      </w:r>
      <w:r>
        <w:rPr>
          <w:rFonts w:hint="eastAsia" w:ascii="宋体" w:hAnsi="宋体" w:cs="宋体"/>
          <w:bCs/>
          <w:sz w:val="24"/>
        </w:rPr>
        <w:t>、</w:t>
      </w:r>
      <w:r>
        <w:rPr>
          <w:rFonts w:hint="eastAsia" w:ascii="宋体" w:hAnsi="宋体"/>
          <w:sz w:val="24"/>
        </w:rPr>
        <w:t>TAg0.10（T11210）</w:t>
      </w:r>
      <w:r>
        <w:rPr>
          <w:rFonts w:hint="eastAsia" w:ascii="宋体" w:hAnsi="宋体" w:cs="宋体"/>
          <w:bCs/>
          <w:sz w:val="24"/>
        </w:rPr>
        <w:t>、</w:t>
      </w:r>
      <w:r>
        <w:rPr>
          <w:rFonts w:hint="eastAsia" w:ascii="宋体" w:hAnsi="宋体"/>
          <w:sz w:val="24"/>
        </w:rPr>
        <w:t>TAg0.15(T11220)</w:t>
      </w:r>
      <w:r>
        <w:rPr>
          <w:rFonts w:ascii="宋体" w:hAnsi="宋体" w:cs="宋体"/>
          <w:bCs/>
          <w:sz w:val="24"/>
        </w:rPr>
        <w:t>,</w:t>
      </w:r>
      <w:r>
        <w:rPr>
          <w:rFonts w:hint="eastAsia" w:ascii="宋体" w:hAnsi="宋体" w:cs="宋体"/>
          <w:bCs/>
          <w:sz w:val="24"/>
        </w:rPr>
        <w:t>规格范围</w:t>
      </w:r>
      <w:r>
        <w:rPr>
          <w:rFonts w:hint="eastAsia" w:ascii="宋体" w:hAnsi="宋体"/>
          <w:sz w:val="24"/>
        </w:rPr>
        <w:t>见表1。状态表示依据GB/T29094-2012《铜及铜合金状态表示方法》进行修改。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3.2.4.2化学成分</w:t>
      </w:r>
    </w:p>
    <w:p>
      <w:pPr>
        <w:spacing w:line="360" w:lineRule="auto"/>
        <w:jc w:val="center"/>
        <w:rPr>
          <w:rFonts w:ascii="宋体" w:hAnsi="宋体"/>
          <w:sz w:val="24"/>
        </w:rPr>
      </w:pPr>
      <w:r>
        <w:rPr>
          <w:rFonts w:hint="eastAsia" w:ascii="宋体" w:hAnsi="宋体"/>
          <w:sz w:val="24"/>
        </w:rPr>
        <w:t>表</w:t>
      </w:r>
      <w:r>
        <w:rPr>
          <w:rFonts w:hint="eastAsia" w:ascii="宋体" w:hAnsi="宋体"/>
          <w:sz w:val="24"/>
          <w:lang w:val="en-US" w:eastAsia="zh-CN"/>
        </w:rPr>
        <w:t>3</w:t>
      </w:r>
      <w:r>
        <w:rPr>
          <w:rFonts w:hint="eastAsia" w:ascii="宋体" w:hAnsi="宋体"/>
          <w:sz w:val="24"/>
        </w:rPr>
        <w:t xml:space="preserve">  TAg0.15化学成分统计计算情况</w:t>
      </w:r>
    </w:p>
    <w:tbl>
      <w:tblPr>
        <w:tblStyle w:val="17"/>
        <w:tblW w:w="8427" w:type="dxa"/>
        <w:jc w:val="center"/>
        <w:tblLayout w:type="autofit"/>
        <w:tblCellMar>
          <w:top w:w="0" w:type="dxa"/>
          <w:left w:w="108" w:type="dxa"/>
          <w:bottom w:w="0" w:type="dxa"/>
          <w:right w:w="108" w:type="dxa"/>
        </w:tblCellMar>
      </w:tblPr>
      <w:tblGrid>
        <w:gridCol w:w="1886"/>
        <w:gridCol w:w="1786"/>
        <w:gridCol w:w="1948"/>
        <w:gridCol w:w="1460"/>
        <w:gridCol w:w="1347"/>
      </w:tblGrid>
      <w:tr>
        <w:tblPrEx>
          <w:tblCellMar>
            <w:top w:w="0" w:type="dxa"/>
            <w:left w:w="108" w:type="dxa"/>
            <w:bottom w:w="0" w:type="dxa"/>
            <w:right w:w="108" w:type="dxa"/>
          </w:tblCellMar>
        </w:tblPrEx>
        <w:trPr>
          <w:trHeight w:val="397" w:hRule="atLeast"/>
          <w:jc w:val="center"/>
        </w:trPr>
        <w:tc>
          <w:tcPr>
            <w:tcW w:w="18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元素</w:t>
            </w:r>
          </w:p>
        </w:tc>
        <w:tc>
          <w:tcPr>
            <w:tcW w:w="17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Cu+Ag</w:t>
            </w:r>
          </w:p>
        </w:tc>
        <w:tc>
          <w:tcPr>
            <w:tcW w:w="1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Ag</w:t>
            </w:r>
          </w:p>
        </w:tc>
        <w:tc>
          <w:tcPr>
            <w:tcW w:w="1460"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1"/>
                <w:szCs w:val="21"/>
              </w:rPr>
            </w:pPr>
            <w:r>
              <w:rPr>
                <w:rFonts w:hint="eastAsia" w:ascii="宋体" w:hAnsi="宋体" w:cs="宋体"/>
                <w:kern w:val="0"/>
                <w:sz w:val="21"/>
                <w:szCs w:val="21"/>
              </w:rPr>
              <w:t>Bi</w:t>
            </w:r>
          </w:p>
        </w:tc>
        <w:tc>
          <w:tcPr>
            <w:tcW w:w="134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1"/>
                <w:szCs w:val="21"/>
              </w:rPr>
            </w:pPr>
            <w:r>
              <w:rPr>
                <w:rFonts w:hint="eastAsia" w:ascii="宋体" w:hAnsi="宋体" w:cs="宋体"/>
                <w:kern w:val="0"/>
                <w:sz w:val="21"/>
                <w:szCs w:val="21"/>
              </w:rPr>
              <w:t>Sb</w:t>
            </w:r>
          </w:p>
        </w:tc>
      </w:tr>
      <w:tr>
        <w:tblPrEx>
          <w:tblCellMar>
            <w:top w:w="0" w:type="dxa"/>
            <w:left w:w="108" w:type="dxa"/>
            <w:bottom w:w="0" w:type="dxa"/>
            <w:right w:w="108" w:type="dxa"/>
          </w:tblCellMar>
        </w:tblPrEx>
        <w:trPr>
          <w:trHeight w:val="397" w:hRule="atLeast"/>
          <w:jc w:val="center"/>
        </w:trPr>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标准值/%</w:t>
            </w:r>
          </w:p>
        </w:tc>
        <w:tc>
          <w:tcPr>
            <w:tcW w:w="1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≥99.5</w:t>
            </w:r>
          </w:p>
        </w:tc>
        <w:tc>
          <w:tcPr>
            <w:tcW w:w="1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0.10～0.20</w:t>
            </w:r>
          </w:p>
        </w:tc>
        <w:tc>
          <w:tcPr>
            <w:tcW w:w="1460"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1"/>
                <w:szCs w:val="21"/>
              </w:rPr>
            </w:pPr>
            <w:r>
              <w:rPr>
                <w:rFonts w:hint="eastAsia" w:ascii="宋体" w:hAnsi="宋体" w:cs="宋体"/>
                <w:kern w:val="0"/>
                <w:sz w:val="21"/>
                <w:szCs w:val="21"/>
              </w:rPr>
              <w:t>≤0.002</w:t>
            </w:r>
          </w:p>
        </w:tc>
        <w:tc>
          <w:tcPr>
            <w:tcW w:w="134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1"/>
                <w:szCs w:val="21"/>
              </w:rPr>
            </w:pPr>
            <w:r>
              <w:rPr>
                <w:rFonts w:hint="eastAsia" w:ascii="宋体" w:hAnsi="宋体" w:cs="宋体"/>
                <w:kern w:val="0"/>
                <w:sz w:val="21"/>
                <w:szCs w:val="21"/>
              </w:rPr>
              <w:t>≤0.005</w:t>
            </w:r>
          </w:p>
        </w:tc>
      </w:tr>
      <w:tr>
        <w:tblPrEx>
          <w:tblCellMar>
            <w:top w:w="0" w:type="dxa"/>
            <w:left w:w="108" w:type="dxa"/>
            <w:bottom w:w="0" w:type="dxa"/>
            <w:right w:w="108" w:type="dxa"/>
          </w:tblCellMar>
        </w:tblPrEx>
        <w:trPr>
          <w:trHeight w:val="397" w:hRule="atLeast"/>
          <w:jc w:val="center"/>
        </w:trPr>
        <w:tc>
          <w:tcPr>
            <w:tcW w:w="18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实际值/%</w:t>
            </w:r>
          </w:p>
        </w:tc>
        <w:tc>
          <w:tcPr>
            <w:tcW w:w="1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99.6</w:t>
            </w:r>
            <w:r>
              <w:rPr>
                <w:rFonts w:ascii="宋体" w:hAnsi="宋体"/>
                <w:sz w:val="21"/>
                <w:szCs w:val="21"/>
              </w:rPr>
              <w:t>～</w:t>
            </w:r>
            <w:r>
              <w:rPr>
                <w:rFonts w:hint="eastAsia" w:ascii="宋体" w:hAnsi="宋体" w:cs="宋体"/>
                <w:kern w:val="0"/>
                <w:sz w:val="21"/>
                <w:szCs w:val="21"/>
              </w:rPr>
              <w:t>99.75</w:t>
            </w:r>
          </w:p>
        </w:tc>
        <w:tc>
          <w:tcPr>
            <w:tcW w:w="1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0.116～0.155</w:t>
            </w:r>
          </w:p>
        </w:tc>
        <w:tc>
          <w:tcPr>
            <w:tcW w:w="1460"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1"/>
                <w:szCs w:val="21"/>
              </w:rPr>
            </w:pPr>
            <w:r>
              <w:rPr>
                <w:rFonts w:hint="eastAsia" w:ascii="宋体" w:hAnsi="宋体" w:cs="宋体"/>
                <w:kern w:val="0"/>
                <w:sz w:val="21"/>
                <w:szCs w:val="21"/>
              </w:rPr>
              <w:t>≤0.002</w:t>
            </w:r>
          </w:p>
        </w:tc>
        <w:tc>
          <w:tcPr>
            <w:tcW w:w="134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1"/>
                <w:szCs w:val="21"/>
              </w:rPr>
            </w:pPr>
            <w:r>
              <w:rPr>
                <w:rFonts w:hint="eastAsia" w:ascii="宋体" w:hAnsi="宋体" w:cs="宋体"/>
                <w:kern w:val="0"/>
                <w:sz w:val="21"/>
                <w:szCs w:val="21"/>
              </w:rPr>
              <w:t>≤0.005</w:t>
            </w:r>
          </w:p>
        </w:tc>
      </w:tr>
      <w:tr>
        <w:tblPrEx>
          <w:tblCellMar>
            <w:top w:w="0" w:type="dxa"/>
            <w:left w:w="108" w:type="dxa"/>
            <w:bottom w:w="0" w:type="dxa"/>
            <w:right w:w="108" w:type="dxa"/>
          </w:tblCellMar>
        </w:tblPrEx>
        <w:trPr>
          <w:trHeight w:val="397" w:hRule="atLeast"/>
          <w:jc w:val="center"/>
        </w:trPr>
        <w:tc>
          <w:tcPr>
            <w:tcW w:w="188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sz w:val="21"/>
                <w:szCs w:val="21"/>
              </w:rPr>
            </w:pPr>
            <w:r>
              <w:rPr>
                <w:rFonts w:hint="eastAsia" w:ascii="宋体" w:hAnsi="宋体"/>
                <w:sz w:val="21"/>
                <w:szCs w:val="21"/>
              </w:rPr>
              <w:t>统计数（个）</w:t>
            </w:r>
          </w:p>
        </w:tc>
        <w:tc>
          <w:tcPr>
            <w:tcW w:w="17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152</w:t>
            </w:r>
          </w:p>
        </w:tc>
        <w:tc>
          <w:tcPr>
            <w:tcW w:w="1948" w:type="dxa"/>
            <w:tcBorders>
              <w:top w:val="nil"/>
              <w:left w:val="nil"/>
              <w:bottom w:val="single" w:color="auto" w:sz="4" w:space="0"/>
              <w:right w:val="single" w:color="auto" w:sz="4" w:space="0"/>
            </w:tcBorders>
            <w:shd w:val="clear" w:color="auto" w:fill="auto"/>
            <w:vAlign w:val="center"/>
          </w:tcPr>
          <w:p>
            <w:pPr>
              <w:jc w:val="center"/>
              <w:rPr>
                <w:rFonts w:ascii="宋体" w:hAnsi="宋体"/>
                <w:sz w:val="21"/>
                <w:szCs w:val="21"/>
              </w:rPr>
            </w:pPr>
            <w:r>
              <w:rPr>
                <w:rFonts w:hint="eastAsia" w:ascii="宋体" w:hAnsi="宋体"/>
                <w:sz w:val="21"/>
                <w:szCs w:val="21"/>
              </w:rPr>
              <w:t>152</w:t>
            </w: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152</w:t>
            </w:r>
          </w:p>
        </w:tc>
        <w:tc>
          <w:tcPr>
            <w:tcW w:w="134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宋体" w:hAnsi="宋体" w:cs="宋体"/>
                <w:kern w:val="0"/>
                <w:sz w:val="21"/>
                <w:szCs w:val="21"/>
              </w:rPr>
              <w:t>152</w:t>
            </w:r>
          </w:p>
        </w:tc>
      </w:tr>
      <w:tr>
        <w:tblPrEx>
          <w:tblCellMar>
            <w:top w:w="0" w:type="dxa"/>
            <w:left w:w="108" w:type="dxa"/>
            <w:bottom w:w="0" w:type="dxa"/>
            <w:right w:w="108" w:type="dxa"/>
          </w:tblCellMar>
        </w:tblPrEx>
        <w:trPr>
          <w:trHeight w:val="397" w:hRule="atLeast"/>
          <w:jc w:val="center"/>
        </w:trPr>
        <w:tc>
          <w:tcPr>
            <w:tcW w:w="188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sz w:val="21"/>
                <w:szCs w:val="21"/>
              </w:rPr>
            </w:pPr>
            <w:r>
              <w:rPr>
                <w:rFonts w:hint="eastAsia" w:ascii="宋体" w:hAnsi="宋体"/>
                <w:sz w:val="21"/>
                <w:szCs w:val="21"/>
              </w:rPr>
              <w:t>合格数（个）</w:t>
            </w:r>
          </w:p>
        </w:tc>
        <w:tc>
          <w:tcPr>
            <w:tcW w:w="1786" w:type="dxa"/>
            <w:tcBorders>
              <w:top w:val="nil"/>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kern w:val="0"/>
                <w:sz w:val="21"/>
                <w:szCs w:val="21"/>
              </w:rPr>
              <w:t>152</w:t>
            </w:r>
          </w:p>
        </w:tc>
        <w:tc>
          <w:tcPr>
            <w:tcW w:w="1948" w:type="dxa"/>
            <w:tcBorders>
              <w:top w:val="nil"/>
              <w:left w:val="nil"/>
              <w:bottom w:val="single" w:color="auto" w:sz="4" w:space="0"/>
              <w:right w:val="single" w:color="auto" w:sz="4" w:space="0"/>
            </w:tcBorders>
            <w:shd w:val="clear" w:color="auto" w:fill="auto"/>
            <w:vAlign w:val="center"/>
          </w:tcPr>
          <w:p>
            <w:pPr>
              <w:jc w:val="center"/>
              <w:rPr>
                <w:sz w:val="21"/>
                <w:szCs w:val="21"/>
              </w:rPr>
            </w:pPr>
            <w:r>
              <w:rPr>
                <w:rFonts w:hint="eastAsia" w:ascii="宋体" w:hAnsi="宋体" w:cs="宋体"/>
                <w:kern w:val="0"/>
                <w:sz w:val="21"/>
                <w:szCs w:val="21"/>
              </w:rPr>
              <w:t>152</w:t>
            </w:r>
          </w:p>
        </w:tc>
        <w:tc>
          <w:tcPr>
            <w:tcW w:w="1460"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ascii="宋体" w:hAnsi="宋体" w:cs="宋体"/>
                <w:kern w:val="0"/>
                <w:sz w:val="21"/>
                <w:szCs w:val="21"/>
              </w:rPr>
              <w:t>152</w:t>
            </w:r>
          </w:p>
        </w:tc>
        <w:tc>
          <w:tcPr>
            <w:tcW w:w="134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宋体" w:hAnsi="宋体" w:cs="宋体"/>
                <w:kern w:val="0"/>
                <w:sz w:val="21"/>
                <w:szCs w:val="21"/>
              </w:rPr>
              <w:t>152</w:t>
            </w:r>
          </w:p>
        </w:tc>
      </w:tr>
      <w:tr>
        <w:tblPrEx>
          <w:tblCellMar>
            <w:top w:w="0" w:type="dxa"/>
            <w:left w:w="108" w:type="dxa"/>
            <w:bottom w:w="0" w:type="dxa"/>
            <w:right w:w="108" w:type="dxa"/>
          </w:tblCellMar>
        </w:tblPrEx>
        <w:trPr>
          <w:trHeight w:val="397" w:hRule="atLeast"/>
          <w:jc w:val="center"/>
        </w:trPr>
        <w:tc>
          <w:tcPr>
            <w:tcW w:w="188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sz w:val="21"/>
                <w:szCs w:val="21"/>
              </w:rPr>
            </w:pPr>
            <w:r>
              <w:rPr>
                <w:rFonts w:hint="eastAsia" w:ascii="宋体" w:hAnsi="宋体"/>
                <w:sz w:val="21"/>
                <w:szCs w:val="21"/>
              </w:rPr>
              <w:t>合格率（%）</w:t>
            </w:r>
          </w:p>
        </w:tc>
        <w:tc>
          <w:tcPr>
            <w:tcW w:w="1786" w:type="dxa"/>
            <w:tcBorders>
              <w:top w:val="nil"/>
              <w:left w:val="nil"/>
              <w:bottom w:val="single" w:color="auto" w:sz="4" w:space="0"/>
              <w:right w:val="single" w:color="auto" w:sz="4" w:space="0"/>
            </w:tcBorders>
            <w:shd w:val="clear" w:color="auto" w:fill="auto"/>
            <w:vAlign w:val="center"/>
          </w:tcPr>
          <w:p>
            <w:pPr>
              <w:jc w:val="center"/>
              <w:rPr>
                <w:rFonts w:ascii="宋体" w:hAnsi="宋体"/>
                <w:sz w:val="21"/>
                <w:szCs w:val="21"/>
              </w:rPr>
            </w:pPr>
            <w:r>
              <w:rPr>
                <w:rFonts w:hint="eastAsia" w:ascii="宋体" w:hAnsi="宋体"/>
                <w:sz w:val="21"/>
                <w:szCs w:val="21"/>
              </w:rPr>
              <w:t>100</w:t>
            </w:r>
          </w:p>
        </w:tc>
        <w:tc>
          <w:tcPr>
            <w:tcW w:w="1948" w:type="dxa"/>
            <w:tcBorders>
              <w:top w:val="nil"/>
              <w:left w:val="nil"/>
              <w:bottom w:val="single" w:color="auto" w:sz="4" w:space="0"/>
              <w:right w:val="single" w:color="auto" w:sz="4" w:space="0"/>
            </w:tcBorders>
            <w:shd w:val="clear" w:color="auto" w:fill="auto"/>
            <w:vAlign w:val="center"/>
          </w:tcPr>
          <w:p>
            <w:pPr>
              <w:jc w:val="center"/>
              <w:rPr>
                <w:rFonts w:ascii="宋体" w:hAnsi="宋体"/>
                <w:sz w:val="21"/>
                <w:szCs w:val="21"/>
              </w:rPr>
            </w:pPr>
            <w:r>
              <w:rPr>
                <w:rFonts w:hint="eastAsia" w:ascii="宋体" w:hAnsi="宋体"/>
                <w:sz w:val="21"/>
                <w:szCs w:val="21"/>
              </w:rPr>
              <w:t>100</w:t>
            </w:r>
          </w:p>
        </w:tc>
        <w:tc>
          <w:tcPr>
            <w:tcW w:w="1460"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100</w:t>
            </w:r>
          </w:p>
        </w:tc>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100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ascii="宋体" w:hAnsi="宋体"/>
          <w:sz w:val="24"/>
        </w:rPr>
      </w:pPr>
      <w:r>
        <w:rPr>
          <w:rFonts w:hint="eastAsia" w:ascii="宋体" w:hAnsi="宋体"/>
          <w:sz w:val="24"/>
        </w:rPr>
        <w:t>由上表可知，银铜TAg0.15成分控制稳定，Cu+Ag、Ag、Bi、Sb、</w:t>
      </w:r>
      <w:r>
        <w:rPr>
          <w:rFonts w:hint="eastAsia"/>
          <w:sz w:val="24"/>
        </w:rPr>
        <w:t>O</w:t>
      </w:r>
      <w:r>
        <w:rPr>
          <w:rFonts w:hint="eastAsia" w:ascii="宋体" w:hAnsi="宋体"/>
          <w:sz w:val="24"/>
        </w:rPr>
        <w:t>元素含量均在GB/T 5231标准指标要求范围内，合格率全部为100%，属于技术成熟稳定铜合金。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3.2.4.3  平整度</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sz w:val="24"/>
          <w:lang w:val="en-US" w:eastAsia="zh-CN"/>
        </w:rPr>
      </w:pPr>
      <w:r>
        <w:rPr>
          <w:rFonts w:hint="eastAsia" w:ascii="宋体" w:hAnsi="宋体"/>
          <w:sz w:val="24"/>
          <w:lang w:val="en-US" w:eastAsia="zh-CN"/>
        </w:rPr>
        <w:t>板材平整度实际检测数据统计如表4所示。</w:t>
      </w:r>
    </w:p>
    <w:p>
      <w:pPr>
        <w:spacing w:line="360" w:lineRule="auto"/>
        <w:ind w:firstLine="480" w:firstLineChars="200"/>
        <w:jc w:val="center"/>
        <w:rPr>
          <w:rFonts w:ascii="黑体" w:eastAsia="黑体"/>
          <w:color w:val="FF0000"/>
          <w:sz w:val="24"/>
        </w:rPr>
      </w:pPr>
      <w:r>
        <w:rPr>
          <w:rFonts w:hint="eastAsia" w:ascii="宋体" w:hAnsi="宋体"/>
          <w:sz w:val="24"/>
        </w:rPr>
        <w:t>表</w:t>
      </w:r>
      <w:r>
        <w:rPr>
          <w:rFonts w:hint="eastAsia" w:ascii="宋体" w:hAnsi="宋体"/>
          <w:sz w:val="24"/>
          <w:lang w:val="en-US" w:eastAsia="zh-CN"/>
        </w:rPr>
        <w:t>4</w:t>
      </w:r>
      <w:r>
        <w:rPr>
          <w:rFonts w:hint="eastAsia" w:ascii="宋体" w:hAnsi="宋体"/>
          <w:sz w:val="24"/>
        </w:rPr>
        <w:t xml:space="preserve">   板材平整度实测统计</w:t>
      </w:r>
    </w:p>
    <w:tbl>
      <w:tblPr>
        <w:tblStyle w:val="17"/>
        <w:tblW w:w="85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3307"/>
        <w:gridCol w:w="1704"/>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03"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平整度标准值</w:t>
            </w:r>
          </w:p>
          <w:p>
            <w:pPr>
              <w:jc w:val="center"/>
              <w:rPr>
                <w:rFonts w:hint="eastAsia" w:ascii="宋体" w:hAnsi="宋体" w:eastAsia="宋体" w:cs="宋体"/>
                <w:sz w:val="21"/>
                <w:szCs w:val="21"/>
              </w:rPr>
            </w:pPr>
            <w:r>
              <w:rPr>
                <w:rFonts w:hint="eastAsia" w:ascii="宋体" w:hAnsi="宋体" w:eastAsia="宋体" w:cs="宋体"/>
                <w:sz w:val="21"/>
                <w:szCs w:val="21"/>
              </w:rPr>
              <w:t>mm/m</w:t>
            </w:r>
          </w:p>
        </w:tc>
        <w:tc>
          <w:tcPr>
            <w:tcW w:w="6698" w:type="dxa"/>
            <w:gridSpan w:val="3"/>
            <w:tcBorders>
              <w:top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普通级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03" w:type="dxa"/>
            <w:vMerge w:val="continue"/>
            <w:tcBorders>
              <w:bottom w:val="single" w:color="auto" w:sz="8" w:space="0"/>
            </w:tcBorders>
            <w:vAlign w:val="center"/>
          </w:tcPr>
          <w:p>
            <w:pPr>
              <w:jc w:val="center"/>
              <w:rPr>
                <w:rFonts w:hint="eastAsia" w:ascii="宋体" w:hAnsi="宋体" w:eastAsia="宋体" w:cs="宋体"/>
                <w:sz w:val="21"/>
                <w:szCs w:val="21"/>
              </w:rPr>
            </w:pPr>
          </w:p>
        </w:tc>
        <w:tc>
          <w:tcPr>
            <w:tcW w:w="330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平整度实测值,mm/m</w:t>
            </w:r>
          </w:p>
        </w:tc>
        <w:tc>
          <w:tcPr>
            <w:tcW w:w="1704"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频数ni</w:t>
            </w:r>
          </w:p>
        </w:tc>
        <w:tc>
          <w:tcPr>
            <w:tcW w:w="168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频率fi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03" w:type="dxa"/>
            <w:vMerge w:val="restart"/>
            <w:tcBorders>
              <w:top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330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5</w:t>
            </w:r>
          </w:p>
        </w:tc>
        <w:tc>
          <w:tcPr>
            <w:tcW w:w="1704"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1687" w:type="dxa"/>
            <w:tcBorders>
              <w:top w:val="single" w:color="auto" w:sz="8" w:space="0"/>
              <w:bottom w:val="single" w:color="auto" w:sz="8" w:space="0"/>
            </w:tcBorders>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0.0679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03" w:type="dxa"/>
            <w:vMerge w:val="continue"/>
            <w:tcBorders>
              <w:top w:val="single" w:color="auto" w:sz="8" w:space="0"/>
            </w:tcBorders>
            <w:vAlign w:val="center"/>
          </w:tcPr>
          <w:p>
            <w:pPr>
              <w:jc w:val="center"/>
              <w:rPr>
                <w:rFonts w:hint="eastAsia" w:ascii="宋体" w:hAnsi="宋体" w:eastAsia="宋体" w:cs="宋体"/>
                <w:sz w:val="21"/>
                <w:szCs w:val="21"/>
              </w:rPr>
            </w:pPr>
          </w:p>
        </w:tc>
        <w:tc>
          <w:tcPr>
            <w:tcW w:w="3307" w:type="dxa"/>
            <w:tcBorders>
              <w:top w:val="single" w:color="auto" w:sz="8" w:space="0"/>
              <w:bottom w:val="single" w:color="auto" w:sz="8" w:space="0"/>
            </w:tcBorders>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sz w:val="21"/>
                <w:szCs w:val="21"/>
              </w:rPr>
              <w:t>5</w:t>
            </w:r>
            <w:r>
              <w:rPr>
                <w:rFonts w:hint="eastAsia" w:ascii="宋体" w:hAnsi="宋体" w:eastAsia="宋体" w:cs="宋体"/>
                <w:kern w:val="0"/>
                <w:sz w:val="21"/>
                <w:szCs w:val="21"/>
              </w:rPr>
              <w:t>～</w:t>
            </w:r>
            <w:r>
              <w:rPr>
                <w:rFonts w:hint="eastAsia" w:ascii="宋体" w:hAnsi="宋体" w:eastAsia="宋体" w:cs="宋体"/>
                <w:sz w:val="21"/>
                <w:szCs w:val="21"/>
              </w:rPr>
              <w:t>7</w:t>
            </w:r>
          </w:p>
        </w:tc>
        <w:tc>
          <w:tcPr>
            <w:tcW w:w="1704"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88</w:t>
            </w:r>
          </w:p>
        </w:tc>
        <w:tc>
          <w:tcPr>
            <w:tcW w:w="1687" w:type="dxa"/>
            <w:tcBorders>
              <w:top w:val="single" w:color="auto" w:sz="8" w:space="0"/>
              <w:bottom w:val="single" w:color="auto" w:sz="8" w:space="0"/>
            </w:tcBorders>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0.3321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03" w:type="dxa"/>
            <w:vMerge w:val="continue"/>
            <w:vAlign w:val="center"/>
          </w:tcPr>
          <w:p>
            <w:pPr>
              <w:jc w:val="center"/>
              <w:rPr>
                <w:rFonts w:hint="eastAsia" w:ascii="宋体" w:hAnsi="宋体" w:eastAsia="宋体" w:cs="宋体"/>
                <w:sz w:val="21"/>
                <w:szCs w:val="21"/>
              </w:rPr>
            </w:pPr>
          </w:p>
        </w:tc>
        <w:tc>
          <w:tcPr>
            <w:tcW w:w="330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7</w:t>
            </w:r>
            <w:r>
              <w:rPr>
                <w:rFonts w:hint="eastAsia" w:ascii="宋体" w:hAnsi="宋体" w:eastAsia="宋体" w:cs="宋体"/>
                <w:kern w:val="0"/>
                <w:sz w:val="21"/>
                <w:szCs w:val="21"/>
              </w:rPr>
              <w:t>～</w:t>
            </w:r>
            <w:r>
              <w:rPr>
                <w:rFonts w:hint="eastAsia" w:ascii="宋体" w:hAnsi="宋体" w:eastAsia="宋体" w:cs="宋体"/>
                <w:sz w:val="21"/>
                <w:szCs w:val="21"/>
              </w:rPr>
              <w:t>9</w:t>
            </w:r>
          </w:p>
        </w:tc>
        <w:tc>
          <w:tcPr>
            <w:tcW w:w="1704"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1687" w:type="dxa"/>
            <w:tcBorders>
              <w:top w:val="single" w:color="auto" w:sz="8" w:space="0"/>
              <w:bottom w:val="single" w:color="auto" w:sz="8" w:space="0"/>
            </w:tcBorders>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0.3773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03" w:type="dxa"/>
            <w:vMerge w:val="continue"/>
            <w:vAlign w:val="center"/>
          </w:tcPr>
          <w:p>
            <w:pPr>
              <w:jc w:val="center"/>
              <w:rPr>
                <w:rFonts w:hint="eastAsia" w:ascii="宋体" w:hAnsi="宋体" w:eastAsia="宋体" w:cs="宋体"/>
                <w:sz w:val="21"/>
                <w:szCs w:val="21"/>
              </w:rPr>
            </w:pPr>
          </w:p>
        </w:tc>
        <w:tc>
          <w:tcPr>
            <w:tcW w:w="3307" w:type="dxa"/>
            <w:tcBorders>
              <w:top w:val="single" w:color="auto" w:sz="8" w:space="0"/>
              <w:bottom w:val="single" w:color="auto" w:sz="8" w:space="0"/>
            </w:tcBorders>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sz w:val="21"/>
                <w:szCs w:val="21"/>
              </w:rPr>
              <w:t>9</w:t>
            </w:r>
            <w:r>
              <w:rPr>
                <w:rFonts w:hint="eastAsia" w:ascii="宋体" w:hAnsi="宋体" w:eastAsia="宋体" w:cs="宋体"/>
                <w:kern w:val="0"/>
                <w:sz w:val="21"/>
                <w:szCs w:val="21"/>
              </w:rPr>
              <w:t>～</w:t>
            </w:r>
            <w:r>
              <w:rPr>
                <w:rFonts w:hint="eastAsia" w:ascii="宋体" w:hAnsi="宋体" w:eastAsia="宋体" w:cs="宋体"/>
                <w:sz w:val="21"/>
                <w:szCs w:val="21"/>
              </w:rPr>
              <w:t>10</w:t>
            </w:r>
          </w:p>
        </w:tc>
        <w:tc>
          <w:tcPr>
            <w:tcW w:w="1704"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47</w:t>
            </w:r>
          </w:p>
        </w:tc>
        <w:tc>
          <w:tcPr>
            <w:tcW w:w="1687" w:type="dxa"/>
            <w:tcBorders>
              <w:top w:val="single" w:color="auto" w:sz="8" w:space="0"/>
              <w:bottom w:val="single" w:color="auto" w:sz="8" w:space="0"/>
            </w:tcBorders>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0.1774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7" w:hRule="atLeast"/>
          <w:jc w:val="center"/>
        </w:trPr>
        <w:tc>
          <w:tcPr>
            <w:tcW w:w="1803" w:type="dxa"/>
            <w:vMerge w:val="continue"/>
            <w:vAlign w:val="center"/>
          </w:tcPr>
          <w:p>
            <w:pPr>
              <w:jc w:val="center"/>
              <w:rPr>
                <w:rFonts w:hint="eastAsia" w:ascii="宋体" w:hAnsi="宋体" w:eastAsia="宋体" w:cs="宋体"/>
                <w:sz w:val="21"/>
                <w:szCs w:val="21"/>
              </w:rPr>
            </w:pPr>
          </w:p>
        </w:tc>
        <w:tc>
          <w:tcPr>
            <w:tcW w:w="330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＞10</w:t>
            </w:r>
          </w:p>
        </w:tc>
        <w:tc>
          <w:tcPr>
            <w:tcW w:w="1704"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1687" w:type="dxa"/>
            <w:tcBorders>
              <w:top w:val="single" w:color="auto" w:sz="8" w:space="0"/>
              <w:bottom w:val="single" w:color="auto" w:sz="8" w:space="0"/>
            </w:tcBorders>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0.0453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03" w:type="dxa"/>
            <w:vMerge w:val="continue"/>
            <w:tcBorders>
              <w:bottom w:val="single" w:color="auto" w:sz="8" w:space="0"/>
            </w:tcBorders>
            <w:vAlign w:val="center"/>
          </w:tcPr>
          <w:p>
            <w:pPr>
              <w:jc w:val="center"/>
              <w:rPr>
                <w:rFonts w:hint="eastAsia" w:ascii="宋体" w:hAnsi="宋体" w:eastAsia="宋体" w:cs="宋体"/>
                <w:sz w:val="21"/>
                <w:szCs w:val="21"/>
              </w:rPr>
            </w:pPr>
          </w:p>
        </w:tc>
        <w:tc>
          <w:tcPr>
            <w:tcW w:w="330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小计</w:t>
            </w:r>
          </w:p>
        </w:tc>
        <w:tc>
          <w:tcPr>
            <w:tcW w:w="1704"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265</w:t>
            </w:r>
          </w:p>
        </w:tc>
        <w:tc>
          <w:tcPr>
            <w:tcW w:w="1687" w:type="dxa"/>
            <w:tcBorders>
              <w:top w:val="single" w:color="auto" w:sz="8" w:space="0"/>
              <w:bottom w:val="single" w:color="auto" w:sz="8" w:space="0"/>
            </w:tcBorders>
            <w:vAlign w:val="center"/>
          </w:tcPr>
          <w:p>
            <w:pPr>
              <w:jc w:val="center"/>
              <w:rPr>
                <w:rFonts w:hint="default" w:ascii="宋体" w:hAnsi="宋体" w:eastAsia="宋体" w:cs="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03" w:type="dxa"/>
            <w:vMerge w:val="restart"/>
            <w:tcBorders>
              <w:top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平整度标准值</w:t>
            </w:r>
          </w:p>
          <w:p>
            <w:pPr>
              <w:jc w:val="center"/>
              <w:rPr>
                <w:rFonts w:hint="eastAsia" w:ascii="宋体" w:hAnsi="宋体" w:eastAsia="宋体" w:cs="宋体"/>
                <w:sz w:val="21"/>
                <w:szCs w:val="21"/>
              </w:rPr>
            </w:pPr>
            <w:r>
              <w:rPr>
                <w:rFonts w:hint="eastAsia" w:ascii="宋体" w:hAnsi="宋体" w:eastAsia="宋体" w:cs="宋体"/>
                <w:sz w:val="21"/>
                <w:szCs w:val="21"/>
              </w:rPr>
              <w:t>mm/m</w:t>
            </w:r>
          </w:p>
        </w:tc>
        <w:tc>
          <w:tcPr>
            <w:tcW w:w="6698" w:type="dxa"/>
            <w:gridSpan w:val="3"/>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高精级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03" w:type="dxa"/>
            <w:vMerge w:val="continue"/>
            <w:tcBorders>
              <w:bottom w:val="single" w:color="auto" w:sz="8" w:space="0"/>
            </w:tcBorders>
            <w:vAlign w:val="center"/>
          </w:tcPr>
          <w:p>
            <w:pPr>
              <w:jc w:val="center"/>
              <w:rPr>
                <w:rFonts w:hint="eastAsia" w:ascii="宋体" w:hAnsi="宋体" w:eastAsia="宋体" w:cs="宋体"/>
                <w:sz w:val="21"/>
                <w:szCs w:val="21"/>
              </w:rPr>
            </w:pPr>
          </w:p>
        </w:tc>
        <w:tc>
          <w:tcPr>
            <w:tcW w:w="330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平整度实测值,mm/m</w:t>
            </w:r>
          </w:p>
        </w:tc>
        <w:tc>
          <w:tcPr>
            <w:tcW w:w="1704"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频数ni</w:t>
            </w:r>
          </w:p>
        </w:tc>
        <w:tc>
          <w:tcPr>
            <w:tcW w:w="168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频率fi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03" w:type="dxa"/>
            <w:vMerge w:val="restart"/>
            <w:tcBorders>
              <w:top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330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3</w:t>
            </w:r>
          </w:p>
        </w:tc>
        <w:tc>
          <w:tcPr>
            <w:tcW w:w="1704"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168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0.</w:t>
            </w:r>
            <w:r>
              <w:rPr>
                <w:rFonts w:hint="eastAsia" w:ascii="宋体" w:hAnsi="宋体" w:eastAsia="宋体" w:cs="宋体"/>
                <w:sz w:val="21"/>
                <w:szCs w:val="21"/>
              </w:rPr>
              <w:t>1176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03" w:type="dxa"/>
            <w:vMerge w:val="continue"/>
            <w:vAlign w:val="center"/>
          </w:tcPr>
          <w:p>
            <w:pPr>
              <w:jc w:val="center"/>
              <w:rPr>
                <w:rFonts w:hint="eastAsia" w:ascii="宋体" w:hAnsi="宋体" w:eastAsia="宋体" w:cs="宋体"/>
                <w:sz w:val="21"/>
                <w:szCs w:val="21"/>
              </w:rPr>
            </w:pPr>
          </w:p>
        </w:tc>
        <w:tc>
          <w:tcPr>
            <w:tcW w:w="330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3</w:t>
            </w:r>
            <w:r>
              <w:rPr>
                <w:rFonts w:hint="eastAsia" w:ascii="宋体" w:hAnsi="宋体" w:eastAsia="宋体" w:cs="宋体"/>
                <w:kern w:val="0"/>
                <w:sz w:val="21"/>
                <w:szCs w:val="21"/>
              </w:rPr>
              <w:t>～</w:t>
            </w:r>
            <w:r>
              <w:rPr>
                <w:rFonts w:hint="eastAsia" w:ascii="宋体" w:hAnsi="宋体" w:eastAsia="宋体" w:cs="宋体"/>
                <w:sz w:val="21"/>
                <w:szCs w:val="21"/>
              </w:rPr>
              <w:t>4</w:t>
            </w:r>
          </w:p>
        </w:tc>
        <w:tc>
          <w:tcPr>
            <w:tcW w:w="1704"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26</w:t>
            </w:r>
          </w:p>
        </w:tc>
        <w:tc>
          <w:tcPr>
            <w:tcW w:w="168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0.</w:t>
            </w:r>
            <w:r>
              <w:rPr>
                <w:rFonts w:hint="eastAsia" w:ascii="宋体" w:hAnsi="宋体" w:eastAsia="宋体" w:cs="宋体"/>
                <w:sz w:val="21"/>
                <w:szCs w:val="21"/>
              </w:rPr>
              <w:t>3824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03" w:type="dxa"/>
            <w:vMerge w:val="continue"/>
            <w:vAlign w:val="center"/>
          </w:tcPr>
          <w:p>
            <w:pPr>
              <w:jc w:val="center"/>
              <w:rPr>
                <w:rFonts w:hint="eastAsia" w:ascii="宋体" w:hAnsi="宋体" w:eastAsia="宋体" w:cs="宋体"/>
                <w:sz w:val="21"/>
                <w:szCs w:val="21"/>
              </w:rPr>
            </w:pPr>
          </w:p>
        </w:tc>
        <w:tc>
          <w:tcPr>
            <w:tcW w:w="3307" w:type="dxa"/>
            <w:tcBorders>
              <w:top w:val="single" w:color="auto" w:sz="8" w:space="0"/>
              <w:bottom w:val="single" w:color="auto" w:sz="8" w:space="0"/>
            </w:tcBorders>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sz w:val="21"/>
                <w:szCs w:val="21"/>
              </w:rPr>
              <w:t>4</w:t>
            </w:r>
            <w:r>
              <w:rPr>
                <w:rFonts w:hint="eastAsia" w:ascii="宋体" w:hAnsi="宋体" w:eastAsia="宋体" w:cs="宋体"/>
                <w:kern w:val="0"/>
                <w:sz w:val="21"/>
                <w:szCs w:val="21"/>
              </w:rPr>
              <w:t>～</w:t>
            </w:r>
            <w:r>
              <w:rPr>
                <w:rFonts w:hint="eastAsia" w:ascii="宋体" w:hAnsi="宋体" w:eastAsia="宋体" w:cs="宋体"/>
                <w:sz w:val="21"/>
                <w:szCs w:val="21"/>
              </w:rPr>
              <w:t>5</w:t>
            </w:r>
          </w:p>
        </w:tc>
        <w:tc>
          <w:tcPr>
            <w:tcW w:w="1704"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31</w:t>
            </w:r>
          </w:p>
        </w:tc>
        <w:tc>
          <w:tcPr>
            <w:tcW w:w="168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0.</w:t>
            </w:r>
            <w:r>
              <w:rPr>
                <w:rFonts w:hint="eastAsia" w:ascii="宋体" w:hAnsi="宋体" w:eastAsia="宋体" w:cs="宋体"/>
                <w:sz w:val="21"/>
                <w:szCs w:val="21"/>
              </w:rPr>
              <w:t>4559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03" w:type="dxa"/>
            <w:vMerge w:val="continue"/>
            <w:vAlign w:val="center"/>
          </w:tcPr>
          <w:p>
            <w:pPr>
              <w:jc w:val="center"/>
              <w:rPr>
                <w:rFonts w:hint="eastAsia" w:ascii="宋体" w:hAnsi="宋体" w:eastAsia="宋体" w:cs="宋体"/>
                <w:sz w:val="21"/>
                <w:szCs w:val="21"/>
              </w:rPr>
            </w:pPr>
          </w:p>
        </w:tc>
        <w:tc>
          <w:tcPr>
            <w:tcW w:w="330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＞5</w:t>
            </w:r>
          </w:p>
        </w:tc>
        <w:tc>
          <w:tcPr>
            <w:tcW w:w="1704"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68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0.0</w:t>
            </w:r>
            <w:r>
              <w:rPr>
                <w:rFonts w:hint="eastAsia" w:ascii="宋体" w:hAnsi="宋体" w:eastAsia="宋体" w:cs="宋体"/>
                <w:sz w:val="21"/>
                <w:szCs w:val="21"/>
              </w:rPr>
              <w:t>441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03" w:type="dxa"/>
            <w:vMerge w:val="continue"/>
            <w:tcBorders>
              <w:bottom w:val="single" w:color="auto" w:sz="8" w:space="0"/>
            </w:tcBorders>
            <w:vAlign w:val="center"/>
          </w:tcPr>
          <w:p>
            <w:pPr>
              <w:jc w:val="center"/>
              <w:rPr>
                <w:rFonts w:hint="eastAsia" w:ascii="宋体" w:hAnsi="宋体" w:eastAsia="宋体" w:cs="宋体"/>
                <w:sz w:val="21"/>
                <w:szCs w:val="21"/>
              </w:rPr>
            </w:pPr>
          </w:p>
        </w:tc>
        <w:tc>
          <w:tcPr>
            <w:tcW w:w="330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小计</w:t>
            </w:r>
          </w:p>
        </w:tc>
        <w:tc>
          <w:tcPr>
            <w:tcW w:w="1704"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68</w:t>
            </w:r>
          </w:p>
        </w:tc>
        <w:tc>
          <w:tcPr>
            <w:tcW w:w="1687" w:type="dxa"/>
            <w:tcBorders>
              <w:top w:val="single" w:color="auto" w:sz="8" w:space="0"/>
              <w:bottom w:val="single" w:color="auto" w:sz="8" w:space="0"/>
            </w:tcBorders>
            <w:vAlign w:val="center"/>
          </w:tcPr>
          <w:p>
            <w:pPr>
              <w:jc w:val="center"/>
              <w:rPr>
                <w:rFonts w:hint="default" w:ascii="宋体" w:hAnsi="宋体" w:eastAsia="宋体" w:cs="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03" w:type="dxa"/>
            <w:vMerge w:val="restart"/>
            <w:tcBorders>
              <w:top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330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总数</w:t>
            </w:r>
          </w:p>
        </w:tc>
        <w:tc>
          <w:tcPr>
            <w:tcW w:w="1704"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合格数</w:t>
            </w:r>
          </w:p>
        </w:tc>
        <w:tc>
          <w:tcPr>
            <w:tcW w:w="1687" w:type="dxa"/>
            <w:tcBorders>
              <w:top w:val="single" w:color="auto" w:sz="8" w:space="0"/>
              <w:bottom w:val="single" w:color="auto" w:sz="8" w:space="0"/>
            </w:tcBorders>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合格率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03" w:type="dxa"/>
            <w:vMerge w:val="continue"/>
            <w:vAlign w:val="center"/>
          </w:tcPr>
          <w:p>
            <w:pPr>
              <w:jc w:val="center"/>
              <w:rPr>
                <w:rFonts w:hint="eastAsia" w:ascii="宋体" w:hAnsi="宋体" w:eastAsia="宋体" w:cs="宋体"/>
                <w:sz w:val="21"/>
                <w:szCs w:val="21"/>
              </w:rPr>
            </w:pPr>
          </w:p>
        </w:tc>
        <w:tc>
          <w:tcPr>
            <w:tcW w:w="330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333</w:t>
            </w:r>
          </w:p>
        </w:tc>
        <w:tc>
          <w:tcPr>
            <w:tcW w:w="1704"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317</w:t>
            </w:r>
          </w:p>
        </w:tc>
        <w:tc>
          <w:tcPr>
            <w:tcW w:w="1687" w:type="dxa"/>
            <w:tcBorders>
              <w:top w:val="single" w:color="auto" w:sz="8" w:space="0"/>
              <w:bottom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95.19</w:t>
            </w:r>
            <w:r>
              <w:rPr>
                <w:rFonts w:hint="eastAsia" w:ascii="宋体" w:hAnsi="宋体" w:cs="宋体"/>
                <w:sz w:val="21"/>
                <w:szCs w:val="21"/>
                <w:lang w:val="en-US" w:eastAsia="zh-CN"/>
              </w:rPr>
              <w:t>%</w:t>
            </w:r>
          </w:p>
        </w:tc>
      </w:tr>
    </w:tbl>
    <w:p>
      <w:pPr>
        <w:spacing w:beforeLines="50" w:line="360" w:lineRule="auto"/>
        <w:ind w:firstLine="480" w:firstLineChars="200"/>
        <w:rPr>
          <w:rFonts w:ascii="宋体" w:hAnsi="宋体"/>
          <w:b/>
          <w:sz w:val="24"/>
        </w:rPr>
      </w:pPr>
      <w:r>
        <w:rPr>
          <w:rFonts w:hint="eastAsia" w:ascii="宋体" w:hAnsi="宋体"/>
          <w:sz w:val="24"/>
        </w:rPr>
        <w:t>从表5板材平整度实测统计和计算结果可知，板材的平整度合格率为95.19%，因此该标准中板材平整度指标制定合理。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3.2.4.5 力学性能</w:t>
      </w:r>
    </w:p>
    <w:p>
      <w:pPr>
        <w:spacing w:line="360" w:lineRule="auto"/>
        <w:ind w:firstLine="480" w:firstLineChars="200"/>
        <w:rPr>
          <w:rFonts w:ascii="宋体" w:hAnsi="宋体"/>
          <w:b w:val="0"/>
          <w:bCs/>
          <w:sz w:val="24"/>
        </w:rPr>
      </w:pPr>
      <w:r>
        <w:rPr>
          <w:rFonts w:hint="eastAsia" w:ascii="宋体" w:hAnsi="宋体"/>
          <w:b w:val="0"/>
          <w:bCs/>
          <w:sz w:val="24"/>
        </w:rPr>
        <w:t>（1）</w:t>
      </w:r>
      <w:r>
        <w:rPr>
          <w:rFonts w:hint="eastAsia" w:ascii="宋体" w:hAnsi="宋体" w:cs="宋体"/>
          <w:b w:val="0"/>
          <w:bCs/>
          <w:sz w:val="24"/>
        </w:rPr>
        <w:t>T2（</w:t>
      </w:r>
      <w:r>
        <w:rPr>
          <w:rFonts w:ascii="宋体" w:hAnsi="宋体" w:cs="宋体"/>
          <w:b w:val="0"/>
          <w:bCs/>
          <w:sz w:val="24"/>
        </w:rPr>
        <w:t>T11050</w:t>
      </w:r>
      <w:r>
        <w:rPr>
          <w:rFonts w:hint="eastAsia" w:ascii="宋体" w:hAnsi="宋体" w:cs="宋体"/>
          <w:b w:val="0"/>
          <w:bCs/>
          <w:sz w:val="24"/>
        </w:rPr>
        <w:t>）</w:t>
      </w:r>
      <w:r>
        <w:rPr>
          <w:rFonts w:hint="eastAsia" w:ascii="宋体" w:hAnsi="宋体"/>
          <w:b w:val="0"/>
          <w:bCs/>
          <w:sz w:val="24"/>
        </w:rPr>
        <w:t>板材力学性能</w:t>
      </w:r>
    </w:p>
    <w:p>
      <w:pPr>
        <w:pStyle w:val="16"/>
        <w:spacing w:before="0" w:beforeAutospacing="0" w:after="0" w:afterAutospacing="0" w:line="360" w:lineRule="auto"/>
        <w:ind w:firstLine="482"/>
      </w:pPr>
      <w:r>
        <w:rPr>
          <w:rFonts w:hint="eastAsia"/>
        </w:rPr>
        <w:t>T2（</w:t>
      </w:r>
      <w:r>
        <w:t>T11050</w:t>
      </w:r>
      <w:r>
        <w:rPr>
          <w:rFonts w:hint="eastAsia"/>
        </w:rPr>
        <w:t>）板材H04态数据统计如表</w:t>
      </w:r>
      <w:r>
        <w:rPr>
          <w:rFonts w:hint="eastAsia"/>
          <w:lang w:val="en-US" w:eastAsia="zh-CN"/>
        </w:rPr>
        <w:t>5</w:t>
      </w:r>
      <w:r>
        <w:rPr>
          <w:rFonts w:hint="eastAsia"/>
        </w:rPr>
        <w:t>，数据分布直方图如图 1所示。</w:t>
      </w:r>
    </w:p>
    <w:p>
      <w:pPr>
        <w:pStyle w:val="16"/>
        <w:spacing w:before="0" w:beforeAutospacing="0" w:after="0" w:afterAutospacing="0" w:line="360" w:lineRule="auto"/>
        <w:jc w:val="center"/>
      </w:pPr>
      <w:r>
        <w:rPr>
          <w:rFonts w:hint="eastAsia"/>
        </w:rPr>
        <w:t>表</w:t>
      </w:r>
      <w:r>
        <w:rPr>
          <w:rFonts w:hint="eastAsia"/>
          <w:lang w:val="en-US" w:eastAsia="zh-CN"/>
        </w:rPr>
        <w:t>5</w:t>
      </w:r>
      <w:r>
        <w:rPr>
          <w:rFonts w:hint="eastAsia"/>
        </w:rPr>
        <w:t xml:space="preserve">  T2板材布氏硬度(HBW)频数和频率分布表</w:t>
      </w:r>
    </w:p>
    <w:tbl>
      <w:tblPr>
        <w:tblStyle w:val="17"/>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976"/>
        <w:gridCol w:w="1907"/>
        <w:gridCol w:w="185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组号</w:t>
            </w:r>
          </w:p>
        </w:tc>
        <w:tc>
          <w:tcPr>
            <w:tcW w:w="1976" w:type="dxa"/>
            <w:vAlign w:val="center"/>
          </w:tcPr>
          <w:p>
            <w:pPr>
              <w:jc w:val="center"/>
              <w:rPr>
                <w:rFonts w:ascii="宋体" w:hAnsi="宋体" w:cs="宋体"/>
                <w:szCs w:val="21"/>
              </w:rPr>
            </w:pPr>
            <w:r>
              <w:rPr>
                <w:rFonts w:hint="eastAsia" w:ascii="宋体" w:hAnsi="宋体" w:cs="宋体"/>
                <w:szCs w:val="21"/>
              </w:rPr>
              <w:t>区间</w:t>
            </w:r>
          </w:p>
        </w:tc>
        <w:tc>
          <w:tcPr>
            <w:tcW w:w="1907" w:type="dxa"/>
            <w:vAlign w:val="center"/>
          </w:tcPr>
          <w:p>
            <w:pPr>
              <w:jc w:val="center"/>
              <w:rPr>
                <w:rFonts w:ascii="宋体" w:hAnsi="宋体" w:cs="宋体"/>
                <w:szCs w:val="21"/>
              </w:rPr>
            </w:pPr>
            <w:r>
              <w:rPr>
                <w:rFonts w:hint="eastAsia" w:ascii="宋体" w:hAnsi="宋体" w:cs="宋体"/>
                <w:szCs w:val="21"/>
              </w:rPr>
              <w:t>组中值X＇i</w:t>
            </w:r>
          </w:p>
        </w:tc>
        <w:tc>
          <w:tcPr>
            <w:tcW w:w="1850" w:type="dxa"/>
            <w:vAlign w:val="center"/>
          </w:tcPr>
          <w:p>
            <w:pPr>
              <w:jc w:val="center"/>
              <w:rPr>
                <w:rFonts w:ascii="宋体" w:hAnsi="宋体" w:cs="宋体"/>
                <w:szCs w:val="21"/>
              </w:rPr>
            </w:pPr>
            <w:r>
              <w:rPr>
                <w:rFonts w:hint="eastAsia" w:ascii="宋体" w:hAnsi="宋体" w:cs="宋体"/>
                <w:szCs w:val="21"/>
              </w:rPr>
              <w:t>频数ni</w:t>
            </w:r>
          </w:p>
        </w:tc>
        <w:tc>
          <w:tcPr>
            <w:tcW w:w="1843" w:type="dxa"/>
            <w:vAlign w:val="center"/>
          </w:tcPr>
          <w:p>
            <w:pPr>
              <w:jc w:val="center"/>
              <w:rPr>
                <w:rFonts w:ascii="宋体" w:hAnsi="宋体" w:cs="宋体"/>
                <w:szCs w:val="21"/>
              </w:rPr>
            </w:pPr>
            <w:r>
              <w:rPr>
                <w:rFonts w:hint="eastAsia" w:ascii="宋体" w:hAnsi="宋体" w:cs="宋体"/>
                <w:szCs w:val="21"/>
              </w:rPr>
              <w:t>频率fi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1</w:t>
            </w:r>
          </w:p>
        </w:tc>
        <w:tc>
          <w:tcPr>
            <w:tcW w:w="1976" w:type="dxa"/>
            <w:vAlign w:val="center"/>
          </w:tcPr>
          <w:p>
            <w:pPr>
              <w:jc w:val="center"/>
              <w:rPr>
                <w:rFonts w:ascii="宋体" w:hAnsi="宋体" w:cs="宋体"/>
                <w:szCs w:val="21"/>
              </w:rPr>
            </w:pPr>
            <w:r>
              <w:rPr>
                <w:rFonts w:hint="eastAsia" w:ascii="宋体" w:hAnsi="宋体" w:cs="宋体"/>
                <w:szCs w:val="21"/>
              </w:rPr>
              <w:t>[80   95]</w:t>
            </w:r>
          </w:p>
        </w:tc>
        <w:tc>
          <w:tcPr>
            <w:tcW w:w="1907" w:type="dxa"/>
            <w:vAlign w:val="center"/>
          </w:tcPr>
          <w:p>
            <w:pPr>
              <w:jc w:val="center"/>
              <w:rPr>
                <w:rFonts w:ascii="宋体" w:hAnsi="宋体" w:cs="宋体"/>
                <w:szCs w:val="21"/>
              </w:rPr>
            </w:pPr>
            <w:r>
              <w:rPr>
                <w:rFonts w:hint="eastAsia" w:ascii="宋体" w:hAnsi="宋体" w:cs="宋体"/>
                <w:szCs w:val="21"/>
              </w:rPr>
              <w:t>87.5</w:t>
            </w:r>
          </w:p>
        </w:tc>
        <w:tc>
          <w:tcPr>
            <w:tcW w:w="1850" w:type="dxa"/>
            <w:vAlign w:val="center"/>
          </w:tcPr>
          <w:p>
            <w:pPr>
              <w:jc w:val="center"/>
              <w:rPr>
                <w:rFonts w:ascii="宋体" w:hAnsi="宋体" w:cs="宋体"/>
                <w:szCs w:val="21"/>
              </w:rPr>
            </w:pPr>
            <w:r>
              <w:rPr>
                <w:rFonts w:hint="eastAsia" w:ascii="宋体" w:hAnsi="宋体" w:cs="宋体"/>
                <w:szCs w:val="21"/>
              </w:rPr>
              <w:t>8</w:t>
            </w:r>
          </w:p>
        </w:tc>
        <w:tc>
          <w:tcPr>
            <w:tcW w:w="1843" w:type="dxa"/>
            <w:vAlign w:val="center"/>
          </w:tcPr>
          <w:p>
            <w:pPr>
              <w:jc w:val="center"/>
              <w:rPr>
                <w:rFonts w:ascii="宋体" w:hAnsi="宋体" w:cs="宋体"/>
                <w:szCs w:val="21"/>
              </w:rPr>
            </w:pPr>
            <w:r>
              <w:rPr>
                <w:rFonts w:hint="eastAsia" w:ascii="宋体" w:hAnsi="宋体" w:cs="宋体"/>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2</w:t>
            </w:r>
          </w:p>
        </w:tc>
        <w:tc>
          <w:tcPr>
            <w:tcW w:w="1976" w:type="dxa"/>
            <w:vAlign w:val="center"/>
          </w:tcPr>
          <w:p>
            <w:pPr>
              <w:jc w:val="center"/>
              <w:rPr>
                <w:rFonts w:ascii="宋体" w:hAnsi="宋体" w:cs="宋体"/>
                <w:szCs w:val="21"/>
              </w:rPr>
            </w:pPr>
            <w:r>
              <w:rPr>
                <w:rFonts w:hint="eastAsia" w:ascii="宋体" w:hAnsi="宋体" w:cs="宋体"/>
                <w:szCs w:val="21"/>
              </w:rPr>
              <w:t>[95  100]</w:t>
            </w:r>
          </w:p>
        </w:tc>
        <w:tc>
          <w:tcPr>
            <w:tcW w:w="1907" w:type="dxa"/>
            <w:vAlign w:val="center"/>
          </w:tcPr>
          <w:p>
            <w:pPr>
              <w:jc w:val="center"/>
              <w:rPr>
                <w:rFonts w:ascii="宋体" w:hAnsi="宋体" w:cs="宋体"/>
                <w:szCs w:val="21"/>
              </w:rPr>
            </w:pPr>
            <w:r>
              <w:rPr>
                <w:rFonts w:hint="eastAsia" w:ascii="宋体" w:hAnsi="宋体" w:cs="宋体"/>
                <w:szCs w:val="21"/>
              </w:rPr>
              <w:t>97.5</w:t>
            </w:r>
          </w:p>
        </w:tc>
        <w:tc>
          <w:tcPr>
            <w:tcW w:w="1850" w:type="dxa"/>
            <w:vAlign w:val="center"/>
          </w:tcPr>
          <w:p>
            <w:pPr>
              <w:jc w:val="center"/>
              <w:rPr>
                <w:rFonts w:ascii="宋体" w:hAnsi="宋体" w:cs="宋体"/>
                <w:szCs w:val="21"/>
              </w:rPr>
            </w:pPr>
            <w:r>
              <w:rPr>
                <w:rFonts w:hint="eastAsia" w:ascii="宋体" w:hAnsi="宋体" w:cs="宋体"/>
                <w:szCs w:val="21"/>
              </w:rPr>
              <w:t>30</w:t>
            </w:r>
          </w:p>
        </w:tc>
        <w:tc>
          <w:tcPr>
            <w:tcW w:w="1843" w:type="dxa"/>
            <w:vAlign w:val="center"/>
          </w:tcPr>
          <w:p>
            <w:pPr>
              <w:jc w:val="center"/>
              <w:rPr>
                <w:rFonts w:ascii="宋体" w:hAnsi="宋体" w:cs="宋体"/>
                <w:szCs w:val="21"/>
              </w:rPr>
            </w:pPr>
            <w:r>
              <w:rPr>
                <w:rFonts w:hint="eastAsia" w:ascii="宋体" w:hAnsi="宋体" w:cs="宋体"/>
                <w:szCs w:val="21"/>
              </w:rPr>
              <w:t>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3</w:t>
            </w:r>
          </w:p>
        </w:tc>
        <w:tc>
          <w:tcPr>
            <w:tcW w:w="1976" w:type="dxa"/>
            <w:vAlign w:val="center"/>
          </w:tcPr>
          <w:p>
            <w:pPr>
              <w:jc w:val="center"/>
              <w:rPr>
                <w:rFonts w:ascii="宋体" w:hAnsi="宋体" w:cs="宋体"/>
                <w:szCs w:val="21"/>
              </w:rPr>
            </w:pPr>
            <w:r>
              <w:rPr>
                <w:rFonts w:hint="eastAsia" w:ascii="宋体" w:hAnsi="宋体" w:cs="宋体"/>
                <w:szCs w:val="21"/>
              </w:rPr>
              <w:t>[100 105]</w:t>
            </w:r>
          </w:p>
        </w:tc>
        <w:tc>
          <w:tcPr>
            <w:tcW w:w="1907" w:type="dxa"/>
            <w:vAlign w:val="center"/>
          </w:tcPr>
          <w:p>
            <w:pPr>
              <w:jc w:val="center"/>
              <w:rPr>
                <w:rFonts w:ascii="宋体" w:hAnsi="宋体" w:cs="宋体"/>
                <w:szCs w:val="21"/>
              </w:rPr>
            </w:pPr>
            <w:r>
              <w:rPr>
                <w:rFonts w:hint="eastAsia" w:ascii="宋体" w:hAnsi="宋体" w:cs="宋体"/>
                <w:szCs w:val="21"/>
              </w:rPr>
              <w:t>102.5</w:t>
            </w:r>
          </w:p>
        </w:tc>
        <w:tc>
          <w:tcPr>
            <w:tcW w:w="1850" w:type="dxa"/>
            <w:vAlign w:val="center"/>
          </w:tcPr>
          <w:p>
            <w:pPr>
              <w:jc w:val="center"/>
              <w:rPr>
                <w:rFonts w:ascii="宋体" w:hAnsi="宋体" w:cs="宋体"/>
                <w:szCs w:val="21"/>
              </w:rPr>
            </w:pPr>
            <w:r>
              <w:rPr>
                <w:rFonts w:hint="eastAsia" w:ascii="宋体" w:hAnsi="宋体" w:cs="宋体"/>
                <w:szCs w:val="21"/>
              </w:rPr>
              <w:t>38</w:t>
            </w:r>
          </w:p>
        </w:tc>
        <w:tc>
          <w:tcPr>
            <w:tcW w:w="1843" w:type="dxa"/>
            <w:vAlign w:val="center"/>
          </w:tcPr>
          <w:p>
            <w:pPr>
              <w:jc w:val="center"/>
              <w:rPr>
                <w:rFonts w:ascii="宋体" w:hAnsi="宋体" w:cs="宋体"/>
                <w:szCs w:val="21"/>
              </w:rPr>
            </w:pPr>
            <w:r>
              <w:rPr>
                <w:rFonts w:hint="eastAsia" w:ascii="宋体" w:hAnsi="宋体" w:cs="宋体"/>
                <w:szCs w:val="21"/>
              </w:rPr>
              <w:t>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4</w:t>
            </w:r>
          </w:p>
        </w:tc>
        <w:tc>
          <w:tcPr>
            <w:tcW w:w="1976" w:type="dxa"/>
            <w:vAlign w:val="center"/>
          </w:tcPr>
          <w:p>
            <w:pPr>
              <w:jc w:val="center"/>
              <w:rPr>
                <w:rFonts w:ascii="宋体" w:hAnsi="宋体" w:cs="宋体"/>
                <w:szCs w:val="21"/>
              </w:rPr>
            </w:pPr>
            <w:r>
              <w:rPr>
                <w:rFonts w:hint="eastAsia" w:ascii="宋体" w:hAnsi="宋体" w:cs="宋体"/>
                <w:szCs w:val="21"/>
              </w:rPr>
              <w:t>[105 110]</w:t>
            </w:r>
          </w:p>
        </w:tc>
        <w:tc>
          <w:tcPr>
            <w:tcW w:w="1907" w:type="dxa"/>
            <w:vAlign w:val="center"/>
          </w:tcPr>
          <w:p>
            <w:pPr>
              <w:jc w:val="center"/>
              <w:rPr>
                <w:rFonts w:ascii="宋体" w:hAnsi="宋体" w:cs="宋体"/>
                <w:szCs w:val="21"/>
              </w:rPr>
            </w:pPr>
            <w:r>
              <w:rPr>
                <w:rFonts w:hint="eastAsia" w:ascii="宋体" w:hAnsi="宋体" w:cs="宋体"/>
                <w:szCs w:val="21"/>
              </w:rPr>
              <w:t>107.5</w:t>
            </w:r>
          </w:p>
        </w:tc>
        <w:tc>
          <w:tcPr>
            <w:tcW w:w="1850" w:type="dxa"/>
            <w:vAlign w:val="center"/>
          </w:tcPr>
          <w:p>
            <w:pPr>
              <w:jc w:val="center"/>
              <w:rPr>
                <w:rFonts w:ascii="宋体" w:hAnsi="宋体" w:cs="宋体"/>
                <w:szCs w:val="21"/>
              </w:rPr>
            </w:pPr>
            <w:r>
              <w:rPr>
                <w:rFonts w:hint="eastAsia" w:ascii="宋体" w:hAnsi="宋体" w:cs="宋体"/>
                <w:szCs w:val="21"/>
              </w:rPr>
              <w:t>29</w:t>
            </w:r>
          </w:p>
        </w:tc>
        <w:tc>
          <w:tcPr>
            <w:tcW w:w="1843" w:type="dxa"/>
            <w:vAlign w:val="center"/>
          </w:tcPr>
          <w:p>
            <w:pPr>
              <w:jc w:val="center"/>
              <w:rPr>
                <w:rFonts w:ascii="宋体" w:hAnsi="宋体" w:cs="宋体"/>
                <w:szCs w:val="21"/>
              </w:rPr>
            </w:pPr>
            <w:r>
              <w:rPr>
                <w:rFonts w:hint="eastAsia" w:ascii="宋体" w:hAnsi="宋体" w:cs="宋体"/>
                <w:szCs w:val="21"/>
              </w:rPr>
              <w:t>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5</w:t>
            </w:r>
          </w:p>
        </w:tc>
        <w:tc>
          <w:tcPr>
            <w:tcW w:w="1976" w:type="dxa"/>
            <w:vAlign w:val="center"/>
          </w:tcPr>
          <w:p>
            <w:pPr>
              <w:jc w:val="center"/>
              <w:rPr>
                <w:rFonts w:ascii="宋体" w:hAnsi="宋体" w:cs="宋体"/>
                <w:szCs w:val="21"/>
              </w:rPr>
            </w:pPr>
            <w:r>
              <w:rPr>
                <w:rFonts w:hint="eastAsia" w:ascii="宋体" w:hAnsi="宋体" w:cs="宋体"/>
                <w:szCs w:val="21"/>
              </w:rPr>
              <w:t>[110 115]</w:t>
            </w:r>
          </w:p>
        </w:tc>
        <w:tc>
          <w:tcPr>
            <w:tcW w:w="1907" w:type="dxa"/>
            <w:vAlign w:val="center"/>
          </w:tcPr>
          <w:p>
            <w:pPr>
              <w:jc w:val="center"/>
              <w:rPr>
                <w:rFonts w:ascii="宋体" w:hAnsi="宋体" w:cs="宋体"/>
                <w:szCs w:val="21"/>
              </w:rPr>
            </w:pPr>
            <w:r>
              <w:rPr>
                <w:rFonts w:hint="eastAsia" w:ascii="宋体" w:hAnsi="宋体" w:cs="宋体"/>
                <w:szCs w:val="21"/>
              </w:rPr>
              <w:t>112.5</w:t>
            </w:r>
          </w:p>
        </w:tc>
        <w:tc>
          <w:tcPr>
            <w:tcW w:w="1850" w:type="dxa"/>
            <w:vAlign w:val="center"/>
          </w:tcPr>
          <w:p>
            <w:pPr>
              <w:jc w:val="center"/>
              <w:rPr>
                <w:rFonts w:ascii="宋体" w:hAnsi="宋体" w:cs="宋体"/>
                <w:szCs w:val="21"/>
              </w:rPr>
            </w:pPr>
            <w:r>
              <w:rPr>
                <w:rFonts w:hint="eastAsia" w:ascii="宋体" w:hAnsi="宋体" w:cs="宋体"/>
                <w:szCs w:val="21"/>
              </w:rPr>
              <w:t>26</w:t>
            </w:r>
          </w:p>
        </w:tc>
        <w:tc>
          <w:tcPr>
            <w:tcW w:w="1843" w:type="dxa"/>
            <w:vAlign w:val="center"/>
          </w:tcPr>
          <w:p>
            <w:pPr>
              <w:jc w:val="center"/>
              <w:rPr>
                <w:rFonts w:ascii="宋体" w:hAnsi="宋体" w:cs="宋体"/>
                <w:szCs w:val="21"/>
              </w:rPr>
            </w:pPr>
            <w:r>
              <w:rPr>
                <w:rFonts w:hint="eastAsia" w:ascii="宋体" w:hAnsi="宋体" w:cs="宋体"/>
                <w:szCs w:val="21"/>
              </w:rPr>
              <w:t>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6</w:t>
            </w:r>
          </w:p>
        </w:tc>
        <w:tc>
          <w:tcPr>
            <w:tcW w:w="1976" w:type="dxa"/>
            <w:vAlign w:val="center"/>
          </w:tcPr>
          <w:p>
            <w:pPr>
              <w:jc w:val="center"/>
              <w:rPr>
                <w:rFonts w:ascii="宋体" w:hAnsi="宋体" w:cs="宋体"/>
                <w:szCs w:val="21"/>
              </w:rPr>
            </w:pPr>
            <w:r>
              <w:rPr>
                <w:rFonts w:hint="eastAsia" w:ascii="宋体" w:hAnsi="宋体" w:cs="宋体"/>
                <w:szCs w:val="21"/>
              </w:rPr>
              <w:t>[115 120]</w:t>
            </w:r>
          </w:p>
        </w:tc>
        <w:tc>
          <w:tcPr>
            <w:tcW w:w="1907" w:type="dxa"/>
            <w:vAlign w:val="center"/>
          </w:tcPr>
          <w:p>
            <w:pPr>
              <w:jc w:val="center"/>
              <w:rPr>
                <w:rFonts w:ascii="宋体" w:hAnsi="宋体" w:cs="宋体"/>
                <w:szCs w:val="21"/>
              </w:rPr>
            </w:pPr>
            <w:r>
              <w:rPr>
                <w:rFonts w:hint="eastAsia" w:ascii="宋体" w:hAnsi="宋体" w:cs="宋体"/>
                <w:szCs w:val="21"/>
              </w:rPr>
              <w:t>117.5</w:t>
            </w:r>
          </w:p>
        </w:tc>
        <w:tc>
          <w:tcPr>
            <w:tcW w:w="1850" w:type="dxa"/>
            <w:vAlign w:val="center"/>
          </w:tcPr>
          <w:p>
            <w:pPr>
              <w:jc w:val="center"/>
              <w:rPr>
                <w:rFonts w:ascii="宋体" w:hAnsi="宋体" w:cs="宋体"/>
                <w:szCs w:val="21"/>
              </w:rPr>
            </w:pPr>
            <w:r>
              <w:rPr>
                <w:rFonts w:hint="eastAsia" w:ascii="宋体" w:hAnsi="宋体" w:cs="宋体"/>
                <w:szCs w:val="21"/>
              </w:rPr>
              <w:t>18</w:t>
            </w:r>
          </w:p>
        </w:tc>
        <w:tc>
          <w:tcPr>
            <w:tcW w:w="1843" w:type="dxa"/>
            <w:vAlign w:val="center"/>
          </w:tcPr>
          <w:p>
            <w:pPr>
              <w:jc w:val="center"/>
              <w:rPr>
                <w:rFonts w:ascii="宋体" w:hAnsi="宋体" w:cs="宋体"/>
                <w:szCs w:val="21"/>
              </w:rPr>
            </w:pPr>
            <w:r>
              <w:rPr>
                <w:rFonts w:hint="eastAsia" w:ascii="宋体" w:hAnsi="宋体" w:cs="宋体"/>
                <w:szCs w:val="21"/>
              </w:rPr>
              <w:t>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7</w:t>
            </w:r>
          </w:p>
        </w:tc>
        <w:tc>
          <w:tcPr>
            <w:tcW w:w="1976" w:type="dxa"/>
            <w:vAlign w:val="center"/>
          </w:tcPr>
          <w:p>
            <w:pPr>
              <w:jc w:val="center"/>
              <w:rPr>
                <w:rFonts w:ascii="宋体" w:hAnsi="宋体" w:cs="宋体"/>
                <w:szCs w:val="21"/>
              </w:rPr>
            </w:pPr>
            <w:r>
              <w:rPr>
                <w:rFonts w:hint="eastAsia" w:ascii="宋体" w:hAnsi="宋体" w:cs="宋体"/>
                <w:szCs w:val="21"/>
              </w:rPr>
              <w:t>[120 125]</w:t>
            </w:r>
          </w:p>
        </w:tc>
        <w:tc>
          <w:tcPr>
            <w:tcW w:w="1907" w:type="dxa"/>
            <w:vAlign w:val="center"/>
          </w:tcPr>
          <w:p>
            <w:pPr>
              <w:jc w:val="center"/>
              <w:rPr>
                <w:rFonts w:ascii="宋体" w:hAnsi="宋体" w:cs="宋体"/>
                <w:szCs w:val="21"/>
              </w:rPr>
            </w:pPr>
            <w:r>
              <w:rPr>
                <w:rFonts w:hint="eastAsia" w:ascii="宋体" w:hAnsi="宋体" w:cs="宋体"/>
                <w:szCs w:val="21"/>
              </w:rPr>
              <w:t>122.5</w:t>
            </w:r>
          </w:p>
        </w:tc>
        <w:tc>
          <w:tcPr>
            <w:tcW w:w="1850" w:type="dxa"/>
            <w:vAlign w:val="center"/>
          </w:tcPr>
          <w:p>
            <w:pPr>
              <w:jc w:val="center"/>
              <w:rPr>
                <w:rFonts w:ascii="宋体" w:hAnsi="宋体" w:cs="宋体"/>
                <w:szCs w:val="21"/>
              </w:rPr>
            </w:pPr>
            <w:r>
              <w:rPr>
                <w:rFonts w:hint="eastAsia" w:ascii="宋体" w:hAnsi="宋体" w:cs="宋体"/>
                <w:szCs w:val="21"/>
              </w:rPr>
              <w:t>12</w:t>
            </w:r>
          </w:p>
        </w:tc>
        <w:tc>
          <w:tcPr>
            <w:tcW w:w="1843" w:type="dxa"/>
            <w:vAlign w:val="center"/>
          </w:tcPr>
          <w:p>
            <w:pPr>
              <w:jc w:val="center"/>
              <w:rPr>
                <w:rFonts w:ascii="宋体" w:hAnsi="宋体" w:cs="宋体"/>
                <w:szCs w:val="21"/>
              </w:rPr>
            </w:pPr>
            <w:r>
              <w:rPr>
                <w:rFonts w:hint="eastAsia" w:ascii="宋体" w:hAnsi="宋体" w:cs="宋体"/>
                <w:szCs w:val="21"/>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合计</w:t>
            </w:r>
          </w:p>
        </w:tc>
        <w:tc>
          <w:tcPr>
            <w:tcW w:w="1976" w:type="dxa"/>
            <w:vAlign w:val="center"/>
          </w:tcPr>
          <w:p>
            <w:pPr>
              <w:jc w:val="center"/>
              <w:rPr>
                <w:rFonts w:ascii="宋体" w:hAnsi="宋体" w:cs="宋体"/>
                <w:szCs w:val="21"/>
              </w:rPr>
            </w:pPr>
          </w:p>
        </w:tc>
        <w:tc>
          <w:tcPr>
            <w:tcW w:w="1907" w:type="dxa"/>
            <w:vAlign w:val="center"/>
          </w:tcPr>
          <w:p>
            <w:pPr>
              <w:jc w:val="center"/>
              <w:rPr>
                <w:rFonts w:ascii="宋体" w:hAnsi="宋体" w:cs="宋体"/>
                <w:szCs w:val="21"/>
              </w:rPr>
            </w:pPr>
          </w:p>
        </w:tc>
        <w:tc>
          <w:tcPr>
            <w:tcW w:w="1850" w:type="dxa"/>
            <w:vAlign w:val="center"/>
          </w:tcPr>
          <w:p>
            <w:pPr>
              <w:jc w:val="center"/>
              <w:rPr>
                <w:rFonts w:ascii="宋体" w:hAnsi="宋体" w:cs="宋体"/>
                <w:szCs w:val="21"/>
              </w:rPr>
            </w:pPr>
            <w:r>
              <w:rPr>
                <w:rFonts w:hint="eastAsia" w:ascii="宋体" w:hAnsi="宋体" w:cs="宋体"/>
                <w:szCs w:val="21"/>
              </w:rPr>
              <w:t>161</w:t>
            </w:r>
          </w:p>
        </w:tc>
        <w:tc>
          <w:tcPr>
            <w:tcW w:w="1843" w:type="dxa"/>
            <w:vAlign w:val="center"/>
          </w:tcPr>
          <w:p>
            <w:pPr>
              <w:jc w:val="center"/>
              <w:rPr>
                <w:rFonts w:ascii="宋体" w:hAnsi="宋体" w:cs="宋体"/>
                <w:szCs w:val="21"/>
              </w:rPr>
            </w:pPr>
          </w:p>
        </w:tc>
      </w:tr>
    </w:tbl>
    <w:p>
      <w:pPr>
        <w:spacing w:line="360" w:lineRule="auto"/>
        <w:jc w:val="center"/>
        <w:rPr>
          <w:rFonts w:ascii="宋体" w:hAnsi="宋体"/>
          <w:sz w:val="24"/>
        </w:rPr>
      </w:pPr>
      <w:r>
        <w:rPr>
          <w:rFonts w:ascii="宋体" w:hAnsi="宋体"/>
          <w:sz w:val="24"/>
        </w:rPr>
        <w:drawing>
          <wp:inline distT="0" distB="0" distL="0" distR="0">
            <wp:extent cx="5229860" cy="3423285"/>
            <wp:effectExtent l="0" t="0" r="0" b="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420" w:firstLineChars="200"/>
        <w:jc w:val="center"/>
        <w:rPr>
          <w:rFonts w:ascii="宋体" w:hAnsi="宋体"/>
          <w:sz w:val="24"/>
        </w:rPr>
      </w:pPr>
      <w:r>
        <w:rPr>
          <w:rFonts w:hint="eastAsia" w:ascii="宋体" w:hAnsi="宋体" w:cs="宋体"/>
          <w:szCs w:val="21"/>
        </w:rPr>
        <w:t>图1  T2板(H04态)硬度HBW数据直方图</w:t>
      </w:r>
    </w:p>
    <w:p>
      <w:pPr>
        <w:spacing w:beforeLines="50" w:line="360" w:lineRule="auto"/>
        <w:ind w:firstLine="480" w:firstLineChars="200"/>
        <w:rPr>
          <w:rFonts w:ascii="宋体" w:hAnsi="宋体"/>
          <w:sz w:val="24"/>
        </w:rPr>
      </w:pPr>
      <w:r>
        <w:rPr>
          <w:rFonts w:hint="eastAsia" w:ascii="宋体" w:hAnsi="宋体" w:cs="宋体"/>
          <w:sz w:val="24"/>
        </w:rPr>
        <w:t>由图表可知，T2（</w:t>
      </w:r>
      <w:r>
        <w:rPr>
          <w:rFonts w:ascii="宋体" w:hAnsi="宋体" w:cs="宋体"/>
          <w:sz w:val="24"/>
        </w:rPr>
        <w:t>T11050</w:t>
      </w:r>
      <w:r>
        <w:rPr>
          <w:rFonts w:hint="eastAsia" w:ascii="宋体" w:hAnsi="宋体" w:cs="宋体"/>
          <w:sz w:val="24"/>
        </w:rPr>
        <w:t>）板</w:t>
      </w:r>
      <w:r>
        <w:rPr>
          <w:rFonts w:hint="eastAsia" w:ascii="宋体" w:hAnsi="宋体"/>
          <w:sz w:val="24"/>
        </w:rPr>
        <w:t>材H04</w:t>
      </w:r>
      <w:r>
        <w:rPr>
          <w:rFonts w:hint="eastAsia" w:ascii="宋体" w:hAnsi="宋体" w:cs="宋体"/>
          <w:sz w:val="24"/>
        </w:rPr>
        <w:t xml:space="preserve">态硬度HBW在95以上的合格率为95.03%。该产品技术指标： </w:t>
      </w:r>
      <w:r>
        <w:rPr>
          <w:rFonts w:hint="eastAsia" w:ascii="宋体" w:hAnsi="宋体"/>
          <w:sz w:val="24"/>
        </w:rPr>
        <w:t>HBW＞</w:t>
      </w:r>
      <w:r>
        <w:rPr>
          <w:rFonts w:hint="eastAsia" w:ascii="宋体" w:hAnsi="宋体" w:cs="宋体"/>
          <w:sz w:val="24"/>
        </w:rPr>
        <w:t>95</w:t>
      </w:r>
      <w:r>
        <w:rPr>
          <w:rFonts w:hint="eastAsia" w:ascii="宋体" w:hAnsi="宋体"/>
          <w:sz w:val="24"/>
        </w:rPr>
        <w:t>，指标制定合理，该产品属于成熟产品。</w:t>
      </w:r>
    </w:p>
    <w:p>
      <w:pPr>
        <w:spacing w:line="360" w:lineRule="auto"/>
        <w:ind w:firstLine="480" w:firstLineChars="200"/>
        <w:rPr>
          <w:rFonts w:hint="eastAsia" w:ascii="宋体" w:hAnsi="宋体"/>
          <w:b w:val="0"/>
          <w:bCs/>
          <w:sz w:val="24"/>
        </w:rPr>
      </w:pPr>
      <w:r>
        <w:rPr>
          <w:rFonts w:hint="eastAsia" w:ascii="宋体" w:hAnsi="宋体"/>
          <w:b w:val="0"/>
          <w:bCs/>
          <w:sz w:val="24"/>
        </w:rPr>
        <w:t>（2）TAg0.1（T11210）、TAg0.15（T11220）板材力学性能</w:t>
      </w:r>
    </w:p>
    <w:p>
      <w:pPr>
        <w:pStyle w:val="16"/>
        <w:spacing w:before="0" w:beforeAutospacing="0" w:after="0" w:afterAutospacing="0" w:line="360" w:lineRule="auto"/>
        <w:ind w:firstLine="482"/>
      </w:pPr>
      <w:r>
        <w:rPr>
          <w:rFonts w:hint="eastAsia"/>
        </w:rPr>
        <w:t>TAg0.1（T11210）、TAg0.15（T11220）板材H04态数据统计如表</w:t>
      </w:r>
      <w:r>
        <w:rPr>
          <w:rFonts w:hint="eastAsia"/>
          <w:lang w:val="en-US" w:eastAsia="zh-CN"/>
        </w:rPr>
        <w:t>6</w:t>
      </w:r>
      <w:r>
        <w:rPr>
          <w:rFonts w:hint="eastAsia"/>
        </w:rPr>
        <w:t>，数据分布直方图如图 2所示。</w:t>
      </w:r>
    </w:p>
    <w:p>
      <w:pPr>
        <w:pStyle w:val="16"/>
        <w:spacing w:before="0" w:beforeAutospacing="0" w:after="0" w:afterAutospacing="0" w:line="360" w:lineRule="auto"/>
        <w:jc w:val="center"/>
      </w:pPr>
      <w:r>
        <w:rPr>
          <w:rFonts w:hint="eastAsia"/>
        </w:rPr>
        <w:t>表</w:t>
      </w:r>
      <w:r>
        <w:rPr>
          <w:rFonts w:hint="eastAsia"/>
          <w:lang w:val="en-US" w:eastAsia="zh-CN"/>
        </w:rPr>
        <w:t>6</w:t>
      </w:r>
      <w:r>
        <w:rPr>
          <w:rFonts w:hint="eastAsia"/>
        </w:rPr>
        <w:t xml:space="preserve">  TAg0.1、TAg0.15板材布氏硬度(HV)频数和频率分布表</w:t>
      </w:r>
    </w:p>
    <w:tbl>
      <w:tblPr>
        <w:tblStyle w:val="17"/>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976"/>
        <w:gridCol w:w="1907"/>
        <w:gridCol w:w="185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组号</w:t>
            </w:r>
          </w:p>
        </w:tc>
        <w:tc>
          <w:tcPr>
            <w:tcW w:w="1976" w:type="dxa"/>
            <w:vAlign w:val="center"/>
          </w:tcPr>
          <w:p>
            <w:pPr>
              <w:jc w:val="center"/>
              <w:rPr>
                <w:rFonts w:ascii="宋体" w:hAnsi="宋体" w:cs="宋体"/>
                <w:szCs w:val="21"/>
              </w:rPr>
            </w:pPr>
            <w:r>
              <w:rPr>
                <w:rFonts w:hint="eastAsia" w:ascii="宋体" w:hAnsi="宋体" w:cs="宋体"/>
                <w:szCs w:val="21"/>
              </w:rPr>
              <w:t>区间</w:t>
            </w:r>
          </w:p>
        </w:tc>
        <w:tc>
          <w:tcPr>
            <w:tcW w:w="1907" w:type="dxa"/>
            <w:vAlign w:val="center"/>
          </w:tcPr>
          <w:p>
            <w:pPr>
              <w:jc w:val="center"/>
              <w:rPr>
                <w:rFonts w:ascii="宋体" w:hAnsi="宋体" w:cs="宋体"/>
                <w:szCs w:val="21"/>
              </w:rPr>
            </w:pPr>
            <w:r>
              <w:rPr>
                <w:rFonts w:hint="eastAsia" w:ascii="宋体" w:hAnsi="宋体" w:cs="宋体"/>
                <w:szCs w:val="21"/>
              </w:rPr>
              <w:t>组中值X＇i</w:t>
            </w:r>
          </w:p>
        </w:tc>
        <w:tc>
          <w:tcPr>
            <w:tcW w:w="1850" w:type="dxa"/>
            <w:vAlign w:val="center"/>
          </w:tcPr>
          <w:p>
            <w:pPr>
              <w:jc w:val="center"/>
              <w:rPr>
                <w:rFonts w:ascii="宋体" w:hAnsi="宋体" w:cs="宋体"/>
                <w:szCs w:val="21"/>
              </w:rPr>
            </w:pPr>
            <w:r>
              <w:rPr>
                <w:rFonts w:hint="eastAsia" w:ascii="宋体" w:hAnsi="宋体" w:cs="宋体"/>
                <w:szCs w:val="21"/>
              </w:rPr>
              <w:t>频数ni</w:t>
            </w:r>
          </w:p>
        </w:tc>
        <w:tc>
          <w:tcPr>
            <w:tcW w:w="1843" w:type="dxa"/>
            <w:vAlign w:val="center"/>
          </w:tcPr>
          <w:p>
            <w:pPr>
              <w:jc w:val="center"/>
              <w:rPr>
                <w:rFonts w:ascii="宋体" w:hAnsi="宋体" w:cs="宋体"/>
                <w:szCs w:val="21"/>
              </w:rPr>
            </w:pPr>
            <w:r>
              <w:rPr>
                <w:rFonts w:hint="eastAsia" w:ascii="宋体" w:hAnsi="宋体" w:cs="宋体"/>
                <w:szCs w:val="21"/>
              </w:rPr>
              <w:t>频率fi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1</w:t>
            </w:r>
          </w:p>
        </w:tc>
        <w:tc>
          <w:tcPr>
            <w:tcW w:w="1976" w:type="dxa"/>
            <w:vAlign w:val="center"/>
          </w:tcPr>
          <w:p>
            <w:pPr>
              <w:jc w:val="center"/>
              <w:rPr>
                <w:rFonts w:ascii="宋体" w:hAnsi="宋体" w:cs="宋体"/>
                <w:szCs w:val="21"/>
              </w:rPr>
            </w:pPr>
            <w:r>
              <w:rPr>
                <w:rFonts w:hint="eastAsia" w:ascii="宋体" w:hAnsi="宋体" w:cs="宋体"/>
                <w:szCs w:val="21"/>
              </w:rPr>
              <w:t>[90   95]</w:t>
            </w:r>
          </w:p>
        </w:tc>
        <w:tc>
          <w:tcPr>
            <w:tcW w:w="1907" w:type="dxa"/>
            <w:vAlign w:val="center"/>
          </w:tcPr>
          <w:p>
            <w:pPr>
              <w:jc w:val="center"/>
              <w:rPr>
                <w:rFonts w:ascii="宋体" w:hAnsi="宋体" w:cs="宋体"/>
                <w:szCs w:val="21"/>
              </w:rPr>
            </w:pPr>
            <w:r>
              <w:rPr>
                <w:rFonts w:hint="eastAsia" w:ascii="宋体" w:hAnsi="宋体" w:cs="宋体"/>
                <w:szCs w:val="21"/>
              </w:rPr>
              <w:t>87.5</w:t>
            </w:r>
          </w:p>
        </w:tc>
        <w:tc>
          <w:tcPr>
            <w:tcW w:w="1850" w:type="dxa"/>
            <w:vAlign w:val="center"/>
          </w:tcPr>
          <w:p>
            <w:pPr>
              <w:jc w:val="center"/>
              <w:rPr>
                <w:rFonts w:ascii="宋体" w:hAnsi="宋体" w:cs="宋体"/>
                <w:szCs w:val="21"/>
              </w:rPr>
            </w:pPr>
            <w:r>
              <w:rPr>
                <w:rFonts w:hint="eastAsia" w:ascii="宋体" w:hAnsi="宋体" w:cs="宋体"/>
                <w:szCs w:val="21"/>
              </w:rPr>
              <w:t>5</w:t>
            </w:r>
          </w:p>
        </w:tc>
        <w:tc>
          <w:tcPr>
            <w:tcW w:w="1843" w:type="dxa"/>
            <w:vAlign w:val="center"/>
          </w:tcPr>
          <w:p>
            <w:pPr>
              <w:jc w:val="center"/>
              <w:rPr>
                <w:rFonts w:ascii="宋体" w:hAnsi="宋体" w:cs="宋体"/>
                <w:szCs w:val="21"/>
              </w:rPr>
            </w:pPr>
            <w:r>
              <w:rPr>
                <w:rFonts w:hint="eastAsia" w:ascii="宋体" w:hAnsi="宋体" w:cs="宋体"/>
                <w:szCs w:val="21"/>
              </w:rPr>
              <w:t>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2</w:t>
            </w:r>
          </w:p>
        </w:tc>
        <w:tc>
          <w:tcPr>
            <w:tcW w:w="1976" w:type="dxa"/>
            <w:vAlign w:val="center"/>
          </w:tcPr>
          <w:p>
            <w:pPr>
              <w:jc w:val="center"/>
              <w:rPr>
                <w:rFonts w:ascii="宋体" w:hAnsi="宋体" w:cs="宋体"/>
                <w:szCs w:val="21"/>
              </w:rPr>
            </w:pPr>
            <w:r>
              <w:rPr>
                <w:rFonts w:hint="eastAsia" w:ascii="宋体" w:hAnsi="宋体" w:cs="宋体"/>
                <w:szCs w:val="21"/>
              </w:rPr>
              <w:t>[95  100]</w:t>
            </w:r>
          </w:p>
        </w:tc>
        <w:tc>
          <w:tcPr>
            <w:tcW w:w="1907" w:type="dxa"/>
            <w:vAlign w:val="center"/>
          </w:tcPr>
          <w:p>
            <w:pPr>
              <w:jc w:val="center"/>
              <w:rPr>
                <w:rFonts w:ascii="宋体" w:hAnsi="宋体" w:cs="宋体"/>
                <w:szCs w:val="21"/>
              </w:rPr>
            </w:pPr>
            <w:r>
              <w:rPr>
                <w:rFonts w:hint="eastAsia" w:ascii="宋体" w:hAnsi="宋体" w:cs="宋体"/>
                <w:szCs w:val="21"/>
              </w:rPr>
              <w:t>97.5</w:t>
            </w:r>
          </w:p>
        </w:tc>
        <w:tc>
          <w:tcPr>
            <w:tcW w:w="1850" w:type="dxa"/>
            <w:vAlign w:val="center"/>
          </w:tcPr>
          <w:p>
            <w:pPr>
              <w:jc w:val="center"/>
              <w:rPr>
                <w:rFonts w:ascii="宋体" w:hAnsi="宋体" w:cs="宋体"/>
                <w:szCs w:val="21"/>
              </w:rPr>
            </w:pPr>
            <w:r>
              <w:rPr>
                <w:rFonts w:hint="eastAsia" w:ascii="宋体" w:hAnsi="宋体" w:cs="宋体"/>
                <w:szCs w:val="21"/>
              </w:rPr>
              <w:t>16</w:t>
            </w:r>
          </w:p>
        </w:tc>
        <w:tc>
          <w:tcPr>
            <w:tcW w:w="1843" w:type="dxa"/>
            <w:vAlign w:val="center"/>
          </w:tcPr>
          <w:p>
            <w:pPr>
              <w:jc w:val="center"/>
              <w:rPr>
                <w:rFonts w:ascii="宋体" w:hAnsi="宋体" w:cs="宋体"/>
                <w:szCs w:val="21"/>
              </w:rPr>
            </w:pPr>
            <w:r>
              <w:rPr>
                <w:rFonts w:hint="eastAsia" w:ascii="宋体" w:hAnsi="宋体" w:cs="宋体"/>
                <w:szCs w:val="21"/>
              </w:rPr>
              <w:t>0.139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3</w:t>
            </w:r>
          </w:p>
        </w:tc>
        <w:tc>
          <w:tcPr>
            <w:tcW w:w="1976" w:type="dxa"/>
            <w:vAlign w:val="center"/>
          </w:tcPr>
          <w:p>
            <w:pPr>
              <w:jc w:val="center"/>
              <w:rPr>
                <w:rFonts w:ascii="宋体" w:hAnsi="宋体" w:cs="宋体"/>
                <w:szCs w:val="21"/>
              </w:rPr>
            </w:pPr>
            <w:r>
              <w:rPr>
                <w:rFonts w:hint="eastAsia" w:ascii="宋体" w:hAnsi="宋体" w:cs="宋体"/>
                <w:szCs w:val="21"/>
              </w:rPr>
              <w:t>[100 105]</w:t>
            </w:r>
          </w:p>
        </w:tc>
        <w:tc>
          <w:tcPr>
            <w:tcW w:w="1907" w:type="dxa"/>
            <w:vAlign w:val="center"/>
          </w:tcPr>
          <w:p>
            <w:pPr>
              <w:jc w:val="center"/>
              <w:rPr>
                <w:rFonts w:ascii="宋体" w:hAnsi="宋体" w:cs="宋体"/>
                <w:szCs w:val="21"/>
              </w:rPr>
            </w:pPr>
            <w:r>
              <w:rPr>
                <w:rFonts w:hint="eastAsia" w:ascii="宋体" w:hAnsi="宋体" w:cs="宋体"/>
                <w:szCs w:val="21"/>
              </w:rPr>
              <w:t>102.5</w:t>
            </w:r>
          </w:p>
        </w:tc>
        <w:tc>
          <w:tcPr>
            <w:tcW w:w="1850" w:type="dxa"/>
            <w:vAlign w:val="center"/>
          </w:tcPr>
          <w:p>
            <w:pPr>
              <w:jc w:val="center"/>
              <w:rPr>
                <w:rFonts w:ascii="宋体" w:hAnsi="宋体" w:cs="宋体"/>
                <w:szCs w:val="21"/>
              </w:rPr>
            </w:pPr>
            <w:r>
              <w:rPr>
                <w:rFonts w:hint="eastAsia" w:ascii="宋体" w:hAnsi="宋体" w:cs="宋体"/>
                <w:szCs w:val="21"/>
              </w:rPr>
              <w:t>27</w:t>
            </w:r>
          </w:p>
        </w:tc>
        <w:tc>
          <w:tcPr>
            <w:tcW w:w="1843" w:type="dxa"/>
            <w:vAlign w:val="center"/>
          </w:tcPr>
          <w:p>
            <w:pPr>
              <w:jc w:val="center"/>
              <w:rPr>
                <w:rFonts w:ascii="宋体" w:hAnsi="宋体" w:cs="宋体"/>
                <w:szCs w:val="21"/>
              </w:rPr>
            </w:pPr>
            <w:r>
              <w:rPr>
                <w:rFonts w:hint="eastAsia" w:ascii="宋体" w:hAnsi="宋体" w:cs="宋体"/>
                <w:szCs w:val="21"/>
              </w:rPr>
              <w:t>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4</w:t>
            </w:r>
          </w:p>
        </w:tc>
        <w:tc>
          <w:tcPr>
            <w:tcW w:w="1976" w:type="dxa"/>
            <w:vAlign w:val="center"/>
          </w:tcPr>
          <w:p>
            <w:pPr>
              <w:jc w:val="center"/>
              <w:rPr>
                <w:rFonts w:ascii="宋体" w:hAnsi="宋体" w:cs="宋体"/>
                <w:szCs w:val="21"/>
              </w:rPr>
            </w:pPr>
            <w:r>
              <w:rPr>
                <w:rFonts w:hint="eastAsia" w:ascii="宋体" w:hAnsi="宋体" w:cs="宋体"/>
                <w:szCs w:val="21"/>
              </w:rPr>
              <w:t>[105 110]</w:t>
            </w:r>
          </w:p>
        </w:tc>
        <w:tc>
          <w:tcPr>
            <w:tcW w:w="1907" w:type="dxa"/>
            <w:vAlign w:val="center"/>
          </w:tcPr>
          <w:p>
            <w:pPr>
              <w:jc w:val="center"/>
              <w:rPr>
                <w:rFonts w:ascii="宋体" w:hAnsi="宋体" w:cs="宋体"/>
                <w:szCs w:val="21"/>
              </w:rPr>
            </w:pPr>
            <w:r>
              <w:rPr>
                <w:rFonts w:hint="eastAsia" w:ascii="宋体" w:hAnsi="宋体" w:cs="宋体"/>
                <w:szCs w:val="21"/>
              </w:rPr>
              <w:t>107.5</w:t>
            </w:r>
          </w:p>
        </w:tc>
        <w:tc>
          <w:tcPr>
            <w:tcW w:w="1850" w:type="dxa"/>
            <w:vAlign w:val="center"/>
          </w:tcPr>
          <w:p>
            <w:pPr>
              <w:jc w:val="center"/>
              <w:rPr>
                <w:rFonts w:ascii="宋体" w:hAnsi="宋体" w:cs="宋体"/>
                <w:szCs w:val="21"/>
              </w:rPr>
            </w:pPr>
            <w:r>
              <w:rPr>
                <w:rFonts w:hint="eastAsia" w:ascii="宋体" w:hAnsi="宋体" w:cs="宋体"/>
                <w:szCs w:val="21"/>
              </w:rPr>
              <w:t>31</w:t>
            </w:r>
          </w:p>
        </w:tc>
        <w:tc>
          <w:tcPr>
            <w:tcW w:w="1843" w:type="dxa"/>
            <w:vAlign w:val="center"/>
          </w:tcPr>
          <w:p>
            <w:pPr>
              <w:jc w:val="center"/>
              <w:rPr>
                <w:rFonts w:ascii="宋体" w:hAnsi="宋体" w:cs="宋体"/>
                <w:szCs w:val="21"/>
              </w:rPr>
            </w:pPr>
            <w:r>
              <w:rPr>
                <w:rFonts w:hint="eastAsia" w:ascii="宋体" w:hAnsi="宋体" w:cs="宋体"/>
                <w:szCs w:val="21"/>
              </w:rPr>
              <w:t>0.270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5</w:t>
            </w:r>
          </w:p>
        </w:tc>
        <w:tc>
          <w:tcPr>
            <w:tcW w:w="1976" w:type="dxa"/>
            <w:vAlign w:val="center"/>
          </w:tcPr>
          <w:p>
            <w:pPr>
              <w:jc w:val="center"/>
              <w:rPr>
                <w:rFonts w:ascii="宋体" w:hAnsi="宋体" w:cs="宋体"/>
                <w:szCs w:val="21"/>
              </w:rPr>
            </w:pPr>
            <w:r>
              <w:rPr>
                <w:rFonts w:hint="eastAsia" w:ascii="宋体" w:hAnsi="宋体" w:cs="宋体"/>
                <w:szCs w:val="21"/>
              </w:rPr>
              <w:t>[110 115]</w:t>
            </w:r>
          </w:p>
        </w:tc>
        <w:tc>
          <w:tcPr>
            <w:tcW w:w="1907" w:type="dxa"/>
            <w:vAlign w:val="center"/>
          </w:tcPr>
          <w:p>
            <w:pPr>
              <w:jc w:val="center"/>
              <w:rPr>
                <w:rFonts w:ascii="宋体" w:hAnsi="宋体" w:cs="宋体"/>
                <w:szCs w:val="21"/>
              </w:rPr>
            </w:pPr>
            <w:r>
              <w:rPr>
                <w:rFonts w:hint="eastAsia" w:ascii="宋体" w:hAnsi="宋体" w:cs="宋体"/>
                <w:szCs w:val="21"/>
              </w:rPr>
              <w:t>112.5</w:t>
            </w:r>
          </w:p>
        </w:tc>
        <w:tc>
          <w:tcPr>
            <w:tcW w:w="1850" w:type="dxa"/>
            <w:vAlign w:val="center"/>
          </w:tcPr>
          <w:p>
            <w:pPr>
              <w:jc w:val="center"/>
              <w:rPr>
                <w:rFonts w:ascii="宋体" w:hAnsi="宋体" w:cs="宋体"/>
                <w:szCs w:val="21"/>
              </w:rPr>
            </w:pPr>
            <w:r>
              <w:rPr>
                <w:rFonts w:hint="eastAsia" w:ascii="宋体" w:hAnsi="宋体" w:cs="宋体"/>
                <w:szCs w:val="21"/>
              </w:rPr>
              <w:t>20</w:t>
            </w:r>
          </w:p>
        </w:tc>
        <w:tc>
          <w:tcPr>
            <w:tcW w:w="1843" w:type="dxa"/>
            <w:vAlign w:val="center"/>
          </w:tcPr>
          <w:p>
            <w:pPr>
              <w:jc w:val="center"/>
              <w:rPr>
                <w:rFonts w:ascii="宋体" w:hAnsi="宋体" w:cs="宋体"/>
                <w:szCs w:val="21"/>
              </w:rPr>
            </w:pPr>
            <w:r>
              <w:rPr>
                <w:rFonts w:hint="eastAsia" w:ascii="宋体" w:hAnsi="宋体" w:cs="宋体"/>
                <w:szCs w:val="21"/>
              </w:rPr>
              <w:t>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6</w:t>
            </w:r>
          </w:p>
        </w:tc>
        <w:tc>
          <w:tcPr>
            <w:tcW w:w="1976" w:type="dxa"/>
            <w:vAlign w:val="center"/>
          </w:tcPr>
          <w:p>
            <w:pPr>
              <w:jc w:val="center"/>
              <w:rPr>
                <w:rFonts w:ascii="宋体" w:hAnsi="宋体" w:cs="宋体"/>
                <w:szCs w:val="21"/>
              </w:rPr>
            </w:pPr>
            <w:r>
              <w:rPr>
                <w:rFonts w:hint="eastAsia" w:ascii="宋体" w:hAnsi="宋体" w:cs="宋体"/>
                <w:szCs w:val="21"/>
              </w:rPr>
              <w:t>[115 120]</w:t>
            </w:r>
          </w:p>
        </w:tc>
        <w:tc>
          <w:tcPr>
            <w:tcW w:w="1907" w:type="dxa"/>
            <w:vAlign w:val="center"/>
          </w:tcPr>
          <w:p>
            <w:pPr>
              <w:jc w:val="center"/>
              <w:rPr>
                <w:rFonts w:ascii="宋体" w:hAnsi="宋体" w:cs="宋体"/>
                <w:szCs w:val="21"/>
              </w:rPr>
            </w:pPr>
            <w:r>
              <w:rPr>
                <w:rFonts w:hint="eastAsia" w:ascii="宋体" w:hAnsi="宋体" w:cs="宋体"/>
                <w:szCs w:val="21"/>
              </w:rPr>
              <w:t>117.5</w:t>
            </w:r>
          </w:p>
        </w:tc>
        <w:tc>
          <w:tcPr>
            <w:tcW w:w="1850" w:type="dxa"/>
            <w:vAlign w:val="center"/>
          </w:tcPr>
          <w:p>
            <w:pPr>
              <w:jc w:val="center"/>
              <w:rPr>
                <w:rFonts w:ascii="宋体" w:hAnsi="宋体" w:cs="宋体"/>
                <w:szCs w:val="21"/>
              </w:rPr>
            </w:pPr>
            <w:r>
              <w:rPr>
                <w:rFonts w:hint="eastAsia" w:ascii="宋体" w:hAnsi="宋体" w:cs="宋体"/>
                <w:szCs w:val="21"/>
              </w:rPr>
              <w:t>9</w:t>
            </w:r>
          </w:p>
        </w:tc>
        <w:tc>
          <w:tcPr>
            <w:tcW w:w="1843" w:type="dxa"/>
            <w:vAlign w:val="center"/>
          </w:tcPr>
          <w:p>
            <w:pPr>
              <w:jc w:val="center"/>
              <w:rPr>
                <w:rFonts w:ascii="宋体" w:hAnsi="宋体" w:cs="宋体"/>
                <w:szCs w:val="21"/>
              </w:rPr>
            </w:pPr>
            <w:r>
              <w:rPr>
                <w:rFonts w:hint="eastAsia" w:ascii="宋体" w:hAnsi="宋体" w:cs="宋体"/>
                <w:szCs w:val="21"/>
              </w:rPr>
              <w:t>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7</w:t>
            </w:r>
          </w:p>
        </w:tc>
        <w:tc>
          <w:tcPr>
            <w:tcW w:w="1976" w:type="dxa"/>
            <w:vAlign w:val="center"/>
          </w:tcPr>
          <w:p>
            <w:pPr>
              <w:jc w:val="center"/>
              <w:rPr>
                <w:rFonts w:ascii="宋体" w:hAnsi="宋体" w:cs="宋体"/>
                <w:szCs w:val="21"/>
              </w:rPr>
            </w:pPr>
            <w:r>
              <w:rPr>
                <w:rFonts w:hint="eastAsia" w:ascii="宋体" w:hAnsi="宋体" w:cs="宋体"/>
                <w:szCs w:val="21"/>
              </w:rPr>
              <w:t>[120 125]</w:t>
            </w:r>
          </w:p>
        </w:tc>
        <w:tc>
          <w:tcPr>
            <w:tcW w:w="1907" w:type="dxa"/>
            <w:vAlign w:val="center"/>
          </w:tcPr>
          <w:p>
            <w:pPr>
              <w:jc w:val="center"/>
              <w:rPr>
                <w:rFonts w:ascii="宋体" w:hAnsi="宋体" w:cs="宋体"/>
                <w:szCs w:val="21"/>
              </w:rPr>
            </w:pPr>
            <w:r>
              <w:rPr>
                <w:rFonts w:hint="eastAsia" w:ascii="宋体" w:hAnsi="宋体" w:cs="宋体"/>
                <w:szCs w:val="21"/>
              </w:rPr>
              <w:t>122.5</w:t>
            </w:r>
          </w:p>
        </w:tc>
        <w:tc>
          <w:tcPr>
            <w:tcW w:w="1850" w:type="dxa"/>
            <w:vAlign w:val="center"/>
          </w:tcPr>
          <w:p>
            <w:pPr>
              <w:jc w:val="center"/>
              <w:rPr>
                <w:rFonts w:ascii="宋体" w:hAnsi="宋体" w:cs="宋体"/>
                <w:szCs w:val="21"/>
              </w:rPr>
            </w:pPr>
            <w:r>
              <w:rPr>
                <w:rFonts w:hint="eastAsia" w:ascii="宋体" w:hAnsi="宋体" w:cs="宋体"/>
                <w:szCs w:val="21"/>
              </w:rPr>
              <w:t>7</w:t>
            </w:r>
          </w:p>
        </w:tc>
        <w:tc>
          <w:tcPr>
            <w:tcW w:w="1843" w:type="dxa"/>
            <w:vAlign w:val="center"/>
          </w:tcPr>
          <w:p>
            <w:pPr>
              <w:jc w:val="center"/>
              <w:rPr>
                <w:rFonts w:ascii="宋体" w:hAnsi="宋体" w:cs="宋体"/>
                <w:szCs w:val="21"/>
              </w:rPr>
            </w:pPr>
            <w:r>
              <w:rPr>
                <w:rFonts w:hint="eastAsia" w:ascii="宋体" w:hAnsi="宋体" w:cs="宋体"/>
                <w:szCs w:val="21"/>
              </w:rPr>
              <w:t>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Align w:val="center"/>
          </w:tcPr>
          <w:p>
            <w:pPr>
              <w:jc w:val="center"/>
              <w:rPr>
                <w:rFonts w:ascii="宋体" w:hAnsi="宋体" w:cs="宋体"/>
                <w:szCs w:val="21"/>
              </w:rPr>
            </w:pPr>
            <w:r>
              <w:rPr>
                <w:rFonts w:hint="eastAsia" w:ascii="宋体" w:hAnsi="宋体" w:cs="宋体"/>
                <w:szCs w:val="21"/>
              </w:rPr>
              <w:t>合计</w:t>
            </w:r>
          </w:p>
        </w:tc>
        <w:tc>
          <w:tcPr>
            <w:tcW w:w="1976" w:type="dxa"/>
            <w:vAlign w:val="center"/>
          </w:tcPr>
          <w:p>
            <w:pPr>
              <w:jc w:val="center"/>
              <w:rPr>
                <w:rFonts w:ascii="宋体" w:hAnsi="宋体" w:cs="宋体"/>
                <w:szCs w:val="21"/>
              </w:rPr>
            </w:pPr>
          </w:p>
        </w:tc>
        <w:tc>
          <w:tcPr>
            <w:tcW w:w="1907" w:type="dxa"/>
            <w:vAlign w:val="center"/>
          </w:tcPr>
          <w:p>
            <w:pPr>
              <w:jc w:val="center"/>
              <w:rPr>
                <w:rFonts w:ascii="宋体" w:hAnsi="宋体" w:cs="宋体"/>
                <w:szCs w:val="21"/>
              </w:rPr>
            </w:pPr>
          </w:p>
        </w:tc>
        <w:tc>
          <w:tcPr>
            <w:tcW w:w="1850" w:type="dxa"/>
            <w:vAlign w:val="center"/>
          </w:tcPr>
          <w:p>
            <w:pPr>
              <w:jc w:val="center"/>
              <w:rPr>
                <w:rFonts w:ascii="宋体" w:hAnsi="宋体" w:cs="宋体"/>
                <w:szCs w:val="21"/>
              </w:rPr>
            </w:pPr>
            <w:r>
              <w:rPr>
                <w:rFonts w:hint="eastAsia" w:ascii="宋体" w:hAnsi="宋体" w:cs="宋体"/>
                <w:szCs w:val="21"/>
              </w:rPr>
              <w:t>115</w:t>
            </w:r>
          </w:p>
        </w:tc>
        <w:tc>
          <w:tcPr>
            <w:tcW w:w="1843" w:type="dxa"/>
            <w:vAlign w:val="center"/>
          </w:tcPr>
          <w:p>
            <w:pPr>
              <w:jc w:val="center"/>
              <w:rPr>
                <w:rFonts w:ascii="宋体" w:hAnsi="宋体" w:cs="宋体"/>
                <w:szCs w:val="21"/>
              </w:rPr>
            </w:pPr>
          </w:p>
        </w:tc>
      </w:tr>
    </w:tbl>
    <w:p>
      <w:pPr>
        <w:spacing w:line="360" w:lineRule="auto"/>
        <w:jc w:val="center"/>
        <w:rPr>
          <w:rFonts w:ascii="宋体" w:hAnsi="宋体"/>
          <w:sz w:val="24"/>
        </w:rPr>
      </w:pPr>
      <w:r>
        <w:rPr>
          <w:rFonts w:ascii="宋体" w:hAnsi="宋体"/>
          <w:sz w:val="24"/>
        </w:rPr>
        <w:drawing>
          <wp:inline distT="0" distB="0" distL="0" distR="0">
            <wp:extent cx="5061585" cy="3178810"/>
            <wp:effectExtent l="0" t="0" r="5715" b="254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420" w:firstLineChars="200"/>
        <w:jc w:val="center"/>
        <w:rPr>
          <w:rFonts w:ascii="宋体" w:hAnsi="宋体"/>
          <w:sz w:val="24"/>
        </w:rPr>
      </w:pPr>
      <w:r>
        <w:rPr>
          <w:rFonts w:hint="eastAsia" w:ascii="宋体" w:hAnsi="宋体" w:cs="宋体"/>
          <w:szCs w:val="21"/>
        </w:rPr>
        <w:t>图2  TAg0.1</w:t>
      </w:r>
      <w:r>
        <w:rPr>
          <w:rFonts w:hint="eastAsia" w:ascii="宋体" w:hAnsi="宋体" w:cs="宋体"/>
          <w:szCs w:val="21"/>
          <w:lang w:val="en-US" w:eastAsia="zh-CN"/>
        </w:rPr>
        <w:t>、</w:t>
      </w:r>
      <w:r>
        <w:rPr>
          <w:rFonts w:hint="eastAsia" w:ascii="宋体" w:hAnsi="宋体" w:cs="宋体"/>
          <w:szCs w:val="21"/>
        </w:rPr>
        <w:t>TAg0.1</w:t>
      </w:r>
      <w:r>
        <w:rPr>
          <w:rFonts w:hint="eastAsia" w:ascii="宋体" w:hAnsi="宋体" w:cs="宋体"/>
          <w:szCs w:val="21"/>
          <w:lang w:val="en-US" w:eastAsia="zh-CN"/>
        </w:rPr>
        <w:t>5</w:t>
      </w:r>
      <w:r>
        <w:rPr>
          <w:rFonts w:hint="eastAsia" w:ascii="宋体" w:hAnsi="宋体" w:cs="宋体"/>
          <w:szCs w:val="21"/>
        </w:rPr>
        <w:t>板(H04态)硬度HV数据直方图</w:t>
      </w:r>
    </w:p>
    <w:p>
      <w:pPr>
        <w:spacing w:beforeLines="50" w:line="360" w:lineRule="auto"/>
        <w:ind w:firstLine="480" w:firstLineChars="200"/>
        <w:rPr>
          <w:rFonts w:hint="eastAsia" w:ascii="宋体" w:hAnsi="宋体"/>
          <w:sz w:val="24"/>
        </w:rPr>
      </w:pPr>
      <w:r>
        <w:rPr>
          <w:rFonts w:hint="eastAsia" w:ascii="宋体" w:hAnsi="宋体" w:cs="宋体"/>
          <w:sz w:val="24"/>
        </w:rPr>
        <w:t>由图表可知，TAg0.1（</w:t>
      </w:r>
      <w:r>
        <w:rPr>
          <w:rFonts w:hint="eastAsia" w:ascii="宋体" w:hAnsi="宋体"/>
          <w:sz w:val="24"/>
        </w:rPr>
        <w:t>T11210</w:t>
      </w:r>
      <w:r>
        <w:rPr>
          <w:rFonts w:hint="eastAsia" w:ascii="宋体" w:hAnsi="宋体" w:cs="宋体"/>
          <w:sz w:val="24"/>
        </w:rPr>
        <w:t>）、</w:t>
      </w:r>
      <w:r>
        <w:rPr>
          <w:rFonts w:hint="eastAsia" w:ascii="宋体" w:hAnsi="宋体"/>
          <w:sz w:val="24"/>
        </w:rPr>
        <w:t>TAg0.15（T11220）</w:t>
      </w:r>
      <w:r>
        <w:rPr>
          <w:rFonts w:hint="eastAsia"/>
        </w:rPr>
        <w:t>板材H04态</w:t>
      </w:r>
      <w:r>
        <w:rPr>
          <w:rFonts w:hint="eastAsia" w:ascii="宋体" w:hAnsi="宋体" w:cs="宋体"/>
          <w:sz w:val="24"/>
        </w:rPr>
        <w:t xml:space="preserve">硬度HBW在95以上的合格率为95.65%。该产品技术指标： </w:t>
      </w:r>
      <w:r>
        <w:rPr>
          <w:rFonts w:hint="eastAsia" w:ascii="宋体" w:hAnsi="宋体"/>
          <w:sz w:val="24"/>
        </w:rPr>
        <w:t>HBW＞</w:t>
      </w:r>
      <w:r>
        <w:rPr>
          <w:rFonts w:hint="eastAsia" w:ascii="宋体" w:hAnsi="宋体" w:cs="宋体"/>
          <w:sz w:val="24"/>
        </w:rPr>
        <w:t>85</w:t>
      </w:r>
      <w:r>
        <w:rPr>
          <w:rFonts w:hint="eastAsia" w:ascii="宋体" w:hAnsi="宋体"/>
          <w:sz w:val="24"/>
        </w:rPr>
        <w:t>，指标制定合理，该产品属于成熟产品。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3.2.5 表面质量</w:t>
      </w:r>
    </w:p>
    <w:p>
      <w:pPr>
        <w:spacing w:beforeLines="50" w:line="360" w:lineRule="auto"/>
        <w:ind w:firstLine="480" w:firstLineChars="200"/>
        <w:rPr>
          <w:rFonts w:hint="eastAsia" w:ascii="宋体" w:hAnsi="宋体" w:cs="宋体"/>
          <w:sz w:val="24"/>
          <w:lang w:val="en-US" w:eastAsia="zh-CN"/>
        </w:rPr>
      </w:pPr>
      <w:r>
        <w:rPr>
          <w:rFonts w:hint="eastAsia" w:ascii="宋体" w:hAnsi="宋体" w:cs="宋体"/>
          <w:sz w:val="24"/>
        </w:rPr>
        <w:t>本标准所含铜合金</w:t>
      </w:r>
      <w:r>
        <w:rPr>
          <w:rFonts w:hint="eastAsia" w:ascii="宋体" w:hAnsi="宋体" w:cs="宋体"/>
          <w:sz w:val="24"/>
          <w:lang w:val="en-US" w:eastAsia="zh-CN"/>
        </w:rPr>
        <w:t>板材的表面质量根据使用要求和实际生产情况确定，随着生产技术的进步和装备的完善，标识手段不再局限于“划线”一种，如指定位置着喷色、喷码、贴标签等等，本次修订对原标准中</w:t>
      </w:r>
      <w:r>
        <w:rPr>
          <w:rFonts w:hint="eastAsia" w:ascii="宋体" w:hAnsi="宋体" w:cs="宋体"/>
          <w:sz w:val="24"/>
        </w:rPr>
        <w:t>“板材的非工作表面应划一红道，予以识别”更改为“板材的非工作表面应进行标识”</w:t>
      </w:r>
      <w:r>
        <w:rPr>
          <w:rFonts w:hint="eastAsia" w:ascii="宋体" w:hAnsi="宋体" w:cs="宋体"/>
          <w:sz w:val="24"/>
          <w:lang w:eastAsia="zh-CN"/>
        </w:rPr>
        <w:t>，</w:t>
      </w:r>
      <w:r>
        <w:rPr>
          <w:rFonts w:hint="eastAsia" w:ascii="宋体" w:hAnsi="宋体" w:cs="宋体"/>
          <w:sz w:val="24"/>
          <w:lang w:val="en-US" w:eastAsia="zh-CN"/>
        </w:rPr>
        <w:t>使其更加灵活和适用。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3.2.6 试验方法</w:t>
      </w:r>
    </w:p>
    <w:p>
      <w:pPr>
        <w:pStyle w:val="4"/>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（1）目前化学分析方法有GB/T 5121《铜及铜合金化学分析方法》系列国标标准，用于化学法分析和仲裁；同时还有行标YS/T 482</w:t>
      </w:r>
      <w:r>
        <w:rPr>
          <w:rFonts w:hint="eastAsia" w:ascii="宋体" w:hAnsi="宋体" w:eastAsia="宋体" w:cs="宋体"/>
          <w:sz w:val="24"/>
          <w:szCs w:val="24"/>
          <w:lang w:eastAsia="zh-CN"/>
        </w:rPr>
        <w:t>《</w:t>
      </w:r>
      <w:r>
        <w:rPr>
          <w:rFonts w:hint="eastAsia" w:ascii="宋体" w:hAnsi="宋体" w:eastAsia="宋体" w:cs="宋体"/>
          <w:sz w:val="24"/>
          <w:szCs w:val="24"/>
        </w:rPr>
        <w:t>铜及铜合金分析方法 火花放电原子发射光谱法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YS/T 483</w:t>
      </w:r>
      <w:r>
        <w:rPr>
          <w:rFonts w:hint="eastAsia" w:ascii="宋体" w:hAnsi="宋体" w:eastAsia="宋体" w:cs="宋体"/>
          <w:sz w:val="24"/>
          <w:szCs w:val="24"/>
          <w:lang w:eastAsia="zh-CN"/>
        </w:rPr>
        <w:t>《</w:t>
      </w:r>
      <w:r>
        <w:rPr>
          <w:rFonts w:hint="eastAsia" w:ascii="宋体" w:hAnsi="宋体" w:eastAsia="宋体" w:cs="宋体"/>
          <w:sz w:val="24"/>
          <w:szCs w:val="24"/>
        </w:rPr>
        <w:t>铜及铜合金分析方法 X射线荧光光谱法（波长色散型）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适合快速分析</w:t>
      </w:r>
      <w:r>
        <w:rPr>
          <w:rFonts w:hint="eastAsia" w:ascii="宋体" w:hAnsi="宋体" w:eastAsia="宋体" w:cs="宋体"/>
          <w:sz w:val="24"/>
          <w:szCs w:val="24"/>
          <w:lang w:eastAsia="zh-CN"/>
        </w:rPr>
        <w:t>。</w:t>
      </w:r>
    </w:p>
    <w:p>
      <w:pPr>
        <w:pStyle w:val="4"/>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本标准板材实际大生产时，化学分析方法GB/T 5121和YS/T 483 均可用于化学分析，指导生产。因此本次修订</w:t>
      </w:r>
      <w:r>
        <w:rPr>
          <w:rFonts w:hint="eastAsia" w:ascii="宋体" w:hAnsi="宋体" w:eastAsia="宋体" w:cs="宋体"/>
          <w:sz w:val="24"/>
          <w:szCs w:val="24"/>
        </w:rPr>
        <w:t>增加了“板材的化学成分分析方法按GB/T5121（所有部分）或YS/T482的规定进行”的规定”</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3.2.6 检验规则</w:t>
      </w:r>
    </w:p>
    <w:p>
      <w:pPr>
        <w:pStyle w:val="4"/>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取样增加“取样方法按YS/T 668的规定进行”的规定，以使检测取样更加规范。</w:t>
      </w:r>
    </w:p>
    <w:p>
      <w:pPr>
        <w:pStyle w:val="4"/>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（2）检验结果判定，增加“检验结果的数值按GB/T 8170规定进行修约，并采用修约值比较法判定”的规定，以规范检测结果修约，为结果判定提供依据。</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四、标准中涉及专利的情况</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sz w:val="24"/>
        </w:rPr>
      </w:pPr>
      <w:r>
        <w:rPr>
          <w:rFonts w:hint="eastAsia" w:ascii="宋体" w:hAnsi="宋体" w:eastAsiaTheme="minorEastAsia" w:cstheme="minorBidi"/>
          <w:color w:val="auto"/>
          <w:kern w:val="2"/>
          <w:sz w:val="24"/>
          <w:szCs w:val="24"/>
          <w:lang w:val="en-US" w:eastAsia="zh-CN" w:bidi="ar-SA"/>
        </w:rPr>
        <w:t>本标准不涉及专利问题。</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五、预期达到的社会效益等情况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5.1 项目的必要性</w:t>
      </w:r>
    </w:p>
    <w:p>
      <w:pPr>
        <w:pStyle w:val="4"/>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现行的YS/T 5677－2010《照相制版用铜板》行业标准，2010年实施，距今已经10年多。GB/T 5231-2010《加工铜及铜合金牌号和化学成分》、GB/T 29094-2012《铜及铜合金状态表示方法》标准已发布实施，合金牌号和状态表示方法有很大的变化。</w:t>
      </w:r>
    </w:p>
    <w:p>
      <w:pPr>
        <w:pStyle w:val="4"/>
        <w:spacing w:line="360" w:lineRule="auto"/>
        <w:ind w:firstLine="480" w:firstLineChars="200"/>
        <w:rPr>
          <w:rFonts w:hint="eastAsia" w:ascii="宋体" w:hAnsi="宋体" w:eastAsiaTheme="minorEastAsia" w:cstheme="minorBidi"/>
          <w:color w:val="FF0000"/>
          <w:kern w:val="2"/>
          <w:sz w:val="21"/>
          <w:szCs w:val="21"/>
          <w:lang w:val="en-US" w:eastAsia="zh-CN" w:bidi="ar-SA"/>
        </w:rPr>
      </w:pPr>
      <w:r>
        <w:rPr>
          <w:rFonts w:hint="eastAsia" w:ascii="宋体" w:hAnsi="宋体" w:eastAsia="宋体" w:cs="宋体"/>
          <w:sz w:val="24"/>
          <w:szCs w:val="24"/>
          <w:lang w:val="en-US" w:eastAsia="zh-CN"/>
        </w:rPr>
        <w:t>标准在使用过程中存在的以上问题及不完善，影响了照相制版质量提高和推广应用，为适应市场的竞争需要，提高产品的竞争能力，需及时修订现行标准。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5.2 项目的可行性</w:t>
      </w:r>
    </w:p>
    <w:p>
      <w:pPr>
        <w:pStyle w:val="4"/>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照相制版铜版，是印刷行业制作凸版印版的专用材料。铜板一般用于制作质量要求较高、印刷数量较多的图案制版。紫铜和银铜具有良好的塑性、导热性、耐蚀性及易加工成型等性能，用于照相制版、印刷摄影图片、包装印刷、电化铝烫印中占有举足轻重的位置。同时替代铅制版，保护工人的健康和人们生活的环境。</w:t>
      </w:r>
    </w:p>
    <w:p>
      <w:pPr>
        <w:pStyle w:val="4"/>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我国经济发展，我国印刷业进入新发展阶段，坚持绿色化、数字化、智能化、融合化的发展方向，正在由规模速度型向质量效益型转型。随着印刷业的发展，对照相制版用铜板也提出更高、更新的需求和技术要求，要求铜板无杂质、性能适中，板材外形尺寸均匀，伸缩性小，抗水性好，同时表面光洁，不许有斑点、条痕、皱纹、孔眼等任何影响使用的缺陷，原标准已不适应市场与照相制版使用要求。如：根据市场需求增加TAg0.1及相应要求，修改后标准牌号有T2、TAg0.1和TAg0.15,可满足不同客户的适用性；增加合金代号，与国际铜的表示更加接轨；原标准状态与新的状态表示标准GB/T 29094-2012不一致；原标准铜板宽度只有400mm、600mm，板材长度范围（550～1200）mm，不能满足照相制版对宽度的需求，修改后板材宽度为（400～880）mm，板材长度为（500～1500）mm,更好的满足照相制版需求；同时增加试样取样按YS/T 668的规定进行、完善随行文件规定等，修订后的标准更加完善和适用。</w:t>
      </w:r>
    </w:p>
    <w:p>
      <w:pPr>
        <w:pStyle w:val="4"/>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的修订有助于铜产品转型升级、消化过剩产能，并促进新产品、新技术发展，提升节能环保产业供给质量和水平。同时提高产品质量的可靠性、稳定性、一致性水平，增加高性能、功能化、差别化产品的有效供给，带动原材料工业质量品牌整体提升，为制造业高质量发展提供保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5.3 标准的先进性、创新性、标准实施后预期产生的经济效益和社会效益</w:t>
      </w:r>
    </w:p>
    <w:p>
      <w:pPr>
        <w:widowControl/>
        <w:shd w:val="clear" w:color="auto" w:fill="FFFFFF"/>
        <w:spacing w:line="360" w:lineRule="auto"/>
        <w:ind w:firstLine="480"/>
        <w:jc w:val="left"/>
        <w:rPr>
          <w:rFonts w:ascii="宋体" w:hAnsi="宋体"/>
          <w:sz w:val="24"/>
        </w:rPr>
      </w:pPr>
      <w:r>
        <w:rPr>
          <w:rFonts w:ascii="宋体" w:hAnsi="宋体"/>
          <w:sz w:val="24"/>
        </w:rPr>
        <w:t>照相</w:t>
      </w:r>
      <w:r>
        <w:rPr>
          <w:rFonts w:hint="eastAsia" w:ascii="宋体" w:hAnsi="宋体"/>
          <w:sz w:val="24"/>
        </w:rPr>
        <w:t>制</w:t>
      </w:r>
      <w:r>
        <w:rPr>
          <w:rFonts w:ascii="宋体" w:hAnsi="宋体"/>
          <w:sz w:val="24"/>
        </w:rPr>
        <w:t>版铜版</w:t>
      </w:r>
      <w:r>
        <w:rPr>
          <w:rFonts w:hint="eastAsia" w:ascii="宋体" w:hAnsi="宋体"/>
          <w:sz w:val="24"/>
        </w:rPr>
        <w:t>，是印刷行业制作</w:t>
      </w:r>
      <w:r>
        <w:rPr>
          <w:rFonts w:ascii="Arial" w:hAnsi="Arial" w:cs="宋体"/>
          <w:kern w:val="0"/>
          <w:sz w:val="24"/>
        </w:rPr>
        <w:t>凸版印版</w:t>
      </w:r>
      <w:r>
        <w:rPr>
          <w:rFonts w:hint="eastAsia" w:ascii="Arial" w:hAnsi="Arial" w:cs="宋体"/>
          <w:kern w:val="0"/>
          <w:sz w:val="24"/>
        </w:rPr>
        <w:t>的专用材料</w:t>
      </w:r>
      <w:r>
        <w:rPr>
          <w:rFonts w:hint="eastAsia" w:ascii="宋体" w:hAnsi="宋体"/>
          <w:sz w:val="24"/>
        </w:rPr>
        <w:t>。铜板一般用于制作质量要求较高、印刷数量较多的图案制版。</w:t>
      </w:r>
      <w:r>
        <w:rPr>
          <w:rFonts w:ascii="宋体" w:hAnsi="宋体"/>
          <w:sz w:val="24"/>
        </w:rPr>
        <w:t>紫铜</w:t>
      </w:r>
      <w:r>
        <w:rPr>
          <w:rFonts w:hint="eastAsia" w:ascii="宋体" w:hAnsi="宋体"/>
          <w:sz w:val="24"/>
        </w:rPr>
        <w:t>和银铜具有良好的塑性、导热性、耐蚀性及易加工成型等性能，</w:t>
      </w:r>
      <w:r>
        <w:rPr>
          <w:rFonts w:ascii="宋体" w:hAnsi="宋体"/>
          <w:sz w:val="24"/>
        </w:rPr>
        <w:t>用于</w:t>
      </w:r>
      <w:r>
        <w:rPr>
          <w:rFonts w:hint="eastAsia" w:ascii="宋体" w:hAnsi="宋体"/>
          <w:sz w:val="24"/>
        </w:rPr>
        <w:t>照相制版、</w:t>
      </w:r>
      <w:r>
        <w:rPr>
          <w:rFonts w:ascii="宋体" w:hAnsi="宋体"/>
          <w:sz w:val="24"/>
        </w:rPr>
        <w:t>印刷摄影图片</w:t>
      </w:r>
      <w:r>
        <w:rPr>
          <w:rFonts w:hint="eastAsia" w:ascii="宋体" w:hAnsi="宋体"/>
          <w:sz w:val="24"/>
        </w:rPr>
        <w:t>、</w:t>
      </w:r>
      <w:r>
        <w:rPr>
          <w:rFonts w:ascii="宋体" w:hAnsi="宋体"/>
          <w:sz w:val="24"/>
        </w:rPr>
        <w:t>包装印刷、电化铝烫印中占有举足轻重的位置。</w:t>
      </w:r>
      <w:r>
        <w:rPr>
          <w:rFonts w:hint="eastAsia" w:ascii="宋体" w:hAnsi="宋体"/>
          <w:sz w:val="24"/>
        </w:rPr>
        <w:t>同时替代</w:t>
      </w:r>
      <w:r>
        <w:rPr>
          <w:rFonts w:ascii="宋体" w:hAnsi="宋体"/>
          <w:sz w:val="24"/>
        </w:rPr>
        <w:t>铅</w:t>
      </w:r>
      <w:r>
        <w:rPr>
          <w:rFonts w:hint="eastAsia" w:ascii="宋体" w:hAnsi="宋体"/>
          <w:sz w:val="24"/>
        </w:rPr>
        <w:t>制版</w:t>
      </w:r>
      <w:r>
        <w:rPr>
          <w:rFonts w:ascii="宋体" w:hAnsi="宋体"/>
          <w:sz w:val="24"/>
        </w:rPr>
        <w:t>，保护工人的健康和人们生活的环境。</w:t>
      </w:r>
    </w:p>
    <w:p>
      <w:pPr>
        <w:pStyle w:val="16"/>
        <w:spacing w:before="0" w:beforeAutospacing="0" w:after="0" w:afterAutospacing="0" w:line="360" w:lineRule="auto"/>
        <w:ind w:firstLine="482"/>
        <w:rPr>
          <w:rFonts w:hint="default"/>
          <w:lang w:val="en-US" w:eastAsia="zh-CN"/>
        </w:rPr>
      </w:pPr>
      <w:r>
        <w:rPr>
          <w:rFonts w:hint="eastAsia"/>
        </w:rPr>
        <w:t>本标准的修订有助于铜产品转型升级、消化过剩产能，并促进新产品、新技术发展，提升节能环保产业供给质量和水平。同时提高产品质量的可靠性、稳定性、一致性水平，增加高性能、功能化、差别化产品的有效供给，带动原材料工业质量品牌整体提升，为制造业高质量发展提供保障。本标准</w:t>
      </w:r>
      <w:r>
        <w:t>结合了我国</w:t>
      </w:r>
      <w:r>
        <w:rPr>
          <w:rFonts w:hint="eastAsia"/>
        </w:rPr>
        <w:t>照相制版用铜板</w:t>
      </w:r>
      <w:r>
        <w:rPr>
          <w:rFonts w:hint="eastAsia"/>
          <w:kern w:val="2"/>
        </w:rPr>
        <w:t>材</w:t>
      </w:r>
      <w:r>
        <w:t>生产</w:t>
      </w:r>
      <w:r>
        <w:rPr>
          <w:rFonts w:hint="eastAsia"/>
        </w:rPr>
        <w:t>情况</w:t>
      </w:r>
      <w:r>
        <w:t>及用户技术要求，</w:t>
      </w:r>
      <w:r>
        <w:rPr>
          <w:rFonts w:hint="eastAsia"/>
        </w:rPr>
        <w:t>技术指标合理，具有普遍性、广泛性、适用性、科学性和先进性。本标准发布后，照相制版用铜板</w:t>
      </w:r>
      <w:r>
        <w:rPr>
          <w:rFonts w:hint="eastAsia"/>
          <w:kern w:val="2"/>
        </w:rPr>
        <w:t>材质量和</w:t>
      </w:r>
      <w:r>
        <w:rPr>
          <w:rFonts w:hint="eastAsia"/>
        </w:rPr>
        <w:t>市场竞争力，为生产企业带来良好的经济效益</w:t>
      </w:r>
      <w:r>
        <w:t>，为下游用户提供产品验</w:t>
      </w:r>
      <w:r>
        <w:rPr>
          <w:rFonts w:hint="eastAsia"/>
        </w:rPr>
        <w:t>收标准</w:t>
      </w:r>
      <w:r>
        <w:t>。</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六、采用国际标准和国外先进标准的情况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b w:val="0"/>
          <w:bCs/>
          <w:sz w:val="24"/>
          <w:lang w:val="en-US" w:eastAsia="zh-CN"/>
        </w:rPr>
      </w:pPr>
      <w:r>
        <w:rPr>
          <w:rFonts w:hint="eastAsia" w:ascii="黑体" w:hAnsi="黑体" w:eastAsia="黑体" w:cs="黑体"/>
          <w:b w:val="0"/>
          <w:bCs/>
          <w:sz w:val="24"/>
          <w:lang w:val="en-US" w:eastAsia="zh-CN"/>
        </w:rPr>
        <w:t>6.1、与国内外标准</w:t>
      </w:r>
      <w:r>
        <w:rPr>
          <w:rFonts w:hint="eastAsia" w:ascii="黑体" w:hAnsi="宋体" w:eastAsia="黑体" w:cs="宋体"/>
          <w:bCs/>
          <w:color w:val="auto"/>
          <w:sz w:val="24"/>
          <w:szCs w:val="24"/>
          <w:lang w:val="en-US" w:eastAsia="zh-CN"/>
        </w:rPr>
        <w:t>对比</w:t>
      </w:r>
    </w:p>
    <w:p>
      <w:pPr>
        <w:spacing w:line="360" w:lineRule="auto"/>
        <w:ind w:firstLine="480" w:firstLineChars="200"/>
        <w:rPr>
          <w:rFonts w:ascii="宋体" w:hAnsi="宋体"/>
          <w:sz w:val="24"/>
        </w:rPr>
      </w:pPr>
      <w:r>
        <w:rPr>
          <w:rFonts w:hint="eastAsia" w:ascii="宋体" w:hAnsi="宋体"/>
          <w:sz w:val="24"/>
        </w:rPr>
        <w:t>目前尚</w:t>
      </w:r>
      <w:r>
        <w:rPr>
          <w:rFonts w:ascii="宋体" w:hAnsi="宋体"/>
          <w:sz w:val="24"/>
        </w:rPr>
        <w:t>未查询到国内外已发布实施</w:t>
      </w:r>
      <w:r>
        <w:rPr>
          <w:rFonts w:hint="eastAsia" w:ascii="宋体" w:hAnsi="宋体"/>
          <w:sz w:val="24"/>
        </w:rPr>
        <w:t>的用于照相制版用铜板材专用技术</w:t>
      </w:r>
      <w:r>
        <w:rPr>
          <w:rFonts w:ascii="宋体" w:hAnsi="宋体"/>
          <w:sz w:val="24"/>
        </w:rPr>
        <w:t>标准。</w:t>
      </w:r>
      <w:r>
        <w:rPr>
          <w:rFonts w:hint="eastAsia" w:ascii="宋体" w:hAnsi="宋体"/>
          <w:sz w:val="24"/>
        </w:rPr>
        <w:t>本标准分别与ASTM B152-2019《铜薄板、带材、厚板和轧制条材》中C11000、C11400和C11600薄板材对比如下：</w:t>
      </w:r>
    </w:p>
    <w:p>
      <w:pPr>
        <w:pStyle w:val="4"/>
        <w:spacing w:line="360" w:lineRule="auto"/>
        <w:ind w:firstLine="480" w:firstLineChars="200"/>
        <w:rPr>
          <w:rFonts w:ascii="宋体" w:hAnsi="宋体"/>
          <w:sz w:val="24"/>
          <w:szCs w:val="24"/>
        </w:rPr>
      </w:pPr>
      <w:r>
        <w:rPr>
          <w:rFonts w:hint="eastAsia" w:ascii="宋体" w:hAnsi="宋体"/>
          <w:sz w:val="24"/>
          <w:szCs w:val="24"/>
        </w:rPr>
        <w:t>（1）本标准厚度与</w:t>
      </w:r>
      <w:r>
        <w:rPr>
          <w:rFonts w:hint="eastAsia" w:ascii="宋体" w:hAnsi="宋体"/>
          <w:sz w:val="24"/>
        </w:rPr>
        <w:t>ASTM B152</w:t>
      </w:r>
      <w:r>
        <w:rPr>
          <w:rFonts w:hint="eastAsia" w:ascii="宋体" w:hAnsi="宋体"/>
          <w:sz w:val="24"/>
          <w:szCs w:val="24"/>
        </w:rPr>
        <w:t>标准允许偏差对比分别见表</w:t>
      </w:r>
      <w:r>
        <w:rPr>
          <w:rFonts w:hint="eastAsia" w:ascii="宋体" w:hAnsi="宋体"/>
          <w:sz w:val="24"/>
          <w:szCs w:val="24"/>
          <w:lang w:val="en-US" w:eastAsia="zh-CN"/>
        </w:rPr>
        <w:t>7</w:t>
      </w:r>
      <w:r>
        <w:rPr>
          <w:rFonts w:hint="eastAsia" w:ascii="宋体" w:hAnsi="宋体"/>
          <w:sz w:val="24"/>
          <w:szCs w:val="24"/>
        </w:rPr>
        <w:t>和表</w:t>
      </w:r>
      <w:r>
        <w:rPr>
          <w:rFonts w:hint="eastAsia" w:ascii="宋体" w:hAnsi="宋体"/>
          <w:sz w:val="24"/>
          <w:szCs w:val="24"/>
          <w:lang w:val="en-US" w:eastAsia="zh-CN"/>
        </w:rPr>
        <w:t>8</w:t>
      </w:r>
      <w:r>
        <w:rPr>
          <w:rFonts w:hint="eastAsia" w:ascii="宋体" w:hAnsi="宋体"/>
          <w:sz w:val="24"/>
          <w:szCs w:val="24"/>
        </w:rPr>
        <w:t>。对比可知，本标准宽度允许偏差高于</w:t>
      </w:r>
      <w:r>
        <w:rPr>
          <w:rFonts w:hint="eastAsia" w:ascii="宋体" w:hAnsi="宋体"/>
          <w:sz w:val="24"/>
        </w:rPr>
        <w:t>ASTM B152</w:t>
      </w:r>
      <w:r>
        <w:rPr>
          <w:rFonts w:hint="eastAsia" w:ascii="宋体" w:hAnsi="宋体"/>
          <w:sz w:val="24"/>
          <w:szCs w:val="24"/>
        </w:rPr>
        <w:t>标准水平。</w:t>
      </w:r>
    </w:p>
    <w:p>
      <w:pPr>
        <w:pStyle w:val="4"/>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rPr>
      </w:pPr>
      <w:r>
        <w:rPr>
          <w:rFonts w:hint="eastAsia" w:ascii="宋体" w:hAnsi="宋体"/>
          <w:sz w:val="24"/>
          <w:szCs w:val="24"/>
        </w:rPr>
        <w:t xml:space="preserve">            表</w:t>
      </w:r>
      <w:r>
        <w:rPr>
          <w:rFonts w:hint="eastAsia" w:ascii="宋体" w:hAnsi="宋体"/>
          <w:sz w:val="24"/>
          <w:szCs w:val="24"/>
          <w:lang w:val="en-US" w:eastAsia="zh-CN"/>
        </w:rPr>
        <w:t>7</w:t>
      </w:r>
      <w:r>
        <w:rPr>
          <w:rFonts w:hint="eastAsia" w:ascii="宋体" w:hAnsi="宋体"/>
          <w:sz w:val="24"/>
          <w:szCs w:val="24"/>
        </w:rPr>
        <w:t xml:space="preserve">   本标准板材厚度允许偏差对比           </w:t>
      </w:r>
      <w:r>
        <w:rPr>
          <w:rFonts w:hint="eastAsia" w:ascii="宋体" w:hAnsi="宋体"/>
        </w:rPr>
        <w:t>单位为毫米</w:t>
      </w:r>
    </w:p>
    <w:tbl>
      <w:tblPr>
        <w:tblStyle w:val="17"/>
        <w:tblW w:w="44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494"/>
        <w:gridCol w:w="1608"/>
        <w:gridCol w:w="1467"/>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27" w:type="pct"/>
            <w:vMerge w:val="restart"/>
            <w:vAlign w:val="center"/>
          </w:tcPr>
          <w:p>
            <w:pPr>
              <w:adjustRightInd w:val="0"/>
              <w:jc w:val="center"/>
              <w:rPr>
                <w:rFonts w:ascii="宋体" w:hAnsi="宋体"/>
                <w:sz w:val="21"/>
                <w:szCs w:val="21"/>
              </w:rPr>
            </w:pPr>
            <w:r>
              <w:rPr>
                <w:rFonts w:hint="eastAsia" w:ascii="宋体" w:hAnsi="宋体"/>
                <w:sz w:val="21"/>
                <w:szCs w:val="21"/>
              </w:rPr>
              <w:t>厚度</w:t>
            </w:r>
          </w:p>
        </w:tc>
        <w:tc>
          <w:tcPr>
            <w:tcW w:w="1935" w:type="pct"/>
            <w:gridSpan w:val="2"/>
            <w:vAlign w:val="center"/>
          </w:tcPr>
          <w:p>
            <w:pPr>
              <w:adjustRightInd w:val="0"/>
              <w:jc w:val="center"/>
              <w:rPr>
                <w:rFonts w:ascii="宋体" w:hAnsi="宋体"/>
                <w:sz w:val="21"/>
                <w:szCs w:val="21"/>
              </w:rPr>
            </w:pPr>
            <w:r>
              <w:rPr>
                <w:rFonts w:hint="eastAsia" w:ascii="宋体" w:hAnsi="宋体"/>
                <w:sz w:val="21"/>
                <w:szCs w:val="21"/>
              </w:rPr>
              <w:t>宽度400～＜600</w:t>
            </w:r>
          </w:p>
        </w:tc>
        <w:tc>
          <w:tcPr>
            <w:tcW w:w="2037" w:type="pct"/>
            <w:gridSpan w:val="2"/>
          </w:tcPr>
          <w:p>
            <w:pPr>
              <w:adjustRightInd w:val="0"/>
              <w:jc w:val="center"/>
              <w:rPr>
                <w:rFonts w:ascii="宋体" w:hAnsi="宋体"/>
                <w:sz w:val="21"/>
                <w:szCs w:val="21"/>
              </w:rPr>
            </w:pPr>
            <w:r>
              <w:rPr>
                <w:rFonts w:hint="eastAsia" w:ascii="宋体" w:hAnsi="宋体"/>
                <w:sz w:val="21"/>
                <w:szCs w:val="21"/>
              </w:rPr>
              <w:t>宽度700～900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27" w:type="pct"/>
            <w:vMerge w:val="continue"/>
            <w:vAlign w:val="center"/>
          </w:tcPr>
          <w:p>
            <w:pPr>
              <w:adjustRightInd w:val="0"/>
              <w:jc w:val="center"/>
              <w:rPr>
                <w:rFonts w:ascii="宋体" w:hAnsi="宋体"/>
                <w:sz w:val="21"/>
                <w:szCs w:val="21"/>
              </w:rPr>
            </w:pPr>
          </w:p>
        </w:tc>
        <w:tc>
          <w:tcPr>
            <w:tcW w:w="932" w:type="pct"/>
            <w:vAlign w:val="center"/>
          </w:tcPr>
          <w:p>
            <w:pPr>
              <w:adjustRightInd w:val="0"/>
              <w:jc w:val="center"/>
              <w:rPr>
                <w:rFonts w:ascii="宋体" w:hAnsi="宋体"/>
                <w:sz w:val="21"/>
                <w:szCs w:val="21"/>
              </w:rPr>
            </w:pPr>
            <w:r>
              <w:rPr>
                <w:rFonts w:hint="eastAsia" w:ascii="宋体" w:hAnsi="宋体"/>
                <w:sz w:val="21"/>
                <w:szCs w:val="21"/>
              </w:rPr>
              <w:t>普通级</w:t>
            </w:r>
          </w:p>
        </w:tc>
        <w:tc>
          <w:tcPr>
            <w:tcW w:w="1003" w:type="pct"/>
            <w:vAlign w:val="center"/>
          </w:tcPr>
          <w:p>
            <w:pPr>
              <w:adjustRightInd w:val="0"/>
              <w:jc w:val="center"/>
              <w:rPr>
                <w:rFonts w:ascii="宋体" w:hAnsi="宋体"/>
                <w:sz w:val="21"/>
                <w:szCs w:val="21"/>
              </w:rPr>
            </w:pPr>
            <w:r>
              <w:rPr>
                <w:rFonts w:hint="eastAsia" w:ascii="宋体" w:hAnsi="宋体"/>
                <w:sz w:val="21"/>
                <w:szCs w:val="21"/>
              </w:rPr>
              <w:t>高精级</w:t>
            </w:r>
          </w:p>
        </w:tc>
        <w:tc>
          <w:tcPr>
            <w:tcW w:w="915" w:type="pct"/>
            <w:vAlign w:val="center"/>
          </w:tcPr>
          <w:p>
            <w:pPr>
              <w:adjustRightInd w:val="0"/>
              <w:jc w:val="center"/>
              <w:rPr>
                <w:rFonts w:ascii="宋体" w:hAnsi="宋体"/>
                <w:sz w:val="21"/>
                <w:szCs w:val="21"/>
              </w:rPr>
            </w:pPr>
            <w:r>
              <w:rPr>
                <w:rFonts w:hint="eastAsia" w:ascii="宋体" w:hAnsi="宋体"/>
                <w:sz w:val="21"/>
                <w:szCs w:val="21"/>
              </w:rPr>
              <w:t>普通级</w:t>
            </w:r>
          </w:p>
        </w:tc>
        <w:tc>
          <w:tcPr>
            <w:tcW w:w="1122" w:type="pct"/>
            <w:vAlign w:val="center"/>
          </w:tcPr>
          <w:p>
            <w:pPr>
              <w:adjustRightInd w:val="0"/>
              <w:jc w:val="center"/>
              <w:rPr>
                <w:rFonts w:ascii="宋体" w:hAnsi="宋体"/>
                <w:sz w:val="21"/>
                <w:szCs w:val="21"/>
              </w:rPr>
            </w:pPr>
            <w:r>
              <w:rPr>
                <w:rFonts w:hint="eastAsia" w:ascii="宋体" w:hAnsi="宋体"/>
                <w:sz w:val="21"/>
                <w:szCs w:val="21"/>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27" w:type="pct"/>
            <w:vAlign w:val="center"/>
          </w:tcPr>
          <w:p>
            <w:pPr>
              <w:adjustRightInd w:val="0"/>
              <w:jc w:val="center"/>
              <w:rPr>
                <w:rFonts w:ascii="宋体" w:hAnsi="宋体"/>
                <w:sz w:val="21"/>
                <w:szCs w:val="21"/>
              </w:rPr>
            </w:pPr>
            <w:r>
              <w:rPr>
                <w:rFonts w:ascii="宋体" w:hAnsi="宋体"/>
                <w:sz w:val="21"/>
                <w:szCs w:val="21"/>
              </w:rPr>
              <w:t>0.</w:t>
            </w:r>
            <w:r>
              <w:rPr>
                <w:rFonts w:hint="eastAsia" w:ascii="宋体" w:hAnsi="宋体"/>
                <w:sz w:val="21"/>
                <w:szCs w:val="21"/>
              </w:rPr>
              <w:t>7</w:t>
            </w:r>
            <w:r>
              <w:rPr>
                <w:rFonts w:ascii="宋体" w:hAnsi="宋体"/>
                <w:sz w:val="21"/>
                <w:szCs w:val="21"/>
              </w:rPr>
              <w:t>0</w:t>
            </w:r>
            <w:r>
              <w:rPr>
                <w:rFonts w:hint="eastAsia" w:ascii="宋体" w:hAnsi="宋体"/>
                <w:sz w:val="21"/>
                <w:szCs w:val="21"/>
              </w:rPr>
              <w:t>、0.8</w:t>
            </w:r>
          </w:p>
        </w:tc>
        <w:tc>
          <w:tcPr>
            <w:tcW w:w="932" w:type="pct"/>
            <w:vAlign w:val="center"/>
          </w:tcPr>
          <w:p>
            <w:pPr>
              <w:jc w:val="center"/>
              <w:rPr>
                <w:rFonts w:ascii="宋体" w:hAnsi="宋体"/>
                <w:sz w:val="21"/>
                <w:szCs w:val="21"/>
              </w:rPr>
            </w:pPr>
            <w:r>
              <w:rPr>
                <w:rFonts w:hint="eastAsia" w:ascii="宋体" w:hAnsi="宋体"/>
                <w:sz w:val="21"/>
                <w:szCs w:val="21"/>
              </w:rPr>
              <w:t>±0.035</w:t>
            </w:r>
          </w:p>
        </w:tc>
        <w:tc>
          <w:tcPr>
            <w:tcW w:w="1003" w:type="pct"/>
            <w:vAlign w:val="center"/>
          </w:tcPr>
          <w:p>
            <w:pPr>
              <w:adjustRightInd w:val="0"/>
              <w:jc w:val="center"/>
              <w:rPr>
                <w:rFonts w:ascii="宋体" w:hAnsi="宋体"/>
                <w:sz w:val="21"/>
                <w:szCs w:val="21"/>
              </w:rPr>
            </w:pPr>
            <w:r>
              <w:rPr>
                <w:rFonts w:hint="eastAsia" w:ascii="宋体" w:hAnsi="宋体"/>
                <w:sz w:val="21"/>
                <w:szCs w:val="21"/>
              </w:rPr>
              <w:t>±0.030</w:t>
            </w:r>
          </w:p>
        </w:tc>
        <w:tc>
          <w:tcPr>
            <w:tcW w:w="915" w:type="pct"/>
            <w:vAlign w:val="center"/>
          </w:tcPr>
          <w:p>
            <w:pPr>
              <w:jc w:val="center"/>
              <w:rPr>
                <w:rFonts w:ascii="宋体" w:hAnsi="宋体"/>
                <w:sz w:val="21"/>
                <w:szCs w:val="21"/>
              </w:rPr>
            </w:pPr>
            <w:r>
              <w:rPr>
                <w:rFonts w:hint="eastAsia" w:ascii="宋体" w:hAnsi="宋体"/>
                <w:sz w:val="21"/>
                <w:szCs w:val="21"/>
              </w:rPr>
              <w:t>-</w:t>
            </w:r>
          </w:p>
        </w:tc>
        <w:tc>
          <w:tcPr>
            <w:tcW w:w="1122" w:type="pct"/>
            <w:vAlign w:val="center"/>
          </w:tcPr>
          <w:p>
            <w:pPr>
              <w:adjustRightInd w:val="0"/>
              <w:jc w:val="center"/>
              <w:rPr>
                <w:rFonts w:ascii="宋体" w:hAnsi="宋体"/>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27" w:type="pct"/>
            <w:vAlign w:val="center"/>
          </w:tcPr>
          <w:p>
            <w:pPr>
              <w:adjustRightInd w:val="0"/>
              <w:jc w:val="center"/>
              <w:rPr>
                <w:rFonts w:ascii="宋体" w:hAnsi="宋体"/>
                <w:sz w:val="21"/>
                <w:szCs w:val="21"/>
              </w:rPr>
            </w:pPr>
            <w:r>
              <w:rPr>
                <w:rFonts w:hint="eastAsia" w:ascii="宋体" w:hAnsi="宋体"/>
                <w:sz w:val="21"/>
                <w:szCs w:val="21"/>
              </w:rPr>
              <w:t>1.0～1.2</w:t>
            </w:r>
          </w:p>
        </w:tc>
        <w:tc>
          <w:tcPr>
            <w:tcW w:w="932" w:type="pct"/>
            <w:vAlign w:val="center"/>
          </w:tcPr>
          <w:p>
            <w:pPr>
              <w:jc w:val="center"/>
              <w:rPr>
                <w:rFonts w:ascii="宋体" w:hAnsi="宋体"/>
                <w:sz w:val="21"/>
                <w:szCs w:val="21"/>
              </w:rPr>
            </w:pPr>
            <w:r>
              <w:rPr>
                <w:rFonts w:hint="eastAsia" w:ascii="宋体" w:hAnsi="宋体"/>
                <w:sz w:val="21"/>
                <w:szCs w:val="21"/>
              </w:rPr>
              <w:t>±0.040</w:t>
            </w:r>
          </w:p>
        </w:tc>
        <w:tc>
          <w:tcPr>
            <w:tcW w:w="1003" w:type="pct"/>
            <w:vAlign w:val="center"/>
          </w:tcPr>
          <w:p>
            <w:pPr>
              <w:adjustRightInd w:val="0"/>
              <w:jc w:val="center"/>
              <w:rPr>
                <w:rFonts w:ascii="宋体" w:hAnsi="宋体"/>
                <w:sz w:val="21"/>
                <w:szCs w:val="21"/>
              </w:rPr>
            </w:pPr>
            <w:r>
              <w:rPr>
                <w:rFonts w:hint="eastAsia" w:ascii="宋体" w:hAnsi="宋体"/>
                <w:sz w:val="21"/>
                <w:szCs w:val="21"/>
              </w:rPr>
              <w:t>±0.030</w:t>
            </w:r>
          </w:p>
        </w:tc>
        <w:tc>
          <w:tcPr>
            <w:tcW w:w="915" w:type="pct"/>
            <w:vAlign w:val="center"/>
          </w:tcPr>
          <w:p>
            <w:pPr>
              <w:jc w:val="center"/>
              <w:rPr>
                <w:rFonts w:ascii="宋体" w:hAnsi="宋体"/>
                <w:sz w:val="21"/>
                <w:szCs w:val="21"/>
              </w:rPr>
            </w:pPr>
            <w:r>
              <w:rPr>
                <w:rFonts w:hint="eastAsia" w:ascii="宋体" w:hAnsi="宋体"/>
                <w:sz w:val="21"/>
                <w:szCs w:val="21"/>
              </w:rPr>
              <w:t>±0.065</w:t>
            </w:r>
          </w:p>
        </w:tc>
        <w:tc>
          <w:tcPr>
            <w:tcW w:w="1122" w:type="pct"/>
            <w:vAlign w:val="center"/>
          </w:tcPr>
          <w:p>
            <w:pPr>
              <w:adjustRightInd w:val="0"/>
              <w:jc w:val="center"/>
              <w:rPr>
                <w:rFonts w:ascii="宋体" w:hAnsi="宋体"/>
                <w:sz w:val="21"/>
                <w:szCs w:val="21"/>
              </w:rPr>
            </w:pPr>
            <w:r>
              <w:rPr>
                <w:rFonts w:hint="eastAsia" w:ascii="宋体" w:hAnsi="宋体"/>
                <w:sz w:val="21"/>
                <w:szCs w:val="21"/>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27" w:type="pct"/>
            <w:vAlign w:val="center"/>
          </w:tcPr>
          <w:p>
            <w:pPr>
              <w:adjustRightInd w:val="0"/>
              <w:jc w:val="center"/>
              <w:rPr>
                <w:rFonts w:ascii="宋体" w:hAnsi="宋体"/>
                <w:sz w:val="21"/>
                <w:szCs w:val="21"/>
              </w:rPr>
            </w:pPr>
            <w:r>
              <w:rPr>
                <w:rFonts w:hint="eastAsia" w:ascii="宋体" w:hAnsi="宋体"/>
                <w:sz w:val="21"/>
                <w:szCs w:val="21"/>
              </w:rPr>
              <w:t>1.4、1.5</w:t>
            </w:r>
          </w:p>
        </w:tc>
        <w:tc>
          <w:tcPr>
            <w:tcW w:w="932" w:type="pct"/>
            <w:vAlign w:val="center"/>
          </w:tcPr>
          <w:p>
            <w:pPr>
              <w:jc w:val="center"/>
              <w:rPr>
                <w:rFonts w:ascii="宋体" w:hAnsi="宋体"/>
                <w:sz w:val="21"/>
                <w:szCs w:val="21"/>
              </w:rPr>
            </w:pPr>
            <w:r>
              <w:rPr>
                <w:rFonts w:hint="eastAsia" w:ascii="宋体" w:hAnsi="宋体"/>
                <w:sz w:val="21"/>
                <w:szCs w:val="21"/>
              </w:rPr>
              <w:t>±0.045</w:t>
            </w:r>
          </w:p>
        </w:tc>
        <w:tc>
          <w:tcPr>
            <w:tcW w:w="1003" w:type="pct"/>
            <w:vAlign w:val="center"/>
          </w:tcPr>
          <w:p>
            <w:pPr>
              <w:adjustRightInd w:val="0"/>
              <w:jc w:val="center"/>
              <w:rPr>
                <w:rFonts w:ascii="宋体" w:hAnsi="宋体"/>
                <w:sz w:val="21"/>
                <w:szCs w:val="21"/>
              </w:rPr>
            </w:pPr>
            <w:r>
              <w:rPr>
                <w:rFonts w:hint="eastAsia" w:ascii="宋体" w:hAnsi="宋体"/>
                <w:sz w:val="21"/>
                <w:szCs w:val="21"/>
              </w:rPr>
              <w:t>±0.030</w:t>
            </w:r>
          </w:p>
        </w:tc>
        <w:tc>
          <w:tcPr>
            <w:tcW w:w="915" w:type="pct"/>
            <w:vAlign w:val="center"/>
          </w:tcPr>
          <w:p>
            <w:pPr>
              <w:jc w:val="center"/>
              <w:rPr>
                <w:rFonts w:ascii="宋体" w:hAnsi="宋体"/>
                <w:sz w:val="21"/>
                <w:szCs w:val="21"/>
              </w:rPr>
            </w:pPr>
            <w:r>
              <w:rPr>
                <w:rFonts w:hint="eastAsia" w:ascii="宋体" w:hAnsi="宋体"/>
                <w:sz w:val="21"/>
                <w:szCs w:val="21"/>
              </w:rPr>
              <w:t>±0.075</w:t>
            </w:r>
          </w:p>
        </w:tc>
        <w:tc>
          <w:tcPr>
            <w:tcW w:w="1122" w:type="pct"/>
            <w:vAlign w:val="center"/>
          </w:tcPr>
          <w:p>
            <w:pPr>
              <w:adjustRightInd w:val="0"/>
              <w:jc w:val="center"/>
              <w:rPr>
                <w:rFonts w:ascii="宋体" w:hAnsi="宋体"/>
                <w:sz w:val="21"/>
                <w:szCs w:val="21"/>
              </w:rPr>
            </w:pPr>
            <w:r>
              <w:rPr>
                <w:rFonts w:hint="eastAsia" w:ascii="宋体" w:hAnsi="宋体"/>
                <w:sz w:val="21"/>
                <w:szCs w:val="21"/>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27" w:type="pct"/>
            <w:vAlign w:val="center"/>
          </w:tcPr>
          <w:p>
            <w:pPr>
              <w:adjustRightInd w:val="0"/>
              <w:jc w:val="center"/>
              <w:rPr>
                <w:rFonts w:ascii="宋体" w:hAnsi="宋体"/>
                <w:sz w:val="21"/>
                <w:szCs w:val="21"/>
              </w:rPr>
            </w:pPr>
            <w:r>
              <w:rPr>
                <w:rFonts w:hint="eastAsia" w:ascii="宋体" w:hAnsi="宋体"/>
                <w:sz w:val="21"/>
                <w:szCs w:val="21"/>
              </w:rPr>
              <w:t>2.0</w:t>
            </w:r>
          </w:p>
        </w:tc>
        <w:tc>
          <w:tcPr>
            <w:tcW w:w="932" w:type="pct"/>
            <w:vAlign w:val="center"/>
          </w:tcPr>
          <w:p>
            <w:pPr>
              <w:jc w:val="center"/>
              <w:rPr>
                <w:rFonts w:ascii="宋体" w:hAnsi="宋体"/>
                <w:sz w:val="21"/>
                <w:szCs w:val="21"/>
              </w:rPr>
            </w:pPr>
            <w:r>
              <w:rPr>
                <w:rFonts w:hint="eastAsia" w:ascii="宋体" w:hAnsi="宋体"/>
                <w:sz w:val="21"/>
                <w:szCs w:val="21"/>
              </w:rPr>
              <w:t>±0.045</w:t>
            </w:r>
          </w:p>
        </w:tc>
        <w:tc>
          <w:tcPr>
            <w:tcW w:w="1003" w:type="pct"/>
            <w:vAlign w:val="center"/>
          </w:tcPr>
          <w:p>
            <w:pPr>
              <w:adjustRightInd w:val="0"/>
              <w:jc w:val="center"/>
              <w:rPr>
                <w:rFonts w:ascii="宋体" w:hAnsi="宋体"/>
                <w:sz w:val="21"/>
                <w:szCs w:val="21"/>
              </w:rPr>
            </w:pPr>
            <w:r>
              <w:rPr>
                <w:rFonts w:hint="eastAsia" w:ascii="宋体" w:hAnsi="宋体"/>
                <w:sz w:val="21"/>
                <w:szCs w:val="21"/>
              </w:rPr>
              <w:t>±0.030</w:t>
            </w:r>
          </w:p>
        </w:tc>
        <w:tc>
          <w:tcPr>
            <w:tcW w:w="915" w:type="pct"/>
            <w:vAlign w:val="center"/>
          </w:tcPr>
          <w:p>
            <w:pPr>
              <w:jc w:val="center"/>
              <w:rPr>
                <w:rFonts w:ascii="宋体" w:hAnsi="宋体"/>
                <w:sz w:val="21"/>
                <w:szCs w:val="21"/>
              </w:rPr>
            </w:pPr>
            <w:r>
              <w:rPr>
                <w:rFonts w:hint="eastAsia" w:ascii="宋体" w:hAnsi="宋体"/>
                <w:sz w:val="21"/>
                <w:szCs w:val="21"/>
              </w:rPr>
              <w:t>±0.075</w:t>
            </w:r>
          </w:p>
        </w:tc>
        <w:tc>
          <w:tcPr>
            <w:tcW w:w="1122" w:type="pct"/>
            <w:vAlign w:val="center"/>
          </w:tcPr>
          <w:p>
            <w:pPr>
              <w:adjustRightInd w:val="0"/>
              <w:jc w:val="center"/>
              <w:rPr>
                <w:rFonts w:ascii="宋体" w:hAnsi="宋体"/>
                <w:sz w:val="21"/>
                <w:szCs w:val="21"/>
              </w:rPr>
            </w:pPr>
            <w:r>
              <w:rPr>
                <w:rFonts w:hint="eastAsia" w:ascii="宋体" w:hAnsi="宋体"/>
                <w:sz w:val="21"/>
                <w:szCs w:val="21"/>
              </w:rPr>
              <w:t>±0.030</w:t>
            </w:r>
          </w:p>
        </w:tc>
      </w:tr>
    </w:tbl>
    <w:p>
      <w:pPr>
        <w:pStyle w:val="4"/>
        <w:spacing w:beforeLines="50" w:line="360" w:lineRule="auto"/>
        <w:ind w:right="360"/>
        <w:jc w:val="right"/>
        <w:rPr>
          <w:rFonts w:ascii="宋体" w:hAnsi="宋体"/>
          <w:sz w:val="24"/>
          <w:szCs w:val="24"/>
        </w:rPr>
      </w:pPr>
      <w:r>
        <w:rPr>
          <w:rFonts w:hint="eastAsia" w:ascii="宋体" w:hAnsi="宋体"/>
          <w:sz w:val="24"/>
          <w:szCs w:val="24"/>
        </w:rPr>
        <w:t>表</w:t>
      </w:r>
      <w:r>
        <w:rPr>
          <w:rFonts w:hint="eastAsia" w:ascii="宋体" w:hAnsi="宋体"/>
          <w:sz w:val="24"/>
          <w:szCs w:val="24"/>
          <w:lang w:val="en-US" w:eastAsia="zh-CN"/>
        </w:rPr>
        <w:t>8</w:t>
      </w:r>
      <w:r>
        <w:rPr>
          <w:rFonts w:hint="eastAsia" w:ascii="宋体" w:hAnsi="宋体"/>
          <w:sz w:val="24"/>
          <w:szCs w:val="24"/>
        </w:rPr>
        <w:t xml:space="preserve">    </w:t>
      </w:r>
      <w:r>
        <w:rPr>
          <w:rFonts w:hint="eastAsia" w:ascii="宋体" w:hAnsi="宋体"/>
          <w:sz w:val="24"/>
        </w:rPr>
        <w:t>ASTM B152</w:t>
      </w:r>
      <w:r>
        <w:rPr>
          <w:rFonts w:hint="eastAsia" w:ascii="宋体" w:hAnsi="宋体"/>
          <w:sz w:val="24"/>
          <w:szCs w:val="24"/>
        </w:rPr>
        <w:t xml:space="preserve">标准板材厚度允许偏差对比    </w:t>
      </w:r>
      <w:r>
        <w:rPr>
          <w:rFonts w:hint="eastAsia" w:ascii="宋体" w:hAnsi="宋体"/>
        </w:rPr>
        <w:t>单位为毫米</w:t>
      </w:r>
    </w:p>
    <w:tbl>
      <w:tblPr>
        <w:tblStyle w:val="17"/>
        <w:tblW w:w="46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805"/>
        <w:gridCol w:w="2316"/>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4" w:type="pct"/>
            <w:vAlign w:val="center"/>
          </w:tcPr>
          <w:p>
            <w:pPr>
              <w:adjustRightInd w:val="0"/>
              <w:jc w:val="center"/>
              <w:rPr>
                <w:rFonts w:ascii="宋体" w:hAnsi="宋体"/>
                <w:sz w:val="21"/>
                <w:szCs w:val="21"/>
              </w:rPr>
            </w:pPr>
            <w:r>
              <w:rPr>
                <w:rFonts w:hint="eastAsia" w:ascii="宋体" w:hAnsi="宋体"/>
                <w:sz w:val="21"/>
                <w:szCs w:val="21"/>
              </w:rPr>
              <w:t>厚度</w:t>
            </w:r>
          </w:p>
        </w:tc>
        <w:tc>
          <w:tcPr>
            <w:tcW w:w="1093" w:type="pct"/>
            <w:vAlign w:val="center"/>
          </w:tcPr>
          <w:p>
            <w:pPr>
              <w:adjustRightInd w:val="0"/>
              <w:jc w:val="center"/>
              <w:rPr>
                <w:rFonts w:ascii="宋体" w:hAnsi="宋体"/>
                <w:sz w:val="21"/>
                <w:szCs w:val="21"/>
              </w:rPr>
            </w:pPr>
            <w:r>
              <w:rPr>
                <w:rFonts w:hint="eastAsia" w:ascii="宋体" w:hAnsi="宋体"/>
                <w:sz w:val="21"/>
                <w:szCs w:val="21"/>
              </w:rPr>
              <w:t>宽度400～600</w:t>
            </w:r>
          </w:p>
        </w:tc>
        <w:tc>
          <w:tcPr>
            <w:tcW w:w="1403" w:type="pct"/>
            <w:vAlign w:val="center"/>
          </w:tcPr>
          <w:p>
            <w:pPr>
              <w:adjustRightInd w:val="0"/>
              <w:jc w:val="center"/>
              <w:rPr>
                <w:rFonts w:ascii="宋体" w:hAnsi="宋体"/>
                <w:sz w:val="21"/>
                <w:szCs w:val="21"/>
              </w:rPr>
            </w:pPr>
            <w:r>
              <w:rPr>
                <w:rFonts w:hint="eastAsia" w:ascii="宋体" w:hAnsi="宋体"/>
                <w:sz w:val="21"/>
                <w:szCs w:val="21"/>
              </w:rPr>
              <w:t>宽度＞600～700</w:t>
            </w:r>
          </w:p>
        </w:tc>
        <w:tc>
          <w:tcPr>
            <w:tcW w:w="1250" w:type="pct"/>
            <w:vAlign w:val="center"/>
          </w:tcPr>
          <w:p>
            <w:pPr>
              <w:adjustRightInd w:val="0"/>
              <w:jc w:val="center"/>
              <w:rPr>
                <w:rFonts w:ascii="宋体" w:hAnsi="宋体"/>
                <w:sz w:val="21"/>
                <w:szCs w:val="21"/>
              </w:rPr>
            </w:pPr>
            <w:r>
              <w:rPr>
                <w:rFonts w:hint="eastAsia" w:ascii="宋体" w:hAnsi="宋体"/>
                <w:sz w:val="21"/>
                <w:szCs w:val="21"/>
              </w:rPr>
              <w:t>宽度＞700～900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4" w:type="pct"/>
            <w:vAlign w:val="center"/>
          </w:tcPr>
          <w:p>
            <w:pPr>
              <w:adjustRightInd w:val="0"/>
              <w:jc w:val="center"/>
              <w:rPr>
                <w:rFonts w:ascii="宋体" w:hAnsi="宋体"/>
                <w:sz w:val="21"/>
                <w:szCs w:val="21"/>
              </w:rPr>
            </w:pPr>
            <w:r>
              <w:rPr>
                <w:rFonts w:ascii="宋体" w:hAnsi="宋体"/>
                <w:sz w:val="21"/>
                <w:szCs w:val="21"/>
              </w:rPr>
              <w:t>0.</w:t>
            </w:r>
            <w:r>
              <w:rPr>
                <w:rFonts w:hint="eastAsia" w:ascii="宋体" w:hAnsi="宋体"/>
                <w:sz w:val="21"/>
                <w:szCs w:val="21"/>
              </w:rPr>
              <w:t>7～</w:t>
            </w:r>
            <w:r>
              <w:rPr>
                <w:rFonts w:ascii="宋体" w:hAnsi="宋体"/>
                <w:sz w:val="21"/>
                <w:szCs w:val="21"/>
              </w:rPr>
              <w:t>1.</w:t>
            </w:r>
            <w:r>
              <w:rPr>
                <w:rFonts w:hint="eastAsia" w:ascii="宋体" w:hAnsi="宋体"/>
                <w:sz w:val="21"/>
                <w:szCs w:val="21"/>
              </w:rPr>
              <w:t>0</w:t>
            </w:r>
          </w:p>
        </w:tc>
        <w:tc>
          <w:tcPr>
            <w:tcW w:w="1093" w:type="pct"/>
            <w:vAlign w:val="center"/>
          </w:tcPr>
          <w:p>
            <w:pPr>
              <w:adjustRightInd w:val="0"/>
              <w:jc w:val="center"/>
              <w:rPr>
                <w:rFonts w:ascii="宋体" w:hAnsi="宋体"/>
                <w:sz w:val="21"/>
                <w:szCs w:val="21"/>
              </w:rPr>
            </w:pPr>
            <w:r>
              <w:rPr>
                <w:rFonts w:hint="eastAsia" w:ascii="宋体" w:hAnsi="宋体"/>
                <w:sz w:val="21"/>
                <w:szCs w:val="21"/>
              </w:rPr>
              <w:t>0.05</w:t>
            </w:r>
          </w:p>
        </w:tc>
        <w:tc>
          <w:tcPr>
            <w:tcW w:w="1403" w:type="pct"/>
            <w:vAlign w:val="center"/>
          </w:tcPr>
          <w:p>
            <w:pPr>
              <w:adjustRightInd w:val="0"/>
              <w:jc w:val="center"/>
              <w:rPr>
                <w:rFonts w:ascii="宋体" w:hAnsi="宋体"/>
                <w:sz w:val="21"/>
                <w:szCs w:val="21"/>
              </w:rPr>
            </w:pPr>
            <w:r>
              <w:rPr>
                <w:rFonts w:hint="eastAsia" w:ascii="宋体" w:hAnsi="宋体"/>
                <w:sz w:val="21"/>
                <w:szCs w:val="21"/>
              </w:rPr>
              <w:t>0.05</w:t>
            </w:r>
          </w:p>
        </w:tc>
        <w:tc>
          <w:tcPr>
            <w:tcW w:w="1250" w:type="pct"/>
            <w:vAlign w:val="center"/>
          </w:tcPr>
          <w:p>
            <w:pPr>
              <w:adjustRightInd w:val="0"/>
              <w:jc w:val="center"/>
              <w:rPr>
                <w:rFonts w:ascii="宋体" w:hAnsi="宋体"/>
                <w:sz w:val="21"/>
                <w:szCs w:val="21"/>
              </w:rPr>
            </w:pPr>
            <w:r>
              <w:rPr>
                <w:rFonts w:hint="eastAsia" w:ascii="宋体" w:hAnsi="宋体"/>
                <w:sz w:val="21"/>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4" w:type="pct"/>
            <w:vAlign w:val="center"/>
          </w:tcPr>
          <w:p>
            <w:pPr>
              <w:adjustRightInd w:val="0"/>
              <w:jc w:val="center"/>
              <w:rPr>
                <w:rFonts w:ascii="宋体" w:hAnsi="宋体"/>
                <w:sz w:val="21"/>
                <w:szCs w:val="21"/>
              </w:rPr>
            </w:pPr>
            <w:r>
              <w:rPr>
                <w:rFonts w:hint="eastAsia" w:ascii="宋体" w:hAnsi="宋体"/>
                <w:spacing w:val="-20"/>
                <w:sz w:val="21"/>
                <w:szCs w:val="21"/>
              </w:rPr>
              <w:t>＞</w:t>
            </w:r>
            <w:r>
              <w:rPr>
                <w:rFonts w:hint="eastAsia" w:ascii="宋体" w:hAnsi="宋体"/>
                <w:sz w:val="21"/>
                <w:szCs w:val="21"/>
              </w:rPr>
              <w:t>1.0～</w:t>
            </w:r>
            <w:r>
              <w:rPr>
                <w:rFonts w:ascii="宋体" w:hAnsi="宋体"/>
                <w:sz w:val="21"/>
                <w:szCs w:val="21"/>
              </w:rPr>
              <w:t>1.</w:t>
            </w:r>
            <w:r>
              <w:rPr>
                <w:rFonts w:hint="eastAsia" w:ascii="宋体" w:hAnsi="宋体"/>
                <w:sz w:val="21"/>
                <w:szCs w:val="21"/>
              </w:rPr>
              <w:t>3</w:t>
            </w:r>
          </w:p>
        </w:tc>
        <w:tc>
          <w:tcPr>
            <w:tcW w:w="1093" w:type="pct"/>
            <w:vAlign w:val="center"/>
          </w:tcPr>
          <w:p>
            <w:pPr>
              <w:adjustRightInd w:val="0"/>
              <w:jc w:val="center"/>
              <w:rPr>
                <w:rFonts w:ascii="宋体" w:hAnsi="宋体"/>
                <w:sz w:val="21"/>
                <w:szCs w:val="21"/>
              </w:rPr>
            </w:pPr>
            <w:r>
              <w:rPr>
                <w:rFonts w:hint="eastAsia" w:ascii="宋体" w:hAnsi="宋体"/>
                <w:sz w:val="21"/>
                <w:szCs w:val="21"/>
              </w:rPr>
              <w:t>0.06</w:t>
            </w:r>
          </w:p>
        </w:tc>
        <w:tc>
          <w:tcPr>
            <w:tcW w:w="1403" w:type="pct"/>
            <w:vAlign w:val="center"/>
          </w:tcPr>
          <w:p>
            <w:pPr>
              <w:adjustRightInd w:val="0"/>
              <w:jc w:val="center"/>
              <w:rPr>
                <w:rFonts w:ascii="宋体" w:hAnsi="宋体"/>
                <w:sz w:val="21"/>
                <w:szCs w:val="21"/>
              </w:rPr>
            </w:pPr>
            <w:r>
              <w:rPr>
                <w:rFonts w:hint="eastAsia" w:ascii="宋体" w:hAnsi="宋体"/>
                <w:sz w:val="21"/>
                <w:szCs w:val="21"/>
              </w:rPr>
              <w:t>0.06</w:t>
            </w:r>
          </w:p>
        </w:tc>
        <w:tc>
          <w:tcPr>
            <w:tcW w:w="1250" w:type="pct"/>
            <w:vAlign w:val="center"/>
          </w:tcPr>
          <w:p>
            <w:pPr>
              <w:adjustRightInd w:val="0"/>
              <w:jc w:val="center"/>
              <w:rPr>
                <w:rFonts w:ascii="宋体" w:hAnsi="宋体"/>
                <w:sz w:val="21"/>
                <w:szCs w:val="21"/>
              </w:rPr>
            </w:pPr>
            <w:r>
              <w:rPr>
                <w:rFonts w:hint="eastAsia" w:ascii="宋体" w:hAnsi="宋体"/>
                <w:sz w:val="21"/>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54" w:type="pct"/>
            <w:vAlign w:val="center"/>
          </w:tcPr>
          <w:p>
            <w:pPr>
              <w:adjustRightInd w:val="0"/>
              <w:jc w:val="center"/>
              <w:rPr>
                <w:rFonts w:ascii="宋体" w:hAnsi="宋体"/>
                <w:spacing w:val="-20"/>
                <w:sz w:val="21"/>
                <w:szCs w:val="21"/>
              </w:rPr>
            </w:pPr>
            <w:r>
              <w:rPr>
                <w:rFonts w:hint="eastAsia" w:ascii="宋体" w:hAnsi="宋体"/>
                <w:spacing w:val="-20"/>
                <w:sz w:val="21"/>
                <w:szCs w:val="21"/>
              </w:rPr>
              <w:t>＞1.3～2.0</w:t>
            </w:r>
          </w:p>
        </w:tc>
        <w:tc>
          <w:tcPr>
            <w:tcW w:w="1093" w:type="pct"/>
            <w:vAlign w:val="center"/>
          </w:tcPr>
          <w:p>
            <w:pPr>
              <w:adjustRightInd w:val="0"/>
              <w:jc w:val="center"/>
              <w:rPr>
                <w:rFonts w:ascii="宋体" w:hAnsi="宋体"/>
                <w:sz w:val="21"/>
                <w:szCs w:val="21"/>
              </w:rPr>
            </w:pPr>
            <w:r>
              <w:rPr>
                <w:rFonts w:hint="eastAsia" w:ascii="宋体" w:hAnsi="宋体"/>
                <w:sz w:val="21"/>
                <w:szCs w:val="21"/>
              </w:rPr>
              <w:t>0.07</w:t>
            </w:r>
          </w:p>
        </w:tc>
        <w:tc>
          <w:tcPr>
            <w:tcW w:w="1403" w:type="pct"/>
            <w:vAlign w:val="center"/>
          </w:tcPr>
          <w:p>
            <w:pPr>
              <w:adjustRightInd w:val="0"/>
              <w:jc w:val="center"/>
              <w:rPr>
                <w:rFonts w:ascii="宋体" w:hAnsi="宋体"/>
                <w:sz w:val="21"/>
                <w:szCs w:val="21"/>
              </w:rPr>
            </w:pPr>
            <w:r>
              <w:rPr>
                <w:rFonts w:hint="eastAsia" w:ascii="宋体" w:hAnsi="宋体"/>
                <w:sz w:val="21"/>
                <w:szCs w:val="21"/>
              </w:rPr>
              <w:t>0.07</w:t>
            </w:r>
          </w:p>
        </w:tc>
        <w:tc>
          <w:tcPr>
            <w:tcW w:w="1250" w:type="pct"/>
            <w:vAlign w:val="center"/>
          </w:tcPr>
          <w:p>
            <w:pPr>
              <w:adjustRightInd w:val="0"/>
              <w:jc w:val="center"/>
              <w:rPr>
                <w:rFonts w:ascii="宋体" w:hAnsi="宋体"/>
                <w:sz w:val="21"/>
                <w:szCs w:val="21"/>
              </w:rPr>
            </w:pPr>
            <w:r>
              <w:rPr>
                <w:rFonts w:hint="eastAsia" w:ascii="宋体" w:hAnsi="宋体"/>
                <w:sz w:val="21"/>
                <w:szCs w:val="21"/>
              </w:rPr>
              <w:t>0.08</w:t>
            </w:r>
          </w:p>
        </w:tc>
      </w:tr>
    </w:tbl>
    <w:p>
      <w:pPr>
        <w:pStyle w:val="4"/>
        <w:numPr>
          <w:ilvl w:val="0"/>
          <w:numId w:val="2"/>
        </w:numPr>
        <w:spacing w:beforeLines="50" w:line="360" w:lineRule="auto"/>
        <w:ind w:left="480" w:firstLine="480" w:firstLineChars="200"/>
        <w:rPr>
          <w:rFonts w:ascii="宋体" w:hAnsi="宋体"/>
          <w:sz w:val="24"/>
          <w:szCs w:val="24"/>
        </w:rPr>
      </w:pPr>
      <w:r>
        <w:rPr>
          <w:rFonts w:hint="eastAsia" w:ascii="宋体" w:hAnsi="宋体"/>
          <w:sz w:val="24"/>
          <w:szCs w:val="24"/>
        </w:rPr>
        <w:t>本标准与</w:t>
      </w:r>
      <w:r>
        <w:rPr>
          <w:rFonts w:hint="eastAsia" w:ascii="宋体" w:hAnsi="宋体"/>
          <w:sz w:val="24"/>
        </w:rPr>
        <w:t>ASTM B152</w:t>
      </w:r>
      <w:r>
        <w:rPr>
          <w:rFonts w:hint="eastAsia" w:ascii="宋体" w:hAnsi="宋体"/>
          <w:sz w:val="24"/>
          <w:szCs w:val="24"/>
        </w:rPr>
        <w:t>标准板材宽度允许偏差见表</w:t>
      </w:r>
      <w:r>
        <w:rPr>
          <w:rFonts w:hint="eastAsia" w:ascii="宋体" w:hAnsi="宋体"/>
          <w:sz w:val="24"/>
          <w:szCs w:val="24"/>
          <w:lang w:val="en-US" w:eastAsia="zh-CN"/>
        </w:rPr>
        <w:t>9</w:t>
      </w:r>
      <w:r>
        <w:rPr>
          <w:rFonts w:hint="eastAsia" w:ascii="宋体" w:hAnsi="宋体"/>
          <w:sz w:val="24"/>
          <w:szCs w:val="24"/>
        </w:rPr>
        <w:t>、表</w:t>
      </w:r>
      <w:r>
        <w:rPr>
          <w:rFonts w:hint="eastAsia" w:ascii="宋体" w:hAnsi="宋体"/>
          <w:sz w:val="24"/>
          <w:szCs w:val="24"/>
          <w:lang w:val="en-US" w:eastAsia="zh-CN"/>
        </w:rPr>
        <w:t>10</w:t>
      </w:r>
      <w:r>
        <w:rPr>
          <w:rFonts w:hint="eastAsia" w:ascii="宋体" w:hAnsi="宋体"/>
          <w:sz w:val="24"/>
          <w:szCs w:val="24"/>
        </w:rPr>
        <w:t>。对比可知，本标准宽度允许偏差低于</w:t>
      </w:r>
      <w:r>
        <w:rPr>
          <w:rFonts w:hint="eastAsia" w:ascii="宋体" w:hAnsi="宋体"/>
          <w:sz w:val="24"/>
        </w:rPr>
        <w:t>ASTM B152</w:t>
      </w:r>
      <w:r>
        <w:rPr>
          <w:rFonts w:hint="eastAsia" w:ascii="宋体" w:hAnsi="宋体"/>
          <w:sz w:val="24"/>
          <w:szCs w:val="24"/>
        </w:rPr>
        <w:t>标准水平。</w:t>
      </w:r>
    </w:p>
    <w:p>
      <w:pPr>
        <w:pStyle w:val="4"/>
        <w:keepNext w:val="0"/>
        <w:keepLines w:val="0"/>
        <w:pageBreakBefore w:val="0"/>
        <w:widowControl w:val="0"/>
        <w:kinsoku/>
        <w:wordWrap w:val="0"/>
        <w:overflowPunct/>
        <w:topLinePunct w:val="0"/>
        <w:autoSpaceDE/>
        <w:autoSpaceDN/>
        <w:bidi w:val="0"/>
        <w:adjustRightInd w:val="0"/>
        <w:snapToGrid/>
        <w:spacing w:before="157" w:beforeLines="50" w:line="360" w:lineRule="auto"/>
        <w:jc w:val="center"/>
        <w:textAlignment w:val="auto"/>
        <w:rPr>
          <w:rFonts w:ascii="宋体" w:hAnsi="宋体"/>
        </w:rPr>
      </w:pPr>
      <w:r>
        <w:rPr>
          <w:rFonts w:hint="eastAsia" w:ascii="宋体" w:hAnsi="宋体"/>
          <w:sz w:val="24"/>
          <w:szCs w:val="24"/>
        </w:rPr>
        <w:t xml:space="preserve">                    表</w:t>
      </w:r>
      <w:r>
        <w:rPr>
          <w:rFonts w:hint="eastAsia" w:ascii="宋体" w:hAnsi="宋体"/>
          <w:sz w:val="24"/>
          <w:szCs w:val="24"/>
          <w:lang w:val="en-US" w:eastAsia="zh-CN"/>
        </w:rPr>
        <w:t>9</w:t>
      </w:r>
      <w:r>
        <w:rPr>
          <w:rFonts w:hint="eastAsia" w:ascii="宋体" w:hAnsi="宋体"/>
          <w:sz w:val="24"/>
          <w:szCs w:val="24"/>
        </w:rPr>
        <w:t xml:space="preserve">  本标准带材宽度允许偏差           </w:t>
      </w:r>
      <w:r>
        <w:rPr>
          <w:rFonts w:hint="eastAsia" w:ascii="宋体" w:hAnsi="宋体"/>
        </w:rPr>
        <w:t>单位为毫米</w:t>
      </w:r>
    </w:p>
    <w:tbl>
      <w:tblPr>
        <w:tblStyle w:val="17"/>
        <w:tblW w:w="79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2459"/>
        <w:gridCol w:w="2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711" w:type="dxa"/>
            <w:vMerge w:val="restart"/>
            <w:vAlign w:val="center"/>
          </w:tcPr>
          <w:p>
            <w:pPr>
              <w:jc w:val="center"/>
              <w:rPr>
                <w:rFonts w:ascii="宋体" w:hAnsi="宋体"/>
                <w:sz w:val="21"/>
                <w:szCs w:val="21"/>
              </w:rPr>
            </w:pPr>
            <w:r>
              <w:rPr>
                <w:rFonts w:hint="eastAsia" w:ascii="宋体" w:hAnsi="宋体"/>
                <w:sz w:val="21"/>
                <w:szCs w:val="21"/>
              </w:rPr>
              <w:t>厚度</w:t>
            </w:r>
          </w:p>
        </w:tc>
        <w:tc>
          <w:tcPr>
            <w:tcW w:w="5265" w:type="dxa"/>
            <w:gridSpan w:val="2"/>
            <w:vAlign w:val="center"/>
          </w:tcPr>
          <w:p>
            <w:pPr>
              <w:jc w:val="center"/>
              <w:rPr>
                <w:rFonts w:ascii="宋体" w:hAnsi="宋体"/>
                <w:sz w:val="21"/>
                <w:szCs w:val="21"/>
                <w:highlight w:val="yellow"/>
              </w:rPr>
            </w:pPr>
            <w:r>
              <w:rPr>
                <w:rFonts w:hint="eastAsia" w:ascii="宋体" w:hAnsi="宋体"/>
                <w:sz w:val="21"/>
                <w:szCs w:val="21"/>
              </w:rPr>
              <w:t>宽度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711" w:type="dxa"/>
            <w:vMerge w:val="continue"/>
            <w:vAlign w:val="center"/>
          </w:tcPr>
          <w:p>
            <w:pPr>
              <w:jc w:val="center"/>
              <w:rPr>
                <w:rFonts w:ascii="宋体" w:hAnsi="宋体"/>
                <w:sz w:val="21"/>
                <w:szCs w:val="21"/>
              </w:rPr>
            </w:pPr>
          </w:p>
        </w:tc>
        <w:tc>
          <w:tcPr>
            <w:tcW w:w="2459" w:type="dxa"/>
            <w:vAlign w:val="center"/>
          </w:tcPr>
          <w:p>
            <w:pPr>
              <w:jc w:val="center"/>
              <w:rPr>
                <w:rFonts w:ascii="宋体" w:hAnsi="宋体"/>
                <w:sz w:val="21"/>
                <w:szCs w:val="21"/>
              </w:rPr>
            </w:pPr>
            <w:r>
              <w:rPr>
                <w:rFonts w:hint="eastAsia" w:ascii="宋体" w:hAnsi="宋体"/>
                <w:sz w:val="21"/>
                <w:szCs w:val="21"/>
              </w:rPr>
              <w:t>400～＜600</w:t>
            </w:r>
          </w:p>
        </w:tc>
        <w:tc>
          <w:tcPr>
            <w:tcW w:w="2806" w:type="dxa"/>
            <w:vAlign w:val="center"/>
          </w:tcPr>
          <w:p>
            <w:pPr>
              <w:jc w:val="center"/>
              <w:rPr>
                <w:rFonts w:ascii="宋体" w:hAnsi="宋体"/>
                <w:sz w:val="21"/>
                <w:szCs w:val="21"/>
              </w:rPr>
            </w:pPr>
            <w:r>
              <w:rPr>
                <w:rFonts w:hint="eastAsia" w:ascii="宋体" w:hAnsi="宋体"/>
                <w:sz w:val="21"/>
                <w:szCs w:val="21"/>
              </w:rPr>
              <w:t>≥600～880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711" w:type="dxa"/>
            <w:vMerge w:val="continue"/>
            <w:vAlign w:val="center"/>
          </w:tcPr>
          <w:p>
            <w:pPr>
              <w:jc w:val="center"/>
              <w:rPr>
                <w:rFonts w:ascii="宋体" w:hAnsi="宋体"/>
                <w:sz w:val="21"/>
                <w:szCs w:val="21"/>
              </w:rPr>
            </w:pPr>
          </w:p>
        </w:tc>
        <w:tc>
          <w:tcPr>
            <w:tcW w:w="5265" w:type="dxa"/>
            <w:gridSpan w:val="2"/>
            <w:vAlign w:val="center"/>
          </w:tcPr>
          <w:p>
            <w:pPr>
              <w:jc w:val="center"/>
              <w:rPr>
                <w:rFonts w:ascii="宋体" w:hAnsi="宋体"/>
                <w:sz w:val="21"/>
                <w:szCs w:val="21"/>
              </w:rPr>
            </w:pPr>
            <w:r>
              <w:rPr>
                <w:rFonts w:hint="eastAsia" w:ascii="宋体" w:hAnsi="宋体"/>
                <w:sz w:val="21"/>
                <w:szCs w:val="21"/>
              </w:rPr>
              <w:t>宽度允许偏差</w:t>
            </w:r>
            <w:r>
              <w:rPr>
                <w:rFonts w:hint="eastAsia" w:ascii="宋体" w:hAnsi="宋体"/>
                <w:sz w:val="21"/>
                <w:szCs w:val="21"/>
                <w:vertAlign w:val="superscript"/>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711" w:type="dxa"/>
            <w:tcBorders>
              <w:top w:val="single" w:color="auto" w:sz="8" w:space="0"/>
            </w:tcBorders>
            <w:vAlign w:val="center"/>
          </w:tcPr>
          <w:p>
            <w:pPr>
              <w:jc w:val="center"/>
              <w:rPr>
                <w:rFonts w:ascii="宋体" w:hAnsi="宋体"/>
                <w:sz w:val="21"/>
                <w:szCs w:val="21"/>
              </w:rPr>
            </w:pPr>
            <w:r>
              <w:rPr>
                <w:rFonts w:hint="eastAsia" w:ascii="宋体" w:hAnsi="宋体"/>
                <w:sz w:val="21"/>
                <w:szCs w:val="21"/>
              </w:rPr>
              <w:t>0.7</w:t>
            </w:r>
            <w:r>
              <w:rPr>
                <w:rFonts w:hint="eastAsia" w:ascii="宋体" w:hAnsi="宋体"/>
                <w:spacing w:val="-20"/>
                <w:sz w:val="21"/>
                <w:szCs w:val="21"/>
              </w:rPr>
              <w:t>～1.5</w:t>
            </w:r>
          </w:p>
        </w:tc>
        <w:tc>
          <w:tcPr>
            <w:tcW w:w="2459" w:type="dxa"/>
            <w:tcBorders>
              <w:top w:val="single" w:color="auto" w:sz="8" w:space="0"/>
            </w:tcBorders>
            <w:vAlign w:val="center"/>
          </w:tcPr>
          <w:p>
            <w:pPr>
              <w:jc w:val="center"/>
              <w:rPr>
                <w:rFonts w:ascii="宋体" w:hAnsi="宋体"/>
                <w:sz w:val="21"/>
                <w:szCs w:val="21"/>
              </w:rPr>
            </w:pPr>
            <w:r>
              <w:rPr>
                <w:rFonts w:hint="eastAsia" w:ascii="宋体" w:hAnsi="宋体"/>
                <w:sz w:val="21"/>
                <w:szCs w:val="21"/>
              </w:rPr>
              <w:t>+3.0</w:t>
            </w:r>
          </w:p>
        </w:tc>
        <w:tc>
          <w:tcPr>
            <w:tcW w:w="2806" w:type="dxa"/>
            <w:tcBorders>
              <w:top w:val="single" w:color="auto" w:sz="8" w:space="0"/>
            </w:tcBorders>
            <w:vAlign w:val="center"/>
          </w:tcPr>
          <w:p>
            <w:pPr>
              <w:jc w:val="center"/>
              <w:rPr>
                <w:rFonts w:ascii="宋体" w:hAnsi="宋体"/>
                <w:sz w:val="21"/>
                <w:szCs w:val="21"/>
              </w:rPr>
            </w:pPr>
            <w:r>
              <w:rPr>
                <w:rFonts w:hint="eastAsia" w:ascii="宋体" w:hAnsi="宋体"/>
                <w:sz w:val="21"/>
                <w:szCs w:val="21"/>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711" w:type="dxa"/>
            <w:tcBorders>
              <w:bottom w:val="single" w:color="auto" w:sz="8" w:space="0"/>
            </w:tcBorders>
            <w:vAlign w:val="center"/>
          </w:tcPr>
          <w:p>
            <w:pPr>
              <w:jc w:val="center"/>
              <w:rPr>
                <w:rFonts w:ascii="宋体" w:hAnsi="宋体"/>
                <w:sz w:val="21"/>
                <w:szCs w:val="21"/>
              </w:rPr>
            </w:pPr>
            <w:r>
              <w:rPr>
                <w:rFonts w:hint="eastAsia" w:ascii="宋体" w:hAnsi="宋体"/>
                <w:spacing w:val="-20"/>
                <w:sz w:val="21"/>
                <w:szCs w:val="21"/>
              </w:rPr>
              <w:t>＞1.5～</w:t>
            </w:r>
            <w:r>
              <w:rPr>
                <w:rFonts w:hint="eastAsia" w:ascii="宋体" w:hAnsi="宋体"/>
                <w:sz w:val="21"/>
                <w:szCs w:val="21"/>
              </w:rPr>
              <w:t>2.0</w:t>
            </w:r>
          </w:p>
        </w:tc>
        <w:tc>
          <w:tcPr>
            <w:tcW w:w="2459" w:type="dxa"/>
            <w:tcBorders>
              <w:bottom w:val="single" w:color="auto" w:sz="8" w:space="0"/>
            </w:tcBorders>
            <w:vAlign w:val="center"/>
          </w:tcPr>
          <w:p>
            <w:pPr>
              <w:jc w:val="center"/>
              <w:rPr>
                <w:rFonts w:ascii="宋体" w:hAnsi="宋体"/>
                <w:sz w:val="21"/>
                <w:szCs w:val="21"/>
              </w:rPr>
            </w:pPr>
            <w:r>
              <w:rPr>
                <w:rFonts w:hint="eastAsia" w:ascii="宋体" w:hAnsi="宋体"/>
                <w:sz w:val="21"/>
                <w:szCs w:val="21"/>
              </w:rPr>
              <w:t>+4.0</w:t>
            </w:r>
          </w:p>
        </w:tc>
        <w:tc>
          <w:tcPr>
            <w:tcW w:w="2806" w:type="dxa"/>
            <w:tcBorders>
              <w:bottom w:val="single" w:color="auto" w:sz="8" w:space="0"/>
            </w:tcBorders>
            <w:vAlign w:val="center"/>
          </w:tcPr>
          <w:p>
            <w:pPr>
              <w:jc w:val="center"/>
              <w:rPr>
                <w:rFonts w:ascii="宋体" w:hAnsi="宋体"/>
                <w:sz w:val="21"/>
                <w:szCs w:val="21"/>
              </w:rPr>
            </w:pPr>
            <w:r>
              <w:rPr>
                <w:rFonts w:hint="eastAsia" w:ascii="宋体" w:hAnsi="宋体"/>
                <w:sz w:val="21"/>
                <w:szCs w:val="21"/>
              </w:rPr>
              <w:t>+8.0</w:t>
            </w:r>
          </w:p>
        </w:tc>
      </w:tr>
    </w:tbl>
    <w:p>
      <w:pPr>
        <w:pStyle w:val="4"/>
        <w:keepNext w:val="0"/>
        <w:keepLines w:val="0"/>
        <w:pageBreakBefore w:val="0"/>
        <w:widowControl w:val="0"/>
        <w:kinsoku/>
        <w:wordWrap w:val="0"/>
        <w:overflowPunct/>
        <w:topLinePunct w:val="0"/>
        <w:autoSpaceDE/>
        <w:autoSpaceDN/>
        <w:bidi w:val="0"/>
        <w:adjustRightInd w:val="0"/>
        <w:snapToGrid/>
        <w:spacing w:before="157" w:beforeLines="50" w:line="360" w:lineRule="auto"/>
        <w:jc w:val="center"/>
        <w:textAlignment w:val="auto"/>
        <w:rPr>
          <w:rFonts w:ascii="宋体" w:hAnsi="宋体"/>
          <w:sz w:val="24"/>
          <w:szCs w:val="24"/>
        </w:rPr>
      </w:pPr>
      <w:r>
        <w:rPr>
          <w:rFonts w:hint="eastAsia" w:ascii="宋体" w:hAnsi="宋体"/>
          <w:sz w:val="24"/>
          <w:szCs w:val="24"/>
        </w:rPr>
        <w:t xml:space="preserve">               表</w:t>
      </w:r>
      <w:r>
        <w:rPr>
          <w:rFonts w:hint="eastAsia" w:ascii="宋体" w:hAnsi="宋体"/>
          <w:sz w:val="24"/>
          <w:szCs w:val="24"/>
          <w:lang w:val="en-US" w:eastAsia="zh-CN"/>
        </w:rPr>
        <w:t>10</w:t>
      </w:r>
      <w:r>
        <w:rPr>
          <w:rFonts w:hint="eastAsia" w:ascii="宋体" w:hAnsi="宋体"/>
          <w:sz w:val="24"/>
          <w:szCs w:val="24"/>
        </w:rPr>
        <w:t xml:space="preserve">  </w:t>
      </w:r>
      <w:r>
        <w:rPr>
          <w:rFonts w:hint="eastAsia" w:ascii="宋体" w:hAnsi="宋体"/>
          <w:sz w:val="24"/>
        </w:rPr>
        <w:t>ASTM B152</w:t>
      </w:r>
      <w:r>
        <w:rPr>
          <w:rFonts w:hint="eastAsia" w:ascii="宋体" w:hAnsi="宋体"/>
          <w:sz w:val="24"/>
          <w:szCs w:val="24"/>
        </w:rPr>
        <w:t xml:space="preserve">标准宽度允许偏差      </w:t>
      </w:r>
      <w:r>
        <w:rPr>
          <w:rFonts w:hint="eastAsia" w:ascii="宋体" w:hAnsi="宋体"/>
        </w:rPr>
        <w:t>单位为毫米</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2550"/>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2" w:type="dxa"/>
            <w:vMerge w:val="restart"/>
            <w:vAlign w:val="center"/>
          </w:tcPr>
          <w:p>
            <w:pPr>
              <w:pStyle w:val="4"/>
              <w:jc w:val="center"/>
              <w:rPr>
                <w:rFonts w:ascii="宋体" w:hAnsi="宋体"/>
                <w:sz w:val="21"/>
                <w:szCs w:val="21"/>
              </w:rPr>
            </w:pPr>
            <w:r>
              <w:rPr>
                <w:rFonts w:hint="eastAsia" w:ascii="宋体" w:hAnsi="宋体"/>
                <w:sz w:val="21"/>
                <w:szCs w:val="21"/>
              </w:rPr>
              <w:t>厚度</w:t>
            </w:r>
          </w:p>
        </w:tc>
        <w:tc>
          <w:tcPr>
            <w:tcW w:w="5300" w:type="dxa"/>
            <w:gridSpan w:val="2"/>
            <w:vAlign w:val="center"/>
          </w:tcPr>
          <w:p>
            <w:pPr>
              <w:pStyle w:val="4"/>
              <w:jc w:val="center"/>
              <w:rPr>
                <w:rFonts w:ascii="宋体" w:hAnsi="宋体"/>
                <w:sz w:val="21"/>
                <w:szCs w:val="21"/>
              </w:rPr>
            </w:pPr>
            <w:r>
              <w:rPr>
                <w:rFonts w:hint="eastAsia" w:ascii="宋体" w:hAnsi="宋体"/>
                <w:sz w:val="21"/>
                <w:szCs w:val="21"/>
              </w:rPr>
              <w:t>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2" w:type="dxa"/>
            <w:vMerge w:val="continue"/>
            <w:vAlign w:val="center"/>
          </w:tcPr>
          <w:p>
            <w:pPr>
              <w:pStyle w:val="4"/>
              <w:jc w:val="center"/>
              <w:rPr>
                <w:rFonts w:ascii="宋体" w:hAnsi="宋体"/>
                <w:sz w:val="21"/>
                <w:szCs w:val="21"/>
              </w:rPr>
            </w:pPr>
          </w:p>
        </w:tc>
        <w:tc>
          <w:tcPr>
            <w:tcW w:w="2550" w:type="dxa"/>
            <w:vAlign w:val="center"/>
          </w:tcPr>
          <w:p>
            <w:pPr>
              <w:pStyle w:val="4"/>
              <w:jc w:val="center"/>
              <w:rPr>
                <w:rFonts w:ascii="宋体" w:hAnsi="宋体"/>
                <w:sz w:val="21"/>
                <w:szCs w:val="21"/>
              </w:rPr>
            </w:pPr>
            <w:r>
              <w:rPr>
                <w:rFonts w:hint="eastAsia" w:ascii="宋体" w:hAnsi="宋体"/>
                <w:sz w:val="21"/>
                <w:szCs w:val="21"/>
              </w:rPr>
              <w:t>≤500</w:t>
            </w:r>
          </w:p>
        </w:tc>
        <w:tc>
          <w:tcPr>
            <w:tcW w:w="2750" w:type="dxa"/>
            <w:vAlign w:val="center"/>
          </w:tcPr>
          <w:p>
            <w:pPr>
              <w:pStyle w:val="4"/>
              <w:jc w:val="center"/>
              <w:rPr>
                <w:rFonts w:ascii="宋体" w:hAnsi="宋体"/>
                <w:sz w:val="21"/>
                <w:szCs w:val="21"/>
              </w:rPr>
            </w:pPr>
            <w:r>
              <w:rPr>
                <w:rFonts w:hint="eastAsia" w:ascii="宋体" w:hAnsi="宋体"/>
                <w:sz w:val="21"/>
                <w:szCs w:val="21"/>
              </w:rPr>
              <w:t>＞500～900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2" w:type="dxa"/>
            <w:vMerge w:val="continue"/>
            <w:vAlign w:val="center"/>
          </w:tcPr>
          <w:p>
            <w:pPr>
              <w:pStyle w:val="4"/>
              <w:jc w:val="center"/>
              <w:rPr>
                <w:rFonts w:ascii="宋体" w:hAnsi="宋体"/>
                <w:sz w:val="21"/>
                <w:szCs w:val="21"/>
              </w:rPr>
            </w:pPr>
          </w:p>
        </w:tc>
        <w:tc>
          <w:tcPr>
            <w:tcW w:w="5300" w:type="dxa"/>
            <w:gridSpan w:val="2"/>
            <w:vAlign w:val="center"/>
          </w:tcPr>
          <w:p>
            <w:pPr>
              <w:pStyle w:val="4"/>
              <w:jc w:val="center"/>
              <w:rPr>
                <w:rFonts w:ascii="宋体" w:hAnsi="宋体"/>
                <w:sz w:val="21"/>
                <w:szCs w:val="21"/>
              </w:rPr>
            </w:pPr>
            <w:r>
              <w:rPr>
                <w:rFonts w:hint="eastAsia" w:ascii="宋体" w:hAnsi="宋体"/>
                <w:sz w:val="21"/>
                <w:szCs w:val="21"/>
              </w:rPr>
              <w:t>宽度允许偏差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2" w:type="dxa"/>
            <w:vAlign w:val="center"/>
          </w:tcPr>
          <w:p>
            <w:pPr>
              <w:pStyle w:val="4"/>
              <w:jc w:val="center"/>
              <w:rPr>
                <w:rFonts w:ascii="宋体" w:hAnsi="宋体"/>
                <w:sz w:val="21"/>
                <w:szCs w:val="21"/>
              </w:rPr>
            </w:pPr>
            <w:r>
              <w:rPr>
                <w:rFonts w:hint="eastAsia" w:ascii="宋体" w:hAnsi="宋体"/>
                <w:sz w:val="21"/>
                <w:szCs w:val="21"/>
              </w:rPr>
              <w:t>≤1.5</w:t>
            </w:r>
          </w:p>
        </w:tc>
        <w:tc>
          <w:tcPr>
            <w:tcW w:w="2550" w:type="dxa"/>
            <w:vAlign w:val="center"/>
          </w:tcPr>
          <w:p>
            <w:pPr>
              <w:pStyle w:val="4"/>
              <w:spacing w:line="240" w:lineRule="exact"/>
              <w:jc w:val="center"/>
              <w:rPr>
                <w:rFonts w:ascii="宋体" w:hAnsi="宋体"/>
                <w:sz w:val="21"/>
                <w:szCs w:val="21"/>
              </w:rPr>
            </w:pPr>
            <w:r>
              <w:rPr>
                <w:rFonts w:hint="eastAsia" w:ascii="宋体" w:hAnsi="宋体"/>
                <w:sz w:val="21"/>
                <w:szCs w:val="21"/>
              </w:rPr>
              <w:t>0.79</w:t>
            </w:r>
          </w:p>
        </w:tc>
        <w:tc>
          <w:tcPr>
            <w:tcW w:w="2750" w:type="dxa"/>
            <w:vAlign w:val="center"/>
          </w:tcPr>
          <w:p>
            <w:pPr>
              <w:pStyle w:val="4"/>
              <w:spacing w:line="240" w:lineRule="exact"/>
              <w:jc w:val="center"/>
              <w:rPr>
                <w:rFonts w:ascii="宋体" w:hAnsi="宋体"/>
                <w:sz w:val="21"/>
                <w:szCs w:val="21"/>
              </w:rPr>
            </w:pPr>
            <w:r>
              <w:rPr>
                <w:rFonts w:hint="eastAsia" w:ascii="宋体" w:hAnsi="宋体"/>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2" w:type="dxa"/>
            <w:vAlign w:val="center"/>
          </w:tcPr>
          <w:p>
            <w:pPr>
              <w:pStyle w:val="4"/>
              <w:jc w:val="center"/>
              <w:rPr>
                <w:rFonts w:ascii="宋体" w:hAnsi="宋体"/>
                <w:sz w:val="21"/>
                <w:szCs w:val="21"/>
              </w:rPr>
            </w:pPr>
            <w:r>
              <w:rPr>
                <w:rFonts w:hint="eastAsia" w:ascii="宋体" w:hAnsi="宋体"/>
                <w:spacing w:val="-20"/>
                <w:sz w:val="21"/>
                <w:szCs w:val="21"/>
              </w:rPr>
              <w:t>＞1.5～2.0</w:t>
            </w:r>
          </w:p>
        </w:tc>
        <w:tc>
          <w:tcPr>
            <w:tcW w:w="2550" w:type="dxa"/>
            <w:vAlign w:val="center"/>
          </w:tcPr>
          <w:p>
            <w:pPr>
              <w:pStyle w:val="4"/>
              <w:spacing w:line="240" w:lineRule="exact"/>
              <w:jc w:val="center"/>
              <w:rPr>
                <w:rFonts w:ascii="宋体" w:hAnsi="宋体"/>
                <w:sz w:val="21"/>
                <w:szCs w:val="21"/>
              </w:rPr>
            </w:pPr>
            <w:r>
              <w:rPr>
                <w:rFonts w:hint="eastAsia" w:ascii="宋体" w:hAnsi="宋体"/>
                <w:sz w:val="21"/>
                <w:szCs w:val="21"/>
              </w:rPr>
              <w:t>1.2</w:t>
            </w:r>
          </w:p>
        </w:tc>
        <w:tc>
          <w:tcPr>
            <w:tcW w:w="2750" w:type="dxa"/>
            <w:vAlign w:val="center"/>
          </w:tcPr>
          <w:p>
            <w:pPr>
              <w:pStyle w:val="4"/>
              <w:spacing w:line="240" w:lineRule="exact"/>
              <w:jc w:val="center"/>
              <w:rPr>
                <w:rFonts w:ascii="宋体" w:hAnsi="宋体"/>
                <w:sz w:val="21"/>
                <w:szCs w:val="21"/>
              </w:rPr>
            </w:pPr>
            <w:r>
              <w:rPr>
                <w:rFonts w:hint="eastAsia" w:ascii="宋体" w:hAnsi="宋体"/>
                <w:sz w:val="21"/>
                <w:szCs w:val="21"/>
              </w:rPr>
              <w:t>1.2</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val="0"/>
          <w:bCs/>
          <w:sz w:val="24"/>
          <w:lang w:val="en-US" w:eastAsia="zh-CN"/>
        </w:rPr>
      </w:pPr>
      <w:r>
        <w:rPr>
          <w:rFonts w:hint="eastAsia" w:ascii="黑体" w:hAnsi="黑体" w:eastAsia="黑体" w:cs="黑体"/>
          <w:b w:val="0"/>
          <w:bCs/>
          <w:sz w:val="24"/>
          <w:lang w:val="en-US" w:eastAsia="zh-CN"/>
        </w:rPr>
        <w:t xml:space="preserve">   </w:t>
      </w:r>
      <w:r>
        <w:rPr>
          <w:rFonts w:hint="eastAsia" w:ascii="宋体" w:hAnsi="宋体" w:eastAsia="宋体" w:cs="宋体"/>
          <w:b w:val="0"/>
          <w:bCs/>
          <w:sz w:val="24"/>
          <w:lang w:val="en-US" w:eastAsia="zh-CN"/>
        </w:rPr>
        <w:t xml:space="preserve"> （2）板材力学性能对比</w:t>
      </w:r>
    </w:p>
    <w:p>
      <w:pPr>
        <w:pStyle w:val="4"/>
        <w:spacing w:line="360" w:lineRule="auto"/>
        <w:ind w:firstLine="480" w:firstLineChars="200"/>
        <w:rPr>
          <w:rFonts w:hint="eastAsia" w:ascii="宋体" w:hAnsi="宋体"/>
          <w:sz w:val="24"/>
          <w:szCs w:val="24"/>
        </w:rPr>
      </w:pPr>
      <w:r>
        <w:rPr>
          <w:rFonts w:hint="eastAsia" w:ascii="宋体" w:hAnsi="宋体"/>
          <w:sz w:val="24"/>
          <w:szCs w:val="24"/>
        </w:rPr>
        <w:t>本标准带材的力学性能主要依据使用要求制定的，与</w:t>
      </w:r>
      <w:r>
        <w:rPr>
          <w:rFonts w:hint="eastAsia" w:ascii="宋体" w:hAnsi="宋体"/>
          <w:sz w:val="24"/>
        </w:rPr>
        <w:t>ASTM B152</w:t>
      </w:r>
      <w:r>
        <w:rPr>
          <w:rFonts w:hint="eastAsia" w:ascii="宋体" w:hAnsi="宋体"/>
          <w:sz w:val="24"/>
          <w:szCs w:val="24"/>
        </w:rPr>
        <w:t>标准相近牌号相应状态性能对比见表1</w:t>
      </w:r>
      <w:r>
        <w:rPr>
          <w:rFonts w:hint="eastAsia" w:ascii="宋体" w:hAnsi="宋体"/>
          <w:sz w:val="24"/>
          <w:szCs w:val="24"/>
          <w:lang w:val="en-US" w:eastAsia="zh-CN"/>
        </w:rPr>
        <w:t>1</w:t>
      </w:r>
      <w:r>
        <w:rPr>
          <w:rFonts w:hint="eastAsia" w:ascii="宋体" w:hAnsi="宋体"/>
          <w:sz w:val="24"/>
          <w:szCs w:val="24"/>
        </w:rPr>
        <w:t>。对比可知，本标准板材力学性能高于ASTMB152标准。</w:t>
      </w:r>
    </w:p>
    <w:p>
      <w:pPr>
        <w:pStyle w:val="4"/>
        <w:spacing w:line="360" w:lineRule="auto"/>
        <w:jc w:val="center"/>
        <w:rPr>
          <w:rFonts w:ascii="宋体" w:hAnsi="宋体"/>
          <w:sz w:val="24"/>
          <w:szCs w:val="24"/>
        </w:rPr>
      </w:pPr>
      <w:r>
        <w:rPr>
          <w:rFonts w:hint="eastAsia" w:ascii="宋体" w:hAnsi="宋体"/>
          <w:sz w:val="24"/>
          <w:szCs w:val="24"/>
        </w:rPr>
        <w:t>表1</w:t>
      </w:r>
      <w:r>
        <w:rPr>
          <w:rFonts w:hint="eastAsia" w:ascii="宋体" w:hAnsi="宋体"/>
          <w:sz w:val="24"/>
          <w:szCs w:val="24"/>
          <w:lang w:val="en-US" w:eastAsia="zh-CN"/>
        </w:rPr>
        <w:t>1</w:t>
      </w:r>
      <w:r>
        <w:rPr>
          <w:rFonts w:hint="eastAsia" w:ascii="宋体" w:hAnsi="宋体"/>
          <w:sz w:val="24"/>
          <w:szCs w:val="24"/>
        </w:rPr>
        <w:t xml:space="preserve">  力学性能对比</w:t>
      </w:r>
    </w:p>
    <w:tbl>
      <w:tblPr>
        <w:tblStyle w:val="17"/>
        <w:tblW w:w="8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220"/>
        <w:gridCol w:w="1853"/>
        <w:gridCol w:w="1089"/>
        <w:gridCol w:w="1247"/>
        <w:gridCol w:w="1512"/>
        <w:gridCol w:w="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jc w:val="center"/>
        </w:trPr>
        <w:tc>
          <w:tcPr>
            <w:tcW w:w="4337" w:type="dxa"/>
            <w:gridSpan w:val="3"/>
            <w:vAlign w:val="center"/>
          </w:tcPr>
          <w:p>
            <w:pPr>
              <w:pStyle w:val="6"/>
              <w:keepNext w:val="0"/>
              <w:keepLines w:val="0"/>
              <w:pageBreakBefore w:val="0"/>
              <w:widowControl w:val="0"/>
              <w:kinsoku/>
              <w:wordWrap/>
              <w:overflowPunct/>
              <w:topLinePunct w:val="0"/>
              <w:autoSpaceDE/>
              <w:autoSpaceDN/>
              <w:bidi w:val="0"/>
              <w:snapToGrid w:val="0"/>
              <w:spacing w:line="240" w:lineRule="auto"/>
              <w:jc w:val="center"/>
              <w:rPr>
                <w:rFonts w:ascii="宋体" w:hAnsi="宋体"/>
                <w:sz w:val="21"/>
                <w:szCs w:val="21"/>
              </w:rPr>
            </w:pPr>
            <w:r>
              <w:rPr>
                <w:rFonts w:hint="eastAsia" w:ascii="宋体" w:hAnsi="宋体"/>
                <w:sz w:val="21"/>
                <w:szCs w:val="21"/>
              </w:rPr>
              <w:t>本标准</w:t>
            </w:r>
          </w:p>
        </w:tc>
        <w:tc>
          <w:tcPr>
            <w:tcW w:w="3905" w:type="dxa"/>
            <w:gridSpan w:val="4"/>
            <w:vAlign w:val="center"/>
          </w:tcPr>
          <w:p>
            <w:pPr>
              <w:pStyle w:val="6"/>
              <w:keepNext w:val="0"/>
              <w:keepLines w:val="0"/>
              <w:pageBreakBefore w:val="0"/>
              <w:widowControl w:val="0"/>
              <w:kinsoku/>
              <w:wordWrap/>
              <w:overflowPunct/>
              <w:topLinePunct w:val="0"/>
              <w:autoSpaceDE/>
              <w:autoSpaceDN/>
              <w:bidi w:val="0"/>
              <w:snapToGrid w:val="0"/>
              <w:spacing w:line="240" w:lineRule="auto"/>
              <w:jc w:val="center"/>
              <w:rPr>
                <w:rFonts w:ascii="宋体" w:hAnsi="宋体"/>
                <w:sz w:val="21"/>
                <w:szCs w:val="21"/>
              </w:rPr>
            </w:pPr>
            <w:r>
              <w:rPr>
                <w:rFonts w:hint="eastAsia" w:ascii="宋体" w:hAnsi="宋体"/>
                <w:sz w:val="21"/>
                <w:szCs w:val="21"/>
              </w:rPr>
              <w:t>ASTM B36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423" w:hRule="atLeast"/>
          <w:tblHeader/>
          <w:jc w:val="center"/>
        </w:trPr>
        <w:tc>
          <w:tcPr>
            <w:tcW w:w="12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宋体" w:hAnsi="宋体"/>
                <w:sz w:val="21"/>
                <w:szCs w:val="21"/>
              </w:rPr>
            </w:pPr>
            <w:r>
              <w:rPr>
                <w:rFonts w:hint="eastAsia" w:ascii="宋体" w:hAnsi="宋体"/>
                <w:sz w:val="21"/>
                <w:szCs w:val="21"/>
              </w:rPr>
              <w:t>牌号</w:t>
            </w:r>
          </w:p>
        </w:tc>
        <w:tc>
          <w:tcPr>
            <w:tcW w:w="12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宋体" w:hAnsi="宋体"/>
                <w:sz w:val="21"/>
                <w:szCs w:val="21"/>
              </w:rPr>
            </w:pPr>
            <w:r>
              <w:rPr>
                <w:rFonts w:hint="eastAsia" w:ascii="宋体" w:hAnsi="宋体"/>
                <w:sz w:val="21"/>
                <w:szCs w:val="21"/>
              </w:rPr>
              <w:t>状态</w:t>
            </w:r>
          </w:p>
        </w:tc>
        <w:tc>
          <w:tcPr>
            <w:tcW w:w="1853" w:type="dxa"/>
            <w:vAlign w:val="center"/>
          </w:tcPr>
          <w:p>
            <w:pPr>
              <w:pStyle w:val="6"/>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sz w:val="21"/>
                <w:szCs w:val="21"/>
              </w:rPr>
            </w:pPr>
            <w:r>
              <w:rPr>
                <w:rFonts w:hint="eastAsia" w:ascii="宋体" w:hAnsi="宋体"/>
                <w:sz w:val="21"/>
                <w:szCs w:val="21"/>
              </w:rPr>
              <w:t>维氏硬度H</w:t>
            </w:r>
            <w:r>
              <w:rPr>
                <w:rFonts w:hint="eastAsia" w:ascii="宋体" w:hAnsi="宋体"/>
                <w:kern w:val="2"/>
                <w:sz w:val="21"/>
                <w:szCs w:val="21"/>
              </w:rPr>
              <w:t>B</w:t>
            </w:r>
          </w:p>
        </w:tc>
        <w:tc>
          <w:tcPr>
            <w:tcW w:w="1089" w:type="dxa"/>
            <w:vAlign w:val="center"/>
          </w:tcPr>
          <w:p>
            <w:pPr>
              <w:pStyle w:val="6"/>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sz w:val="21"/>
                <w:szCs w:val="21"/>
              </w:rPr>
            </w:pPr>
            <w:r>
              <w:rPr>
                <w:rFonts w:hint="eastAsia" w:ascii="宋体" w:hAnsi="宋体"/>
                <w:sz w:val="21"/>
                <w:szCs w:val="21"/>
              </w:rPr>
              <w:t>牌号</w:t>
            </w:r>
          </w:p>
        </w:tc>
        <w:tc>
          <w:tcPr>
            <w:tcW w:w="1247" w:type="dxa"/>
            <w:vAlign w:val="center"/>
          </w:tcPr>
          <w:p>
            <w:pPr>
              <w:pStyle w:val="6"/>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sz w:val="21"/>
                <w:szCs w:val="21"/>
              </w:rPr>
            </w:pPr>
            <w:r>
              <w:rPr>
                <w:rFonts w:hint="eastAsia" w:ascii="宋体" w:hAnsi="宋体"/>
                <w:sz w:val="21"/>
                <w:szCs w:val="21"/>
              </w:rPr>
              <w:t>状态</w:t>
            </w:r>
          </w:p>
        </w:tc>
        <w:tc>
          <w:tcPr>
            <w:tcW w:w="1512" w:type="dxa"/>
            <w:vAlign w:val="center"/>
          </w:tcPr>
          <w:p>
            <w:pPr>
              <w:pStyle w:val="6"/>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sz w:val="21"/>
                <w:szCs w:val="21"/>
              </w:rPr>
            </w:pPr>
            <w:r>
              <w:rPr>
                <w:rFonts w:hint="eastAsia" w:ascii="宋体" w:hAnsi="宋体"/>
                <w:sz w:val="21"/>
                <w:szCs w:val="21"/>
              </w:rPr>
              <w:t>HRF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423" w:hRule="atLeast"/>
          <w:tblHeader/>
          <w:jc w:val="center"/>
        </w:trPr>
        <w:tc>
          <w:tcPr>
            <w:tcW w:w="12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ascii="宋体" w:hAnsi="宋体"/>
                <w:sz w:val="21"/>
                <w:szCs w:val="21"/>
              </w:rPr>
            </w:pPr>
            <w:r>
              <w:rPr>
                <w:rFonts w:hint="eastAsia" w:ascii="宋体" w:hAnsi="宋体"/>
                <w:sz w:val="21"/>
                <w:szCs w:val="21"/>
              </w:rPr>
              <w:t>T2</w:t>
            </w:r>
          </w:p>
          <w:p>
            <w:pPr>
              <w:keepNext w:val="0"/>
              <w:keepLines w:val="0"/>
              <w:pageBreakBefore w:val="0"/>
              <w:widowControl w:val="0"/>
              <w:kinsoku/>
              <w:wordWrap/>
              <w:overflowPunct/>
              <w:topLinePunct w:val="0"/>
              <w:autoSpaceDE/>
              <w:autoSpaceDN/>
              <w:bidi w:val="0"/>
              <w:adjustRightInd w:val="0"/>
              <w:snapToGrid w:val="0"/>
              <w:spacing w:line="360" w:lineRule="auto"/>
              <w:jc w:val="center"/>
              <w:rPr>
                <w:rFonts w:ascii="宋体" w:hAnsi="宋体"/>
                <w:sz w:val="21"/>
                <w:szCs w:val="21"/>
              </w:rPr>
            </w:pPr>
            <w:r>
              <w:rPr>
                <w:rFonts w:hint="eastAsia" w:ascii="宋体" w:hAnsi="宋体"/>
                <w:sz w:val="21"/>
                <w:szCs w:val="21"/>
              </w:rPr>
              <w:t>TAg0.1</w:t>
            </w:r>
          </w:p>
          <w:p>
            <w:pPr>
              <w:keepNext w:val="0"/>
              <w:keepLines w:val="0"/>
              <w:pageBreakBefore w:val="0"/>
              <w:widowControl w:val="0"/>
              <w:kinsoku/>
              <w:wordWrap/>
              <w:overflowPunct/>
              <w:topLinePunct w:val="0"/>
              <w:autoSpaceDE/>
              <w:autoSpaceDN/>
              <w:bidi w:val="0"/>
              <w:adjustRightInd w:val="0"/>
              <w:snapToGrid w:val="0"/>
              <w:spacing w:line="360" w:lineRule="auto"/>
              <w:jc w:val="center"/>
              <w:rPr>
                <w:rFonts w:ascii="宋体" w:hAnsi="宋体"/>
                <w:sz w:val="21"/>
                <w:szCs w:val="21"/>
              </w:rPr>
            </w:pPr>
            <w:r>
              <w:rPr>
                <w:rFonts w:hint="eastAsia" w:ascii="宋体" w:hAnsi="宋体"/>
                <w:sz w:val="21"/>
                <w:szCs w:val="21"/>
              </w:rPr>
              <w:t>TAg0.15</w:t>
            </w:r>
          </w:p>
        </w:tc>
        <w:tc>
          <w:tcPr>
            <w:tcW w:w="12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ascii="宋体" w:hAnsi="宋体"/>
                <w:sz w:val="21"/>
                <w:szCs w:val="21"/>
              </w:rPr>
            </w:pPr>
            <w:r>
              <w:rPr>
                <w:rFonts w:hint="eastAsia" w:ascii="宋体" w:hAnsi="宋体"/>
                <w:sz w:val="21"/>
                <w:szCs w:val="21"/>
              </w:rPr>
              <w:t>H04</w:t>
            </w:r>
          </w:p>
        </w:tc>
        <w:tc>
          <w:tcPr>
            <w:tcW w:w="1853" w:type="dxa"/>
            <w:vMerge w:val="restart"/>
            <w:vAlign w:val="center"/>
          </w:tcPr>
          <w:p>
            <w:pPr>
              <w:keepNext w:val="0"/>
              <w:keepLines w:val="0"/>
              <w:pageBreakBefore w:val="0"/>
              <w:widowControl w:val="0"/>
              <w:kinsoku/>
              <w:wordWrap/>
              <w:overflowPunct/>
              <w:topLinePunct w:val="0"/>
              <w:autoSpaceDE/>
              <w:autoSpaceDN/>
              <w:bidi w:val="0"/>
              <w:spacing w:line="360" w:lineRule="auto"/>
              <w:jc w:val="center"/>
              <w:rPr>
                <w:rFonts w:ascii="宋体" w:hAnsi="宋体"/>
                <w:sz w:val="21"/>
                <w:szCs w:val="21"/>
              </w:rPr>
            </w:pPr>
            <w:r>
              <w:rPr>
                <w:rFonts w:hint="eastAsia" w:ascii="宋体" w:hAnsi="宋体"/>
                <w:sz w:val="21"/>
                <w:szCs w:val="21"/>
              </w:rPr>
              <w:t>＞95</w:t>
            </w:r>
          </w:p>
        </w:tc>
        <w:tc>
          <w:tcPr>
            <w:tcW w:w="1089" w:type="dxa"/>
            <w:vMerge w:val="restart"/>
            <w:vAlign w:val="center"/>
          </w:tcPr>
          <w:p>
            <w:pPr>
              <w:keepNext w:val="0"/>
              <w:keepLines w:val="0"/>
              <w:pageBreakBefore w:val="0"/>
              <w:widowControl w:val="0"/>
              <w:kinsoku/>
              <w:wordWrap/>
              <w:overflowPunct/>
              <w:topLinePunct w:val="0"/>
              <w:autoSpaceDE/>
              <w:autoSpaceDN/>
              <w:bidi w:val="0"/>
              <w:spacing w:line="360" w:lineRule="auto"/>
              <w:jc w:val="center"/>
              <w:rPr>
                <w:rFonts w:ascii="宋体" w:hAnsi="宋体"/>
                <w:sz w:val="21"/>
                <w:szCs w:val="21"/>
              </w:rPr>
            </w:pPr>
            <w:r>
              <w:rPr>
                <w:rFonts w:ascii="宋体" w:hAnsi="宋体"/>
                <w:sz w:val="21"/>
                <w:szCs w:val="21"/>
              </w:rPr>
              <w:t>C</w:t>
            </w:r>
            <w:r>
              <w:rPr>
                <w:rFonts w:hint="eastAsia" w:ascii="宋体" w:hAnsi="宋体"/>
                <w:sz w:val="21"/>
                <w:szCs w:val="21"/>
              </w:rPr>
              <w:t>11000</w:t>
            </w:r>
          </w:p>
          <w:p>
            <w:pPr>
              <w:keepNext w:val="0"/>
              <w:keepLines w:val="0"/>
              <w:pageBreakBefore w:val="0"/>
              <w:widowControl w:val="0"/>
              <w:kinsoku/>
              <w:wordWrap/>
              <w:overflowPunct/>
              <w:topLinePunct w:val="0"/>
              <w:autoSpaceDE/>
              <w:autoSpaceDN/>
              <w:bidi w:val="0"/>
              <w:spacing w:line="360" w:lineRule="auto"/>
              <w:jc w:val="center"/>
              <w:rPr>
                <w:rFonts w:ascii="宋体" w:hAnsi="宋体"/>
                <w:sz w:val="21"/>
                <w:szCs w:val="21"/>
              </w:rPr>
            </w:pPr>
            <w:r>
              <w:rPr>
                <w:rFonts w:hint="eastAsia" w:ascii="宋体" w:hAnsi="宋体"/>
                <w:sz w:val="21"/>
                <w:szCs w:val="21"/>
              </w:rPr>
              <w:t>C11400</w:t>
            </w:r>
          </w:p>
          <w:p>
            <w:pPr>
              <w:keepNext w:val="0"/>
              <w:keepLines w:val="0"/>
              <w:pageBreakBefore w:val="0"/>
              <w:widowControl w:val="0"/>
              <w:kinsoku/>
              <w:wordWrap/>
              <w:overflowPunct/>
              <w:topLinePunct w:val="0"/>
              <w:autoSpaceDE/>
              <w:autoSpaceDN/>
              <w:bidi w:val="0"/>
              <w:spacing w:line="360" w:lineRule="auto"/>
              <w:jc w:val="center"/>
              <w:rPr>
                <w:rFonts w:ascii="宋体" w:hAnsi="宋体"/>
                <w:sz w:val="21"/>
                <w:szCs w:val="21"/>
              </w:rPr>
            </w:pPr>
            <w:r>
              <w:rPr>
                <w:rFonts w:hint="eastAsia" w:ascii="宋体" w:hAnsi="宋体"/>
                <w:sz w:val="21"/>
                <w:szCs w:val="21"/>
              </w:rPr>
              <w:t>C11600</w:t>
            </w:r>
          </w:p>
        </w:tc>
        <w:tc>
          <w:tcPr>
            <w:tcW w:w="1247" w:type="dxa"/>
            <w:vMerge w:val="restart"/>
            <w:vAlign w:val="center"/>
          </w:tcPr>
          <w:p>
            <w:pPr>
              <w:keepNext w:val="0"/>
              <w:keepLines w:val="0"/>
              <w:pageBreakBefore w:val="0"/>
              <w:widowControl w:val="0"/>
              <w:kinsoku/>
              <w:wordWrap/>
              <w:overflowPunct/>
              <w:topLinePunct w:val="0"/>
              <w:autoSpaceDE/>
              <w:autoSpaceDN/>
              <w:bidi w:val="0"/>
              <w:spacing w:line="240" w:lineRule="auto"/>
              <w:jc w:val="center"/>
              <w:rPr>
                <w:rFonts w:ascii="宋体" w:hAnsi="宋体"/>
                <w:sz w:val="21"/>
                <w:szCs w:val="21"/>
              </w:rPr>
            </w:pPr>
            <w:r>
              <w:rPr>
                <w:rFonts w:hint="eastAsia" w:ascii="宋体" w:hAnsi="宋体"/>
                <w:sz w:val="21"/>
                <w:szCs w:val="21"/>
              </w:rPr>
              <w:t>H04</w:t>
            </w:r>
          </w:p>
        </w:tc>
        <w:tc>
          <w:tcPr>
            <w:tcW w:w="1512" w:type="dxa"/>
            <w:vMerge w:val="restart"/>
            <w:vAlign w:val="center"/>
          </w:tcPr>
          <w:p>
            <w:pPr>
              <w:keepNext w:val="0"/>
              <w:keepLines w:val="0"/>
              <w:pageBreakBefore w:val="0"/>
              <w:widowControl w:val="0"/>
              <w:kinsoku/>
              <w:wordWrap/>
              <w:overflowPunct/>
              <w:topLinePunct w:val="0"/>
              <w:autoSpaceDE/>
              <w:autoSpaceDN/>
              <w:bidi w:val="0"/>
              <w:spacing w:line="240" w:lineRule="auto"/>
              <w:jc w:val="center"/>
              <w:rPr>
                <w:rFonts w:ascii="宋体" w:hAnsi="宋体"/>
                <w:sz w:val="21"/>
                <w:szCs w:val="21"/>
              </w:rPr>
            </w:pPr>
            <w:r>
              <w:rPr>
                <w:rFonts w:hint="eastAsia" w:ascii="宋体" w:hAnsi="宋体"/>
                <w:sz w:val="21"/>
                <w:szCs w:val="21"/>
              </w:rPr>
              <w:t>86～93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423" w:hRule="atLeast"/>
          <w:tblHeader/>
          <w:jc w:val="center"/>
        </w:trPr>
        <w:tc>
          <w:tcPr>
            <w:tcW w:w="12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宋体" w:hAnsi="宋体"/>
                <w:sz w:val="21"/>
                <w:szCs w:val="21"/>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宋体" w:hAnsi="宋体"/>
                <w:sz w:val="21"/>
                <w:szCs w:val="21"/>
              </w:rPr>
            </w:pPr>
          </w:p>
        </w:tc>
        <w:tc>
          <w:tcPr>
            <w:tcW w:w="1853" w:type="dxa"/>
            <w:vMerge w:val="continue"/>
            <w:vAlign w:val="center"/>
          </w:tcPr>
          <w:p>
            <w:pPr>
              <w:pStyle w:val="6"/>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sz w:val="21"/>
                <w:szCs w:val="21"/>
              </w:rPr>
            </w:pPr>
          </w:p>
        </w:tc>
        <w:tc>
          <w:tcPr>
            <w:tcW w:w="1089" w:type="dxa"/>
            <w:vMerge w:val="continue"/>
            <w:vAlign w:val="center"/>
          </w:tcPr>
          <w:p>
            <w:pPr>
              <w:keepNext w:val="0"/>
              <w:keepLines w:val="0"/>
              <w:pageBreakBefore w:val="0"/>
              <w:widowControl w:val="0"/>
              <w:kinsoku/>
              <w:wordWrap/>
              <w:overflowPunct/>
              <w:topLinePunct w:val="0"/>
              <w:autoSpaceDE/>
              <w:autoSpaceDN/>
              <w:bidi w:val="0"/>
              <w:spacing w:line="240" w:lineRule="auto"/>
              <w:jc w:val="center"/>
              <w:rPr>
                <w:rFonts w:ascii="宋体" w:hAnsi="宋体"/>
                <w:sz w:val="21"/>
                <w:szCs w:val="21"/>
              </w:rPr>
            </w:pPr>
          </w:p>
        </w:tc>
        <w:tc>
          <w:tcPr>
            <w:tcW w:w="1247" w:type="dxa"/>
            <w:vMerge w:val="continue"/>
            <w:vAlign w:val="center"/>
          </w:tcPr>
          <w:p>
            <w:pPr>
              <w:keepNext w:val="0"/>
              <w:keepLines w:val="0"/>
              <w:pageBreakBefore w:val="0"/>
              <w:widowControl w:val="0"/>
              <w:kinsoku/>
              <w:wordWrap/>
              <w:overflowPunct/>
              <w:topLinePunct w:val="0"/>
              <w:autoSpaceDE/>
              <w:autoSpaceDN/>
              <w:bidi w:val="0"/>
              <w:spacing w:line="240" w:lineRule="auto"/>
              <w:jc w:val="center"/>
              <w:rPr>
                <w:rFonts w:ascii="宋体" w:hAnsi="宋体"/>
                <w:sz w:val="21"/>
                <w:szCs w:val="21"/>
              </w:rPr>
            </w:pPr>
          </w:p>
        </w:tc>
        <w:tc>
          <w:tcPr>
            <w:tcW w:w="1512" w:type="dxa"/>
            <w:vMerge w:val="continue"/>
            <w:vAlign w:val="center"/>
          </w:tcPr>
          <w:p>
            <w:pPr>
              <w:keepNext w:val="0"/>
              <w:keepLines w:val="0"/>
              <w:pageBreakBefore w:val="0"/>
              <w:widowControl w:val="0"/>
              <w:kinsoku/>
              <w:wordWrap/>
              <w:overflowPunct/>
              <w:topLinePunct w:val="0"/>
              <w:autoSpaceDE/>
              <w:autoSpaceDN/>
              <w:bidi w:val="0"/>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 w:type="dxa"/>
          <w:trHeight w:val="443" w:hRule="atLeast"/>
          <w:tblHeader/>
          <w:jc w:val="center"/>
        </w:trPr>
        <w:tc>
          <w:tcPr>
            <w:tcW w:w="12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宋体" w:hAnsi="宋体"/>
                <w:sz w:val="21"/>
                <w:szCs w:val="21"/>
              </w:rPr>
            </w:pPr>
          </w:p>
        </w:tc>
        <w:tc>
          <w:tcPr>
            <w:tcW w:w="12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ascii="宋体" w:hAnsi="宋体"/>
                <w:sz w:val="21"/>
                <w:szCs w:val="21"/>
              </w:rPr>
            </w:pPr>
          </w:p>
        </w:tc>
        <w:tc>
          <w:tcPr>
            <w:tcW w:w="1853" w:type="dxa"/>
            <w:vMerge w:val="continue"/>
            <w:vAlign w:val="center"/>
          </w:tcPr>
          <w:p>
            <w:pPr>
              <w:keepNext w:val="0"/>
              <w:keepLines w:val="0"/>
              <w:pageBreakBefore w:val="0"/>
              <w:widowControl w:val="0"/>
              <w:kinsoku/>
              <w:wordWrap/>
              <w:overflowPunct/>
              <w:topLinePunct w:val="0"/>
              <w:autoSpaceDE/>
              <w:autoSpaceDN/>
              <w:bidi w:val="0"/>
              <w:spacing w:line="240" w:lineRule="auto"/>
              <w:jc w:val="center"/>
              <w:rPr>
                <w:rFonts w:ascii="宋体" w:hAnsi="宋体"/>
                <w:sz w:val="21"/>
                <w:szCs w:val="21"/>
              </w:rPr>
            </w:pPr>
          </w:p>
        </w:tc>
        <w:tc>
          <w:tcPr>
            <w:tcW w:w="1089" w:type="dxa"/>
            <w:vMerge w:val="continue"/>
            <w:vAlign w:val="center"/>
          </w:tcPr>
          <w:p>
            <w:pPr>
              <w:pStyle w:val="6"/>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sz w:val="21"/>
                <w:szCs w:val="21"/>
              </w:rPr>
            </w:pPr>
          </w:p>
        </w:tc>
        <w:tc>
          <w:tcPr>
            <w:tcW w:w="1247" w:type="dxa"/>
            <w:vMerge w:val="continue"/>
            <w:vAlign w:val="center"/>
          </w:tcPr>
          <w:p>
            <w:pPr>
              <w:pStyle w:val="6"/>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sz w:val="21"/>
                <w:szCs w:val="21"/>
              </w:rPr>
            </w:pPr>
          </w:p>
        </w:tc>
        <w:tc>
          <w:tcPr>
            <w:tcW w:w="1512" w:type="dxa"/>
            <w:vMerge w:val="continue"/>
            <w:vAlign w:val="center"/>
          </w:tcPr>
          <w:p>
            <w:pPr>
              <w:pStyle w:val="6"/>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sz w:val="21"/>
                <w:szCs w:val="21"/>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析：HRB标尺使用范围是20～100HRB，当硬度值低于20HRB时，由于钢球的压入深度过大，金属蠕变加剧，试样在试验力作用下的变形时间延长，测试值准确度降低，此时应改用HRF标尺。当硬度值大于100HRB时，因为钢球压入深度过浅，灵敏度降低，精度下降，此时应改用HRC标尺。由此可知，表10中ASTM B36标准HRF86-93，</w:t>
      </w:r>
      <w:r>
        <w:rPr>
          <w:rFonts w:hint="eastAsia" w:ascii="宋体" w:hAnsi="宋体" w:eastAsia="宋体" w:cs="宋体"/>
          <w:sz w:val="24"/>
          <w:szCs w:val="24"/>
          <w:lang w:val="en-US" w:eastAsia="zh-CN"/>
        </w:rPr>
        <w:t>其</w:t>
      </w:r>
      <w:r>
        <w:rPr>
          <w:rFonts w:hint="eastAsia" w:ascii="宋体" w:hAnsi="宋体" w:eastAsia="宋体" w:cs="宋体"/>
          <w:sz w:val="24"/>
          <w:szCs w:val="24"/>
        </w:rPr>
        <w:t>对应的HRB值应小于HRB20。根据HRB与HB经验换算，见下表：</w:t>
      </w:r>
    </w:p>
    <w:p>
      <w:pPr>
        <w:pStyle w:val="2"/>
        <w:spacing w:line="360" w:lineRule="auto"/>
        <w:ind w:left="0" w:leftChars="0" w:firstLine="0" w:firstLineChars="0"/>
        <w:jc w:val="center"/>
        <w:rPr>
          <w:rFonts w:hint="eastAsia"/>
        </w:rPr>
      </w:pPr>
      <w:r>
        <w:rPr>
          <w:rFonts w:hint="eastAsia" w:ascii="宋体" w:hAnsi="宋体"/>
          <w:sz w:val="24"/>
          <w:szCs w:val="24"/>
        </w:rPr>
        <w:t>表1</w:t>
      </w:r>
      <w:r>
        <w:rPr>
          <w:rFonts w:hint="eastAsia" w:hAnsi="宋体"/>
          <w:sz w:val="24"/>
          <w:szCs w:val="24"/>
          <w:lang w:val="en-US" w:eastAsia="zh-CN"/>
        </w:rPr>
        <w:t xml:space="preserve">2  </w:t>
      </w:r>
      <w:r>
        <w:rPr>
          <w:rFonts w:hint="eastAsia" w:ascii="宋体" w:hAnsi="宋体" w:eastAsia="宋体" w:cs="宋体"/>
          <w:sz w:val="24"/>
          <w:szCs w:val="24"/>
        </w:rPr>
        <w:t>HRB与HB经验换算</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917"/>
        <w:gridCol w:w="917"/>
        <w:gridCol w:w="916"/>
        <w:gridCol w:w="916"/>
        <w:gridCol w:w="916"/>
        <w:gridCol w:w="916"/>
        <w:gridCol w:w="91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30" w:type="dxa"/>
            <w:vAlign w:val="center"/>
          </w:tcPr>
          <w:p>
            <w:pPr>
              <w:spacing w:line="360" w:lineRule="auto"/>
              <w:jc w:val="center"/>
              <w:rPr>
                <w:rFonts w:ascii="宋体" w:hAnsi="宋体"/>
                <w:szCs w:val="21"/>
              </w:rPr>
            </w:pPr>
            <w:r>
              <w:rPr>
                <w:rFonts w:hint="eastAsia" w:ascii="宋体" w:hAnsi="宋体"/>
                <w:szCs w:val="21"/>
              </w:rPr>
              <w:t>HRB</w:t>
            </w:r>
          </w:p>
        </w:tc>
        <w:tc>
          <w:tcPr>
            <w:tcW w:w="917" w:type="dxa"/>
            <w:vAlign w:val="center"/>
          </w:tcPr>
          <w:p>
            <w:pPr>
              <w:spacing w:line="360" w:lineRule="auto"/>
              <w:jc w:val="center"/>
              <w:rPr>
                <w:rFonts w:ascii="宋体" w:hAnsi="宋体"/>
                <w:szCs w:val="21"/>
              </w:rPr>
            </w:pPr>
            <w:r>
              <w:rPr>
                <w:rFonts w:hint="eastAsia" w:ascii="宋体" w:hAnsi="宋体"/>
                <w:szCs w:val="21"/>
              </w:rPr>
              <w:t>27</w:t>
            </w:r>
          </w:p>
        </w:tc>
        <w:tc>
          <w:tcPr>
            <w:tcW w:w="917" w:type="dxa"/>
            <w:vAlign w:val="center"/>
          </w:tcPr>
          <w:p>
            <w:pPr>
              <w:spacing w:line="360" w:lineRule="auto"/>
              <w:jc w:val="center"/>
              <w:rPr>
                <w:rFonts w:ascii="宋体" w:hAnsi="宋体"/>
                <w:szCs w:val="21"/>
              </w:rPr>
            </w:pPr>
            <w:r>
              <w:rPr>
                <w:rFonts w:hint="eastAsia" w:ascii="宋体" w:hAnsi="宋体"/>
                <w:szCs w:val="21"/>
              </w:rPr>
              <w:t>30</w:t>
            </w:r>
          </w:p>
        </w:tc>
        <w:tc>
          <w:tcPr>
            <w:tcW w:w="916" w:type="dxa"/>
            <w:vAlign w:val="center"/>
          </w:tcPr>
          <w:p>
            <w:pPr>
              <w:spacing w:line="360" w:lineRule="auto"/>
              <w:jc w:val="center"/>
              <w:rPr>
                <w:rFonts w:ascii="宋体" w:hAnsi="宋体"/>
                <w:szCs w:val="21"/>
              </w:rPr>
            </w:pPr>
            <w:r>
              <w:rPr>
                <w:rFonts w:hint="eastAsia" w:ascii="宋体" w:hAnsi="宋体"/>
                <w:szCs w:val="21"/>
              </w:rPr>
              <w:t>45</w:t>
            </w:r>
          </w:p>
        </w:tc>
        <w:tc>
          <w:tcPr>
            <w:tcW w:w="916" w:type="dxa"/>
            <w:vAlign w:val="center"/>
          </w:tcPr>
          <w:p>
            <w:pPr>
              <w:spacing w:line="360" w:lineRule="auto"/>
              <w:jc w:val="center"/>
              <w:rPr>
                <w:rFonts w:ascii="宋体" w:hAnsi="宋体"/>
                <w:szCs w:val="21"/>
              </w:rPr>
            </w:pPr>
            <w:r>
              <w:rPr>
                <w:rFonts w:hint="eastAsia" w:ascii="宋体" w:hAnsi="宋体"/>
                <w:szCs w:val="21"/>
              </w:rPr>
              <w:t>47</w:t>
            </w:r>
          </w:p>
        </w:tc>
        <w:tc>
          <w:tcPr>
            <w:tcW w:w="916" w:type="dxa"/>
            <w:vAlign w:val="center"/>
          </w:tcPr>
          <w:p>
            <w:pPr>
              <w:spacing w:line="360" w:lineRule="auto"/>
              <w:jc w:val="center"/>
              <w:rPr>
                <w:rFonts w:ascii="宋体" w:hAnsi="宋体"/>
                <w:szCs w:val="21"/>
              </w:rPr>
            </w:pPr>
            <w:r>
              <w:rPr>
                <w:rFonts w:hint="eastAsia" w:ascii="宋体" w:hAnsi="宋体"/>
                <w:szCs w:val="21"/>
              </w:rPr>
              <w:t>48</w:t>
            </w:r>
          </w:p>
        </w:tc>
        <w:tc>
          <w:tcPr>
            <w:tcW w:w="916" w:type="dxa"/>
            <w:vAlign w:val="center"/>
          </w:tcPr>
          <w:p>
            <w:pPr>
              <w:spacing w:line="360" w:lineRule="auto"/>
              <w:jc w:val="center"/>
              <w:rPr>
                <w:rFonts w:ascii="宋体" w:hAnsi="宋体"/>
                <w:szCs w:val="21"/>
              </w:rPr>
            </w:pPr>
            <w:r>
              <w:rPr>
                <w:rFonts w:hint="eastAsia" w:ascii="宋体" w:hAnsi="宋体"/>
                <w:szCs w:val="21"/>
              </w:rPr>
              <w:t>49</w:t>
            </w:r>
          </w:p>
        </w:tc>
        <w:tc>
          <w:tcPr>
            <w:tcW w:w="916" w:type="dxa"/>
            <w:vAlign w:val="center"/>
          </w:tcPr>
          <w:p>
            <w:pPr>
              <w:spacing w:line="360" w:lineRule="auto"/>
              <w:jc w:val="center"/>
              <w:rPr>
                <w:rFonts w:ascii="宋体" w:hAnsi="宋体"/>
                <w:szCs w:val="21"/>
              </w:rPr>
            </w:pPr>
            <w:r>
              <w:rPr>
                <w:rFonts w:hint="eastAsia" w:ascii="宋体" w:hAnsi="宋体"/>
                <w:szCs w:val="21"/>
              </w:rPr>
              <w:t>51</w:t>
            </w:r>
          </w:p>
        </w:tc>
        <w:tc>
          <w:tcPr>
            <w:tcW w:w="887" w:type="dxa"/>
          </w:tcPr>
          <w:p>
            <w:pPr>
              <w:spacing w:line="360" w:lineRule="auto"/>
              <w:jc w:val="center"/>
              <w:rPr>
                <w:rFonts w:ascii="宋体" w:hAnsi="宋体"/>
                <w:szCs w:val="21"/>
              </w:rPr>
            </w:pPr>
            <w:r>
              <w:rPr>
                <w:rFonts w:hint="eastAsia" w:ascii="宋体" w:hAnsi="宋体"/>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30" w:type="dxa"/>
            <w:vAlign w:val="center"/>
          </w:tcPr>
          <w:p>
            <w:pPr>
              <w:spacing w:line="360" w:lineRule="auto"/>
              <w:jc w:val="center"/>
              <w:rPr>
                <w:rFonts w:ascii="宋体" w:hAnsi="宋体"/>
                <w:szCs w:val="21"/>
              </w:rPr>
            </w:pPr>
            <w:r>
              <w:rPr>
                <w:rFonts w:hint="eastAsia" w:ascii="宋体" w:hAnsi="宋体"/>
                <w:szCs w:val="21"/>
              </w:rPr>
              <w:t>HB</w:t>
            </w:r>
          </w:p>
        </w:tc>
        <w:tc>
          <w:tcPr>
            <w:tcW w:w="917" w:type="dxa"/>
            <w:vAlign w:val="center"/>
          </w:tcPr>
          <w:p>
            <w:pPr>
              <w:spacing w:line="360" w:lineRule="auto"/>
              <w:jc w:val="center"/>
              <w:rPr>
                <w:rFonts w:ascii="宋体" w:hAnsi="宋体"/>
                <w:szCs w:val="21"/>
              </w:rPr>
            </w:pPr>
            <w:r>
              <w:rPr>
                <w:rFonts w:hint="eastAsia" w:ascii="宋体" w:hAnsi="宋体"/>
                <w:szCs w:val="21"/>
              </w:rPr>
              <w:t>70</w:t>
            </w:r>
          </w:p>
        </w:tc>
        <w:tc>
          <w:tcPr>
            <w:tcW w:w="917" w:type="dxa"/>
            <w:vAlign w:val="center"/>
          </w:tcPr>
          <w:p>
            <w:pPr>
              <w:spacing w:line="360" w:lineRule="auto"/>
              <w:jc w:val="center"/>
              <w:rPr>
                <w:rFonts w:ascii="宋体" w:hAnsi="宋体"/>
                <w:szCs w:val="21"/>
              </w:rPr>
            </w:pPr>
            <w:r>
              <w:rPr>
                <w:rFonts w:hint="eastAsia" w:ascii="宋体" w:hAnsi="宋体"/>
                <w:szCs w:val="21"/>
              </w:rPr>
              <w:t>72</w:t>
            </w:r>
          </w:p>
        </w:tc>
        <w:tc>
          <w:tcPr>
            <w:tcW w:w="916" w:type="dxa"/>
            <w:vAlign w:val="center"/>
          </w:tcPr>
          <w:p>
            <w:pPr>
              <w:spacing w:line="360" w:lineRule="auto"/>
              <w:jc w:val="center"/>
              <w:rPr>
                <w:rFonts w:ascii="宋体" w:hAnsi="宋体"/>
                <w:szCs w:val="21"/>
              </w:rPr>
            </w:pPr>
            <w:r>
              <w:rPr>
                <w:rFonts w:hint="eastAsia" w:ascii="宋体" w:hAnsi="宋体"/>
                <w:szCs w:val="21"/>
              </w:rPr>
              <w:t>86</w:t>
            </w:r>
          </w:p>
        </w:tc>
        <w:tc>
          <w:tcPr>
            <w:tcW w:w="916" w:type="dxa"/>
            <w:vAlign w:val="center"/>
          </w:tcPr>
          <w:p>
            <w:pPr>
              <w:spacing w:line="360" w:lineRule="auto"/>
              <w:jc w:val="center"/>
              <w:rPr>
                <w:rFonts w:ascii="宋体" w:hAnsi="宋体"/>
                <w:szCs w:val="21"/>
              </w:rPr>
            </w:pPr>
            <w:r>
              <w:rPr>
                <w:rFonts w:hint="eastAsia" w:ascii="宋体" w:hAnsi="宋体"/>
                <w:szCs w:val="21"/>
              </w:rPr>
              <w:t>88</w:t>
            </w:r>
          </w:p>
        </w:tc>
        <w:tc>
          <w:tcPr>
            <w:tcW w:w="916" w:type="dxa"/>
            <w:vAlign w:val="center"/>
          </w:tcPr>
          <w:p>
            <w:pPr>
              <w:spacing w:line="360" w:lineRule="auto"/>
              <w:jc w:val="center"/>
              <w:rPr>
                <w:rFonts w:ascii="宋体" w:hAnsi="宋体"/>
                <w:szCs w:val="21"/>
              </w:rPr>
            </w:pPr>
            <w:r>
              <w:rPr>
                <w:rFonts w:hint="eastAsia" w:ascii="宋体" w:hAnsi="宋体"/>
                <w:szCs w:val="21"/>
              </w:rPr>
              <w:t>89</w:t>
            </w:r>
          </w:p>
        </w:tc>
        <w:tc>
          <w:tcPr>
            <w:tcW w:w="916" w:type="dxa"/>
            <w:vAlign w:val="center"/>
          </w:tcPr>
          <w:p>
            <w:pPr>
              <w:spacing w:line="360" w:lineRule="auto"/>
              <w:jc w:val="center"/>
              <w:rPr>
                <w:rFonts w:ascii="宋体" w:hAnsi="宋体"/>
                <w:szCs w:val="21"/>
              </w:rPr>
            </w:pPr>
            <w:r>
              <w:rPr>
                <w:rFonts w:hint="eastAsia" w:ascii="宋体" w:hAnsi="宋体"/>
                <w:szCs w:val="21"/>
              </w:rPr>
              <w:t>92</w:t>
            </w:r>
          </w:p>
        </w:tc>
        <w:tc>
          <w:tcPr>
            <w:tcW w:w="916" w:type="dxa"/>
            <w:vAlign w:val="center"/>
          </w:tcPr>
          <w:p>
            <w:pPr>
              <w:spacing w:line="360" w:lineRule="auto"/>
              <w:jc w:val="center"/>
              <w:rPr>
                <w:rFonts w:ascii="宋体" w:hAnsi="宋体"/>
                <w:szCs w:val="21"/>
              </w:rPr>
            </w:pPr>
            <w:r>
              <w:rPr>
                <w:rFonts w:hint="eastAsia" w:ascii="宋体" w:hAnsi="宋体"/>
                <w:szCs w:val="21"/>
              </w:rPr>
              <w:t>94</w:t>
            </w:r>
          </w:p>
        </w:tc>
        <w:tc>
          <w:tcPr>
            <w:tcW w:w="887" w:type="dxa"/>
          </w:tcPr>
          <w:p>
            <w:pPr>
              <w:spacing w:line="360" w:lineRule="auto"/>
              <w:jc w:val="center"/>
              <w:rPr>
                <w:rFonts w:ascii="宋体" w:hAnsi="宋体"/>
                <w:szCs w:val="21"/>
              </w:rPr>
            </w:pPr>
            <w:r>
              <w:rPr>
                <w:rFonts w:hint="eastAsia" w:ascii="宋体" w:hAnsi="宋体"/>
                <w:szCs w:val="21"/>
              </w:rPr>
              <w:t>96</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sz w:val="24"/>
        </w:rPr>
      </w:pPr>
      <w:r>
        <w:rPr>
          <w:rFonts w:hint="eastAsia" w:ascii="宋体" w:hAnsi="宋体"/>
          <w:sz w:val="24"/>
        </w:rPr>
        <w:t xml:space="preserve">   </w:t>
      </w:r>
      <w:r>
        <w:rPr>
          <w:rFonts w:hint="eastAsia" w:ascii="宋体" w:hAnsi="宋体" w:eastAsia="宋体" w:cs="宋体"/>
          <w:sz w:val="24"/>
        </w:rPr>
        <w:t xml:space="preserve"> 由上表可知，HB95时，对应</w:t>
      </w:r>
      <w:r>
        <w:rPr>
          <w:rFonts w:hint="eastAsia" w:ascii="宋体" w:hAnsi="宋体" w:eastAsia="宋体" w:cs="宋体"/>
          <w:color w:val="333333"/>
          <w:sz w:val="24"/>
        </w:rPr>
        <w:t>HRB值约51.5；ASTM B36标准指标</w:t>
      </w:r>
      <w:r>
        <w:rPr>
          <w:rFonts w:hint="eastAsia" w:ascii="宋体" w:hAnsi="宋体" w:eastAsia="宋体" w:cs="宋体"/>
          <w:sz w:val="24"/>
        </w:rPr>
        <w:t>HRF86～93，其HRB值小于20，对应的HB值小于70。由此分析，本标准硬度指标HB高于</w:t>
      </w:r>
      <w:r>
        <w:rPr>
          <w:rFonts w:hint="eastAsia" w:ascii="宋体" w:hAnsi="宋体" w:eastAsia="宋体" w:cs="宋体"/>
          <w:color w:val="333333"/>
          <w:sz w:val="24"/>
        </w:rPr>
        <w:t>ASTM B36标准的硬度指标。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b w:val="0"/>
          <w:bCs/>
          <w:sz w:val="24"/>
        </w:rPr>
      </w:pPr>
      <w:r>
        <w:rPr>
          <w:rFonts w:hint="eastAsia" w:ascii="黑体" w:hAnsi="黑体" w:eastAsia="黑体" w:cs="黑体"/>
          <w:b w:val="0"/>
          <w:bCs/>
          <w:sz w:val="24"/>
          <w:lang w:val="en-US" w:eastAsia="zh-CN"/>
        </w:rPr>
        <w:t>6</w:t>
      </w:r>
      <w:r>
        <w:rPr>
          <w:rFonts w:hint="eastAsia" w:ascii="黑体" w:hAnsi="黑体" w:eastAsia="黑体" w:cs="黑体"/>
          <w:b w:val="0"/>
          <w:bCs/>
          <w:sz w:val="24"/>
        </w:rPr>
        <w:t>.</w:t>
      </w:r>
      <w:r>
        <w:rPr>
          <w:rFonts w:hint="eastAsia" w:ascii="黑体" w:hAnsi="黑体" w:eastAsia="黑体" w:cs="黑体"/>
          <w:b w:val="0"/>
          <w:bCs/>
          <w:sz w:val="24"/>
          <w:lang w:val="en-US" w:eastAsia="zh-CN"/>
        </w:rPr>
        <w:t>2</w:t>
      </w:r>
      <w:r>
        <w:rPr>
          <w:rFonts w:hint="eastAsia" w:ascii="黑体" w:hAnsi="黑体" w:eastAsia="黑体" w:cs="黑体"/>
          <w:b w:val="0"/>
          <w:bCs/>
          <w:sz w:val="24"/>
        </w:rPr>
        <w:t xml:space="preserve"> 标准水平</w:t>
      </w:r>
      <w:r>
        <w:rPr>
          <w:rFonts w:hint="eastAsia" w:ascii="黑体" w:hAnsi="黑体" w:eastAsia="黑体" w:cs="黑体"/>
          <w:b w:val="0"/>
          <w:bCs/>
          <w:sz w:val="24"/>
          <w:lang w:val="en-US" w:eastAsia="zh-CN"/>
        </w:rPr>
        <w:t>分析</w:t>
      </w:r>
    </w:p>
    <w:p>
      <w:pPr>
        <w:spacing w:line="360" w:lineRule="auto"/>
        <w:ind w:firstLine="480" w:firstLineChars="200"/>
        <w:rPr>
          <w:rFonts w:ascii="宋体" w:hAnsi="宋体"/>
          <w:sz w:val="24"/>
        </w:rPr>
      </w:pPr>
      <w:r>
        <w:rPr>
          <w:rFonts w:hint="eastAsia" w:ascii="宋体" w:hAnsi="宋体"/>
          <w:sz w:val="24"/>
        </w:rPr>
        <w:t>本标准是根据市场需求、订货技术要求和我国实际生产使用情况。本标准分别与ASTM B152-2019《铜薄板、带材、厚板和轧制条材》对比如下：本标准中厚度允许偏差普通级高于ASTM B152标准水平，高精级远高于ASTM B152标准；宽度允许偏差低于于ASTM B152标准水平；本标准外形尺寸允许偏差整体与ASTM B3152标准标准相当。本标准带材力学性能与ASTM B152标准水平相当。</w:t>
      </w:r>
    </w:p>
    <w:p>
      <w:pPr>
        <w:spacing w:line="360" w:lineRule="auto"/>
        <w:ind w:firstLine="480" w:firstLineChars="200"/>
        <w:rPr>
          <w:rFonts w:hint="eastAsia" w:ascii="宋体" w:hAnsi="宋体" w:cs="宋体"/>
          <w:sz w:val="24"/>
          <w:shd w:val="clear" w:color="auto" w:fill="FFFFFF"/>
        </w:rPr>
      </w:pPr>
      <w:r>
        <w:rPr>
          <w:rFonts w:hint="eastAsia" w:ascii="宋体" w:hAnsi="宋体"/>
          <w:sz w:val="24"/>
        </w:rPr>
        <w:t>本标准完全能够满足照相制版用铜板材的标准要求。</w:t>
      </w:r>
      <w:r>
        <w:rPr>
          <w:rFonts w:hint="eastAsia" w:ascii="宋体" w:hAnsi="宋体" w:cs="宋体"/>
          <w:sz w:val="24"/>
          <w:shd w:val="clear" w:color="auto" w:fill="FFFFFF"/>
        </w:rPr>
        <w:t>本标准可作为推荐性行业标准发布实施。</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七、与现行法律、法规、强制性国家标准及相关标准协调配套情况</w:t>
      </w:r>
    </w:p>
    <w:p>
      <w:pPr>
        <w:pStyle w:val="2"/>
        <w:keepNext w:val="0"/>
        <w:keepLines w:val="0"/>
        <w:pageBreakBefore w:val="0"/>
        <w:widowControl/>
        <w:kinsoku/>
        <w:wordWrap/>
        <w:overflowPunct/>
        <w:topLinePunct w:val="0"/>
        <w:autoSpaceDE w:val="0"/>
        <w:autoSpaceDN w:val="0"/>
        <w:bidi w:val="0"/>
        <w:adjustRightInd/>
        <w:snapToGrid/>
        <w:spacing w:line="360" w:lineRule="auto"/>
        <w:ind w:firstLine="480"/>
        <w:textAlignment w:val="auto"/>
        <w:rPr>
          <w:rFonts w:hint="eastAsia" w:hAnsi="宋体" w:cs="宋体"/>
          <w:kern w:val="2"/>
          <w:sz w:val="24"/>
          <w:szCs w:val="24"/>
        </w:rPr>
      </w:pPr>
      <w:r>
        <w:rPr>
          <w:rFonts w:hint="eastAsia" w:hAnsi="宋体" w:cs="宋体"/>
          <w:kern w:val="2"/>
          <w:sz w:val="24"/>
          <w:szCs w:val="24"/>
        </w:rPr>
        <w:t>目前，我国有GB/T GB/T 2040-2017《铜及铜合金板材》，适用于一般用途铜及铜合金带材，而本标准</w:t>
      </w:r>
      <w:r>
        <w:rPr>
          <w:rFonts w:hint="eastAsia" w:hAnsi="宋体"/>
          <w:sz w:val="24"/>
          <w:szCs w:val="24"/>
        </w:rPr>
        <w:t>适用于</w:t>
      </w:r>
      <w:r>
        <w:rPr>
          <w:rFonts w:hint="eastAsia" w:hAnsi="宋体"/>
          <w:sz w:val="24"/>
        </w:rPr>
        <w:t>照相制版用铜板材</w:t>
      </w:r>
      <w:r>
        <w:rPr>
          <w:rFonts w:hint="eastAsia" w:hAnsi="宋体" w:cs="宋体"/>
          <w:kern w:val="2"/>
          <w:sz w:val="24"/>
          <w:szCs w:val="24"/>
        </w:rPr>
        <w:t>，本标准与GB/T 2040-2017 无冲突，相互协调。</w:t>
      </w:r>
    </w:p>
    <w:p>
      <w:pPr>
        <w:pStyle w:val="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hAnsi="宋体" w:cs="宋体"/>
          <w:kern w:val="2"/>
          <w:sz w:val="24"/>
          <w:szCs w:val="24"/>
        </w:rPr>
      </w:pPr>
      <w:r>
        <w:rPr>
          <w:rFonts w:hint="eastAsia" w:hAnsi="宋体" w:cs="宋体"/>
          <w:kern w:val="2"/>
          <w:sz w:val="24"/>
          <w:szCs w:val="24"/>
        </w:rPr>
        <w:t>本标准符合现行法律、法规的要求，并与其他同类国家标准、国家J用标准、行业标准无冲突、重叠和不协调之处。</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4"/>
          <w:szCs w:val="24"/>
          <w:lang w:val="en-US" w:eastAsia="zh-CN"/>
        </w:rPr>
      </w:pPr>
      <w:bookmarkStart w:id="3" w:name="_Toc32100"/>
      <w:r>
        <w:rPr>
          <w:rFonts w:hint="eastAsia" w:ascii="黑体" w:hAnsi="宋体" w:eastAsia="黑体" w:cs="宋体"/>
          <w:bCs/>
          <w:color w:val="auto"/>
          <w:sz w:val="24"/>
          <w:szCs w:val="24"/>
          <w:lang w:val="en-US" w:eastAsia="zh-CN"/>
        </w:rPr>
        <w:t>八、重大分歧意见的处理经过和依据</w:t>
      </w:r>
      <w:bookmarkEnd w:id="3"/>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暂无。</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4"/>
          <w:szCs w:val="24"/>
          <w:lang w:val="en-US" w:eastAsia="zh-CN"/>
        </w:rPr>
      </w:pPr>
      <w:bookmarkStart w:id="4" w:name="_Toc15989"/>
      <w:r>
        <w:rPr>
          <w:rFonts w:hint="eastAsia" w:ascii="黑体" w:hAnsi="宋体" w:eastAsia="黑体" w:cs="宋体"/>
          <w:bCs/>
          <w:color w:val="auto"/>
          <w:sz w:val="24"/>
          <w:szCs w:val="24"/>
          <w:lang w:val="en-US" w:eastAsia="zh-CN"/>
        </w:rPr>
        <w:t>九、作为强制性或推荐性国家标准的建议</w:t>
      </w:r>
      <w:bookmarkEnd w:id="4"/>
    </w:p>
    <w:p>
      <w:pPr>
        <w:keepNext w:val="0"/>
        <w:keepLines w:val="0"/>
        <w:pageBreakBefore w:val="0"/>
        <w:kinsoku/>
        <w:wordWrap/>
        <w:overflowPunct/>
        <w:topLinePunct w:val="0"/>
        <w:bidi w:val="0"/>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本标准建议不作为强制性标准，而建议作为推荐性</w:t>
      </w:r>
      <w:bookmarkStart w:id="5" w:name="_Toc15588"/>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4"/>
          <w:szCs w:val="24"/>
          <w:lang w:val="en-US" w:eastAsia="zh-CN"/>
        </w:rPr>
      </w:pPr>
      <w:r>
        <w:rPr>
          <w:rFonts w:hint="eastAsia" w:ascii="黑体" w:hAnsi="宋体" w:eastAsia="黑体" w:cs="宋体"/>
          <w:bCs/>
          <w:color w:val="auto"/>
          <w:sz w:val="24"/>
          <w:szCs w:val="24"/>
          <w:lang w:val="en-US" w:eastAsia="zh-CN"/>
        </w:rPr>
        <w:t>十、贯彻标准的要求和措施建议</w:t>
      </w:r>
      <w:bookmarkEnd w:id="5"/>
    </w:p>
    <w:p>
      <w:pPr>
        <w:pStyle w:val="4"/>
        <w:spacing w:line="360" w:lineRule="auto"/>
        <w:ind w:firstLine="470" w:firstLineChars="196"/>
        <w:rPr>
          <w:rFonts w:hint="default"/>
          <w:lang w:val="en-US" w:eastAsia="zh-CN"/>
        </w:rPr>
      </w:pPr>
      <w:r>
        <w:rPr>
          <w:rFonts w:hint="eastAsia" w:hAnsi="宋体"/>
          <w:sz w:val="24"/>
          <w:szCs w:val="24"/>
        </w:rPr>
        <w:t>本标准是根据市场需求、订货技术要求和我国实际生产使用情况。</w:t>
      </w:r>
      <w:r>
        <w:rPr>
          <w:rFonts w:hint="eastAsia" w:hAnsi="宋体" w:cs="宋体"/>
          <w:kern w:val="2"/>
          <w:sz w:val="24"/>
          <w:szCs w:val="24"/>
        </w:rPr>
        <w:t>标准，建议相关单位组织专项标准宣贯会进行系统学习。本标准发布后，各企业应积极宣传和贯彻，并立即采用新标准订货，以保证产品质量，满足国内、外市场及用户的需要。</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4"/>
          <w:szCs w:val="24"/>
          <w:lang w:val="en-US" w:eastAsia="zh-CN"/>
        </w:rPr>
      </w:pPr>
      <w:bookmarkStart w:id="6" w:name="_Toc7802"/>
      <w:r>
        <w:rPr>
          <w:rFonts w:hint="eastAsia" w:ascii="黑体" w:hAnsi="宋体" w:eastAsia="黑体" w:cs="宋体"/>
          <w:bCs/>
          <w:color w:val="auto"/>
          <w:sz w:val="24"/>
          <w:szCs w:val="24"/>
          <w:lang w:val="en-US" w:eastAsia="zh-CN"/>
        </w:rPr>
        <w:t>十一、废止现行有关标准的建议</w:t>
      </w:r>
      <w:bookmarkEnd w:id="6"/>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eastAsiaTheme="minorEastAsia"/>
          <w:color w:val="auto"/>
          <w:sz w:val="24"/>
          <w:szCs w:val="24"/>
          <w:lang w:eastAsia="zh-CN"/>
        </w:rPr>
      </w:pPr>
      <w:r>
        <w:rPr>
          <w:rFonts w:hint="eastAsia" w:ascii="宋体" w:hAnsi="宋体" w:cs="宋体"/>
          <w:color w:val="auto"/>
          <w:sz w:val="24"/>
          <w:szCs w:val="24"/>
          <w:lang w:val="en-US" w:eastAsia="zh-CN"/>
        </w:rPr>
        <w:t>本标准发布实施之日起，代替YS/T 567-2010《照相制版用铜版》。</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4"/>
          <w:szCs w:val="24"/>
          <w:lang w:val="en-US" w:eastAsia="zh-CN"/>
        </w:rPr>
      </w:pPr>
      <w:bookmarkStart w:id="7" w:name="_Toc22451"/>
      <w:r>
        <w:rPr>
          <w:rFonts w:hint="eastAsia" w:ascii="黑体" w:hAnsi="宋体" w:eastAsia="黑体" w:cs="宋体"/>
          <w:bCs/>
          <w:color w:val="auto"/>
          <w:sz w:val="24"/>
          <w:szCs w:val="24"/>
          <w:lang w:val="en-US" w:eastAsia="zh-CN"/>
        </w:rPr>
        <w:t>十二、其他主要内容的解释和其他需要说明的事项</w:t>
      </w:r>
      <w:bookmarkEnd w:id="7"/>
    </w:p>
    <w:p>
      <w:pPr>
        <w:pStyle w:val="2"/>
        <w:spacing w:line="360" w:lineRule="auto"/>
        <w:ind w:firstLine="480"/>
        <w:rPr>
          <w:rFonts w:hint="eastAsia" w:hAnsi="宋体" w:cs="宋体"/>
          <w:kern w:val="2"/>
          <w:sz w:val="24"/>
          <w:szCs w:val="24"/>
        </w:rPr>
      </w:pPr>
      <w:r>
        <w:rPr>
          <w:rFonts w:hint="eastAsia" w:hAnsi="宋体" w:cs="宋体"/>
          <w:kern w:val="2"/>
          <w:sz w:val="24"/>
          <w:szCs w:val="24"/>
        </w:rPr>
        <w:t>本标准根据目前国内</w:t>
      </w:r>
      <w:r>
        <w:rPr>
          <w:rFonts w:hint="eastAsia" w:hAnsi="宋体"/>
          <w:sz w:val="24"/>
        </w:rPr>
        <w:t>照相制版用铜板</w:t>
      </w:r>
      <w:r>
        <w:rPr>
          <w:rFonts w:hint="eastAsia" w:hAnsi="宋体" w:cs="宋体"/>
          <w:kern w:val="2"/>
          <w:sz w:val="24"/>
          <w:szCs w:val="24"/>
        </w:rPr>
        <w:t>材的实际生产现状和订货合同情况，考虑随着新材料的开发使用和生产装备的更新，如果以后生产或订货合同中有其它合金或状态需求可在下一版中进行补充修订。</w:t>
      </w:r>
    </w:p>
    <w:p>
      <w:pPr>
        <w:rPr>
          <w:rFonts w:hint="eastAsia"/>
        </w:rPr>
      </w:pPr>
    </w:p>
    <w:p>
      <w:pPr>
        <w:spacing w:line="360" w:lineRule="auto"/>
        <w:ind w:firstLine="480" w:firstLineChars="200"/>
        <w:rPr>
          <w:rFonts w:ascii="宋体" w:hAnsi="宋体"/>
          <w:sz w:val="24"/>
        </w:rPr>
      </w:pPr>
    </w:p>
    <w:p>
      <w:pPr>
        <w:spacing w:line="360" w:lineRule="auto"/>
        <w:ind w:right="480" w:firstLine="600" w:firstLineChars="250"/>
        <w:jc w:val="right"/>
        <w:rPr>
          <w:rFonts w:ascii="宋体" w:hAnsi="宋体"/>
          <w:sz w:val="24"/>
        </w:rPr>
      </w:pPr>
      <w:r>
        <w:rPr>
          <w:rFonts w:hint="eastAsia" w:ascii="宋体" w:hAnsi="宋体"/>
          <w:sz w:val="24"/>
        </w:rPr>
        <w:t>《照相制版用铜板</w:t>
      </w:r>
      <w:r>
        <w:rPr>
          <w:rFonts w:hint="eastAsia" w:hAnsi="宋体" w:cs="宋体"/>
          <w:sz w:val="24"/>
        </w:rPr>
        <w:t>材</w:t>
      </w:r>
      <w:r>
        <w:rPr>
          <w:rFonts w:hint="eastAsia" w:ascii="宋体" w:hAnsi="宋体"/>
          <w:sz w:val="24"/>
        </w:rPr>
        <w:t>》行业标准编制组</w:t>
      </w:r>
    </w:p>
    <w:p>
      <w:pPr>
        <w:spacing w:line="360" w:lineRule="auto"/>
        <w:ind w:firstLine="4920" w:firstLineChars="2050"/>
        <w:rPr>
          <w:rFonts w:ascii="宋体" w:hAnsi="宋体"/>
          <w:sz w:val="24"/>
        </w:rPr>
      </w:pPr>
      <w:r>
        <w:rPr>
          <w:rFonts w:hint="eastAsia" w:ascii="宋体" w:hAnsi="宋体"/>
          <w:sz w:val="24"/>
        </w:rPr>
        <w:t>2023年</w:t>
      </w:r>
      <w:r>
        <w:rPr>
          <w:rFonts w:hint="eastAsia" w:ascii="宋体" w:hAnsi="宋体"/>
          <w:sz w:val="24"/>
          <w:lang w:val="en-US" w:eastAsia="zh-CN"/>
        </w:rPr>
        <w:t>9</w:t>
      </w:r>
      <w:r>
        <w:rPr>
          <w:rFonts w:hint="eastAsia" w:ascii="宋体" w:hAnsi="宋体"/>
          <w:sz w:val="24"/>
        </w:rPr>
        <w:t>月1</w:t>
      </w:r>
      <w:r>
        <w:rPr>
          <w:rFonts w:hint="eastAsia" w:ascii="宋体" w:hAnsi="宋体"/>
          <w:sz w:val="24"/>
          <w:lang w:val="en-US" w:eastAsia="zh-CN"/>
        </w:rPr>
        <w:t>3</w:t>
      </w:r>
      <w:r>
        <w:rPr>
          <w:rFonts w:hint="eastAsia" w:ascii="宋体" w:hAnsi="宋体"/>
          <w:sz w:val="24"/>
        </w:rPr>
        <w:t>日</w:t>
      </w:r>
    </w:p>
    <w:sectPr>
      <w:footerReference r:id="rId3" w:type="default"/>
      <w:footerReference r:id="rId4" w:type="even"/>
      <w:pgSz w:w="11906" w:h="16838"/>
      <w:pgMar w:top="1440" w:right="1588" w:bottom="1440"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20"/>
                            </w:rPr>
                          </w:pPr>
                          <w:r>
                            <w:rPr>
                              <w:rStyle w:val="20"/>
                            </w:rPr>
                            <w:fldChar w:fldCharType="begin"/>
                          </w:r>
                          <w:r>
                            <w:rPr>
                              <w:rStyle w:val="20"/>
                            </w:rPr>
                            <w:instrText xml:space="preserve">PAGE  </w:instrText>
                          </w:r>
                          <w:r>
                            <w:rPr>
                              <w:rStyle w:val="20"/>
                            </w:rPr>
                            <w:fldChar w:fldCharType="separate"/>
                          </w:r>
                          <w:r>
                            <w:rPr>
                              <w:rStyle w:val="20"/>
                            </w:rPr>
                            <w:t>4</w:t>
                          </w:r>
                          <w:r>
                            <w:rPr>
                              <w:rStyle w:val="20"/>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3"/>
                      <w:rPr>
                        <w:rStyle w:val="20"/>
                      </w:rPr>
                    </w:pPr>
                    <w:r>
                      <w:rPr>
                        <w:rStyle w:val="20"/>
                      </w:rPr>
                      <w:fldChar w:fldCharType="begin"/>
                    </w:r>
                    <w:r>
                      <w:rPr>
                        <w:rStyle w:val="20"/>
                      </w:rPr>
                      <w:instrText xml:space="preserve">PAGE  </w:instrText>
                    </w:r>
                    <w:r>
                      <w:rPr>
                        <w:rStyle w:val="20"/>
                      </w:rPr>
                      <w:fldChar w:fldCharType="separate"/>
                    </w:r>
                    <w:r>
                      <w:rPr>
                        <w:rStyle w:val="20"/>
                      </w:rPr>
                      <w:t>4</w:t>
                    </w:r>
                    <w:r>
                      <w:rPr>
                        <w:rStyle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A0774"/>
    <w:multiLevelType w:val="singleLevel"/>
    <w:tmpl w:val="D0BA0774"/>
    <w:lvl w:ilvl="0" w:tentative="0">
      <w:start w:val="2"/>
      <w:numFmt w:val="decimal"/>
      <w:suff w:val="nothing"/>
      <w:lvlText w:val="（%1）"/>
      <w:lvlJc w:val="left"/>
    </w:lvl>
  </w:abstractNum>
  <w:abstractNum w:abstractNumId="1">
    <w:nsid w:val="0E2B40FB"/>
    <w:multiLevelType w:val="singleLevel"/>
    <w:tmpl w:val="0E2B40FB"/>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mM5YzJkZDc1MzliMmM2MWJiZmYxOTI5NTU0YWMifQ=="/>
  </w:docVars>
  <w:rsids>
    <w:rsidRoot w:val="00C35E61"/>
    <w:rsid w:val="00001243"/>
    <w:rsid w:val="00001C23"/>
    <w:rsid w:val="00001F9F"/>
    <w:rsid w:val="00003EA9"/>
    <w:rsid w:val="000047FB"/>
    <w:rsid w:val="00006B4E"/>
    <w:rsid w:val="00011EEE"/>
    <w:rsid w:val="00017480"/>
    <w:rsid w:val="00020094"/>
    <w:rsid w:val="00020E05"/>
    <w:rsid w:val="000272FE"/>
    <w:rsid w:val="00032952"/>
    <w:rsid w:val="00033CCC"/>
    <w:rsid w:val="000425E4"/>
    <w:rsid w:val="00043CE5"/>
    <w:rsid w:val="0004779A"/>
    <w:rsid w:val="00050273"/>
    <w:rsid w:val="00052030"/>
    <w:rsid w:val="00057434"/>
    <w:rsid w:val="0006142A"/>
    <w:rsid w:val="0006248D"/>
    <w:rsid w:val="0006659B"/>
    <w:rsid w:val="000710A1"/>
    <w:rsid w:val="00071275"/>
    <w:rsid w:val="00075A7F"/>
    <w:rsid w:val="000778CF"/>
    <w:rsid w:val="000779D7"/>
    <w:rsid w:val="00090066"/>
    <w:rsid w:val="00090C97"/>
    <w:rsid w:val="000951C8"/>
    <w:rsid w:val="000971F6"/>
    <w:rsid w:val="000A2094"/>
    <w:rsid w:val="000B1658"/>
    <w:rsid w:val="000B1AE5"/>
    <w:rsid w:val="000B2634"/>
    <w:rsid w:val="000B7E35"/>
    <w:rsid w:val="000C18F7"/>
    <w:rsid w:val="000C2CFE"/>
    <w:rsid w:val="000D4DEF"/>
    <w:rsid w:val="000D58E2"/>
    <w:rsid w:val="000D6B8B"/>
    <w:rsid w:val="000D6CEA"/>
    <w:rsid w:val="000E248C"/>
    <w:rsid w:val="000E2807"/>
    <w:rsid w:val="000E3467"/>
    <w:rsid w:val="000E4C32"/>
    <w:rsid w:val="000E4F1C"/>
    <w:rsid w:val="000F0855"/>
    <w:rsid w:val="000F2838"/>
    <w:rsid w:val="000F3F07"/>
    <w:rsid w:val="000F40AC"/>
    <w:rsid w:val="00101197"/>
    <w:rsid w:val="001020FC"/>
    <w:rsid w:val="00103020"/>
    <w:rsid w:val="00103722"/>
    <w:rsid w:val="00107BCF"/>
    <w:rsid w:val="00111987"/>
    <w:rsid w:val="00115100"/>
    <w:rsid w:val="001152D5"/>
    <w:rsid w:val="001152ED"/>
    <w:rsid w:val="00117055"/>
    <w:rsid w:val="00117602"/>
    <w:rsid w:val="00120654"/>
    <w:rsid w:val="00122576"/>
    <w:rsid w:val="00122EB7"/>
    <w:rsid w:val="00123A0A"/>
    <w:rsid w:val="00123DBE"/>
    <w:rsid w:val="0012428A"/>
    <w:rsid w:val="00124A1E"/>
    <w:rsid w:val="0013255D"/>
    <w:rsid w:val="00134EAB"/>
    <w:rsid w:val="0013561E"/>
    <w:rsid w:val="00136E15"/>
    <w:rsid w:val="0013747D"/>
    <w:rsid w:val="001376BD"/>
    <w:rsid w:val="00142A25"/>
    <w:rsid w:val="00146DAE"/>
    <w:rsid w:val="001479B4"/>
    <w:rsid w:val="00156514"/>
    <w:rsid w:val="001603C2"/>
    <w:rsid w:val="00172741"/>
    <w:rsid w:val="00173A01"/>
    <w:rsid w:val="00173E44"/>
    <w:rsid w:val="00175882"/>
    <w:rsid w:val="001759BE"/>
    <w:rsid w:val="00175FD0"/>
    <w:rsid w:val="001847A2"/>
    <w:rsid w:val="00190DAC"/>
    <w:rsid w:val="001922AB"/>
    <w:rsid w:val="00195715"/>
    <w:rsid w:val="00197080"/>
    <w:rsid w:val="00197098"/>
    <w:rsid w:val="001B0484"/>
    <w:rsid w:val="001B055D"/>
    <w:rsid w:val="001B13A8"/>
    <w:rsid w:val="001B1A49"/>
    <w:rsid w:val="001C7706"/>
    <w:rsid w:val="001C782E"/>
    <w:rsid w:val="001D06D9"/>
    <w:rsid w:val="001D09CE"/>
    <w:rsid w:val="001D1780"/>
    <w:rsid w:val="001D50AF"/>
    <w:rsid w:val="001D527F"/>
    <w:rsid w:val="001D5316"/>
    <w:rsid w:val="001D547B"/>
    <w:rsid w:val="001D54C8"/>
    <w:rsid w:val="001D6002"/>
    <w:rsid w:val="001D7068"/>
    <w:rsid w:val="001D7803"/>
    <w:rsid w:val="001D789E"/>
    <w:rsid w:val="001E593B"/>
    <w:rsid w:val="001E61D0"/>
    <w:rsid w:val="001F3900"/>
    <w:rsid w:val="001F644F"/>
    <w:rsid w:val="00203C76"/>
    <w:rsid w:val="00205F1E"/>
    <w:rsid w:val="00207EFD"/>
    <w:rsid w:val="002123C0"/>
    <w:rsid w:val="00212487"/>
    <w:rsid w:val="00215B7E"/>
    <w:rsid w:val="00217D8E"/>
    <w:rsid w:val="00221B02"/>
    <w:rsid w:val="00223CAB"/>
    <w:rsid w:val="0023056B"/>
    <w:rsid w:val="00231B32"/>
    <w:rsid w:val="00233869"/>
    <w:rsid w:val="002359B2"/>
    <w:rsid w:val="00235E2D"/>
    <w:rsid w:val="00237475"/>
    <w:rsid w:val="0024507E"/>
    <w:rsid w:val="00246ED3"/>
    <w:rsid w:val="00251BEA"/>
    <w:rsid w:val="00252177"/>
    <w:rsid w:val="00253AAB"/>
    <w:rsid w:val="00254CCA"/>
    <w:rsid w:val="002633EB"/>
    <w:rsid w:val="00267E06"/>
    <w:rsid w:val="00272576"/>
    <w:rsid w:val="00273B93"/>
    <w:rsid w:val="00275026"/>
    <w:rsid w:val="002839C1"/>
    <w:rsid w:val="00284234"/>
    <w:rsid w:val="0028499C"/>
    <w:rsid w:val="00285218"/>
    <w:rsid w:val="0029063D"/>
    <w:rsid w:val="00290867"/>
    <w:rsid w:val="002934A0"/>
    <w:rsid w:val="002941DD"/>
    <w:rsid w:val="002A018D"/>
    <w:rsid w:val="002A0821"/>
    <w:rsid w:val="002A1B4E"/>
    <w:rsid w:val="002A44E0"/>
    <w:rsid w:val="002A7CF8"/>
    <w:rsid w:val="002B06E3"/>
    <w:rsid w:val="002B374C"/>
    <w:rsid w:val="002B4711"/>
    <w:rsid w:val="002C4FBB"/>
    <w:rsid w:val="002C7BD5"/>
    <w:rsid w:val="002D0CB0"/>
    <w:rsid w:val="002D3A2A"/>
    <w:rsid w:val="002D487E"/>
    <w:rsid w:val="002D4C16"/>
    <w:rsid w:val="002D6458"/>
    <w:rsid w:val="002E13A4"/>
    <w:rsid w:val="002E4747"/>
    <w:rsid w:val="002E57D9"/>
    <w:rsid w:val="002E6C59"/>
    <w:rsid w:val="002E7F62"/>
    <w:rsid w:val="002F1096"/>
    <w:rsid w:val="002F7A49"/>
    <w:rsid w:val="003004D4"/>
    <w:rsid w:val="00301150"/>
    <w:rsid w:val="003013FC"/>
    <w:rsid w:val="00306A78"/>
    <w:rsid w:val="00314445"/>
    <w:rsid w:val="00315539"/>
    <w:rsid w:val="00317353"/>
    <w:rsid w:val="0031793C"/>
    <w:rsid w:val="003241D4"/>
    <w:rsid w:val="00324785"/>
    <w:rsid w:val="00324F76"/>
    <w:rsid w:val="00326ABB"/>
    <w:rsid w:val="00331242"/>
    <w:rsid w:val="0033293D"/>
    <w:rsid w:val="00333E04"/>
    <w:rsid w:val="00335566"/>
    <w:rsid w:val="00337D56"/>
    <w:rsid w:val="00353936"/>
    <w:rsid w:val="00354E2F"/>
    <w:rsid w:val="00357057"/>
    <w:rsid w:val="00361ABA"/>
    <w:rsid w:val="00363276"/>
    <w:rsid w:val="003670F1"/>
    <w:rsid w:val="0037214D"/>
    <w:rsid w:val="003732B0"/>
    <w:rsid w:val="0037611C"/>
    <w:rsid w:val="00377238"/>
    <w:rsid w:val="00380C1D"/>
    <w:rsid w:val="0038196C"/>
    <w:rsid w:val="00383301"/>
    <w:rsid w:val="00385616"/>
    <w:rsid w:val="0038567C"/>
    <w:rsid w:val="0038594C"/>
    <w:rsid w:val="003927D2"/>
    <w:rsid w:val="003942AE"/>
    <w:rsid w:val="00397057"/>
    <w:rsid w:val="00397375"/>
    <w:rsid w:val="0039781D"/>
    <w:rsid w:val="003A1ADD"/>
    <w:rsid w:val="003A282B"/>
    <w:rsid w:val="003B22B6"/>
    <w:rsid w:val="003B24C2"/>
    <w:rsid w:val="003B46D3"/>
    <w:rsid w:val="003B57FD"/>
    <w:rsid w:val="003B5CE7"/>
    <w:rsid w:val="003C27C0"/>
    <w:rsid w:val="003C40E8"/>
    <w:rsid w:val="003C7670"/>
    <w:rsid w:val="003C7FFC"/>
    <w:rsid w:val="003D05CD"/>
    <w:rsid w:val="003D088C"/>
    <w:rsid w:val="003D0F13"/>
    <w:rsid w:val="003D418F"/>
    <w:rsid w:val="003D5164"/>
    <w:rsid w:val="003D57E9"/>
    <w:rsid w:val="003D59E6"/>
    <w:rsid w:val="003D5A34"/>
    <w:rsid w:val="003E07CF"/>
    <w:rsid w:val="003E51A6"/>
    <w:rsid w:val="003E66DF"/>
    <w:rsid w:val="003F0704"/>
    <w:rsid w:val="003F2852"/>
    <w:rsid w:val="0040646E"/>
    <w:rsid w:val="0041058C"/>
    <w:rsid w:val="0041379E"/>
    <w:rsid w:val="004143EB"/>
    <w:rsid w:val="004208C3"/>
    <w:rsid w:val="004220B9"/>
    <w:rsid w:val="0042273C"/>
    <w:rsid w:val="00423820"/>
    <w:rsid w:val="0042433F"/>
    <w:rsid w:val="004272C4"/>
    <w:rsid w:val="00427924"/>
    <w:rsid w:val="004317DC"/>
    <w:rsid w:val="00431A05"/>
    <w:rsid w:val="00431A90"/>
    <w:rsid w:val="00434F86"/>
    <w:rsid w:val="00435A15"/>
    <w:rsid w:val="00440ABB"/>
    <w:rsid w:val="00441C85"/>
    <w:rsid w:val="00442D8B"/>
    <w:rsid w:val="00447905"/>
    <w:rsid w:val="00450DAA"/>
    <w:rsid w:val="004513EB"/>
    <w:rsid w:val="00453C89"/>
    <w:rsid w:val="0045682A"/>
    <w:rsid w:val="00456DE0"/>
    <w:rsid w:val="00460578"/>
    <w:rsid w:val="00464555"/>
    <w:rsid w:val="0046684D"/>
    <w:rsid w:val="0046773F"/>
    <w:rsid w:val="00470C8C"/>
    <w:rsid w:val="0047171E"/>
    <w:rsid w:val="00471EFA"/>
    <w:rsid w:val="00473DC8"/>
    <w:rsid w:val="0047796F"/>
    <w:rsid w:val="004815B0"/>
    <w:rsid w:val="00482433"/>
    <w:rsid w:val="00482855"/>
    <w:rsid w:val="00485B87"/>
    <w:rsid w:val="00486C10"/>
    <w:rsid w:val="00490650"/>
    <w:rsid w:val="004940BE"/>
    <w:rsid w:val="00494FC6"/>
    <w:rsid w:val="00496A50"/>
    <w:rsid w:val="004A134E"/>
    <w:rsid w:val="004A6070"/>
    <w:rsid w:val="004A6917"/>
    <w:rsid w:val="004B0022"/>
    <w:rsid w:val="004B19D5"/>
    <w:rsid w:val="004B3AA9"/>
    <w:rsid w:val="004B499E"/>
    <w:rsid w:val="004B5CA2"/>
    <w:rsid w:val="004B7921"/>
    <w:rsid w:val="004C11C3"/>
    <w:rsid w:val="004C1EF8"/>
    <w:rsid w:val="004C4199"/>
    <w:rsid w:val="004C49F4"/>
    <w:rsid w:val="004C6337"/>
    <w:rsid w:val="004C7045"/>
    <w:rsid w:val="004D1227"/>
    <w:rsid w:val="004D4BCC"/>
    <w:rsid w:val="004E7CEC"/>
    <w:rsid w:val="004F3137"/>
    <w:rsid w:val="004F7488"/>
    <w:rsid w:val="0050517D"/>
    <w:rsid w:val="00506C06"/>
    <w:rsid w:val="005078DB"/>
    <w:rsid w:val="005166CF"/>
    <w:rsid w:val="00516CEA"/>
    <w:rsid w:val="00516F2B"/>
    <w:rsid w:val="005176B7"/>
    <w:rsid w:val="00520904"/>
    <w:rsid w:val="005225C5"/>
    <w:rsid w:val="00522C64"/>
    <w:rsid w:val="005239EA"/>
    <w:rsid w:val="00524B74"/>
    <w:rsid w:val="00526463"/>
    <w:rsid w:val="005277A4"/>
    <w:rsid w:val="00527AA6"/>
    <w:rsid w:val="00527FDA"/>
    <w:rsid w:val="0053172E"/>
    <w:rsid w:val="0053642D"/>
    <w:rsid w:val="00541E10"/>
    <w:rsid w:val="005427FE"/>
    <w:rsid w:val="00542BD0"/>
    <w:rsid w:val="0054446F"/>
    <w:rsid w:val="005456AC"/>
    <w:rsid w:val="0054686C"/>
    <w:rsid w:val="00547F76"/>
    <w:rsid w:val="005531DA"/>
    <w:rsid w:val="00554A5E"/>
    <w:rsid w:val="00554D7A"/>
    <w:rsid w:val="005561F5"/>
    <w:rsid w:val="00560802"/>
    <w:rsid w:val="005615D5"/>
    <w:rsid w:val="005638C9"/>
    <w:rsid w:val="00572E44"/>
    <w:rsid w:val="00573CC3"/>
    <w:rsid w:val="00575983"/>
    <w:rsid w:val="00577303"/>
    <w:rsid w:val="005823A2"/>
    <w:rsid w:val="00583003"/>
    <w:rsid w:val="00584665"/>
    <w:rsid w:val="00584DE1"/>
    <w:rsid w:val="005878D6"/>
    <w:rsid w:val="00590902"/>
    <w:rsid w:val="005924FF"/>
    <w:rsid w:val="00593052"/>
    <w:rsid w:val="00594172"/>
    <w:rsid w:val="00595656"/>
    <w:rsid w:val="005A0608"/>
    <w:rsid w:val="005A251D"/>
    <w:rsid w:val="005A7E93"/>
    <w:rsid w:val="005B1114"/>
    <w:rsid w:val="005C5895"/>
    <w:rsid w:val="005C72C3"/>
    <w:rsid w:val="005D4302"/>
    <w:rsid w:val="005E2511"/>
    <w:rsid w:val="005E3360"/>
    <w:rsid w:val="005E78AC"/>
    <w:rsid w:val="005E7D1E"/>
    <w:rsid w:val="005F1EE9"/>
    <w:rsid w:val="005F3B47"/>
    <w:rsid w:val="005F3F27"/>
    <w:rsid w:val="005F631C"/>
    <w:rsid w:val="00601A86"/>
    <w:rsid w:val="0060414F"/>
    <w:rsid w:val="00605712"/>
    <w:rsid w:val="006103A1"/>
    <w:rsid w:val="0061135C"/>
    <w:rsid w:val="00614C53"/>
    <w:rsid w:val="006216B3"/>
    <w:rsid w:val="00623EFA"/>
    <w:rsid w:val="006248A5"/>
    <w:rsid w:val="0063189F"/>
    <w:rsid w:val="00634B44"/>
    <w:rsid w:val="00635438"/>
    <w:rsid w:val="00636BEB"/>
    <w:rsid w:val="00637DA9"/>
    <w:rsid w:val="00641214"/>
    <w:rsid w:val="00642FE6"/>
    <w:rsid w:val="00643E5F"/>
    <w:rsid w:val="00644D28"/>
    <w:rsid w:val="00647ED5"/>
    <w:rsid w:val="0065649D"/>
    <w:rsid w:val="00656C00"/>
    <w:rsid w:val="00663C83"/>
    <w:rsid w:val="00665C35"/>
    <w:rsid w:val="006677D4"/>
    <w:rsid w:val="0067010C"/>
    <w:rsid w:val="0067202D"/>
    <w:rsid w:val="0067351D"/>
    <w:rsid w:val="00674936"/>
    <w:rsid w:val="00675148"/>
    <w:rsid w:val="006759AA"/>
    <w:rsid w:val="00680113"/>
    <w:rsid w:val="00681DDE"/>
    <w:rsid w:val="006854A3"/>
    <w:rsid w:val="00685710"/>
    <w:rsid w:val="00685B9E"/>
    <w:rsid w:val="00686CA4"/>
    <w:rsid w:val="00687AD2"/>
    <w:rsid w:val="00687C0A"/>
    <w:rsid w:val="006945E7"/>
    <w:rsid w:val="00695943"/>
    <w:rsid w:val="006979A1"/>
    <w:rsid w:val="006A0522"/>
    <w:rsid w:val="006A06D0"/>
    <w:rsid w:val="006A46AE"/>
    <w:rsid w:val="006A4A76"/>
    <w:rsid w:val="006B4312"/>
    <w:rsid w:val="006C4D0F"/>
    <w:rsid w:val="006C5F91"/>
    <w:rsid w:val="006D102A"/>
    <w:rsid w:val="006D2E74"/>
    <w:rsid w:val="006D2F65"/>
    <w:rsid w:val="006D3B5A"/>
    <w:rsid w:val="006D3B89"/>
    <w:rsid w:val="006D59D6"/>
    <w:rsid w:val="006D6CA3"/>
    <w:rsid w:val="006D76A7"/>
    <w:rsid w:val="006E0739"/>
    <w:rsid w:val="006F1AF7"/>
    <w:rsid w:val="006F31F6"/>
    <w:rsid w:val="006F3445"/>
    <w:rsid w:val="00700BF7"/>
    <w:rsid w:val="007017C3"/>
    <w:rsid w:val="0070417A"/>
    <w:rsid w:val="007053BE"/>
    <w:rsid w:val="007129D9"/>
    <w:rsid w:val="00712E56"/>
    <w:rsid w:val="007164E8"/>
    <w:rsid w:val="00724272"/>
    <w:rsid w:val="0072427B"/>
    <w:rsid w:val="0072766C"/>
    <w:rsid w:val="0074067B"/>
    <w:rsid w:val="0074088A"/>
    <w:rsid w:val="007408B6"/>
    <w:rsid w:val="007547B2"/>
    <w:rsid w:val="00757510"/>
    <w:rsid w:val="007575DD"/>
    <w:rsid w:val="007700D3"/>
    <w:rsid w:val="00772E22"/>
    <w:rsid w:val="007755FF"/>
    <w:rsid w:val="00781EB2"/>
    <w:rsid w:val="007825A7"/>
    <w:rsid w:val="00783079"/>
    <w:rsid w:val="00787E1A"/>
    <w:rsid w:val="00791D78"/>
    <w:rsid w:val="00792AC0"/>
    <w:rsid w:val="00792D33"/>
    <w:rsid w:val="00794988"/>
    <w:rsid w:val="00797D2D"/>
    <w:rsid w:val="007A05D0"/>
    <w:rsid w:val="007A1A1D"/>
    <w:rsid w:val="007A345E"/>
    <w:rsid w:val="007A4DD0"/>
    <w:rsid w:val="007A53D2"/>
    <w:rsid w:val="007A5526"/>
    <w:rsid w:val="007A6A7E"/>
    <w:rsid w:val="007A6DE2"/>
    <w:rsid w:val="007B037C"/>
    <w:rsid w:val="007B506B"/>
    <w:rsid w:val="007B59C4"/>
    <w:rsid w:val="007B5DF6"/>
    <w:rsid w:val="007C47F3"/>
    <w:rsid w:val="007C494F"/>
    <w:rsid w:val="007D1EB6"/>
    <w:rsid w:val="007D369F"/>
    <w:rsid w:val="007D5494"/>
    <w:rsid w:val="007E1827"/>
    <w:rsid w:val="007E2DDA"/>
    <w:rsid w:val="007E451F"/>
    <w:rsid w:val="007F093E"/>
    <w:rsid w:val="007F7FFD"/>
    <w:rsid w:val="00805CBA"/>
    <w:rsid w:val="0081081F"/>
    <w:rsid w:val="00816198"/>
    <w:rsid w:val="0082191C"/>
    <w:rsid w:val="008232F7"/>
    <w:rsid w:val="00836DF4"/>
    <w:rsid w:val="0084037D"/>
    <w:rsid w:val="008417CE"/>
    <w:rsid w:val="008438BF"/>
    <w:rsid w:val="0084454E"/>
    <w:rsid w:val="008459A7"/>
    <w:rsid w:val="00847F77"/>
    <w:rsid w:val="00850532"/>
    <w:rsid w:val="00854024"/>
    <w:rsid w:val="00854A62"/>
    <w:rsid w:val="0085597B"/>
    <w:rsid w:val="00861F0A"/>
    <w:rsid w:val="00865582"/>
    <w:rsid w:val="008664FD"/>
    <w:rsid w:val="0086665C"/>
    <w:rsid w:val="00866BAF"/>
    <w:rsid w:val="00867827"/>
    <w:rsid w:val="0087049B"/>
    <w:rsid w:val="0087652D"/>
    <w:rsid w:val="00880BAA"/>
    <w:rsid w:val="00880DB3"/>
    <w:rsid w:val="00881089"/>
    <w:rsid w:val="00886A1B"/>
    <w:rsid w:val="0089004C"/>
    <w:rsid w:val="00890213"/>
    <w:rsid w:val="008A1A7F"/>
    <w:rsid w:val="008A5A1C"/>
    <w:rsid w:val="008A7A14"/>
    <w:rsid w:val="008A7C48"/>
    <w:rsid w:val="008B1DE6"/>
    <w:rsid w:val="008B7E9F"/>
    <w:rsid w:val="008C47F2"/>
    <w:rsid w:val="008C4F8C"/>
    <w:rsid w:val="008C6CA6"/>
    <w:rsid w:val="008C76F3"/>
    <w:rsid w:val="008D11D3"/>
    <w:rsid w:val="008D457B"/>
    <w:rsid w:val="008D673B"/>
    <w:rsid w:val="008E2636"/>
    <w:rsid w:val="008E30B3"/>
    <w:rsid w:val="008E3367"/>
    <w:rsid w:val="008E3A96"/>
    <w:rsid w:val="008F0437"/>
    <w:rsid w:val="008F19C3"/>
    <w:rsid w:val="008F2935"/>
    <w:rsid w:val="008F5592"/>
    <w:rsid w:val="00902FF6"/>
    <w:rsid w:val="00903C24"/>
    <w:rsid w:val="00904595"/>
    <w:rsid w:val="0090581D"/>
    <w:rsid w:val="0090787F"/>
    <w:rsid w:val="00924B60"/>
    <w:rsid w:val="009267BB"/>
    <w:rsid w:val="009272A6"/>
    <w:rsid w:val="009359EB"/>
    <w:rsid w:val="00941B4F"/>
    <w:rsid w:val="00941E05"/>
    <w:rsid w:val="0095247E"/>
    <w:rsid w:val="00956583"/>
    <w:rsid w:val="00961982"/>
    <w:rsid w:val="00962145"/>
    <w:rsid w:val="00965350"/>
    <w:rsid w:val="009655E7"/>
    <w:rsid w:val="00966A0C"/>
    <w:rsid w:val="0097214C"/>
    <w:rsid w:val="0097386E"/>
    <w:rsid w:val="009763BB"/>
    <w:rsid w:val="00991241"/>
    <w:rsid w:val="00996FF0"/>
    <w:rsid w:val="009976F5"/>
    <w:rsid w:val="009A10E1"/>
    <w:rsid w:val="009A3700"/>
    <w:rsid w:val="009A7EC8"/>
    <w:rsid w:val="009C7B7E"/>
    <w:rsid w:val="009D0261"/>
    <w:rsid w:val="009D1972"/>
    <w:rsid w:val="009E009E"/>
    <w:rsid w:val="009E0465"/>
    <w:rsid w:val="009E4920"/>
    <w:rsid w:val="009E69B3"/>
    <w:rsid w:val="009E7C3B"/>
    <w:rsid w:val="009F1174"/>
    <w:rsid w:val="009F6B80"/>
    <w:rsid w:val="009F7054"/>
    <w:rsid w:val="00A02AB9"/>
    <w:rsid w:val="00A03769"/>
    <w:rsid w:val="00A12531"/>
    <w:rsid w:val="00A12563"/>
    <w:rsid w:val="00A1317F"/>
    <w:rsid w:val="00A13288"/>
    <w:rsid w:val="00A14840"/>
    <w:rsid w:val="00A14FD0"/>
    <w:rsid w:val="00A26047"/>
    <w:rsid w:val="00A33332"/>
    <w:rsid w:val="00A41488"/>
    <w:rsid w:val="00A46439"/>
    <w:rsid w:val="00A46E39"/>
    <w:rsid w:val="00A518C0"/>
    <w:rsid w:val="00A53348"/>
    <w:rsid w:val="00A54CBB"/>
    <w:rsid w:val="00A5504B"/>
    <w:rsid w:val="00A56671"/>
    <w:rsid w:val="00A57369"/>
    <w:rsid w:val="00A62F17"/>
    <w:rsid w:val="00A64B97"/>
    <w:rsid w:val="00A6584F"/>
    <w:rsid w:val="00A65EC4"/>
    <w:rsid w:val="00A67593"/>
    <w:rsid w:val="00A7110D"/>
    <w:rsid w:val="00A74C3E"/>
    <w:rsid w:val="00A849F9"/>
    <w:rsid w:val="00A87BE0"/>
    <w:rsid w:val="00A87DE7"/>
    <w:rsid w:val="00A9203F"/>
    <w:rsid w:val="00A940CA"/>
    <w:rsid w:val="00A94394"/>
    <w:rsid w:val="00AA16FF"/>
    <w:rsid w:val="00AA607C"/>
    <w:rsid w:val="00AB19A8"/>
    <w:rsid w:val="00AB1B04"/>
    <w:rsid w:val="00AB4465"/>
    <w:rsid w:val="00AD0A15"/>
    <w:rsid w:val="00AD3CB1"/>
    <w:rsid w:val="00AD6492"/>
    <w:rsid w:val="00AE21A9"/>
    <w:rsid w:val="00AF2E73"/>
    <w:rsid w:val="00AF4C36"/>
    <w:rsid w:val="00B00E99"/>
    <w:rsid w:val="00B01073"/>
    <w:rsid w:val="00B02189"/>
    <w:rsid w:val="00B034C4"/>
    <w:rsid w:val="00B14747"/>
    <w:rsid w:val="00B14A15"/>
    <w:rsid w:val="00B15610"/>
    <w:rsid w:val="00B17C0A"/>
    <w:rsid w:val="00B233A7"/>
    <w:rsid w:val="00B26C07"/>
    <w:rsid w:val="00B319F7"/>
    <w:rsid w:val="00B31B2F"/>
    <w:rsid w:val="00B3279E"/>
    <w:rsid w:val="00B40504"/>
    <w:rsid w:val="00B5450B"/>
    <w:rsid w:val="00B55A49"/>
    <w:rsid w:val="00B55D3F"/>
    <w:rsid w:val="00B561B9"/>
    <w:rsid w:val="00B57DA7"/>
    <w:rsid w:val="00B60C92"/>
    <w:rsid w:val="00B64436"/>
    <w:rsid w:val="00B64EAA"/>
    <w:rsid w:val="00B7022D"/>
    <w:rsid w:val="00B70417"/>
    <w:rsid w:val="00B7498F"/>
    <w:rsid w:val="00B74FA6"/>
    <w:rsid w:val="00B75506"/>
    <w:rsid w:val="00B81929"/>
    <w:rsid w:val="00B81C3E"/>
    <w:rsid w:val="00B82361"/>
    <w:rsid w:val="00B8435F"/>
    <w:rsid w:val="00B8761C"/>
    <w:rsid w:val="00B96735"/>
    <w:rsid w:val="00BA7D90"/>
    <w:rsid w:val="00BB410C"/>
    <w:rsid w:val="00BB5A16"/>
    <w:rsid w:val="00BC00E9"/>
    <w:rsid w:val="00BC09CF"/>
    <w:rsid w:val="00BD5D1A"/>
    <w:rsid w:val="00BD7B2E"/>
    <w:rsid w:val="00BE153A"/>
    <w:rsid w:val="00BE1DFB"/>
    <w:rsid w:val="00BE2032"/>
    <w:rsid w:val="00BF30DF"/>
    <w:rsid w:val="00BF5371"/>
    <w:rsid w:val="00C02AF1"/>
    <w:rsid w:val="00C0510B"/>
    <w:rsid w:val="00C05D9A"/>
    <w:rsid w:val="00C079C9"/>
    <w:rsid w:val="00C129B5"/>
    <w:rsid w:val="00C15C39"/>
    <w:rsid w:val="00C17AFF"/>
    <w:rsid w:val="00C22C57"/>
    <w:rsid w:val="00C23AF8"/>
    <w:rsid w:val="00C2448C"/>
    <w:rsid w:val="00C2673B"/>
    <w:rsid w:val="00C27259"/>
    <w:rsid w:val="00C31208"/>
    <w:rsid w:val="00C31F4D"/>
    <w:rsid w:val="00C35281"/>
    <w:rsid w:val="00C35E61"/>
    <w:rsid w:val="00C42032"/>
    <w:rsid w:val="00C436E8"/>
    <w:rsid w:val="00C46087"/>
    <w:rsid w:val="00C52388"/>
    <w:rsid w:val="00C533F6"/>
    <w:rsid w:val="00C54932"/>
    <w:rsid w:val="00C54BE0"/>
    <w:rsid w:val="00C7015C"/>
    <w:rsid w:val="00C76BC0"/>
    <w:rsid w:val="00C77E33"/>
    <w:rsid w:val="00C81ABC"/>
    <w:rsid w:val="00C83E14"/>
    <w:rsid w:val="00C85050"/>
    <w:rsid w:val="00C906D8"/>
    <w:rsid w:val="00C91CDB"/>
    <w:rsid w:val="00CA2936"/>
    <w:rsid w:val="00CA43D9"/>
    <w:rsid w:val="00CA7EB6"/>
    <w:rsid w:val="00CB1A33"/>
    <w:rsid w:val="00CB5C00"/>
    <w:rsid w:val="00CC32EB"/>
    <w:rsid w:val="00CC3DAC"/>
    <w:rsid w:val="00CC4C2C"/>
    <w:rsid w:val="00CC6F0A"/>
    <w:rsid w:val="00CC7267"/>
    <w:rsid w:val="00CD0092"/>
    <w:rsid w:val="00CD357D"/>
    <w:rsid w:val="00CD3682"/>
    <w:rsid w:val="00CD600A"/>
    <w:rsid w:val="00CD6612"/>
    <w:rsid w:val="00CD7362"/>
    <w:rsid w:val="00CE1582"/>
    <w:rsid w:val="00CE18CD"/>
    <w:rsid w:val="00CF036D"/>
    <w:rsid w:val="00CF0EE5"/>
    <w:rsid w:val="00CF3A40"/>
    <w:rsid w:val="00CF4544"/>
    <w:rsid w:val="00CF5C34"/>
    <w:rsid w:val="00D02E08"/>
    <w:rsid w:val="00D04A51"/>
    <w:rsid w:val="00D06480"/>
    <w:rsid w:val="00D1023D"/>
    <w:rsid w:val="00D10E33"/>
    <w:rsid w:val="00D11A1C"/>
    <w:rsid w:val="00D1394E"/>
    <w:rsid w:val="00D249EA"/>
    <w:rsid w:val="00D261B8"/>
    <w:rsid w:val="00D271BF"/>
    <w:rsid w:val="00D31811"/>
    <w:rsid w:val="00D36552"/>
    <w:rsid w:val="00D37D1E"/>
    <w:rsid w:val="00D407A7"/>
    <w:rsid w:val="00D40FC9"/>
    <w:rsid w:val="00D441AB"/>
    <w:rsid w:val="00D44BED"/>
    <w:rsid w:val="00D51C30"/>
    <w:rsid w:val="00D53D24"/>
    <w:rsid w:val="00D545A5"/>
    <w:rsid w:val="00D57ED6"/>
    <w:rsid w:val="00D620EA"/>
    <w:rsid w:val="00D67746"/>
    <w:rsid w:val="00D722D6"/>
    <w:rsid w:val="00D75753"/>
    <w:rsid w:val="00D83A69"/>
    <w:rsid w:val="00D84124"/>
    <w:rsid w:val="00D8607E"/>
    <w:rsid w:val="00D948EB"/>
    <w:rsid w:val="00DA01AA"/>
    <w:rsid w:val="00DA3A60"/>
    <w:rsid w:val="00DB02E7"/>
    <w:rsid w:val="00DC04A1"/>
    <w:rsid w:val="00DD012D"/>
    <w:rsid w:val="00DD7318"/>
    <w:rsid w:val="00DE4351"/>
    <w:rsid w:val="00DE5534"/>
    <w:rsid w:val="00DE7B00"/>
    <w:rsid w:val="00DE7D43"/>
    <w:rsid w:val="00DF1DCD"/>
    <w:rsid w:val="00E012B7"/>
    <w:rsid w:val="00E07E07"/>
    <w:rsid w:val="00E147AD"/>
    <w:rsid w:val="00E16A94"/>
    <w:rsid w:val="00E21F85"/>
    <w:rsid w:val="00E30B2D"/>
    <w:rsid w:val="00E31E7E"/>
    <w:rsid w:val="00E37226"/>
    <w:rsid w:val="00E377A9"/>
    <w:rsid w:val="00E40B9D"/>
    <w:rsid w:val="00E430A8"/>
    <w:rsid w:val="00E458CE"/>
    <w:rsid w:val="00E50D25"/>
    <w:rsid w:val="00E50DC2"/>
    <w:rsid w:val="00E51E3F"/>
    <w:rsid w:val="00E54157"/>
    <w:rsid w:val="00E54574"/>
    <w:rsid w:val="00E57D72"/>
    <w:rsid w:val="00E61734"/>
    <w:rsid w:val="00E6316F"/>
    <w:rsid w:val="00E635F1"/>
    <w:rsid w:val="00E668E1"/>
    <w:rsid w:val="00E66DD0"/>
    <w:rsid w:val="00E708B0"/>
    <w:rsid w:val="00E709B0"/>
    <w:rsid w:val="00E75D8B"/>
    <w:rsid w:val="00E771EB"/>
    <w:rsid w:val="00E801C2"/>
    <w:rsid w:val="00E83293"/>
    <w:rsid w:val="00E84D3B"/>
    <w:rsid w:val="00E8663B"/>
    <w:rsid w:val="00E8749B"/>
    <w:rsid w:val="00E87F6E"/>
    <w:rsid w:val="00E9628B"/>
    <w:rsid w:val="00E97415"/>
    <w:rsid w:val="00EA0B3D"/>
    <w:rsid w:val="00EA3FD9"/>
    <w:rsid w:val="00EB0302"/>
    <w:rsid w:val="00EB2074"/>
    <w:rsid w:val="00EB27B6"/>
    <w:rsid w:val="00EB286D"/>
    <w:rsid w:val="00EC3240"/>
    <w:rsid w:val="00EC5D2A"/>
    <w:rsid w:val="00ED080B"/>
    <w:rsid w:val="00ED2269"/>
    <w:rsid w:val="00ED6E28"/>
    <w:rsid w:val="00ED6E48"/>
    <w:rsid w:val="00EE0455"/>
    <w:rsid w:val="00EF1BC2"/>
    <w:rsid w:val="00F012CC"/>
    <w:rsid w:val="00F03C39"/>
    <w:rsid w:val="00F03ED3"/>
    <w:rsid w:val="00F0568D"/>
    <w:rsid w:val="00F06624"/>
    <w:rsid w:val="00F11767"/>
    <w:rsid w:val="00F13AC6"/>
    <w:rsid w:val="00F141C1"/>
    <w:rsid w:val="00F167C2"/>
    <w:rsid w:val="00F1731E"/>
    <w:rsid w:val="00F2315D"/>
    <w:rsid w:val="00F33245"/>
    <w:rsid w:val="00F33FCC"/>
    <w:rsid w:val="00F34061"/>
    <w:rsid w:val="00F35E42"/>
    <w:rsid w:val="00F37EDF"/>
    <w:rsid w:val="00F421F2"/>
    <w:rsid w:val="00F4756D"/>
    <w:rsid w:val="00F54365"/>
    <w:rsid w:val="00F56359"/>
    <w:rsid w:val="00F57867"/>
    <w:rsid w:val="00F57E50"/>
    <w:rsid w:val="00F65B6E"/>
    <w:rsid w:val="00F65E81"/>
    <w:rsid w:val="00F70386"/>
    <w:rsid w:val="00F722DC"/>
    <w:rsid w:val="00F80288"/>
    <w:rsid w:val="00F80343"/>
    <w:rsid w:val="00F82A23"/>
    <w:rsid w:val="00F83546"/>
    <w:rsid w:val="00F91956"/>
    <w:rsid w:val="00F9227F"/>
    <w:rsid w:val="00F95646"/>
    <w:rsid w:val="00FA2366"/>
    <w:rsid w:val="00FA7956"/>
    <w:rsid w:val="00FB09E2"/>
    <w:rsid w:val="00FB20F1"/>
    <w:rsid w:val="00FB2BBD"/>
    <w:rsid w:val="00FB5567"/>
    <w:rsid w:val="00FB60C6"/>
    <w:rsid w:val="00FB78BC"/>
    <w:rsid w:val="00FB7B7E"/>
    <w:rsid w:val="00FC0C59"/>
    <w:rsid w:val="00FC0EE4"/>
    <w:rsid w:val="00FC7E4B"/>
    <w:rsid w:val="00FD1D04"/>
    <w:rsid w:val="00FD1DB6"/>
    <w:rsid w:val="00FD42EB"/>
    <w:rsid w:val="00FD761C"/>
    <w:rsid w:val="00FE0987"/>
    <w:rsid w:val="00FE0ED4"/>
    <w:rsid w:val="00FE45BE"/>
    <w:rsid w:val="00FF087D"/>
    <w:rsid w:val="00FF553A"/>
    <w:rsid w:val="02BF556A"/>
    <w:rsid w:val="03740262"/>
    <w:rsid w:val="050E32A4"/>
    <w:rsid w:val="05CE31CC"/>
    <w:rsid w:val="092E536E"/>
    <w:rsid w:val="11D739FB"/>
    <w:rsid w:val="11DB43BC"/>
    <w:rsid w:val="14A41C0A"/>
    <w:rsid w:val="14C211E3"/>
    <w:rsid w:val="153866E8"/>
    <w:rsid w:val="17516FAF"/>
    <w:rsid w:val="18225F70"/>
    <w:rsid w:val="18C76593"/>
    <w:rsid w:val="1A0A5293"/>
    <w:rsid w:val="1DDC0D9F"/>
    <w:rsid w:val="22551D2B"/>
    <w:rsid w:val="255D3A99"/>
    <w:rsid w:val="296F7C11"/>
    <w:rsid w:val="2B397DAD"/>
    <w:rsid w:val="2B6B4EC1"/>
    <w:rsid w:val="2C715A30"/>
    <w:rsid w:val="2D26209C"/>
    <w:rsid w:val="2E2F16FD"/>
    <w:rsid w:val="2ED40002"/>
    <w:rsid w:val="301F02C6"/>
    <w:rsid w:val="317D36F7"/>
    <w:rsid w:val="31CF4AB1"/>
    <w:rsid w:val="32065A8F"/>
    <w:rsid w:val="33FA2AC6"/>
    <w:rsid w:val="34E15227"/>
    <w:rsid w:val="36724FC7"/>
    <w:rsid w:val="38F162AA"/>
    <w:rsid w:val="396D7E18"/>
    <w:rsid w:val="3B3B4F65"/>
    <w:rsid w:val="3B682C3B"/>
    <w:rsid w:val="3C737021"/>
    <w:rsid w:val="3DCF554D"/>
    <w:rsid w:val="3E1D7CD5"/>
    <w:rsid w:val="3F1C7550"/>
    <w:rsid w:val="3FE47722"/>
    <w:rsid w:val="3FEB22E2"/>
    <w:rsid w:val="46503775"/>
    <w:rsid w:val="4A9322EC"/>
    <w:rsid w:val="4C8D58D7"/>
    <w:rsid w:val="4D0C28C2"/>
    <w:rsid w:val="514D6450"/>
    <w:rsid w:val="57A1799F"/>
    <w:rsid w:val="5CC360EA"/>
    <w:rsid w:val="5CD95935"/>
    <w:rsid w:val="5F701E85"/>
    <w:rsid w:val="60673735"/>
    <w:rsid w:val="648E0420"/>
    <w:rsid w:val="64E93CC1"/>
    <w:rsid w:val="728F20F0"/>
    <w:rsid w:val="73352D32"/>
    <w:rsid w:val="73F5583A"/>
    <w:rsid w:val="74CE4179"/>
    <w:rsid w:val="76986D48"/>
    <w:rsid w:val="76DF7441"/>
    <w:rsid w:val="784D1736"/>
    <w:rsid w:val="7B792A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33"/>
    <w:qFormat/>
    <w:uiPriority w:val="0"/>
    <w:pPr>
      <w:keepLines/>
      <w:adjustRightInd w:val="0"/>
      <w:snapToGrid w:val="0"/>
      <w:spacing w:beforeLines="100" w:afterLines="100"/>
      <w:textAlignment w:val="baseline"/>
      <w:outlineLvl w:val="0"/>
    </w:pPr>
    <w:rPr>
      <w:rFonts w:ascii="黑体" w:hAnsi="Verdana" w:eastAsia="黑体"/>
      <w:kern w:val="0"/>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link w:val="27"/>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4">
    <w:name w:val="Body Text First Indent"/>
    <w:basedOn w:val="5"/>
    <w:qFormat/>
    <w:uiPriority w:val="0"/>
    <w:pPr>
      <w:tabs>
        <w:tab w:val="left" w:pos="2400"/>
      </w:tabs>
      <w:adjustRightInd w:val="0"/>
      <w:spacing w:after="0"/>
    </w:pPr>
    <w:rPr>
      <w:kern w:val="0"/>
      <w:szCs w:val="21"/>
    </w:rPr>
  </w:style>
  <w:style w:type="paragraph" w:styleId="5">
    <w:name w:val="Body Text"/>
    <w:basedOn w:val="1"/>
    <w:qFormat/>
    <w:uiPriority w:val="0"/>
    <w:pPr>
      <w:spacing w:after="120"/>
    </w:pPr>
  </w:style>
  <w:style w:type="paragraph" w:styleId="6">
    <w:name w:val="Normal Indent"/>
    <w:basedOn w:val="1"/>
    <w:qFormat/>
    <w:uiPriority w:val="0"/>
    <w:pPr>
      <w:adjustRightInd w:val="0"/>
      <w:textAlignment w:val="baseline"/>
    </w:pPr>
    <w:rPr>
      <w:kern w:val="0"/>
      <w:szCs w:val="21"/>
    </w:rPr>
  </w:style>
  <w:style w:type="paragraph" w:styleId="7">
    <w:name w:val="annotation text"/>
    <w:basedOn w:val="1"/>
    <w:qFormat/>
    <w:uiPriority w:val="0"/>
    <w:pPr>
      <w:jc w:val="left"/>
    </w:pPr>
  </w:style>
  <w:style w:type="paragraph" w:styleId="8">
    <w:name w:val="Body Text Indent"/>
    <w:basedOn w:val="1"/>
    <w:qFormat/>
    <w:uiPriority w:val="0"/>
    <w:pPr>
      <w:spacing w:after="120"/>
      <w:ind w:left="420" w:leftChars="200"/>
    </w:pPr>
  </w:style>
  <w:style w:type="paragraph" w:styleId="9">
    <w:name w:val="toc 3"/>
    <w:basedOn w:val="1"/>
    <w:next w:val="1"/>
    <w:qFormat/>
    <w:uiPriority w:val="0"/>
    <w:pPr>
      <w:ind w:left="840" w:leftChars="400"/>
    </w:pPr>
  </w:style>
  <w:style w:type="paragraph" w:styleId="10">
    <w:name w:val="Plain Text"/>
    <w:basedOn w:val="1"/>
    <w:link w:val="28"/>
    <w:qFormat/>
    <w:uiPriority w:val="0"/>
    <w:rPr>
      <w:rFonts w:ascii="宋体" w:hAnsi="Courier New" w:cs="Courier New"/>
      <w:szCs w:val="21"/>
    </w:rPr>
  </w:style>
  <w:style w:type="paragraph" w:styleId="11">
    <w:name w:val="Date"/>
    <w:basedOn w:val="1"/>
    <w:next w:val="1"/>
    <w:link w:val="30"/>
    <w:qFormat/>
    <w:uiPriority w:val="0"/>
    <w:pPr>
      <w:ind w:left="100" w:leftChars="2500"/>
    </w:pPr>
  </w:style>
  <w:style w:type="paragraph" w:styleId="12">
    <w:name w:val="Balloon Text"/>
    <w:basedOn w:val="1"/>
    <w:link w:val="29"/>
    <w:qFormat/>
    <w:uiPriority w:val="0"/>
    <w:rPr>
      <w:sz w:val="18"/>
      <w:szCs w:val="18"/>
    </w:rPr>
  </w:style>
  <w:style w:type="paragraph" w:styleId="13">
    <w:name w:val="footer"/>
    <w:basedOn w:val="1"/>
    <w:link w:val="23"/>
    <w:qFormat/>
    <w:uiPriority w:val="0"/>
    <w:pPr>
      <w:tabs>
        <w:tab w:val="center" w:pos="4153"/>
        <w:tab w:val="right" w:pos="8306"/>
      </w:tabs>
      <w:snapToGrid w:val="0"/>
      <w:jc w:val="left"/>
    </w:pPr>
    <w:rPr>
      <w:sz w:val="18"/>
      <w:szCs w:val="18"/>
    </w:rPr>
  </w:style>
  <w:style w:type="paragraph" w:styleId="14">
    <w:name w:val="header"/>
    <w:basedOn w:val="1"/>
    <w:link w:val="22"/>
    <w:qFormat/>
    <w:uiPriority w:val="0"/>
    <w:pPr>
      <w:tabs>
        <w:tab w:val="center" w:pos="4153"/>
        <w:tab w:val="right" w:pos="8306"/>
      </w:tabs>
      <w:adjustRightInd w:val="0"/>
      <w:spacing w:line="240" w:lineRule="atLeast"/>
      <w:jc w:val="center"/>
      <w:textAlignment w:val="baseline"/>
    </w:pPr>
    <w:rPr>
      <w:kern w:val="0"/>
      <w:sz w:val="18"/>
      <w:szCs w:val="20"/>
    </w:rPr>
  </w:style>
  <w:style w:type="paragraph" w:styleId="15">
    <w:name w:val="toc 2"/>
    <w:basedOn w:val="1"/>
    <w:next w:val="1"/>
    <w:qFormat/>
    <w:uiPriority w:val="0"/>
    <w:pPr>
      <w:adjustRightInd w:val="0"/>
      <w:snapToGrid w:val="0"/>
      <w:spacing w:beforeLines="50" w:afterLines="50"/>
      <w:jc w:val="left"/>
      <w:textAlignment w:val="baseline"/>
    </w:pPr>
    <w:rPr>
      <w:rFonts w:ascii="黑体" w:hAnsi="宋体" w:eastAsia="黑体"/>
      <w:smallCaps/>
      <w:szCs w:val="21"/>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basedOn w:val="19"/>
    <w:qFormat/>
    <w:uiPriority w:val="0"/>
    <w:rPr>
      <w:sz w:val="21"/>
      <w:szCs w:val="21"/>
    </w:rPr>
  </w:style>
  <w:style w:type="character" w:customStyle="1" w:styleId="22">
    <w:name w:val="页眉 Char"/>
    <w:basedOn w:val="19"/>
    <w:link w:val="14"/>
    <w:semiHidden/>
    <w:qFormat/>
    <w:locked/>
    <w:uiPriority w:val="0"/>
    <w:rPr>
      <w:rFonts w:eastAsia="宋体"/>
      <w:sz w:val="18"/>
      <w:lang w:val="en-US" w:eastAsia="zh-CN" w:bidi="ar-SA"/>
    </w:rPr>
  </w:style>
  <w:style w:type="character" w:customStyle="1" w:styleId="23">
    <w:name w:val="页脚 Char"/>
    <w:basedOn w:val="19"/>
    <w:link w:val="13"/>
    <w:qFormat/>
    <w:uiPriority w:val="0"/>
    <w:rPr>
      <w:kern w:val="2"/>
      <w:sz w:val="18"/>
      <w:szCs w:val="18"/>
    </w:rPr>
  </w:style>
  <w:style w:type="paragraph" w:customStyle="1" w:styleId="2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
    <w:name w:val="篇"/>
    <w:basedOn w:val="1"/>
    <w:next w:val="1"/>
    <w:qFormat/>
    <w:uiPriority w:val="0"/>
    <w:pPr>
      <w:adjustRightInd w:val="0"/>
      <w:spacing w:line="360" w:lineRule="atLeast"/>
      <w:jc w:val="center"/>
    </w:pPr>
    <w:rPr>
      <w:rFonts w:eastAsia="黑体"/>
      <w:kern w:val="0"/>
      <w:sz w:val="24"/>
      <w:szCs w:val="20"/>
    </w:rPr>
  </w:style>
  <w:style w:type="paragraph" w:customStyle="1" w:styleId="26">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27">
    <w:name w:val="段 Char"/>
    <w:link w:val="2"/>
    <w:qFormat/>
    <w:uiPriority w:val="0"/>
    <w:rPr>
      <w:rFonts w:ascii="宋体"/>
      <w:sz w:val="21"/>
      <w:szCs w:val="22"/>
      <w:lang w:bidi="ar-SA"/>
    </w:rPr>
  </w:style>
  <w:style w:type="character" w:customStyle="1" w:styleId="28">
    <w:name w:val="纯文本 Char"/>
    <w:basedOn w:val="19"/>
    <w:link w:val="10"/>
    <w:qFormat/>
    <w:uiPriority w:val="0"/>
    <w:rPr>
      <w:rFonts w:ascii="宋体" w:hAnsi="Courier New" w:cs="Courier New"/>
      <w:kern w:val="2"/>
      <w:sz w:val="21"/>
      <w:szCs w:val="21"/>
    </w:rPr>
  </w:style>
  <w:style w:type="character" w:customStyle="1" w:styleId="29">
    <w:name w:val="批注框文本 Char"/>
    <w:basedOn w:val="19"/>
    <w:link w:val="12"/>
    <w:qFormat/>
    <w:uiPriority w:val="0"/>
    <w:rPr>
      <w:kern w:val="2"/>
      <w:sz w:val="18"/>
      <w:szCs w:val="18"/>
    </w:rPr>
  </w:style>
  <w:style w:type="character" w:customStyle="1" w:styleId="30">
    <w:name w:val="日期 Char"/>
    <w:basedOn w:val="19"/>
    <w:link w:val="11"/>
    <w:qFormat/>
    <w:uiPriority w:val="0"/>
    <w:rPr>
      <w:kern w:val="2"/>
      <w:sz w:val="21"/>
      <w:szCs w:val="24"/>
    </w:rPr>
  </w:style>
  <w:style w:type="character" w:customStyle="1" w:styleId="31">
    <w:name w:val="正文1 字符"/>
    <w:link w:val="32"/>
    <w:qFormat/>
    <w:uiPriority w:val="0"/>
    <w:rPr>
      <w:rFonts w:ascii="宋体"/>
      <w:sz w:val="24"/>
    </w:rPr>
  </w:style>
  <w:style w:type="paragraph" w:customStyle="1" w:styleId="32">
    <w:name w:val="正文1"/>
    <w:link w:val="31"/>
    <w:qFormat/>
    <w:uiPriority w:val="0"/>
    <w:pPr>
      <w:autoSpaceDE w:val="0"/>
      <w:autoSpaceDN w:val="0"/>
      <w:spacing w:line="300" w:lineRule="auto"/>
      <w:ind w:firstLine="200" w:firstLineChars="200"/>
      <w:jc w:val="both"/>
    </w:pPr>
    <w:rPr>
      <w:rFonts w:ascii="宋体" w:hAnsi="Times New Roman" w:eastAsia="宋体" w:cs="Times New Roman"/>
      <w:sz w:val="24"/>
      <w:lang w:val="en-US" w:eastAsia="zh-CN" w:bidi="ar-SA"/>
    </w:rPr>
  </w:style>
  <w:style w:type="character" w:customStyle="1" w:styleId="33">
    <w:name w:val="标题 1 Char"/>
    <w:basedOn w:val="19"/>
    <w:link w:val="3"/>
    <w:qFormat/>
    <w:uiPriority w:val="0"/>
    <w:rPr>
      <w:rFonts w:ascii="黑体" w:hAnsi="Verdana" w:eastAsia="黑体"/>
      <w:sz w:val="21"/>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6631;&#20934;\&#26631;&#20934;&#39033;&#30446;\2023\&#29031;&#30456;&#21046;&#29256;&#29992;&#38108;&#26495;\TP2&#21644;&#38134;&#38108;&#21147;&#24615;\T2&#24615;&#33021;&#65288;15.01-10&#65289;&#65288;&#30452;&#26041;&#22270;&#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631;&#20934;\&#26631;&#20934;&#39033;&#30446;\2023\&#29031;&#30456;&#21046;&#29256;&#29992;&#38108;&#26495;\TP2&#21644;&#38134;&#38108;&#21147;&#24615;\TAg0.1&#21147;&#23398;&#24615;&#33021;(&#30452;&#26041;&#22270;&#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779893019702"/>
          <c:y val="0.0835449529204909"/>
          <c:w val="0.725296442687749"/>
          <c:h val="0.664207838820053"/>
        </c:manualLayout>
      </c:layout>
      <c:barChart>
        <c:barDir val="col"/>
        <c:grouping val="clustered"/>
        <c:varyColors val="0"/>
        <c:ser>
          <c:idx val="0"/>
          <c:order val="0"/>
          <c:invertIfNegative val="0"/>
          <c:dLbls>
            <c:delete val="1"/>
          </c:dLbls>
          <c:trendline>
            <c:trendlineType val="linear"/>
            <c:dispRSqr val="0"/>
            <c:dispEq val="0"/>
          </c:trendline>
          <c:val>
            <c:numRef>
              <c:f>'T2性能（15.01-10） (硬态) (整理)'!$Q$7</c:f>
              <c:numCache>
                <c:formatCode>General</c:formatCode>
                <c:ptCount val="1"/>
                <c:pt idx="0">
                  <c:v>8</c:v>
                </c:pt>
              </c:numCache>
            </c:numRef>
          </c:val>
        </c:ser>
        <c:ser>
          <c:idx val="1"/>
          <c:order val="1"/>
          <c:invertIfNegative val="0"/>
          <c:dLbls>
            <c:delete val="1"/>
          </c:dLbls>
          <c:val>
            <c:numRef>
              <c:f>'T2性能（15.01-10） (硬态) (整理)'!$R$7</c:f>
              <c:numCache>
                <c:formatCode>General</c:formatCode>
                <c:ptCount val="1"/>
                <c:pt idx="0">
                  <c:v>30</c:v>
                </c:pt>
              </c:numCache>
            </c:numRef>
          </c:val>
        </c:ser>
        <c:ser>
          <c:idx val="2"/>
          <c:order val="2"/>
          <c:invertIfNegative val="0"/>
          <c:dLbls>
            <c:delete val="1"/>
          </c:dLbls>
          <c:val>
            <c:numRef>
              <c:f>'T2性能（15.01-10） (硬态) (整理)'!$S$7</c:f>
              <c:numCache>
                <c:formatCode>General</c:formatCode>
                <c:ptCount val="1"/>
                <c:pt idx="0">
                  <c:v>38</c:v>
                </c:pt>
              </c:numCache>
            </c:numRef>
          </c:val>
        </c:ser>
        <c:ser>
          <c:idx val="3"/>
          <c:order val="3"/>
          <c:invertIfNegative val="0"/>
          <c:dLbls>
            <c:delete val="1"/>
          </c:dLbls>
          <c:val>
            <c:numRef>
              <c:f>'T2性能（15.01-10） (硬态) (整理)'!$T$7</c:f>
              <c:numCache>
                <c:formatCode>General</c:formatCode>
                <c:ptCount val="1"/>
                <c:pt idx="0">
                  <c:v>29</c:v>
                </c:pt>
              </c:numCache>
            </c:numRef>
          </c:val>
        </c:ser>
        <c:ser>
          <c:idx val="4"/>
          <c:order val="4"/>
          <c:invertIfNegative val="0"/>
          <c:dLbls>
            <c:delete val="1"/>
          </c:dLbls>
          <c:val>
            <c:numRef>
              <c:f>'T2性能（15.01-10） (硬态) (整理)'!$U$7</c:f>
              <c:numCache>
                <c:formatCode>General</c:formatCode>
                <c:ptCount val="1"/>
                <c:pt idx="0">
                  <c:v>26</c:v>
                </c:pt>
              </c:numCache>
            </c:numRef>
          </c:val>
        </c:ser>
        <c:ser>
          <c:idx val="5"/>
          <c:order val="5"/>
          <c:invertIfNegative val="0"/>
          <c:dLbls>
            <c:delete val="1"/>
          </c:dLbls>
          <c:val>
            <c:numRef>
              <c:f>'T2性能（15.01-10） (硬态) (整理)'!$V$7</c:f>
              <c:numCache>
                <c:formatCode>General</c:formatCode>
                <c:ptCount val="1"/>
                <c:pt idx="0">
                  <c:v>18</c:v>
                </c:pt>
              </c:numCache>
            </c:numRef>
          </c:val>
        </c:ser>
        <c:ser>
          <c:idx val="6"/>
          <c:order val="6"/>
          <c:invertIfNegative val="0"/>
          <c:dLbls>
            <c:delete val="1"/>
          </c:dLbls>
          <c:val>
            <c:numRef>
              <c:f>'T2性能（15.01-10） (硬态) (整理)'!$W$7</c:f>
              <c:numCache>
                <c:formatCode>General</c:formatCode>
                <c:ptCount val="1"/>
                <c:pt idx="0">
                  <c:v>12</c:v>
                </c:pt>
              </c:numCache>
            </c:numRef>
          </c:val>
        </c:ser>
        <c:dLbls>
          <c:showLegendKey val="0"/>
          <c:showVal val="0"/>
          <c:showCatName val="0"/>
          <c:showSerName val="0"/>
          <c:showPercent val="0"/>
          <c:showBubbleSize val="0"/>
        </c:dLbls>
        <c:gapWidth val="150"/>
        <c:axId val="467419904"/>
        <c:axId val="467435520"/>
      </c:barChart>
      <c:catAx>
        <c:axId val="467419904"/>
        <c:scaling>
          <c:orientation val="minMax"/>
        </c:scaling>
        <c:delete val="1"/>
        <c:axPos val="b"/>
        <c:title>
          <c:tx>
            <c:rich>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1000" b="0" i="0" strike="noStrike">
                    <a:solidFill>
                      <a:srgbClr val="000000"/>
                    </a:solidFill>
                    <a:latin typeface="宋体" panose="02010600030101010101" charset="-122"/>
                    <a:ea typeface="宋体" panose="02010600030101010101" charset="-122"/>
                  </a:rPr>
                  <a:t>80     95     100     105    110     115     120    125</a:t>
                </a:r>
                <a:endParaRPr lang="en-US" altLang="zh-CN" sz="1000" b="0" i="0" strike="noStrike">
                  <a:solidFill>
                    <a:srgbClr val="000000"/>
                  </a:solidFill>
                  <a:latin typeface="宋体" panose="02010600030101010101" charset="-122"/>
                  <a:ea typeface="宋体" panose="02010600030101010101" charset="-122"/>
                </a:endParaRPr>
              </a:p>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en-US" altLang="zh-CN" sz="1000" b="0" i="0" u="none" strike="noStrike" kern="1200" baseline="0">
                  <a:solidFill>
                    <a:srgbClr val="000000"/>
                  </a:solidFill>
                  <a:latin typeface="宋体" panose="02010600030101010101" charset="-122"/>
                  <a:ea typeface="宋体" panose="02010600030101010101" charset="-122"/>
                  <a:cs typeface="宋体" panose="02010600030101010101" charset="-122"/>
                </a:endParaRPr>
              </a:p>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100" b="0" i="0" u="none" strike="noStrike" kern="1200" baseline="0">
                    <a:solidFill>
                      <a:srgbClr val="000000"/>
                    </a:solidFill>
                    <a:latin typeface="宋体" panose="02010600030101010101" charset="-122"/>
                    <a:ea typeface="宋体" panose="02010600030101010101" charset="-122"/>
                    <a:cs typeface="宋体" panose="02010600030101010101" charset="-122"/>
                  </a:rPr>
                  <a:t>硬度</a:t>
                </a:r>
                <a:r>
                  <a:rPr lang="en-US" altLang="zh-CN" sz="1100" b="0" i="0" u="none" strike="noStrike" kern="1200" baseline="0">
                    <a:solidFill>
                      <a:srgbClr val="000000"/>
                    </a:solidFill>
                    <a:latin typeface="宋体" panose="02010600030101010101" charset="-122"/>
                    <a:ea typeface="宋体" panose="02010600030101010101" charset="-122"/>
                    <a:cs typeface="宋体" panose="02010600030101010101" charset="-122"/>
                  </a:rPr>
                  <a:t>HBW</a:t>
                </a:r>
                <a:endParaRPr lang="en-US" altLang="zh-CN" sz="1100" b="0" i="0" u="none" strike="noStrike" kern="1200"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36688983229682"/>
              <c:y val="0.765486978657996"/>
            </c:manualLayout>
          </c:layout>
          <c:overlay val="0"/>
          <c:spPr>
            <a:noFill/>
            <a:ln w="25400">
              <a:noFill/>
            </a:ln>
          </c:spPr>
        </c:title>
        <c:majorTickMark val="out"/>
        <c:minorTickMark val="none"/>
        <c:tickLblPos val="nextTo"/>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67435520"/>
        <c:crosses val="autoZero"/>
        <c:auto val="0"/>
        <c:lblAlgn val="ctr"/>
        <c:lblOffset val="100"/>
        <c:noMultiLvlLbl val="0"/>
      </c:catAx>
      <c:valAx>
        <c:axId val="467435520"/>
        <c:scaling>
          <c:orientation val="minMax"/>
        </c:scaling>
        <c:delete val="0"/>
        <c:axPos val="l"/>
        <c:title>
          <c:tx>
            <c:rich>
              <a:bodyPr rot="-540000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频数</a:t>
                </a:r>
                <a:endParaRPr lang="zh-CN" altLang="en-US"/>
              </a:p>
            </c:rich>
          </c:tx>
          <c:layout>
            <c:manualLayout>
              <c:xMode val="edge"/>
              <c:yMode val="edge"/>
              <c:x val="0.102817410329982"/>
              <c:y val="0.0677928323766497"/>
            </c:manualLayout>
          </c:layout>
          <c:overlay val="0"/>
          <c:spPr>
            <a:noFill/>
            <a:ln w="25400">
              <a:noFill/>
            </a:ln>
          </c:spPr>
        </c:title>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67419904"/>
        <c:crosses val="autoZero"/>
        <c:crossBetween val="between"/>
      </c:valAx>
      <c:spPr>
        <a:noFill/>
        <a:ln w="3175">
          <a:solidFill>
            <a:srgbClr val="000000">
              <a:alpha val="100000"/>
            </a:srgbClr>
          </a:solidFill>
          <a:prstDash val="solid"/>
        </a:ln>
      </c:spPr>
    </c:plotArea>
    <c:plotVisOnly val="1"/>
    <c:dispBlanksAs val="gap"/>
    <c:showDLblsOverMax val="0"/>
  </c:chart>
  <c:spPr>
    <a:solidFill>
      <a:srgbClr val="FFFFFF"/>
    </a:solidFill>
    <a:ln w="3175"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779919061467"/>
          <c:y val="0.0791273214503737"/>
          <c:w val="0.725296442687749"/>
          <c:h val="0.664207838820053"/>
        </c:manualLayout>
      </c:layout>
      <c:barChart>
        <c:barDir val="col"/>
        <c:grouping val="clustered"/>
        <c:varyColors val="0"/>
        <c:ser>
          <c:idx val="0"/>
          <c:order val="0"/>
          <c:invertIfNegative val="0"/>
          <c:dLbls>
            <c:delete val="1"/>
          </c:dLbls>
          <c:trendline>
            <c:trendlineType val="linear"/>
            <c:dispRSqr val="0"/>
            <c:dispEq val="0"/>
          </c:trendline>
          <c:val>
            <c:numRef>
              <c:f>'Sheet1 (修改0.7-2.0mm)'!$S$8</c:f>
              <c:numCache>
                <c:formatCode>General</c:formatCode>
                <c:ptCount val="1"/>
                <c:pt idx="0">
                  <c:v>5</c:v>
                </c:pt>
              </c:numCache>
            </c:numRef>
          </c:val>
        </c:ser>
        <c:ser>
          <c:idx val="1"/>
          <c:order val="1"/>
          <c:invertIfNegative val="0"/>
          <c:dLbls>
            <c:delete val="1"/>
          </c:dLbls>
          <c:val>
            <c:numRef>
              <c:f>'Sheet1 (修改0.7-2.0mm)'!$T$8</c:f>
              <c:numCache>
                <c:formatCode>General</c:formatCode>
                <c:ptCount val="1"/>
                <c:pt idx="0">
                  <c:v>16</c:v>
                </c:pt>
              </c:numCache>
            </c:numRef>
          </c:val>
        </c:ser>
        <c:ser>
          <c:idx val="2"/>
          <c:order val="2"/>
          <c:invertIfNegative val="0"/>
          <c:dLbls>
            <c:delete val="1"/>
          </c:dLbls>
          <c:val>
            <c:numRef>
              <c:f>'Sheet1 (修改0.7-2.0mm)'!$U$8</c:f>
              <c:numCache>
                <c:formatCode>General</c:formatCode>
                <c:ptCount val="1"/>
                <c:pt idx="0">
                  <c:v>27</c:v>
                </c:pt>
              </c:numCache>
            </c:numRef>
          </c:val>
        </c:ser>
        <c:ser>
          <c:idx val="3"/>
          <c:order val="3"/>
          <c:invertIfNegative val="0"/>
          <c:dLbls>
            <c:delete val="1"/>
          </c:dLbls>
          <c:val>
            <c:numRef>
              <c:f>'Sheet1 (修改0.7-2.0mm)'!$V$8</c:f>
              <c:numCache>
                <c:formatCode>General</c:formatCode>
                <c:ptCount val="1"/>
                <c:pt idx="0">
                  <c:v>31</c:v>
                </c:pt>
              </c:numCache>
            </c:numRef>
          </c:val>
        </c:ser>
        <c:ser>
          <c:idx val="4"/>
          <c:order val="4"/>
          <c:invertIfNegative val="0"/>
          <c:dLbls>
            <c:delete val="1"/>
          </c:dLbls>
          <c:val>
            <c:numRef>
              <c:f>'Sheet1 (修改0.7-2.0mm)'!$W$8</c:f>
              <c:numCache>
                <c:formatCode>General</c:formatCode>
                <c:ptCount val="1"/>
                <c:pt idx="0">
                  <c:v>20</c:v>
                </c:pt>
              </c:numCache>
            </c:numRef>
          </c:val>
        </c:ser>
        <c:ser>
          <c:idx val="5"/>
          <c:order val="5"/>
          <c:invertIfNegative val="0"/>
          <c:dLbls>
            <c:delete val="1"/>
          </c:dLbls>
          <c:val>
            <c:numRef>
              <c:f>'Sheet1 (修改0.7-2.0mm)'!$X$8</c:f>
              <c:numCache>
                <c:formatCode>General</c:formatCode>
                <c:ptCount val="1"/>
                <c:pt idx="0">
                  <c:v>9</c:v>
                </c:pt>
              </c:numCache>
            </c:numRef>
          </c:val>
        </c:ser>
        <c:ser>
          <c:idx val="6"/>
          <c:order val="6"/>
          <c:invertIfNegative val="0"/>
          <c:dLbls>
            <c:delete val="1"/>
          </c:dLbls>
          <c:val>
            <c:numRef>
              <c:f>'Sheet1 (修改0.7-2.0mm)'!$Y$8</c:f>
              <c:numCache>
                <c:formatCode>General</c:formatCode>
                <c:ptCount val="1"/>
                <c:pt idx="0">
                  <c:v>7</c:v>
                </c:pt>
              </c:numCache>
            </c:numRef>
          </c:val>
        </c:ser>
        <c:ser>
          <c:idx val="7"/>
          <c:order val="7"/>
          <c:invertIfNegative val="0"/>
          <c:dLbls>
            <c:delete val="1"/>
          </c:dLbls>
          <c:val>
            <c:numRef>
              <c:f>'Sheet1 (修改0.7-2.0mm)'!#REF!</c:f>
              <c:numCache>
                <c:formatCode>General</c:formatCode>
                <c:ptCount val="1"/>
                <c:pt idx="0">
                  <c:v>1</c:v>
                </c:pt>
              </c:numCache>
            </c:numRef>
          </c:val>
        </c:ser>
        <c:dLbls>
          <c:showLegendKey val="0"/>
          <c:showVal val="0"/>
          <c:showCatName val="0"/>
          <c:showSerName val="0"/>
          <c:showPercent val="0"/>
          <c:showBubbleSize val="0"/>
        </c:dLbls>
        <c:gapWidth val="150"/>
        <c:axId val="467609088"/>
        <c:axId val="467624704"/>
      </c:barChart>
      <c:catAx>
        <c:axId val="467609088"/>
        <c:scaling>
          <c:orientation val="minMax"/>
        </c:scaling>
        <c:delete val="1"/>
        <c:axPos val="b"/>
        <c:title>
          <c:tx>
            <c:rich>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1000" b="0" i="0" strike="noStrike">
                    <a:solidFill>
                      <a:srgbClr val="000000"/>
                    </a:solidFill>
                    <a:latin typeface="宋体" panose="02010600030101010101" charset="-122"/>
                    <a:ea typeface="宋体" panose="02010600030101010101" charset="-122"/>
                  </a:rPr>
                  <a:t>80     95     100     105    110     115     120    125</a:t>
                </a:r>
                <a:endParaRPr lang="en-US" altLang="zh-CN" sz="1000" b="0" i="0" strike="noStrike">
                  <a:solidFill>
                    <a:srgbClr val="000000"/>
                  </a:solidFill>
                  <a:latin typeface="宋体" panose="02010600030101010101" charset="-122"/>
                  <a:ea typeface="宋体" panose="02010600030101010101" charset="-122"/>
                </a:endParaRPr>
              </a:p>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en-US" altLang="zh-CN" sz="1000" b="0" i="0" u="none" strike="noStrike" kern="1200" baseline="0">
                  <a:solidFill>
                    <a:srgbClr val="000000"/>
                  </a:solidFill>
                  <a:latin typeface="宋体" panose="02010600030101010101" charset="-122"/>
                  <a:ea typeface="宋体" panose="02010600030101010101" charset="-122"/>
                  <a:cs typeface="宋体" panose="02010600030101010101" charset="-122"/>
                </a:endParaRPr>
              </a:p>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100" b="0" i="0" u="none" strike="noStrike" kern="1200" baseline="0">
                    <a:solidFill>
                      <a:srgbClr val="000000"/>
                    </a:solidFill>
                    <a:latin typeface="宋体" panose="02010600030101010101" charset="-122"/>
                    <a:ea typeface="宋体" panose="02010600030101010101" charset="-122"/>
                    <a:cs typeface="宋体" panose="02010600030101010101" charset="-122"/>
                  </a:rPr>
                  <a:t>硬度</a:t>
                </a:r>
                <a:r>
                  <a:rPr lang="en-US" altLang="zh-CN" sz="1100" b="0" i="0" u="none" strike="noStrike" kern="1200" baseline="0">
                    <a:solidFill>
                      <a:srgbClr val="000000"/>
                    </a:solidFill>
                    <a:latin typeface="宋体" panose="02010600030101010101" charset="-122"/>
                    <a:ea typeface="宋体" panose="02010600030101010101" charset="-122"/>
                    <a:cs typeface="宋体" panose="02010600030101010101" charset="-122"/>
                  </a:rPr>
                  <a:t>HBW</a:t>
                </a:r>
                <a:endParaRPr lang="en-US" altLang="zh-CN" sz="1100" b="0" i="0" u="none" strike="noStrike" kern="1200"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35300077515828"/>
              <c:y val="0.765541165653559"/>
            </c:manualLayout>
          </c:layout>
          <c:overlay val="0"/>
          <c:spPr>
            <a:noFill/>
            <a:ln w="25400">
              <a:noFill/>
            </a:ln>
          </c:spPr>
        </c:title>
        <c:majorTickMark val="out"/>
        <c:minorTickMark val="none"/>
        <c:tickLblPos val="nextTo"/>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67624704"/>
        <c:crosses val="autoZero"/>
        <c:auto val="0"/>
        <c:lblAlgn val="ctr"/>
        <c:lblOffset val="100"/>
        <c:noMultiLvlLbl val="0"/>
      </c:catAx>
      <c:valAx>
        <c:axId val="467624704"/>
        <c:scaling>
          <c:orientation val="minMax"/>
        </c:scaling>
        <c:delete val="0"/>
        <c:axPos val="l"/>
        <c:title>
          <c:tx>
            <c:rich>
              <a:bodyPr rot="-540000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频数</a:t>
                </a:r>
                <a:endParaRPr lang="zh-CN" altLang="en-US"/>
              </a:p>
            </c:rich>
          </c:tx>
          <c:layout>
            <c:manualLayout>
              <c:xMode val="edge"/>
              <c:yMode val="edge"/>
              <c:x val="0.102817385598539"/>
              <c:y val="0.067792872044841"/>
            </c:manualLayout>
          </c:layout>
          <c:overlay val="0"/>
          <c:spPr>
            <a:noFill/>
            <a:ln w="25400">
              <a:noFill/>
            </a:ln>
          </c:spPr>
        </c:title>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67609088"/>
        <c:crosses val="autoZero"/>
        <c:crossBetween val="between"/>
      </c:valAx>
      <c:spPr>
        <a:noFill/>
        <a:ln w="3175">
          <a:solidFill>
            <a:srgbClr val="000000">
              <a:alpha val="100000"/>
            </a:srgbClr>
          </a:solidFill>
          <a:prstDash val="solid"/>
        </a:ln>
      </c:spPr>
    </c:plotArea>
    <c:plotVisOnly val="1"/>
    <c:dispBlanksAs val="gap"/>
    <c:showDLblsOverMax val="0"/>
  </c:chart>
  <c:spPr>
    <a:solidFill>
      <a:srgbClr val="FFFFFF"/>
    </a:solidFill>
    <a:ln w="3175"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17AC5D-DAF3-40B1-9215-DB2AB3D070F1}">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15</Pages>
  <Words>8461</Words>
  <Characters>10184</Characters>
  <Lines>64</Lines>
  <Paragraphs>18</Paragraphs>
  <TotalTime>8</TotalTime>
  <ScaleCrop>false</ScaleCrop>
  <LinksUpToDate>false</LinksUpToDate>
  <CharactersWithSpaces>10414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2023-06-17T09:04:00Z</dcterms:created>
  <dc:creator>赵万花</dc:creator>
  <cp:lastModifiedBy>HUAWEI</cp:lastModifiedBy>
  <cp:lastPrinted>2023-06-23T08:57:00Z</cp:lastPrinted>
  <dcterms:modified xsi:type="dcterms:W3CDTF">2023-09-15T03:50:36Z</dcterms:modified>
  <dc:title>铜合金护套带材</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992E8692AD71471AA970C666861A287A_13</vt:lpwstr>
  </property>
</Properties>
</file>