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text" w:y="518" w:anchorLock="1"/>
        <w:rPr>
          <w:rFonts w:eastAsia="黑体"/>
          <w:bCs/>
          <w:sz w:val="21"/>
        </w:rPr>
      </w:pPr>
      <w:r>
        <w:rPr>
          <w:rFonts w:hint="eastAsia" w:eastAsia="黑体"/>
          <w:bCs/>
          <w:sz w:val="21"/>
        </w:rPr>
        <w:t>CS77.150.30</w:t>
      </w:r>
    </w:p>
    <w:p/>
    <w:p>
      <w:pPr>
        <w:jc w:val="right"/>
      </w:pPr>
      <w:r>
        <w:object>
          <v:shape id="_x0000_i1025" o:spt="75" type="#_x0000_t75" style="height:76.1pt;width:131.75pt;" o:ole="t" filled="f" o:preferrelative="t" stroked="f" coordsize="21600,21600">
            <v:path/>
            <v:fill on="f" focussize="0,0"/>
            <v:stroke on="f" joinstyle="miter"/>
            <v:imagedata r:id="rId17" o:title=""/>
            <o:lock v:ext="edit" aspectratio="t"/>
            <w10:wrap type="none"/>
            <w10:anchorlock/>
          </v:shape>
          <o:OLEObject Type="Embed" ProgID="Word.Picture.8" ShapeID="_x0000_i1025" DrawAspect="Content" ObjectID="_1468075725" r:id="rId16">
            <o:LockedField>false</o:LockedField>
          </o:OLEObject>
        </w:object>
      </w:r>
      <w:r>
        <w:pict>
          <v:line id="_x0000_s1030" o:spid="_x0000_s1030" o:spt="20" style="position:absolute;left:0pt;margin-left:70.9pt;margin-top:231pt;height:0.05pt;width:481.95pt;mso-position-horizontal-relative:page;mso-position-vertical-relative:page;z-index:251659264;mso-width-relative:page;mso-height-relative:page;" coordsize="21600,21600">
            <v:path arrowok="t"/>
            <v:fill focussize="0,0"/>
            <v:stroke startarrowwidth="narrow" startarrowlength="short" endarrowwidth="narrow" endarrowlength="short"/>
            <v:imagedata o:title=""/>
            <o:lock v:ext="edit"/>
            <w10:anchorlock/>
          </v:line>
        </w:pict>
      </w:r>
    </w:p>
    <w:p>
      <w:pPr>
        <w:framePr w:w="4383" w:hSpace="181" w:wrap="around" w:vAnchor="page" w:hAnchor="page" w:x="1441" w:y="844" w:anchorLock="1"/>
        <w:rPr>
          <w:rFonts w:eastAsia="黑体"/>
          <w:bCs/>
          <w:sz w:val="21"/>
        </w:rPr>
      </w:pPr>
      <w:r>
        <w:rPr>
          <w:rFonts w:hint="eastAsia" w:eastAsia="黑体"/>
          <w:bCs/>
          <w:sz w:val="21"/>
        </w:rPr>
        <w:t>CCS H62</w:t>
      </w:r>
    </w:p>
    <w:p>
      <w:pPr>
        <w:rPr>
          <w:sz w:val="21"/>
        </w:rPr>
      </w:pPr>
    </w:p>
    <w:p>
      <w:r>
        <w:rPr>
          <w:rFonts w:ascii="宋体" w:hAnsi="Symbol"/>
          <w:sz w:val="56"/>
        </w:rPr>
        <w:pict>
          <v:shape id="_x0000_s1132" o:spid="_x0000_s1132" o:spt="75" type="#_x0000_t75" style="position:absolute;left:0pt;margin-left:0pt;margin-top:0.3pt;height:48pt;width:498.75pt;z-index:251661312;mso-width-relative:page;mso-height-relative:page;" o:ole="t" filled="f" o:preferrelative="t" stroked="f" coordsize="21600,21600">
            <v:path/>
            <v:fill on="f" focussize="0,0"/>
            <v:stroke on="f" joinstyle="miter"/>
            <v:imagedata r:id="rId19" o:title=""/>
            <o:lock v:ext="edit" aspectratio="t"/>
          </v:shape>
          <o:OLEObject Type="Embed" ProgID="Word.Picture.8" ShapeID="_x0000_s1132" DrawAspect="Content" ObjectID="_1468075726" r:id="rId18">
            <o:LockedField>false</o:LockedField>
          </o:OLEObject>
        </w:pict>
      </w:r>
    </w:p>
    <w:p/>
    <w:p/>
    <w:p/>
    <w:p>
      <w:pPr>
        <w:framePr w:w="5268" w:h="735" w:hRule="exact" w:hSpace="181" w:wrap="around" w:vAnchor="page" w:hAnchor="page" w:x="5460" w:y="3856" w:anchorLock="1"/>
        <w:ind w:right="420"/>
        <w:jc w:val="right"/>
        <w:rPr>
          <w:rFonts w:eastAsia="黑体"/>
          <w:bCs/>
          <w:sz w:val="28"/>
        </w:rPr>
      </w:pPr>
      <w:bookmarkStart w:id="0" w:name="OLE_LINK1"/>
      <w:r>
        <w:rPr>
          <w:rFonts w:hint="eastAsia" w:eastAsia="黑体"/>
          <w:bCs/>
          <w:sz w:val="28"/>
        </w:rPr>
        <w:t>YS</w:t>
      </w:r>
      <w:r>
        <w:rPr>
          <w:rFonts w:eastAsia="黑体"/>
          <w:bCs/>
          <w:sz w:val="28"/>
        </w:rPr>
        <w:t>/T</w:t>
      </w:r>
      <w:r>
        <w:rPr>
          <w:rFonts w:hint="eastAsia" w:eastAsia="黑体"/>
          <w:bCs/>
          <w:sz w:val="28"/>
        </w:rPr>
        <w:t xml:space="preserve"> 567</w:t>
      </w:r>
      <w:r>
        <w:rPr>
          <w:rFonts w:eastAsia="黑体"/>
          <w:bCs/>
          <w:sz w:val="28"/>
        </w:rPr>
        <w:t>-20</w:t>
      </w:r>
      <w:bookmarkEnd w:id="0"/>
      <w:r>
        <w:rPr>
          <w:rFonts w:hint="eastAsia" w:eastAsia="黑体"/>
          <w:bCs/>
          <w:sz w:val="28"/>
        </w:rPr>
        <w:t>xx</w:t>
      </w:r>
    </w:p>
    <w:p>
      <w:pPr>
        <w:framePr w:w="5268" w:h="735" w:hRule="exact" w:hSpace="181" w:wrap="around" w:vAnchor="page" w:hAnchor="page" w:x="5460" w:y="3856" w:anchorLock="1"/>
        <w:wordWrap w:val="0"/>
        <w:ind w:right="385"/>
        <w:jc w:val="right"/>
        <w:rPr>
          <w:rFonts w:eastAsia="黑体"/>
          <w:bCs/>
          <w:sz w:val="28"/>
        </w:rPr>
      </w:pPr>
      <w:r>
        <w:rPr>
          <w:rFonts w:hint="eastAsia" w:asciiTheme="minorEastAsia" w:hAnsiTheme="minorEastAsia" w:eastAsiaTheme="minorEastAsia"/>
          <w:bCs/>
          <w:sz w:val="21"/>
          <w:szCs w:val="21"/>
        </w:rPr>
        <w:t>代替</w:t>
      </w:r>
      <w:r>
        <w:rPr>
          <w:rFonts w:hint="eastAsia" w:eastAsia="黑体"/>
          <w:bCs/>
          <w:sz w:val="21"/>
          <w:szCs w:val="21"/>
        </w:rPr>
        <w:t>YS</w:t>
      </w:r>
      <w:r>
        <w:rPr>
          <w:rFonts w:eastAsia="黑体"/>
          <w:bCs/>
          <w:sz w:val="21"/>
          <w:szCs w:val="21"/>
        </w:rPr>
        <w:t>/T</w:t>
      </w:r>
      <w:r>
        <w:rPr>
          <w:rFonts w:hint="eastAsia" w:eastAsia="黑体"/>
          <w:bCs/>
          <w:sz w:val="21"/>
          <w:szCs w:val="21"/>
        </w:rPr>
        <w:t xml:space="preserve"> 567</w:t>
      </w:r>
      <w:r>
        <w:rPr>
          <w:rFonts w:eastAsia="黑体"/>
          <w:bCs/>
          <w:sz w:val="21"/>
          <w:szCs w:val="21"/>
        </w:rPr>
        <w:t>-20</w:t>
      </w:r>
      <w:r>
        <w:rPr>
          <w:rFonts w:hint="eastAsia" w:eastAsia="黑体"/>
          <w:bCs/>
          <w:sz w:val="21"/>
          <w:szCs w:val="21"/>
        </w:rPr>
        <w:t>10</w:t>
      </w:r>
    </w:p>
    <w:p>
      <w:pPr>
        <w:framePr w:w="5268" w:h="735" w:hRule="exact" w:hSpace="181" w:wrap="around" w:vAnchor="page" w:hAnchor="page" w:x="5460" w:y="3856" w:anchorLock="1"/>
        <w:jc w:val="right"/>
        <w:rPr>
          <w:rFonts w:eastAsia="黑体"/>
          <w:bCs/>
        </w:rPr>
      </w:pPr>
    </w:p>
    <w:p>
      <w:pPr>
        <w:wordWrap w:val="0"/>
        <w:jc w:val="right"/>
        <w:rPr>
          <w:rFonts w:eastAsia="黑体"/>
          <w:bCs/>
          <w:sz w:val="28"/>
        </w:rPr>
      </w:pPr>
    </w:p>
    <w:p/>
    <w:p>
      <w:r>
        <w:rPr>
          <w:rFonts w:hint="eastAsia"/>
        </w:rPr>
        <w:t>　　　　</w:t>
      </w:r>
    </w:p>
    <w:p>
      <w:pPr>
        <w:pStyle w:val="22"/>
      </w:pPr>
    </w:p>
    <w:p/>
    <w:p/>
    <w:p/>
    <w:p>
      <w:pPr>
        <w:framePr w:w="9724" w:hSpace="181" w:wrap="notBeside" w:vAnchor="page" w:hAnchor="page" w:x="1470" w:y="6496" w:anchorLock="1"/>
        <w:spacing w:line="240" w:lineRule="auto"/>
        <w:jc w:val="center"/>
        <w:rPr>
          <w:rFonts w:ascii="宋体"/>
          <w:sz w:val="48"/>
        </w:rPr>
      </w:pPr>
      <w:r>
        <w:rPr>
          <w:rFonts w:hint="eastAsia" w:eastAsia="黑体"/>
          <w:sz w:val="52"/>
        </w:rPr>
        <w:t>照相制版用铜板</w:t>
      </w:r>
    </w:p>
    <w:p>
      <w:pPr>
        <w:spacing w:line="360" w:lineRule="auto"/>
        <w:jc w:val="center"/>
        <w:rPr>
          <w:rFonts w:eastAsia="黑体"/>
          <w:b/>
          <w:bCs/>
          <w:sz w:val="28"/>
          <w:szCs w:val="28"/>
        </w:rPr>
      </w:pPr>
      <w:r>
        <w:rPr>
          <w:rFonts w:hint="eastAsia" w:eastAsia="黑体"/>
          <w:b/>
          <w:bCs/>
          <w:sz w:val="28"/>
          <w:szCs w:val="28"/>
        </w:rPr>
        <w:t xml:space="preserve"> Photoengraving copper sheet</w:t>
      </w:r>
    </w:p>
    <w:p>
      <w:pPr>
        <w:spacing w:line="360" w:lineRule="auto"/>
        <w:rPr>
          <w:rFonts w:ascii="Arial" w:hAnsi="Arial" w:cs="Arial"/>
          <w:b/>
          <w:bCs/>
          <w:sz w:val="28"/>
          <w:szCs w:val="28"/>
        </w:rPr>
      </w:pPr>
    </w:p>
    <w:p>
      <w:pPr>
        <w:spacing w:line="160" w:lineRule="exact"/>
        <w:rPr>
          <w:sz w:val="30"/>
          <w:szCs w:val="30"/>
        </w:rPr>
      </w:pPr>
    </w:p>
    <w:p>
      <w:pPr>
        <w:spacing w:line="160" w:lineRule="exact"/>
      </w:pPr>
    </w:p>
    <w:p>
      <w:pPr>
        <w:pStyle w:val="38"/>
        <w:rPr>
          <w:rFonts w:eastAsia="宋体"/>
        </w:rPr>
      </w:pPr>
      <w:r>
        <w:rPr>
          <w:rFonts w:hint="eastAsia" w:eastAsia="宋体"/>
        </w:rPr>
        <w:t>（送审稿）</w:t>
      </w:r>
    </w:p>
    <w:p/>
    <w:p/>
    <w:p>
      <w:pPr>
        <w:framePr w:w="8883" w:hSpace="181" w:wrap="notBeside" w:vAnchor="text" w:hAnchor="page" w:x="1920" w:y="408"/>
        <w:jc w:val="center"/>
        <w:rPr>
          <w:rFonts w:eastAsia="黑体"/>
          <w:sz w:val="44"/>
        </w:rPr>
      </w:pPr>
    </w:p>
    <w:p/>
    <w:p/>
    <w:p>
      <w:pPr>
        <w:framePr w:w="3243" w:h="312" w:hRule="exact" w:hSpace="181" w:wrap="around" w:vAnchor="page" w:hAnchor="page" w:x="1441" w:y="14080" w:anchorLock="1"/>
        <w:spacing w:line="320" w:lineRule="atLeast"/>
        <w:rPr>
          <w:rFonts w:ascii="黑体" w:eastAsia="黑体"/>
          <w:sz w:val="10"/>
        </w:rPr>
      </w:pPr>
      <w:r>
        <w:rPr>
          <w:rFonts w:ascii="黑体" w:eastAsia="黑体"/>
          <w:sz w:val="28"/>
          <w:szCs w:val="18"/>
        </w:rPr>
        <w:t>20</w:t>
      </w:r>
      <w:r>
        <w:rPr>
          <w:rFonts w:hint="eastAsia" w:ascii="黑体" w:eastAsia="黑体"/>
          <w:sz w:val="28"/>
          <w:szCs w:val="18"/>
        </w:rPr>
        <w:t>xx</w:t>
      </w:r>
      <w:r>
        <w:rPr>
          <w:rFonts w:ascii="黑体" w:eastAsia="黑体"/>
          <w:sz w:val="28"/>
          <w:szCs w:val="18"/>
        </w:rPr>
        <w:t>-</w:t>
      </w:r>
      <w:r>
        <w:rPr>
          <w:rFonts w:hint="eastAsia" w:ascii="黑体" w:eastAsia="黑体"/>
          <w:sz w:val="28"/>
          <w:szCs w:val="18"/>
        </w:rPr>
        <w:t>x</w:t>
      </w:r>
      <w:r>
        <w:rPr>
          <w:rFonts w:ascii="黑体" w:eastAsia="黑体"/>
          <w:sz w:val="28"/>
          <w:szCs w:val="18"/>
        </w:rPr>
        <w:t>-</w:t>
      </w:r>
      <w:r>
        <w:rPr>
          <w:rFonts w:hint="eastAsia" w:ascii="黑体" w:eastAsia="黑体"/>
          <w:sz w:val="28"/>
          <w:szCs w:val="18"/>
        </w:rPr>
        <w:t>xx</w:t>
      </w:r>
      <w:r>
        <w:rPr>
          <w:rFonts w:hint="eastAsia" w:ascii="黑体" w:eastAsia="黑体"/>
          <w:sz w:val="28"/>
        </w:rPr>
        <w:t>发布</w:t>
      </w:r>
    </w:p>
    <w:p>
      <w:r>
        <w:pict>
          <v:line id="_x0000_s1031" o:spid="_x0000_s1031" o:spt="20" style="position:absolute;left:0pt;margin-left:72pt;margin-top:727.45pt;height:0.05pt;width:481.85pt;mso-position-horizontal-relative:page;mso-position-vertical-relative:page;z-index:251660288;mso-width-relative:page;mso-height-relative:page;" coordsize="21600,21600" o:allowincell="f">
            <v:path arrowok="t"/>
            <v:fill focussize="0,0"/>
            <v:stroke startarrowwidth="narrow" startarrowlength="short" endarrowwidth="narrow" endarrowlength="short"/>
            <v:imagedata o:title=""/>
            <o:lock v:ext="edit"/>
            <w10:anchorlock/>
          </v:line>
        </w:pict>
      </w:r>
    </w:p>
    <w:p>
      <w:pPr>
        <w:framePr w:w="2971" w:h="318" w:hRule="exact" w:hSpace="181" w:wrap="around" w:vAnchor="page" w:hAnchor="page" w:x="8041" w:y="14080" w:anchorLock="1"/>
        <w:spacing w:line="320" w:lineRule="atLeast"/>
        <w:jc w:val="right"/>
        <w:rPr>
          <w:b/>
          <w:sz w:val="10"/>
        </w:rPr>
      </w:pPr>
      <w:r>
        <w:rPr>
          <w:rFonts w:ascii="黑体" w:eastAsia="黑体"/>
          <w:sz w:val="28"/>
          <w:szCs w:val="18"/>
        </w:rPr>
        <w:t>20</w:t>
      </w:r>
      <w:r>
        <w:rPr>
          <w:rFonts w:hint="eastAsia" w:ascii="黑体" w:eastAsia="黑体"/>
          <w:sz w:val="28"/>
          <w:szCs w:val="18"/>
        </w:rPr>
        <w:t>xx</w:t>
      </w:r>
      <w:r>
        <w:rPr>
          <w:rFonts w:ascii="黑体" w:eastAsia="黑体"/>
          <w:sz w:val="28"/>
          <w:szCs w:val="18"/>
        </w:rPr>
        <w:t>-</w:t>
      </w:r>
      <w:r>
        <w:rPr>
          <w:rFonts w:hint="eastAsia" w:ascii="黑体" w:eastAsia="黑体"/>
          <w:sz w:val="28"/>
          <w:szCs w:val="18"/>
        </w:rPr>
        <w:t>x</w:t>
      </w:r>
      <w:r>
        <w:rPr>
          <w:rFonts w:ascii="黑体" w:eastAsia="黑体"/>
          <w:sz w:val="28"/>
          <w:szCs w:val="18"/>
        </w:rPr>
        <w:t>-</w:t>
      </w:r>
      <w:r>
        <w:rPr>
          <w:rFonts w:hint="eastAsia" w:ascii="黑体" w:eastAsia="黑体"/>
          <w:sz w:val="28"/>
          <w:szCs w:val="18"/>
        </w:rPr>
        <w:t>xx</w:t>
      </w:r>
      <w:r>
        <w:rPr>
          <w:rFonts w:hint="eastAsia" w:ascii="黑体" w:eastAsia="黑体"/>
          <w:sz w:val="28"/>
        </w:rPr>
        <w:t>实施</w:t>
      </w:r>
    </w:p>
    <w:p/>
    <w:p/>
    <w:p/>
    <w:p/>
    <w:p/>
    <w:p/>
    <w:p/>
    <w:p/>
    <w:tbl>
      <w:tblPr>
        <w:tblStyle w:val="28"/>
        <w:tblW w:w="0" w:type="auto"/>
        <w:tblInd w:w="1068" w:type="dxa"/>
        <w:tblLayout w:type="fixed"/>
        <w:tblCellMar>
          <w:top w:w="0" w:type="dxa"/>
          <w:left w:w="108" w:type="dxa"/>
          <w:bottom w:w="0" w:type="dxa"/>
          <w:right w:w="108" w:type="dxa"/>
        </w:tblCellMar>
      </w:tblPr>
      <w:tblGrid>
        <w:gridCol w:w="5340"/>
        <w:gridCol w:w="1277"/>
      </w:tblGrid>
      <w:tr>
        <w:tblPrEx>
          <w:tblCellMar>
            <w:top w:w="0" w:type="dxa"/>
            <w:left w:w="108" w:type="dxa"/>
            <w:bottom w:w="0" w:type="dxa"/>
            <w:right w:w="108" w:type="dxa"/>
          </w:tblCellMar>
        </w:tblPrEx>
        <w:tc>
          <w:tcPr>
            <w:tcW w:w="5340" w:type="dxa"/>
            <w:noWrap/>
            <w:vAlign w:val="center"/>
          </w:tcPr>
          <w:p>
            <w:pPr>
              <w:spacing w:line="320" w:lineRule="atLeast"/>
              <w:jc w:val="center"/>
              <w:rPr>
                <w:rFonts w:ascii="宋体"/>
                <w:w w:val="120"/>
                <w:sz w:val="36"/>
              </w:rPr>
            </w:pPr>
            <w:r>
              <w:rPr>
                <w:rStyle w:val="31"/>
                <w:rFonts w:hint="eastAsia"/>
                <w:sz w:val="36"/>
                <w:szCs w:val="21"/>
              </w:rPr>
              <w:t xml:space="preserve">中华人民共和国工业和信息化部 </w:t>
            </w:r>
          </w:p>
        </w:tc>
        <w:tc>
          <w:tcPr>
            <w:tcW w:w="1277" w:type="dxa"/>
            <w:noWrap/>
            <w:vAlign w:val="center"/>
          </w:tcPr>
          <w:p>
            <w:pPr>
              <w:spacing w:line="320" w:lineRule="atLeast"/>
              <w:rPr>
                <w:rFonts w:ascii="黑体"/>
                <w:sz w:val="36"/>
              </w:rPr>
            </w:pPr>
            <w:r>
              <w:rPr>
                <w:rFonts w:hint="eastAsia" w:ascii="黑体"/>
                <w:sz w:val="36"/>
              </w:rPr>
              <w:t>发布</w:t>
            </w:r>
          </w:p>
        </w:tc>
      </w:tr>
    </w:tbl>
    <w:p>
      <w:pPr>
        <w:sectPr>
          <w:footerReference r:id="rId6" w:type="default"/>
          <w:headerReference r:id="rId5" w:type="even"/>
          <w:footerReference r:id="rId7" w:type="even"/>
          <w:type w:val="continuous"/>
          <w:pgSz w:w="11907" w:h="16840"/>
          <w:pgMar w:top="680" w:right="1418" w:bottom="1361" w:left="1440" w:header="720" w:footer="720" w:gutter="0"/>
          <w:cols w:space="720" w:num="1"/>
        </w:sectPr>
      </w:pPr>
    </w:p>
    <w:p>
      <w:pPr>
        <w:framePr w:hSpace="181" w:wrap="around" w:vAnchor="page" w:hAnchor="page" w:x="5499" w:y="2121" w:anchorLock="1"/>
        <w:jc w:val="center"/>
        <w:rPr>
          <w:rFonts w:ascii="黑体"/>
          <w:b/>
          <w:sz w:val="32"/>
        </w:rPr>
      </w:pPr>
      <w:bookmarkStart w:id="1" w:name="目次1"/>
      <w:bookmarkEnd w:id="1"/>
      <w:r>
        <w:rPr>
          <w:rFonts w:hint="eastAsia"/>
          <w:b/>
          <w:sz w:val="32"/>
        </w:rPr>
        <w:t>前言</w:t>
      </w:r>
    </w:p>
    <w:p>
      <w:bookmarkStart w:id="2" w:name="前言1"/>
      <w:bookmarkEnd w:id="2"/>
    </w:p>
    <w:p/>
    <w:p/>
    <w:p/>
    <w:p/>
    <w:p>
      <w:pPr>
        <w:spacing w:line="240" w:lineRule="auto"/>
        <w:ind w:firstLine="420" w:firstLineChars="200"/>
        <w:jc w:val="both"/>
        <w:rPr>
          <w:rFonts w:ascii="宋体" w:hAnsi="宋体"/>
          <w:bCs/>
          <w:sz w:val="21"/>
        </w:rPr>
      </w:pPr>
      <w:r>
        <w:rPr>
          <w:rFonts w:hint="eastAsia" w:ascii="宋体" w:hAnsi="宋体"/>
          <w:bCs/>
          <w:sz w:val="21"/>
        </w:rPr>
        <w:t>本文件按照GB/T 1.1—2020《标准化工作导则 第1部分：标准化文件的结构和起草规则》的规定起草。</w:t>
      </w:r>
    </w:p>
    <w:p>
      <w:pPr>
        <w:spacing w:line="240" w:lineRule="auto"/>
        <w:ind w:firstLine="420" w:firstLineChars="200"/>
        <w:jc w:val="both"/>
        <w:rPr>
          <w:rFonts w:ascii="宋体" w:hAnsi="宋体"/>
          <w:sz w:val="21"/>
          <w:szCs w:val="21"/>
        </w:rPr>
      </w:pPr>
      <w:r>
        <w:rPr>
          <w:rFonts w:hint="eastAsia" w:ascii="宋体"/>
          <w:sz w:val="21"/>
        </w:rPr>
        <w:t>本文件代替</w:t>
      </w:r>
      <w:r>
        <w:rPr>
          <w:rFonts w:hint="eastAsia" w:ascii="宋体" w:hAnsi="宋体"/>
          <w:bCs/>
          <w:sz w:val="21"/>
        </w:rPr>
        <w:t>YS/T 567－2010</w:t>
      </w:r>
      <w:r>
        <w:rPr>
          <w:rFonts w:hint="eastAsia"/>
          <w:bCs/>
          <w:sz w:val="21"/>
        </w:rPr>
        <w:t>《照相制版用铜板》</w:t>
      </w:r>
      <w:r>
        <w:rPr>
          <w:rFonts w:hint="eastAsia"/>
          <w:sz w:val="21"/>
        </w:rPr>
        <w:t>。</w:t>
      </w:r>
      <w:r>
        <w:rPr>
          <w:rFonts w:hint="eastAsia" w:ascii="宋体" w:hAnsi="宋体"/>
          <w:sz w:val="21"/>
          <w:szCs w:val="21"/>
        </w:rPr>
        <w:t>本文件与</w:t>
      </w:r>
      <w:r>
        <w:rPr>
          <w:rFonts w:hint="eastAsia" w:ascii="宋体" w:hAnsi="宋体"/>
          <w:bCs/>
          <w:sz w:val="21"/>
        </w:rPr>
        <w:t>YS/T 567－2010</w:t>
      </w:r>
      <w:r>
        <w:rPr>
          <w:rFonts w:hint="eastAsia" w:ascii="宋体" w:hAnsi="宋体"/>
          <w:sz w:val="21"/>
          <w:szCs w:val="21"/>
        </w:rPr>
        <w:t>相比，除结构调整和编辑性改动外，主要变化如下：</w:t>
      </w:r>
    </w:p>
    <w:p>
      <w:pPr>
        <w:pStyle w:val="44"/>
        <w:numPr>
          <w:ilvl w:val="0"/>
          <w:numId w:val="3"/>
        </w:numPr>
        <w:spacing w:line="240" w:lineRule="auto"/>
        <w:ind w:firstLineChars="0"/>
        <w:jc w:val="both"/>
        <w:rPr>
          <w:rFonts w:ascii="宋体" w:hAnsi="宋体"/>
          <w:sz w:val="21"/>
          <w:szCs w:val="21"/>
        </w:rPr>
      </w:pPr>
      <w:r>
        <w:rPr>
          <w:rFonts w:hint="eastAsia" w:asciiTheme="minorEastAsia" w:hAnsiTheme="minorEastAsia" w:eastAsiaTheme="minorEastAsia"/>
          <w:sz w:val="21"/>
          <w:szCs w:val="21"/>
        </w:rPr>
        <w:t>规范性引用</w:t>
      </w:r>
      <w:r>
        <w:rPr>
          <w:rFonts w:hint="eastAsia" w:ascii="宋体" w:hAnsi="宋体"/>
          <w:sz w:val="21"/>
          <w:szCs w:val="21"/>
        </w:rPr>
        <w:t>文件增加“GB/T 8170、YS/T 482、YS/T 668”（见第2章，</w:t>
      </w:r>
      <w:r>
        <w:rPr>
          <w:rFonts w:ascii="宋体" w:hAnsi="宋体"/>
          <w:sz w:val="21"/>
          <w:szCs w:val="21"/>
        </w:rPr>
        <w:t>201</w:t>
      </w:r>
      <w:r>
        <w:rPr>
          <w:rFonts w:hint="eastAsia" w:ascii="宋体" w:hAnsi="宋体"/>
          <w:sz w:val="21"/>
          <w:szCs w:val="21"/>
        </w:rPr>
        <w:t>0年版的</w:t>
      </w:r>
    </w:p>
    <w:p>
      <w:pPr>
        <w:spacing w:line="240" w:lineRule="auto"/>
        <w:jc w:val="both"/>
        <w:rPr>
          <w:rFonts w:ascii="宋体" w:hAnsi="宋体"/>
          <w:sz w:val="21"/>
          <w:szCs w:val="21"/>
        </w:rPr>
      </w:pPr>
      <w:r>
        <w:rPr>
          <w:rFonts w:hint="eastAsia" w:ascii="宋体" w:hAnsi="宋体"/>
          <w:sz w:val="21"/>
          <w:szCs w:val="21"/>
        </w:rPr>
        <w:t>第2</w:t>
      </w:r>
      <w:r>
        <w:rPr>
          <w:rFonts w:ascii="宋体" w:hAnsi="宋体"/>
          <w:sz w:val="21"/>
          <w:szCs w:val="21"/>
        </w:rPr>
        <w:t>章</w:t>
      </w:r>
      <w:r>
        <w:rPr>
          <w:rFonts w:hint="eastAsia" w:ascii="宋体" w:hAnsi="宋体"/>
          <w:sz w:val="21"/>
          <w:szCs w:val="21"/>
        </w:rPr>
        <w:t>）；</w:t>
      </w:r>
    </w:p>
    <w:p>
      <w:pPr>
        <w:pStyle w:val="44"/>
        <w:numPr>
          <w:ilvl w:val="0"/>
          <w:numId w:val="3"/>
        </w:numPr>
        <w:spacing w:line="240" w:lineRule="auto"/>
        <w:ind w:firstLineChars="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增加了铜的代号，更改了铜的状态表示（见4.1，</w:t>
      </w:r>
      <w:r>
        <w:rPr>
          <w:rFonts w:asciiTheme="minorEastAsia" w:hAnsiTheme="minorEastAsia" w:eastAsiaTheme="minorEastAsia"/>
          <w:sz w:val="21"/>
          <w:szCs w:val="21"/>
        </w:rPr>
        <w:t>201</w:t>
      </w:r>
      <w:r>
        <w:rPr>
          <w:rFonts w:hint="eastAsia" w:asciiTheme="minorEastAsia" w:hAnsiTheme="minorEastAsia" w:eastAsiaTheme="minorEastAsia"/>
          <w:sz w:val="21"/>
          <w:szCs w:val="21"/>
        </w:rPr>
        <w:t>0年版的3.1）；</w:t>
      </w:r>
    </w:p>
    <w:p>
      <w:pPr>
        <w:pStyle w:val="44"/>
        <w:numPr>
          <w:ilvl w:val="0"/>
          <w:numId w:val="3"/>
        </w:numPr>
        <w:spacing w:line="240" w:lineRule="auto"/>
        <w:ind w:firstLineChars="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增加了</w:t>
      </w:r>
      <w:r>
        <w:rPr>
          <w:rFonts w:asciiTheme="minorEastAsia" w:hAnsiTheme="minorEastAsia" w:eastAsiaTheme="minorEastAsia"/>
          <w:sz w:val="21"/>
          <w:szCs w:val="21"/>
        </w:rPr>
        <w:t>T</w:t>
      </w:r>
      <w:r>
        <w:rPr>
          <w:rFonts w:hint="eastAsia" w:asciiTheme="minorEastAsia" w:hAnsiTheme="minorEastAsia" w:eastAsiaTheme="minorEastAsia"/>
          <w:sz w:val="21"/>
          <w:szCs w:val="21"/>
        </w:rPr>
        <w:t>Ag0.15</w:t>
      </w:r>
      <w:r>
        <w:rPr>
          <w:rFonts w:asciiTheme="minorEastAsia" w:hAnsiTheme="minorEastAsia" w:eastAsiaTheme="minorEastAsia"/>
          <w:sz w:val="21"/>
          <w:szCs w:val="21"/>
        </w:rPr>
        <w:t>(</w:t>
      </w:r>
      <w:r>
        <w:rPr>
          <w:rFonts w:hint="eastAsia" w:asciiTheme="minorEastAsia" w:hAnsiTheme="minorEastAsia" w:eastAsiaTheme="minorEastAsia"/>
          <w:sz w:val="21"/>
          <w:szCs w:val="21"/>
        </w:rPr>
        <w:t>T11220</w:t>
      </w:r>
      <w:r>
        <w:rPr>
          <w:rFonts w:asciiTheme="minorEastAsia" w:hAnsiTheme="minorEastAsia" w:eastAsiaTheme="minorEastAsia"/>
          <w:sz w:val="21"/>
          <w:szCs w:val="21"/>
        </w:rPr>
        <w:t>)牌号</w:t>
      </w:r>
      <w:r>
        <w:rPr>
          <w:rFonts w:hint="eastAsia" w:asciiTheme="minorEastAsia" w:hAnsiTheme="minorEastAsia" w:eastAsiaTheme="minorEastAsia"/>
          <w:sz w:val="21"/>
          <w:szCs w:val="21"/>
        </w:rPr>
        <w:t>硬态(H04)板材及相应技术要求（见4.1）；</w:t>
      </w:r>
    </w:p>
    <w:p>
      <w:pPr>
        <w:pStyle w:val="44"/>
        <w:numPr>
          <w:ilvl w:val="0"/>
          <w:numId w:val="3"/>
        </w:numPr>
        <w:spacing w:line="240" w:lineRule="auto"/>
        <w:ind w:firstLineChars="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更改了板材宽度范围，由“400mm、600mm”更改为“400mm～880mm”（见4.1，</w:t>
      </w:r>
      <w:r>
        <w:rPr>
          <w:rFonts w:asciiTheme="minorEastAsia" w:hAnsiTheme="minorEastAsia" w:eastAsiaTheme="minorEastAsia"/>
          <w:sz w:val="21"/>
          <w:szCs w:val="21"/>
        </w:rPr>
        <w:t>201</w:t>
      </w:r>
      <w:r>
        <w:rPr>
          <w:rFonts w:hint="eastAsia" w:asciiTheme="minorEastAsia" w:hAnsiTheme="minorEastAsia" w:eastAsiaTheme="minorEastAsia"/>
          <w:sz w:val="21"/>
          <w:szCs w:val="21"/>
        </w:rPr>
        <w:t>0年版的3.1）；</w:t>
      </w:r>
    </w:p>
    <w:p>
      <w:pPr>
        <w:pStyle w:val="44"/>
        <w:numPr>
          <w:ilvl w:val="0"/>
          <w:numId w:val="3"/>
        </w:numPr>
        <w:spacing w:line="240" w:lineRule="auto"/>
        <w:ind w:firstLineChars="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更改了板材长度范围，由“550mm～1200mm”更改为“500mm～1500mm</w:t>
      </w:r>
      <w:r>
        <w:rPr>
          <w:rFonts w:asciiTheme="minorEastAsia" w:hAnsiTheme="minorEastAsia" w:eastAsiaTheme="minorEastAsia"/>
          <w:sz w:val="21"/>
          <w:szCs w:val="21"/>
        </w:rPr>
        <w:t>”</w:t>
      </w:r>
      <w:r>
        <w:rPr>
          <w:rFonts w:hint="eastAsia" w:asciiTheme="minorEastAsia" w:hAnsiTheme="minorEastAsia" w:eastAsiaTheme="minorEastAsia"/>
          <w:sz w:val="21"/>
          <w:szCs w:val="21"/>
        </w:rPr>
        <w:t>（见4.1，2010年版的3.1）；</w:t>
      </w:r>
    </w:p>
    <w:p>
      <w:pPr>
        <w:pStyle w:val="44"/>
        <w:numPr>
          <w:ilvl w:val="0"/>
          <w:numId w:val="3"/>
        </w:numPr>
        <w:spacing w:line="240" w:lineRule="auto"/>
        <w:ind w:firstLineChars="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普通级厚度允许偏差由“单向（-）”偏差更改为“±”偏差（见5.2.1，2010年版的3.3.1）；</w:t>
      </w:r>
    </w:p>
    <w:p>
      <w:pPr>
        <w:pStyle w:val="44"/>
        <w:numPr>
          <w:ilvl w:val="0"/>
          <w:numId w:val="3"/>
        </w:numPr>
        <w:spacing w:line="240" w:lineRule="auto"/>
        <w:ind w:firstLineChars="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增加了</w:t>
      </w:r>
      <w:r>
        <w:rPr>
          <w:rFonts w:hint="eastAsia" w:asciiTheme="minorEastAsia" w:hAnsiTheme="minorEastAsia" w:eastAsiaTheme="minorEastAsia"/>
          <w:sz w:val="21"/>
          <w:szCs w:val="21"/>
          <w:lang w:val="en-US" w:eastAsia="zh-CN"/>
        </w:rPr>
        <w:t>宽度60mm0以上</w:t>
      </w:r>
      <w:r>
        <w:rPr>
          <w:rFonts w:hint="eastAsia" w:asciiTheme="minorEastAsia" w:hAnsiTheme="minorEastAsia" w:eastAsiaTheme="minorEastAsia"/>
          <w:sz w:val="21"/>
          <w:szCs w:val="21"/>
        </w:rPr>
        <w:t>厚</w:t>
      </w:r>
      <w:r>
        <w:rPr>
          <w:rFonts w:hint="eastAsia" w:asciiTheme="minorEastAsia" w:hAnsiTheme="minorEastAsia" w:eastAsiaTheme="minorEastAsia"/>
          <w:sz w:val="21"/>
          <w:szCs w:val="21"/>
          <w:lang w:val="en-US" w:eastAsia="zh-CN"/>
        </w:rPr>
        <w:t>度</w:t>
      </w:r>
      <w:r>
        <w:rPr>
          <w:rFonts w:hint="eastAsia" w:asciiTheme="minorEastAsia" w:hAnsiTheme="minorEastAsia" w:eastAsiaTheme="minorEastAsia"/>
          <w:sz w:val="21"/>
          <w:szCs w:val="21"/>
        </w:rPr>
        <w:t>1.0mm～1.4mm板材厚度允许偏差的规定（见5.2.1）；</w:t>
      </w:r>
    </w:p>
    <w:p>
      <w:pPr>
        <w:pStyle w:val="44"/>
        <w:numPr>
          <w:ilvl w:val="0"/>
          <w:numId w:val="3"/>
        </w:numPr>
        <w:spacing w:line="240" w:lineRule="auto"/>
        <w:ind w:firstLineChars="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加严了宽度允许偏差（见5.2.2,2010年版的3.3.1）；</w:t>
      </w:r>
    </w:p>
    <w:p>
      <w:pPr>
        <w:pStyle w:val="44"/>
        <w:numPr>
          <w:ilvl w:val="0"/>
          <w:numId w:val="3"/>
        </w:numPr>
        <w:spacing w:line="240" w:lineRule="auto"/>
        <w:ind w:firstLineChars="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“板材应平直，一般</w:t>
      </w:r>
      <w:r>
        <w:rPr>
          <w:rFonts w:hint="eastAsia" w:asciiTheme="minorEastAsia" w:hAnsiTheme="minorEastAsia" w:eastAsiaTheme="minorEastAsia"/>
          <w:color w:val="FF0000"/>
          <w:sz w:val="21"/>
          <w:szCs w:val="21"/>
        </w:rPr>
        <w:t>以</w:t>
      </w:r>
      <w:r>
        <w:rPr>
          <w:rFonts w:hint="eastAsia" w:asciiTheme="minorEastAsia" w:hAnsiTheme="minorEastAsia" w:eastAsiaTheme="minorEastAsia"/>
          <w:sz w:val="21"/>
          <w:szCs w:val="21"/>
        </w:rPr>
        <w:t>不定尺供货，需方要求定尺的板材应在合同中注明；定尺长度允许偏差为+10mm”更改为“板材的定尺或倍尺长度的允许偏差为＋10mm。倍尺长度应加入锯切分段时的锯切量，每一段锯切量为5mm”（见5.2.3，2010年版的3.3.2）；</w:t>
      </w:r>
    </w:p>
    <w:p>
      <w:pPr>
        <w:pStyle w:val="44"/>
        <w:numPr>
          <w:ilvl w:val="0"/>
          <w:numId w:val="3"/>
        </w:numPr>
        <w:spacing w:line="240" w:lineRule="auto"/>
        <w:ind w:firstLineChars="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增加了板材平整度的规定（见5.2.4）；</w:t>
      </w:r>
    </w:p>
    <w:p>
      <w:pPr>
        <w:pStyle w:val="44"/>
        <w:numPr>
          <w:ilvl w:val="0"/>
          <w:numId w:val="3"/>
        </w:numPr>
        <w:spacing w:line="240" w:lineRule="auto"/>
        <w:ind w:firstLineChars="0"/>
        <w:jc w:val="both"/>
        <w:rPr>
          <w:rFonts w:asciiTheme="minorEastAsia" w:hAnsiTheme="minorEastAsia" w:eastAsiaTheme="minorEastAsia"/>
          <w:color w:val="FF0000"/>
          <w:sz w:val="21"/>
          <w:szCs w:val="21"/>
        </w:rPr>
      </w:pPr>
      <w:r>
        <w:rPr>
          <w:rFonts w:hint="eastAsia" w:asciiTheme="minorEastAsia" w:hAnsiTheme="minorEastAsia" w:eastAsiaTheme="minorEastAsia"/>
          <w:color w:val="FF0000"/>
          <w:sz w:val="21"/>
          <w:szCs w:val="21"/>
        </w:rPr>
        <w:t>“板材的非工作表面应划一红道，予以识别”更改为“板材的非工作表面应进行标识”（见5.4.2,2010年版的3.5.2）</w:t>
      </w:r>
    </w:p>
    <w:p>
      <w:pPr>
        <w:pStyle w:val="44"/>
        <w:numPr>
          <w:ilvl w:val="0"/>
          <w:numId w:val="3"/>
        </w:numPr>
        <w:spacing w:line="240" w:lineRule="auto"/>
        <w:ind w:firstLineChars="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增加了“板材的化学成分分析方法按</w:t>
      </w:r>
      <w:r>
        <w:rPr>
          <w:rFonts w:asciiTheme="minorEastAsia" w:hAnsiTheme="minorEastAsia" w:eastAsiaTheme="minorEastAsia"/>
          <w:sz w:val="21"/>
          <w:szCs w:val="21"/>
        </w:rPr>
        <w:t>GB/T5121</w:t>
      </w:r>
      <w:r>
        <w:rPr>
          <w:rFonts w:hint="eastAsia" w:asciiTheme="minorEastAsia" w:hAnsiTheme="minorEastAsia" w:eastAsiaTheme="minorEastAsia"/>
          <w:sz w:val="21"/>
          <w:szCs w:val="21"/>
        </w:rPr>
        <w:t>（所有部分）或</w:t>
      </w:r>
      <w:r>
        <w:rPr>
          <w:rFonts w:asciiTheme="minorEastAsia" w:hAnsiTheme="minorEastAsia" w:eastAsiaTheme="minorEastAsia"/>
          <w:sz w:val="21"/>
          <w:szCs w:val="21"/>
        </w:rPr>
        <w:t>YS/T482</w:t>
      </w:r>
      <w:r>
        <w:rPr>
          <w:rFonts w:hint="eastAsia" w:asciiTheme="minorEastAsia" w:hAnsiTheme="minorEastAsia" w:eastAsiaTheme="minorEastAsia"/>
          <w:sz w:val="21"/>
          <w:szCs w:val="21"/>
        </w:rPr>
        <w:t>的规定进行”的规定”；</w:t>
      </w:r>
    </w:p>
    <w:p>
      <w:pPr>
        <w:pStyle w:val="44"/>
        <w:numPr>
          <w:ilvl w:val="0"/>
          <w:numId w:val="3"/>
        </w:numPr>
        <w:spacing w:line="240" w:lineRule="auto"/>
        <w:ind w:firstLineChars="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取样规定增加“取样方法按YS/T 668的规定进行”（见7.4）；</w:t>
      </w:r>
    </w:p>
    <w:p>
      <w:pPr>
        <w:pStyle w:val="44"/>
        <w:numPr>
          <w:ilvl w:val="0"/>
          <w:numId w:val="3"/>
        </w:numPr>
        <w:spacing w:line="240" w:lineRule="auto"/>
        <w:ind w:firstLineChars="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增加“检验结果的数值按GB/T 8170规定进行修约，并采用修约值比较法判定”的规定。</w:t>
      </w:r>
    </w:p>
    <w:p>
      <w:pPr>
        <w:spacing w:line="240" w:lineRule="auto"/>
        <w:ind w:firstLine="420" w:firstLineChars="200"/>
        <w:rPr>
          <w:rFonts w:ascii="宋体" w:hAnsi="宋体"/>
          <w:sz w:val="21"/>
          <w:szCs w:val="21"/>
        </w:rPr>
      </w:pPr>
    </w:p>
    <w:p>
      <w:pPr>
        <w:spacing w:line="240" w:lineRule="auto"/>
        <w:ind w:firstLine="403" w:firstLineChars="192"/>
        <w:rPr>
          <w:rFonts w:ascii="宋体" w:hAnsi="宋体" w:cs="宋体"/>
          <w:sz w:val="21"/>
          <w:szCs w:val="21"/>
        </w:rPr>
      </w:pPr>
      <w:r>
        <w:rPr>
          <w:rFonts w:hint="eastAsia" w:ascii="宋体" w:hAnsi="宋体" w:cs="宋体"/>
          <w:sz w:val="21"/>
          <w:szCs w:val="21"/>
        </w:rPr>
        <w:t>请注意本文件的某些内容可能涉及专利。本文件的发布机构不承担识别专利的责任。</w:t>
      </w:r>
    </w:p>
    <w:p>
      <w:pPr>
        <w:spacing w:line="240" w:lineRule="auto"/>
        <w:ind w:firstLine="407" w:firstLineChars="194"/>
        <w:rPr>
          <w:rFonts w:ascii="宋体" w:hAnsi="宋体"/>
          <w:sz w:val="21"/>
          <w:szCs w:val="21"/>
        </w:rPr>
      </w:pPr>
      <w:r>
        <w:rPr>
          <w:rFonts w:hint="eastAsia" w:ascii="宋体" w:hAnsi="宋体" w:cs="宋体"/>
          <w:sz w:val="21"/>
          <w:szCs w:val="21"/>
        </w:rPr>
        <w:t>本文件由全国有色金属标准化技术委员会（SAC/TC243）提出并归口。</w:t>
      </w:r>
    </w:p>
    <w:p>
      <w:pPr>
        <w:snapToGrid w:val="0"/>
        <w:spacing w:line="240" w:lineRule="auto"/>
        <w:ind w:firstLine="420"/>
        <w:rPr>
          <w:rFonts w:ascii="宋体" w:hAnsi="宋体"/>
          <w:sz w:val="21"/>
          <w:szCs w:val="21"/>
        </w:rPr>
      </w:pPr>
      <w:r>
        <w:rPr>
          <w:rFonts w:hint="eastAsia" w:ascii="宋体" w:hAnsi="宋体"/>
          <w:sz w:val="21"/>
          <w:szCs w:val="21"/>
        </w:rPr>
        <w:t>本</w:t>
      </w:r>
      <w:r>
        <w:rPr>
          <w:rFonts w:hint="eastAsia" w:ascii="宋体" w:hAnsi="宋体" w:cs="宋体"/>
          <w:sz w:val="21"/>
          <w:szCs w:val="21"/>
        </w:rPr>
        <w:t>文件</w:t>
      </w:r>
      <w:r>
        <w:rPr>
          <w:rFonts w:hint="eastAsia" w:ascii="宋体" w:hAnsi="宋体"/>
          <w:sz w:val="21"/>
          <w:szCs w:val="21"/>
        </w:rPr>
        <w:t>起草单位：中铝</w:t>
      </w:r>
      <w:r>
        <w:rPr>
          <w:rFonts w:hint="eastAsia"/>
          <w:sz w:val="21"/>
          <w:szCs w:val="21"/>
        </w:rPr>
        <w:t>洛阳铜加工有限公司、绍兴市特种设备检测院</w:t>
      </w:r>
    </w:p>
    <w:p>
      <w:pPr>
        <w:snapToGrid w:val="0"/>
        <w:spacing w:line="240" w:lineRule="auto"/>
        <w:ind w:firstLine="420"/>
        <w:rPr>
          <w:rFonts w:ascii="宋体" w:hAnsi="宋体"/>
          <w:sz w:val="21"/>
          <w:szCs w:val="21"/>
        </w:rPr>
      </w:pPr>
      <w:r>
        <w:rPr>
          <w:rFonts w:hint="eastAsia" w:ascii="宋体" w:hAnsi="宋体"/>
          <w:sz w:val="21"/>
          <w:szCs w:val="21"/>
        </w:rPr>
        <w:t>本文件主要起草人员：</w:t>
      </w:r>
    </w:p>
    <w:p>
      <w:pPr>
        <w:snapToGrid w:val="0"/>
        <w:spacing w:line="240" w:lineRule="auto"/>
        <w:ind w:firstLine="420"/>
        <w:rPr>
          <w:rFonts w:ascii="宋体" w:hAnsi="宋体"/>
          <w:sz w:val="21"/>
          <w:szCs w:val="21"/>
        </w:rPr>
      </w:pPr>
      <w:r>
        <w:rPr>
          <w:rFonts w:hint="eastAsia" w:ascii="宋体" w:hAnsi="宋体"/>
          <w:sz w:val="21"/>
          <w:szCs w:val="21"/>
        </w:rPr>
        <w:t>本文件所代替标准的历次版本发布情况为：</w:t>
      </w:r>
    </w:p>
    <w:p>
      <w:pPr>
        <w:snapToGrid w:val="0"/>
        <w:spacing w:line="240" w:lineRule="auto"/>
        <w:ind w:firstLine="420"/>
        <w:rPr>
          <w:rFonts w:ascii="宋体" w:hAnsi="宋体"/>
          <w:sz w:val="21"/>
          <w:szCs w:val="21"/>
        </w:rPr>
      </w:pPr>
      <w:r>
        <w:rPr>
          <w:rFonts w:hint="eastAsia" w:ascii="宋体" w:hAnsi="宋体"/>
          <w:sz w:val="21"/>
          <w:szCs w:val="21"/>
        </w:rPr>
        <w:t>——2006年首次发布YS/T 567-2008;</w:t>
      </w:r>
    </w:p>
    <w:p>
      <w:pPr>
        <w:snapToGrid w:val="0"/>
        <w:spacing w:line="240" w:lineRule="auto"/>
        <w:ind w:firstLine="420"/>
        <w:rPr>
          <w:rFonts w:ascii="宋体" w:hAnsi="宋体"/>
          <w:sz w:val="21"/>
          <w:szCs w:val="21"/>
        </w:rPr>
      </w:pPr>
      <w:r>
        <w:rPr>
          <w:rFonts w:hint="eastAsia" w:ascii="宋体" w:hAnsi="宋体"/>
          <w:sz w:val="21"/>
          <w:szCs w:val="21"/>
        </w:rPr>
        <w:t>——2010年第一次修订；</w:t>
      </w:r>
    </w:p>
    <w:p>
      <w:pPr>
        <w:snapToGrid w:val="0"/>
        <w:spacing w:line="240" w:lineRule="auto"/>
        <w:ind w:firstLine="420"/>
        <w:rPr>
          <w:rFonts w:ascii="宋体" w:hAnsi="宋体"/>
          <w:sz w:val="21"/>
          <w:szCs w:val="21"/>
        </w:rPr>
        <w:sectPr>
          <w:headerReference r:id="rId9" w:type="first"/>
          <w:footerReference r:id="rId11" w:type="first"/>
          <w:headerReference r:id="rId8" w:type="default"/>
          <w:footerReference r:id="rId10" w:type="default"/>
          <w:pgSz w:w="11907" w:h="16840"/>
          <w:pgMar w:top="1474" w:right="1588" w:bottom="1474" w:left="1701" w:header="1077" w:footer="720" w:gutter="0"/>
          <w:pgNumType w:start="1"/>
          <w:cols w:space="720" w:num="1"/>
          <w:titlePg/>
          <w:docGrid w:linePitch="326" w:charSpace="0"/>
        </w:sectPr>
      </w:pPr>
      <w:r>
        <w:rPr>
          <w:rFonts w:hint="eastAsia" w:ascii="宋体" w:hAnsi="宋体"/>
          <w:sz w:val="21"/>
          <w:szCs w:val="21"/>
        </w:rPr>
        <w:t>——本次为第二次修订。</w:t>
      </w:r>
    </w:p>
    <w:p>
      <w:pPr>
        <w:pStyle w:val="22"/>
      </w:pPr>
      <w:bookmarkStart w:id="3" w:name="正文"/>
      <w:bookmarkEnd w:id="3"/>
      <w:bookmarkStart w:id="4" w:name="_Toc431105881"/>
      <w:bookmarkStart w:id="5" w:name="_Toc1700834"/>
      <w:bookmarkStart w:id="6" w:name="_Toc430680185"/>
      <w:r>
        <w:rPr>
          <w:rFonts w:hint="eastAsia"/>
        </w:rPr>
        <w:t>照相制版用铜板</w:t>
      </w:r>
    </w:p>
    <w:bookmarkEnd w:id="4"/>
    <w:bookmarkEnd w:id="5"/>
    <w:bookmarkEnd w:id="6"/>
    <w:p>
      <w:pPr>
        <w:pStyle w:val="2"/>
        <w:spacing w:before="240" w:after="240"/>
      </w:pPr>
      <w:bookmarkStart w:id="7" w:name="OLE_LINK4"/>
      <w:r>
        <w:rPr>
          <w:rFonts w:hint="eastAsia"/>
        </w:rPr>
        <w:t>1</w:t>
      </w:r>
      <w:r>
        <w:rPr>
          <w:rFonts w:hAnsi="Calibri"/>
          <w:szCs w:val="22"/>
        </w:rPr>
        <w:t>范围</w:t>
      </w:r>
    </w:p>
    <w:p>
      <w:pPr>
        <w:spacing w:line="240" w:lineRule="auto"/>
        <w:ind w:firstLine="420" w:firstLineChars="200"/>
        <w:jc w:val="both"/>
        <w:rPr>
          <w:rFonts w:ascii="宋体" w:hAnsi="宋体"/>
          <w:sz w:val="21"/>
          <w:szCs w:val="21"/>
        </w:rPr>
      </w:pPr>
      <w:r>
        <w:rPr>
          <w:rFonts w:hint="eastAsia" w:ascii="宋体" w:hAnsi="宋体"/>
          <w:sz w:val="21"/>
          <w:szCs w:val="21"/>
        </w:rPr>
        <w:t>本文件规定了照相制版用铜板的分类和标记、技术要求、试验方法、检验规则、标志、包装、运输、贮存及随行文件和订货单内容。</w:t>
      </w:r>
    </w:p>
    <w:p>
      <w:pPr>
        <w:spacing w:line="240" w:lineRule="auto"/>
        <w:ind w:firstLine="420" w:firstLineChars="200"/>
        <w:jc w:val="both"/>
        <w:rPr>
          <w:rFonts w:ascii="宋体" w:hAnsi="宋体"/>
          <w:sz w:val="21"/>
          <w:szCs w:val="21"/>
        </w:rPr>
      </w:pPr>
      <w:r>
        <w:rPr>
          <w:rFonts w:hint="eastAsia" w:ascii="宋体" w:hAnsi="宋体"/>
          <w:sz w:val="21"/>
          <w:szCs w:val="21"/>
        </w:rPr>
        <w:t>本文件适用于印刷工业照相制版用铜板材（以下简称板材）。</w:t>
      </w:r>
      <w:bookmarkEnd w:id="7"/>
    </w:p>
    <w:p>
      <w:pPr>
        <w:pStyle w:val="2"/>
        <w:spacing w:before="240" w:after="240"/>
      </w:pPr>
      <w:r>
        <w:rPr>
          <w:rFonts w:hint="eastAsia"/>
        </w:rPr>
        <w:t>2  规范性引用文件</w:t>
      </w:r>
    </w:p>
    <w:p>
      <w:pPr>
        <w:spacing w:line="240" w:lineRule="auto"/>
        <w:ind w:firstLine="420" w:firstLineChars="200"/>
        <w:rPr>
          <w:sz w:val="21"/>
          <w:szCs w:val="21"/>
        </w:rPr>
      </w:pPr>
      <w:r>
        <w:rPr>
          <w:rFonts w:hint="eastAsia"/>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3"/>
        <w:rPr>
          <w:rFonts w:ascii="宋体" w:hAnsi="宋体"/>
          <w:szCs w:val="21"/>
        </w:rPr>
      </w:pPr>
      <w:r>
        <w:rPr>
          <w:rFonts w:ascii="宋体" w:hAnsi="宋体"/>
          <w:szCs w:val="21"/>
        </w:rPr>
        <w:t>GB/T</w:t>
      </w:r>
      <w:r>
        <w:rPr>
          <w:rFonts w:hint="eastAsia" w:ascii="宋体" w:hAnsi="宋体"/>
          <w:szCs w:val="21"/>
        </w:rPr>
        <w:t xml:space="preserve"> 231.</w:t>
      </w:r>
      <w:r>
        <w:rPr>
          <w:rFonts w:ascii="宋体" w:hAnsi="宋体"/>
          <w:szCs w:val="21"/>
        </w:rPr>
        <w:t>1金属</w:t>
      </w:r>
      <w:r>
        <w:rPr>
          <w:rFonts w:hint="eastAsia" w:ascii="宋体" w:hAnsi="宋体"/>
          <w:szCs w:val="21"/>
        </w:rPr>
        <w:t>材料布</w:t>
      </w:r>
      <w:r>
        <w:rPr>
          <w:rFonts w:ascii="宋体" w:hAnsi="宋体"/>
          <w:szCs w:val="21"/>
        </w:rPr>
        <w:t>氏硬度试验  第1部分：试验方法</w:t>
      </w:r>
    </w:p>
    <w:p>
      <w:pPr>
        <w:pStyle w:val="13"/>
        <w:rPr>
          <w:rFonts w:ascii="宋体" w:hAnsi="宋体"/>
          <w:szCs w:val="21"/>
        </w:rPr>
      </w:pPr>
      <w:r>
        <w:rPr>
          <w:rFonts w:hint="eastAsia" w:ascii="宋体" w:hAnsi="宋体"/>
          <w:szCs w:val="21"/>
        </w:rPr>
        <w:t>GB/T 5121（所有部分） 铜及铜合金化学分析方法</w:t>
      </w:r>
    </w:p>
    <w:p>
      <w:pPr>
        <w:pStyle w:val="13"/>
        <w:rPr>
          <w:rFonts w:ascii="宋体" w:hAnsi="宋体"/>
          <w:szCs w:val="21"/>
        </w:rPr>
      </w:pPr>
      <w:r>
        <w:rPr>
          <w:rFonts w:hint="eastAsia" w:ascii="宋体" w:hAnsi="宋体"/>
          <w:szCs w:val="21"/>
        </w:rPr>
        <w:t>GB/T 5231加工铜及铜合金牌号和化学成分</w:t>
      </w:r>
    </w:p>
    <w:p>
      <w:pPr>
        <w:pStyle w:val="13"/>
        <w:ind w:firstLine="0" w:firstLineChars="0"/>
        <w:rPr>
          <w:rFonts w:ascii="宋体" w:hAnsi="宋体"/>
          <w:szCs w:val="21"/>
        </w:rPr>
      </w:pPr>
      <w:r>
        <w:rPr>
          <w:rFonts w:hint="eastAsia" w:ascii="宋体" w:hAnsi="宋体"/>
          <w:szCs w:val="21"/>
        </w:rPr>
        <w:t xml:space="preserve">    GB/T 8170  数值修约规则与极限数值的表示和判定</w:t>
      </w:r>
    </w:p>
    <w:p>
      <w:pPr>
        <w:pStyle w:val="13"/>
        <w:rPr>
          <w:rFonts w:ascii="宋体" w:hAnsi="宋体"/>
          <w:szCs w:val="21"/>
        </w:rPr>
      </w:pPr>
      <w:r>
        <w:rPr>
          <w:rFonts w:hint="eastAsia" w:ascii="宋体" w:hAnsi="宋体"/>
          <w:szCs w:val="21"/>
        </w:rPr>
        <w:t>GB/T 8888  重有色金属加工产品的包装、标志、运输、贮存和质量证明书</w:t>
      </w:r>
    </w:p>
    <w:p>
      <w:pPr>
        <w:pStyle w:val="13"/>
        <w:rPr>
          <w:rFonts w:ascii="宋体" w:hAnsi="宋体"/>
          <w:szCs w:val="21"/>
        </w:rPr>
      </w:pPr>
      <w:r>
        <w:rPr>
          <w:rFonts w:ascii="宋体" w:hAnsi="宋体"/>
          <w:szCs w:val="21"/>
        </w:rPr>
        <w:t>G</w:t>
      </w:r>
      <w:r>
        <w:rPr>
          <w:rFonts w:hint="eastAsia" w:ascii="宋体" w:hAnsi="宋体"/>
          <w:szCs w:val="21"/>
        </w:rPr>
        <w:t>B/T 26303.3  铜及铜合金加工材外形尺寸检测方法 第3部分：板带材</w:t>
      </w:r>
    </w:p>
    <w:p>
      <w:pPr>
        <w:spacing w:line="240" w:lineRule="auto"/>
        <w:ind w:firstLine="420" w:firstLineChars="200"/>
        <w:rPr>
          <w:rFonts w:ascii="宋体" w:hAnsi="宋体" w:cs="宋体"/>
          <w:sz w:val="21"/>
          <w:szCs w:val="21"/>
        </w:rPr>
      </w:pPr>
      <w:r>
        <w:rPr>
          <w:rFonts w:hint="eastAsia" w:ascii="宋体" w:hAnsi="宋体" w:cs="宋体"/>
          <w:sz w:val="21"/>
          <w:szCs w:val="21"/>
        </w:rPr>
        <w:t>YS/T 482  铜及铜合金分析方法 光电发射光谱法</w:t>
      </w:r>
    </w:p>
    <w:p>
      <w:pPr>
        <w:spacing w:line="240" w:lineRule="auto"/>
        <w:ind w:firstLine="420" w:firstLineChars="200"/>
        <w:rPr>
          <w:rFonts w:ascii="宋体" w:hAnsi="宋体"/>
          <w:sz w:val="21"/>
          <w:szCs w:val="21"/>
        </w:rPr>
      </w:pPr>
      <w:r>
        <w:rPr>
          <w:rFonts w:hint="eastAsia" w:ascii="宋体" w:hAnsi="宋体"/>
          <w:sz w:val="21"/>
          <w:szCs w:val="21"/>
        </w:rPr>
        <w:t>YS/T 668  铜及铜合金理化检测取样方法</w:t>
      </w:r>
    </w:p>
    <w:p>
      <w:pPr>
        <w:pStyle w:val="2"/>
        <w:spacing w:before="240" w:after="240"/>
      </w:pPr>
      <w:r>
        <w:rPr>
          <w:rFonts w:hint="eastAsia"/>
        </w:rPr>
        <w:t>3  术语和定义</w:t>
      </w:r>
    </w:p>
    <w:p>
      <w:pPr>
        <w:spacing w:line="240" w:lineRule="auto"/>
        <w:ind w:firstLine="420" w:firstLineChars="200"/>
        <w:rPr>
          <w:sz w:val="21"/>
          <w:szCs w:val="21"/>
        </w:rPr>
      </w:pPr>
      <w:r>
        <w:rPr>
          <w:rFonts w:hint="eastAsia"/>
          <w:sz w:val="21"/>
          <w:szCs w:val="21"/>
        </w:rPr>
        <w:t>本文件没有需要界定的术语和定义。</w:t>
      </w:r>
    </w:p>
    <w:p>
      <w:pPr>
        <w:pStyle w:val="2"/>
        <w:spacing w:before="240" w:after="240"/>
      </w:pPr>
      <w:r>
        <w:rPr>
          <w:rFonts w:hint="eastAsia"/>
        </w:rPr>
        <w:t>4  分类和标记</w:t>
      </w:r>
    </w:p>
    <w:p>
      <w:pPr>
        <w:pStyle w:val="2"/>
        <w:spacing w:before="240" w:after="240"/>
      </w:pPr>
      <w:r>
        <w:rPr>
          <w:rFonts w:hint="eastAsia"/>
        </w:rPr>
        <w:t>4.1  产品分类</w:t>
      </w:r>
    </w:p>
    <w:p>
      <w:pPr>
        <w:spacing w:line="340" w:lineRule="exact"/>
        <w:ind w:firstLine="420" w:firstLineChars="200"/>
        <w:rPr>
          <w:sz w:val="21"/>
          <w:szCs w:val="21"/>
        </w:rPr>
      </w:pPr>
      <w:r>
        <w:rPr>
          <w:rFonts w:hint="eastAsia"/>
          <w:sz w:val="21"/>
          <w:szCs w:val="21"/>
        </w:rPr>
        <w:t>板材的牌号、代号、状态和规格应符合表1 的规定。</w:t>
      </w:r>
    </w:p>
    <w:p>
      <w:pPr>
        <w:pStyle w:val="6"/>
        <w:spacing w:before="240" w:after="240"/>
      </w:pPr>
      <w:r>
        <w:rPr>
          <w:rFonts w:hint="eastAsia"/>
        </w:rPr>
        <w:t>表1  牌号、代号、状态和规格</w:t>
      </w:r>
    </w:p>
    <w:tbl>
      <w:tblPr>
        <w:tblStyle w:val="28"/>
        <w:tblW w:w="905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2446"/>
        <w:gridCol w:w="992"/>
        <w:gridCol w:w="1276"/>
        <w:gridCol w:w="1134"/>
        <w:gridCol w:w="12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29" w:type="dxa"/>
            <w:vMerge w:val="restart"/>
            <w:vAlign w:val="center"/>
          </w:tcPr>
          <w:p>
            <w:pPr>
              <w:pStyle w:val="6"/>
              <w:keepNext w:val="0"/>
              <w:keepLines w:val="0"/>
              <w:pageBreakBefore w:val="0"/>
              <w:widowControl w:val="0"/>
              <w:kinsoku/>
              <w:wordWrap/>
              <w:overflowPunct/>
              <w:topLinePunct w:val="0"/>
              <w:autoSpaceDE/>
              <w:autoSpaceDN/>
              <w:bidi w:val="0"/>
              <w:adjustRightInd w:val="0"/>
              <w:snapToGrid/>
              <w:spacing w:beforeLines="0" w:afterLines="0"/>
              <w:textAlignment w:val="baseline"/>
              <w:rPr>
                <w:sz w:val="18"/>
                <w:szCs w:val="18"/>
              </w:rPr>
            </w:pPr>
            <w:r>
              <w:rPr>
                <w:rFonts w:hint="eastAsia"/>
                <w:sz w:val="18"/>
                <w:szCs w:val="18"/>
              </w:rPr>
              <w:t>牌  号</w:t>
            </w:r>
          </w:p>
        </w:tc>
        <w:tc>
          <w:tcPr>
            <w:tcW w:w="2446" w:type="dxa"/>
            <w:vMerge w:val="restart"/>
            <w:vAlign w:val="center"/>
          </w:tcPr>
          <w:p>
            <w:pPr>
              <w:pStyle w:val="6"/>
              <w:keepNext w:val="0"/>
              <w:keepLines w:val="0"/>
              <w:pageBreakBefore w:val="0"/>
              <w:widowControl w:val="0"/>
              <w:kinsoku/>
              <w:wordWrap/>
              <w:overflowPunct/>
              <w:topLinePunct w:val="0"/>
              <w:autoSpaceDE/>
              <w:autoSpaceDN/>
              <w:bidi w:val="0"/>
              <w:adjustRightInd w:val="0"/>
              <w:snapToGrid/>
              <w:spacing w:beforeLines="0" w:afterLines="0"/>
              <w:textAlignment w:val="baseline"/>
              <w:rPr>
                <w:sz w:val="18"/>
                <w:szCs w:val="18"/>
              </w:rPr>
            </w:pPr>
            <w:r>
              <w:rPr>
                <w:rFonts w:hint="eastAsia"/>
                <w:sz w:val="18"/>
                <w:szCs w:val="18"/>
              </w:rPr>
              <w:t>代号</w:t>
            </w:r>
          </w:p>
        </w:tc>
        <w:tc>
          <w:tcPr>
            <w:tcW w:w="992" w:type="dxa"/>
            <w:vMerge w:val="restart"/>
            <w:vAlign w:val="center"/>
          </w:tcPr>
          <w:p>
            <w:pPr>
              <w:pStyle w:val="6"/>
              <w:spacing w:beforeLines="0" w:afterLines="0"/>
              <w:rPr>
                <w:sz w:val="18"/>
                <w:szCs w:val="18"/>
              </w:rPr>
            </w:pPr>
            <w:r>
              <w:rPr>
                <w:rFonts w:hint="eastAsia"/>
                <w:sz w:val="18"/>
                <w:szCs w:val="18"/>
              </w:rPr>
              <w:t>状态</w:t>
            </w:r>
          </w:p>
        </w:tc>
        <w:tc>
          <w:tcPr>
            <w:tcW w:w="3686" w:type="dxa"/>
            <w:gridSpan w:val="3"/>
            <w:vAlign w:val="center"/>
          </w:tcPr>
          <w:p>
            <w:pPr>
              <w:pStyle w:val="6"/>
              <w:spacing w:beforeLines="0" w:afterLines="0"/>
              <w:rPr>
                <w:sz w:val="18"/>
                <w:szCs w:val="18"/>
              </w:rPr>
            </w:pPr>
            <w:r>
              <w:rPr>
                <w:rFonts w:hint="eastAsia"/>
                <w:sz w:val="18"/>
                <w:szCs w:val="18"/>
              </w:rPr>
              <w:t>规格</w:t>
            </w:r>
          </w:p>
          <w:p>
            <w:pPr>
              <w:pStyle w:val="6"/>
              <w:spacing w:beforeLines="0" w:afterLines="0"/>
              <w:rPr>
                <w:sz w:val="18"/>
                <w:szCs w:val="18"/>
              </w:rPr>
            </w:pPr>
            <w:r>
              <w:rPr>
                <w:rFonts w:hint="eastAsia"/>
                <w:sz w:val="18"/>
                <w:szCs w:val="18"/>
              </w:rPr>
              <w:t>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29" w:type="dxa"/>
            <w:vMerge w:val="continue"/>
            <w:tcBorders>
              <w:bottom w:val="single" w:color="auto" w:sz="8" w:space="0"/>
            </w:tcBorders>
            <w:vAlign w:val="center"/>
          </w:tcPr>
          <w:p>
            <w:pPr>
              <w:pStyle w:val="6"/>
              <w:keepNext w:val="0"/>
              <w:keepLines w:val="0"/>
              <w:pageBreakBefore w:val="0"/>
              <w:widowControl w:val="0"/>
              <w:kinsoku/>
              <w:wordWrap/>
              <w:overflowPunct/>
              <w:topLinePunct w:val="0"/>
              <w:autoSpaceDE/>
              <w:autoSpaceDN/>
              <w:bidi w:val="0"/>
              <w:adjustRightInd w:val="0"/>
              <w:snapToGrid/>
              <w:spacing w:beforeLines="0" w:afterLines="0"/>
              <w:textAlignment w:val="baseline"/>
              <w:rPr>
                <w:sz w:val="18"/>
                <w:szCs w:val="18"/>
              </w:rPr>
            </w:pPr>
          </w:p>
        </w:tc>
        <w:tc>
          <w:tcPr>
            <w:tcW w:w="2446" w:type="dxa"/>
            <w:vMerge w:val="continue"/>
            <w:tcBorders>
              <w:bottom w:val="single" w:color="auto" w:sz="8" w:space="0"/>
            </w:tcBorders>
            <w:vAlign w:val="center"/>
          </w:tcPr>
          <w:p>
            <w:pPr>
              <w:pStyle w:val="6"/>
              <w:keepNext w:val="0"/>
              <w:keepLines w:val="0"/>
              <w:pageBreakBefore w:val="0"/>
              <w:widowControl w:val="0"/>
              <w:kinsoku/>
              <w:wordWrap/>
              <w:overflowPunct/>
              <w:topLinePunct w:val="0"/>
              <w:autoSpaceDE/>
              <w:autoSpaceDN/>
              <w:bidi w:val="0"/>
              <w:adjustRightInd w:val="0"/>
              <w:snapToGrid/>
              <w:spacing w:beforeLines="0" w:afterLines="0"/>
              <w:textAlignment w:val="baseline"/>
              <w:rPr>
                <w:sz w:val="18"/>
                <w:szCs w:val="18"/>
              </w:rPr>
            </w:pPr>
          </w:p>
        </w:tc>
        <w:tc>
          <w:tcPr>
            <w:tcW w:w="992" w:type="dxa"/>
            <w:vMerge w:val="continue"/>
            <w:tcBorders>
              <w:bottom w:val="single" w:color="auto" w:sz="8" w:space="0"/>
            </w:tcBorders>
            <w:vAlign w:val="center"/>
          </w:tcPr>
          <w:p>
            <w:pPr>
              <w:pStyle w:val="6"/>
              <w:spacing w:beforeLines="0" w:afterLines="0"/>
              <w:rPr>
                <w:sz w:val="18"/>
                <w:szCs w:val="18"/>
              </w:rPr>
            </w:pPr>
          </w:p>
        </w:tc>
        <w:tc>
          <w:tcPr>
            <w:tcW w:w="1276" w:type="dxa"/>
            <w:tcBorders>
              <w:bottom w:val="single" w:color="auto" w:sz="8" w:space="0"/>
            </w:tcBorders>
            <w:vAlign w:val="center"/>
          </w:tcPr>
          <w:p>
            <w:pPr>
              <w:pStyle w:val="6"/>
              <w:spacing w:beforeLines="0" w:afterLines="0"/>
              <w:rPr>
                <w:sz w:val="18"/>
                <w:szCs w:val="18"/>
              </w:rPr>
            </w:pPr>
            <w:r>
              <w:rPr>
                <w:rFonts w:hint="eastAsia"/>
                <w:sz w:val="18"/>
                <w:szCs w:val="18"/>
              </w:rPr>
              <w:t>厚度</w:t>
            </w:r>
          </w:p>
        </w:tc>
        <w:tc>
          <w:tcPr>
            <w:tcW w:w="1134" w:type="dxa"/>
            <w:tcBorders>
              <w:bottom w:val="single" w:color="auto" w:sz="8" w:space="0"/>
            </w:tcBorders>
            <w:vAlign w:val="center"/>
          </w:tcPr>
          <w:p>
            <w:pPr>
              <w:pStyle w:val="6"/>
              <w:spacing w:beforeLines="0" w:afterLines="0"/>
              <w:rPr>
                <w:sz w:val="18"/>
                <w:szCs w:val="18"/>
              </w:rPr>
            </w:pPr>
            <w:r>
              <w:rPr>
                <w:rFonts w:hint="eastAsia"/>
                <w:sz w:val="18"/>
                <w:szCs w:val="18"/>
              </w:rPr>
              <w:t>宽度</w:t>
            </w:r>
          </w:p>
        </w:tc>
        <w:tc>
          <w:tcPr>
            <w:tcW w:w="1276" w:type="dxa"/>
            <w:tcBorders>
              <w:bottom w:val="single" w:color="auto" w:sz="8" w:space="0"/>
            </w:tcBorders>
            <w:vAlign w:val="center"/>
          </w:tcPr>
          <w:p>
            <w:pPr>
              <w:pStyle w:val="6"/>
              <w:spacing w:beforeLines="0" w:afterLines="0"/>
              <w:rPr>
                <w:sz w:val="18"/>
                <w:szCs w:val="18"/>
              </w:rPr>
            </w:pPr>
            <w:r>
              <w:rPr>
                <w:rFonts w:hint="eastAsia"/>
                <w:sz w:val="18"/>
                <w:szCs w:val="18"/>
              </w:rPr>
              <w:t>长度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29" w:type="dxa"/>
            <w:tcBorders>
              <w:bottom w:val="single" w:color="auto" w:sz="8" w:space="0"/>
            </w:tcBorders>
            <w:vAlign w:val="center"/>
          </w:tcPr>
          <w:p>
            <w:pPr>
              <w:pStyle w:val="6"/>
              <w:keepNext w:val="0"/>
              <w:keepLines w:val="0"/>
              <w:pageBreakBefore w:val="0"/>
              <w:widowControl w:val="0"/>
              <w:kinsoku/>
              <w:wordWrap/>
              <w:overflowPunct/>
              <w:topLinePunct w:val="0"/>
              <w:autoSpaceDE/>
              <w:autoSpaceDN/>
              <w:bidi w:val="0"/>
              <w:adjustRightInd w:val="0"/>
              <w:snapToGrid/>
              <w:spacing w:beforeLines="0" w:afterLines="0"/>
              <w:textAlignment w:val="baseline"/>
              <w:rPr>
                <w:rFonts w:ascii="宋体" w:hAnsi="宋体" w:eastAsia="宋体" w:cs="Times New Roman"/>
                <w:sz w:val="18"/>
                <w:szCs w:val="18"/>
                <w:lang w:val="en-US" w:eastAsia="zh-CN" w:bidi="ar-SA"/>
              </w:rPr>
            </w:pPr>
            <w:r>
              <w:rPr>
                <w:rFonts w:hint="eastAsia"/>
                <w:sz w:val="18"/>
                <w:szCs w:val="18"/>
              </w:rPr>
              <w:t xml:space="preserve">T2 </w:t>
            </w:r>
          </w:p>
        </w:tc>
        <w:tc>
          <w:tcPr>
            <w:tcW w:w="2446" w:type="dxa"/>
            <w:tcBorders>
              <w:bottom w:val="single" w:color="auto" w:sz="8" w:space="0"/>
            </w:tcBorders>
            <w:vAlign w:val="center"/>
          </w:tcPr>
          <w:p>
            <w:pPr>
              <w:pStyle w:val="6"/>
              <w:keepNext w:val="0"/>
              <w:keepLines w:val="0"/>
              <w:pageBreakBefore w:val="0"/>
              <w:widowControl w:val="0"/>
              <w:kinsoku/>
              <w:wordWrap/>
              <w:overflowPunct/>
              <w:topLinePunct w:val="0"/>
              <w:autoSpaceDE/>
              <w:autoSpaceDN/>
              <w:bidi w:val="0"/>
              <w:adjustRightInd w:val="0"/>
              <w:snapToGrid/>
              <w:spacing w:beforeLines="0" w:afterLines="0"/>
              <w:textAlignment w:val="baseline"/>
              <w:rPr>
                <w:rFonts w:ascii="宋体" w:hAnsi="宋体" w:eastAsia="宋体" w:cs="Times New Roman"/>
                <w:sz w:val="18"/>
                <w:szCs w:val="18"/>
                <w:lang w:val="en-US" w:eastAsia="zh-CN" w:bidi="ar-SA"/>
              </w:rPr>
            </w:pPr>
            <w:r>
              <w:rPr>
                <w:sz w:val="18"/>
                <w:szCs w:val="18"/>
              </w:rPr>
              <w:t>T11050</w:t>
            </w:r>
          </w:p>
        </w:tc>
        <w:tc>
          <w:tcPr>
            <w:tcW w:w="992" w:type="dxa"/>
            <w:vMerge w:val="restart"/>
            <w:vAlign w:val="center"/>
          </w:tcPr>
          <w:p>
            <w:pPr>
              <w:pStyle w:val="6"/>
              <w:spacing w:beforeLines="0" w:afterLines="0"/>
              <w:rPr>
                <w:rFonts w:ascii="宋体" w:hAnsi="宋体" w:eastAsia="宋体" w:cs="Times New Roman"/>
                <w:sz w:val="18"/>
                <w:szCs w:val="18"/>
                <w:lang w:val="en-US" w:eastAsia="zh-CN" w:bidi="ar-SA"/>
              </w:rPr>
            </w:pPr>
            <w:r>
              <w:rPr>
                <w:sz w:val="18"/>
                <w:szCs w:val="18"/>
              </w:rPr>
              <w:t>硬</w:t>
            </w:r>
            <w:r>
              <w:rPr>
                <w:rFonts w:hint="eastAsia"/>
                <w:sz w:val="18"/>
                <w:szCs w:val="18"/>
              </w:rPr>
              <w:t>(H04)</w:t>
            </w:r>
          </w:p>
        </w:tc>
        <w:tc>
          <w:tcPr>
            <w:tcW w:w="1276" w:type="dxa"/>
            <w:vMerge w:val="restart"/>
            <w:vAlign w:val="center"/>
          </w:tcPr>
          <w:p>
            <w:pPr>
              <w:pStyle w:val="6"/>
              <w:spacing w:beforeLines="0" w:afterLines="0"/>
              <w:rPr>
                <w:rFonts w:hint="eastAsia" w:ascii="宋体" w:hAnsi="宋体" w:eastAsia="宋体" w:cs="Times New Roman"/>
                <w:sz w:val="18"/>
                <w:szCs w:val="18"/>
                <w:lang w:val="en-US" w:eastAsia="zh-CN" w:bidi="ar-SA"/>
              </w:rPr>
            </w:pPr>
            <w:r>
              <w:rPr>
                <w:sz w:val="18"/>
                <w:szCs w:val="18"/>
              </w:rPr>
              <w:t>0.</w:t>
            </w:r>
            <w:r>
              <w:rPr>
                <w:rFonts w:hint="eastAsia"/>
                <w:sz w:val="18"/>
                <w:szCs w:val="18"/>
              </w:rPr>
              <w:t>7～</w:t>
            </w:r>
            <w:r>
              <w:rPr>
                <w:rFonts w:hint="eastAsia"/>
                <w:color w:val="FF0000"/>
                <w:sz w:val="18"/>
                <w:szCs w:val="18"/>
              </w:rPr>
              <w:t>2.0</w:t>
            </w:r>
          </w:p>
        </w:tc>
        <w:tc>
          <w:tcPr>
            <w:tcW w:w="1134" w:type="dxa"/>
            <w:vMerge w:val="restart"/>
            <w:vAlign w:val="center"/>
          </w:tcPr>
          <w:p>
            <w:pPr>
              <w:pStyle w:val="6"/>
              <w:spacing w:beforeLines="0" w:afterLines="0"/>
              <w:rPr>
                <w:rFonts w:hint="eastAsia" w:ascii="宋体" w:hAnsi="宋体" w:eastAsia="宋体" w:cs="Times New Roman"/>
                <w:sz w:val="18"/>
                <w:szCs w:val="18"/>
                <w:lang w:val="en-US" w:eastAsia="zh-CN" w:bidi="ar-SA"/>
              </w:rPr>
            </w:pPr>
            <w:r>
              <w:rPr>
                <w:rFonts w:hint="eastAsia"/>
                <w:sz w:val="18"/>
                <w:szCs w:val="18"/>
              </w:rPr>
              <w:t>400～880</w:t>
            </w:r>
          </w:p>
        </w:tc>
        <w:tc>
          <w:tcPr>
            <w:tcW w:w="1276" w:type="dxa"/>
            <w:vMerge w:val="restart"/>
            <w:vAlign w:val="center"/>
          </w:tcPr>
          <w:p>
            <w:pPr>
              <w:pStyle w:val="6"/>
              <w:spacing w:beforeLines="0" w:afterLines="0"/>
              <w:rPr>
                <w:rFonts w:hint="eastAsia" w:ascii="宋体" w:hAnsi="宋体" w:eastAsia="宋体" w:cs="Times New Roman"/>
                <w:sz w:val="18"/>
                <w:szCs w:val="18"/>
                <w:lang w:val="en-US" w:eastAsia="zh-CN" w:bidi="ar-SA"/>
              </w:rPr>
            </w:pPr>
            <w:r>
              <w:rPr>
                <w:rFonts w:hint="eastAsia"/>
                <w:sz w:val="18"/>
                <w:szCs w:val="18"/>
              </w:rPr>
              <w:t>500～1500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29" w:type="dxa"/>
            <w:tcBorders>
              <w:bottom w:val="single" w:color="auto" w:sz="8" w:space="0"/>
            </w:tcBorders>
            <w:vAlign w:val="center"/>
          </w:tcPr>
          <w:p>
            <w:pPr>
              <w:pStyle w:val="6"/>
              <w:keepNext w:val="0"/>
              <w:keepLines w:val="0"/>
              <w:pageBreakBefore w:val="0"/>
              <w:widowControl w:val="0"/>
              <w:kinsoku/>
              <w:wordWrap/>
              <w:overflowPunct/>
              <w:topLinePunct w:val="0"/>
              <w:autoSpaceDE/>
              <w:autoSpaceDN/>
              <w:bidi w:val="0"/>
              <w:adjustRightInd w:val="0"/>
              <w:snapToGrid/>
              <w:spacing w:beforeLines="0" w:afterLines="0"/>
              <w:textAlignment w:val="baseline"/>
              <w:rPr>
                <w:rFonts w:hint="eastAsia" w:ascii="宋体" w:hAnsi="宋体" w:eastAsia="宋体" w:cs="Times New Roman"/>
                <w:sz w:val="18"/>
                <w:szCs w:val="18"/>
                <w:lang w:val="en-US" w:eastAsia="zh-CN" w:bidi="ar-SA"/>
              </w:rPr>
            </w:pPr>
            <w:r>
              <w:rPr>
                <w:rFonts w:hint="eastAsia"/>
                <w:sz w:val="18"/>
                <w:szCs w:val="18"/>
              </w:rPr>
              <w:t>TAg0.1</w:t>
            </w:r>
          </w:p>
        </w:tc>
        <w:tc>
          <w:tcPr>
            <w:tcW w:w="2446" w:type="dxa"/>
            <w:tcBorders>
              <w:bottom w:val="single" w:color="auto" w:sz="8" w:space="0"/>
            </w:tcBorders>
            <w:vAlign w:val="center"/>
          </w:tcPr>
          <w:p>
            <w:pPr>
              <w:pStyle w:val="6"/>
              <w:keepNext w:val="0"/>
              <w:keepLines w:val="0"/>
              <w:pageBreakBefore w:val="0"/>
              <w:widowControl w:val="0"/>
              <w:kinsoku/>
              <w:wordWrap/>
              <w:overflowPunct/>
              <w:topLinePunct w:val="0"/>
              <w:autoSpaceDE/>
              <w:autoSpaceDN/>
              <w:bidi w:val="0"/>
              <w:adjustRightInd w:val="0"/>
              <w:snapToGrid/>
              <w:spacing w:beforeLines="0" w:afterLines="0"/>
              <w:textAlignment w:val="baseline"/>
              <w:rPr>
                <w:rFonts w:ascii="宋体" w:hAnsi="宋体" w:eastAsia="宋体" w:cs="Times New Roman"/>
                <w:sz w:val="18"/>
                <w:szCs w:val="18"/>
                <w:lang w:val="en-US" w:eastAsia="zh-CN" w:bidi="ar-SA"/>
              </w:rPr>
            </w:pPr>
            <w:r>
              <w:rPr>
                <w:rFonts w:hint="eastAsia"/>
                <w:sz w:val="18"/>
                <w:szCs w:val="18"/>
              </w:rPr>
              <w:t>T11210</w:t>
            </w:r>
          </w:p>
        </w:tc>
        <w:tc>
          <w:tcPr>
            <w:tcW w:w="992" w:type="dxa"/>
            <w:vMerge w:val="continue"/>
            <w:vAlign w:val="center"/>
          </w:tcPr>
          <w:p>
            <w:pPr>
              <w:pStyle w:val="6"/>
              <w:spacing w:beforeLines="0" w:afterLines="0"/>
              <w:rPr>
                <w:sz w:val="18"/>
                <w:szCs w:val="18"/>
              </w:rPr>
            </w:pPr>
          </w:p>
        </w:tc>
        <w:tc>
          <w:tcPr>
            <w:tcW w:w="1276" w:type="dxa"/>
            <w:vMerge w:val="continue"/>
            <w:vAlign w:val="center"/>
          </w:tcPr>
          <w:p>
            <w:pPr>
              <w:pStyle w:val="6"/>
              <w:spacing w:beforeLines="0" w:afterLines="0"/>
              <w:rPr>
                <w:rFonts w:hint="eastAsia"/>
                <w:sz w:val="18"/>
                <w:szCs w:val="18"/>
              </w:rPr>
            </w:pPr>
          </w:p>
        </w:tc>
        <w:tc>
          <w:tcPr>
            <w:tcW w:w="1134" w:type="dxa"/>
            <w:vMerge w:val="continue"/>
            <w:vAlign w:val="center"/>
          </w:tcPr>
          <w:p>
            <w:pPr>
              <w:pStyle w:val="6"/>
              <w:spacing w:beforeLines="0" w:afterLines="0"/>
              <w:rPr>
                <w:rFonts w:hint="eastAsia"/>
                <w:sz w:val="18"/>
                <w:szCs w:val="18"/>
              </w:rPr>
            </w:pPr>
          </w:p>
        </w:tc>
        <w:tc>
          <w:tcPr>
            <w:tcW w:w="1276" w:type="dxa"/>
            <w:vMerge w:val="continue"/>
            <w:vAlign w:val="center"/>
          </w:tcPr>
          <w:p>
            <w:pPr>
              <w:pStyle w:val="6"/>
              <w:spacing w:beforeLines="0" w:afterLines="0"/>
              <w:rPr>
                <w:rFonts w:hint="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929" w:type="dxa"/>
            <w:tcBorders>
              <w:bottom w:val="single" w:color="auto" w:sz="8" w:space="0"/>
            </w:tcBorders>
            <w:vAlign w:val="center"/>
          </w:tcPr>
          <w:p>
            <w:pPr>
              <w:pStyle w:val="6"/>
              <w:keepNext w:val="0"/>
              <w:keepLines w:val="0"/>
              <w:pageBreakBefore w:val="0"/>
              <w:widowControl w:val="0"/>
              <w:kinsoku/>
              <w:wordWrap/>
              <w:overflowPunct/>
              <w:topLinePunct w:val="0"/>
              <w:autoSpaceDE/>
              <w:autoSpaceDN/>
              <w:bidi w:val="0"/>
              <w:adjustRightInd w:val="0"/>
              <w:snapToGrid/>
              <w:spacing w:beforeLines="0" w:afterLines="0"/>
              <w:textAlignment w:val="baseline"/>
              <w:rPr>
                <w:rFonts w:hint="eastAsia" w:ascii="宋体" w:hAnsi="宋体" w:eastAsia="宋体" w:cs="Times New Roman"/>
                <w:sz w:val="18"/>
                <w:szCs w:val="18"/>
                <w:lang w:val="en-US" w:eastAsia="zh-CN" w:bidi="ar-SA"/>
              </w:rPr>
            </w:pPr>
            <w:r>
              <w:rPr>
                <w:rFonts w:hint="eastAsia"/>
                <w:sz w:val="18"/>
                <w:szCs w:val="18"/>
              </w:rPr>
              <w:t>TAg0.15</w:t>
            </w:r>
          </w:p>
        </w:tc>
        <w:tc>
          <w:tcPr>
            <w:tcW w:w="2446" w:type="dxa"/>
            <w:tcBorders>
              <w:bottom w:val="single" w:color="auto" w:sz="8" w:space="0"/>
            </w:tcBorders>
            <w:vAlign w:val="center"/>
          </w:tcPr>
          <w:p>
            <w:pPr>
              <w:pStyle w:val="6"/>
              <w:keepNext w:val="0"/>
              <w:keepLines w:val="0"/>
              <w:pageBreakBefore w:val="0"/>
              <w:widowControl w:val="0"/>
              <w:kinsoku/>
              <w:wordWrap/>
              <w:overflowPunct/>
              <w:topLinePunct w:val="0"/>
              <w:autoSpaceDE/>
              <w:autoSpaceDN/>
              <w:bidi w:val="0"/>
              <w:adjustRightInd w:val="0"/>
              <w:snapToGrid/>
              <w:spacing w:beforeLines="0" w:afterLines="0"/>
              <w:textAlignment w:val="baseline"/>
              <w:rPr>
                <w:rFonts w:ascii="宋体" w:hAnsi="宋体" w:eastAsia="宋体" w:cs="Times New Roman"/>
                <w:sz w:val="18"/>
                <w:szCs w:val="18"/>
                <w:lang w:val="en-US" w:eastAsia="zh-CN" w:bidi="ar-SA"/>
              </w:rPr>
            </w:pPr>
            <w:r>
              <w:rPr>
                <w:rFonts w:hint="eastAsia"/>
                <w:sz w:val="18"/>
                <w:szCs w:val="18"/>
              </w:rPr>
              <w:t>T11220</w:t>
            </w:r>
          </w:p>
        </w:tc>
        <w:tc>
          <w:tcPr>
            <w:tcW w:w="992" w:type="dxa"/>
            <w:vMerge w:val="continue"/>
            <w:tcBorders>
              <w:bottom w:val="single" w:color="auto" w:sz="8" w:space="0"/>
            </w:tcBorders>
            <w:vAlign w:val="center"/>
          </w:tcPr>
          <w:p>
            <w:pPr>
              <w:pStyle w:val="6"/>
              <w:spacing w:beforeLines="0" w:afterLines="0"/>
              <w:rPr>
                <w:sz w:val="18"/>
                <w:szCs w:val="18"/>
              </w:rPr>
            </w:pPr>
          </w:p>
        </w:tc>
        <w:tc>
          <w:tcPr>
            <w:tcW w:w="1276" w:type="dxa"/>
            <w:vMerge w:val="continue"/>
            <w:tcBorders>
              <w:bottom w:val="single" w:color="auto" w:sz="8" w:space="0"/>
            </w:tcBorders>
            <w:vAlign w:val="center"/>
          </w:tcPr>
          <w:p>
            <w:pPr>
              <w:pStyle w:val="6"/>
              <w:spacing w:beforeLines="0" w:afterLines="0"/>
              <w:rPr>
                <w:rFonts w:hint="eastAsia"/>
                <w:sz w:val="18"/>
                <w:szCs w:val="18"/>
              </w:rPr>
            </w:pPr>
          </w:p>
        </w:tc>
        <w:tc>
          <w:tcPr>
            <w:tcW w:w="1134" w:type="dxa"/>
            <w:vMerge w:val="continue"/>
            <w:tcBorders>
              <w:bottom w:val="single" w:color="auto" w:sz="8" w:space="0"/>
            </w:tcBorders>
            <w:vAlign w:val="center"/>
          </w:tcPr>
          <w:p>
            <w:pPr>
              <w:pStyle w:val="6"/>
              <w:spacing w:beforeLines="0" w:afterLines="0"/>
              <w:rPr>
                <w:rFonts w:hint="eastAsia"/>
                <w:sz w:val="18"/>
                <w:szCs w:val="18"/>
              </w:rPr>
            </w:pPr>
          </w:p>
        </w:tc>
        <w:tc>
          <w:tcPr>
            <w:tcW w:w="1276" w:type="dxa"/>
            <w:vMerge w:val="continue"/>
            <w:tcBorders>
              <w:bottom w:val="single" w:color="auto" w:sz="8" w:space="0"/>
            </w:tcBorders>
            <w:vAlign w:val="center"/>
          </w:tcPr>
          <w:p>
            <w:pPr>
              <w:pStyle w:val="6"/>
              <w:spacing w:beforeLines="0" w:afterLines="0"/>
              <w:rPr>
                <w:rFonts w:hint="eastAsia"/>
                <w:sz w:val="18"/>
                <w:szCs w:val="18"/>
              </w:rPr>
            </w:pPr>
          </w:p>
        </w:tc>
      </w:tr>
    </w:tbl>
    <w:p>
      <w:pPr>
        <w:pStyle w:val="2"/>
        <w:spacing w:before="240" w:after="240"/>
      </w:pPr>
      <w:r>
        <w:rPr>
          <w:rFonts w:hint="eastAsia"/>
        </w:rPr>
        <w:t>4.2  产品标记</w:t>
      </w:r>
    </w:p>
    <w:p>
      <w:pPr>
        <w:spacing w:line="240" w:lineRule="auto"/>
        <w:ind w:firstLine="420" w:firstLineChars="200"/>
        <w:rPr>
          <w:rFonts w:ascii="宋体" w:hAnsi="宋体"/>
          <w:sz w:val="21"/>
          <w:szCs w:val="21"/>
        </w:rPr>
      </w:pPr>
      <w:r>
        <w:rPr>
          <w:rFonts w:hint="eastAsia" w:ascii="宋体" w:hAnsi="宋体"/>
          <w:sz w:val="21"/>
          <w:szCs w:val="21"/>
        </w:rPr>
        <w:t>产品标记按产品名称、标准编号、牌号（或代号）、状态和规格的顺序表示。标记示例如下：</w:t>
      </w:r>
    </w:p>
    <w:p>
      <w:pPr>
        <w:spacing w:line="340" w:lineRule="exact"/>
        <w:ind w:firstLine="360" w:firstLineChars="200"/>
        <w:rPr>
          <w:rFonts w:ascii="黑体" w:hAnsi="宋体" w:eastAsia="黑体"/>
          <w:sz w:val="18"/>
          <w:szCs w:val="18"/>
        </w:rPr>
      </w:pPr>
      <w:r>
        <w:rPr>
          <w:rFonts w:hint="eastAsia" w:ascii="黑体" w:hAnsi="宋体" w:eastAsia="黑体"/>
          <w:bCs/>
          <w:sz w:val="18"/>
          <w:szCs w:val="18"/>
        </w:rPr>
        <w:t>示例1</w:t>
      </w:r>
      <w:r>
        <w:rPr>
          <w:rFonts w:hint="eastAsia" w:ascii="黑体" w:hAnsi="宋体" w:eastAsia="黑体"/>
          <w:sz w:val="18"/>
          <w:szCs w:val="18"/>
        </w:rPr>
        <w:t>：</w:t>
      </w:r>
    </w:p>
    <w:p>
      <w:pPr>
        <w:spacing w:line="340" w:lineRule="exact"/>
        <w:ind w:firstLine="360" w:firstLineChars="200"/>
        <w:rPr>
          <w:rFonts w:ascii="宋体" w:hAnsi="宋体"/>
          <w:sz w:val="18"/>
          <w:szCs w:val="18"/>
        </w:rPr>
      </w:pPr>
      <w:r>
        <w:rPr>
          <w:rFonts w:ascii="宋体" w:hAnsi="宋体"/>
          <w:sz w:val="18"/>
          <w:szCs w:val="18"/>
        </w:rPr>
        <w:pict>
          <v:shape id="_x0000_s1135" o:spid="_x0000_s1135" o:spt="202" type="#_x0000_t202" style="position:absolute;left:0pt;margin-left:-6.65pt;margin-top:5.3pt;height:59.4pt;width:450.75pt;z-index:251663360;mso-width-relative:margin;mso-height-relative:margin;" coordsize="21600,21600">
            <v:path/>
            <v:fill focussize="0,0"/>
            <v:stroke joinstyle="miter"/>
            <v:imagedata o:title=""/>
            <o:lock v:ext="edit"/>
            <v:textbox>
              <w:txbxContent>
                <w:p>
                  <w:pPr>
                    <w:spacing w:line="240" w:lineRule="auto"/>
                    <w:ind w:firstLine="180" w:firstLineChars="100"/>
                    <w:rPr>
                      <w:rFonts w:ascii="宋体" w:hAnsi="宋体"/>
                      <w:sz w:val="18"/>
                      <w:szCs w:val="18"/>
                    </w:rPr>
                  </w:pPr>
                  <w:r>
                    <w:rPr>
                      <w:rFonts w:hint="eastAsia" w:ascii="宋体" w:hAnsi="宋体"/>
                      <w:sz w:val="18"/>
                      <w:szCs w:val="18"/>
                    </w:rPr>
                    <w:t>用T2（</w:t>
                  </w:r>
                  <w:r>
                    <w:rPr>
                      <w:rFonts w:ascii="宋体" w:hAnsi="宋体"/>
                      <w:sz w:val="18"/>
                      <w:szCs w:val="18"/>
                      <w:lang w:val="de-DE"/>
                    </w:rPr>
                    <w:t>T11050</w:t>
                  </w:r>
                  <w:r>
                    <w:rPr>
                      <w:rFonts w:hint="eastAsia" w:ascii="宋体" w:hAnsi="宋体"/>
                      <w:sz w:val="18"/>
                      <w:szCs w:val="18"/>
                    </w:rPr>
                    <w:t>）制造的、硬（H04）、厚度为0.8mm、宽度为400mm、长度为1000mm的照相制版用铜板材标记为：</w:t>
                  </w:r>
                </w:p>
                <w:p>
                  <w:pPr>
                    <w:spacing w:line="240" w:lineRule="auto"/>
                    <w:jc w:val="center"/>
                    <w:rPr>
                      <w:rFonts w:ascii="宋体" w:hAnsi="宋体"/>
                      <w:sz w:val="18"/>
                      <w:szCs w:val="18"/>
                      <w:lang w:val="de-DE"/>
                    </w:rPr>
                  </w:pPr>
                  <w:r>
                    <w:rPr>
                      <w:rFonts w:hint="eastAsia" w:ascii="宋体" w:hAnsi="宋体"/>
                      <w:sz w:val="18"/>
                      <w:szCs w:val="18"/>
                    </w:rPr>
                    <w:t>照相铜板</w:t>
                  </w:r>
                  <w:r>
                    <w:rPr>
                      <w:rFonts w:hint="eastAsia" w:ascii="宋体" w:hAnsi="宋体"/>
                      <w:bCs/>
                      <w:sz w:val="18"/>
                      <w:szCs w:val="18"/>
                      <w:lang w:val="de-DE"/>
                    </w:rPr>
                    <w:t>YS/T 567-</w:t>
                  </w:r>
                  <w:r>
                    <w:rPr>
                      <w:rFonts w:hint="eastAsia" w:ascii="宋体" w:hAnsi="宋体"/>
                      <w:sz w:val="18"/>
                      <w:szCs w:val="18"/>
                      <w:lang w:val="de-DE"/>
                    </w:rPr>
                    <w:t>T2</w:t>
                  </w:r>
                  <w:r>
                    <w:rPr>
                      <w:rFonts w:hint="eastAsia" w:asciiTheme="minorEastAsia" w:hAnsiTheme="minorEastAsia" w:eastAsiaTheme="minorEastAsia"/>
                      <w:sz w:val="18"/>
                      <w:szCs w:val="18"/>
                      <w:lang w:val="de-DE"/>
                    </w:rPr>
                    <w:t>H04</w:t>
                  </w:r>
                  <w:r>
                    <w:rPr>
                      <w:rFonts w:hint="eastAsia" w:ascii="宋体" w:hAnsi="宋体"/>
                      <w:bCs/>
                      <w:sz w:val="18"/>
                      <w:szCs w:val="18"/>
                      <w:lang w:val="de-DE"/>
                    </w:rPr>
                    <w:t>-</w:t>
                  </w:r>
                  <w:r>
                    <w:rPr>
                      <w:rFonts w:hint="eastAsia" w:ascii="宋体" w:hAnsi="宋体"/>
                      <w:sz w:val="18"/>
                      <w:szCs w:val="18"/>
                      <w:lang w:val="de-DE"/>
                    </w:rPr>
                    <w:t>0,8×400×1000</w:t>
                  </w:r>
                </w:p>
                <w:p>
                  <w:pPr>
                    <w:spacing w:line="240" w:lineRule="auto"/>
                    <w:ind w:firstLine="2250" w:firstLineChars="1250"/>
                    <w:rPr>
                      <w:rFonts w:ascii="宋体" w:hAnsi="宋体"/>
                      <w:sz w:val="18"/>
                      <w:szCs w:val="18"/>
                    </w:rPr>
                  </w:pPr>
                  <w:r>
                    <w:rPr>
                      <w:rFonts w:hint="eastAsia" w:ascii="宋体" w:hAnsi="宋体"/>
                      <w:sz w:val="18"/>
                      <w:szCs w:val="18"/>
                    </w:rPr>
                    <w:t xml:space="preserve"> 或  照相铜板YS/T 567-</w:t>
                  </w:r>
                  <w:r>
                    <w:rPr>
                      <w:rFonts w:ascii="宋体" w:hAnsi="宋体"/>
                      <w:sz w:val="18"/>
                      <w:szCs w:val="18"/>
                    </w:rPr>
                    <w:t>T11050</w:t>
                  </w:r>
                  <w:r>
                    <w:rPr>
                      <w:rFonts w:hint="eastAsia" w:asciiTheme="minorEastAsia" w:hAnsiTheme="minorEastAsia" w:eastAsiaTheme="minorEastAsia"/>
                      <w:sz w:val="18"/>
                      <w:szCs w:val="18"/>
                      <w:lang w:val="de-DE"/>
                    </w:rPr>
                    <w:t>H04</w:t>
                  </w:r>
                  <w:r>
                    <w:rPr>
                      <w:rFonts w:hint="eastAsia" w:ascii="宋体" w:hAnsi="宋体"/>
                      <w:bCs/>
                      <w:sz w:val="18"/>
                      <w:szCs w:val="18"/>
                      <w:lang w:val="de-DE"/>
                    </w:rPr>
                    <w:t>-</w:t>
                  </w:r>
                  <w:r>
                    <w:rPr>
                      <w:rFonts w:hint="eastAsia" w:ascii="宋体" w:hAnsi="宋体"/>
                      <w:sz w:val="18"/>
                      <w:szCs w:val="18"/>
                      <w:lang w:val="de-DE"/>
                    </w:rPr>
                    <w:t>0,8×400×1000</w:t>
                  </w:r>
                </w:p>
              </w:txbxContent>
            </v:textbox>
          </v:shape>
        </w:pict>
      </w:r>
    </w:p>
    <w:p>
      <w:pPr>
        <w:spacing w:line="340" w:lineRule="exact"/>
        <w:ind w:firstLine="360" w:firstLineChars="200"/>
        <w:rPr>
          <w:rFonts w:ascii="宋体" w:hAnsi="宋体"/>
          <w:sz w:val="18"/>
          <w:szCs w:val="18"/>
        </w:rPr>
      </w:pPr>
    </w:p>
    <w:p>
      <w:pPr>
        <w:spacing w:line="340" w:lineRule="exact"/>
        <w:ind w:firstLine="360" w:firstLineChars="200"/>
        <w:rPr>
          <w:rFonts w:ascii="宋体" w:hAnsi="宋体"/>
          <w:sz w:val="18"/>
          <w:szCs w:val="18"/>
        </w:rPr>
      </w:pPr>
    </w:p>
    <w:p>
      <w:pPr>
        <w:spacing w:line="340" w:lineRule="exact"/>
        <w:ind w:firstLine="360" w:firstLineChars="200"/>
        <w:rPr>
          <w:rFonts w:ascii="黑体" w:hAnsi="宋体" w:eastAsia="黑体"/>
          <w:bCs/>
          <w:sz w:val="18"/>
          <w:szCs w:val="18"/>
        </w:rPr>
      </w:pPr>
    </w:p>
    <w:p>
      <w:pPr>
        <w:spacing w:line="340" w:lineRule="exact"/>
        <w:ind w:firstLine="360" w:firstLineChars="200"/>
        <w:rPr>
          <w:rFonts w:ascii="黑体" w:hAnsi="宋体" w:eastAsia="黑体"/>
          <w:sz w:val="18"/>
          <w:szCs w:val="18"/>
        </w:rPr>
      </w:pPr>
      <w:r>
        <w:rPr>
          <w:rFonts w:hint="eastAsia" w:ascii="黑体" w:hAnsi="宋体" w:eastAsia="黑体"/>
          <w:bCs/>
          <w:sz w:val="18"/>
          <w:szCs w:val="18"/>
        </w:rPr>
        <w:t>示例2</w:t>
      </w:r>
      <w:r>
        <w:rPr>
          <w:rFonts w:hint="eastAsia" w:ascii="黑体" w:hAnsi="宋体" w:eastAsia="黑体"/>
          <w:sz w:val="18"/>
          <w:szCs w:val="18"/>
        </w:rPr>
        <w:t>：</w:t>
      </w:r>
    </w:p>
    <w:p>
      <w:pPr>
        <w:spacing w:line="340" w:lineRule="exact"/>
        <w:ind w:firstLine="360" w:firstLineChars="200"/>
        <w:rPr>
          <w:rFonts w:ascii="宋体" w:hAnsi="宋体"/>
          <w:sz w:val="18"/>
          <w:szCs w:val="18"/>
        </w:rPr>
      </w:pPr>
      <w:r>
        <w:rPr>
          <w:rFonts w:ascii="宋体" w:hAnsi="宋体"/>
          <w:sz w:val="18"/>
          <w:szCs w:val="18"/>
        </w:rPr>
        <w:pict>
          <v:shape id="_x0000_s1137" o:spid="_x0000_s1137" o:spt="202" type="#_x0000_t202" style="position:absolute;left:0pt;margin-left:3.65pt;margin-top:13.1pt;height:58.5pt;width:433.7pt;z-index:251664384;mso-width-relative:margin;mso-height-relative:margin;" coordsize="21600,21600">
            <v:path/>
            <v:fill focussize="0,0"/>
            <v:stroke joinstyle="miter"/>
            <v:imagedata o:title=""/>
            <o:lock v:ext="edit"/>
            <v:textbox>
              <w:txbxContent>
                <w:p>
                  <w:pPr>
                    <w:spacing w:line="240" w:lineRule="auto"/>
                    <w:ind w:firstLine="180" w:firstLineChars="100"/>
                    <w:rPr>
                      <w:rFonts w:ascii="宋体" w:hAnsi="宋体"/>
                      <w:sz w:val="18"/>
                      <w:szCs w:val="18"/>
                    </w:rPr>
                  </w:pPr>
                  <w:r>
                    <w:rPr>
                      <w:rFonts w:hint="eastAsia" w:ascii="宋体" w:hAnsi="宋体"/>
                      <w:sz w:val="18"/>
                      <w:szCs w:val="18"/>
                    </w:rPr>
                    <w:t>用T2（</w:t>
                  </w:r>
                  <w:r>
                    <w:rPr>
                      <w:rFonts w:ascii="宋体" w:hAnsi="宋体"/>
                      <w:sz w:val="18"/>
                      <w:szCs w:val="18"/>
                      <w:lang w:val="de-DE"/>
                    </w:rPr>
                    <w:t>T11050</w:t>
                  </w:r>
                  <w:r>
                    <w:rPr>
                      <w:rFonts w:hint="eastAsia" w:ascii="宋体" w:hAnsi="宋体"/>
                      <w:sz w:val="18"/>
                      <w:szCs w:val="18"/>
                    </w:rPr>
                    <w:t>）制造的、硬（H04）、尺寸精度为高精级、厚度为0.8mm、宽度为600mm、长度为1200mm的照相制版用铜板材标记为：</w:t>
                  </w:r>
                </w:p>
                <w:p>
                  <w:pPr>
                    <w:spacing w:line="240" w:lineRule="auto"/>
                    <w:jc w:val="center"/>
                    <w:rPr>
                      <w:rFonts w:ascii="宋体" w:hAnsi="宋体"/>
                      <w:sz w:val="18"/>
                      <w:szCs w:val="18"/>
                      <w:lang w:val="de-DE"/>
                    </w:rPr>
                  </w:pPr>
                  <w:r>
                    <w:rPr>
                      <w:rFonts w:hint="eastAsia" w:ascii="宋体" w:hAnsi="宋体"/>
                      <w:sz w:val="18"/>
                      <w:szCs w:val="18"/>
                    </w:rPr>
                    <w:t>照相铜板</w:t>
                  </w:r>
                  <w:r>
                    <w:rPr>
                      <w:rFonts w:hint="eastAsia" w:ascii="宋体" w:hAnsi="宋体"/>
                      <w:bCs/>
                      <w:sz w:val="18"/>
                      <w:szCs w:val="18"/>
                      <w:lang w:val="de-DE"/>
                    </w:rPr>
                    <w:t>YS/T 567-</w:t>
                  </w:r>
                  <w:r>
                    <w:rPr>
                      <w:rFonts w:hint="eastAsia" w:ascii="宋体" w:hAnsi="宋体"/>
                      <w:sz w:val="18"/>
                      <w:szCs w:val="18"/>
                      <w:lang w:val="de-DE"/>
                    </w:rPr>
                    <w:t>T2</w:t>
                  </w:r>
                  <w:r>
                    <w:rPr>
                      <w:rFonts w:hint="eastAsia" w:asciiTheme="minorEastAsia" w:hAnsiTheme="minorEastAsia" w:eastAsiaTheme="minorEastAsia"/>
                      <w:sz w:val="18"/>
                      <w:szCs w:val="18"/>
                      <w:lang w:val="de-DE"/>
                    </w:rPr>
                    <w:t>H04高</w:t>
                  </w:r>
                  <w:r>
                    <w:rPr>
                      <w:rFonts w:hint="eastAsia" w:ascii="宋体" w:hAnsi="宋体"/>
                      <w:bCs/>
                      <w:sz w:val="18"/>
                      <w:szCs w:val="18"/>
                      <w:lang w:val="de-DE"/>
                    </w:rPr>
                    <w:t>-</w:t>
                  </w:r>
                  <w:r>
                    <w:rPr>
                      <w:rFonts w:hint="eastAsia" w:ascii="宋体" w:hAnsi="宋体"/>
                      <w:sz w:val="18"/>
                      <w:szCs w:val="18"/>
                      <w:lang w:val="de-DE"/>
                    </w:rPr>
                    <w:t>0,8×600×1200</w:t>
                  </w:r>
                </w:p>
                <w:p>
                  <w:pPr>
                    <w:spacing w:line="240" w:lineRule="auto"/>
                    <w:jc w:val="center"/>
                  </w:pPr>
                  <w:r>
                    <w:rPr>
                      <w:rFonts w:hint="eastAsia" w:ascii="宋体" w:hAnsi="宋体"/>
                      <w:sz w:val="18"/>
                      <w:szCs w:val="18"/>
                    </w:rPr>
                    <w:t xml:space="preserve"> 或  照相铜板YS/T 567-</w:t>
                  </w:r>
                  <w:r>
                    <w:rPr>
                      <w:rFonts w:ascii="宋体" w:hAnsi="宋体"/>
                      <w:sz w:val="18"/>
                      <w:szCs w:val="18"/>
                    </w:rPr>
                    <w:t>T11050</w:t>
                  </w:r>
                  <w:r>
                    <w:rPr>
                      <w:rFonts w:hint="eastAsia" w:asciiTheme="minorEastAsia" w:hAnsiTheme="minorEastAsia" w:eastAsiaTheme="minorEastAsia"/>
                      <w:sz w:val="18"/>
                      <w:szCs w:val="18"/>
                      <w:lang w:val="de-DE"/>
                    </w:rPr>
                    <w:t>H04高</w:t>
                  </w:r>
                  <w:r>
                    <w:rPr>
                      <w:rFonts w:hint="eastAsia" w:ascii="宋体" w:hAnsi="宋体"/>
                      <w:bCs/>
                      <w:sz w:val="18"/>
                      <w:szCs w:val="18"/>
                      <w:lang w:val="de-DE"/>
                    </w:rPr>
                    <w:t>-</w:t>
                  </w:r>
                  <w:r>
                    <w:rPr>
                      <w:rFonts w:hint="eastAsia" w:ascii="宋体" w:hAnsi="宋体"/>
                      <w:sz w:val="18"/>
                      <w:szCs w:val="18"/>
                      <w:lang w:val="de-DE"/>
                    </w:rPr>
                    <w:t>0,8×400×1000</w:t>
                  </w:r>
                </w:p>
              </w:txbxContent>
            </v:textbox>
          </v:shape>
        </w:pict>
      </w:r>
    </w:p>
    <w:p>
      <w:pPr>
        <w:spacing w:line="340" w:lineRule="exact"/>
        <w:ind w:firstLine="360" w:firstLineChars="200"/>
        <w:rPr>
          <w:rFonts w:ascii="宋体" w:hAnsi="宋体"/>
          <w:sz w:val="18"/>
          <w:szCs w:val="18"/>
        </w:rPr>
      </w:pPr>
    </w:p>
    <w:p>
      <w:pPr>
        <w:spacing w:line="340" w:lineRule="exact"/>
        <w:ind w:firstLine="360" w:firstLineChars="200"/>
        <w:rPr>
          <w:rFonts w:ascii="宋体" w:hAnsi="宋体"/>
          <w:sz w:val="18"/>
          <w:szCs w:val="18"/>
        </w:rPr>
      </w:pPr>
    </w:p>
    <w:p>
      <w:pPr>
        <w:pStyle w:val="3"/>
        <w:spacing w:before="240" w:after="240"/>
      </w:pPr>
    </w:p>
    <w:p>
      <w:pPr>
        <w:pStyle w:val="2"/>
        <w:spacing w:before="240" w:after="240"/>
        <w:rPr>
          <w:lang w:val="de-DE"/>
        </w:rPr>
      </w:pPr>
      <w:r>
        <w:rPr>
          <w:rFonts w:hint="eastAsia"/>
          <w:lang w:val="de-DE"/>
        </w:rPr>
        <w:t>5  技术</w:t>
      </w:r>
      <w:r>
        <w:rPr>
          <w:rFonts w:hint="eastAsia"/>
        </w:rPr>
        <w:t>要求</w:t>
      </w:r>
    </w:p>
    <w:p>
      <w:pPr>
        <w:spacing w:beforeLines="100" w:afterLines="100" w:line="240" w:lineRule="auto"/>
        <w:rPr>
          <w:rFonts w:ascii="黑体" w:eastAsia="黑体"/>
          <w:sz w:val="21"/>
          <w:lang w:val="de-DE"/>
        </w:rPr>
      </w:pPr>
      <w:r>
        <w:rPr>
          <w:rFonts w:hint="eastAsia" w:ascii="黑体" w:eastAsia="黑体"/>
          <w:sz w:val="21"/>
          <w:lang w:val="de-DE"/>
        </w:rPr>
        <w:t xml:space="preserve">5.1  </w:t>
      </w:r>
      <w:r>
        <w:rPr>
          <w:rFonts w:hint="eastAsia" w:ascii="黑体" w:hAnsi="宋体" w:eastAsia="黑体"/>
          <w:sz w:val="21"/>
        </w:rPr>
        <w:t>化学成分</w:t>
      </w:r>
    </w:p>
    <w:p>
      <w:pPr>
        <w:spacing w:line="240" w:lineRule="auto"/>
        <w:ind w:firstLine="420" w:firstLineChars="200"/>
        <w:rPr>
          <w:rFonts w:ascii="宋体" w:hAnsi="宋体"/>
          <w:lang w:val="de-DE"/>
        </w:rPr>
      </w:pPr>
      <w:r>
        <w:rPr>
          <w:rFonts w:hint="eastAsia" w:ascii="宋体" w:hAnsi="宋体"/>
          <w:sz w:val="21"/>
          <w:szCs w:val="21"/>
        </w:rPr>
        <w:t>板</w:t>
      </w:r>
      <w:r>
        <w:rPr>
          <w:rFonts w:hint="eastAsia"/>
          <w:sz w:val="21"/>
          <w:szCs w:val="21"/>
        </w:rPr>
        <w:t>材</w:t>
      </w:r>
      <w:r>
        <w:rPr>
          <w:rFonts w:hint="eastAsia" w:ascii="宋体" w:hAnsi="宋体"/>
          <w:sz w:val="21"/>
          <w:szCs w:val="21"/>
        </w:rPr>
        <w:t>化学成分应符合</w:t>
      </w:r>
      <w:r>
        <w:rPr>
          <w:rFonts w:hint="eastAsia" w:ascii="宋体" w:hAnsi="宋体"/>
          <w:sz w:val="21"/>
          <w:szCs w:val="21"/>
          <w:lang w:val="de-DE"/>
        </w:rPr>
        <w:t>GB/T 5231中相应牌号</w:t>
      </w:r>
      <w:r>
        <w:rPr>
          <w:rFonts w:hint="eastAsia" w:ascii="宋体" w:hAnsi="宋体"/>
          <w:sz w:val="21"/>
          <w:szCs w:val="21"/>
        </w:rPr>
        <w:t>的规定。</w:t>
      </w:r>
    </w:p>
    <w:p>
      <w:pPr>
        <w:pStyle w:val="3"/>
        <w:spacing w:before="240" w:after="240"/>
      </w:pPr>
      <w:r>
        <w:rPr>
          <w:rFonts w:hint="eastAsia" w:ascii="仿宋_GB2312" w:eastAsia="仿宋_GB2312"/>
        </w:rPr>
        <w:t xml:space="preserve">5.2  </w:t>
      </w:r>
      <w:r>
        <w:rPr>
          <w:rFonts w:hint="eastAsia"/>
        </w:rPr>
        <w:t>外形尺寸及其允许偏差</w:t>
      </w:r>
    </w:p>
    <w:p>
      <w:pPr>
        <w:pStyle w:val="3"/>
        <w:spacing w:before="240" w:after="240"/>
      </w:pPr>
      <w:r>
        <w:rPr>
          <w:rFonts w:hint="eastAsia" w:ascii="黑体" w:eastAsia="黑体"/>
        </w:rPr>
        <w:t>5.2.1</w:t>
      </w:r>
      <w:r>
        <w:rPr>
          <w:rFonts w:hint="eastAsia"/>
        </w:rPr>
        <w:t xml:space="preserve">  厚度及其允许偏差</w:t>
      </w:r>
    </w:p>
    <w:p>
      <w:pPr>
        <w:pStyle w:val="3"/>
        <w:spacing w:before="240" w:after="240"/>
        <w:ind w:firstLine="420" w:firstLineChars="200"/>
      </w:pPr>
      <w:r>
        <w:rPr>
          <w:rFonts w:hint="eastAsia"/>
        </w:rPr>
        <w:t>板材的厚度及其允许偏差应符合表2的规定。</w:t>
      </w:r>
    </w:p>
    <w:p>
      <w:pPr>
        <w:spacing w:beforeLines="100" w:afterLines="100" w:line="240" w:lineRule="auto"/>
        <w:ind w:firstLine="3675" w:firstLineChars="1750"/>
        <w:rPr>
          <w:rFonts w:ascii="黑体" w:eastAsia="黑体"/>
          <w:sz w:val="21"/>
          <w:szCs w:val="21"/>
        </w:rPr>
      </w:pPr>
      <w:r>
        <w:rPr>
          <w:rFonts w:hint="eastAsia" w:ascii="黑体" w:eastAsia="黑体"/>
          <w:sz w:val="21"/>
          <w:szCs w:val="21"/>
        </w:rPr>
        <w:t>表2  板材厚度及其允许偏差</w:t>
      </w:r>
    </w:p>
    <w:p>
      <w:pPr>
        <w:spacing w:line="240" w:lineRule="auto"/>
        <w:ind w:right="181" w:firstLine="3150" w:firstLineChars="1750"/>
        <w:jc w:val="right"/>
        <w:rPr>
          <w:sz w:val="18"/>
          <w:szCs w:val="18"/>
        </w:rPr>
      </w:pPr>
      <w:r>
        <w:rPr>
          <w:rFonts w:hint="eastAsia"/>
          <w:sz w:val="18"/>
          <w:szCs w:val="18"/>
        </w:rPr>
        <w:t>单位为毫米</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1735"/>
        <w:gridCol w:w="1861"/>
        <w:gridCol w:w="19"/>
        <w:gridCol w:w="1530"/>
        <w:gridCol w:w="14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2190" w:type="dxa"/>
            <w:vMerge w:val="restart"/>
            <w:vAlign w:val="center"/>
          </w:tcPr>
          <w:p>
            <w:pPr>
              <w:spacing w:line="240" w:lineRule="auto"/>
              <w:jc w:val="center"/>
              <w:rPr>
                <w:rFonts w:ascii="宋体" w:hAnsi="宋体"/>
                <w:sz w:val="18"/>
                <w:szCs w:val="18"/>
              </w:rPr>
            </w:pPr>
            <w:r>
              <w:rPr>
                <w:rFonts w:hint="eastAsia" w:ascii="宋体" w:hAnsi="宋体"/>
                <w:color w:val="FF0000"/>
                <w:sz w:val="18"/>
                <w:szCs w:val="18"/>
              </w:rPr>
              <w:t>公称</w:t>
            </w:r>
            <w:r>
              <w:rPr>
                <w:rFonts w:hint="eastAsia" w:ascii="宋体" w:hAnsi="宋体"/>
                <w:sz w:val="18"/>
                <w:szCs w:val="18"/>
              </w:rPr>
              <w:t>厚度</w:t>
            </w:r>
          </w:p>
        </w:tc>
        <w:tc>
          <w:tcPr>
            <w:tcW w:w="6550" w:type="dxa"/>
            <w:gridSpan w:val="5"/>
            <w:vAlign w:val="center"/>
          </w:tcPr>
          <w:p>
            <w:pPr>
              <w:spacing w:line="240" w:lineRule="auto"/>
              <w:jc w:val="center"/>
              <w:rPr>
                <w:rFonts w:ascii="宋体" w:hAnsi="宋体"/>
                <w:sz w:val="18"/>
                <w:szCs w:val="18"/>
              </w:rPr>
            </w:pPr>
            <w:r>
              <w:rPr>
                <w:rFonts w:hint="eastAsia" w:ascii="宋体" w:hAnsi="宋体"/>
                <w:sz w:val="18"/>
                <w:szCs w:val="18"/>
              </w:rPr>
              <w:t>宽度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2190" w:type="dxa"/>
            <w:vMerge w:val="continue"/>
            <w:vAlign w:val="center"/>
          </w:tcPr>
          <w:p>
            <w:pPr>
              <w:spacing w:line="240" w:lineRule="auto"/>
              <w:jc w:val="center"/>
              <w:rPr>
                <w:rFonts w:ascii="宋体" w:hAnsi="宋体"/>
                <w:sz w:val="18"/>
                <w:szCs w:val="18"/>
              </w:rPr>
            </w:pPr>
          </w:p>
        </w:tc>
        <w:tc>
          <w:tcPr>
            <w:tcW w:w="3596" w:type="dxa"/>
            <w:gridSpan w:val="2"/>
            <w:vAlign w:val="center"/>
          </w:tcPr>
          <w:p>
            <w:pPr>
              <w:spacing w:line="240" w:lineRule="auto"/>
              <w:jc w:val="center"/>
              <w:rPr>
                <w:rFonts w:ascii="宋体" w:hAnsi="宋体"/>
                <w:sz w:val="18"/>
                <w:szCs w:val="18"/>
              </w:rPr>
            </w:pPr>
            <w:r>
              <w:rPr>
                <w:rFonts w:hint="eastAsia" w:ascii="宋体" w:hAnsi="宋体"/>
                <w:sz w:val="18"/>
                <w:szCs w:val="18"/>
              </w:rPr>
              <w:t>400～＜600</w:t>
            </w:r>
          </w:p>
        </w:tc>
        <w:tc>
          <w:tcPr>
            <w:tcW w:w="2954" w:type="dxa"/>
            <w:gridSpan w:val="3"/>
            <w:vAlign w:val="center"/>
          </w:tcPr>
          <w:p>
            <w:pPr>
              <w:spacing w:line="240" w:lineRule="auto"/>
              <w:jc w:val="center"/>
              <w:rPr>
                <w:rFonts w:ascii="宋体" w:hAnsi="宋体"/>
                <w:sz w:val="18"/>
                <w:szCs w:val="18"/>
              </w:rPr>
            </w:pPr>
            <w:r>
              <w:rPr>
                <w:rFonts w:hint="eastAsia" w:ascii="宋体" w:hAnsi="宋体"/>
                <w:sz w:val="18"/>
                <w:szCs w:val="18"/>
              </w:rPr>
              <w:t>600～880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2190" w:type="dxa"/>
            <w:vMerge w:val="continue"/>
            <w:vAlign w:val="center"/>
          </w:tcPr>
          <w:p>
            <w:pPr>
              <w:spacing w:line="240" w:lineRule="auto"/>
              <w:jc w:val="center"/>
              <w:rPr>
                <w:rFonts w:ascii="宋体" w:hAnsi="宋体"/>
                <w:sz w:val="18"/>
                <w:szCs w:val="18"/>
              </w:rPr>
            </w:pPr>
          </w:p>
        </w:tc>
        <w:tc>
          <w:tcPr>
            <w:tcW w:w="6550" w:type="dxa"/>
            <w:gridSpan w:val="5"/>
            <w:vAlign w:val="center"/>
          </w:tcPr>
          <w:p>
            <w:pPr>
              <w:spacing w:line="240" w:lineRule="auto"/>
              <w:jc w:val="center"/>
              <w:rPr>
                <w:rFonts w:ascii="宋体" w:hAnsi="宋体"/>
                <w:sz w:val="18"/>
                <w:szCs w:val="18"/>
              </w:rPr>
            </w:pPr>
            <w:r>
              <w:rPr>
                <w:rFonts w:hint="eastAsia" w:ascii="宋体" w:hAnsi="宋体"/>
                <w:sz w:val="18"/>
                <w:szCs w:val="18"/>
              </w:rPr>
              <w:t>厚度允许偏差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2190" w:type="dxa"/>
            <w:vMerge w:val="continue"/>
            <w:tcBorders>
              <w:bottom w:val="single" w:color="auto" w:sz="8" w:space="0"/>
            </w:tcBorders>
            <w:vAlign w:val="center"/>
          </w:tcPr>
          <w:p>
            <w:pPr>
              <w:spacing w:line="240" w:lineRule="auto"/>
              <w:jc w:val="center"/>
              <w:rPr>
                <w:rFonts w:ascii="宋体" w:hAnsi="宋体"/>
                <w:sz w:val="18"/>
                <w:szCs w:val="18"/>
              </w:rPr>
            </w:pPr>
          </w:p>
        </w:tc>
        <w:tc>
          <w:tcPr>
            <w:tcW w:w="1735"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普通级</w:t>
            </w:r>
          </w:p>
        </w:tc>
        <w:tc>
          <w:tcPr>
            <w:tcW w:w="1880" w:type="dxa"/>
            <w:gridSpan w:val="2"/>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高精级</w:t>
            </w:r>
          </w:p>
        </w:tc>
        <w:tc>
          <w:tcPr>
            <w:tcW w:w="1530"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普通级</w:t>
            </w:r>
          </w:p>
        </w:tc>
        <w:tc>
          <w:tcPr>
            <w:tcW w:w="1405"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高精级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190" w:type="dxa"/>
            <w:tcBorders>
              <w:top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0.7、0.8</w:t>
            </w:r>
          </w:p>
        </w:tc>
        <w:tc>
          <w:tcPr>
            <w:tcW w:w="1735" w:type="dxa"/>
            <w:tcBorders>
              <w:top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±0.035</w:t>
            </w:r>
          </w:p>
        </w:tc>
        <w:tc>
          <w:tcPr>
            <w:tcW w:w="1880" w:type="dxa"/>
            <w:gridSpan w:val="2"/>
            <w:tcBorders>
              <w:top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±0.030</w:t>
            </w:r>
          </w:p>
        </w:tc>
        <w:tc>
          <w:tcPr>
            <w:tcW w:w="1530" w:type="dxa"/>
            <w:tcBorders>
              <w:top w:val="single" w:color="auto" w:sz="8" w:space="0"/>
            </w:tcBorders>
            <w:vAlign w:val="center"/>
          </w:tcPr>
          <w:p>
            <w:pPr>
              <w:spacing w:line="240" w:lineRule="auto"/>
              <w:jc w:val="center"/>
            </w:pPr>
            <w:r>
              <w:rPr>
                <w:rFonts w:hint="eastAsia" w:ascii="宋体" w:hAnsi="宋体"/>
                <w:sz w:val="18"/>
                <w:szCs w:val="18"/>
              </w:rPr>
              <w:t>—</w:t>
            </w:r>
          </w:p>
        </w:tc>
        <w:tc>
          <w:tcPr>
            <w:tcW w:w="1405" w:type="dxa"/>
            <w:tcBorders>
              <w:top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190" w:type="dxa"/>
            <w:vAlign w:val="center"/>
          </w:tcPr>
          <w:p>
            <w:pPr>
              <w:spacing w:line="240" w:lineRule="auto"/>
              <w:jc w:val="center"/>
              <w:rPr>
                <w:rFonts w:ascii="宋体" w:hAnsi="宋体"/>
                <w:sz w:val="18"/>
                <w:szCs w:val="18"/>
              </w:rPr>
            </w:pPr>
            <w:r>
              <w:rPr>
                <w:rFonts w:hint="eastAsia" w:ascii="宋体" w:hAnsi="宋体"/>
                <w:sz w:val="18"/>
                <w:szCs w:val="18"/>
              </w:rPr>
              <w:t>1.0、1.12、1.2</w:t>
            </w:r>
          </w:p>
        </w:tc>
        <w:tc>
          <w:tcPr>
            <w:tcW w:w="1735" w:type="dxa"/>
            <w:vAlign w:val="center"/>
          </w:tcPr>
          <w:p>
            <w:pPr>
              <w:spacing w:line="240" w:lineRule="auto"/>
              <w:jc w:val="center"/>
              <w:rPr>
                <w:rFonts w:ascii="宋体" w:hAnsi="宋体"/>
                <w:sz w:val="18"/>
                <w:szCs w:val="18"/>
              </w:rPr>
            </w:pPr>
            <w:r>
              <w:rPr>
                <w:rFonts w:hint="eastAsia" w:ascii="宋体" w:hAnsi="宋体"/>
                <w:sz w:val="18"/>
                <w:szCs w:val="18"/>
              </w:rPr>
              <w:t>±0.040</w:t>
            </w:r>
          </w:p>
        </w:tc>
        <w:tc>
          <w:tcPr>
            <w:tcW w:w="1880" w:type="dxa"/>
            <w:gridSpan w:val="2"/>
            <w:vAlign w:val="center"/>
          </w:tcPr>
          <w:p>
            <w:pPr>
              <w:spacing w:line="240" w:lineRule="auto"/>
              <w:jc w:val="center"/>
              <w:rPr>
                <w:rFonts w:ascii="宋体" w:hAnsi="宋体"/>
                <w:sz w:val="18"/>
                <w:szCs w:val="18"/>
              </w:rPr>
            </w:pPr>
            <w:r>
              <w:rPr>
                <w:rFonts w:hint="eastAsia" w:ascii="宋体" w:hAnsi="宋体"/>
                <w:sz w:val="18"/>
                <w:szCs w:val="18"/>
              </w:rPr>
              <w:t>±0.030</w:t>
            </w:r>
          </w:p>
        </w:tc>
        <w:tc>
          <w:tcPr>
            <w:tcW w:w="1530" w:type="dxa"/>
            <w:vAlign w:val="center"/>
          </w:tcPr>
          <w:p>
            <w:pPr>
              <w:spacing w:line="240" w:lineRule="auto"/>
              <w:jc w:val="center"/>
            </w:pPr>
            <w:r>
              <w:rPr>
                <w:rFonts w:hint="eastAsia" w:ascii="宋体" w:hAnsi="宋体"/>
                <w:sz w:val="18"/>
                <w:szCs w:val="18"/>
              </w:rPr>
              <w:t>±0.065</w:t>
            </w:r>
          </w:p>
        </w:tc>
        <w:tc>
          <w:tcPr>
            <w:tcW w:w="1405" w:type="dxa"/>
            <w:vAlign w:val="center"/>
          </w:tcPr>
          <w:p>
            <w:pPr>
              <w:spacing w:line="240" w:lineRule="auto"/>
              <w:jc w:val="center"/>
              <w:rPr>
                <w:rFonts w:ascii="宋体" w:hAnsi="宋体"/>
              </w:rPr>
            </w:pPr>
            <w:r>
              <w:rPr>
                <w:rFonts w:hint="eastAsia" w:ascii="宋体" w:hAnsi="宋体"/>
                <w:sz w:val="18"/>
                <w:szCs w:val="18"/>
              </w:rPr>
              <w:t>±0.030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190" w:type="dxa"/>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1.4、1.5</w:t>
            </w:r>
          </w:p>
        </w:tc>
        <w:tc>
          <w:tcPr>
            <w:tcW w:w="1735" w:type="dxa"/>
            <w:tcBorders>
              <w:bottom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±0.045</w:t>
            </w:r>
          </w:p>
        </w:tc>
        <w:tc>
          <w:tcPr>
            <w:tcW w:w="1880" w:type="dxa"/>
            <w:gridSpan w:val="2"/>
            <w:vAlign w:val="center"/>
          </w:tcPr>
          <w:p>
            <w:pPr>
              <w:spacing w:line="240" w:lineRule="auto"/>
              <w:jc w:val="center"/>
              <w:rPr>
                <w:rFonts w:ascii="宋体" w:hAnsi="宋体"/>
                <w:sz w:val="18"/>
                <w:szCs w:val="18"/>
              </w:rPr>
            </w:pPr>
            <w:r>
              <w:rPr>
                <w:rFonts w:hint="eastAsia" w:ascii="宋体" w:hAnsi="宋体"/>
                <w:sz w:val="18"/>
                <w:szCs w:val="18"/>
              </w:rPr>
              <w:t>±0.030</w:t>
            </w:r>
          </w:p>
        </w:tc>
        <w:tc>
          <w:tcPr>
            <w:tcW w:w="1530" w:type="dxa"/>
            <w:vAlign w:val="center"/>
          </w:tcPr>
          <w:p>
            <w:pPr>
              <w:spacing w:line="240" w:lineRule="auto"/>
              <w:jc w:val="center"/>
              <w:rPr>
                <w:rFonts w:ascii="宋体" w:hAnsi="宋体"/>
                <w:sz w:val="18"/>
                <w:szCs w:val="18"/>
              </w:rPr>
            </w:pPr>
            <w:r>
              <w:rPr>
                <w:rFonts w:hint="eastAsia" w:ascii="宋体" w:hAnsi="宋体"/>
                <w:sz w:val="18"/>
                <w:szCs w:val="18"/>
              </w:rPr>
              <w:t>±0.075</w:t>
            </w:r>
          </w:p>
        </w:tc>
        <w:tc>
          <w:tcPr>
            <w:tcW w:w="1405" w:type="dxa"/>
            <w:vAlign w:val="center"/>
          </w:tcPr>
          <w:p>
            <w:pPr>
              <w:spacing w:line="240" w:lineRule="auto"/>
              <w:jc w:val="center"/>
              <w:rPr>
                <w:rFonts w:ascii="宋体" w:hAnsi="宋体"/>
              </w:rPr>
            </w:pPr>
            <w:r>
              <w:rPr>
                <w:rFonts w:hint="eastAsia" w:ascii="宋体" w:hAnsi="宋体"/>
                <w:sz w:val="18"/>
                <w:szCs w:val="18"/>
              </w:rPr>
              <w:t>±0.030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190" w:type="dxa"/>
            <w:tcBorders>
              <w:top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2.0</w:t>
            </w:r>
          </w:p>
        </w:tc>
        <w:tc>
          <w:tcPr>
            <w:tcW w:w="1735" w:type="dxa"/>
            <w:tcBorders>
              <w:top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±0.045</w:t>
            </w:r>
          </w:p>
        </w:tc>
        <w:tc>
          <w:tcPr>
            <w:tcW w:w="1880" w:type="dxa"/>
            <w:gridSpan w:val="2"/>
            <w:vAlign w:val="center"/>
          </w:tcPr>
          <w:p>
            <w:pPr>
              <w:spacing w:line="240" w:lineRule="auto"/>
              <w:jc w:val="center"/>
              <w:rPr>
                <w:rFonts w:ascii="宋体" w:hAnsi="宋体"/>
                <w:sz w:val="18"/>
                <w:szCs w:val="18"/>
              </w:rPr>
            </w:pPr>
            <w:r>
              <w:rPr>
                <w:rFonts w:hint="eastAsia" w:ascii="宋体" w:hAnsi="宋体"/>
                <w:sz w:val="18"/>
                <w:szCs w:val="18"/>
              </w:rPr>
              <w:t>±0.030</w:t>
            </w:r>
          </w:p>
        </w:tc>
        <w:tc>
          <w:tcPr>
            <w:tcW w:w="1530" w:type="dxa"/>
            <w:vAlign w:val="center"/>
          </w:tcPr>
          <w:p>
            <w:pPr>
              <w:spacing w:line="240" w:lineRule="auto"/>
              <w:jc w:val="center"/>
              <w:rPr>
                <w:rFonts w:ascii="宋体" w:hAnsi="宋体"/>
                <w:sz w:val="18"/>
                <w:szCs w:val="18"/>
              </w:rPr>
            </w:pPr>
            <w:r>
              <w:rPr>
                <w:rFonts w:hint="eastAsia" w:ascii="宋体" w:hAnsi="宋体"/>
                <w:sz w:val="18"/>
                <w:szCs w:val="18"/>
              </w:rPr>
              <w:t>±0.075</w:t>
            </w:r>
          </w:p>
        </w:tc>
        <w:tc>
          <w:tcPr>
            <w:tcW w:w="1405" w:type="dxa"/>
            <w:vAlign w:val="center"/>
          </w:tcPr>
          <w:p>
            <w:pPr>
              <w:spacing w:line="240" w:lineRule="auto"/>
              <w:jc w:val="center"/>
              <w:rPr>
                <w:rFonts w:ascii="宋体" w:hAnsi="宋体"/>
                <w:sz w:val="18"/>
                <w:szCs w:val="18"/>
              </w:rPr>
            </w:pPr>
            <w:r>
              <w:rPr>
                <w:rFonts w:hint="eastAsia" w:ascii="宋体" w:hAnsi="宋体"/>
                <w:sz w:val="18"/>
                <w:szCs w:val="18"/>
              </w:rPr>
              <w:t>±0.030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740" w:type="dxa"/>
            <w:gridSpan w:val="6"/>
            <w:tcBorders>
              <w:top w:val="single" w:color="auto" w:sz="8" w:space="0"/>
            </w:tcBorders>
            <w:vAlign w:val="center"/>
          </w:tcPr>
          <w:p>
            <w:pPr>
              <w:spacing w:line="240" w:lineRule="auto"/>
              <w:ind w:firstLine="360" w:firstLineChars="200"/>
              <w:rPr>
                <w:rFonts w:ascii="宋体" w:hAnsi="宋体" w:cs="黑体"/>
                <w:sz w:val="18"/>
                <w:szCs w:val="18"/>
              </w:rPr>
            </w:pPr>
            <w:r>
              <w:rPr>
                <w:rFonts w:hAnsi="宋体"/>
                <w:sz w:val="18"/>
                <w:szCs w:val="18"/>
                <w:vertAlign w:val="superscript"/>
              </w:rPr>
              <w:t xml:space="preserve">a </w:t>
            </w:r>
            <w:r>
              <w:rPr>
                <w:rFonts w:hint="eastAsia" w:hAnsi="宋体"/>
                <w:sz w:val="18"/>
                <w:szCs w:val="18"/>
              </w:rPr>
              <w:t>当要求厚度允许偏差全为（+）或全为（-）单向偏差时，其值为表中数值的</w:t>
            </w:r>
            <w:r>
              <w:rPr>
                <w:rFonts w:hAnsi="宋体"/>
                <w:sz w:val="18"/>
                <w:szCs w:val="18"/>
              </w:rPr>
              <w:t>2</w:t>
            </w:r>
            <w:r>
              <w:rPr>
                <w:rFonts w:hint="eastAsia" w:hAnsi="宋体"/>
                <w:sz w:val="18"/>
                <w:szCs w:val="18"/>
              </w:rPr>
              <w:t>倍。</w:t>
            </w:r>
          </w:p>
        </w:tc>
      </w:tr>
    </w:tbl>
    <w:p>
      <w:pPr>
        <w:pStyle w:val="3"/>
        <w:spacing w:before="240" w:after="240"/>
      </w:pPr>
      <w:r>
        <w:rPr>
          <w:rFonts w:hint="eastAsia"/>
        </w:rPr>
        <w:t>5.2.2  宽度及其允许偏差</w:t>
      </w:r>
    </w:p>
    <w:p>
      <w:pPr>
        <w:pStyle w:val="3"/>
        <w:spacing w:before="240" w:after="240"/>
      </w:pPr>
      <w:r>
        <w:rPr>
          <w:rFonts w:hint="eastAsia"/>
        </w:rPr>
        <w:t xml:space="preserve">    板材的宽度及其允许偏差应符合表3的规定。</w:t>
      </w:r>
    </w:p>
    <w:p>
      <w:pPr>
        <w:spacing w:beforeLines="100" w:afterLines="100" w:line="240" w:lineRule="exact"/>
        <w:ind w:firstLine="3675" w:firstLineChars="1750"/>
        <w:rPr>
          <w:rFonts w:ascii="黑体" w:eastAsia="黑体"/>
          <w:sz w:val="21"/>
          <w:szCs w:val="21"/>
        </w:rPr>
      </w:pPr>
      <w:r>
        <w:rPr>
          <w:rFonts w:hint="eastAsia" w:ascii="黑体" w:eastAsia="黑体"/>
          <w:sz w:val="21"/>
          <w:szCs w:val="21"/>
        </w:rPr>
        <w:t>表3  板材宽度及其允许偏差</w:t>
      </w:r>
    </w:p>
    <w:p>
      <w:pPr>
        <w:spacing w:line="240" w:lineRule="auto"/>
        <w:ind w:right="108" w:firstLine="3150" w:firstLineChars="1750"/>
        <w:jc w:val="right"/>
        <w:rPr>
          <w:sz w:val="18"/>
          <w:szCs w:val="18"/>
        </w:rPr>
      </w:pPr>
      <w:r>
        <w:rPr>
          <w:rFonts w:hint="eastAsia"/>
          <w:sz w:val="18"/>
          <w:szCs w:val="18"/>
        </w:rPr>
        <w:t>单位为毫米</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408"/>
        <w:gridCol w:w="2459"/>
        <w:gridCol w:w="2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408" w:type="dxa"/>
            <w:vMerge w:val="restart"/>
            <w:vAlign w:val="center"/>
          </w:tcPr>
          <w:p>
            <w:pPr>
              <w:spacing w:line="240" w:lineRule="auto"/>
              <w:jc w:val="center"/>
              <w:rPr>
                <w:rFonts w:ascii="宋体" w:hAnsi="宋体"/>
                <w:sz w:val="18"/>
                <w:szCs w:val="18"/>
              </w:rPr>
            </w:pPr>
            <w:r>
              <w:rPr>
                <w:rFonts w:hint="eastAsia" w:ascii="宋体" w:hAnsi="宋体"/>
                <w:color w:val="FF0000"/>
                <w:sz w:val="18"/>
                <w:szCs w:val="18"/>
              </w:rPr>
              <w:t>公称</w:t>
            </w:r>
            <w:r>
              <w:rPr>
                <w:rFonts w:hint="eastAsia" w:ascii="宋体" w:hAnsi="宋体"/>
                <w:sz w:val="18"/>
                <w:szCs w:val="18"/>
              </w:rPr>
              <w:t>厚度</w:t>
            </w:r>
          </w:p>
        </w:tc>
        <w:tc>
          <w:tcPr>
            <w:tcW w:w="5265" w:type="dxa"/>
            <w:gridSpan w:val="2"/>
            <w:vAlign w:val="center"/>
          </w:tcPr>
          <w:p>
            <w:pPr>
              <w:spacing w:line="240" w:lineRule="auto"/>
              <w:jc w:val="center"/>
              <w:rPr>
                <w:rFonts w:ascii="宋体" w:hAnsi="宋体"/>
                <w:sz w:val="18"/>
                <w:szCs w:val="18"/>
                <w:highlight w:val="yellow"/>
              </w:rPr>
            </w:pPr>
            <w:r>
              <w:rPr>
                <w:rFonts w:hint="eastAsia" w:ascii="宋体" w:hAnsi="宋体"/>
                <w:sz w:val="18"/>
                <w:szCs w:val="18"/>
              </w:rPr>
              <w:t>宽度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408" w:type="dxa"/>
            <w:vMerge w:val="continue"/>
            <w:vAlign w:val="center"/>
          </w:tcPr>
          <w:p>
            <w:pPr>
              <w:spacing w:line="240" w:lineRule="auto"/>
              <w:jc w:val="center"/>
              <w:rPr>
                <w:rFonts w:ascii="宋体" w:hAnsi="宋体"/>
                <w:sz w:val="18"/>
                <w:szCs w:val="18"/>
              </w:rPr>
            </w:pPr>
          </w:p>
        </w:tc>
        <w:tc>
          <w:tcPr>
            <w:tcW w:w="2459" w:type="dxa"/>
            <w:vAlign w:val="center"/>
          </w:tcPr>
          <w:p>
            <w:pPr>
              <w:spacing w:line="240" w:lineRule="auto"/>
              <w:jc w:val="center"/>
              <w:rPr>
                <w:rFonts w:ascii="宋体" w:hAnsi="宋体"/>
                <w:sz w:val="18"/>
                <w:szCs w:val="18"/>
              </w:rPr>
            </w:pPr>
            <w:r>
              <w:rPr>
                <w:rFonts w:hint="eastAsia" w:ascii="宋体" w:hAnsi="宋体"/>
                <w:sz w:val="18"/>
                <w:szCs w:val="18"/>
              </w:rPr>
              <w:t>400～＜600</w:t>
            </w:r>
          </w:p>
        </w:tc>
        <w:tc>
          <w:tcPr>
            <w:tcW w:w="2806" w:type="dxa"/>
            <w:vAlign w:val="center"/>
          </w:tcPr>
          <w:p>
            <w:pPr>
              <w:spacing w:line="240" w:lineRule="auto"/>
              <w:jc w:val="center"/>
              <w:rPr>
                <w:rFonts w:ascii="宋体" w:hAnsi="宋体"/>
                <w:sz w:val="18"/>
                <w:szCs w:val="18"/>
              </w:rPr>
            </w:pPr>
            <w:r>
              <w:rPr>
                <w:rFonts w:hint="eastAsia" w:ascii="宋体" w:hAnsi="宋体"/>
                <w:sz w:val="18"/>
                <w:szCs w:val="18"/>
              </w:rPr>
              <w:t>600～880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408" w:type="dxa"/>
            <w:vMerge w:val="continue"/>
            <w:vAlign w:val="center"/>
          </w:tcPr>
          <w:p>
            <w:pPr>
              <w:spacing w:line="240" w:lineRule="auto"/>
              <w:jc w:val="center"/>
              <w:rPr>
                <w:rFonts w:ascii="宋体" w:hAnsi="宋体"/>
                <w:sz w:val="18"/>
                <w:szCs w:val="18"/>
              </w:rPr>
            </w:pPr>
          </w:p>
        </w:tc>
        <w:tc>
          <w:tcPr>
            <w:tcW w:w="5265" w:type="dxa"/>
            <w:gridSpan w:val="2"/>
            <w:vAlign w:val="center"/>
          </w:tcPr>
          <w:p>
            <w:pPr>
              <w:spacing w:line="240" w:lineRule="auto"/>
              <w:jc w:val="center"/>
              <w:rPr>
                <w:rFonts w:ascii="宋体" w:hAnsi="宋体"/>
                <w:sz w:val="18"/>
                <w:szCs w:val="18"/>
              </w:rPr>
            </w:pPr>
            <w:r>
              <w:rPr>
                <w:rFonts w:hint="eastAsia" w:ascii="宋体" w:hAnsi="宋体"/>
                <w:sz w:val="18"/>
                <w:szCs w:val="18"/>
              </w:rPr>
              <w:t>宽度允许偏差</w:t>
            </w:r>
            <w:r>
              <w:rPr>
                <w:rFonts w:hint="eastAsia" w:ascii="宋体" w:hAnsi="宋体"/>
                <w:sz w:val="18"/>
                <w:szCs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08" w:type="dxa"/>
            <w:tcBorders>
              <w:top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0.7、0.8</w:t>
            </w:r>
          </w:p>
        </w:tc>
        <w:tc>
          <w:tcPr>
            <w:tcW w:w="2459" w:type="dxa"/>
            <w:tcBorders>
              <w:top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+3.0</w:t>
            </w:r>
          </w:p>
          <w:p>
            <w:pPr>
              <w:spacing w:line="240" w:lineRule="auto"/>
              <w:ind w:firstLine="990" w:firstLineChars="550"/>
              <w:rPr>
                <w:rFonts w:ascii="宋体" w:hAnsi="宋体"/>
                <w:color w:val="FF0000"/>
                <w:sz w:val="18"/>
                <w:szCs w:val="18"/>
              </w:rPr>
            </w:pPr>
            <w:r>
              <w:rPr>
                <w:rFonts w:hint="eastAsia" w:ascii="宋体" w:hAnsi="宋体"/>
                <w:color w:val="FF0000"/>
                <w:sz w:val="18"/>
                <w:szCs w:val="18"/>
              </w:rPr>
              <w:t>0</w:t>
            </w:r>
          </w:p>
        </w:tc>
        <w:tc>
          <w:tcPr>
            <w:tcW w:w="2806" w:type="dxa"/>
            <w:tcBorders>
              <w:top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+6.0</w:t>
            </w:r>
          </w:p>
          <w:p>
            <w:pPr>
              <w:spacing w:line="240" w:lineRule="auto"/>
              <w:rPr>
                <w:rFonts w:ascii="宋体" w:hAnsi="宋体"/>
                <w:color w:val="FF0000"/>
                <w:sz w:val="18"/>
                <w:szCs w:val="18"/>
              </w:rPr>
            </w:pPr>
            <w:r>
              <w:rPr>
                <w:rFonts w:hint="eastAsia" w:ascii="宋体" w:hAnsi="宋体"/>
                <w:sz w:val="18"/>
                <w:szCs w:val="18"/>
              </w:rPr>
              <w:t xml:space="preserve">        </w:t>
            </w:r>
            <w:r>
              <w:rPr>
                <w:rFonts w:hint="eastAsia" w:ascii="宋体" w:hAnsi="宋体"/>
                <w:color w:val="FF0000"/>
                <w:sz w:val="18"/>
                <w:szCs w:val="18"/>
              </w:rPr>
              <w:t xml:space="preserve">     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08"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1.0、1.12、1.2</w:t>
            </w:r>
          </w:p>
        </w:tc>
        <w:tc>
          <w:tcPr>
            <w:tcW w:w="2459" w:type="dxa"/>
            <w:vAlign w:val="center"/>
          </w:tcPr>
          <w:p>
            <w:pPr>
              <w:spacing w:line="240" w:lineRule="auto"/>
              <w:jc w:val="center"/>
              <w:rPr>
                <w:rFonts w:ascii="宋体" w:hAnsi="宋体"/>
                <w:sz w:val="18"/>
                <w:szCs w:val="18"/>
              </w:rPr>
            </w:pPr>
            <w:r>
              <w:rPr>
                <w:rFonts w:hint="eastAsia" w:ascii="宋体" w:hAnsi="宋体"/>
                <w:sz w:val="18"/>
                <w:szCs w:val="18"/>
              </w:rPr>
              <w:t>+3.0</w:t>
            </w:r>
          </w:p>
          <w:p>
            <w:pPr>
              <w:spacing w:line="240" w:lineRule="auto"/>
              <w:ind w:firstLine="990" w:firstLineChars="550"/>
              <w:rPr>
                <w:rFonts w:ascii="宋体" w:hAnsi="宋体"/>
                <w:sz w:val="18"/>
                <w:szCs w:val="18"/>
              </w:rPr>
            </w:pPr>
            <w:r>
              <w:rPr>
                <w:rFonts w:hint="eastAsia" w:ascii="宋体" w:hAnsi="宋体"/>
                <w:sz w:val="18"/>
                <w:szCs w:val="18"/>
              </w:rPr>
              <w:t>0</w:t>
            </w:r>
          </w:p>
        </w:tc>
        <w:tc>
          <w:tcPr>
            <w:tcW w:w="2806" w:type="dxa"/>
            <w:vAlign w:val="center"/>
          </w:tcPr>
          <w:p>
            <w:pPr>
              <w:spacing w:line="240" w:lineRule="auto"/>
              <w:jc w:val="center"/>
              <w:rPr>
                <w:rFonts w:ascii="宋体" w:hAnsi="宋体"/>
                <w:sz w:val="18"/>
                <w:szCs w:val="18"/>
              </w:rPr>
            </w:pPr>
            <w:r>
              <w:rPr>
                <w:rFonts w:hint="eastAsia" w:ascii="宋体" w:hAnsi="宋体"/>
                <w:sz w:val="18"/>
                <w:szCs w:val="18"/>
              </w:rPr>
              <w:t>+6.0</w:t>
            </w:r>
          </w:p>
          <w:p>
            <w:pPr>
              <w:spacing w:line="240" w:lineRule="auto"/>
              <w:ind w:firstLine="1170" w:firstLineChars="650"/>
              <w:rPr>
                <w:rFonts w:ascii="宋体" w:hAnsi="宋体"/>
                <w:color w:val="FF0000"/>
                <w:sz w:val="18"/>
                <w:szCs w:val="18"/>
              </w:rPr>
            </w:pPr>
            <w:r>
              <w:rPr>
                <w:rFonts w:hint="eastAsia" w:ascii="宋体" w:hAnsi="宋体"/>
                <w:color w:val="FF0000"/>
                <w:sz w:val="18"/>
                <w:szCs w:val="1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08"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1.4、1.5</w:t>
            </w:r>
          </w:p>
        </w:tc>
        <w:tc>
          <w:tcPr>
            <w:tcW w:w="2459" w:type="dxa"/>
            <w:vAlign w:val="center"/>
          </w:tcPr>
          <w:p>
            <w:pPr>
              <w:spacing w:line="240" w:lineRule="auto"/>
              <w:jc w:val="center"/>
              <w:rPr>
                <w:rFonts w:ascii="宋体" w:hAnsi="宋体"/>
                <w:color w:val="FF0000"/>
                <w:sz w:val="18"/>
                <w:szCs w:val="18"/>
              </w:rPr>
            </w:pPr>
            <w:r>
              <w:rPr>
                <w:rFonts w:hint="eastAsia" w:ascii="宋体" w:hAnsi="宋体"/>
                <w:color w:val="FF0000"/>
                <w:sz w:val="18"/>
                <w:szCs w:val="18"/>
              </w:rPr>
              <w:t>+3.0</w:t>
            </w:r>
          </w:p>
          <w:p>
            <w:pPr>
              <w:spacing w:line="240" w:lineRule="auto"/>
              <w:ind w:firstLine="990" w:firstLineChars="550"/>
              <w:rPr>
                <w:rFonts w:ascii="宋体" w:hAnsi="宋体"/>
                <w:sz w:val="18"/>
                <w:szCs w:val="18"/>
              </w:rPr>
            </w:pPr>
            <w:r>
              <w:rPr>
                <w:rFonts w:hint="eastAsia" w:ascii="宋体" w:hAnsi="宋体"/>
                <w:color w:val="FF0000"/>
                <w:sz w:val="18"/>
                <w:szCs w:val="18"/>
              </w:rPr>
              <w:t>0</w:t>
            </w:r>
          </w:p>
        </w:tc>
        <w:tc>
          <w:tcPr>
            <w:tcW w:w="2806"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+6.0</w:t>
            </w:r>
          </w:p>
          <w:p>
            <w:pPr>
              <w:spacing w:line="240" w:lineRule="auto"/>
              <w:rPr>
                <w:rFonts w:ascii="宋体" w:hAnsi="宋体"/>
                <w:color w:val="FF0000"/>
                <w:sz w:val="18"/>
                <w:szCs w:val="18"/>
              </w:rPr>
            </w:pPr>
            <w:r>
              <w:rPr>
                <w:rFonts w:hint="eastAsia" w:ascii="宋体" w:hAnsi="宋体"/>
                <w:sz w:val="18"/>
                <w:szCs w:val="18"/>
              </w:rPr>
              <w:t xml:space="preserve">           </w:t>
            </w:r>
            <w:r>
              <w:rPr>
                <w:rFonts w:hint="eastAsia" w:ascii="宋体" w:hAnsi="宋体"/>
                <w:color w:val="FF0000"/>
                <w:sz w:val="18"/>
                <w:szCs w:val="18"/>
              </w:rPr>
              <w:t xml:space="preserve">  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08"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2.0</w:t>
            </w:r>
          </w:p>
        </w:tc>
        <w:tc>
          <w:tcPr>
            <w:tcW w:w="2459"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+4.0</w:t>
            </w:r>
          </w:p>
          <w:p>
            <w:pPr>
              <w:spacing w:line="240" w:lineRule="auto"/>
              <w:ind w:firstLine="990" w:firstLineChars="550"/>
              <w:rPr>
                <w:rFonts w:ascii="宋体" w:hAnsi="宋体"/>
                <w:color w:val="FF0000"/>
                <w:sz w:val="18"/>
                <w:szCs w:val="18"/>
              </w:rPr>
            </w:pPr>
            <w:r>
              <w:rPr>
                <w:rFonts w:hint="eastAsia" w:ascii="宋体" w:hAnsi="宋体"/>
                <w:color w:val="FF0000"/>
                <w:sz w:val="18"/>
                <w:szCs w:val="18"/>
              </w:rPr>
              <w:t>0</w:t>
            </w:r>
          </w:p>
        </w:tc>
        <w:tc>
          <w:tcPr>
            <w:tcW w:w="2806" w:type="dxa"/>
            <w:tcBorders>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+8.0</w:t>
            </w:r>
          </w:p>
          <w:p>
            <w:pPr>
              <w:spacing w:line="240" w:lineRule="auto"/>
              <w:rPr>
                <w:rFonts w:ascii="宋体" w:hAnsi="宋体"/>
                <w:color w:val="FF0000"/>
                <w:sz w:val="18"/>
                <w:szCs w:val="18"/>
              </w:rPr>
            </w:pPr>
            <w:r>
              <w:rPr>
                <w:rFonts w:hint="eastAsia" w:ascii="宋体" w:hAnsi="宋体"/>
                <w:sz w:val="18"/>
                <w:szCs w:val="18"/>
              </w:rPr>
              <w:t xml:space="preserve">         </w:t>
            </w:r>
            <w:r>
              <w:rPr>
                <w:rFonts w:hint="eastAsia" w:ascii="宋体" w:hAnsi="宋体"/>
                <w:color w:val="FF0000"/>
                <w:sz w:val="18"/>
                <w:szCs w:val="18"/>
              </w:rPr>
              <w:t xml:space="preserve">    0</w:t>
            </w:r>
          </w:p>
        </w:tc>
      </w:tr>
    </w:tbl>
    <w:p>
      <w:pPr>
        <w:pStyle w:val="44"/>
        <w:numPr>
          <w:ilvl w:val="2"/>
          <w:numId w:val="4"/>
        </w:numPr>
        <w:spacing w:beforeLines="100" w:afterLines="100" w:line="240" w:lineRule="auto"/>
        <w:ind w:firstLineChars="0"/>
        <w:rPr>
          <w:rFonts w:ascii="黑体" w:eastAsia="黑体"/>
          <w:sz w:val="21"/>
          <w:szCs w:val="21"/>
        </w:rPr>
      </w:pPr>
      <w:r>
        <w:rPr>
          <w:rFonts w:hint="eastAsia" w:ascii="黑体" w:eastAsia="黑体"/>
          <w:sz w:val="21"/>
        </w:rPr>
        <w:t>长度及其允许偏差</w:t>
      </w:r>
    </w:p>
    <w:p>
      <w:pPr>
        <w:pStyle w:val="44"/>
        <w:spacing w:line="240" w:lineRule="auto"/>
        <w:ind w:left="525" w:firstLine="0" w:firstLineChars="0"/>
        <w:rPr>
          <w:rFonts w:ascii="宋体" w:hAnsi="宋体" w:cs="宋体"/>
          <w:sz w:val="21"/>
          <w:szCs w:val="21"/>
        </w:rPr>
      </w:pPr>
      <w:r>
        <w:rPr>
          <w:rFonts w:hint="eastAsia" w:ascii="宋体" w:hAnsi="宋体" w:cs="宋体"/>
          <w:sz w:val="21"/>
          <w:szCs w:val="21"/>
        </w:rPr>
        <w:t>板材的定尺或倍尺长度的允许偏差为＋10㎜。倍尺长度应加入锯切分段时的锯切量，每一</w:t>
      </w:r>
    </w:p>
    <w:p>
      <w:pPr>
        <w:spacing w:line="240" w:lineRule="auto"/>
        <w:rPr>
          <w:rFonts w:ascii="宋体" w:hAnsi="宋体" w:cs="宋体"/>
          <w:sz w:val="21"/>
          <w:szCs w:val="21"/>
        </w:rPr>
      </w:pPr>
      <w:r>
        <w:rPr>
          <w:rFonts w:hint="eastAsia" w:ascii="宋体" w:hAnsi="宋体" w:cs="宋体"/>
          <w:sz w:val="21"/>
          <w:szCs w:val="21"/>
        </w:rPr>
        <w:t>段锯切量为5㎜。</w:t>
      </w:r>
    </w:p>
    <w:p>
      <w:pPr>
        <w:pStyle w:val="44"/>
        <w:numPr>
          <w:ilvl w:val="2"/>
          <w:numId w:val="4"/>
        </w:numPr>
        <w:spacing w:beforeLines="100" w:afterLines="100" w:line="240" w:lineRule="auto"/>
        <w:ind w:firstLineChars="0"/>
        <w:rPr>
          <w:rFonts w:ascii="黑体" w:eastAsia="黑体"/>
          <w:sz w:val="21"/>
        </w:rPr>
      </w:pPr>
      <w:r>
        <w:rPr>
          <w:rFonts w:hint="eastAsia" w:ascii="黑体" w:eastAsia="黑体"/>
          <w:sz w:val="21"/>
        </w:rPr>
        <w:t>平整度</w:t>
      </w:r>
    </w:p>
    <w:p>
      <w:pPr>
        <w:pStyle w:val="44"/>
        <w:spacing w:line="240" w:lineRule="auto"/>
        <w:ind w:left="720" w:firstLine="0" w:firstLineChars="0"/>
        <w:rPr>
          <w:rFonts w:ascii="宋体" w:hAnsi="宋体"/>
          <w:sz w:val="21"/>
        </w:rPr>
      </w:pPr>
      <w:r>
        <w:rPr>
          <w:rFonts w:hint="eastAsia" w:ascii="宋体" w:hAnsi="宋体"/>
          <w:sz w:val="21"/>
        </w:rPr>
        <w:t>板材应平直，其平整度应符合表4的规定。</w:t>
      </w:r>
    </w:p>
    <w:p>
      <w:pPr>
        <w:spacing w:beforeLines="100" w:afterLines="100" w:line="240" w:lineRule="exact"/>
        <w:ind w:firstLine="3675" w:firstLineChars="1750"/>
        <w:rPr>
          <w:rFonts w:ascii="黑体" w:eastAsia="黑体"/>
          <w:sz w:val="21"/>
          <w:szCs w:val="21"/>
        </w:rPr>
      </w:pPr>
      <w:r>
        <w:rPr>
          <w:rFonts w:hint="eastAsia" w:ascii="黑体" w:eastAsia="黑体"/>
          <w:sz w:val="21"/>
          <w:szCs w:val="21"/>
        </w:rPr>
        <w:t>表4  板材</w:t>
      </w:r>
      <w:r>
        <w:rPr>
          <w:rFonts w:hint="eastAsia" w:ascii="黑体" w:eastAsia="黑体"/>
          <w:sz w:val="21"/>
        </w:rPr>
        <w:t>平整度</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408"/>
        <w:gridCol w:w="2459"/>
        <w:gridCol w:w="2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3408" w:type="dxa"/>
            <w:vMerge w:val="restart"/>
            <w:vAlign w:val="center"/>
          </w:tcPr>
          <w:p>
            <w:pPr>
              <w:spacing w:line="240" w:lineRule="auto"/>
              <w:jc w:val="center"/>
              <w:rPr>
                <w:rFonts w:ascii="宋体" w:hAnsi="宋体"/>
                <w:sz w:val="18"/>
                <w:szCs w:val="18"/>
              </w:rPr>
            </w:pPr>
            <w:r>
              <w:rPr>
                <w:rFonts w:hint="eastAsia" w:ascii="宋体" w:hAnsi="宋体"/>
                <w:color w:val="FF0000"/>
                <w:sz w:val="18"/>
                <w:szCs w:val="18"/>
              </w:rPr>
              <w:t>公称</w:t>
            </w:r>
            <w:r>
              <w:rPr>
                <w:rFonts w:hint="eastAsia" w:ascii="宋体" w:hAnsi="宋体"/>
                <w:sz w:val="18"/>
                <w:szCs w:val="18"/>
              </w:rPr>
              <w:t>厚度</w:t>
            </w:r>
          </w:p>
          <w:p>
            <w:pPr>
              <w:spacing w:line="240" w:lineRule="auto"/>
              <w:jc w:val="center"/>
              <w:rPr>
                <w:rFonts w:ascii="宋体" w:hAnsi="宋体"/>
                <w:sz w:val="18"/>
                <w:szCs w:val="18"/>
              </w:rPr>
            </w:pPr>
            <w:r>
              <w:rPr>
                <w:rFonts w:hint="eastAsia" w:ascii="宋体" w:hAnsi="宋体"/>
                <w:sz w:val="18"/>
                <w:szCs w:val="18"/>
              </w:rPr>
              <w:t>mm</w:t>
            </w:r>
          </w:p>
        </w:tc>
        <w:tc>
          <w:tcPr>
            <w:tcW w:w="5265" w:type="dxa"/>
            <w:gridSpan w:val="2"/>
            <w:vAlign w:val="center"/>
          </w:tcPr>
          <w:p>
            <w:pPr>
              <w:spacing w:line="240" w:lineRule="auto"/>
              <w:jc w:val="center"/>
              <w:rPr>
                <w:rFonts w:ascii="宋体" w:hAnsi="宋体"/>
                <w:color w:val="FF0000"/>
                <w:sz w:val="18"/>
                <w:szCs w:val="18"/>
              </w:rPr>
            </w:pPr>
            <w:r>
              <w:rPr>
                <w:rFonts w:hint="eastAsia" w:ascii="宋体" w:hAnsi="宋体"/>
                <w:sz w:val="18"/>
                <w:szCs w:val="18"/>
              </w:rPr>
              <w:t>平整度，</w:t>
            </w:r>
            <w:r>
              <w:rPr>
                <w:rFonts w:hint="eastAsia" w:ascii="宋体" w:hAnsi="宋体"/>
                <w:color w:val="FF0000"/>
                <w:sz w:val="18"/>
                <w:szCs w:val="18"/>
              </w:rPr>
              <w:t>不大于</w:t>
            </w:r>
          </w:p>
          <w:p>
            <w:pPr>
              <w:spacing w:line="240" w:lineRule="auto"/>
              <w:jc w:val="center"/>
              <w:rPr>
                <w:rFonts w:ascii="宋体" w:hAnsi="宋体"/>
                <w:sz w:val="18"/>
                <w:szCs w:val="18"/>
                <w:highlight w:val="yellow"/>
              </w:rPr>
            </w:pPr>
            <w:r>
              <w:rPr>
                <w:rFonts w:hint="eastAsia" w:ascii="宋体" w:hAnsi="宋体"/>
                <w:sz w:val="18"/>
                <w:szCs w:val="18"/>
              </w:rPr>
              <w:t>mm/m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3408" w:type="dxa"/>
            <w:vMerge w:val="continue"/>
            <w:tcBorders>
              <w:bottom w:val="single" w:color="auto" w:sz="8" w:space="0"/>
            </w:tcBorders>
            <w:vAlign w:val="center"/>
          </w:tcPr>
          <w:p>
            <w:pPr>
              <w:spacing w:line="240" w:lineRule="auto"/>
              <w:jc w:val="center"/>
              <w:rPr>
                <w:rFonts w:ascii="宋体" w:hAnsi="宋体"/>
                <w:sz w:val="18"/>
                <w:szCs w:val="18"/>
              </w:rPr>
            </w:pPr>
          </w:p>
        </w:tc>
        <w:tc>
          <w:tcPr>
            <w:tcW w:w="2459" w:type="dxa"/>
            <w:tcBorders>
              <w:top w:val="single" w:color="auto" w:sz="8" w:space="0"/>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普通级</w:t>
            </w:r>
          </w:p>
        </w:tc>
        <w:tc>
          <w:tcPr>
            <w:tcW w:w="2806" w:type="dxa"/>
            <w:tcBorders>
              <w:top w:val="single" w:color="auto" w:sz="8" w:space="0"/>
              <w:bottom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高精级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3408" w:type="dxa"/>
            <w:tcBorders>
              <w:top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≤2.0</w:t>
            </w:r>
          </w:p>
        </w:tc>
        <w:tc>
          <w:tcPr>
            <w:tcW w:w="2459" w:type="dxa"/>
            <w:tcBorders>
              <w:top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10</w:t>
            </w:r>
          </w:p>
        </w:tc>
        <w:tc>
          <w:tcPr>
            <w:tcW w:w="2806" w:type="dxa"/>
            <w:tcBorders>
              <w:top w:val="single" w:color="auto" w:sz="8" w:space="0"/>
            </w:tcBorders>
            <w:vAlign w:val="center"/>
          </w:tcPr>
          <w:p>
            <w:pPr>
              <w:spacing w:line="240" w:lineRule="auto"/>
              <w:jc w:val="center"/>
              <w:rPr>
                <w:rFonts w:ascii="宋体" w:hAnsi="宋体"/>
                <w:sz w:val="18"/>
                <w:szCs w:val="18"/>
              </w:rPr>
            </w:pPr>
            <w:r>
              <w:rPr>
                <w:rFonts w:hint="eastAsia" w:ascii="宋体" w:hAnsi="宋体"/>
                <w:sz w:val="18"/>
                <w:szCs w:val="18"/>
              </w:rPr>
              <w:t>5</w:t>
            </w:r>
          </w:p>
        </w:tc>
      </w:tr>
    </w:tbl>
    <w:p>
      <w:pPr>
        <w:spacing w:beforeLines="100" w:afterLines="100" w:line="240" w:lineRule="auto"/>
        <w:rPr>
          <w:rFonts w:ascii="黑体" w:eastAsia="黑体"/>
          <w:sz w:val="21"/>
        </w:rPr>
      </w:pPr>
      <w:r>
        <w:rPr>
          <w:rFonts w:hint="eastAsia" w:ascii="黑体" w:eastAsia="黑体"/>
          <w:sz w:val="21"/>
        </w:rPr>
        <w:t>5.3  力学性能</w:t>
      </w:r>
    </w:p>
    <w:p>
      <w:pPr>
        <w:pStyle w:val="44"/>
        <w:spacing w:line="240" w:lineRule="auto"/>
        <w:ind w:left="527" w:firstLine="0" w:firstLineChars="0"/>
        <w:rPr>
          <w:rFonts w:ascii="宋体" w:hAnsi="宋体" w:cs="宋体"/>
          <w:sz w:val="21"/>
          <w:szCs w:val="21"/>
        </w:rPr>
      </w:pPr>
      <w:r>
        <w:rPr>
          <w:rFonts w:hint="eastAsia" w:ascii="宋体" w:hAnsi="宋体" w:cs="宋体"/>
          <w:sz w:val="21"/>
          <w:szCs w:val="21"/>
        </w:rPr>
        <w:t>板材表面布氏硬度应大于95HBW。</w:t>
      </w:r>
    </w:p>
    <w:p>
      <w:pPr>
        <w:spacing w:beforeLines="100" w:afterLines="100" w:line="240" w:lineRule="auto"/>
        <w:rPr>
          <w:rFonts w:ascii="黑体" w:eastAsia="黑体"/>
          <w:sz w:val="21"/>
        </w:rPr>
      </w:pPr>
      <w:r>
        <w:rPr>
          <w:rFonts w:hint="eastAsia" w:ascii="黑体" w:eastAsia="黑体"/>
          <w:sz w:val="21"/>
        </w:rPr>
        <w:t>5.4  表面质量</w:t>
      </w:r>
    </w:p>
    <w:p>
      <w:pPr>
        <w:pStyle w:val="3"/>
        <w:spacing w:beforeLines="0" w:afterLines="0"/>
      </w:pPr>
      <w:r>
        <w:rPr>
          <w:rFonts w:hint="eastAsia"/>
        </w:rPr>
        <w:t>5.4.1 板材的工作表面应光滑、清洁，不应有影响使用的缺陷。</w:t>
      </w:r>
    </w:p>
    <w:p>
      <w:pPr>
        <w:pStyle w:val="3"/>
        <w:spacing w:beforeLines="0" w:afterLines="0"/>
      </w:pPr>
      <w:r>
        <w:rPr>
          <w:rFonts w:hint="eastAsia"/>
        </w:rPr>
        <w:t>5.4.2板材的非工作表面允许有轻微的、局部的、不使板材厚度超出其允许偏差的划痕、斑点、凹坑、辊印等缺陷；板材的非工作表面应</w:t>
      </w:r>
      <w:r>
        <w:rPr>
          <w:rFonts w:hint="eastAsia"/>
          <w:color w:val="FF0000"/>
        </w:rPr>
        <w:t>进行标识</w:t>
      </w:r>
      <w:r>
        <w:rPr>
          <w:rFonts w:hint="eastAsia"/>
        </w:rPr>
        <w:t>。</w:t>
      </w:r>
    </w:p>
    <w:p>
      <w:pPr>
        <w:spacing w:line="240" w:lineRule="auto"/>
        <w:rPr>
          <w:rFonts w:ascii="宋体" w:hAnsi="宋体"/>
          <w:sz w:val="21"/>
          <w:szCs w:val="21"/>
        </w:rPr>
      </w:pPr>
      <w:r>
        <w:rPr>
          <w:rFonts w:hint="eastAsia" w:ascii="黑体" w:hAnsi="宋体" w:eastAsia="黑体"/>
          <w:sz w:val="21"/>
          <w:szCs w:val="21"/>
        </w:rPr>
        <w:t xml:space="preserve">5.4.3 </w:t>
      </w:r>
      <w:r>
        <w:rPr>
          <w:rFonts w:hint="eastAsia" w:ascii="宋体" w:hAnsi="宋体"/>
          <w:sz w:val="21"/>
          <w:szCs w:val="21"/>
        </w:rPr>
        <w:t>板材边部应无毛刺、裂边。</w:t>
      </w:r>
    </w:p>
    <w:p>
      <w:pPr>
        <w:pStyle w:val="2"/>
        <w:spacing w:before="240" w:after="240"/>
      </w:pPr>
      <w:r>
        <w:rPr>
          <w:rFonts w:hint="eastAsia"/>
        </w:rPr>
        <w:t>6  试验方法</w:t>
      </w:r>
    </w:p>
    <w:p>
      <w:pPr>
        <w:pStyle w:val="2"/>
        <w:spacing w:before="240" w:after="240"/>
      </w:pPr>
      <w:r>
        <w:rPr>
          <w:rFonts w:hint="eastAsia"/>
        </w:rPr>
        <w:t>6.1  化学成分</w:t>
      </w:r>
    </w:p>
    <w:p>
      <w:pPr>
        <w:spacing w:line="240" w:lineRule="auto"/>
        <w:ind w:firstLine="420" w:firstLineChars="200"/>
        <w:rPr>
          <w:sz w:val="21"/>
          <w:szCs w:val="21"/>
        </w:rPr>
      </w:pPr>
      <w:r>
        <w:rPr>
          <w:rFonts w:hint="eastAsia"/>
          <w:sz w:val="21"/>
          <w:szCs w:val="21"/>
        </w:rPr>
        <w:t>板材的化学成分分析方法按</w:t>
      </w:r>
      <w:r>
        <w:rPr>
          <w:sz w:val="21"/>
          <w:szCs w:val="21"/>
        </w:rPr>
        <w:t>GB/T5121</w:t>
      </w:r>
      <w:r>
        <w:rPr>
          <w:rFonts w:hint="eastAsia"/>
          <w:sz w:val="21"/>
          <w:szCs w:val="21"/>
        </w:rPr>
        <w:t>（所有部分）或</w:t>
      </w:r>
      <w:r>
        <w:rPr>
          <w:sz w:val="21"/>
          <w:szCs w:val="21"/>
        </w:rPr>
        <w:t>YS/T482</w:t>
      </w:r>
      <w:r>
        <w:rPr>
          <w:rFonts w:hint="eastAsia"/>
          <w:sz w:val="21"/>
          <w:szCs w:val="21"/>
        </w:rPr>
        <w:t>的规定进行。化学成分仲裁分析方法按</w:t>
      </w:r>
      <w:r>
        <w:rPr>
          <w:sz w:val="21"/>
          <w:szCs w:val="21"/>
        </w:rPr>
        <w:t>GB/T 5121</w:t>
      </w:r>
      <w:r>
        <w:rPr>
          <w:rFonts w:hint="eastAsia"/>
          <w:sz w:val="21"/>
          <w:szCs w:val="21"/>
        </w:rPr>
        <w:t>（所有部分）的规定进行。</w:t>
      </w:r>
    </w:p>
    <w:p>
      <w:pPr>
        <w:pStyle w:val="2"/>
        <w:spacing w:before="240" w:after="240"/>
      </w:pPr>
      <w:r>
        <w:rPr>
          <w:rFonts w:hint="eastAsia"/>
        </w:rPr>
        <w:t>6.2  外形尺寸及其允许偏差</w:t>
      </w:r>
    </w:p>
    <w:p>
      <w:pPr>
        <w:spacing w:line="240" w:lineRule="auto"/>
        <w:ind w:firstLine="420" w:firstLineChars="200"/>
        <w:rPr>
          <w:sz w:val="21"/>
          <w:szCs w:val="21"/>
        </w:rPr>
      </w:pPr>
      <w:r>
        <w:rPr>
          <w:rFonts w:hint="eastAsia"/>
          <w:sz w:val="21"/>
          <w:szCs w:val="21"/>
        </w:rPr>
        <w:t>板材的外形尺寸检测按GB/T 26303.3的规定进行。</w:t>
      </w:r>
    </w:p>
    <w:p>
      <w:pPr>
        <w:pStyle w:val="2"/>
        <w:spacing w:before="240" w:after="240"/>
      </w:pPr>
      <w:r>
        <w:rPr>
          <w:rFonts w:hint="eastAsia"/>
        </w:rPr>
        <w:t>6.3  力学性能</w:t>
      </w:r>
    </w:p>
    <w:p>
      <w:pPr>
        <w:spacing w:line="240" w:lineRule="auto"/>
        <w:ind w:firstLine="420" w:firstLineChars="200"/>
        <w:rPr>
          <w:sz w:val="21"/>
          <w:szCs w:val="21"/>
        </w:rPr>
      </w:pPr>
      <w:r>
        <w:rPr>
          <w:rFonts w:hint="eastAsia"/>
          <w:sz w:val="21"/>
          <w:szCs w:val="21"/>
        </w:rPr>
        <w:t>板材的布氏硬度试验按GB/T 231</w:t>
      </w:r>
      <w:r>
        <w:rPr>
          <w:sz w:val="21"/>
          <w:szCs w:val="21"/>
        </w:rPr>
        <w:t>.1</w:t>
      </w:r>
      <w:r>
        <w:rPr>
          <w:rFonts w:hint="eastAsia"/>
          <w:sz w:val="21"/>
          <w:szCs w:val="21"/>
        </w:rPr>
        <w:t>的规定进行。</w:t>
      </w:r>
    </w:p>
    <w:p>
      <w:pPr>
        <w:pStyle w:val="2"/>
        <w:spacing w:before="240" w:after="240"/>
      </w:pPr>
      <w:r>
        <w:rPr>
          <w:rFonts w:hint="eastAsia"/>
        </w:rPr>
        <w:t>6.4 表面质量</w:t>
      </w:r>
    </w:p>
    <w:p>
      <w:pPr>
        <w:spacing w:line="240" w:lineRule="auto"/>
        <w:ind w:firstLine="420" w:firstLineChars="200"/>
        <w:rPr>
          <w:sz w:val="21"/>
          <w:szCs w:val="21"/>
        </w:rPr>
      </w:pPr>
      <w:r>
        <w:rPr>
          <w:rFonts w:hint="eastAsia"/>
          <w:sz w:val="21"/>
          <w:szCs w:val="21"/>
        </w:rPr>
        <w:t>板材的表面质量应用目视进行检验。</w:t>
      </w:r>
    </w:p>
    <w:p>
      <w:pPr>
        <w:pStyle w:val="2"/>
        <w:spacing w:before="240" w:after="240"/>
      </w:pPr>
      <w:r>
        <w:rPr>
          <w:rFonts w:hint="eastAsia"/>
        </w:rPr>
        <w:t>7  检验规则</w:t>
      </w:r>
    </w:p>
    <w:p>
      <w:pPr>
        <w:pStyle w:val="2"/>
        <w:spacing w:before="240" w:after="240"/>
        <w:rPr>
          <w:szCs w:val="21"/>
        </w:rPr>
      </w:pPr>
      <w:r>
        <w:rPr>
          <w:rFonts w:hint="eastAsia"/>
          <w:szCs w:val="21"/>
        </w:rPr>
        <w:t>7.1  检查和</w:t>
      </w:r>
      <w:r>
        <w:rPr>
          <w:rFonts w:hint="eastAsia"/>
        </w:rPr>
        <w:t>验收</w:t>
      </w:r>
    </w:p>
    <w:p>
      <w:pPr>
        <w:adjustRightInd/>
        <w:spacing w:line="240" w:lineRule="auto"/>
        <w:textAlignment w:val="auto"/>
        <w:rPr>
          <w:sz w:val="21"/>
          <w:szCs w:val="21"/>
        </w:rPr>
      </w:pPr>
      <w:r>
        <w:rPr>
          <w:rFonts w:eastAsia="黑体"/>
          <w:sz w:val="21"/>
          <w:szCs w:val="21"/>
        </w:rPr>
        <w:t xml:space="preserve">7.1.1 </w:t>
      </w:r>
      <w:r>
        <w:rPr>
          <w:sz w:val="21"/>
          <w:szCs w:val="21"/>
        </w:rPr>
        <w:t xml:space="preserve"> 产品由供方或第三方进行检验，保证产品质量符合本文件及订货单的规定。</w:t>
      </w:r>
    </w:p>
    <w:p>
      <w:pPr>
        <w:adjustRightInd/>
        <w:snapToGrid w:val="0"/>
        <w:spacing w:line="240" w:lineRule="auto"/>
        <w:textAlignment w:val="auto"/>
        <w:rPr>
          <w:sz w:val="21"/>
          <w:szCs w:val="21"/>
        </w:rPr>
      </w:pPr>
      <w:r>
        <w:rPr>
          <w:rFonts w:eastAsia="黑体"/>
          <w:sz w:val="21"/>
          <w:szCs w:val="21"/>
        </w:rPr>
        <w:t>7.1.2</w:t>
      </w:r>
      <w:r>
        <w:rPr>
          <w:sz w:val="21"/>
          <w:szCs w:val="21"/>
        </w:rPr>
        <w:t xml:space="preserve">  需方可对收到的产品按本文件的规定进行检验。如检验结果与本文件及订货单的规定不符时，应以书面形式向供方提出，由供需双方协商解决。属于</w:t>
      </w:r>
      <w:r>
        <w:rPr>
          <w:rFonts w:hint="eastAsia" w:asciiTheme="minorEastAsia" w:hAnsiTheme="minorEastAsia" w:eastAsiaTheme="minorEastAsia"/>
          <w:sz w:val="21"/>
          <w:szCs w:val="21"/>
        </w:rPr>
        <w:t>外观</w:t>
      </w:r>
      <w:r>
        <w:rPr>
          <w:rFonts w:asciiTheme="minorEastAsia" w:hAnsiTheme="minorEastAsia" w:eastAsiaTheme="minorEastAsia"/>
          <w:sz w:val="21"/>
          <w:szCs w:val="21"/>
        </w:rPr>
        <w:t>质量或外形尺寸</w:t>
      </w:r>
      <w:r>
        <w:rPr>
          <w:sz w:val="21"/>
          <w:szCs w:val="21"/>
        </w:rPr>
        <w:t>的异议，应在收到产品之日起</w:t>
      </w:r>
      <w:r>
        <w:rPr>
          <w:rFonts w:hint="eastAsia"/>
          <w:sz w:val="21"/>
          <w:szCs w:val="21"/>
        </w:rPr>
        <w:t>一个月</w:t>
      </w:r>
      <w:r>
        <w:rPr>
          <w:sz w:val="21"/>
          <w:szCs w:val="21"/>
        </w:rPr>
        <w:t>内提出；属于</w:t>
      </w:r>
      <w:r>
        <w:rPr>
          <w:rFonts w:hint="eastAsia"/>
          <w:sz w:val="21"/>
          <w:szCs w:val="21"/>
        </w:rPr>
        <w:t>其他性能</w:t>
      </w:r>
      <w:r>
        <w:rPr>
          <w:sz w:val="21"/>
          <w:szCs w:val="21"/>
        </w:rPr>
        <w:t>的异议，应</w:t>
      </w:r>
      <w:bookmarkStart w:id="8" w:name="_GoBack"/>
      <w:bookmarkEnd w:id="8"/>
      <w:r>
        <w:rPr>
          <w:sz w:val="21"/>
          <w:szCs w:val="21"/>
        </w:rPr>
        <w:t>在收到产品之日起</w:t>
      </w:r>
      <w:r>
        <w:rPr>
          <w:rFonts w:hint="eastAsia"/>
          <w:sz w:val="21"/>
          <w:szCs w:val="21"/>
        </w:rPr>
        <w:t>三个月</w:t>
      </w:r>
      <w:r>
        <w:rPr>
          <w:sz w:val="21"/>
          <w:szCs w:val="21"/>
        </w:rPr>
        <w:t>内提出。如需仲裁，应由供需双方在需方共同取样或协商确定。</w:t>
      </w:r>
    </w:p>
    <w:p>
      <w:pPr>
        <w:pStyle w:val="2"/>
        <w:spacing w:before="240" w:after="240"/>
        <w:rPr>
          <w:szCs w:val="21"/>
        </w:rPr>
      </w:pPr>
      <w:r>
        <w:rPr>
          <w:rFonts w:hint="eastAsia"/>
          <w:szCs w:val="21"/>
        </w:rPr>
        <w:t>7.2  组批</w:t>
      </w:r>
    </w:p>
    <w:p>
      <w:pPr>
        <w:spacing w:line="240" w:lineRule="exact"/>
        <w:ind w:firstLine="420" w:firstLineChars="200"/>
        <w:rPr>
          <w:sz w:val="21"/>
          <w:szCs w:val="21"/>
        </w:rPr>
      </w:pPr>
      <w:r>
        <w:rPr>
          <w:rFonts w:hint="eastAsia"/>
          <w:sz w:val="21"/>
          <w:szCs w:val="21"/>
        </w:rPr>
        <w:t>板材应成批提交验收，每批应由同一牌号、状态和规格组成。每批重量应不大于5000</w:t>
      </w:r>
      <w:r>
        <w:rPr>
          <w:sz w:val="21"/>
          <w:szCs w:val="21"/>
        </w:rPr>
        <w:t>kg</w:t>
      </w:r>
      <w:r>
        <w:rPr>
          <w:rFonts w:hint="eastAsia"/>
          <w:sz w:val="21"/>
          <w:szCs w:val="21"/>
        </w:rPr>
        <w:t>。</w:t>
      </w:r>
    </w:p>
    <w:p>
      <w:pPr>
        <w:pStyle w:val="2"/>
        <w:spacing w:before="240" w:after="240"/>
        <w:rPr>
          <w:szCs w:val="21"/>
        </w:rPr>
      </w:pPr>
      <w:r>
        <w:rPr>
          <w:rFonts w:hint="eastAsia"/>
          <w:szCs w:val="21"/>
        </w:rPr>
        <w:t>7.3  检验项目</w:t>
      </w:r>
    </w:p>
    <w:p>
      <w:pPr>
        <w:pStyle w:val="12"/>
        <w:ind w:firstLine="420" w:firstLineChars="200"/>
        <w:rPr>
          <w:rFonts w:ascii="宋体" w:hAnsi="宋体" w:cs="宋体"/>
          <w:sz w:val="21"/>
          <w:szCs w:val="21"/>
        </w:rPr>
      </w:pPr>
      <w:r>
        <w:rPr>
          <w:rFonts w:hint="eastAsia"/>
          <w:color w:val="FF0000"/>
          <w:sz w:val="21"/>
          <w:szCs w:val="21"/>
        </w:rPr>
        <w:t>每批</w:t>
      </w:r>
      <w:r>
        <w:rPr>
          <w:rFonts w:hint="eastAsia" w:ascii="宋体" w:hAnsi="宋体" w:cs="宋体"/>
          <w:sz w:val="21"/>
          <w:szCs w:val="21"/>
        </w:rPr>
        <w:t>板材应进行化学成分、外形尺寸及其允许偏差、力学性能、表面质量的检验。</w:t>
      </w:r>
    </w:p>
    <w:p>
      <w:pPr>
        <w:pStyle w:val="2"/>
        <w:spacing w:before="240" w:after="240"/>
        <w:rPr>
          <w:szCs w:val="21"/>
        </w:rPr>
      </w:pPr>
      <w:r>
        <w:rPr>
          <w:rFonts w:hint="eastAsia"/>
          <w:szCs w:val="21"/>
        </w:rPr>
        <w:t>7.4  取样</w:t>
      </w:r>
    </w:p>
    <w:p>
      <w:pPr>
        <w:spacing w:line="340" w:lineRule="exact"/>
        <w:ind w:firstLine="420" w:firstLineChars="200"/>
        <w:rPr>
          <w:sz w:val="21"/>
          <w:szCs w:val="21"/>
        </w:rPr>
      </w:pPr>
      <w:r>
        <w:rPr>
          <w:rFonts w:hint="eastAsia"/>
          <w:sz w:val="21"/>
          <w:szCs w:val="21"/>
        </w:rPr>
        <w:t>板材取样应符合表5的规定</w:t>
      </w:r>
      <w:r>
        <w:rPr>
          <w:rFonts w:hint="eastAsia" w:ascii="宋体" w:hAnsi="宋体"/>
          <w:sz w:val="21"/>
          <w:szCs w:val="21"/>
        </w:rPr>
        <w:t>。取样方法按YS/T 668的规定进行。</w:t>
      </w:r>
    </w:p>
    <w:p>
      <w:pPr>
        <w:spacing w:beforeLines="50" w:afterLines="50" w:line="340" w:lineRule="exact"/>
        <w:ind w:firstLine="420" w:firstLineChars="200"/>
        <w:jc w:val="center"/>
        <w:rPr>
          <w:rFonts w:ascii="黑体" w:hAnsi="黑体" w:eastAsia="黑体" w:cs="黑体"/>
          <w:sz w:val="21"/>
          <w:szCs w:val="21"/>
        </w:rPr>
      </w:pPr>
      <w:r>
        <w:rPr>
          <w:rFonts w:hint="eastAsia" w:ascii="黑体" w:hAnsi="黑体" w:eastAsia="黑体" w:cs="黑体"/>
          <w:sz w:val="21"/>
          <w:szCs w:val="21"/>
        </w:rPr>
        <w:t>表5  取样</w:t>
      </w:r>
    </w:p>
    <w:tbl>
      <w:tblPr>
        <w:tblStyle w:val="28"/>
        <w:tblW w:w="938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47"/>
        <w:gridCol w:w="3845"/>
        <w:gridCol w:w="1688"/>
        <w:gridCol w:w="17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7" w:type="dxa"/>
            <w:tcBorders>
              <w:bottom w:val="single" w:color="auto" w:sz="8" w:space="0"/>
            </w:tcBorders>
            <w:vAlign w:val="center"/>
          </w:tcPr>
          <w:p>
            <w:pPr>
              <w:spacing w:line="240" w:lineRule="auto"/>
              <w:jc w:val="center"/>
              <w:rPr>
                <w:rFonts w:ascii="宋体" w:hAnsi="宋体"/>
                <w:sz w:val="18"/>
                <w:szCs w:val="21"/>
              </w:rPr>
            </w:pPr>
            <w:r>
              <w:rPr>
                <w:rFonts w:hint="eastAsia" w:ascii="宋体" w:hAnsi="宋体"/>
                <w:sz w:val="18"/>
                <w:szCs w:val="21"/>
              </w:rPr>
              <w:t>检验项目</w:t>
            </w:r>
          </w:p>
        </w:tc>
        <w:tc>
          <w:tcPr>
            <w:tcW w:w="3845" w:type="dxa"/>
            <w:tcBorders>
              <w:bottom w:val="single" w:color="auto" w:sz="8" w:space="0"/>
            </w:tcBorders>
            <w:vAlign w:val="center"/>
          </w:tcPr>
          <w:p>
            <w:pPr>
              <w:spacing w:line="240" w:lineRule="auto"/>
              <w:jc w:val="center"/>
              <w:rPr>
                <w:rFonts w:ascii="宋体" w:hAnsi="宋体"/>
                <w:sz w:val="18"/>
                <w:szCs w:val="21"/>
              </w:rPr>
            </w:pPr>
            <w:r>
              <w:rPr>
                <w:rFonts w:hint="eastAsia" w:ascii="宋体" w:hAnsi="宋体"/>
                <w:sz w:val="18"/>
                <w:szCs w:val="21"/>
              </w:rPr>
              <w:t>取样规定</w:t>
            </w:r>
          </w:p>
        </w:tc>
        <w:tc>
          <w:tcPr>
            <w:tcW w:w="1688" w:type="dxa"/>
            <w:tcBorders>
              <w:bottom w:val="single" w:color="auto" w:sz="8" w:space="0"/>
            </w:tcBorders>
            <w:vAlign w:val="center"/>
          </w:tcPr>
          <w:p>
            <w:pPr>
              <w:spacing w:line="240" w:lineRule="auto"/>
              <w:jc w:val="center"/>
              <w:rPr>
                <w:rFonts w:ascii="宋体" w:hAnsi="宋体"/>
                <w:sz w:val="18"/>
                <w:szCs w:val="21"/>
              </w:rPr>
            </w:pPr>
            <w:r>
              <w:rPr>
                <w:rFonts w:hint="eastAsia" w:ascii="宋体" w:hAnsi="宋体"/>
                <w:sz w:val="18"/>
                <w:szCs w:val="21"/>
              </w:rPr>
              <w:t>要求的章条号</w:t>
            </w:r>
          </w:p>
        </w:tc>
        <w:tc>
          <w:tcPr>
            <w:tcW w:w="1702" w:type="dxa"/>
            <w:tcBorders>
              <w:bottom w:val="single" w:color="auto" w:sz="8" w:space="0"/>
            </w:tcBorders>
            <w:vAlign w:val="center"/>
          </w:tcPr>
          <w:p>
            <w:pPr>
              <w:spacing w:line="240" w:lineRule="auto"/>
              <w:jc w:val="center"/>
              <w:rPr>
                <w:rFonts w:ascii="宋体" w:hAnsi="宋体"/>
                <w:sz w:val="18"/>
                <w:szCs w:val="21"/>
              </w:rPr>
            </w:pPr>
            <w:r>
              <w:rPr>
                <w:rFonts w:hint="eastAsia" w:ascii="宋体" w:hAnsi="宋体"/>
                <w:sz w:val="18"/>
                <w:szCs w:val="21"/>
              </w:rPr>
              <w:t>试验方法的章条号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7" w:type="dxa"/>
            <w:tcBorders>
              <w:top w:val="single" w:color="auto" w:sz="8" w:space="0"/>
            </w:tcBorders>
            <w:vAlign w:val="center"/>
          </w:tcPr>
          <w:p>
            <w:pPr>
              <w:spacing w:line="240" w:lineRule="auto"/>
              <w:jc w:val="center"/>
              <w:rPr>
                <w:rFonts w:ascii="宋体" w:hAnsi="宋体"/>
                <w:sz w:val="18"/>
                <w:szCs w:val="21"/>
              </w:rPr>
            </w:pPr>
            <w:r>
              <w:rPr>
                <w:rFonts w:hint="eastAsia" w:ascii="宋体" w:hAnsi="宋体"/>
                <w:sz w:val="18"/>
                <w:szCs w:val="21"/>
              </w:rPr>
              <w:t>化学成分</w:t>
            </w:r>
          </w:p>
        </w:tc>
        <w:tc>
          <w:tcPr>
            <w:tcW w:w="3845" w:type="dxa"/>
            <w:tcBorders>
              <w:top w:val="single" w:color="auto" w:sz="8" w:space="0"/>
            </w:tcBorders>
            <w:vAlign w:val="center"/>
          </w:tcPr>
          <w:p>
            <w:pPr>
              <w:spacing w:line="240" w:lineRule="auto"/>
              <w:jc w:val="center"/>
              <w:rPr>
                <w:rFonts w:ascii="宋体" w:hAnsi="宋体"/>
                <w:sz w:val="18"/>
                <w:szCs w:val="21"/>
              </w:rPr>
            </w:pPr>
            <w:r>
              <w:rPr>
                <w:rFonts w:hint="eastAsia" w:ascii="宋体" w:hAnsi="宋体"/>
                <w:sz w:val="18"/>
                <w:szCs w:val="21"/>
              </w:rPr>
              <w:t>供方每熔次取1个试样，需方每批取1个试样</w:t>
            </w:r>
          </w:p>
        </w:tc>
        <w:tc>
          <w:tcPr>
            <w:tcW w:w="1688" w:type="dxa"/>
            <w:tcBorders>
              <w:top w:val="single" w:color="auto" w:sz="8" w:space="0"/>
            </w:tcBorders>
            <w:vAlign w:val="center"/>
          </w:tcPr>
          <w:p>
            <w:pPr>
              <w:spacing w:line="240" w:lineRule="auto"/>
              <w:jc w:val="center"/>
              <w:rPr>
                <w:rFonts w:ascii="宋体" w:hAnsi="宋体"/>
                <w:sz w:val="18"/>
                <w:szCs w:val="21"/>
              </w:rPr>
            </w:pPr>
            <w:r>
              <w:rPr>
                <w:rFonts w:hint="eastAsia" w:ascii="宋体" w:hAnsi="宋体"/>
                <w:sz w:val="18"/>
                <w:szCs w:val="21"/>
              </w:rPr>
              <w:t>5.1</w:t>
            </w:r>
          </w:p>
        </w:tc>
        <w:tc>
          <w:tcPr>
            <w:tcW w:w="1702" w:type="dxa"/>
            <w:tcBorders>
              <w:top w:val="single" w:color="auto" w:sz="8" w:space="0"/>
            </w:tcBorders>
            <w:vAlign w:val="center"/>
          </w:tcPr>
          <w:p>
            <w:pPr>
              <w:spacing w:line="240" w:lineRule="auto"/>
              <w:jc w:val="center"/>
              <w:rPr>
                <w:rFonts w:ascii="宋体" w:hAnsi="宋体"/>
                <w:sz w:val="18"/>
                <w:szCs w:val="21"/>
              </w:rPr>
            </w:pPr>
            <w:r>
              <w:rPr>
                <w:rFonts w:hint="eastAsia" w:ascii="宋体" w:hAnsi="宋体"/>
                <w:sz w:val="18"/>
                <w:szCs w:val="21"/>
              </w:rPr>
              <w:t>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7" w:type="dxa"/>
            <w:vAlign w:val="center"/>
          </w:tcPr>
          <w:p>
            <w:pPr>
              <w:spacing w:line="240" w:lineRule="auto"/>
              <w:jc w:val="center"/>
              <w:rPr>
                <w:rFonts w:ascii="宋体" w:hAnsi="宋体"/>
                <w:sz w:val="18"/>
                <w:szCs w:val="21"/>
              </w:rPr>
            </w:pPr>
            <w:r>
              <w:rPr>
                <w:rFonts w:hint="eastAsia" w:ascii="宋体" w:hAnsi="宋体"/>
                <w:sz w:val="18"/>
                <w:szCs w:val="21"/>
              </w:rPr>
              <w:t>外形尺寸及其允许偏差</w:t>
            </w:r>
          </w:p>
        </w:tc>
        <w:tc>
          <w:tcPr>
            <w:tcW w:w="3845" w:type="dxa"/>
            <w:vAlign w:val="center"/>
          </w:tcPr>
          <w:p>
            <w:pPr>
              <w:spacing w:line="240" w:lineRule="auto"/>
              <w:jc w:val="center"/>
              <w:rPr>
                <w:rFonts w:ascii="宋体" w:hAnsi="宋体"/>
                <w:sz w:val="18"/>
                <w:szCs w:val="21"/>
              </w:rPr>
            </w:pPr>
            <w:r>
              <w:rPr>
                <w:rFonts w:hint="eastAsia" w:ascii="宋体" w:hAnsi="宋体"/>
                <w:sz w:val="18"/>
              </w:rPr>
              <w:t>逐张</w:t>
            </w:r>
          </w:p>
        </w:tc>
        <w:tc>
          <w:tcPr>
            <w:tcW w:w="1688" w:type="dxa"/>
            <w:vAlign w:val="center"/>
          </w:tcPr>
          <w:p>
            <w:pPr>
              <w:spacing w:line="240" w:lineRule="auto"/>
              <w:jc w:val="center"/>
              <w:rPr>
                <w:rFonts w:ascii="宋体" w:hAnsi="宋体"/>
                <w:sz w:val="18"/>
                <w:szCs w:val="21"/>
              </w:rPr>
            </w:pPr>
            <w:r>
              <w:rPr>
                <w:rFonts w:hint="eastAsia" w:ascii="宋体" w:hAnsi="宋体"/>
                <w:sz w:val="18"/>
                <w:szCs w:val="21"/>
              </w:rPr>
              <w:t>5.2</w:t>
            </w:r>
          </w:p>
        </w:tc>
        <w:tc>
          <w:tcPr>
            <w:tcW w:w="1702" w:type="dxa"/>
            <w:vAlign w:val="center"/>
          </w:tcPr>
          <w:p>
            <w:pPr>
              <w:spacing w:line="240" w:lineRule="auto"/>
              <w:jc w:val="center"/>
              <w:rPr>
                <w:rFonts w:ascii="宋体" w:hAnsi="宋体"/>
                <w:sz w:val="18"/>
                <w:szCs w:val="21"/>
              </w:rPr>
            </w:pPr>
            <w:r>
              <w:rPr>
                <w:rFonts w:hint="eastAsia" w:ascii="宋体" w:hAnsi="宋体"/>
                <w:sz w:val="18"/>
                <w:szCs w:val="21"/>
              </w:rPr>
              <w:t>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7" w:type="dxa"/>
            <w:vAlign w:val="center"/>
          </w:tcPr>
          <w:p>
            <w:pPr>
              <w:spacing w:line="240" w:lineRule="auto"/>
              <w:jc w:val="center"/>
              <w:rPr>
                <w:rFonts w:ascii="宋体" w:hAnsi="宋体"/>
                <w:sz w:val="18"/>
                <w:szCs w:val="21"/>
              </w:rPr>
            </w:pPr>
            <w:r>
              <w:rPr>
                <w:rFonts w:hint="eastAsia" w:ascii="宋体" w:hAnsi="宋体"/>
                <w:sz w:val="18"/>
                <w:szCs w:val="21"/>
              </w:rPr>
              <w:t>力学性能</w:t>
            </w:r>
          </w:p>
        </w:tc>
        <w:tc>
          <w:tcPr>
            <w:tcW w:w="3845" w:type="dxa"/>
            <w:vAlign w:val="center"/>
          </w:tcPr>
          <w:p>
            <w:pPr>
              <w:spacing w:line="240" w:lineRule="auto"/>
              <w:jc w:val="center"/>
              <w:rPr>
                <w:rFonts w:ascii="宋体" w:hAnsi="宋体"/>
                <w:sz w:val="18"/>
                <w:szCs w:val="21"/>
              </w:rPr>
            </w:pPr>
            <w:r>
              <w:rPr>
                <w:rFonts w:hint="eastAsia" w:ascii="宋体" w:hAnsi="宋体"/>
                <w:sz w:val="18"/>
                <w:szCs w:val="21"/>
              </w:rPr>
              <w:t>每批任取2</w:t>
            </w:r>
            <w:r>
              <w:rPr>
                <w:rFonts w:hint="eastAsia" w:ascii="宋体" w:hAnsi="宋体"/>
                <w:color w:val="FF0000"/>
                <w:sz w:val="18"/>
                <w:szCs w:val="21"/>
              </w:rPr>
              <w:t>张</w:t>
            </w:r>
            <w:r>
              <w:rPr>
                <w:rFonts w:hint="eastAsia" w:ascii="宋体" w:hAnsi="宋体"/>
                <w:sz w:val="18"/>
                <w:szCs w:val="21"/>
              </w:rPr>
              <w:t>， 每</w:t>
            </w:r>
            <w:r>
              <w:rPr>
                <w:rFonts w:hint="eastAsia" w:ascii="宋体" w:hAnsi="宋体"/>
                <w:color w:val="FF0000"/>
                <w:sz w:val="18"/>
                <w:szCs w:val="21"/>
              </w:rPr>
              <w:t>张</w:t>
            </w:r>
            <w:r>
              <w:rPr>
                <w:rFonts w:hint="eastAsia" w:ascii="宋体" w:hAnsi="宋体"/>
                <w:sz w:val="18"/>
                <w:szCs w:val="21"/>
              </w:rPr>
              <w:t>取1个试样</w:t>
            </w:r>
          </w:p>
        </w:tc>
        <w:tc>
          <w:tcPr>
            <w:tcW w:w="1688" w:type="dxa"/>
            <w:vAlign w:val="center"/>
          </w:tcPr>
          <w:p>
            <w:pPr>
              <w:spacing w:line="240" w:lineRule="auto"/>
              <w:jc w:val="center"/>
              <w:rPr>
                <w:rFonts w:ascii="宋体" w:hAnsi="宋体"/>
                <w:sz w:val="18"/>
                <w:szCs w:val="21"/>
              </w:rPr>
            </w:pPr>
            <w:r>
              <w:rPr>
                <w:rFonts w:hint="eastAsia" w:ascii="宋体" w:hAnsi="宋体"/>
                <w:sz w:val="18"/>
                <w:szCs w:val="21"/>
              </w:rPr>
              <w:t>5.3</w:t>
            </w:r>
          </w:p>
        </w:tc>
        <w:tc>
          <w:tcPr>
            <w:tcW w:w="1702" w:type="dxa"/>
            <w:vAlign w:val="center"/>
          </w:tcPr>
          <w:p>
            <w:pPr>
              <w:spacing w:line="240" w:lineRule="auto"/>
              <w:jc w:val="center"/>
              <w:rPr>
                <w:rFonts w:ascii="宋体" w:hAnsi="宋体"/>
                <w:sz w:val="18"/>
                <w:szCs w:val="21"/>
              </w:rPr>
            </w:pPr>
            <w:r>
              <w:rPr>
                <w:rFonts w:hint="eastAsia" w:ascii="宋体" w:hAnsi="宋体"/>
                <w:sz w:val="18"/>
                <w:szCs w:val="21"/>
              </w:rPr>
              <w:t>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7" w:type="dxa"/>
            <w:vAlign w:val="center"/>
          </w:tcPr>
          <w:p>
            <w:pPr>
              <w:spacing w:line="240" w:lineRule="auto"/>
              <w:jc w:val="center"/>
              <w:rPr>
                <w:rFonts w:ascii="宋体" w:hAnsi="宋体"/>
                <w:sz w:val="18"/>
                <w:szCs w:val="21"/>
              </w:rPr>
            </w:pPr>
            <w:r>
              <w:rPr>
                <w:rFonts w:hint="eastAsia" w:ascii="宋体" w:hAnsi="宋体"/>
                <w:sz w:val="18"/>
                <w:szCs w:val="21"/>
              </w:rPr>
              <w:t>表面质量</w:t>
            </w:r>
          </w:p>
        </w:tc>
        <w:tc>
          <w:tcPr>
            <w:tcW w:w="3845" w:type="dxa"/>
            <w:vAlign w:val="center"/>
          </w:tcPr>
          <w:p>
            <w:pPr>
              <w:spacing w:line="240" w:lineRule="auto"/>
              <w:jc w:val="center"/>
              <w:rPr>
                <w:rFonts w:ascii="宋体" w:hAnsi="宋体"/>
                <w:sz w:val="18"/>
                <w:szCs w:val="21"/>
              </w:rPr>
            </w:pPr>
            <w:r>
              <w:rPr>
                <w:rFonts w:hint="eastAsia" w:ascii="宋体" w:hAnsi="宋体"/>
                <w:sz w:val="18"/>
                <w:szCs w:val="21"/>
              </w:rPr>
              <w:t>逐张</w:t>
            </w:r>
          </w:p>
        </w:tc>
        <w:tc>
          <w:tcPr>
            <w:tcW w:w="1688" w:type="dxa"/>
            <w:vAlign w:val="center"/>
          </w:tcPr>
          <w:p>
            <w:pPr>
              <w:spacing w:line="240" w:lineRule="auto"/>
              <w:jc w:val="center"/>
              <w:rPr>
                <w:rFonts w:ascii="宋体" w:hAnsi="宋体"/>
                <w:sz w:val="18"/>
              </w:rPr>
            </w:pPr>
            <w:r>
              <w:rPr>
                <w:rFonts w:hint="eastAsia" w:ascii="宋体" w:hAnsi="宋体"/>
                <w:sz w:val="18"/>
              </w:rPr>
              <w:t>5.4</w:t>
            </w:r>
          </w:p>
        </w:tc>
        <w:tc>
          <w:tcPr>
            <w:tcW w:w="1702" w:type="dxa"/>
            <w:vAlign w:val="center"/>
          </w:tcPr>
          <w:p>
            <w:pPr>
              <w:spacing w:line="240" w:lineRule="auto"/>
              <w:jc w:val="center"/>
              <w:rPr>
                <w:rFonts w:ascii="宋体" w:hAnsi="宋体"/>
                <w:sz w:val="18"/>
              </w:rPr>
            </w:pPr>
            <w:r>
              <w:rPr>
                <w:rFonts w:hint="eastAsia" w:ascii="宋体" w:hAnsi="宋体"/>
                <w:sz w:val="18"/>
              </w:rPr>
              <w:t>6.4</w:t>
            </w:r>
          </w:p>
        </w:tc>
      </w:tr>
    </w:tbl>
    <w:p>
      <w:pPr>
        <w:pStyle w:val="2"/>
        <w:spacing w:before="240" w:after="240"/>
      </w:pPr>
      <w:r>
        <w:rPr>
          <w:rFonts w:hint="eastAsia"/>
        </w:rPr>
        <w:t>7.5  检验结果的判定</w:t>
      </w:r>
    </w:p>
    <w:p>
      <w:pPr>
        <w:spacing w:line="240" w:lineRule="auto"/>
        <w:rPr>
          <w:sz w:val="21"/>
          <w:szCs w:val="21"/>
        </w:rPr>
      </w:pPr>
      <w:r>
        <w:rPr>
          <w:rFonts w:hint="eastAsia" w:ascii="黑体" w:eastAsia="黑体"/>
          <w:sz w:val="21"/>
          <w:szCs w:val="21"/>
        </w:rPr>
        <w:t>7.5.1</w:t>
      </w:r>
      <w:r>
        <w:rPr>
          <w:rFonts w:hint="eastAsia"/>
          <w:sz w:val="21"/>
          <w:szCs w:val="21"/>
        </w:rPr>
        <w:t>检验结果的数值按GB/T 8170规定进行修约，并采用修约值比较法判定。</w:t>
      </w:r>
    </w:p>
    <w:p>
      <w:pPr>
        <w:spacing w:line="240" w:lineRule="auto"/>
        <w:rPr>
          <w:sz w:val="21"/>
          <w:szCs w:val="21"/>
        </w:rPr>
      </w:pPr>
      <w:r>
        <w:rPr>
          <w:rFonts w:hint="eastAsia" w:ascii="黑体" w:eastAsia="黑体"/>
          <w:sz w:val="21"/>
          <w:szCs w:val="21"/>
        </w:rPr>
        <w:t>7.5.2</w:t>
      </w:r>
      <w:r>
        <w:rPr>
          <w:rFonts w:hint="eastAsia"/>
          <w:sz w:val="21"/>
          <w:szCs w:val="21"/>
        </w:rPr>
        <w:t>化学成分不合格时，判该批板材不合格。</w:t>
      </w:r>
    </w:p>
    <w:p>
      <w:pPr>
        <w:spacing w:line="240" w:lineRule="auto"/>
        <w:rPr>
          <w:sz w:val="21"/>
          <w:szCs w:val="21"/>
        </w:rPr>
      </w:pPr>
      <w:r>
        <w:rPr>
          <w:rFonts w:hint="eastAsia" w:ascii="黑体" w:eastAsia="黑体"/>
          <w:sz w:val="21"/>
          <w:szCs w:val="21"/>
        </w:rPr>
        <w:t>7.5.3</w:t>
      </w:r>
      <w:r>
        <w:rPr>
          <w:rFonts w:hint="eastAsia"/>
          <w:sz w:val="21"/>
          <w:szCs w:val="21"/>
        </w:rPr>
        <w:t>板材的外形尺寸及其允许偏差和</w:t>
      </w:r>
      <w:r>
        <w:rPr>
          <w:rFonts w:hint="eastAsia" w:ascii="宋体" w:hAnsi="宋体"/>
          <w:sz w:val="21"/>
          <w:szCs w:val="21"/>
        </w:rPr>
        <w:t>表面</w:t>
      </w:r>
      <w:r>
        <w:rPr>
          <w:rFonts w:hint="eastAsia"/>
          <w:sz w:val="21"/>
          <w:szCs w:val="21"/>
        </w:rPr>
        <w:t>质量不合格时，判该</w:t>
      </w:r>
      <w:r>
        <w:rPr>
          <w:rFonts w:hint="eastAsia"/>
          <w:sz w:val="21"/>
          <w:szCs w:val="21"/>
          <w:lang w:val="en-US" w:eastAsia="zh-CN"/>
        </w:rPr>
        <w:t>张板材</w:t>
      </w:r>
      <w:r>
        <w:rPr>
          <w:rFonts w:hint="eastAsia"/>
          <w:sz w:val="21"/>
          <w:szCs w:val="21"/>
        </w:rPr>
        <w:t>不合格。</w:t>
      </w:r>
    </w:p>
    <w:p>
      <w:pPr>
        <w:spacing w:line="240" w:lineRule="auto"/>
        <w:rPr>
          <w:sz w:val="21"/>
          <w:szCs w:val="21"/>
        </w:rPr>
      </w:pPr>
      <w:r>
        <w:rPr>
          <w:rFonts w:hint="eastAsia" w:ascii="黑体" w:eastAsia="黑体"/>
          <w:sz w:val="21"/>
          <w:szCs w:val="21"/>
        </w:rPr>
        <w:t>7.5.4</w:t>
      </w:r>
      <w:r>
        <w:rPr>
          <w:rFonts w:hint="eastAsia"/>
          <w:sz w:val="21"/>
          <w:szCs w:val="21"/>
        </w:rPr>
        <w:t>当力学性能的试验结果中有试样不合格时，应从该批板材中另取双倍数量的试样（包括原检验不合格的那张板材）进行重复试验，重复试验结果全部合格，则判整批</w:t>
      </w:r>
      <w:r>
        <w:rPr>
          <w:rFonts w:hint="eastAsia"/>
          <w:color w:val="FF0000"/>
          <w:sz w:val="21"/>
          <w:szCs w:val="21"/>
        </w:rPr>
        <w:t>板材</w:t>
      </w:r>
      <w:r>
        <w:rPr>
          <w:rFonts w:hint="eastAsia"/>
          <w:sz w:val="21"/>
          <w:szCs w:val="21"/>
        </w:rPr>
        <w:t>合格。若重复试验结果仍有试样不合格，则判该批板材不合格，或由供方逐</w:t>
      </w:r>
      <w:r>
        <w:rPr>
          <w:rFonts w:hint="eastAsia"/>
          <w:sz w:val="21"/>
          <w:szCs w:val="21"/>
          <w:lang w:val="en-US" w:eastAsia="zh-CN"/>
        </w:rPr>
        <w:t>张</w:t>
      </w:r>
      <w:r>
        <w:rPr>
          <w:rFonts w:hint="eastAsia"/>
          <w:sz w:val="21"/>
          <w:szCs w:val="21"/>
        </w:rPr>
        <w:t>检验，逐</w:t>
      </w:r>
      <w:r>
        <w:rPr>
          <w:rFonts w:hint="eastAsia"/>
          <w:color w:val="FF0000"/>
          <w:sz w:val="21"/>
          <w:szCs w:val="21"/>
        </w:rPr>
        <w:t>张</w:t>
      </w:r>
      <w:r>
        <w:rPr>
          <w:rFonts w:hint="eastAsia"/>
          <w:sz w:val="21"/>
          <w:szCs w:val="21"/>
        </w:rPr>
        <w:t>判定。</w:t>
      </w:r>
    </w:p>
    <w:p>
      <w:pPr>
        <w:pStyle w:val="2"/>
        <w:spacing w:before="240" w:after="240"/>
      </w:pPr>
      <w:r>
        <w:rPr>
          <w:rFonts w:hint="eastAsia"/>
        </w:rPr>
        <w:t>8  标志、包装、运输、贮存及随行文件</w:t>
      </w:r>
    </w:p>
    <w:p>
      <w:pPr>
        <w:pStyle w:val="2"/>
        <w:spacing w:before="240" w:after="240"/>
      </w:pPr>
      <w:r>
        <w:rPr>
          <w:rFonts w:hint="eastAsia"/>
        </w:rPr>
        <w:t>8.1 标志、包装、运输、贮存</w:t>
      </w:r>
    </w:p>
    <w:p>
      <w:pPr>
        <w:spacing w:line="240" w:lineRule="auto"/>
        <w:ind w:firstLine="420" w:firstLineChars="200"/>
        <w:rPr>
          <w:sz w:val="21"/>
          <w:szCs w:val="21"/>
        </w:rPr>
      </w:pPr>
      <w:r>
        <w:rPr>
          <w:rFonts w:hint="eastAsia"/>
          <w:sz w:val="21"/>
          <w:szCs w:val="21"/>
        </w:rPr>
        <w:t>产品的标志、包装、运输、贮存应符合GB/T8888的规定。</w:t>
      </w:r>
    </w:p>
    <w:p>
      <w:pPr>
        <w:pStyle w:val="2"/>
        <w:spacing w:before="240" w:after="240"/>
        <w:rPr>
          <w:szCs w:val="21"/>
        </w:rPr>
      </w:pPr>
      <w:r>
        <w:rPr>
          <w:szCs w:val="21"/>
        </w:rPr>
        <w:t>8.</w:t>
      </w:r>
      <w:r>
        <w:rPr>
          <w:rFonts w:hint="eastAsia"/>
          <w:szCs w:val="21"/>
        </w:rPr>
        <w:t>2</w:t>
      </w:r>
      <w:r>
        <w:rPr>
          <w:szCs w:val="21"/>
        </w:rPr>
        <w:t xml:space="preserve">  随行文件</w:t>
      </w:r>
    </w:p>
    <w:p>
      <w:pPr>
        <w:widowControl/>
        <w:autoSpaceDE w:val="0"/>
        <w:autoSpaceDN w:val="0"/>
        <w:adjustRightInd/>
        <w:spacing w:line="240" w:lineRule="auto"/>
        <w:ind w:firstLine="420" w:firstLineChars="200"/>
        <w:textAlignment w:val="auto"/>
        <w:rPr>
          <w:sz w:val="21"/>
          <w:szCs w:val="21"/>
        </w:rPr>
      </w:pPr>
      <w:r>
        <w:rPr>
          <w:sz w:val="21"/>
          <w:szCs w:val="21"/>
        </w:rPr>
        <w:t>每批产品应附有随行文件</w:t>
      </w:r>
      <w:r>
        <w:rPr>
          <w:sz w:val="21"/>
          <w:szCs w:val="21"/>
          <w:shd w:val="clear" w:color="auto" w:fill="FFFFFF"/>
        </w:rPr>
        <w:t>，其中</w:t>
      </w:r>
      <w:r>
        <w:rPr>
          <w:sz w:val="21"/>
          <w:szCs w:val="21"/>
        </w:rPr>
        <w:t>除应包括供方信息、产品信息、本文件编号、出厂日期或包装日期外，还宜包括：</w:t>
      </w:r>
    </w:p>
    <w:p>
      <w:pPr>
        <w:numPr>
          <w:ilvl w:val="0"/>
          <w:numId w:val="5"/>
        </w:numPr>
        <w:tabs>
          <w:tab w:val="left" w:pos="780"/>
        </w:tabs>
        <w:adjustRightInd/>
        <w:spacing w:line="240" w:lineRule="auto"/>
        <w:ind w:left="420"/>
        <w:textAlignment w:val="auto"/>
        <w:rPr>
          <w:sz w:val="21"/>
          <w:szCs w:val="21"/>
        </w:rPr>
      </w:pPr>
      <w:r>
        <w:rPr>
          <w:sz w:val="21"/>
          <w:szCs w:val="21"/>
          <w:shd w:val="clear" w:color="auto" w:fill="FFFFFF"/>
        </w:rPr>
        <w:t>产品质量保证书，内容如下</w:t>
      </w:r>
      <w:r>
        <w:rPr>
          <w:sz w:val="21"/>
          <w:szCs w:val="21"/>
        </w:rPr>
        <w:t>：</w:t>
      </w:r>
    </w:p>
    <w:p>
      <w:pPr>
        <w:tabs>
          <w:tab w:val="left" w:pos="780"/>
        </w:tabs>
        <w:adjustRightInd/>
        <w:spacing w:line="240" w:lineRule="auto"/>
        <w:ind w:firstLine="840" w:firstLineChars="400"/>
        <w:textAlignment w:val="auto"/>
        <w:rPr>
          <w:sz w:val="21"/>
          <w:szCs w:val="21"/>
        </w:rPr>
      </w:pPr>
      <w:r>
        <w:rPr>
          <w:rFonts w:hint="eastAsia" w:ascii="宋体" w:hAnsi="宋体" w:cs="宋体"/>
          <w:sz w:val="21"/>
          <w:szCs w:val="21"/>
        </w:rPr>
        <w:t>·</w:t>
      </w:r>
      <w:r>
        <w:rPr>
          <w:sz w:val="21"/>
          <w:szCs w:val="21"/>
        </w:rPr>
        <w:t xml:space="preserve"> 产品的主要性能及技术参数；</w:t>
      </w:r>
    </w:p>
    <w:p>
      <w:pPr>
        <w:tabs>
          <w:tab w:val="left" w:pos="780"/>
        </w:tabs>
        <w:adjustRightInd/>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产品特点（包括制造工艺及原材料的特点）；</w:t>
      </w:r>
    </w:p>
    <w:p>
      <w:pPr>
        <w:tabs>
          <w:tab w:val="left" w:pos="780"/>
        </w:tabs>
        <w:adjustRightInd/>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对产品质量所负的责任；</w:t>
      </w:r>
    </w:p>
    <w:p>
      <w:pPr>
        <w:tabs>
          <w:tab w:val="left" w:pos="780"/>
        </w:tabs>
        <w:adjustRightInd/>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产品获得的质量认证及</w:t>
      </w:r>
      <w:r>
        <w:rPr>
          <w:sz w:val="21"/>
          <w:szCs w:val="21"/>
          <w:shd w:val="clear" w:color="auto" w:fill="FFFFFF"/>
        </w:rPr>
        <w:t>带</w:t>
      </w:r>
      <w:r>
        <w:rPr>
          <w:sz w:val="21"/>
          <w:szCs w:val="21"/>
        </w:rPr>
        <w:t>供方技术监督部门检印的各项分析检验结果。</w:t>
      </w:r>
    </w:p>
    <w:p>
      <w:pPr>
        <w:numPr>
          <w:ilvl w:val="0"/>
          <w:numId w:val="5"/>
        </w:numPr>
        <w:tabs>
          <w:tab w:val="left" w:pos="780"/>
        </w:tabs>
        <w:adjustRightInd/>
        <w:spacing w:line="240" w:lineRule="auto"/>
        <w:ind w:left="420"/>
        <w:textAlignment w:val="auto"/>
        <w:rPr>
          <w:sz w:val="21"/>
          <w:szCs w:val="21"/>
        </w:rPr>
      </w:pPr>
      <w:r>
        <w:rPr>
          <w:sz w:val="21"/>
          <w:szCs w:val="21"/>
          <w:shd w:val="clear" w:color="auto" w:fill="FFFFFF"/>
        </w:rPr>
        <w:t>产品合格证，内容如下：</w:t>
      </w:r>
    </w:p>
    <w:p>
      <w:pPr>
        <w:tabs>
          <w:tab w:val="left" w:pos="780"/>
        </w:tabs>
        <w:adjustRightInd/>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检验项目及其结果或检验结论；</w:t>
      </w:r>
    </w:p>
    <w:p>
      <w:pPr>
        <w:tabs>
          <w:tab w:val="left" w:pos="780"/>
        </w:tabs>
        <w:adjustRightInd/>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批量或批号；</w:t>
      </w:r>
    </w:p>
    <w:p>
      <w:pPr>
        <w:tabs>
          <w:tab w:val="left" w:pos="780"/>
        </w:tabs>
        <w:adjustRightInd/>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检验日期；</w:t>
      </w:r>
    </w:p>
    <w:p>
      <w:pPr>
        <w:tabs>
          <w:tab w:val="left" w:pos="780"/>
        </w:tabs>
        <w:adjustRightInd/>
        <w:spacing w:line="240" w:lineRule="auto"/>
        <w:ind w:left="420" w:firstLine="420" w:firstLineChars="200"/>
        <w:textAlignment w:val="auto"/>
        <w:rPr>
          <w:sz w:val="21"/>
          <w:szCs w:val="21"/>
        </w:rPr>
      </w:pPr>
      <w:r>
        <w:rPr>
          <w:rFonts w:hint="eastAsia" w:ascii="宋体" w:hAnsi="宋体" w:cs="宋体"/>
          <w:sz w:val="21"/>
          <w:szCs w:val="21"/>
        </w:rPr>
        <w:t>·</w:t>
      </w:r>
      <w:r>
        <w:rPr>
          <w:sz w:val="21"/>
          <w:szCs w:val="21"/>
        </w:rPr>
        <w:t xml:space="preserve">  检验员签名或盖章。</w:t>
      </w:r>
    </w:p>
    <w:p>
      <w:pPr>
        <w:numPr>
          <w:ilvl w:val="0"/>
          <w:numId w:val="5"/>
        </w:numPr>
        <w:tabs>
          <w:tab w:val="left" w:pos="780"/>
        </w:tabs>
        <w:adjustRightInd/>
        <w:spacing w:line="240" w:lineRule="auto"/>
        <w:ind w:left="420"/>
        <w:textAlignment w:val="auto"/>
        <w:rPr>
          <w:sz w:val="21"/>
          <w:szCs w:val="21"/>
        </w:rPr>
      </w:pPr>
      <w:r>
        <w:rPr>
          <w:sz w:val="21"/>
          <w:szCs w:val="21"/>
          <w:shd w:val="clear" w:color="auto" w:fill="FFFFFF"/>
        </w:rPr>
        <w:t>产品</w:t>
      </w:r>
      <w:r>
        <w:rPr>
          <w:sz w:val="21"/>
          <w:szCs w:val="21"/>
        </w:rPr>
        <w:t>质量控制过程中的检验报告及成品检验报告</w:t>
      </w:r>
      <w:r>
        <w:rPr>
          <w:sz w:val="21"/>
          <w:szCs w:val="21"/>
          <w:shd w:val="clear" w:color="auto" w:fill="FFFFFF"/>
        </w:rPr>
        <w:t>；</w:t>
      </w:r>
    </w:p>
    <w:p>
      <w:pPr>
        <w:numPr>
          <w:ilvl w:val="0"/>
          <w:numId w:val="5"/>
        </w:numPr>
        <w:tabs>
          <w:tab w:val="left" w:pos="780"/>
        </w:tabs>
        <w:adjustRightInd/>
        <w:spacing w:line="240" w:lineRule="auto"/>
        <w:ind w:left="420"/>
        <w:textAlignment w:val="auto"/>
        <w:rPr>
          <w:sz w:val="21"/>
          <w:szCs w:val="21"/>
        </w:rPr>
      </w:pPr>
      <w:r>
        <w:rPr>
          <w:sz w:val="21"/>
          <w:szCs w:val="21"/>
          <w:shd w:val="clear" w:color="auto" w:fill="FFFFFF"/>
        </w:rPr>
        <w:t>产品使用说明：正确搬运、使用、贮存方法等；</w:t>
      </w:r>
    </w:p>
    <w:p>
      <w:pPr>
        <w:numPr>
          <w:ilvl w:val="0"/>
          <w:numId w:val="5"/>
        </w:numPr>
        <w:tabs>
          <w:tab w:val="left" w:pos="780"/>
        </w:tabs>
        <w:adjustRightInd/>
        <w:spacing w:line="240" w:lineRule="auto"/>
        <w:ind w:left="420"/>
        <w:textAlignment w:val="auto"/>
        <w:rPr>
          <w:sz w:val="21"/>
          <w:szCs w:val="21"/>
        </w:rPr>
      </w:pPr>
      <w:r>
        <w:rPr>
          <w:sz w:val="21"/>
          <w:szCs w:val="21"/>
        </w:rPr>
        <w:t>其他。</w:t>
      </w:r>
    </w:p>
    <w:p>
      <w:pPr>
        <w:pStyle w:val="2"/>
        <w:spacing w:before="240" w:after="240"/>
        <w:rPr>
          <w:szCs w:val="21"/>
        </w:rPr>
      </w:pPr>
      <w:r>
        <w:rPr>
          <w:szCs w:val="21"/>
        </w:rPr>
        <w:t>9  订货单内容</w:t>
      </w:r>
    </w:p>
    <w:p>
      <w:pPr>
        <w:widowControl/>
        <w:autoSpaceDE w:val="0"/>
        <w:autoSpaceDN w:val="0"/>
        <w:adjustRightInd/>
        <w:spacing w:line="240" w:lineRule="auto"/>
        <w:ind w:firstLine="420" w:firstLineChars="200"/>
        <w:textAlignment w:val="auto"/>
        <w:rPr>
          <w:sz w:val="21"/>
          <w:szCs w:val="21"/>
        </w:rPr>
      </w:pPr>
      <w:r>
        <w:rPr>
          <w:sz w:val="21"/>
          <w:szCs w:val="21"/>
        </w:rPr>
        <w:t>需方可根据自身的需要，在订购本文件所列产品的订货单内，列出如下内容：</w:t>
      </w:r>
    </w:p>
    <w:p>
      <w:pPr>
        <w:numPr>
          <w:ilvl w:val="0"/>
          <w:numId w:val="6"/>
        </w:numPr>
        <w:spacing w:line="240" w:lineRule="auto"/>
        <w:rPr>
          <w:rFonts w:ascii="宋体" w:hAnsi="宋体"/>
          <w:sz w:val="21"/>
          <w:szCs w:val="21"/>
        </w:rPr>
      </w:pPr>
      <w:r>
        <w:rPr>
          <w:rFonts w:hint="eastAsia" w:ascii="宋体" w:hAnsi="宋体"/>
          <w:sz w:val="21"/>
          <w:szCs w:val="21"/>
        </w:rPr>
        <w:t>产品名称；</w:t>
      </w:r>
    </w:p>
    <w:p>
      <w:pPr>
        <w:numPr>
          <w:ilvl w:val="0"/>
          <w:numId w:val="6"/>
        </w:numPr>
        <w:spacing w:line="240" w:lineRule="auto"/>
        <w:rPr>
          <w:rFonts w:ascii="宋体" w:hAnsi="宋体"/>
          <w:sz w:val="21"/>
          <w:szCs w:val="21"/>
        </w:rPr>
      </w:pPr>
      <w:r>
        <w:rPr>
          <w:rFonts w:hint="eastAsia" w:ascii="宋体" w:hAnsi="宋体"/>
          <w:sz w:val="21"/>
          <w:szCs w:val="21"/>
        </w:rPr>
        <w:t>牌号；</w:t>
      </w:r>
    </w:p>
    <w:p>
      <w:pPr>
        <w:numPr>
          <w:ilvl w:val="0"/>
          <w:numId w:val="6"/>
        </w:numPr>
        <w:spacing w:line="240" w:lineRule="auto"/>
        <w:rPr>
          <w:rFonts w:ascii="宋体" w:hAnsi="宋体"/>
          <w:sz w:val="21"/>
          <w:szCs w:val="21"/>
        </w:rPr>
      </w:pPr>
      <w:r>
        <w:rPr>
          <w:rFonts w:hint="eastAsia" w:ascii="宋体" w:hAnsi="宋体"/>
          <w:sz w:val="21"/>
          <w:szCs w:val="21"/>
        </w:rPr>
        <w:t>状态；</w:t>
      </w:r>
    </w:p>
    <w:p>
      <w:pPr>
        <w:numPr>
          <w:ilvl w:val="0"/>
          <w:numId w:val="6"/>
        </w:numPr>
        <w:spacing w:line="240" w:lineRule="auto"/>
        <w:rPr>
          <w:rFonts w:ascii="宋体" w:hAnsi="宋体"/>
          <w:sz w:val="21"/>
          <w:szCs w:val="21"/>
        </w:rPr>
      </w:pPr>
      <w:r>
        <w:rPr>
          <w:rFonts w:hint="eastAsia" w:ascii="宋体" w:hAnsi="宋体"/>
          <w:sz w:val="21"/>
          <w:szCs w:val="21"/>
        </w:rPr>
        <w:t>规格；</w:t>
      </w:r>
    </w:p>
    <w:p>
      <w:pPr>
        <w:numPr>
          <w:ilvl w:val="0"/>
          <w:numId w:val="6"/>
        </w:numPr>
        <w:spacing w:line="240" w:lineRule="auto"/>
        <w:rPr>
          <w:rFonts w:ascii="宋体" w:hAnsi="宋体"/>
          <w:sz w:val="21"/>
          <w:szCs w:val="21"/>
        </w:rPr>
      </w:pPr>
      <w:r>
        <w:rPr>
          <w:rFonts w:hint="eastAsia" w:ascii="宋体" w:hAnsi="宋体"/>
          <w:sz w:val="21"/>
          <w:szCs w:val="21"/>
        </w:rPr>
        <w:t>尺寸允许偏差（高精级或有特殊要求时，未注明时按普通级供货）；</w:t>
      </w:r>
    </w:p>
    <w:p>
      <w:pPr>
        <w:numPr>
          <w:ilvl w:val="0"/>
          <w:numId w:val="6"/>
        </w:numPr>
        <w:spacing w:line="240" w:lineRule="auto"/>
        <w:rPr>
          <w:rFonts w:ascii="宋体" w:hAnsi="宋体"/>
          <w:sz w:val="21"/>
          <w:szCs w:val="21"/>
        </w:rPr>
      </w:pPr>
      <w:r>
        <w:rPr>
          <w:rFonts w:hint="eastAsia" w:ascii="宋体" w:hAnsi="宋体"/>
          <w:sz w:val="21"/>
          <w:szCs w:val="21"/>
        </w:rPr>
        <w:t>重量；</w:t>
      </w:r>
    </w:p>
    <w:p>
      <w:pPr>
        <w:numPr>
          <w:ilvl w:val="0"/>
          <w:numId w:val="6"/>
        </w:numPr>
        <w:spacing w:line="240" w:lineRule="auto"/>
        <w:rPr>
          <w:rFonts w:ascii="宋体" w:hAnsi="宋体"/>
          <w:sz w:val="21"/>
          <w:szCs w:val="21"/>
        </w:rPr>
      </w:pPr>
      <w:r>
        <w:rPr>
          <w:rFonts w:hint="eastAsia" w:ascii="宋体" w:hAnsi="宋体"/>
          <w:sz w:val="21"/>
          <w:szCs w:val="21"/>
        </w:rPr>
        <w:t>本文件编号；</w:t>
      </w:r>
    </w:p>
    <w:p>
      <w:pPr>
        <w:spacing w:line="240" w:lineRule="auto"/>
        <w:ind w:firstLine="478" w:firstLineChars="228"/>
        <w:rPr>
          <w:sz w:val="21"/>
          <w:szCs w:val="21"/>
        </w:rPr>
      </w:pPr>
      <w:r>
        <w:rPr>
          <w:rFonts w:hint="eastAsia" w:ascii="宋体" w:hAnsi="宋体"/>
          <w:sz w:val="21"/>
          <w:szCs w:val="21"/>
        </w:rPr>
        <w:t xml:space="preserve">i) 其他。     </w:t>
      </w:r>
    </w:p>
    <w:p>
      <w:pPr>
        <w:spacing w:line="240" w:lineRule="auto"/>
        <w:rPr>
          <w:sz w:val="21"/>
        </w:rPr>
      </w:pPr>
      <w:r>
        <w:rPr>
          <w:sz w:val="21"/>
        </w:rPr>
        <w:pict>
          <v:line id="_x0000_s1134" o:spid="_x0000_s1134" o:spt="20" style="position:absolute;left:0pt;margin-left:151.25pt;margin-top:24.3pt;height:0pt;width:144pt;z-index:251662336;mso-width-relative:page;mso-height-relative:page;" coordsize="21600,21600">
            <v:path arrowok="t"/>
            <v:fill focussize="0,0"/>
            <v:stroke weight="1.25pt"/>
            <v:imagedata o:title=""/>
            <o:lock v:ext="edit"/>
          </v:line>
        </w:pict>
      </w:r>
    </w:p>
    <w:sectPr>
      <w:headerReference r:id="rId13" w:type="first"/>
      <w:footerReference r:id="rId14" w:type="first"/>
      <w:headerReference r:id="rId12" w:type="default"/>
      <w:pgSz w:w="11907" w:h="16840"/>
      <w:pgMar w:top="1418" w:right="1588" w:bottom="1418" w:left="1588" w:header="720" w:footer="720" w:gutter="0"/>
      <w:pgNumType w:start="1"/>
      <w:cols w:space="720"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33093"/>
      <w:docPartObj>
        <w:docPartGallery w:val="autotext"/>
      </w:docPartObj>
    </w:sdtPr>
    <w:sdtContent>
      <w:p>
        <w:pPr>
          <w:pStyle w:val="20"/>
        </w:pPr>
        <w:r>
          <w:fldChar w:fldCharType="begin"/>
        </w:r>
        <w:r>
          <w:instrText xml:space="preserve"> PAGE   \* MERGEFORMAT </w:instrText>
        </w:r>
        <w:r>
          <w:fldChar w:fldCharType="separate"/>
        </w:r>
        <w:r>
          <w:rPr>
            <w:lang w:val="zh-CN"/>
          </w:rPr>
          <w:t>2</w:t>
        </w:r>
        <w:r>
          <w:rPr>
            <w:lang w:val="zh-CN"/>
          </w:rPr>
          <w:fldChar w:fldCharType="end"/>
        </w:r>
      </w:p>
    </w:sdtContent>
  </w:sdt>
  <w:p>
    <w:pPr>
      <w:pStyle w:val="2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10518"/>
      <w:docPartObj>
        <w:docPartGallery w:val="autotext"/>
      </w:docPartObj>
    </w:sdtPr>
    <w:sdtContent>
      <w:p>
        <w:pPr>
          <w:pStyle w:val="20"/>
          <w:jc w:val="right"/>
        </w:pPr>
        <w:r>
          <w:fldChar w:fldCharType="begin"/>
        </w:r>
        <w:r>
          <w:instrText xml:space="preserve"> PAGE   \* MERGEFORMAT </w:instrText>
        </w:r>
        <w:r>
          <w:fldChar w:fldCharType="separate"/>
        </w:r>
        <w:r>
          <w:rPr>
            <w:lang w:val="zh-CN"/>
          </w:rPr>
          <w:t>5</w:t>
        </w:r>
        <w:r>
          <w:rPr>
            <w:lang w:val="zh-CN"/>
          </w:rPr>
          <w:fldChar w:fldCharType="end"/>
        </w:r>
      </w:p>
    </w:sdtContent>
  </w:sdt>
  <w:p>
    <w:pPr>
      <w:pStyle w:val="20"/>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fldChar w:fldCharType="begin"/>
    </w:r>
    <w:r>
      <w:instrText xml:space="preserve"> PAGE   \* MERGEFORMAT </w:instrText>
    </w:r>
    <w:r>
      <w:fldChar w:fldCharType="separate"/>
    </w:r>
    <w:r>
      <w:rPr>
        <w:lang w:val="zh-CN"/>
      </w:rPr>
      <w:t>1</w:t>
    </w:r>
    <w:r>
      <w:rPr>
        <w:lang w:val="zh-CN"/>
      </w:rPr>
      <w:fldChar w:fldCharType="end"/>
    </w:r>
  </w:p>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rPr>
        <w:rFonts w:hint="eastAsia"/>
      </w:rPr>
      <w:t>YS/T 567-XXXX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rPr>
        <w:sz w:val="20"/>
      </w:rPr>
      <w:pict>
        <v:shape id="_x0000_s2049" o:spid="_x0000_s2049" o:spt="202" type="#_x0000_t202" style="position:absolute;left:0pt;margin-left:0pt;margin-top:-12.75pt;height:24.45pt;width:96pt;mso-wrap-distance-bottom:0pt;mso-wrap-distance-left:9pt;mso-wrap-distance-right:9pt;mso-wrap-distance-top:0pt;z-index:251660288;mso-width-relative:page;mso-height-relative:page;" stroked="f" coordsize="21600,21600">
          <v:path/>
          <v:fill focussize="0,0"/>
          <v:stroke on="f" joinstyle="miter"/>
          <v:imagedata o:title=""/>
          <o:lock v:ext="edit"/>
          <v:textbox>
            <w:txbxContent>
              <w:p>
                <w:pPr>
                  <w:rPr>
                    <w:sz w:val="18"/>
                  </w:rPr>
                </w:pPr>
                <w:r>
                  <w:rPr>
                    <w:rFonts w:hint="eastAsia"/>
                    <w:sz w:val="18"/>
                  </w:rPr>
                  <w:t>GB/T 8888－2002</w:t>
                </w:r>
              </w:p>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jc w:val="right"/>
    </w:pPr>
    <w:r>
      <w:rPr>
        <w:rFonts w:hint="eastAsia"/>
      </w:rPr>
      <w:t>YS/T 567-XXX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jc w:val="right"/>
    </w:pPr>
    <w:r>
      <w:rPr>
        <w:rFonts w:hint="eastAsia"/>
      </w:rPr>
      <w:t>YS/T 567-XXXX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jc w:val="right"/>
    </w:pPr>
    <w:r>
      <w:rPr>
        <w:rFonts w:hint="eastAsia"/>
      </w:rPr>
      <w:t xml:space="preserve"> YS/T 567-XXXX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237158E4"/>
    <w:multiLevelType w:val="multilevel"/>
    <w:tmpl w:val="237158E4"/>
    <w:lvl w:ilvl="0" w:tentative="0">
      <w:start w:val="5"/>
      <w:numFmt w:val="decimal"/>
      <w:lvlText w:val="%1"/>
      <w:lvlJc w:val="left"/>
      <w:pPr>
        <w:ind w:left="525" w:hanging="525"/>
      </w:pPr>
      <w:rPr>
        <w:rFonts w:hint="default"/>
      </w:rPr>
    </w:lvl>
    <w:lvl w:ilvl="1" w:tentative="0">
      <w:start w:val="2"/>
      <w:numFmt w:val="decimal"/>
      <w:lvlText w:val="%1.%2"/>
      <w:lvlJc w:val="left"/>
      <w:pPr>
        <w:ind w:left="525" w:hanging="525"/>
      </w:pPr>
      <w:rPr>
        <w:rFonts w:hint="default"/>
      </w:rPr>
    </w:lvl>
    <w:lvl w:ilvl="2" w:tentative="0">
      <w:start w:val="3"/>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2">
    <w:nsid w:val="3EBF5EDB"/>
    <w:multiLevelType w:val="multilevel"/>
    <w:tmpl w:val="3EBF5EDB"/>
    <w:lvl w:ilvl="0" w:tentative="0">
      <w:start w:val="1"/>
      <w:numFmt w:val="decimal"/>
      <w:suff w:val="space"/>
      <w:lvlText w:val="%1 "/>
      <w:lvlJc w:val="left"/>
      <w:pPr>
        <w:ind w:left="0" w:firstLine="0"/>
      </w:pPr>
      <w:rPr>
        <w:rFonts w:hint="default" w:ascii="Verdana" w:hAnsi="Verdana" w:eastAsia="黑体"/>
        <w:sz w:val="21"/>
      </w:rPr>
    </w:lvl>
    <w:lvl w:ilvl="1" w:tentative="0">
      <w:start w:val="1"/>
      <w:numFmt w:val="decimal"/>
      <w:suff w:val="space"/>
      <w:lvlText w:val="%1.%2 "/>
      <w:lvlJc w:val="left"/>
      <w:pPr>
        <w:ind w:left="0" w:firstLine="0"/>
      </w:pPr>
      <w:rPr>
        <w:rFonts w:hint="default" w:ascii="Verdana" w:hAnsi="Verdana" w:eastAsia="宋体"/>
        <w:sz w:val="21"/>
      </w:rPr>
    </w:lvl>
    <w:lvl w:ilvl="2" w:tentative="0">
      <w:start w:val="1"/>
      <w:numFmt w:val="decimal"/>
      <w:pStyle w:val="7"/>
      <w:suff w:val="space"/>
      <w:lvlText w:val="%1.%2.%3 "/>
      <w:lvlJc w:val="left"/>
      <w:pPr>
        <w:ind w:left="0" w:firstLine="0"/>
      </w:pPr>
      <w:rPr>
        <w:rFonts w:hint="default" w:ascii="Verdana" w:hAnsi="Verdana" w:eastAsia="宋体"/>
        <w:sz w:val="21"/>
      </w:rPr>
    </w:lvl>
    <w:lvl w:ilvl="3" w:tentative="0">
      <w:start w:val="1"/>
      <w:numFmt w:val="decimal"/>
      <w:pStyle w:val="8"/>
      <w:suff w:val="space"/>
      <w:lvlText w:val="%1.%2.%3.%4 "/>
      <w:lvlJc w:val="left"/>
      <w:pPr>
        <w:ind w:left="0" w:firstLine="0"/>
      </w:pPr>
      <w:rPr>
        <w:rFonts w:hint="default" w:ascii="Verdana" w:hAnsi="Verdana" w:eastAsia="宋体"/>
        <w:sz w:val="21"/>
      </w:rPr>
    </w:lvl>
    <w:lvl w:ilvl="4" w:tentative="0">
      <w:start w:val="1"/>
      <w:numFmt w:val="decimal"/>
      <w:pStyle w:val="9"/>
      <w:suff w:val="space"/>
      <w:lvlText w:val="%1.%2.%3.%4.%5 "/>
      <w:lvlJc w:val="left"/>
      <w:pPr>
        <w:ind w:left="0" w:firstLine="0"/>
      </w:pPr>
      <w:rPr>
        <w:rFonts w:hint="default" w:ascii="Verdana" w:hAnsi="Verdana"/>
        <w:sz w:val="24"/>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abstractNum w:abstractNumId="3">
    <w:nsid w:val="44826CF9"/>
    <w:multiLevelType w:val="multilevel"/>
    <w:tmpl w:val="44826CF9"/>
    <w:lvl w:ilvl="0" w:tentative="0">
      <w:start w:val="1"/>
      <w:numFmt w:val="lowerLetter"/>
      <w:lvlText w:val="%1）"/>
      <w:lvlJc w:val="left"/>
      <w:pPr>
        <w:tabs>
          <w:tab w:val="left" w:pos="810"/>
        </w:tabs>
        <w:ind w:left="810" w:hanging="360"/>
      </w:pPr>
      <w:rPr>
        <w:rFonts w:hint="eastAsia"/>
      </w:rPr>
    </w:lvl>
    <w:lvl w:ilvl="1" w:tentative="0">
      <w:start w:val="1"/>
      <w:numFmt w:val="lowerLetter"/>
      <w:lvlText w:val="%2)"/>
      <w:lvlJc w:val="left"/>
      <w:pPr>
        <w:tabs>
          <w:tab w:val="left" w:pos="1290"/>
        </w:tabs>
        <w:ind w:left="1290" w:hanging="420"/>
      </w:pPr>
    </w:lvl>
    <w:lvl w:ilvl="2" w:tentative="0">
      <w:start w:val="1"/>
      <w:numFmt w:val="lowerRoman"/>
      <w:lvlText w:val="%3."/>
      <w:lvlJc w:val="right"/>
      <w:pPr>
        <w:tabs>
          <w:tab w:val="left" w:pos="1710"/>
        </w:tabs>
        <w:ind w:left="1710" w:hanging="420"/>
      </w:pPr>
    </w:lvl>
    <w:lvl w:ilvl="3" w:tentative="0">
      <w:start w:val="1"/>
      <w:numFmt w:val="decimal"/>
      <w:lvlText w:val="%4."/>
      <w:lvlJc w:val="left"/>
      <w:pPr>
        <w:tabs>
          <w:tab w:val="left" w:pos="2130"/>
        </w:tabs>
        <w:ind w:left="2130" w:hanging="420"/>
      </w:pPr>
    </w:lvl>
    <w:lvl w:ilvl="4" w:tentative="0">
      <w:start w:val="1"/>
      <w:numFmt w:val="lowerLetter"/>
      <w:lvlText w:val="%5)"/>
      <w:lvlJc w:val="left"/>
      <w:pPr>
        <w:tabs>
          <w:tab w:val="left" w:pos="2550"/>
        </w:tabs>
        <w:ind w:left="2550" w:hanging="420"/>
      </w:pPr>
    </w:lvl>
    <w:lvl w:ilvl="5" w:tentative="0">
      <w:start w:val="1"/>
      <w:numFmt w:val="lowerRoman"/>
      <w:lvlText w:val="%6."/>
      <w:lvlJc w:val="right"/>
      <w:pPr>
        <w:tabs>
          <w:tab w:val="left" w:pos="2970"/>
        </w:tabs>
        <w:ind w:left="2970" w:hanging="420"/>
      </w:pPr>
    </w:lvl>
    <w:lvl w:ilvl="6" w:tentative="0">
      <w:start w:val="1"/>
      <w:numFmt w:val="decimal"/>
      <w:lvlText w:val="%7."/>
      <w:lvlJc w:val="left"/>
      <w:pPr>
        <w:tabs>
          <w:tab w:val="left" w:pos="3390"/>
        </w:tabs>
        <w:ind w:left="3390" w:hanging="420"/>
      </w:pPr>
    </w:lvl>
    <w:lvl w:ilvl="7" w:tentative="0">
      <w:start w:val="1"/>
      <w:numFmt w:val="lowerLetter"/>
      <w:lvlText w:val="%8)"/>
      <w:lvlJc w:val="left"/>
      <w:pPr>
        <w:tabs>
          <w:tab w:val="left" w:pos="3810"/>
        </w:tabs>
        <w:ind w:left="3810" w:hanging="420"/>
      </w:pPr>
    </w:lvl>
    <w:lvl w:ilvl="8" w:tentative="0">
      <w:start w:val="1"/>
      <w:numFmt w:val="lowerRoman"/>
      <w:lvlText w:val="%9."/>
      <w:lvlJc w:val="right"/>
      <w:pPr>
        <w:tabs>
          <w:tab w:val="left" w:pos="4230"/>
        </w:tabs>
        <w:ind w:left="4230" w:hanging="420"/>
      </w:pPr>
    </w:lvl>
  </w:abstractNum>
  <w:abstractNum w:abstractNumId="4">
    <w:nsid w:val="55DD4713"/>
    <w:multiLevelType w:val="multilevel"/>
    <w:tmpl w:val="55DD4713"/>
    <w:lvl w:ilvl="0" w:tentative="0">
      <w:start w:val="1"/>
      <w:numFmt w:val="lowerLetter"/>
      <w:pStyle w:val="39"/>
      <w:lvlText w:val="%1."/>
      <w:lvlJc w:val="left"/>
      <w:pPr>
        <w:tabs>
          <w:tab w:val="left" w:pos="890"/>
        </w:tabs>
        <w:ind w:left="89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93C4760"/>
    <w:multiLevelType w:val="multilevel"/>
    <w:tmpl w:val="793C476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attachedTemplate r:id="rId1"/>
  <w:documentProtection w:enforcement="0"/>
  <w:defaultTabStop w:val="240"/>
  <w:evenAndOddHeaders w:val="1"/>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liNmM5YzJkZDc1MzliMmM2MWJiZmYxOTI5NTU0YWMifQ=="/>
    <w:docVar w:name="DrawingValume" w:val="隐藏"/>
    <w:docVar w:name="GotoValume" w:val="隐藏"/>
    <w:docVar w:name="SXValume" w:val="隐藏"/>
  </w:docVars>
  <w:rsids>
    <w:rsidRoot w:val="00456AEE"/>
    <w:rsid w:val="00001611"/>
    <w:rsid w:val="00006CAA"/>
    <w:rsid w:val="00010FA2"/>
    <w:rsid w:val="00021DDD"/>
    <w:rsid w:val="0002248E"/>
    <w:rsid w:val="00022FFC"/>
    <w:rsid w:val="00023E7B"/>
    <w:rsid w:val="00023EFA"/>
    <w:rsid w:val="00034190"/>
    <w:rsid w:val="00034F0C"/>
    <w:rsid w:val="00041C5D"/>
    <w:rsid w:val="00045D3D"/>
    <w:rsid w:val="00045EFF"/>
    <w:rsid w:val="000467AD"/>
    <w:rsid w:val="0005471F"/>
    <w:rsid w:val="0005697E"/>
    <w:rsid w:val="000615B2"/>
    <w:rsid w:val="00073859"/>
    <w:rsid w:val="0007489C"/>
    <w:rsid w:val="00074A93"/>
    <w:rsid w:val="0007789E"/>
    <w:rsid w:val="00080569"/>
    <w:rsid w:val="0008154E"/>
    <w:rsid w:val="00083E58"/>
    <w:rsid w:val="00087335"/>
    <w:rsid w:val="00090AA9"/>
    <w:rsid w:val="00094399"/>
    <w:rsid w:val="00095D61"/>
    <w:rsid w:val="000A5434"/>
    <w:rsid w:val="000C1E6B"/>
    <w:rsid w:val="000C21F1"/>
    <w:rsid w:val="000C334C"/>
    <w:rsid w:val="000C4104"/>
    <w:rsid w:val="000D3A41"/>
    <w:rsid w:val="000D761D"/>
    <w:rsid w:val="000E1CA8"/>
    <w:rsid w:val="000E39A7"/>
    <w:rsid w:val="000E75C1"/>
    <w:rsid w:val="000F3EFC"/>
    <w:rsid w:val="001005FE"/>
    <w:rsid w:val="00102F6E"/>
    <w:rsid w:val="0010548E"/>
    <w:rsid w:val="00110F5A"/>
    <w:rsid w:val="00111829"/>
    <w:rsid w:val="00115992"/>
    <w:rsid w:val="001174CA"/>
    <w:rsid w:val="001348D9"/>
    <w:rsid w:val="001419CC"/>
    <w:rsid w:val="00150583"/>
    <w:rsid w:val="00150AB1"/>
    <w:rsid w:val="00163809"/>
    <w:rsid w:val="00164653"/>
    <w:rsid w:val="001678C6"/>
    <w:rsid w:val="001720CA"/>
    <w:rsid w:val="00173DCA"/>
    <w:rsid w:val="00175EB4"/>
    <w:rsid w:val="00182AEB"/>
    <w:rsid w:val="00190F6E"/>
    <w:rsid w:val="00191A9D"/>
    <w:rsid w:val="00192870"/>
    <w:rsid w:val="00193E21"/>
    <w:rsid w:val="00195284"/>
    <w:rsid w:val="00195451"/>
    <w:rsid w:val="001978D2"/>
    <w:rsid w:val="001A0D5F"/>
    <w:rsid w:val="001A14C1"/>
    <w:rsid w:val="001A2872"/>
    <w:rsid w:val="001A4617"/>
    <w:rsid w:val="001A5691"/>
    <w:rsid w:val="001A6ABE"/>
    <w:rsid w:val="001A6D3C"/>
    <w:rsid w:val="001A7DB0"/>
    <w:rsid w:val="001A7E86"/>
    <w:rsid w:val="001B3778"/>
    <w:rsid w:val="001C2780"/>
    <w:rsid w:val="001C5886"/>
    <w:rsid w:val="001C628E"/>
    <w:rsid w:val="001C6AC5"/>
    <w:rsid w:val="001E111D"/>
    <w:rsid w:val="001E1816"/>
    <w:rsid w:val="001E3456"/>
    <w:rsid w:val="001E3FE5"/>
    <w:rsid w:val="001E5E83"/>
    <w:rsid w:val="001E6730"/>
    <w:rsid w:val="001E6EBA"/>
    <w:rsid w:val="001F3F59"/>
    <w:rsid w:val="001F5160"/>
    <w:rsid w:val="001F72F0"/>
    <w:rsid w:val="001F74AA"/>
    <w:rsid w:val="001F7511"/>
    <w:rsid w:val="00203118"/>
    <w:rsid w:val="00214A70"/>
    <w:rsid w:val="00214DE8"/>
    <w:rsid w:val="0021551C"/>
    <w:rsid w:val="002175D4"/>
    <w:rsid w:val="00225B15"/>
    <w:rsid w:val="0022651A"/>
    <w:rsid w:val="00227C9C"/>
    <w:rsid w:val="0023379D"/>
    <w:rsid w:val="00234F68"/>
    <w:rsid w:val="00235546"/>
    <w:rsid w:val="00236970"/>
    <w:rsid w:val="00241300"/>
    <w:rsid w:val="00245484"/>
    <w:rsid w:val="0024587A"/>
    <w:rsid w:val="00247D34"/>
    <w:rsid w:val="00256F22"/>
    <w:rsid w:val="00270186"/>
    <w:rsid w:val="00271CBD"/>
    <w:rsid w:val="0027209A"/>
    <w:rsid w:val="00272749"/>
    <w:rsid w:val="0028362A"/>
    <w:rsid w:val="00285072"/>
    <w:rsid w:val="00286092"/>
    <w:rsid w:val="002873BE"/>
    <w:rsid w:val="002B055F"/>
    <w:rsid w:val="002B0950"/>
    <w:rsid w:val="002B26A7"/>
    <w:rsid w:val="002B3596"/>
    <w:rsid w:val="002B4B37"/>
    <w:rsid w:val="002B4BA3"/>
    <w:rsid w:val="002B50F1"/>
    <w:rsid w:val="002C400C"/>
    <w:rsid w:val="002C48CA"/>
    <w:rsid w:val="002C4DD9"/>
    <w:rsid w:val="002D3B6B"/>
    <w:rsid w:val="002D6A65"/>
    <w:rsid w:val="002E04F4"/>
    <w:rsid w:val="002E132B"/>
    <w:rsid w:val="002E4594"/>
    <w:rsid w:val="002E638A"/>
    <w:rsid w:val="002F2F05"/>
    <w:rsid w:val="002F4E15"/>
    <w:rsid w:val="00300405"/>
    <w:rsid w:val="00305C05"/>
    <w:rsid w:val="003067F9"/>
    <w:rsid w:val="00314D74"/>
    <w:rsid w:val="00316B0C"/>
    <w:rsid w:val="00317E3C"/>
    <w:rsid w:val="0032074A"/>
    <w:rsid w:val="003211A5"/>
    <w:rsid w:val="00323970"/>
    <w:rsid w:val="00326945"/>
    <w:rsid w:val="00331454"/>
    <w:rsid w:val="003361CF"/>
    <w:rsid w:val="0034059B"/>
    <w:rsid w:val="003411B2"/>
    <w:rsid w:val="003435CD"/>
    <w:rsid w:val="00344399"/>
    <w:rsid w:val="003458CC"/>
    <w:rsid w:val="00347F50"/>
    <w:rsid w:val="0035307D"/>
    <w:rsid w:val="00356FE2"/>
    <w:rsid w:val="00361B6C"/>
    <w:rsid w:val="003662E8"/>
    <w:rsid w:val="00380B6C"/>
    <w:rsid w:val="00381406"/>
    <w:rsid w:val="00391A40"/>
    <w:rsid w:val="00395DB0"/>
    <w:rsid w:val="00395F6F"/>
    <w:rsid w:val="003A3CEB"/>
    <w:rsid w:val="003A7DDA"/>
    <w:rsid w:val="003B4C5D"/>
    <w:rsid w:val="003B608D"/>
    <w:rsid w:val="003B6185"/>
    <w:rsid w:val="003B6C1B"/>
    <w:rsid w:val="003C14D4"/>
    <w:rsid w:val="003C7FE0"/>
    <w:rsid w:val="003D1A88"/>
    <w:rsid w:val="003D566D"/>
    <w:rsid w:val="003E02F2"/>
    <w:rsid w:val="003F23E1"/>
    <w:rsid w:val="003F324D"/>
    <w:rsid w:val="003F6697"/>
    <w:rsid w:val="004014CF"/>
    <w:rsid w:val="00401EE0"/>
    <w:rsid w:val="004035EC"/>
    <w:rsid w:val="00407058"/>
    <w:rsid w:val="00413D6E"/>
    <w:rsid w:val="0041644E"/>
    <w:rsid w:val="00420854"/>
    <w:rsid w:val="004255B2"/>
    <w:rsid w:val="00425B60"/>
    <w:rsid w:val="00425E5E"/>
    <w:rsid w:val="00426382"/>
    <w:rsid w:val="00427259"/>
    <w:rsid w:val="00430186"/>
    <w:rsid w:val="00430E6C"/>
    <w:rsid w:val="00432B17"/>
    <w:rsid w:val="00434A66"/>
    <w:rsid w:val="00435609"/>
    <w:rsid w:val="00440500"/>
    <w:rsid w:val="00450B82"/>
    <w:rsid w:val="00450D59"/>
    <w:rsid w:val="00456AEE"/>
    <w:rsid w:val="00461FC7"/>
    <w:rsid w:val="00462739"/>
    <w:rsid w:val="00463E9F"/>
    <w:rsid w:val="00464452"/>
    <w:rsid w:val="00476462"/>
    <w:rsid w:val="00481613"/>
    <w:rsid w:val="00492184"/>
    <w:rsid w:val="00492528"/>
    <w:rsid w:val="004957A4"/>
    <w:rsid w:val="004970B8"/>
    <w:rsid w:val="004A021A"/>
    <w:rsid w:val="004A212B"/>
    <w:rsid w:val="004A51EA"/>
    <w:rsid w:val="004A55D6"/>
    <w:rsid w:val="004A705A"/>
    <w:rsid w:val="004A7F3F"/>
    <w:rsid w:val="004B34F4"/>
    <w:rsid w:val="004B7235"/>
    <w:rsid w:val="004B7F84"/>
    <w:rsid w:val="004C6B3A"/>
    <w:rsid w:val="004D2F5E"/>
    <w:rsid w:val="004D57E4"/>
    <w:rsid w:val="004E1D7D"/>
    <w:rsid w:val="004E4315"/>
    <w:rsid w:val="004E6F84"/>
    <w:rsid w:val="004F0831"/>
    <w:rsid w:val="004F0DDE"/>
    <w:rsid w:val="004F165A"/>
    <w:rsid w:val="004F560C"/>
    <w:rsid w:val="00504327"/>
    <w:rsid w:val="00507262"/>
    <w:rsid w:val="00507578"/>
    <w:rsid w:val="005109CB"/>
    <w:rsid w:val="00511703"/>
    <w:rsid w:val="0051237A"/>
    <w:rsid w:val="0051455B"/>
    <w:rsid w:val="005200A1"/>
    <w:rsid w:val="00521EAF"/>
    <w:rsid w:val="00522A56"/>
    <w:rsid w:val="00522FEE"/>
    <w:rsid w:val="00524AD5"/>
    <w:rsid w:val="00532467"/>
    <w:rsid w:val="00532BEF"/>
    <w:rsid w:val="0053564D"/>
    <w:rsid w:val="00544DB5"/>
    <w:rsid w:val="005575BF"/>
    <w:rsid w:val="00563005"/>
    <w:rsid w:val="00565598"/>
    <w:rsid w:val="00567D57"/>
    <w:rsid w:val="005719C5"/>
    <w:rsid w:val="00576B0E"/>
    <w:rsid w:val="005800E1"/>
    <w:rsid w:val="0058670C"/>
    <w:rsid w:val="00587452"/>
    <w:rsid w:val="0059116C"/>
    <w:rsid w:val="0059124D"/>
    <w:rsid w:val="0059290F"/>
    <w:rsid w:val="00592A44"/>
    <w:rsid w:val="005A2391"/>
    <w:rsid w:val="005A32D7"/>
    <w:rsid w:val="005A4CFB"/>
    <w:rsid w:val="005A4D2D"/>
    <w:rsid w:val="005A58FD"/>
    <w:rsid w:val="005B2A5F"/>
    <w:rsid w:val="005B4547"/>
    <w:rsid w:val="005C47D4"/>
    <w:rsid w:val="005C4B11"/>
    <w:rsid w:val="005C4B83"/>
    <w:rsid w:val="005C5A42"/>
    <w:rsid w:val="005C6142"/>
    <w:rsid w:val="005D3A08"/>
    <w:rsid w:val="005D3C09"/>
    <w:rsid w:val="005E3A03"/>
    <w:rsid w:val="005E4350"/>
    <w:rsid w:val="005E4848"/>
    <w:rsid w:val="005E6D2B"/>
    <w:rsid w:val="005F120A"/>
    <w:rsid w:val="005F52FC"/>
    <w:rsid w:val="00604DC9"/>
    <w:rsid w:val="00616D9B"/>
    <w:rsid w:val="00621484"/>
    <w:rsid w:val="00622A9F"/>
    <w:rsid w:val="00624146"/>
    <w:rsid w:val="006273E3"/>
    <w:rsid w:val="00630AE5"/>
    <w:rsid w:val="006314C3"/>
    <w:rsid w:val="006330BE"/>
    <w:rsid w:val="006455B0"/>
    <w:rsid w:val="006502F0"/>
    <w:rsid w:val="00651A84"/>
    <w:rsid w:val="00653DAA"/>
    <w:rsid w:val="006560C5"/>
    <w:rsid w:val="006636B9"/>
    <w:rsid w:val="006705F0"/>
    <w:rsid w:val="00677234"/>
    <w:rsid w:val="006831E2"/>
    <w:rsid w:val="00684E94"/>
    <w:rsid w:val="00690876"/>
    <w:rsid w:val="00694702"/>
    <w:rsid w:val="006A0B1C"/>
    <w:rsid w:val="006A28E2"/>
    <w:rsid w:val="006A34A6"/>
    <w:rsid w:val="006A37BF"/>
    <w:rsid w:val="006B0CA5"/>
    <w:rsid w:val="006B31CE"/>
    <w:rsid w:val="006B43E1"/>
    <w:rsid w:val="006B4FF2"/>
    <w:rsid w:val="006B53CA"/>
    <w:rsid w:val="006B5CA6"/>
    <w:rsid w:val="006B6170"/>
    <w:rsid w:val="006B7605"/>
    <w:rsid w:val="006C1C88"/>
    <w:rsid w:val="006C2B53"/>
    <w:rsid w:val="006C6D55"/>
    <w:rsid w:val="006D0ECF"/>
    <w:rsid w:val="006D2A26"/>
    <w:rsid w:val="006D6278"/>
    <w:rsid w:val="006D6F8D"/>
    <w:rsid w:val="006E6AAE"/>
    <w:rsid w:val="006F56DB"/>
    <w:rsid w:val="006F66F3"/>
    <w:rsid w:val="00700EBA"/>
    <w:rsid w:val="007014B6"/>
    <w:rsid w:val="00702B7C"/>
    <w:rsid w:val="00703E49"/>
    <w:rsid w:val="007041AA"/>
    <w:rsid w:val="007041B0"/>
    <w:rsid w:val="00704A0D"/>
    <w:rsid w:val="007060E0"/>
    <w:rsid w:val="00711051"/>
    <w:rsid w:val="0071239A"/>
    <w:rsid w:val="007133B9"/>
    <w:rsid w:val="00715304"/>
    <w:rsid w:val="007173E5"/>
    <w:rsid w:val="0072175E"/>
    <w:rsid w:val="00721DF5"/>
    <w:rsid w:val="00722676"/>
    <w:rsid w:val="007230D1"/>
    <w:rsid w:val="00727C5F"/>
    <w:rsid w:val="0073088E"/>
    <w:rsid w:val="00731497"/>
    <w:rsid w:val="007326D6"/>
    <w:rsid w:val="00734D05"/>
    <w:rsid w:val="00735FB0"/>
    <w:rsid w:val="00736E98"/>
    <w:rsid w:val="00740889"/>
    <w:rsid w:val="00741405"/>
    <w:rsid w:val="00745C6C"/>
    <w:rsid w:val="00746FF5"/>
    <w:rsid w:val="00747270"/>
    <w:rsid w:val="00750420"/>
    <w:rsid w:val="00751138"/>
    <w:rsid w:val="007532D3"/>
    <w:rsid w:val="00757575"/>
    <w:rsid w:val="00757991"/>
    <w:rsid w:val="00765F80"/>
    <w:rsid w:val="0076708D"/>
    <w:rsid w:val="00767E8C"/>
    <w:rsid w:val="00771121"/>
    <w:rsid w:val="00775E33"/>
    <w:rsid w:val="00776848"/>
    <w:rsid w:val="00777532"/>
    <w:rsid w:val="007828E7"/>
    <w:rsid w:val="00783DA5"/>
    <w:rsid w:val="007A6ADD"/>
    <w:rsid w:val="007B25B0"/>
    <w:rsid w:val="007B30A6"/>
    <w:rsid w:val="007B5C17"/>
    <w:rsid w:val="007B6268"/>
    <w:rsid w:val="007C36B3"/>
    <w:rsid w:val="007C5986"/>
    <w:rsid w:val="007D5E28"/>
    <w:rsid w:val="007D796A"/>
    <w:rsid w:val="007E7E23"/>
    <w:rsid w:val="007F102B"/>
    <w:rsid w:val="007F42C1"/>
    <w:rsid w:val="007F498F"/>
    <w:rsid w:val="007F6948"/>
    <w:rsid w:val="008018CE"/>
    <w:rsid w:val="0080473E"/>
    <w:rsid w:val="00805753"/>
    <w:rsid w:val="00807116"/>
    <w:rsid w:val="008101B8"/>
    <w:rsid w:val="008162D0"/>
    <w:rsid w:val="00816F08"/>
    <w:rsid w:val="00822893"/>
    <w:rsid w:val="00827486"/>
    <w:rsid w:val="008335F6"/>
    <w:rsid w:val="00836CA3"/>
    <w:rsid w:val="008422C3"/>
    <w:rsid w:val="00843014"/>
    <w:rsid w:val="00850C8E"/>
    <w:rsid w:val="00857B85"/>
    <w:rsid w:val="00861986"/>
    <w:rsid w:val="00866674"/>
    <w:rsid w:val="0088009B"/>
    <w:rsid w:val="0088072B"/>
    <w:rsid w:val="00883EB9"/>
    <w:rsid w:val="00890597"/>
    <w:rsid w:val="008B27BD"/>
    <w:rsid w:val="008C1F9B"/>
    <w:rsid w:val="008C6E15"/>
    <w:rsid w:val="008D26D7"/>
    <w:rsid w:val="008D3AE8"/>
    <w:rsid w:val="008D4719"/>
    <w:rsid w:val="008D7103"/>
    <w:rsid w:val="008E1E10"/>
    <w:rsid w:val="008E211D"/>
    <w:rsid w:val="008F6011"/>
    <w:rsid w:val="00900F66"/>
    <w:rsid w:val="0090516F"/>
    <w:rsid w:val="009063DA"/>
    <w:rsid w:val="00913EF4"/>
    <w:rsid w:val="00914B8E"/>
    <w:rsid w:val="00914BA1"/>
    <w:rsid w:val="009205F6"/>
    <w:rsid w:val="00921A7B"/>
    <w:rsid w:val="00921B80"/>
    <w:rsid w:val="00925439"/>
    <w:rsid w:val="00925BEF"/>
    <w:rsid w:val="0093135A"/>
    <w:rsid w:val="00934CDE"/>
    <w:rsid w:val="00935CD2"/>
    <w:rsid w:val="009401F6"/>
    <w:rsid w:val="00944227"/>
    <w:rsid w:val="009443F0"/>
    <w:rsid w:val="00944CF0"/>
    <w:rsid w:val="00947461"/>
    <w:rsid w:val="009516C6"/>
    <w:rsid w:val="009536E8"/>
    <w:rsid w:val="00956117"/>
    <w:rsid w:val="00961011"/>
    <w:rsid w:val="0096676B"/>
    <w:rsid w:val="0097490A"/>
    <w:rsid w:val="009829E6"/>
    <w:rsid w:val="0098411C"/>
    <w:rsid w:val="00984FBF"/>
    <w:rsid w:val="009913DB"/>
    <w:rsid w:val="009932B4"/>
    <w:rsid w:val="00993668"/>
    <w:rsid w:val="009967AA"/>
    <w:rsid w:val="009A2640"/>
    <w:rsid w:val="009A49AA"/>
    <w:rsid w:val="009A6A40"/>
    <w:rsid w:val="009B0DDE"/>
    <w:rsid w:val="009B7880"/>
    <w:rsid w:val="009C30C2"/>
    <w:rsid w:val="009C39EF"/>
    <w:rsid w:val="009C4C68"/>
    <w:rsid w:val="009C799D"/>
    <w:rsid w:val="009E40F3"/>
    <w:rsid w:val="009E5E16"/>
    <w:rsid w:val="009E65E3"/>
    <w:rsid w:val="009F125D"/>
    <w:rsid w:val="009F12C8"/>
    <w:rsid w:val="009F1363"/>
    <w:rsid w:val="009F13B9"/>
    <w:rsid w:val="009F22F1"/>
    <w:rsid w:val="009F2DC9"/>
    <w:rsid w:val="009F56F6"/>
    <w:rsid w:val="00A010FB"/>
    <w:rsid w:val="00A015BF"/>
    <w:rsid w:val="00A045F7"/>
    <w:rsid w:val="00A0688E"/>
    <w:rsid w:val="00A06A1F"/>
    <w:rsid w:val="00A16F5D"/>
    <w:rsid w:val="00A23CB1"/>
    <w:rsid w:val="00A26949"/>
    <w:rsid w:val="00A306DC"/>
    <w:rsid w:val="00A31EA7"/>
    <w:rsid w:val="00A34192"/>
    <w:rsid w:val="00A34917"/>
    <w:rsid w:val="00A34D10"/>
    <w:rsid w:val="00A37956"/>
    <w:rsid w:val="00A4399C"/>
    <w:rsid w:val="00A45601"/>
    <w:rsid w:val="00A473F3"/>
    <w:rsid w:val="00A47410"/>
    <w:rsid w:val="00A50DE7"/>
    <w:rsid w:val="00A515D8"/>
    <w:rsid w:val="00A56442"/>
    <w:rsid w:val="00A57601"/>
    <w:rsid w:val="00A66F23"/>
    <w:rsid w:val="00A67F7B"/>
    <w:rsid w:val="00A7450A"/>
    <w:rsid w:val="00A7621F"/>
    <w:rsid w:val="00A76F03"/>
    <w:rsid w:val="00A805CE"/>
    <w:rsid w:val="00A83852"/>
    <w:rsid w:val="00A91086"/>
    <w:rsid w:val="00A91F79"/>
    <w:rsid w:val="00A96F2A"/>
    <w:rsid w:val="00A96F89"/>
    <w:rsid w:val="00AA068F"/>
    <w:rsid w:val="00AA3C32"/>
    <w:rsid w:val="00AA566C"/>
    <w:rsid w:val="00AB5A65"/>
    <w:rsid w:val="00AC30DE"/>
    <w:rsid w:val="00AD1129"/>
    <w:rsid w:val="00AD6184"/>
    <w:rsid w:val="00AE09EC"/>
    <w:rsid w:val="00AE22AF"/>
    <w:rsid w:val="00AE3A21"/>
    <w:rsid w:val="00AE5CF7"/>
    <w:rsid w:val="00AE66A6"/>
    <w:rsid w:val="00AF1445"/>
    <w:rsid w:val="00AF39FE"/>
    <w:rsid w:val="00AF4232"/>
    <w:rsid w:val="00AF5347"/>
    <w:rsid w:val="00B04171"/>
    <w:rsid w:val="00B0444A"/>
    <w:rsid w:val="00B10FD0"/>
    <w:rsid w:val="00B118C1"/>
    <w:rsid w:val="00B1689C"/>
    <w:rsid w:val="00B262F0"/>
    <w:rsid w:val="00B26F12"/>
    <w:rsid w:val="00B33EB3"/>
    <w:rsid w:val="00B3537E"/>
    <w:rsid w:val="00B4131F"/>
    <w:rsid w:val="00B55C9F"/>
    <w:rsid w:val="00B562A8"/>
    <w:rsid w:val="00B65463"/>
    <w:rsid w:val="00B67F75"/>
    <w:rsid w:val="00B84E09"/>
    <w:rsid w:val="00B85A09"/>
    <w:rsid w:val="00B9103C"/>
    <w:rsid w:val="00B96C1F"/>
    <w:rsid w:val="00BA3508"/>
    <w:rsid w:val="00BA375C"/>
    <w:rsid w:val="00BA56B7"/>
    <w:rsid w:val="00BB3BFD"/>
    <w:rsid w:val="00BC2931"/>
    <w:rsid w:val="00BC70D8"/>
    <w:rsid w:val="00BC7241"/>
    <w:rsid w:val="00BD08CA"/>
    <w:rsid w:val="00BE1523"/>
    <w:rsid w:val="00BE30DB"/>
    <w:rsid w:val="00BE5AB2"/>
    <w:rsid w:val="00BF2229"/>
    <w:rsid w:val="00BF2CFE"/>
    <w:rsid w:val="00BF6FAD"/>
    <w:rsid w:val="00C06303"/>
    <w:rsid w:val="00C0633C"/>
    <w:rsid w:val="00C1692D"/>
    <w:rsid w:val="00C26C28"/>
    <w:rsid w:val="00C27F8B"/>
    <w:rsid w:val="00C34E8E"/>
    <w:rsid w:val="00C40C82"/>
    <w:rsid w:val="00C448FB"/>
    <w:rsid w:val="00C44A45"/>
    <w:rsid w:val="00C45994"/>
    <w:rsid w:val="00C51439"/>
    <w:rsid w:val="00C52547"/>
    <w:rsid w:val="00C55028"/>
    <w:rsid w:val="00C6388F"/>
    <w:rsid w:val="00C73682"/>
    <w:rsid w:val="00C752D4"/>
    <w:rsid w:val="00C76B76"/>
    <w:rsid w:val="00C8095A"/>
    <w:rsid w:val="00C8157A"/>
    <w:rsid w:val="00C94F4A"/>
    <w:rsid w:val="00CA1DB7"/>
    <w:rsid w:val="00CA209B"/>
    <w:rsid w:val="00CA25D5"/>
    <w:rsid w:val="00CA2859"/>
    <w:rsid w:val="00CA3BBF"/>
    <w:rsid w:val="00CA3CCC"/>
    <w:rsid w:val="00CB0A9C"/>
    <w:rsid w:val="00CB15BF"/>
    <w:rsid w:val="00CB480F"/>
    <w:rsid w:val="00CB6E93"/>
    <w:rsid w:val="00CC1AF4"/>
    <w:rsid w:val="00CD01F0"/>
    <w:rsid w:val="00CD02BE"/>
    <w:rsid w:val="00CD126C"/>
    <w:rsid w:val="00CD1EDB"/>
    <w:rsid w:val="00CD30C3"/>
    <w:rsid w:val="00CD6E5F"/>
    <w:rsid w:val="00CD7A0D"/>
    <w:rsid w:val="00CE283B"/>
    <w:rsid w:val="00CE3551"/>
    <w:rsid w:val="00CE402B"/>
    <w:rsid w:val="00CE43D9"/>
    <w:rsid w:val="00CE5B8A"/>
    <w:rsid w:val="00D007F1"/>
    <w:rsid w:val="00D00E54"/>
    <w:rsid w:val="00D025A9"/>
    <w:rsid w:val="00D02718"/>
    <w:rsid w:val="00D10FE9"/>
    <w:rsid w:val="00D12091"/>
    <w:rsid w:val="00D14E39"/>
    <w:rsid w:val="00D17A4C"/>
    <w:rsid w:val="00D21302"/>
    <w:rsid w:val="00D257E2"/>
    <w:rsid w:val="00D2632E"/>
    <w:rsid w:val="00D270D6"/>
    <w:rsid w:val="00D35765"/>
    <w:rsid w:val="00D35FFB"/>
    <w:rsid w:val="00D436E8"/>
    <w:rsid w:val="00D45048"/>
    <w:rsid w:val="00D46E49"/>
    <w:rsid w:val="00D50080"/>
    <w:rsid w:val="00D5256C"/>
    <w:rsid w:val="00D53075"/>
    <w:rsid w:val="00D535BA"/>
    <w:rsid w:val="00D54180"/>
    <w:rsid w:val="00D55171"/>
    <w:rsid w:val="00D56637"/>
    <w:rsid w:val="00D57192"/>
    <w:rsid w:val="00D61DC0"/>
    <w:rsid w:val="00D632C8"/>
    <w:rsid w:val="00D63ADD"/>
    <w:rsid w:val="00D677A8"/>
    <w:rsid w:val="00D76950"/>
    <w:rsid w:val="00D775E9"/>
    <w:rsid w:val="00D804FA"/>
    <w:rsid w:val="00D81D78"/>
    <w:rsid w:val="00D843F2"/>
    <w:rsid w:val="00D84DD5"/>
    <w:rsid w:val="00D85D54"/>
    <w:rsid w:val="00D86D32"/>
    <w:rsid w:val="00D909C4"/>
    <w:rsid w:val="00D923AE"/>
    <w:rsid w:val="00D9268F"/>
    <w:rsid w:val="00D936B8"/>
    <w:rsid w:val="00D955B3"/>
    <w:rsid w:val="00D9591C"/>
    <w:rsid w:val="00DA07B8"/>
    <w:rsid w:val="00DA1926"/>
    <w:rsid w:val="00DA19D5"/>
    <w:rsid w:val="00DA3287"/>
    <w:rsid w:val="00DA3691"/>
    <w:rsid w:val="00DA4F96"/>
    <w:rsid w:val="00DB1C96"/>
    <w:rsid w:val="00DB4584"/>
    <w:rsid w:val="00DC0000"/>
    <w:rsid w:val="00DC0566"/>
    <w:rsid w:val="00DC2E37"/>
    <w:rsid w:val="00DC3DAD"/>
    <w:rsid w:val="00DC5AAB"/>
    <w:rsid w:val="00DC5F20"/>
    <w:rsid w:val="00DD2F35"/>
    <w:rsid w:val="00DD784C"/>
    <w:rsid w:val="00DE297E"/>
    <w:rsid w:val="00DE4D71"/>
    <w:rsid w:val="00DE505D"/>
    <w:rsid w:val="00DE6F9A"/>
    <w:rsid w:val="00DE7DAB"/>
    <w:rsid w:val="00DF5F06"/>
    <w:rsid w:val="00E10D88"/>
    <w:rsid w:val="00E135FE"/>
    <w:rsid w:val="00E14079"/>
    <w:rsid w:val="00E155FD"/>
    <w:rsid w:val="00E1611C"/>
    <w:rsid w:val="00E20CD5"/>
    <w:rsid w:val="00E24883"/>
    <w:rsid w:val="00E26DA2"/>
    <w:rsid w:val="00E27DC7"/>
    <w:rsid w:val="00E30A56"/>
    <w:rsid w:val="00E322D3"/>
    <w:rsid w:val="00E343D6"/>
    <w:rsid w:val="00E3499B"/>
    <w:rsid w:val="00E36006"/>
    <w:rsid w:val="00E36757"/>
    <w:rsid w:val="00E42E4C"/>
    <w:rsid w:val="00E447FC"/>
    <w:rsid w:val="00E453C9"/>
    <w:rsid w:val="00E4542C"/>
    <w:rsid w:val="00E457F0"/>
    <w:rsid w:val="00E4683D"/>
    <w:rsid w:val="00E469C0"/>
    <w:rsid w:val="00E56E71"/>
    <w:rsid w:val="00E648C7"/>
    <w:rsid w:val="00E66AE2"/>
    <w:rsid w:val="00E719D6"/>
    <w:rsid w:val="00E7482B"/>
    <w:rsid w:val="00E76B4F"/>
    <w:rsid w:val="00E779D9"/>
    <w:rsid w:val="00E81660"/>
    <w:rsid w:val="00E81CA5"/>
    <w:rsid w:val="00E84C95"/>
    <w:rsid w:val="00E8602F"/>
    <w:rsid w:val="00E86E04"/>
    <w:rsid w:val="00E873FA"/>
    <w:rsid w:val="00E9246D"/>
    <w:rsid w:val="00E9380F"/>
    <w:rsid w:val="00E96832"/>
    <w:rsid w:val="00EA3807"/>
    <w:rsid w:val="00EA3B00"/>
    <w:rsid w:val="00EA653B"/>
    <w:rsid w:val="00EB1202"/>
    <w:rsid w:val="00EB3D5A"/>
    <w:rsid w:val="00EB7DFB"/>
    <w:rsid w:val="00EB7F61"/>
    <w:rsid w:val="00EC31D4"/>
    <w:rsid w:val="00EC70CE"/>
    <w:rsid w:val="00ED13CF"/>
    <w:rsid w:val="00ED625C"/>
    <w:rsid w:val="00EE3BE1"/>
    <w:rsid w:val="00EE3D22"/>
    <w:rsid w:val="00EE3EB0"/>
    <w:rsid w:val="00EE6D24"/>
    <w:rsid w:val="00EE76F2"/>
    <w:rsid w:val="00EF0BB8"/>
    <w:rsid w:val="00EF411A"/>
    <w:rsid w:val="00EF5A77"/>
    <w:rsid w:val="00F0256A"/>
    <w:rsid w:val="00F03610"/>
    <w:rsid w:val="00F064F3"/>
    <w:rsid w:val="00F06D52"/>
    <w:rsid w:val="00F07CAF"/>
    <w:rsid w:val="00F1424C"/>
    <w:rsid w:val="00F1501B"/>
    <w:rsid w:val="00F1774A"/>
    <w:rsid w:val="00F17FBB"/>
    <w:rsid w:val="00F27006"/>
    <w:rsid w:val="00F33283"/>
    <w:rsid w:val="00F458F0"/>
    <w:rsid w:val="00F506C2"/>
    <w:rsid w:val="00F539F5"/>
    <w:rsid w:val="00F56FCE"/>
    <w:rsid w:val="00F6205C"/>
    <w:rsid w:val="00F66947"/>
    <w:rsid w:val="00F66C83"/>
    <w:rsid w:val="00F702B1"/>
    <w:rsid w:val="00F70470"/>
    <w:rsid w:val="00F71C43"/>
    <w:rsid w:val="00F727F2"/>
    <w:rsid w:val="00F76313"/>
    <w:rsid w:val="00F76BC9"/>
    <w:rsid w:val="00F86B3C"/>
    <w:rsid w:val="00F913B4"/>
    <w:rsid w:val="00F917CA"/>
    <w:rsid w:val="00F92637"/>
    <w:rsid w:val="00F955B7"/>
    <w:rsid w:val="00FA126F"/>
    <w:rsid w:val="00FA7663"/>
    <w:rsid w:val="00FB148E"/>
    <w:rsid w:val="00FC0A45"/>
    <w:rsid w:val="00FC5EE9"/>
    <w:rsid w:val="00FC7734"/>
    <w:rsid w:val="00FD23E5"/>
    <w:rsid w:val="00FD4094"/>
    <w:rsid w:val="00FE0790"/>
    <w:rsid w:val="00FE3161"/>
    <w:rsid w:val="00FE3214"/>
    <w:rsid w:val="00FE790C"/>
    <w:rsid w:val="00FF1401"/>
    <w:rsid w:val="00FF1ED0"/>
    <w:rsid w:val="00FF37C7"/>
    <w:rsid w:val="00FF4E56"/>
    <w:rsid w:val="0EA44528"/>
    <w:rsid w:val="10613440"/>
    <w:rsid w:val="11D44F2A"/>
    <w:rsid w:val="1A501008"/>
    <w:rsid w:val="276221A5"/>
    <w:rsid w:val="42E03911"/>
    <w:rsid w:val="561008CC"/>
    <w:rsid w:val="5F9D4C73"/>
    <w:rsid w:val="5FC7216E"/>
    <w:rsid w:val="796E0E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3"/>
    <w:qFormat/>
    <w:uiPriority w:val="0"/>
    <w:pPr>
      <w:keepLines/>
      <w:snapToGrid w:val="0"/>
      <w:spacing w:beforeLines="100" w:afterLines="100" w:line="240" w:lineRule="auto"/>
      <w:jc w:val="both"/>
      <w:outlineLvl w:val="0"/>
    </w:pPr>
    <w:rPr>
      <w:rFonts w:ascii="黑体" w:hAnsi="Verdana" w:eastAsia="黑体"/>
      <w:sz w:val="21"/>
    </w:rPr>
  </w:style>
  <w:style w:type="paragraph" w:styleId="5">
    <w:name w:val="heading 2"/>
    <w:basedOn w:val="2"/>
    <w:next w:val="6"/>
    <w:qFormat/>
    <w:uiPriority w:val="0"/>
    <w:pPr>
      <w:spacing w:line="360" w:lineRule="auto"/>
      <w:outlineLvl w:val="1"/>
    </w:pPr>
    <w:rPr>
      <w:rFonts w:ascii="宋体" w:hAnsi="Times New Roman" w:eastAsia="宋体"/>
    </w:rPr>
  </w:style>
  <w:style w:type="paragraph" w:styleId="7">
    <w:name w:val="heading 3"/>
    <w:basedOn w:val="2"/>
    <w:next w:val="1"/>
    <w:qFormat/>
    <w:uiPriority w:val="0"/>
    <w:pPr>
      <w:keepLines w:val="0"/>
      <w:numPr>
        <w:ilvl w:val="2"/>
        <w:numId w:val="1"/>
      </w:numPr>
      <w:outlineLvl w:val="2"/>
    </w:pPr>
    <w:rPr>
      <w:rFonts w:ascii="宋体" w:hAnsi="Tahoma" w:eastAsia="宋体"/>
    </w:rPr>
  </w:style>
  <w:style w:type="paragraph" w:styleId="8">
    <w:name w:val="heading 4"/>
    <w:basedOn w:val="2"/>
    <w:next w:val="6"/>
    <w:qFormat/>
    <w:uiPriority w:val="0"/>
    <w:pPr>
      <w:keepNext/>
      <w:numPr>
        <w:ilvl w:val="3"/>
        <w:numId w:val="1"/>
      </w:numPr>
      <w:outlineLvl w:val="3"/>
    </w:pPr>
    <w:rPr>
      <w:rFonts w:ascii="宋体" w:hAnsi="Tahoma" w:eastAsia="宋体"/>
    </w:rPr>
  </w:style>
  <w:style w:type="paragraph" w:styleId="9">
    <w:name w:val="heading 5"/>
    <w:basedOn w:val="7"/>
    <w:next w:val="6"/>
    <w:qFormat/>
    <w:uiPriority w:val="0"/>
    <w:pPr>
      <w:numPr>
        <w:ilvl w:val="4"/>
      </w:numPr>
      <w:outlineLvl w:val="4"/>
    </w:p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qFormat/>
    <w:uiPriority w:val="0"/>
    <w:pPr>
      <w:tabs>
        <w:tab w:val="left" w:pos="2400"/>
      </w:tabs>
      <w:snapToGrid w:val="0"/>
      <w:spacing w:beforeLines="100" w:afterLines="100" w:line="240" w:lineRule="auto"/>
      <w:jc w:val="both"/>
    </w:pPr>
    <w:rPr>
      <w:rFonts w:ascii="宋体" w:hAnsi="宋体"/>
      <w:sz w:val="21"/>
      <w:szCs w:val="21"/>
      <w:lang w:val="de-DE"/>
    </w:rPr>
  </w:style>
  <w:style w:type="paragraph" w:styleId="4">
    <w:name w:val="Body Text"/>
    <w:basedOn w:val="1"/>
    <w:qFormat/>
    <w:uiPriority w:val="0"/>
    <w:pPr>
      <w:spacing w:after="120"/>
    </w:pPr>
  </w:style>
  <w:style w:type="paragraph" w:styleId="6">
    <w:name w:val="Normal Indent"/>
    <w:basedOn w:val="1"/>
    <w:qFormat/>
    <w:uiPriority w:val="0"/>
    <w:pPr>
      <w:spacing w:beforeLines="100" w:afterLines="100" w:line="240" w:lineRule="auto"/>
      <w:jc w:val="center"/>
    </w:pPr>
    <w:rPr>
      <w:rFonts w:ascii="宋体" w:hAnsi="宋体"/>
      <w:sz w:val="21"/>
      <w:szCs w:val="21"/>
    </w:rPr>
  </w:style>
  <w:style w:type="paragraph" w:styleId="10">
    <w:name w:val="toc 7"/>
    <w:basedOn w:val="1"/>
    <w:next w:val="1"/>
    <w:semiHidden/>
    <w:qFormat/>
    <w:uiPriority w:val="0"/>
    <w:pPr>
      <w:ind w:left="1440"/>
    </w:pPr>
    <w:rPr>
      <w:szCs w:val="21"/>
    </w:rPr>
  </w:style>
  <w:style w:type="paragraph" w:styleId="11">
    <w:name w:val="caption"/>
    <w:basedOn w:val="1"/>
    <w:next w:val="1"/>
    <w:qFormat/>
    <w:uiPriority w:val="0"/>
    <w:pPr>
      <w:spacing w:before="152" w:after="160"/>
      <w:jc w:val="center"/>
    </w:pPr>
    <w:rPr>
      <w:rFonts w:ascii="Arial" w:hAnsi="Arial" w:eastAsia="黑体"/>
      <w:sz w:val="21"/>
    </w:rPr>
  </w:style>
  <w:style w:type="paragraph" w:styleId="12">
    <w:name w:val="annotation text"/>
    <w:basedOn w:val="1"/>
    <w:uiPriority w:val="0"/>
  </w:style>
  <w:style w:type="paragraph" w:styleId="13">
    <w:name w:val="Body Text Indent"/>
    <w:basedOn w:val="1"/>
    <w:qFormat/>
    <w:uiPriority w:val="0"/>
    <w:pPr>
      <w:spacing w:line="240" w:lineRule="auto"/>
      <w:ind w:firstLine="420" w:firstLineChars="200"/>
    </w:pPr>
    <w:rPr>
      <w:sz w:val="21"/>
    </w:rPr>
  </w:style>
  <w:style w:type="paragraph" w:styleId="14">
    <w:name w:val="toc 5"/>
    <w:basedOn w:val="1"/>
    <w:next w:val="1"/>
    <w:semiHidden/>
    <w:qFormat/>
    <w:uiPriority w:val="0"/>
    <w:pPr>
      <w:ind w:left="960"/>
    </w:pPr>
    <w:rPr>
      <w:szCs w:val="21"/>
    </w:rPr>
  </w:style>
  <w:style w:type="paragraph" w:styleId="15">
    <w:name w:val="toc 3"/>
    <w:basedOn w:val="1"/>
    <w:next w:val="1"/>
    <w:semiHidden/>
    <w:qFormat/>
    <w:uiPriority w:val="0"/>
    <w:pPr>
      <w:ind w:left="480"/>
    </w:pPr>
    <w:rPr>
      <w:i/>
      <w:iCs/>
      <w:szCs w:val="24"/>
    </w:rPr>
  </w:style>
  <w:style w:type="paragraph" w:styleId="16">
    <w:name w:val="Plain Text"/>
    <w:basedOn w:val="1"/>
    <w:qFormat/>
    <w:uiPriority w:val="0"/>
    <w:pPr>
      <w:adjustRightInd/>
      <w:spacing w:line="240" w:lineRule="auto"/>
      <w:jc w:val="both"/>
      <w:textAlignment w:val="auto"/>
    </w:pPr>
    <w:rPr>
      <w:rFonts w:ascii="宋体" w:hAnsi="Courier New" w:cs="Courier New"/>
      <w:kern w:val="2"/>
      <w:sz w:val="21"/>
      <w:szCs w:val="21"/>
    </w:rPr>
  </w:style>
  <w:style w:type="paragraph" w:styleId="17">
    <w:name w:val="toc 8"/>
    <w:basedOn w:val="1"/>
    <w:next w:val="1"/>
    <w:semiHidden/>
    <w:qFormat/>
    <w:uiPriority w:val="0"/>
    <w:pPr>
      <w:ind w:left="1680"/>
    </w:pPr>
    <w:rPr>
      <w:szCs w:val="21"/>
    </w:rPr>
  </w:style>
  <w:style w:type="paragraph" w:styleId="18">
    <w:name w:val="Date"/>
    <w:basedOn w:val="1"/>
    <w:next w:val="1"/>
    <w:qFormat/>
    <w:uiPriority w:val="0"/>
    <w:pPr>
      <w:ind w:left="100" w:leftChars="2500"/>
    </w:pPr>
    <w:rPr>
      <w:sz w:val="21"/>
    </w:rPr>
  </w:style>
  <w:style w:type="paragraph" w:styleId="19">
    <w:name w:val="Balloon Text"/>
    <w:basedOn w:val="1"/>
    <w:link w:val="45"/>
    <w:qFormat/>
    <w:uiPriority w:val="0"/>
    <w:pPr>
      <w:spacing w:line="240" w:lineRule="auto"/>
    </w:pPr>
    <w:rPr>
      <w:sz w:val="18"/>
      <w:szCs w:val="18"/>
    </w:rPr>
  </w:style>
  <w:style w:type="paragraph" w:styleId="20">
    <w:name w:val="footer"/>
    <w:basedOn w:val="1"/>
    <w:link w:val="48"/>
    <w:qFormat/>
    <w:uiPriority w:val="99"/>
    <w:pPr>
      <w:tabs>
        <w:tab w:val="center" w:pos="4153"/>
        <w:tab w:val="right" w:pos="8306"/>
      </w:tabs>
      <w:spacing w:line="240" w:lineRule="atLeast"/>
    </w:pPr>
    <w:rPr>
      <w:sz w:val="18"/>
    </w:rPr>
  </w:style>
  <w:style w:type="paragraph" w:styleId="21">
    <w:name w:val="header"/>
    <w:basedOn w:val="1"/>
    <w:link w:val="49"/>
    <w:qFormat/>
    <w:uiPriority w:val="99"/>
    <w:pPr>
      <w:tabs>
        <w:tab w:val="center" w:pos="4153"/>
        <w:tab w:val="right" w:pos="8306"/>
      </w:tabs>
      <w:spacing w:line="240" w:lineRule="atLeast"/>
      <w:jc w:val="center"/>
    </w:pPr>
    <w:rPr>
      <w:sz w:val="18"/>
    </w:rPr>
  </w:style>
  <w:style w:type="paragraph" w:styleId="22">
    <w:name w:val="toc 1"/>
    <w:basedOn w:val="1"/>
    <w:next w:val="1"/>
    <w:semiHidden/>
    <w:qFormat/>
    <w:uiPriority w:val="0"/>
    <w:pPr>
      <w:spacing w:before="120" w:after="120" w:line="240" w:lineRule="auto"/>
      <w:jc w:val="center"/>
    </w:pPr>
    <w:rPr>
      <w:rFonts w:ascii="黑体" w:eastAsia="黑体"/>
      <w:caps/>
      <w:sz w:val="32"/>
      <w:szCs w:val="32"/>
    </w:rPr>
  </w:style>
  <w:style w:type="paragraph" w:styleId="23">
    <w:name w:val="toc 4"/>
    <w:basedOn w:val="1"/>
    <w:next w:val="1"/>
    <w:semiHidden/>
    <w:qFormat/>
    <w:uiPriority w:val="0"/>
    <w:pPr>
      <w:ind w:left="720"/>
    </w:pPr>
    <w:rPr>
      <w:szCs w:val="21"/>
    </w:rPr>
  </w:style>
  <w:style w:type="paragraph" w:styleId="24">
    <w:name w:val="toc 6"/>
    <w:basedOn w:val="1"/>
    <w:next w:val="1"/>
    <w:semiHidden/>
    <w:qFormat/>
    <w:uiPriority w:val="0"/>
    <w:pPr>
      <w:ind w:left="1200"/>
    </w:pPr>
    <w:rPr>
      <w:szCs w:val="21"/>
    </w:rPr>
  </w:style>
  <w:style w:type="paragraph" w:styleId="25">
    <w:name w:val="toc 2"/>
    <w:basedOn w:val="1"/>
    <w:next w:val="1"/>
    <w:semiHidden/>
    <w:qFormat/>
    <w:uiPriority w:val="0"/>
    <w:pPr>
      <w:spacing w:line="360" w:lineRule="exact"/>
      <w:ind w:firstLine="420" w:firstLineChars="200"/>
    </w:pPr>
    <w:rPr>
      <w:rFonts w:cs="宋体" w:asciiTheme="minorEastAsia" w:hAnsiTheme="minorEastAsia" w:eastAsiaTheme="minorEastAsia"/>
      <w:sz w:val="21"/>
    </w:rPr>
  </w:style>
  <w:style w:type="paragraph" w:styleId="26">
    <w:name w:val="toc 9"/>
    <w:basedOn w:val="1"/>
    <w:next w:val="1"/>
    <w:semiHidden/>
    <w:qFormat/>
    <w:uiPriority w:val="0"/>
    <w:pPr>
      <w:ind w:left="1920"/>
    </w:pPr>
    <w:rPr>
      <w:szCs w:val="21"/>
    </w:rPr>
  </w:style>
  <w:style w:type="paragraph" w:styleId="27">
    <w:name w:val="Normal (Web)"/>
    <w:basedOn w:val="1"/>
    <w:qFormat/>
    <w:uiPriority w:val="0"/>
    <w:pPr>
      <w:widowControl/>
      <w:adjustRightInd/>
      <w:spacing w:before="100" w:beforeAutospacing="1" w:after="100" w:afterAutospacing="1" w:line="240" w:lineRule="auto"/>
      <w:textAlignment w:val="auto"/>
    </w:pPr>
    <w:rPr>
      <w:rFonts w:ascii="宋体" w:hAnsi="宋体"/>
      <w:color w:val="000000"/>
      <w:szCs w:val="24"/>
    </w:rPr>
  </w:style>
  <w:style w:type="table" w:styleId="29">
    <w:name w:val="Table Grid"/>
    <w:basedOn w:val="28"/>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0"/>
    <w:rPr>
      <w:b/>
      <w:bCs/>
    </w:rPr>
  </w:style>
  <w:style w:type="character" w:styleId="32">
    <w:name w:val="page number"/>
    <w:basedOn w:val="30"/>
    <w:qFormat/>
    <w:uiPriority w:val="0"/>
  </w:style>
  <w:style w:type="character" w:styleId="33">
    <w:name w:val="FollowedHyperlink"/>
    <w:basedOn w:val="30"/>
    <w:qFormat/>
    <w:uiPriority w:val="0"/>
    <w:rPr>
      <w:color w:val="800080"/>
      <w:u w:val="single"/>
    </w:rPr>
  </w:style>
  <w:style w:type="character" w:styleId="34">
    <w:name w:val="Hyperlink"/>
    <w:qFormat/>
    <w:uiPriority w:val="0"/>
    <w:rPr>
      <w:color w:val="0000FF"/>
      <w:u w:val="single"/>
    </w:rPr>
  </w:style>
  <w:style w:type="character" w:styleId="35">
    <w:name w:val="annotation reference"/>
    <w:basedOn w:val="30"/>
    <w:qFormat/>
    <w:uiPriority w:val="0"/>
    <w:rPr>
      <w:sz w:val="21"/>
      <w:szCs w:val="21"/>
    </w:rPr>
  </w:style>
  <w:style w:type="character" w:customStyle="1" w:styleId="36">
    <w:name w:val="注释"/>
    <w:qFormat/>
    <w:uiPriority w:val="0"/>
    <w:rPr>
      <w:rFonts w:ascii="Times New Roman" w:eastAsia="宋体"/>
      <w:sz w:val="18"/>
    </w:rPr>
  </w:style>
  <w:style w:type="character" w:customStyle="1" w:styleId="37">
    <w:name w:val="图中文字"/>
    <w:qFormat/>
    <w:uiPriority w:val="0"/>
    <w:rPr>
      <w:rFonts w:ascii="Times New Roman" w:eastAsia="宋体"/>
      <w:sz w:val="15"/>
    </w:rPr>
  </w:style>
  <w:style w:type="paragraph" w:customStyle="1" w:styleId="38">
    <w:name w:val="篇"/>
    <w:basedOn w:val="1"/>
    <w:next w:val="1"/>
    <w:qFormat/>
    <w:uiPriority w:val="0"/>
    <w:pPr>
      <w:jc w:val="center"/>
    </w:pPr>
    <w:rPr>
      <w:rFonts w:eastAsia="黑体"/>
    </w:rPr>
  </w:style>
  <w:style w:type="paragraph" w:customStyle="1" w:styleId="39">
    <w:name w:val="编号文字"/>
    <w:basedOn w:val="4"/>
    <w:qFormat/>
    <w:uiPriority w:val="0"/>
    <w:pPr>
      <w:numPr>
        <w:ilvl w:val="0"/>
        <w:numId w:val="2"/>
      </w:numPr>
      <w:spacing w:after="0" w:line="240" w:lineRule="auto"/>
    </w:pPr>
    <w:rPr>
      <w:sz w:val="21"/>
    </w:rPr>
  </w:style>
  <w:style w:type="character" w:customStyle="1" w:styleId="40">
    <w:name w:val="访问过的超链接"/>
    <w:qFormat/>
    <w:uiPriority w:val="0"/>
    <w:rPr>
      <w:color w:val="800080"/>
      <w:u w:val="single"/>
    </w:rPr>
  </w:style>
  <w:style w:type="paragraph" w:customStyle="1" w:styleId="41">
    <w:name w:val="发布部门"/>
    <w:next w:val="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42">
    <w:name w:val="Char"/>
    <w:basedOn w:val="1"/>
    <w:qFormat/>
    <w:uiPriority w:val="0"/>
    <w:pPr>
      <w:widowControl/>
      <w:spacing w:after="160" w:line="240" w:lineRule="exact"/>
    </w:pPr>
    <w:rPr>
      <w:rFonts w:ascii="Verdana" w:hAnsi="Verdana"/>
      <w:sz w:val="20"/>
      <w:lang w:eastAsia="en-US"/>
    </w:rPr>
  </w:style>
  <w:style w:type="paragraph" w:customStyle="1" w:styleId="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44">
    <w:name w:val="List Paragraph"/>
    <w:basedOn w:val="1"/>
    <w:qFormat/>
    <w:uiPriority w:val="99"/>
    <w:pPr>
      <w:ind w:firstLine="420" w:firstLineChars="200"/>
    </w:pPr>
  </w:style>
  <w:style w:type="character" w:customStyle="1" w:styleId="45">
    <w:name w:val="批注框文本 Char"/>
    <w:basedOn w:val="30"/>
    <w:link w:val="19"/>
    <w:qFormat/>
    <w:uiPriority w:val="0"/>
    <w:rPr>
      <w:sz w:val="18"/>
      <w:szCs w:val="18"/>
    </w:rPr>
  </w:style>
  <w:style w:type="character" w:customStyle="1" w:styleId="46">
    <w:name w:val="发布"/>
    <w:basedOn w:val="30"/>
    <w:qFormat/>
    <w:uiPriority w:val="0"/>
    <w:rPr>
      <w:rFonts w:ascii="黑体" w:eastAsia="黑体"/>
      <w:spacing w:val="22"/>
      <w:w w:val="100"/>
      <w:position w:val="3"/>
      <w:sz w:val="28"/>
    </w:rPr>
  </w:style>
  <w:style w:type="paragraph" w:customStyle="1" w:styleId="47">
    <w:name w:val="一级条标题"/>
    <w:next w:val="43"/>
    <w:qFormat/>
    <w:uiPriority w:val="0"/>
    <w:pPr>
      <w:spacing w:beforeLines="50" w:afterLines="50"/>
      <w:outlineLvl w:val="2"/>
    </w:pPr>
    <w:rPr>
      <w:rFonts w:ascii="黑体" w:hAnsi="Times New Roman" w:eastAsia="黑体" w:cs="Times New Roman"/>
      <w:sz w:val="21"/>
      <w:szCs w:val="21"/>
      <w:lang w:val="en-US" w:eastAsia="zh-CN" w:bidi="ar-SA"/>
    </w:rPr>
  </w:style>
  <w:style w:type="character" w:customStyle="1" w:styleId="48">
    <w:name w:val="页脚 Char"/>
    <w:basedOn w:val="30"/>
    <w:link w:val="20"/>
    <w:qFormat/>
    <w:uiPriority w:val="99"/>
    <w:rPr>
      <w:sz w:val="18"/>
    </w:rPr>
  </w:style>
  <w:style w:type="character" w:customStyle="1" w:styleId="49">
    <w:name w:val="页眉 Char"/>
    <w:basedOn w:val="30"/>
    <w:link w:val="21"/>
    <w:qFormat/>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wmf"/><Relationship Id="rId18" Type="http://schemas.openxmlformats.org/officeDocument/2006/relationships/oleObject" Target="embeddings/oleObject2.bin"/><Relationship Id="rId17" Type="http://schemas.openxmlformats.org/officeDocument/2006/relationships/image" Target="media/image1.w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30"/>
    <customShpInfo spid="_x0000_s1132"/>
    <customShpInfo spid="_x0000_s1031"/>
    <customShpInfo spid="_x0000_s1135"/>
    <customShpInfo spid="_x0000_s1137"/>
    <customShpInfo spid="_x0000_s11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BCC1C9-4B85-4FD1-87A0-3BAD9D4ED1DA}">
  <ds:schemaRefs/>
</ds:datastoreItem>
</file>

<file path=docProps/app.xml><?xml version="1.0" encoding="utf-8"?>
<Properties xmlns="http://schemas.openxmlformats.org/officeDocument/2006/extended-properties" xmlns:vt="http://schemas.openxmlformats.org/officeDocument/2006/docPropsVTypes">
  <Template>gba4</Template>
  <Company> </Company>
  <Pages>9</Pages>
  <Words>2960</Words>
  <Characters>3674</Characters>
  <Lines>29</Lines>
  <Paragraphs>8</Paragraphs>
  <TotalTime>4</TotalTime>
  <ScaleCrop>false</ScaleCrop>
  <LinksUpToDate>false</LinksUpToDate>
  <CharactersWithSpaces>3866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2023-06-17T09:15:00Z</dcterms:created>
  <dc:creator>wsvsts</dc:creator>
  <cp:lastModifiedBy>HUAWEI</cp:lastModifiedBy>
  <cp:lastPrinted>2023-06-23T08:48:00Z</cp:lastPrinted>
  <dcterms:modified xsi:type="dcterms:W3CDTF">2023-09-13T10:03:28Z</dcterms:modified>
  <dc:title>UDC XXX</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B0335759C65C4F7EB2811324866496E4_12</vt:lpwstr>
  </property>
</Properties>
</file>