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/>
        <w:jc w:val="center"/>
        <w:rPr>
          <w:rFonts w:eastAsia="黑体"/>
          <w:sz w:val="28"/>
        </w:rPr>
      </w:pPr>
      <w:r>
        <w:rPr>
          <w:rFonts w:hint="eastAsia" w:eastAsia="黑体"/>
          <w:sz w:val="28"/>
        </w:rPr>
        <w:t>征求意见稿意见汇总处理表</w:t>
      </w:r>
    </w:p>
    <w:p>
      <w:pPr>
        <w:widowControl/>
        <w:spacing w:line="360" w:lineRule="auto"/>
        <w:rPr>
          <w:rFonts w:hint="eastAsia" w:ascii="宋体" w:hAnsi="宋体"/>
          <w:sz w:val="20"/>
          <w:szCs w:val="21"/>
        </w:rPr>
      </w:pPr>
      <w:r>
        <w:rPr>
          <w:rFonts w:hint="eastAsia" w:ascii="宋体" w:hAnsi="宋体"/>
          <w:szCs w:val="21"/>
        </w:rPr>
        <w:t>标准项目名称：</w:t>
      </w:r>
      <w:r>
        <w:rPr>
          <w:rFonts w:hint="eastAsia" w:ascii="宋体" w:hAnsi="宋体"/>
          <w:sz w:val="20"/>
          <w:szCs w:val="21"/>
          <w:lang w:val="en-US" w:eastAsia="zh-CN"/>
        </w:rPr>
        <w:t>铜及铜合金</w:t>
      </w:r>
      <w:r>
        <w:rPr>
          <w:rFonts w:hint="eastAsia" w:ascii="宋体" w:hAnsi="宋体"/>
          <w:sz w:val="20"/>
          <w:szCs w:val="21"/>
        </w:rPr>
        <w:t>化学分析方法 第</w:t>
      </w:r>
      <w:r>
        <w:rPr>
          <w:rFonts w:hint="eastAsia" w:ascii="宋体" w:hAnsi="宋体"/>
          <w:sz w:val="20"/>
          <w:szCs w:val="21"/>
          <w:lang w:val="en-US" w:eastAsia="zh-CN"/>
        </w:rPr>
        <w:t>8</w:t>
      </w:r>
      <w:r>
        <w:rPr>
          <w:rFonts w:hint="eastAsia" w:ascii="宋体" w:hAnsi="宋体"/>
          <w:sz w:val="20"/>
          <w:szCs w:val="21"/>
        </w:rPr>
        <w:t>部分：</w:t>
      </w:r>
      <w:r>
        <w:rPr>
          <w:rFonts w:hint="eastAsia" w:ascii="宋体" w:hAnsi="宋体"/>
          <w:sz w:val="20"/>
          <w:szCs w:val="21"/>
          <w:lang w:val="en-US" w:eastAsia="zh-CN"/>
        </w:rPr>
        <w:t>氧、氮、氢</w:t>
      </w:r>
      <w:r>
        <w:rPr>
          <w:rFonts w:hint="eastAsia" w:ascii="宋体" w:hAnsi="宋体"/>
          <w:sz w:val="20"/>
          <w:szCs w:val="21"/>
        </w:rPr>
        <w:t>含量的测定</w:t>
      </w:r>
    </w:p>
    <w:p>
      <w:pPr>
        <w:pStyle w:val="8"/>
        <w:framePr w:w="0" w:hRule="auto" w:wrap="auto" w:vAnchor="margin" w:hAnchor="text" w:xAlign="left" w:yAlign="inline"/>
        <w:spacing w:line="360" w:lineRule="auto"/>
        <w:jc w:val="both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承办人：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李绍文</w:t>
      </w:r>
      <w:r>
        <w:rPr>
          <w:rFonts w:hint="eastAsia" w:ascii="宋体" w:hAnsi="宋体" w:eastAsia="宋体"/>
          <w:sz w:val="21"/>
          <w:szCs w:val="21"/>
        </w:rPr>
        <w:t xml:space="preserve">                                    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        </w:t>
      </w:r>
      <w:r>
        <w:rPr>
          <w:rFonts w:hint="eastAsia" w:ascii="宋体" w:hAnsi="宋体" w:eastAsia="宋体"/>
          <w:sz w:val="21"/>
          <w:szCs w:val="21"/>
        </w:rPr>
        <w:t xml:space="preserve">     共 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/>
          <w:sz w:val="21"/>
          <w:szCs w:val="21"/>
        </w:rPr>
        <w:t xml:space="preserve"> 页   第 01 页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>标准项目负责起草单位：</w:t>
      </w:r>
      <w:r>
        <w:rPr>
          <w:rFonts w:hint="eastAsia"/>
          <w:szCs w:val="21"/>
          <w:lang w:val="en-US" w:eastAsia="zh-CN"/>
        </w:rPr>
        <w:t>中铝洛阳铜加工有限公司  电话</w:t>
      </w:r>
      <w:r>
        <w:rPr>
          <w:rFonts w:hint="eastAsia"/>
          <w:szCs w:val="21"/>
        </w:rPr>
        <w:t>：</w:t>
      </w:r>
      <w:r>
        <w:rPr>
          <w:rFonts w:hint="eastAsia" w:ascii="宋体" w:hAnsi="宋体" w:eastAsia="宋体" w:cs="宋体"/>
          <w:szCs w:val="21"/>
          <w:lang w:val="en-US" w:eastAsia="zh-CN"/>
        </w:rPr>
        <w:t>15225550349</w:t>
      </w:r>
      <w:r>
        <w:rPr>
          <w:rFonts w:hint="eastAsia" w:ascii="宋体" w:hAnsi="宋体" w:eastAsia="宋体" w:cs="宋体"/>
          <w:szCs w:val="21"/>
        </w:rPr>
        <w:t xml:space="preserve">  </w:t>
      </w:r>
      <w:r>
        <w:rPr>
          <w:rFonts w:hint="eastAsia" w:ascii="宋体" w:hAnsi="宋体"/>
          <w:szCs w:val="21"/>
        </w:rPr>
        <w:t>2023年</w:t>
      </w:r>
      <w:r>
        <w:rPr>
          <w:rFonts w:hint="eastAsia" w:ascii="宋体" w:hAnsi="宋体"/>
          <w:szCs w:val="21"/>
          <w:lang w:val="en-US" w:eastAsia="zh-CN"/>
        </w:rPr>
        <w:t>8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22</w:t>
      </w:r>
      <w:r>
        <w:rPr>
          <w:rFonts w:hint="eastAsia" w:ascii="宋体" w:hAnsi="宋体"/>
          <w:szCs w:val="21"/>
        </w:rPr>
        <w:t>日</w:t>
      </w:r>
      <w:r>
        <w:rPr>
          <w:rFonts w:hint="eastAsia"/>
          <w:szCs w:val="21"/>
        </w:rPr>
        <w:t>填写</w:t>
      </w:r>
    </w:p>
    <w:tbl>
      <w:tblPr>
        <w:tblStyle w:val="4"/>
        <w:tblW w:w="89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029"/>
        <w:gridCol w:w="2644"/>
        <w:gridCol w:w="2250"/>
        <w:gridCol w:w="1140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0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标准章条编号</w:t>
            </w:r>
          </w:p>
        </w:tc>
        <w:tc>
          <w:tcPr>
            <w:tcW w:w="264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提出单位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处理意见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  <w:r>
              <w:rPr>
                <w:rFonts w:hint="eastAsia" w:ascii="黑体"/>
              </w:rPr>
              <w:t>1</w:t>
            </w:r>
          </w:p>
        </w:tc>
        <w:tc>
          <w:tcPr>
            <w:tcW w:w="1029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全文</w:t>
            </w:r>
          </w:p>
        </w:tc>
        <w:tc>
          <w:tcPr>
            <w:tcW w:w="2644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系列标准应增加“引言”内容</w:t>
            </w:r>
          </w:p>
        </w:tc>
        <w:tc>
          <w:tcPr>
            <w:tcW w:w="22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宁波长振铜业有限公司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485" w:type="dxa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  <w:r>
              <w:rPr>
                <w:rFonts w:hint="eastAsia" w:ascii="黑体"/>
                <w:szCs w:val="21"/>
              </w:rPr>
              <w:t>1</w:t>
            </w:r>
          </w:p>
        </w:tc>
        <w:tc>
          <w:tcPr>
            <w:tcW w:w="1029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前言</w:t>
            </w:r>
          </w:p>
        </w:tc>
        <w:tc>
          <w:tcPr>
            <w:tcW w:w="2644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技术变化的描述中删去关于附录的相关内容</w:t>
            </w:r>
          </w:p>
        </w:tc>
        <w:tc>
          <w:tcPr>
            <w:tcW w:w="22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宁波长振铜业有限公司</w:t>
            </w:r>
          </w:p>
        </w:tc>
        <w:tc>
          <w:tcPr>
            <w:tcW w:w="11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  <w:r>
              <w:rPr>
                <w:rFonts w:hint="eastAsia" w:ascii="黑体"/>
                <w:szCs w:val="21"/>
              </w:rPr>
              <w:t>2</w:t>
            </w:r>
          </w:p>
        </w:tc>
        <w:tc>
          <w:tcPr>
            <w:tcW w:w="1029" w:type="dxa"/>
            <w:vAlign w:val="top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全文</w:t>
            </w:r>
          </w:p>
        </w:tc>
        <w:tc>
          <w:tcPr>
            <w:tcW w:w="2644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在第2章后新增“术语与定义”章节</w:t>
            </w:r>
          </w:p>
        </w:tc>
        <w:tc>
          <w:tcPr>
            <w:tcW w:w="22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西北稀有金属材料研究院宁夏有限公司</w:t>
            </w:r>
          </w:p>
        </w:tc>
        <w:tc>
          <w:tcPr>
            <w:tcW w:w="11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  <w:r>
              <w:rPr>
                <w:rFonts w:hint="eastAsia" w:ascii="黑体"/>
                <w:szCs w:val="21"/>
              </w:rPr>
              <w:t>8</w:t>
            </w:r>
          </w:p>
        </w:tc>
        <w:tc>
          <w:tcPr>
            <w:tcW w:w="1029" w:type="dxa"/>
            <w:vAlign w:val="top"/>
          </w:tcPr>
          <w:p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范围</w:t>
            </w:r>
          </w:p>
        </w:tc>
        <w:tc>
          <w:tcPr>
            <w:tcW w:w="2644" w:type="dxa"/>
            <w:vAlign w:val="center"/>
          </w:tcPr>
          <w:p>
            <w:pPr>
              <w:tabs>
                <w:tab w:val="left" w:pos="2100"/>
              </w:tabs>
              <w:spacing w:line="280" w:lineRule="exact"/>
              <w:jc w:val="both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对于含锌的试样，会因产生大量粉尘堵塞气路，影响结果，应在文件中加以描述</w:t>
            </w:r>
          </w:p>
        </w:tc>
        <w:tc>
          <w:tcPr>
            <w:tcW w:w="22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Cs/>
                <w:sz w:val="18"/>
                <w:szCs w:val="18"/>
              </w:rPr>
              <w:t>绍兴市特种设备检测院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bCs/>
                <w:kern w:val="2"/>
                <w:sz w:val="18"/>
                <w:szCs w:val="18"/>
                <w:lang w:val="en-US" w:eastAsia="zh-CN" w:bidi="ar-SA"/>
              </w:rPr>
              <w:t>1.范围</w:t>
            </w:r>
          </w:p>
        </w:tc>
        <w:tc>
          <w:tcPr>
            <w:tcW w:w="2644" w:type="dxa"/>
            <w:vAlign w:val="center"/>
          </w:tcPr>
          <w:p>
            <w:pPr>
              <w:tabs>
                <w:tab w:val="left" w:pos="2100"/>
              </w:tabs>
              <w:spacing w:line="280" w:lineRule="exact"/>
              <w:jc w:val="both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氧含量检测下限由0.00030%修改为0.00010%，以适用更多的铜及铜合金材料。</w:t>
            </w:r>
          </w:p>
        </w:tc>
        <w:tc>
          <w:tcPr>
            <w:tcW w:w="22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河南科技大学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不采纳</w:t>
            </w:r>
          </w:p>
        </w:tc>
        <w:tc>
          <w:tcPr>
            <w:tcW w:w="1485" w:type="dxa"/>
          </w:tcPr>
          <w:p>
            <w:pPr>
              <w:spacing w:line="360" w:lineRule="exac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  <w:t>根据试验</w:t>
            </w:r>
            <w:r>
              <w:rPr>
                <w:rFonts w:hint="eastAsia" w:ascii="宋体" w:hAnsi="宋体" w:cs="Times New Roman"/>
                <w:bCs/>
                <w:kern w:val="2"/>
                <w:sz w:val="18"/>
                <w:szCs w:val="18"/>
                <w:lang w:val="en-US" w:eastAsia="zh-CN" w:bidi="ar-SA"/>
              </w:rPr>
              <w:t>结果</w:t>
            </w:r>
            <w:r>
              <w:rPr>
                <w:rFonts w:hint="eastAsia"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  <w:t>，在使用助熔剂的情况下，检测下限为0.0003%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3.3 试剂和材料</w:t>
            </w:r>
          </w:p>
        </w:tc>
        <w:tc>
          <w:tcPr>
            <w:tcW w:w="2644" w:type="dxa"/>
            <w:vAlign w:val="center"/>
          </w:tcPr>
          <w:p>
            <w:pPr>
              <w:tabs>
                <w:tab w:val="left" w:pos="2100"/>
              </w:tabs>
              <w:spacing w:line="280" w:lineRule="exact"/>
              <w:jc w:val="both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“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试剂与材料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”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中的稀土氧化铜和玻璃棉后文没有引用，建议删除</w:t>
            </w:r>
          </w:p>
        </w:tc>
        <w:tc>
          <w:tcPr>
            <w:tcW w:w="22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宁波博威合金板带有限公司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485" w:type="dxa"/>
          </w:tcPr>
          <w:p>
            <w:pPr>
              <w:spacing w:line="360" w:lineRule="exact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3.3 试剂和材料</w:t>
            </w:r>
          </w:p>
        </w:tc>
        <w:tc>
          <w:tcPr>
            <w:tcW w:w="2644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Cs/>
                <w:kern w:val="2"/>
                <w:sz w:val="18"/>
                <w:szCs w:val="18"/>
                <w:lang w:val="en-US" w:eastAsia="zh-CN" w:bidi="ar-SA"/>
              </w:rPr>
              <w:t>文件中用到实验室用水应满足GB/T　6682的要求</w:t>
            </w:r>
          </w:p>
        </w:tc>
        <w:tc>
          <w:tcPr>
            <w:tcW w:w="22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  <w:t>安徽楚江高精铜带有限公司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485" w:type="dxa"/>
            <w:vAlign w:val="top"/>
          </w:tcPr>
          <w:p>
            <w:pPr>
              <w:jc w:val="left"/>
              <w:rPr>
                <w:rFonts w:hint="default" w:ascii="宋体" w:hAnsi="宋体" w:cs="Times New Roman"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Cs/>
                <w:kern w:val="2"/>
                <w:sz w:val="18"/>
                <w:szCs w:val="18"/>
                <w:lang w:val="en-US" w:eastAsia="zh-CN" w:bidi="ar-SA"/>
              </w:rPr>
              <w:t>3.5 试样</w:t>
            </w:r>
          </w:p>
        </w:tc>
        <w:tc>
          <w:tcPr>
            <w:tcW w:w="2644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Cs/>
                <w:kern w:val="2"/>
                <w:sz w:val="18"/>
                <w:szCs w:val="18"/>
                <w:lang w:val="en-US" w:eastAsia="zh-CN" w:bidi="ar-SA"/>
              </w:rPr>
              <w:t>将薄铜带材料的分析增加到本文方法中</w:t>
            </w:r>
          </w:p>
        </w:tc>
        <w:tc>
          <w:tcPr>
            <w:tcW w:w="22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  <w:t>江西铜业铜板带有限公司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Cs/>
                <w:sz w:val="18"/>
                <w:szCs w:val="18"/>
                <w:lang w:val="en-US" w:eastAsia="zh-CN"/>
              </w:rPr>
              <w:t>不采纳</w:t>
            </w:r>
          </w:p>
        </w:tc>
        <w:tc>
          <w:tcPr>
            <w:tcW w:w="1485" w:type="dxa"/>
            <w:vAlign w:val="top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Cs/>
                <w:sz w:val="18"/>
                <w:szCs w:val="18"/>
                <w:lang w:val="en-US" w:eastAsia="zh-CN"/>
              </w:rPr>
              <w:t>对于薄铜带由于厚度较小，比表面积大，表面的氧含量会显著影响检测结果。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3.6 分析步骤</w:t>
            </w:r>
          </w:p>
        </w:tc>
        <w:tc>
          <w:tcPr>
            <w:tcW w:w="2644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在仪器校准步骤之前增加对未知样品的预分析</w:t>
            </w:r>
          </w:p>
        </w:tc>
        <w:tc>
          <w:tcPr>
            <w:tcW w:w="22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宁波长振铜业有限公司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485" w:type="dxa"/>
            <w:vAlign w:val="top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  <w:r>
              <w:rPr>
                <w:rFonts w:hint="eastAsia" w:ascii="黑体"/>
                <w:szCs w:val="21"/>
              </w:rPr>
              <w:t>3</w:t>
            </w:r>
          </w:p>
        </w:tc>
        <w:tc>
          <w:tcPr>
            <w:tcW w:w="1029" w:type="dxa"/>
            <w:vAlign w:val="top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3.7 测定</w:t>
            </w:r>
          </w:p>
        </w:tc>
        <w:tc>
          <w:tcPr>
            <w:tcW w:w="2644" w:type="dxa"/>
            <w:vAlign w:val="center"/>
          </w:tcPr>
          <w:p>
            <w:pPr>
              <w:jc w:val="both"/>
              <w:rPr>
                <w:rFonts w:hint="default"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仪器分析条件制成表格更清晰明了</w:t>
            </w:r>
          </w:p>
        </w:tc>
        <w:tc>
          <w:tcPr>
            <w:tcW w:w="22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Cs/>
                <w:sz w:val="18"/>
                <w:szCs w:val="18"/>
              </w:rPr>
              <w:t>新疆有色金属研究所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485" w:type="dxa"/>
            <w:vAlign w:val="top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3.7 测定</w:t>
            </w:r>
          </w:p>
        </w:tc>
        <w:tc>
          <w:tcPr>
            <w:tcW w:w="2644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仪器分析条件放在附录中描述</w:t>
            </w:r>
          </w:p>
        </w:tc>
        <w:tc>
          <w:tcPr>
            <w:tcW w:w="22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  <w:t>宁波兴业盛泰股份有限公司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485" w:type="dxa"/>
            <w:vAlign w:val="top"/>
          </w:tcPr>
          <w:p>
            <w:pPr>
              <w:spacing w:line="280" w:lineRule="exact"/>
              <w:rPr>
                <w:rFonts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3.8/4.8</w:t>
            </w:r>
          </w:p>
          <w:p>
            <w:pPr>
              <w:spacing w:line="280" w:lineRule="exact"/>
              <w:jc w:val="center"/>
              <w:rPr>
                <w:rFonts w:hint="default"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分析结果的计算</w:t>
            </w:r>
          </w:p>
        </w:tc>
        <w:tc>
          <w:tcPr>
            <w:tcW w:w="2644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为防止连续修约，应删除计算结果按照GB/T 8170修约的描述</w:t>
            </w:r>
          </w:p>
        </w:tc>
        <w:tc>
          <w:tcPr>
            <w:tcW w:w="22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宁波博威合金板带有限公司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485" w:type="dxa"/>
          </w:tcPr>
          <w:p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4.2 试剂或材料</w:t>
            </w:r>
          </w:p>
        </w:tc>
        <w:tc>
          <w:tcPr>
            <w:tcW w:w="2644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锡片助熔剂应注明纯度要求；</w:t>
            </w:r>
          </w:p>
        </w:tc>
        <w:tc>
          <w:tcPr>
            <w:tcW w:w="22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常州工学院</w:t>
            </w:r>
          </w:p>
        </w:tc>
        <w:tc>
          <w:tcPr>
            <w:tcW w:w="11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485" w:type="dxa"/>
          </w:tcPr>
          <w:p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</w:tbl>
    <w:p>
      <w:pPr>
        <w:rPr>
          <w:rFonts w:hAnsi="宋体"/>
        </w:rPr>
      </w:pPr>
    </w:p>
    <w:p>
      <w:pPr>
        <w:rPr>
          <w:rFonts w:hAnsi="宋体"/>
        </w:rPr>
      </w:pPr>
    </w:p>
    <w:p>
      <w:pPr>
        <w:spacing w:before="312" w:beforeLines="100" w:after="156" w:afterLines="50"/>
        <w:jc w:val="center"/>
        <w:rPr>
          <w:rFonts w:hint="eastAsia" w:ascii="宋体" w:hAnsi="宋体"/>
          <w:szCs w:val="21"/>
        </w:rPr>
      </w:pPr>
      <w:r>
        <w:rPr>
          <w:rFonts w:hint="eastAsia" w:eastAsia="黑体"/>
          <w:sz w:val="28"/>
        </w:rPr>
        <w:t>征求意见稿意见汇总处理表</w:t>
      </w:r>
    </w:p>
    <w:p>
      <w:pPr>
        <w:widowControl/>
        <w:spacing w:line="360" w:lineRule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标准项目名称：</w:t>
      </w:r>
      <w:r>
        <w:rPr>
          <w:rFonts w:hint="eastAsia" w:ascii="宋体" w:hAnsi="宋体"/>
          <w:sz w:val="21"/>
          <w:szCs w:val="21"/>
          <w:lang w:val="en-US" w:eastAsia="zh-CN"/>
        </w:rPr>
        <w:t>铜及铜合金</w:t>
      </w:r>
      <w:r>
        <w:rPr>
          <w:rFonts w:hint="eastAsia" w:ascii="宋体" w:hAnsi="宋体"/>
          <w:sz w:val="21"/>
          <w:szCs w:val="21"/>
        </w:rPr>
        <w:t>化学分析方法 第</w:t>
      </w:r>
      <w:r>
        <w:rPr>
          <w:rFonts w:hint="eastAsia" w:ascii="宋体" w:hAnsi="宋体"/>
          <w:sz w:val="21"/>
          <w:szCs w:val="21"/>
          <w:lang w:val="en-US" w:eastAsia="zh-CN"/>
        </w:rPr>
        <w:t>8</w:t>
      </w:r>
      <w:r>
        <w:rPr>
          <w:rFonts w:hint="eastAsia" w:ascii="宋体" w:hAnsi="宋体"/>
          <w:sz w:val="21"/>
          <w:szCs w:val="21"/>
        </w:rPr>
        <w:t>部分：</w:t>
      </w:r>
      <w:r>
        <w:rPr>
          <w:rFonts w:hint="eastAsia" w:ascii="宋体" w:hAnsi="宋体"/>
          <w:sz w:val="21"/>
          <w:szCs w:val="21"/>
          <w:lang w:val="en-US" w:eastAsia="zh-CN"/>
        </w:rPr>
        <w:t>氧、氮、氢</w:t>
      </w:r>
      <w:r>
        <w:rPr>
          <w:rFonts w:hint="eastAsia" w:ascii="宋体" w:hAnsi="宋体"/>
          <w:sz w:val="21"/>
          <w:szCs w:val="21"/>
        </w:rPr>
        <w:t>含量的测定</w:t>
      </w:r>
    </w:p>
    <w:p>
      <w:pPr>
        <w:pStyle w:val="8"/>
        <w:framePr w:w="0" w:hRule="auto" w:wrap="auto" w:vAnchor="margin" w:hAnchor="text" w:xAlign="left" w:yAlign="inline"/>
        <w:spacing w:line="360" w:lineRule="auto"/>
        <w:jc w:val="both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承办人：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李绍文</w:t>
      </w:r>
      <w:r>
        <w:rPr>
          <w:rFonts w:hint="eastAsia" w:ascii="宋体" w:hAnsi="宋体" w:eastAsia="宋体"/>
          <w:sz w:val="21"/>
          <w:szCs w:val="21"/>
        </w:rPr>
        <w:t xml:space="preserve">                                        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        </w:t>
      </w:r>
      <w:r>
        <w:rPr>
          <w:rFonts w:hint="eastAsia" w:ascii="宋体" w:hAnsi="宋体" w:eastAsia="宋体"/>
          <w:sz w:val="21"/>
          <w:szCs w:val="21"/>
        </w:rPr>
        <w:t xml:space="preserve"> 共 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/>
          <w:sz w:val="21"/>
          <w:szCs w:val="21"/>
        </w:rPr>
        <w:t xml:space="preserve"> 页   第 0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/>
          <w:sz w:val="21"/>
          <w:szCs w:val="21"/>
        </w:rPr>
        <w:t xml:space="preserve"> 页</w:t>
      </w:r>
    </w:p>
    <w:p>
      <w:pPr>
        <w:spacing w:line="360" w:lineRule="auto"/>
        <w:rPr>
          <w:rFonts w:hAnsi="宋体"/>
          <w:sz w:val="21"/>
          <w:szCs w:val="21"/>
        </w:rPr>
      </w:pPr>
      <w:r>
        <w:rPr>
          <w:rFonts w:hint="eastAsia"/>
          <w:sz w:val="21"/>
          <w:szCs w:val="21"/>
        </w:rPr>
        <w:t>标准项目负责起草单位：</w:t>
      </w:r>
      <w:r>
        <w:rPr>
          <w:rFonts w:hint="eastAsia"/>
          <w:sz w:val="21"/>
          <w:szCs w:val="21"/>
          <w:lang w:val="en-US" w:eastAsia="zh-CN"/>
        </w:rPr>
        <w:t xml:space="preserve">中铝洛阳铜加工有限公司 </w:t>
      </w:r>
      <w:r>
        <w:rPr>
          <w:rFonts w:hint="eastAsia"/>
          <w:sz w:val="21"/>
          <w:szCs w:val="21"/>
        </w:rPr>
        <w:t>电话：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15225550349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</w:rPr>
        <w:t xml:space="preserve">  2023年</w:t>
      </w:r>
      <w:r>
        <w:rPr>
          <w:rFonts w:hint="eastAsia" w:ascii="宋体" w:hAnsi="宋体"/>
          <w:sz w:val="21"/>
          <w:szCs w:val="21"/>
          <w:lang w:val="en-US" w:eastAsia="zh-CN"/>
        </w:rPr>
        <w:t>8</w:t>
      </w:r>
      <w:r>
        <w:rPr>
          <w:rFonts w:hint="eastAsia" w:ascii="宋体" w:hAnsi="宋体"/>
          <w:sz w:val="21"/>
          <w:szCs w:val="21"/>
        </w:rPr>
        <w:t>月</w:t>
      </w:r>
      <w:r>
        <w:rPr>
          <w:rFonts w:hint="eastAsia" w:ascii="宋体" w:hAnsi="宋体"/>
          <w:sz w:val="21"/>
          <w:szCs w:val="21"/>
          <w:lang w:val="en-US" w:eastAsia="zh-CN"/>
        </w:rPr>
        <w:t>22</w:t>
      </w:r>
      <w:r>
        <w:rPr>
          <w:rFonts w:hint="eastAsia" w:ascii="宋体" w:hAnsi="宋体"/>
          <w:sz w:val="21"/>
          <w:szCs w:val="21"/>
        </w:rPr>
        <w:t>日</w:t>
      </w:r>
      <w:r>
        <w:rPr>
          <w:rFonts w:hint="eastAsia"/>
          <w:sz w:val="21"/>
          <w:szCs w:val="21"/>
        </w:rPr>
        <w:t>填写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029"/>
        <w:gridCol w:w="2644"/>
        <w:gridCol w:w="2250"/>
        <w:gridCol w:w="1140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3.10/4.10</w:t>
            </w:r>
          </w:p>
          <w:p>
            <w:pPr>
              <w:spacing w:line="280" w:lineRule="exact"/>
              <w:jc w:val="center"/>
              <w:rPr>
                <w:rFonts w:hint="default"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试验报告</w:t>
            </w:r>
          </w:p>
        </w:tc>
        <w:tc>
          <w:tcPr>
            <w:tcW w:w="2644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文件中有两个方法，实验报告中应有所使用的方法信息</w:t>
            </w:r>
          </w:p>
        </w:tc>
        <w:tc>
          <w:tcPr>
            <w:tcW w:w="22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Cs/>
                <w:sz w:val="18"/>
                <w:szCs w:val="18"/>
              </w:rPr>
              <w:t>安徽鑫科新材料股份有限公司</w:t>
            </w:r>
          </w:p>
        </w:tc>
        <w:tc>
          <w:tcPr>
            <w:tcW w:w="114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123" w:type="dxa"/>
          </w:tcPr>
          <w:p>
            <w:pPr>
              <w:spacing w:line="30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  <w:r>
              <w:rPr>
                <w:rFonts w:hint="eastAsia" w:ascii="黑体"/>
                <w:szCs w:val="21"/>
              </w:rPr>
              <w:t>9</w:t>
            </w: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4.2试剂或材料</w:t>
            </w:r>
          </w:p>
        </w:tc>
        <w:tc>
          <w:tcPr>
            <w:tcW w:w="2644" w:type="dxa"/>
            <w:vAlign w:val="center"/>
          </w:tcPr>
          <w:p>
            <w:pPr>
              <w:tabs>
                <w:tab w:val="left" w:pos="2100"/>
              </w:tabs>
              <w:spacing w:line="280" w:lineRule="exact"/>
              <w:jc w:val="both"/>
              <w:rPr>
                <w:rFonts w:hint="default"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所用石墨坩埚描述为标准坩埚，实际上石墨套坩埚也可使用，建议删除该描述</w:t>
            </w:r>
          </w:p>
        </w:tc>
        <w:tc>
          <w:tcPr>
            <w:tcW w:w="225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Cs/>
                <w:sz w:val="18"/>
                <w:szCs w:val="18"/>
              </w:rPr>
              <w:t>安徽鑫科新材料股份有限公司</w:t>
            </w:r>
          </w:p>
        </w:tc>
        <w:tc>
          <w:tcPr>
            <w:tcW w:w="1140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123" w:type="dxa"/>
          </w:tcPr>
          <w:p>
            <w:pPr>
              <w:spacing w:line="30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  <w:r>
              <w:rPr>
                <w:rFonts w:hint="eastAsia" w:ascii="黑体"/>
                <w:szCs w:val="21"/>
              </w:rPr>
              <w:t>1</w:t>
            </w:r>
          </w:p>
        </w:tc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4.2试剂或材料</w:t>
            </w:r>
          </w:p>
        </w:tc>
        <w:tc>
          <w:tcPr>
            <w:tcW w:w="2644" w:type="dxa"/>
            <w:vAlign w:val="center"/>
          </w:tcPr>
          <w:p>
            <w:pPr>
              <w:tabs>
                <w:tab w:val="left" w:pos="2100"/>
              </w:tabs>
              <w:spacing w:line="280" w:lineRule="exact"/>
              <w:jc w:val="both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所用动力气未作纯度要求，应与3.3.2保持一致</w:t>
            </w:r>
          </w:p>
        </w:tc>
        <w:tc>
          <w:tcPr>
            <w:tcW w:w="22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苏州金江铜业有限公司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123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  <w:r>
              <w:rPr>
                <w:rFonts w:hint="eastAsia" w:ascii="黑体"/>
                <w:szCs w:val="21"/>
              </w:rPr>
              <w:t>1</w:t>
            </w:r>
          </w:p>
        </w:tc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4.3 仪器设备</w:t>
            </w:r>
          </w:p>
        </w:tc>
        <w:tc>
          <w:tcPr>
            <w:tcW w:w="2644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测定氢含量的设备应在红外和热导检测器中任选其一，建议将“性气体熔融-红外/热导检测系统”惰修改为“惰性气体熔融-红外或热导检测系统”</w:t>
            </w:r>
          </w:p>
        </w:tc>
        <w:tc>
          <w:tcPr>
            <w:tcW w:w="22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浙江惟精新材料股份有限公司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采纳</w:t>
            </w:r>
          </w:p>
        </w:tc>
        <w:tc>
          <w:tcPr>
            <w:tcW w:w="1123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4.8结果的计算与表示</w:t>
            </w:r>
          </w:p>
        </w:tc>
        <w:tc>
          <w:tcPr>
            <w:tcW w:w="2644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多次检测结果的可接受规则无需在本文件中进行描述；</w:t>
            </w:r>
          </w:p>
        </w:tc>
        <w:tc>
          <w:tcPr>
            <w:tcW w:w="22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绍兴市特种设备检测院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采纳</w:t>
            </w:r>
          </w:p>
        </w:tc>
        <w:tc>
          <w:tcPr>
            <w:tcW w:w="1123" w:type="dxa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644" w:type="dxa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回函无意见</w:t>
            </w:r>
          </w:p>
        </w:tc>
        <w:tc>
          <w:tcPr>
            <w:tcW w:w="22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五矿铍业股份有限公司</w:t>
            </w:r>
          </w:p>
        </w:tc>
        <w:tc>
          <w:tcPr>
            <w:tcW w:w="11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3" w:type="dxa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644" w:type="dxa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回函无意见</w:t>
            </w:r>
          </w:p>
        </w:tc>
        <w:tc>
          <w:tcPr>
            <w:tcW w:w="22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金龙铜管集团上海龙阳精密复合铜管有限公司</w:t>
            </w:r>
          </w:p>
        </w:tc>
        <w:tc>
          <w:tcPr>
            <w:tcW w:w="11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3" w:type="dxa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644" w:type="dxa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回函无意见</w:t>
            </w:r>
          </w:p>
        </w:tc>
        <w:tc>
          <w:tcPr>
            <w:tcW w:w="2250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宁波金田铜业（集团）股份有限公司</w:t>
            </w:r>
          </w:p>
        </w:tc>
        <w:tc>
          <w:tcPr>
            <w:tcW w:w="11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3" w:type="dxa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644" w:type="dxa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回函无意见</w:t>
            </w:r>
          </w:p>
        </w:tc>
        <w:tc>
          <w:tcPr>
            <w:tcW w:w="2250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芜湖精艺铜业有限公司</w:t>
            </w:r>
          </w:p>
        </w:tc>
        <w:tc>
          <w:tcPr>
            <w:tcW w:w="11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3" w:type="dxa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644" w:type="dxa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回函无意见</w:t>
            </w:r>
          </w:p>
        </w:tc>
        <w:tc>
          <w:tcPr>
            <w:tcW w:w="22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浙江海亮股份有限公司</w:t>
            </w:r>
          </w:p>
        </w:tc>
        <w:tc>
          <w:tcPr>
            <w:tcW w:w="11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3" w:type="dxa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644" w:type="dxa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回函无意见</w:t>
            </w:r>
          </w:p>
        </w:tc>
        <w:tc>
          <w:tcPr>
            <w:tcW w:w="22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佛山市华鸿铜管有限公司</w:t>
            </w:r>
          </w:p>
        </w:tc>
        <w:tc>
          <w:tcPr>
            <w:tcW w:w="11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3" w:type="dxa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644" w:type="dxa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回函无意见</w:t>
            </w:r>
          </w:p>
        </w:tc>
        <w:tc>
          <w:tcPr>
            <w:tcW w:w="225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阜阳市产品质量监督检验所</w:t>
            </w:r>
          </w:p>
        </w:tc>
        <w:tc>
          <w:tcPr>
            <w:tcW w:w="11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3" w:type="dxa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644" w:type="dxa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回函无意见</w:t>
            </w:r>
          </w:p>
        </w:tc>
        <w:tc>
          <w:tcPr>
            <w:tcW w:w="22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江苏萃隆精密铜管股份有限公司</w:t>
            </w:r>
          </w:p>
        </w:tc>
        <w:tc>
          <w:tcPr>
            <w:tcW w:w="11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3" w:type="dxa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644" w:type="dxa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回函无意见</w:t>
            </w:r>
          </w:p>
        </w:tc>
        <w:tc>
          <w:tcPr>
            <w:tcW w:w="22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山西北铜新材料科技有限公司</w:t>
            </w:r>
          </w:p>
        </w:tc>
        <w:tc>
          <w:tcPr>
            <w:tcW w:w="11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3" w:type="dxa"/>
          </w:tcPr>
          <w:p>
            <w:pPr>
              <w:spacing w:line="360" w:lineRule="exact"/>
            </w:pPr>
          </w:p>
        </w:tc>
      </w:tr>
    </w:tbl>
    <w:p>
      <w:r>
        <w:rPr>
          <w:rFonts w:hAnsi="宋体"/>
        </w:rPr>
        <w:t>说明</w:t>
      </w:r>
      <w:r>
        <w:t xml:space="preserve"> </w:t>
      </w:r>
      <w:r>
        <w:rPr>
          <w:rFonts w:hAnsi="宋体"/>
        </w:rPr>
        <w:t>：①发送《征求意见稿》的单位数：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2</w:t>
      </w:r>
      <w:r>
        <w:rPr>
          <w:rFonts w:hAnsi="宋体"/>
        </w:rPr>
        <w:t>个；</w:t>
      </w:r>
    </w:p>
    <w:p>
      <w:pPr>
        <w:ind w:firstLine="735" w:firstLineChars="350"/>
      </w:pPr>
      <w:r>
        <w:rPr>
          <w:rFonts w:hAnsi="宋体"/>
        </w:rPr>
        <w:t>②收到《征求意见稿》后，回函的单位数：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2</w:t>
      </w:r>
      <w:r>
        <w:rPr>
          <w:rFonts w:hAnsi="宋体"/>
        </w:rPr>
        <w:t>个；</w:t>
      </w:r>
    </w:p>
    <w:p>
      <w:pPr>
        <w:ind w:firstLine="735" w:firstLineChars="350"/>
      </w:pPr>
      <w:r>
        <w:rPr>
          <w:rFonts w:hAnsi="宋体"/>
        </w:rPr>
        <w:t>③收到《征求意见稿》后，回函并有建议或意见的单位数：</w:t>
      </w:r>
      <w:r>
        <w:rPr>
          <w:rFonts w:hint="eastAsia"/>
          <w:lang w:val="en-US" w:eastAsia="zh-CN"/>
        </w:rPr>
        <w:t>13</w:t>
      </w:r>
      <w:r>
        <w:rPr>
          <w:rFonts w:hAnsi="宋体"/>
        </w:rPr>
        <w:t>个；</w:t>
      </w:r>
    </w:p>
    <w:p>
      <w:pPr>
        <w:ind w:firstLine="735" w:firstLineChars="350"/>
      </w:pPr>
      <w:r>
        <w:rPr>
          <w:rFonts w:hAnsi="宋体"/>
        </w:rPr>
        <w:t>④没有回函的单位数：</w:t>
      </w:r>
      <w:r>
        <w:rPr>
          <w:rFonts w:hint="eastAsia"/>
        </w:rPr>
        <w:t>0个</w:t>
      </w:r>
      <w:r>
        <w:rPr>
          <w:rFonts w:hAnsi="宋体"/>
        </w:rPr>
        <w:t>。</w:t>
      </w:r>
    </w:p>
    <w:sectPr>
      <w:pgSz w:w="11906" w:h="16838"/>
      <w:pgMar w:top="1276" w:right="1519" w:bottom="1135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C9A734"/>
    <w:multiLevelType w:val="singleLevel"/>
    <w:tmpl w:val="B4C9A73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AEF1DA8"/>
    <w:multiLevelType w:val="multilevel"/>
    <w:tmpl w:val="6AEF1DA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iNmM5YzJkZDc1MzliMmM2MWJiZmYxOTI5NTU0YWMifQ=="/>
  </w:docVars>
  <w:rsids>
    <w:rsidRoot w:val="00C054E2"/>
    <w:rsid w:val="001E3EC4"/>
    <w:rsid w:val="00783EB8"/>
    <w:rsid w:val="00827371"/>
    <w:rsid w:val="0086077D"/>
    <w:rsid w:val="008B1BA5"/>
    <w:rsid w:val="00910409"/>
    <w:rsid w:val="00966E1C"/>
    <w:rsid w:val="00A3286C"/>
    <w:rsid w:val="00B562BD"/>
    <w:rsid w:val="00C054E2"/>
    <w:rsid w:val="00CF199F"/>
    <w:rsid w:val="00E42AFE"/>
    <w:rsid w:val="00EF4F3C"/>
    <w:rsid w:val="00F9780E"/>
    <w:rsid w:val="0281282A"/>
    <w:rsid w:val="0A2D217F"/>
    <w:rsid w:val="0D9E6C99"/>
    <w:rsid w:val="106F7834"/>
    <w:rsid w:val="1B687FD1"/>
    <w:rsid w:val="1F6F0182"/>
    <w:rsid w:val="258129BE"/>
    <w:rsid w:val="28A569C3"/>
    <w:rsid w:val="2A7679B6"/>
    <w:rsid w:val="2DC457D8"/>
    <w:rsid w:val="319C292D"/>
    <w:rsid w:val="322D73F8"/>
    <w:rsid w:val="37963C65"/>
    <w:rsid w:val="3A115F36"/>
    <w:rsid w:val="40842F0A"/>
    <w:rsid w:val="41831414"/>
    <w:rsid w:val="435C5415"/>
    <w:rsid w:val="4A7142E8"/>
    <w:rsid w:val="4A9E5A9A"/>
    <w:rsid w:val="4B230A05"/>
    <w:rsid w:val="52D41ACF"/>
    <w:rsid w:val="591C1ADA"/>
    <w:rsid w:val="5BC5369D"/>
    <w:rsid w:val="5ECE29A1"/>
    <w:rsid w:val="5FE64468"/>
    <w:rsid w:val="5FFA1467"/>
    <w:rsid w:val="63FE4BFE"/>
    <w:rsid w:val="6A753740"/>
    <w:rsid w:val="6A88226F"/>
    <w:rsid w:val="6BC8789F"/>
    <w:rsid w:val="6C787517"/>
    <w:rsid w:val="6CCE0FEE"/>
    <w:rsid w:val="72E17BC5"/>
    <w:rsid w:val="72EC3DB0"/>
    <w:rsid w:val="748B41E6"/>
    <w:rsid w:val="74CC0400"/>
    <w:rsid w:val="7C07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410E5-3DDC-430F-B790-F660B3BD04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1260</Words>
  <Characters>1366</Characters>
  <Lines>17</Lines>
  <Paragraphs>4</Paragraphs>
  <TotalTime>5</TotalTime>
  <ScaleCrop>false</ScaleCrop>
  <LinksUpToDate>false</LinksUpToDate>
  <CharactersWithSpaces>1503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2023-07-08T06:27:00Z</dcterms:created>
  <dc:creator>刘振江</dc:creator>
  <cp:lastModifiedBy>HUAWEI</cp:lastModifiedBy>
  <dcterms:modified xsi:type="dcterms:W3CDTF">2023-09-15T07:19:47Z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C1B9F5AE6FF54EFBA24E7DBF5D2AD707_13</vt:lpwstr>
  </property>
</Properties>
</file>