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rPr>
          <w:color w:val="000000"/>
          <w:kern w:val="2"/>
          <w:sz w:val="15"/>
          <w:szCs w:val="15"/>
        </w:rPr>
      </w:pPr>
      <w:bookmarkStart w:id="0" w:name="SectionMark0"/>
      <w:r>
        <w:rPr>
          <w:color w:val="000000"/>
          <w:kern w:val="2"/>
          <w:sz w:val="15"/>
          <w:szCs w:val="15"/>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2080260</wp:posOffset>
                </wp:positionV>
                <wp:extent cx="6121400" cy="0"/>
                <wp:effectExtent l="0" t="0" r="0" b="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63.8pt;height:0pt;width:482pt;z-index:251666432;mso-width-relative:page;mso-height-relative:page;" filled="f" stroked="t" coordsize="21600,21600" o:gfxdata="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F0MxHUAAAA&#10;CAEAAA8AAAAAAAAAAQAgAAAAIgAAAGRycy9kb3ducmV2LnhtbFBLAQIUABQAAAAIAIdO4kAQfUry&#10;6AEAAN0DAAAOAAAAAAAAAAEAIAAAACMBAABkcnMvZTJvRG9jLnhtbFBLBQYAAAAABgAGAFkBAAB9&#10;BQAAAAA=&#10;">
                <v:fill on="f" focussize="0,0"/>
                <v:stroke weight="1pt" color="#800008" joinstyle="round"/>
                <v:imagedata o:title=""/>
                <o:lock v:ext="edit" aspectratio="f"/>
              </v:line>
            </w:pict>
          </mc:Fallback>
        </mc:AlternateContent>
      </w:r>
      <w:r>
        <w:rPr>
          <w:color w:val="000000"/>
          <w:kern w:val="2"/>
          <w:sz w:val="15"/>
          <w:szCs w:val="15"/>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GKWQNvp&#10;AQAA3QMAAA4AAAAAAAAAAQAgAAAAIQEAAGRycy9lMm9Eb2MueG1sUEsFBgAAAAAGAAYAWQEAAHwF&#10;AAAAAA==&#10;">
                <v:fill on="f" focussize="0,0"/>
                <v:stroke weight="1pt" color="#800008" joinstyle="round"/>
                <v:imagedata o:title=""/>
                <o:lock v:ext="edit" aspectratio="f"/>
              </v:line>
            </w:pict>
          </mc:Fallback>
        </mc:AlternateContent>
      </w:r>
      <w:r>
        <w:rPr>
          <w:color w:val="000000"/>
          <w:kern w:val="2"/>
          <w:sz w:val="15"/>
          <w:szCs w:val="15"/>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9"/>
                              <w:rPr>
                                <w:rFonts w:ascii="黑体"/>
                              </w:rPr>
                            </w:pPr>
                            <w:r>
                              <w:rPr>
                                <w:rFonts w:hint="eastAsia" w:ascii="黑体"/>
                              </w:rPr>
                              <w:t>2</w:t>
                            </w:r>
                            <w:r>
                              <w:rPr>
                                <w:rFonts w:ascii="黑体"/>
                              </w:rPr>
                              <w:t>02</w:t>
                            </w:r>
                            <w:r>
                              <w:rPr>
                                <w:rFonts w:hint="eastAsia" w:ascii="黑体"/>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AvMCN4vgEAAJgDAAAOAAAAAAAAAAEAIAAAACkBAABkcnMvZTJvRG9j&#10;LnhtbFBLBQYAAAAABgAGAFkBAABZBQAAAAA=&#10;">
                <v:fill on="t" focussize="0,0"/>
                <v:stroke on="f"/>
                <v:imagedata o:title=""/>
                <o:lock v:ext="edit" aspectratio="f"/>
                <v:textbox inset="0mm,0mm,0mm,0mm">
                  <w:txbxContent>
                    <w:p>
                      <w:pPr>
                        <w:pStyle w:val="69"/>
                        <w:rPr>
                          <w:rFonts w:ascii="黑体"/>
                        </w:rPr>
                      </w:pPr>
                      <w:r>
                        <w:rPr>
                          <w:rFonts w:hint="eastAsia" w:ascii="黑体"/>
                        </w:rPr>
                        <w:t>2</w:t>
                      </w:r>
                      <w:r>
                        <w:rPr>
                          <w:rFonts w:ascii="黑体"/>
                        </w:rPr>
                        <w:t>02</w:t>
                      </w:r>
                      <w:r>
                        <w:rPr>
                          <w:rFonts w:hint="eastAsia" w:ascii="黑体"/>
                        </w:rPr>
                        <w:t>×-××-××实施</w:t>
                      </w:r>
                    </w:p>
                  </w:txbxContent>
                </v:textbox>
                <w10:anchorlock/>
              </v:shape>
            </w:pict>
          </mc:Fallback>
        </mc:AlternateContent>
      </w:r>
      <w:r>
        <w:rPr>
          <w:color w:val="000000"/>
          <w:kern w:val="2"/>
          <w:sz w:val="15"/>
          <w:szCs w:val="15"/>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7"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0"/>
                              <w:rPr>
                                <w:rFonts w:ascii="黑体"/>
                              </w:rPr>
                            </w:pPr>
                            <w:r>
                              <w:rPr>
                                <w:rFonts w:hint="eastAsia" w:ascii="黑体"/>
                              </w:rPr>
                              <w:t>2</w:t>
                            </w:r>
                            <w:r>
                              <w:rPr>
                                <w:rFonts w:ascii="黑体"/>
                              </w:rPr>
                              <w:t>02</w:t>
                            </w:r>
                            <w:r>
                              <w:rPr>
                                <w:rFonts w:hint="eastAsia" w:ascii="黑体"/>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hutoZb4BAACYAwAADgAAAAAAAAABACAAAAAnAQAAZHJzL2Uyb0RvYy54&#10;bWxQSwUGAAAAAAYABgBZAQAAVwUAAAAA&#10;">
                <v:fill on="t" focussize="0,0"/>
                <v:stroke on="f"/>
                <v:imagedata o:title=""/>
                <o:lock v:ext="edit" aspectratio="f"/>
                <v:textbox inset="0mm,0mm,0mm,0mm">
                  <w:txbxContent>
                    <w:p>
                      <w:pPr>
                        <w:pStyle w:val="70"/>
                        <w:rPr>
                          <w:rFonts w:ascii="黑体"/>
                        </w:rPr>
                      </w:pPr>
                      <w:r>
                        <w:rPr>
                          <w:rFonts w:hint="eastAsia" w:ascii="黑体"/>
                        </w:rPr>
                        <w:t>2</w:t>
                      </w:r>
                      <w:r>
                        <w:rPr>
                          <w:rFonts w:ascii="黑体"/>
                        </w:rPr>
                        <w:t>02</w:t>
                      </w:r>
                      <w:r>
                        <w:rPr>
                          <w:rFonts w:hint="eastAsia" w:ascii="黑体"/>
                        </w:rPr>
                        <w:t>×-××-××发布</w:t>
                      </w:r>
                    </w:p>
                  </w:txbxContent>
                </v:textbox>
                <w10:anchorlock/>
              </v:shape>
            </w:pict>
          </mc:Fallback>
        </mc:AlternateContent>
      </w:r>
      <w:r>
        <w:rPr>
          <w:color w:val="000000"/>
          <w:kern w:val="2"/>
          <w:sz w:val="15"/>
          <w:szCs w:val="15"/>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1"/>
                              <w:spacing w:before="0" w:line="700" w:lineRule="exact"/>
                              <w:rPr>
                                <w:rFonts w:eastAsia="黑体"/>
                                <w:color w:val="000000"/>
                                <w:sz w:val="52"/>
                              </w:rPr>
                            </w:pPr>
                            <w:r>
                              <w:rPr>
                                <w:rFonts w:hint="eastAsia" w:eastAsia="黑体"/>
                                <w:color w:val="000000"/>
                                <w:sz w:val="52"/>
                              </w:rPr>
                              <w:t>铜及铜合金化学分析方法</w:t>
                            </w:r>
                          </w:p>
                          <w:p>
                            <w:pPr>
                              <w:pStyle w:val="81"/>
                              <w:spacing w:before="0" w:line="700" w:lineRule="exact"/>
                              <w:rPr>
                                <w:rFonts w:eastAsia="黑体"/>
                                <w:sz w:val="52"/>
                              </w:rPr>
                            </w:pPr>
                            <w:r>
                              <w:rPr>
                                <w:rFonts w:hint="eastAsia" w:eastAsia="黑体"/>
                                <w:color w:val="000000"/>
                                <w:sz w:val="52"/>
                              </w:rPr>
                              <w:t>第</w:t>
                            </w:r>
                            <w:r>
                              <w:rPr>
                                <w:rFonts w:hint="eastAsia" w:ascii="黑体" w:hAnsi="黑体" w:eastAsia="黑体" w:cs="黑体"/>
                                <w:color w:val="000000"/>
                                <w:sz w:val="52"/>
                                <w:lang w:val="en-US" w:eastAsia="zh-CN"/>
                              </w:rPr>
                              <w:t>8</w:t>
                            </w:r>
                            <w:r>
                              <w:rPr>
                                <w:rFonts w:hint="eastAsia" w:ascii="黑体" w:hAnsi="黑体" w:eastAsia="黑体" w:cs="黑体"/>
                                <w:color w:val="000000"/>
                                <w:sz w:val="52"/>
                              </w:rPr>
                              <w:t>部</w:t>
                            </w:r>
                            <w:r>
                              <w:rPr>
                                <w:rFonts w:hint="eastAsia" w:eastAsia="黑体"/>
                                <w:color w:val="000000"/>
                                <w:sz w:val="52"/>
                              </w:rPr>
                              <w:t>分：</w:t>
                            </w:r>
                            <w:r>
                              <w:rPr>
                                <w:rFonts w:hint="eastAsia" w:eastAsia="黑体"/>
                                <w:color w:val="000000"/>
                                <w:sz w:val="52"/>
                                <w:lang w:eastAsia="zh-CN"/>
                              </w:rPr>
                              <w:t>氧、氮、</w:t>
                            </w:r>
                            <w:r>
                              <w:rPr>
                                <w:rFonts w:hint="eastAsia" w:eastAsia="黑体"/>
                                <w:color w:val="000000"/>
                                <w:sz w:val="52"/>
                              </w:rPr>
                              <w:t>氢含量的测定</w:t>
                            </w:r>
                          </w:p>
                          <w:p>
                            <w:pPr>
                              <w:pStyle w:val="81"/>
                              <w:spacing w:before="0" w:line="240" w:lineRule="auto"/>
                              <w:rPr>
                                <w:b/>
                                <w:kern w:val="2"/>
                                <w:szCs w:val="28"/>
                              </w:rPr>
                            </w:pPr>
                            <w:r>
                              <w:rPr>
                                <w:b/>
                                <w:kern w:val="2"/>
                                <w:szCs w:val="28"/>
                              </w:rPr>
                              <w:t xml:space="preserve">Methods for chemical analysis of </w:t>
                            </w:r>
                            <w:r>
                              <w:rPr>
                                <w:rFonts w:hint="eastAsia"/>
                                <w:b/>
                                <w:kern w:val="2"/>
                                <w:szCs w:val="28"/>
                              </w:rPr>
                              <w:t>c</w:t>
                            </w:r>
                            <w:r>
                              <w:rPr>
                                <w:b/>
                                <w:kern w:val="2"/>
                                <w:szCs w:val="28"/>
                              </w:rPr>
                              <w:t>opper and copper alloys——</w:t>
                            </w:r>
                          </w:p>
                          <w:p>
                            <w:pPr>
                              <w:pStyle w:val="81"/>
                              <w:spacing w:before="0" w:line="240" w:lineRule="auto"/>
                              <w:rPr>
                                <w:b/>
                                <w:kern w:val="2"/>
                                <w:szCs w:val="28"/>
                              </w:rPr>
                            </w:pPr>
                            <w:r>
                              <w:rPr>
                                <w:b/>
                                <w:kern w:val="2"/>
                                <w:szCs w:val="28"/>
                              </w:rPr>
                              <w:t xml:space="preserve">Part </w:t>
                            </w:r>
                            <w:r>
                              <w:rPr>
                                <w:rFonts w:hint="eastAsia"/>
                                <w:b/>
                                <w:kern w:val="2"/>
                                <w:szCs w:val="28"/>
                                <w:lang w:val="en-US" w:eastAsia="zh-CN"/>
                              </w:rPr>
                              <w:t>8</w:t>
                            </w:r>
                            <w:r>
                              <w:rPr>
                                <w:b/>
                                <w:kern w:val="2"/>
                                <w:szCs w:val="28"/>
                              </w:rPr>
                              <w:t xml:space="preserve"> : Determination of </w:t>
                            </w:r>
                            <w:r>
                              <w:rPr>
                                <w:rFonts w:hint="eastAsia"/>
                                <w:b/>
                                <w:kern w:val="2"/>
                                <w:szCs w:val="28"/>
                                <w:lang w:val="en-US" w:eastAsia="zh-CN"/>
                              </w:rPr>
                              <w:t xml:space="preserve">oxygen、nitrogen and </w:t>
                            </w:r>
                            <w:r>
                              <w:rPr>
                                <w:b/>
                                <w:kern w:val="2"/>
                                <w:szCs w:val="28"/>
                              </w:rPr>
                              <w:t>hydrogen content</w:t>
                            </w:r>
                          </w:p>
                          <w:p>
                            <w:pPr>
                              <w:pStyle w:val="81"/>
                              <w:spacing w:before="0" w:line="240" w:lineRule="auto"/>
                              <w:rPr>
                                <w:rFonts w:ascii="宋体" w:hAnsi="宋体"/>
                                <w:kern w:val="2"/>
                              </w:rPr>
                            </w:pPr>
                            <w:r>
                              <w:rPr>
                                <w:rFonts w:hint="eastAsia" w:ascii="宋体" w:hAnsi="宋体"/>
                                <w:kern w:val="2"/>
                              </w:rPr>
                              <w:t>（</w:t>
                            </w:r>
                            <w:r>
                              <w:rPr>
                                <w:rFonts w:hint="eastAsia" w:ascii="宋体" w:hAnsi="宋体"/>
                                <w:color w:val="000000"/>
                                <w:kern w:val="2"/>
                                <w:lang w:val="en-US" w:eastAsia="zh-CN"/>
                              </w:rPr>
                              <w:t>送审稿</w:t>
                            </w:r>
                            <w:r>
                              <w:rPr>
                                <w:rFonts w:hint="eastAsia" w:ascii="宋体" w:hAnsi="宋体"/>
                                <w:kern w:val="2"/>
                              </w:rPr>
                              <w:t>）</w:t>
                            </w:r>
                          </w:p>
                          <w:p>
                            <w:pPr>
                              <w:pStyle w:val="97"/>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4384;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Bhd5fAwAEAAJkDAAAOAAAAAAAAAAEAIAAAACcBAABkcnMvZTJvRG9j&#10;LnhtbFBLBQYAAAAABgAGAFkBAABZBQAAAAA=&#10;">
                <v:fill on="t" focussize="0,0"/>
                <v:stroke on="f"/>
                <v:imagedata o:title=""/>
                <o:lock v:ext="edit" aspectratio="f"/>
                <v:textbox inset="0mm,0mm,0mm,0mm">
                  <w:txbxContent>
                    <w:p>
                      <w:pPr>
                        <w:pStyle w:val="81"/>
                        <w:spacing w:before="0" w:line="700" w:lineRule="exact"/>
                        <w:rPr>
                          <w:rFonts w:eastAsia="黑体"/>
                          <w:color w:val="000000"/>
                          <w:sz w:val="52"/>
                        </w:rPr>
                      </w:pPr>
                      <w:r>
                        <w:rPr>
                          <w:rFonts w:hint="eastAsia" w:eastAsia="黑体"/>
                          <w:color w:val="000000"/>
                          <w:sz w:val="52"/>
                        </w:rPr>
                        <w:t>铜及铜合金化学分析方法</w:t>
                      </w:r>
                    </w:p>
                    <w:p>
                      <w:pPr>
                        <w:pStyle w:val="81"/>
                        <w:spacing w:before="0" w:line="700" w:lineRule="exact"/>
                        <w:rPr>
                          <w:rFonts w:eastAsia="黑体"/>
                          <w:sz w:val="52"/>
                        </w:rPr>
                      </w:pPr>
                      <w:r>
                        <w:rPr>
                          <w:rFonts w:hint="eastAsia" w:eastAsia="黑体"/>
                          <w:color w:val="000000"/>
                          <w:sz w:val="52"/>
                        </w:rPr>
                        <w:t>第</w:t>
                      </w:r>
                      <w:r>
                        <w:rPr>
                          <w:rFonts w:hint="eastAsia" w:ascii="黑体" w:hAnsi="黑体" w:eastAsia="黑体" w:cs="黑体"/>
                          <w:color w:val="000000"/>
                          <w:sz w:val="52"/>
                          <w:lang w:val="en-US" w:eastAsia="zh-CN"/>
                        </w:rPr>
                        <w:t>8</w:t>
                      </w:r>
                      <w:r>
                        <w:rPr>
                          <w:rFonts w:hint="eastAsia" w:ascii="黑体" w:hAnsi="黑体" w:eastAsia="黑体" w:cs="黑体"/>
                          <w:color w:val="000000"/>
                          <w:sz w:val="52"/>
                        </w:rPr>
                        <w:t>部</w:t>
                      </w:r>
                      <w:r>
                        <w:rPr>
                          <w:rFonts w:hint="eastAsia" w:eastAsia="黑体"/>
                          <w:color w:val="000000"/>
                          <w:sz w:val="52"/>
                        </w:rPr>
                        <w:t>分：</w:t>
                      </w:r>
                      <w:r>
                        <w:rPr>
                          <w:rFonts w:hint="eastAsia" w:eastAsia="黑体"/>
                          <w:color w:val="000000"/>
                          <w:sz w:val="52"/>
                          <w:lang w:eastAsia="zh-CN"/>
                        </w:rPr>
                        <w:t>氧、氮、</w:t>
                      </w:r>
                      <w:r>
                        <w:rPr>
                          <w:rFonts w:hint="eastAsia" w:eastAsia="黑体"/>
                          <w:color w:val="000000"/>
                          <w:sz w:val="52"/>
                        </w:rPr>
                        <w:t>氢含量的测定</w:t>
                      </w:r>
                    </w:p>
                    <w:p>
                      <w:pPr>
                        <w:pStyle w:val="81"/>
                        <w:spacing w:before="0" w:line="240" w:lineRule="auto"/>
                        <w:rPr>
                          <w:b/>
                          <w:kern w:val="2"/>
                          <w:szCs w:val="28"/>
                        </w:rPr>
                      </w:pPr>
                      <w:r>
                        <w:rPr>
                          <w:b/>
                          <w:kern w:val="2"/>
                          <w:szCs w:val="28"/>
                        </w:rPr>
                        <w:t xml:space="preserve">Methods for chemical analysis of </w:t>
                      </w:r>
                      <w:r>
                        <w:rPr>
                          <w:rFonts w:hint="eastAsia"/>
                          <w:b/>
                          <w:kern w:val="2"/>
                          <w:szCs w:val="28"/>
                        </w:rPr>
                        <w:t>c</w:t>
                      </w:r>
                      <w:r>
                        <w:rPr>
                          <w:b/>
                          <w:kern w:val="2"/>
                          <w:szCs w:val="28"/>
                        </w:rPr>
                        <w:t>opper and copper alloys——</w:t>
                      </w:r>
                    </w:p>
                    <w:p>
                      <w:pPr>
                        <w:pStyle w:val="81"/>
                        <w:spacing w:before="0" w:line="240" w:lineRule="auto"/>
                        <w:rPr>
                          <w:b/>
                          <w:kern w:val="2"/>
                          <w:szCs w:val="28"/>
                        </w:rPr>
                      </w:pPr>
                      <w:r>
                        <w:rPr>
                          <w:b/>
                          <w:kern w:val="2"/>
                          <w:szCs w:val="28"/>
                        </w:rPr>
                        <w:t xml:space="preserve">Part </w:t>
                      </w:r>
                      <w:r>
                        <w:rPr>
                          <w:rFonts w:hint="eastAsia"/>
                          <w:b/>
                          <w:kern w:val="2"/>
                          <w:szCs w:val="28"/>
                          <w:lang w:val="en-US" w:eastAsia="zh-CN"/>
                        </w:rPr>
                        <w:t>8</w:t>
                      </w:r>
                      <w:r>
                        <w:rPr>
                          <w:b/>
                          <w:kern w:val="2"/>
                          <w:szCs w:val="28"/>
                        </w:rPr>
                        <w:t xml:space="preserve"> : Determination of </w:t>
                      </w:r>
                      <w:r>
                        <w:rPr>
                          <w:rFonts w:hint="eastAsia"/>
                          <w:b/>
                          <w:kern w:val="2"/>
                          <w:szCs w:val="28"/>
                          <w:lang w:val="en-US" w:eastAsia="zh-CN"/>
                        </w:rPr>
                        <w:t xml:space="preserve">oxygen、nitrogen and </w:t>
                      </w:r>
                      <w:r>
                        <w:rPr>
                          <w:b/>
                          <w:kern w:val="2"/>
                          <w:szCs w:val="28"/>
                        </w:rPr>
                        <w:t>hydrogen content</w:t>
                      </w:r>
                    </w:p>
                    <w:p>
                      <w:pPr>
                        <w:pStyle w:val="81"/>
                        <w:spacing w:before="0" w:line="240" w:lineRule="auto"/>
                        <w:rPr>
                          <w:rFonts w:ascii="宋体" w:hAnsi="宋体"/>
                          <w:kern w:val="2"/>
                        </w:rPr>
                      </w:pPr>
                      <w:r>
                        <w:rPr>
                          <w:rFonts w:hint="eastAsia" w:ascii="宋体" w:hAnsi="宋体"/>
                          <w:kern w:val="2"/>
                        </w:rPr>
                        <w:t>（</w:t>
                      </w:r>
                      <w:r>
                        <w:rPr>
                          <w:rFonts w:hint="eastAsia" w:ascii="宋体" w:hAnsi="宋体"/>
                          <w:color w:val="000000"/>
                          <w:kern w:val="2"/>
                          <w:lang w:val="en-US" w:eastAsia="zh-CN"/>
                        </w:rPr>
                        <w:t>送审稿</w:t>
                      </w:r>
                      <w:r>
                        <w:rPr>
                          <w:rFonts w:hint="eastAsia" w:ascii="宋体" w:hAnsi="宋体"/>
                          <w:kern w:val="2"/>
                        </w:rPr>
                        <w:t>）</w:t>
                      </w:r>
                    </w:p>
                    <w:p>
                      <w:pPr>
                        <w:pStyle w:val="97"/>
                      </w:pPr>
                    </w:p>
                  </w:txbxContent>
                </v:textbox>
                <w10:anchorlock/>
              </v:shape>
            </w:pict>
          </mc:Fallback>
        </mc:AlternateContent>
      </w:r>
      <w:r>
        <w:rPr>
          <w:color w:val="000000"/>
          <w:kern w:val="2"/>
          <w:sz w:val="15"/>
          <w:szCs w:val="15"/>
        </w:rPr>
        <mc:AlternateContent>
          <mc:Choice Requires="wps">
            <w:drawing>
              <wp:anchor distT="0" distB="0" distL="114300" distR="114300" simplePos="0" relativeHeight="251663360" behindDoc="0" locked="1" layoutInCell="1" allowOverlap="1">
                <wp:simplePos x="0" y="0"/>
                <wp:positionH relativeFrom="margin">
                  <wp:posOffset>333375</wp:posOffset>
                </wp:positionH>
                <wp:positionV relativeFrom="margin">
                  <wp:posOffset>1485900</wp:posOffset>
                </wp:positionV>
                <wp:extent cx="5800725" cy="777875"/>
                <wp:effectExtent l="0" t="0" r="9525" b="3175"/>
                <wp:wrapNone/>
                <wp:docPr id="3" name="fmFrame3"/>
                <wp:cNvGraphicFramePr/>
                <a:graphic xmlns:a="http://schemas.openxmlformats.org/drawingml/2006/main">
                  <a:graphicData uri="http://schemas.microsoft.com/office/word/2010/wordprocessingShape">
                    <wps:wsp>
                      <wps:cNvSpPr txBox="1"/>
                      <wps:spPr>
                        <a:xfrm>
                          <a:off x="0" y="0"/>
                          <a:ext cx="5800725" cy="777875"/>
                        </a:xfrm>
                        <a:prstGeom prst="rect">
                          <a:avLst/>
                        </a:prstGeom>
                        <a:solidFill>
                          <a:srgbClr val="FFFFFF"/>
                        </a:solidFill>
                        <a:ln>
                          <a:noFill/>
                        </a:ln>
                      </wps:spPr>
                      <wps:txbx>
                        <w:txbxContent>
                          <w:p>
                            <w:pPr>
                              <w:pStyle w:val="96"/>
                              <w:keepNext w:val="0"/>
                              <w:keepLines w:val="0"/>
                              <w:pageBreakBefore w:val="0"/>
                              <w:widowControl w:val="0"/>
                              <w:kinsoku w:val="0"/>
                              <w:wordWrap/>
                              <w:overflowPunct w:val="0"/>
                              <w:topLinePunct w:val="0"/>
                              <w:autoSpaceDE w:val="0"/>
                              <w:autoSpaceDN w:val="0"/>
                              <w:bidi w:val="0"/>
                              <w:adjustRightInd/>
                              <w:snapToGrid/>
                              <w:spacing w:before="0" w:line="120" w:lineRule="auto"/>
                              <w:textAlignment w:val="center"/>
                              <w:rPr>
                                <w:rFonts w:hint="eastAsia" w:ascii="黑体" w:hAnsi="黑体" w:eastAsia="黑体"/>
                              </w:rPr>
                            </w:pPr>
                            <w:r>
                              <w:rPr>
                                <w:rFonts w:ascii="黑体" w:hAnsi="黑体" w:eastAsia="黑体"/>
                              </w:rPr>
                              <w:t>GB/T</w:t>
                            </w:r>
                            <w:r>
                              <w:rPr>
                                <w:rFonts w:hint="eastAsia" w:ascii="黑体" w:hAnsi="黑体" w:eastAsia="黑体"/>
                              </w:rPr>
                              <w:t xml:space="preserve"> 5121.</w:t>
                            </w:r>
                            <w:r>
                              <w:rPr>
                                <w:rFonts w:hint="eastAsia" w:ascii="黑体" w:hAnsi="黑体" w:eastAsia="黑体"/>
                                <w:lang w:val="en-US" w:eastAsia="zh-CN"/>
                              </w:rPr>
                              <w:t>8</w:t>
                            </w:r>
                            <w:r>
                              <w:rPr>
                                <w:rFonts w:ascii="黑体" w:hAnsi="黑体" w:eastAsia="黑体"/>
                              </w:rPr>
                              <w:t>—</w:t>
                            </w:r>
                            <w:r>
                              <w:rPr>
                                <w:rFonts w:hint="eastAsia" w:ascii="黑体" w:hAnsi="黑体" w:eastAsia="黑体"/>
                              </w:rPr>
                              <w:t>202×</w:t>
                            </w:r>
                          </w:p>
                          <w:p>
                            <w:pPr>
                              <w:pStyle w:val="96"/>
                              <w:keepNext w:val="0"/>
                              <w:keepLines w:val="0"/>
                              <w:pageBreakBefore w:val="0"/>
                              <w:widowControl w:val="0"/>
                              <w:kinsoku w:val="0"/>
                              <w:wordWrap/>
                              <w:overflowPunct w:val="0"/>
                              <w:topLinePunct w:val="0"/>
                              <w:autoSpaceDE w:val="0"/>
                              <w:autoSpaceDN w:val="0"/>
                              <w:bidi w:val="0"/>
                              <w:adjustRightInd/>
                              <w:snapToGrid/>
                              <w:spacing w:before="0" w:line="120" w:lineRule="auto"/>
                              <w:textAlignment w:val="center"/>
                              <w:rPr>
                                <w:rFonts w:hint="eastAsia" w:ascii="黑体" w:hAnsi="黑体" w:eastAsia="黑体"/>
                                <w:sz w:val="21"/>
                                <w:szCs w:val="21"/>
                                <w:lang w:val="en-US" w:eastAsia="zh-CN"/>
                              </w:rPr>
                            </w:pPr>
                            <w:r>
                              <w:rPr>
                                <w:rFonts w:hint="eastAsia" w:ascii="黑体" w:hAnsi="黑体" w:eastAsia="黑体"/>
                                <w:sz w:val="21"/>
                                <w:szCs w:val="21"/>
                                <w:lang w:val="en-US" w:eastAsia="zh-CN"/>
                              </w:rPr>
                              <w:t>代替</w:t>
                            </w:r>
                            <w:r>
                              <w:rPr>
                                <w:rFonts w:ascii="黑体" w:hAnsi="黑体" w:eastAsia="黑体"/>
                                <w:sz w:val="21"/>
                                <w:szCs w:val="21"/>
                              </w:rPr>
                              <w:t>GB/T</w:t>
                            </w:r>
                            <w:r>
                              <w:rPr>
                                <w:rFonts w:hint="eastAsia" w:ascii="黑体" w:hAnsi="黑体" w:eastAsia="黑体"/>
                                <w:sz w:val="21"/>
                                <w:szCs w:val="21"/>
                              </w:rPr>
                              <w:t xml:space="preserve"> 5121.</w:t>
                            </w:r>
                            <w:r>
                              <w:rPr>
                                <w:rFonts w:hint="eastAsia" w:ascii="黑体" w:hAnsi="黑体" w:eastAsia="黑体"/>
                                <w:sz w:val="21"/>
                                <w:szCs w:val="21"/>
                                <w:lang w:val="en-US" w:eastAsia="zh-CN"/>
                              </w:rPr>
                              <w:t>8</w:t>
                            </w:r>
                            <w:r>
                              <w:rPr>
                                <w:rFonts w:ascii="黑体" w:hAnsi="黑体" w:eastAsia="黑体"/>
                                <w:sz w:val="21"/>
                                <w:szCs w:val="21"/>
                              </w:rPr>
                              <w:t>—</w:t>
                            </w:r>
                            <w:r>
                              <w:rPr>
                                <w:rFonts w:hint="eastAsia" w:ascii="黑体" w:hAnsi="黑体" w:eastAsia="黑体"/>
                                <w:sz w:val="21"/>
                                <w:szCs w:val="21"/>
                              </w:rPr>
                              <w:t>20</w:t>
                            </w:r>
                            <w:r>
                              <w:rPr>
                                <w:rFonts w:hint="eastAsia" w:ascii="黑体" w:hAnsi="黑体" w:eastAsia="黑体"/>
                                <w:sz w:val="21"/>
                                <w:szCs w:val="21"/>
                                <w:lang w:val="en-US" w:eastAsia="zh-CN"/>
                              </w:rPr>
                              <w:t>08</w:t>
                            </w:r>
                          </w:p>
                        </w:txbxContent>
                      </wps:txbx>
                      <wps:bodyPr lIns="0" tIns="0" rIns="0" bIns="0" upright="1"/>
                    </wps:wsp>
                  </a:graphicData>
                </a:graphic>
              </wp:anchor>
            </w:drawing>
          </mc:Choice>
          <mc:Fallback>
            <w:pict>
              <v:shape id="fmFrame3" o:spid="_x0000_s1026" o:spt="202" type="#_x0000_t202" style="position:absolute;left:0pt;margin-left:26.25pt;margin-top:117pt;height:61.25pt;width:456.75pt;mso-position-horizontal-relative:margin;mso-position-vertical-relative:margin;z-index:251663360;mso-width-relative:page;mso-height-relative:page;" fillcolor="#FFFFFF" filled="t" stroked="f" coordsize="21600,21600" o:gfxdata="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4NywNkAAAAKAQAADwAAAAAAAAABACAAAAAiAAAAZHJzL2Rvd25yZXYueG1s&#10;UEsBAhQAFAAAAAgAh07iQNnlNNe+AQAAmAMAAA4AAAAAAAAAAQAgAAAAKAEAAGRycy9lMm9Eb2Mu&#10;eG1sUEsFBgAAAAAGAAYAWQEAAFgFAAAAAA==&#10;">
                <v:fill on="t" focussize="0,0"/>
                <v:stroke on="f"/>
                <v:imagedata o:title=""/>
                <o:lock v:ext="edit" aspectratio="f"/>
                <v:textbox inset="0mm,0mm,0mm,0mm">
                  <w:txbxContent>
                    <w:p>
                      <w:pPr>
                        <w:pStyle w:val="96"/>
                        <w:keepNext w:val="0"/>
                        <w:keepLines w:val="0"/>
                        <w:pageBreakBefore w:val="0"/>
                        <w:widowControl w:val="0"/>
                        <w:kinsoku w:val="0"/>
                        <w:wordWrap/>
                        <w:overflowPunct w:val="0"/>
                        <w:topLinePunct w:val="0"/>
                        <w:autoSpaceDE w:val="0"/>
                        <w:autoSpaceDN w:val="0"/>
                        <w:bidi w:val="0"/>
                        <w:adjustRightInd/>
                        <w:snapToGrid/>
                        <w:spacing w:before="0" w:line="120" w:lineRule="auto"/>
                        <w:textAlignment w:val="center"/>
                        <w:rPr>
                          <w:rFonts w:hint="eastAsia" w:ascii="黑体" w:hAnsi="黑体" w:eastAsia="黑体"/>
                        </w:rPr>
                      </w:pPr>
                      <w:r>
                        <w:rPr>
                          <w:rFonts w:ascii="黑体" w:hAnsi="黑体" w:eastAsia="黑体"/>
                        </w:rPr>
                        <w:t>GB/T</w:t>
                      </w:r>
                      <w:r>
                        <w:rPr>
                          <w:rFonts w:hint="eastAsia" w:ascii="黑体" w:hAnsi="黑体" w:eastAsia="黑体"/>
                        </w:rPr>
                        <w:t xml:space="preserve"> 5121.</w:t>
                      </w:r>
                      <w:r>
                        <w:rPr>
                          <w:rFonts w:hint="eastAsia" w:ascii="黑体" w:hAnsi="黑体" w:eastAsia="黑体"/>
                          <w:lang w:val="en-US" w:eastAsia="zh-CN"/>
                        </w:rPr>
                        <w:t>8</w:t>
                      </w:r>
                      <w:r>
                        <w:rPr>
                          <w:rFonts w:ascii="黑体" w:hAnsi="黑体" w:eastAsia="黑体"/>
                        </w:rPr>
                        <w:t>—</w:t>
                      </w:r>
                      <w:r>
                        <w:rPr>
                          <w:rFonts w:hint="eastAsia" w:ascii="黑体" w:hAnsi="黑体" w:eastAsia="黑体"/>
                        </w:rPr>
                        <w:t>202×</w:t>
                      </w:r>
                    </w:p>
                    <w:p>
                      <w:pPr>
                        <w:pStyle w:val="96"/>
                        <w:keepNext w:val="0"/>
                        <w:keepLines w:val="0"/>
                        <w:pageBreakBefore w:val="0"/>
                        <w:widowControl w:val="0"/>
                        <w:kinsoku w:val="0"/>
                        <w:wordWrap/>
                        <w:overflowPunct w:val="0"/>
                        <w:topLinePunct w:val="0"/>
                        <w:autoSpaceDE w:val="0"/>
                        <w:autoSpaceDN w:val="0"/>
                        <w:bidi w:val="0"/>
                        <w:adjustRightInd/>
                        <w:snapToGrid/>
                        <w:spacing w:before="0" w:line="120" w:lineRule="auto"/>
                        <w:textAlignment w:val="center"/>
                        <w:rPr>
                          <w:rFonts w:hint="eastAsia" w:ascii="黑体" w:hAnsi="黑体" w:eastAsia="黑体"/>
                          <w:sz w:val="21"/>
                          <w:szCs w:val="21"/>
                          <w:lang w:val="en-US" w:eastAsia="zh-CN"/>
                        </w:rPr>
                      </w:pPr>
                      <w:r>
                        <w:rPr>
                          <w:rFonts w:hint="eastAsia" w:ascii="黑体" w:hAnsi="黑体" w:eastAsia="黑体"/>
                          <w:sz w:val="21"/>
                          <w:szCs w:val="21"/>
                          <w:lang w:val="en-US" w:eastAsia="zh-CN"/>
                        </w:rPr>
                        <w:t>代替</w:t>
                      </w:r>
                      <w:r>
                        <w:rPr>
                          <w:rFonts w:ascii="黑体" w:hAnsi="黑体" w:eastAsia="黑体"/>
                          <w:sz w:val="21"/>
                          <w:szCs w:val="21"/>
                        </w:rPr>
                        <w:t>GB/T</w:t>
                      </w:r>
                      <w:r>
                        <w:rPr>
                          <w:rFonts w:hint="eastAsia" w:ascii="黑体" w:hAnsi="黑体" w:eastAsia="黑体"/>
                          <w:sz w:val="21"/>
                          <w:szCs w:val="21"/>
                        </w:rPr>
                        <w:t xml:space="preserve"> 5121.</w:t>
                      </w:r>
                      <w:r>
                        <w:rPr>
                          <w:rFonts w:hint="eastAsia" w:ascii="黑体" w:hAnsi="黑体" w:eastAsia="黑体"/>
                          <w:sz w:val="21"/>
                          <w:szCs w:val="21"/>
                          <w:lang w:val="en-US" w:eastAsia="zh-CN"/>
                        </w:rPr>
                        <w:t>8</w:t>
                      </w:r>
                      <w:r>
                        <w:rPr>
                          <w:rFonts w:ascii="黑体" w:hAnsi="黑体" w:eastAsia="黑体"/>
                          <w:sz w:val="21"/>
                          <w:szCs w:val="21"/>
                        </w:rPr>
                        <w:t>—</w:t>
                      </w:r>
                      <w:r>
                        <w:rPr>
                          <w:rFonts w:hint="eastAsia" w:ascii="黑体" w:hAnsi="黑体" w:eastAsia="黑体"/>
                          <w:sz w:val="21"/>
                          <w:szCs w:val="21"/>
                        </w:rPr>
                        <w:t>20</w:t>
                      </w:r>
                      <w:r>
                        <w:rPr>
                          <w:rFonts w:hint="eastAsia" w:ascii="黑体" w:hAnsi="黑体" w:eastAsia="黑体"/>
                          <w:sz w:val="21"/>
                          <w:szCs w:val="21"/>
                          <w:lang w:val="en-US" w:eastAsia="zh-CN"/>
                        </w:rPr>
                        <w:t>08</w:t>
                      </w:r>
                    </w:p>
                  </w:txbxContent>
                </v:textbox>
                <w10:anchorlock/>
              </v:shape>
            </w:pict>
          </mc:Fallback>
        </mc:AlternateContent>
      </w:r>
      <w:r>
        <w:rPr>
          <w:color w:val="000000"/>
          <w:kern w:val="2"/>
          <w:sz w:val="15"/>
          <w:szCs w:val="15"/>
        </w:rPr>
        <w:drawing>
          <wp:anchor distT="0" distB="0" distL="114300" distR="114300" simplePos="0" relativeHeight="251662336"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21" cstate="print"/>
                    <a:srcRect/>
                    <a:stretch>
                      <a:fillRect/>
                    </a:stretch>
                  </pic:blipFill>
                  <pic:spPr>
                    <a:xfrm>
                      <a:off x="0" y="0"/>
                      <a:ext cx="1403350" cy="720090"/>
                    </a:xfrm>
                    <a:prstGeom prst="rect">
                      <a:avLst/>
                    </a:prstGeom>
                    <a:noFill/>
                    <a:ln w="9525" cmpd="sng">
                      <a:noFill/>
                      <a:miter lim="800000"/>
                      <a:headEnd/>
                      <a:tailEnd/>
                    </a:ln>
                  </pic:spPr>
                </pic:pic>
              </a:graphicData>
            </a:graphic>
          </wp:anchor>
        </w:drawing>
      </w:r>
      <w:r>
        <w:rPr>
          <w:color w:val="000000"/>
          <w:kern w:val="2"/>
          <w:sz w:val="15"/>
          <w:szCs w:val="15"/>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95"/>
                            </w:pPr>
                            <w:r>
                              <w:rPr>
                                <w:rFonts w:hint="eastAsia"/>
                              </w:rPr>
                              <w:t>中华人民共和国国家标准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g5HBdcAAAAIAQAADwAAAAAAAAABACAAAAAiAAAAZHJzL2Rvd25yZXYueG1sUEsB&#10;AhQAFAAAAAgAh07iQMxxI/O9AQAAmAMAAA4AAAAAAAAAAQAgAAAAJgEAAGRycy9lMm9Eb2MueG1s&#10;UEsFBgAAAAAGAAYAWQEAAFUFAAAAAA==&#10;">
                <v:fill on="t" focussize="0,0"/>
                <v:stroke on="f"/>
                <v:imagedata o:title=""/>
                <o:lock v:ext="edit" aspectratio="f"/>
                <v:textbox inset="0mm,0mm,0mm,0mm">
                  <w:txbxContent>
                    <w:p>
                      <w:pPr>
                        <w:pStyle w:val="95"/>
                      </w:pPr>
                      <w:r>
                        <w:rPr>
                          <w:rFonts w:hint="eastAsia"/>
                        </w:rPr>
                        <w:t>中华人民共和国国家标准</w:t>
                      </w:r>
                    </w:p>
                  </w:txbxContent>
                </v:textbox>
                <w10:anchorlock/>
              </v:shape>
            </w:pict>
          </mc:Fallback>
        </mc:AlternateContent>
      </w:r>
      <w:r>
        <w:rPr>
          <w:color w:val="000000"/>
          <w:kern w:val="2"/>
          <w:sz w:val="15"/>
          <w:szCs w:val="15"/>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rPr>
                                <w:rFonts w:ascii="黑体" w:eastAsia="黑体"/>
                              </w:rPr>
                            </w:pPr>
                            <w:r>
                              <w:rPr>
                                <w:rFonts w:hint="eastAsia" w:ascii="黑体" w:eastAsia="黑体"/>
                              </w:rPr>
                              <w:t>ICS 77.120.30</w:t>
                            </w:r>
                          </w:p>
                          <w:p>
                            <w:pPr>
                              <w:rPr>
                                <w:rFonts w:ascii="黑体" w:eastAsia="黑体"/>
                              </w:rPr>
                            </w:pPr>
                            <w:r>
                              <w:rPr>
                                <w:rFonts w:hint="eastAsia" w:ascii="黑体" w:eastAsia="黑体"/>
                                <w:lang w:val="en-US" w:eastAsia="zh-CN"/>
                              </w:rPr>
                              <w:t xml:space="preserve">CCS </w:t>
                            </w:r>
                            <w:r>
                              <w:rPr>
                                <w:rFonts w:hint="eastAsia" w:ascii="黑体" w:eastAsia="黑体"/>
                              </w:rPr>
                              <w:t>H 13</w:t>
                            </w:r>
                          </w:p>
                          <w:p>
                            <w:pPr>
                              <w:pStyle w:val="73"/>
                            </w:pPr>
                          </w:p>
                          <w:p>
                            <w:pPr>
                              <w:pStyle w:val="73"/>
                            </w:pP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ezL4NMAAAAFAQAADwAAAAAAAAABACAAAAAiAAAAZHJzL2Rvd25yZXYueG1sUEsBAhQA&#10;FAAAAAgAh07iQE61g1O+AQAAmAMAAA4AAAAAAAAAAQAgAAAAIgEAAGRycy9lMm9Eb2MueG1sUEsF&#10;BgAAAAAGAAYAWQEAAFIFAAAAAA==&#10;">
                <v:fill on="t" focussize="0,0"/>
                <v:stroke on="f"/>
                <v:imagedata o:title=""/>
                <o:lock v:ext="edit" aspectratio="f"/>
                <v:textbox inset="0mm,0mm,0mm,0mm">
                  <w:txbxContent>
                    <w:p>
                      <w:pPr>
                        <w:rPr>
                          <w:rFonts w:ascii="黑体" w:eastAsia="黑体"/>
                        </w:rPr>
                      </w:pPr>
                      <w:r>
                        <w:rPr>
                          <w:rFonts w:hint="eastAsia" w:ascii="黑体" w:eastAsia="黑体"/>
                        </w:rPr>
                        <w:t>ICS 77.120.30</w:t>
                      </w:r>
                    </w:p>
                    <w:p>
                      <w:pPr>
                        <w:rPr>
                          <w:rFonts w:ascii="黑体" w:eastAsia="黑体"/>
                        </w:rPr>
                      </w:pPr>
                      <w:r>
                        <w:rPr>
                          <w:rFonts w:hint="eastAsia" w:ascii="黑体" w:eastAsia="黑体"/>
                          <w:lang w:val="en-US" w:eastAsia="zh-CN"/>
                        </w:rPr>
                        <w:t xml:space="preserve">CCS </w:t>
                      </w:r>
                      <w:r>
                        <w:rPr>
                          <w:rFonts w:hint="eastAsia" w:ascii="黑体" w:eastAsia="黑体"/>
                        </w:rPr>
                        <w:t>H 13</w:t>
                      </w:r>
                    </w:p>
                    <w:p>
                      <w:pPr>
                        <w:pStyle w:val="73"/>
                      </w:pPr>
                    </w:p>
                    <w:p>
                      <w:pPr>
                        <w:pStyle w:val="73"/>
                      </w:pPr>
                    </w:p>
                  </w:txbxContent>
                </v:textbox>
                <w10:anchorlock/>
              </v:shape>
            </w:pict>
          </mc:Fallback>
        </mc:AlternateContent>
      </w:r>
    </w:p>
    <w:p>
      <w:pPr>
        <w:rPr>
          <w:color w:val="000000"/>
          <w:sz w:val="15"/>
          <w:szCs w:val="15"/>
        </w:rPr>
      </w:pPr>
      <w:r>
        <w:rPr>
          <w:rFonts w:hint="eastAsia"/>
          <w:color w:val="000000"/>
          <w:sz w:val="15"/>
          <w:szCs w:val="15"/>
        </w:rPr>
        <w:t>ccccs</w:t>
      </w: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r>
        <w:rPr>
          <w:color w:val="000000"/>
          <w:sz w:val="15"/>
          <w:szCs w:val="15"/>
        </w:rPr>
        <mc:AlternateContent>
          <mc:Choice Requires="wpg">
            <w:drawing>
              <wp:anchor distT="0" distB="0" distL="114300" distR="114300" simplePos="0" relativeHeight="251668480" behindDoc="0" locked="0" layoutInCell="1" allowOverlap="1">
                <wp:simplePos x="0" y="0"/>
                <wp:positionH relativeFrom="column">
                  <wp:posOffset>812800</wp:posOffset>
                </wp:positionH>
                <wp:positionV relativeFrom="paragraph">
                  <wp:posOffset>7663815</wp:posOffset>
                </wp:positionV>
                <wp:extent cx="4432300" cy="484505"/>
                <wp:effectExtent l="0" t="4445" r="6350" b="6350"/>
                <wp:wrapNone/>
                <wp:docPr id="12" name="组合 29"/>
                <wp:cNvGraphicFramePr/>
                <a:graphic xmlns:a="http://schemas.openxmlformats.org/drawingml/2006/main">
                  <a:graphicData uri="http://schemas.microsoft.com/office/word/2010/wordprocessingGroup">
                    <wpg:wgp>
                      <wpg:cNvGrpSpPr/>
                      <wpg:grpSpPr>
                        <a:xfrm>
                          <a:off x="0" y="0"/>
                          <a:ext cx="4432300" cy="484505"/>
                          <a:chOff x="2698" y="14820"/>
                          <a:chExt cx="6980" cy="763"/>
                        </a:xfrm>
                      </wpg:grpSpPr>
                      <wps:wsp>
                        <wps:cNvPr id="10" name="fmFrame7"/>
                        <wps:cNvSpPr txBox="1"/>
                        <wps:spPr>
                          <a:xfrm>
                            <a:off x="2698" y="14820"/>
                            <a:ext cx="5582" cy="763"/>
                          </a:xfrm>
                          <a:prstGeom prst="rect">
                            <a:avLst/>
                          </a:prstGeom>
                          <a:solidFill>
                            <a:srgbClr val="FFFFFF"/>
                          </a:solidFill>
                          <a:ln>
                            <a:noFill/>
                          </a:ln>
                        </wps:spPr>
                        <wps:txbx>
                          <w:txbxContent>
                            <w:p>
                              <w:pPr>
                                <w:pStyle w:val="76"/>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76"/>
                                <w:spacing w:line="360" w:lineRule="exact"/>
                                <w:jc w:val="distribute"/>
                                <w:rPr>
                                  <w:spacing w:val="0"/>
                                  <w:sz w:val="28"/>
                                </w:rPr>
                              </w:pPr>
                              <w:r>
                                <w:rPr>
                                  <w:rFonts w:hint="eastAsia" w:hAnsi="新宋体"/>
                                  <w:spacing w:val="0"/>
                                  <w:sz w:val="32"/>
                                  <w:szCs w:val="32"/>
                                </w:rPr>
                                <w:t>国家标准化管理委员会</w:t>
                              </w:r>
                            </w:p>
                            <w:p/>
                          </w:txbxContent>
                        </wps:txbx>
                        <wps:bodyPr lIns="0" tIns="0" rIns="0" bIns="0" upright="1"/>
                      </wps:wsp>
                      <wps:wsp>
                        <wps:cNvPr id="11" name="Text Box 2"/>
                        <wps:cNvSpPr txBox="1"/>
                        <wps:spPr>
                          <a:xfrm>
                            <a:off x="8468" y="14820"/>
                            <a:ext cx="1210" cy="633"/>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Style w:val="60"/>
                                </w:rPr>
                                <w:t>发布</w:t>
                              </w:r>
                            </w:p>
                          </w:txbxContent>
                        </wps:txbx>
                        <wps:bodyPr upright="1"/>
                      </wps:wsp>
                    </wpg:wgp>
                  </a:graphicData>
                </a:graphic>
              </wp:anchor>
            </w:drawing>
          </mc:Choice>
          <mc:Fallback>
            <w:pict>
              <v:group id="组合 29" o:spid="_x0000_s1026" o:spt="203" style="position:absolute;left:0pt;margin-left:64pt;margin-top:603.45pt;height:38.15pt;width:349pt;z-index:251668480;mso-width-relative:page;mso-height-relative:page;" coordorigin="2698,14820" coordsize="6980,763" o:gfxdata="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dgzUrZAAAADQEAAA8AAAAAAAAAAQAgAAAA&#10;IgAAAGRycy9kb3ducmV2LnhtbFBLAQIUABQAAAAIAIdO4kBkNbzetQIAACUHAAAOAAAAAAAAAAEA&#10;IAAAACgBAABkcnMvZTJvRG9jLnhtbFBLBQYAAAAABgAGAFkBAABPBgAAAAA=&#10;">
                <o:lock v:ext="edit" aspectratio="f"/>
                <v:shape id="fmFrame7" o:spid="_x0000_s1026" o:spt="202" type="#_x0000_t202" style="position:absolute;left:2698;top:14820;height:763;width:5582;" fillcolor="#FFFFFF" filled="t" stroked="f" coordsize="21600,21600" o:gfxdata="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Rh1G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pStyle w:val="76"/>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76"/>
                          <w:spacing w:line="360" w:lineRule="exact"/>
                          <w:jc w:val="distribute"/>
                          <w:rPr>
                            <w:spacing w:val="0"/>
                            <w:sz w:val="28"/>
                          </w:rPr>
                        </w:pPr>
                        <w:r>
                          <w:rPr>
                            <w:rFonts w:hint="eastAsia" w:hAnsi="新宋体"/>
                            <w:spacing w:val="0"/>
                            <w:sz w:val="32"/>
                            <w:szCs w:val="32"/>
                          </w:rPr>
                          <w:t>国家标准化管理委员会</w:t>
                        </w:r>
                      </w:p>
                      <w:p/>
                    </w:txbxContent>
                  </v:textbox>
                </v:shape>
                <v:shape id="Text Box 2" o:spid="_x0000_s1026" o:spt="202" type="#_x0000_t202" style="position:absolute;left:8468;top:14820;height:633;width:1210;"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jc w:val="center"/>
                        </w:pPr>
                        <w:r>
                          <w:rPr>
                            <w:rStyle w:val="60"/>
                          </w:rPr>
                          <w:t>发布</w:t>
                        </w:r>
                      </w:p>
                    </w:txbxContent>
                  </v:textbox>
                </v:shape>
              </v:group>
            </w:pict>
          </mc:Fallback>
        </mc:AlternateContent>
      </w:r>
    </w:p>
    <w:p>
      <w:pPr>
        <w:ind w:right="105"/>
        <w:jc w:val="right"/>
        <w:rPr>
          <w:color w:val="000000"/>
          <w:sz w:val="15"/>
          <w:szCs w:val="15"/>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w:rPr>
          <w:color w:val="000000"/>
          <w:sz w:val="15"/>
          <w:szCs w:val="15"/>
        </w:rPr>
        <w:t>×</w:t>
      </w:r>
    </w:p>
    <w:bookmarkEnd w:id="0"/>
    <w:p>
      <w:pPr>
        <w:pStyle w:val="57"/>
        <w:rPr>
          <w:rFonts w:hAnsi="黑体"/>
          <w:color w:val="000000"/>
          <w:kern w:val="2"/>
          <w:szCs w:val="32"/>
        </w:rPr>
      </w:pPr>
      <w:bookmarkStart w:id="1" w:name="SectionMark1"/>
      <w:r>
        <w:rPr>
          <w:rFonts w:hAnsi="黑体"/>
          <w:color w:val="000000"/>
          <w:kern w:val="2"/>
          <w:szCs w:val="32"/>
        </w:rPr>
        <w:t>前    言</w:t>
      </w:r>
    </w:p>
    <w:p>
      <w:pPr>
        <w:ind w:firstLine="420" w:firstLineChars="200"/>
        <w:rPr>
          <w:rFonts w:hint="eastAsia" w:ascii="宋体" w:hAnsi="宋体" w:eastAsia="宋体" w:cs="宋体"/>
          <w:color w:val="000000"/>
          <w:szCs w:val="21"/>
        </w:rPr>
      </w:pPr>
      <w:r>
        <w:rPr>
          <w:color w:val="000000"/>
          <w:szCs w:val="21"/>
        </w:rPr>
        <w:t>本文件</w:t>
      </w:r>
      <w:r>
        <w:rPr>
          <w:rFonts w:hint="eastAsia" w:ascii="宋体" w:hAnsi="宋体" w:eastAsia="宋体" w:cs="宋体"/>
          <w:color w:val="000000"/>
          <w:szCs w:val="21"/>
        </w:rPr>
        <w:t>按照GB/T 1.1-2020《标准化工作导则 第1部分：标准化文件的结构和起草规则》的规定起草。</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本文件是GB/T 5121《铜及铜合金化学分析方法》的第</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部分。GB/T 5121已经发布了以下部分：</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——第1部分：铜含量的测定；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——第2部分：磷含量的测定；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——第3部分：铅含量的测定；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——第4部分：碳、硫量的测定；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——第5部分：镍含量的测定；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——第6部分：铋含量的测定；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——第7部分：砷含量的测定；</w:t>
      </w:r>
    </w:p>
    <w:p>
      <w:pPr>
        <w:spacing w:line="312" w:lineRule="auto"/>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——第8部分：氧</w:t>
      </w:r>
      <w:r>
        <w:rPr>
          <w:rFonts w:hint="eastAsia" w:ascii="宋体" w:hAnsi="宋体" w:eastAsia="宋体" w:cs="宋体"/>
          <w:color w:val="0D0D0D" w:themeColor="text1" w:themeTint="F2"/>
          <w:szCs w:val="21"/>
          <w:lang w:eastAsia="zh-CN"/>
          <w14:textFill>
            <w14:solidFill>
              <w14:schemeClr w14:val="tx1">
                <w14:lumMod w14:val="95000"/>
                <w14:lumOff w14:val="5000"/>
              </w14:schemeClr>
            </w14:solidFill>
          </w14:textFill>
        </w:rPr>
        <w:t>、氮、氢</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——第9部分：铁含量的测定；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——第10部分：锡含量的测定；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——第11部分：锌含量的测定；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——第12部分：锑含量的测定；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——第13部分：铝含量的测定；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——第14部分：锰含量的测定；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——第15部分：钴含量的测定；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——第16部分：铬含量的测定；</w:t>
      </w:r>
    </w:p>
    <w:p>
      <w:pPr>
        <w:widowControl/>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——第17部分：铍含量的测定；</w:t>
      </w:r>
    </w:p>
    <w:p>
      <w:pPr>
        <w:widowControl/>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——第18部分：镁含量的测定；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——第19部分：银含量的测定；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——第20部分：锆含量的测定；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——第21部分：钛含量的测定；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——第22部分：镉含量的测定；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——第23部分：硅含量的测定；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——第24部分：硒、碲含量的测定；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——第25部分：硼含量的测定；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——第26部分：汞含量的测定；</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——第27部分：电感耦合等离子体原子发射光谱法；</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——第28部分：铬、铁、锰、钴、镍、锌、砷、硒、银、镉、锡、锑、碲、铅、铋量的测定 电感耦合等离子体质谱法；</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——第29部分：三氧化二铝含量的测定。</w:t>
      </w:r>
    </w:p>
    <w:p>
      <w:pPr>
        <w:widowControl/>
        <w:autoSpaceDE w:val="0"/>
        <w:autoSpaceDN w:val="0"/>
        <w:ind w:firstLine="420" w:firstLineChars="200"/>
        <w:rPr>
          <w:rFonts w:hint="eastAsia" w:ascii="宋体" w:hAnsi="宋体" w:eastAsia="宋体" w:cs="宋体"/>
          <w:color w:val="000000"/>
          <w:szCs w:val="21"/>
          <w:lang w:val="en-US" w:eastAsia="zh-CN"/>
        </w:rPr>
      </w:pPr>
      <w:r>
        <w:rPr>
          <w:rFonts w:hint="eastAsia"/>
          <w:color w:val="000000"/>
          <w:szCs w:val="21"/>
          <w:lang w:eastAsia="zh-CN"/>
        </w:rPr>
        <w:t>本</w:t>
      </w:r>
      <w:r>
        <w:rPr>
          <w:rFonts w:hint="eastAsia"/>
          <w:color w:val="000000"/>
          <w:szCs w:val="21"/>
          <w:lang w:val="en-US" w:eastAsia="zh-CN"/>
        </w:rPr>
        <w:t>文件</w:t>
      </w:r>
      <w:r>
        <w:rPr>
          <w:rFonts w:hint="eastAsia"/>
          <w:color w:val="000000"/>
          <w:szCs w:val="21"/>
          <w:lang w:eastAsia="zh-CN"/>
        </w:rPr>
        <w:t>代</w:t>
      </w:r>
      <w:r>
        <w:rPr>
          <w:rFonts w:hint="eastAsia" w:ascii="宋体" w:hAnsi="宋体" w:eastAsia="宋体" w:cs="宋体"/>
          <w:color w:val="000000"/>
          <w:szCs w:val="21"/>
          <w:lang w:eastAsia="zh-CN"/>
        </w:rPr>
        <w:t>替</w:t>
      </w:r>
      <w:r>
        <w:rPr>
          <w:rFonts w:hint="eastAsia" w:ascii="宋体" w:hAnsi="宋体" w:eastAsia="宋体" w:cs="宋体"/>
          <w:color w:val="000000"/>
          <w:szCs w:val="21"/>
          <w:lang w:val="en-US" w:eastAsia="zh-CN"/>
        </w:rPr>
        <w:t>GB/T 5121.8-2008《铜及铜合金化学分析方法 第8部分：氧含量的测定》，与GB/T 5121.8-2008相比，除了结构调整和编辑性改动外，主要</w:t>
      </w:r>
      <w:r>
        <w:rPr>
          <w:rFonts w:hint="eastAsia" w:ascii="宋体" w:hAnsi="宋体" w:cs="宋体"/>
          <w:color w:val="000000"/>
          <w:szCs w:val="21"/>
          <w:lang w:val="en-US" w:eastAsia="zh-CN"/>
        </w:rPr>
        <w:t>技术</w:t>
      </w:r>
      <w:r>
        <w:rPr>
          <w:rFonts w:hint="eastAsia" w:ascii="宋体" w:hAnsi="宋体" w:eastAsia="宋体" w:cs="宋体"/>
          <w:color w:val="000000"/>
          <w:szCs w:val="21"/>
          <w:lang w:val="en-US" w:eastAsia="zh-CN"/>
        </w:rPr>
        <w:t>变化如下：</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增加了惰性气体熔融-热导法测定氮含量的方法（见第4章）；</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增加了惰性气体熔融-红外吸收法或热导法测定氢含量的方法（见第5章）</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修改了氧的测定范围，由“0.000</w:t>
      </w:r>
      <w:r>
        <w:rPr>
          <w:rFonts w:hint="eastAsia" w:ascii="宋体" w:hAnsi="宋体" w:eastAsia="宋体" w:cs="宋体"/>
          <w:color w:val="000000"/>
          <w:szCs w:val="21"/>
          <w:vertAlign w:val="superscript"/>
        </w:rPr>
        <w:t xml:space="preserve"> </w:t>
      </w:r>
      <w:r>
        <w:rPr>
          <w:rFonts w:hint="eastAsia" w:ascii="宋体" w:hAnsi="宋体" w:eastAsia="宋体" w:cs="宋体"/>
          <w:color w:val="000000"/>
          <w:szCs w:val="21"/>
        </w:rPr>
        <w:t>30%</w:t>
      </w:r>
      <w:r>
        <w:rPr>
          <w:rFonts w:hint="eastAsia" w:ascii="宋体" w:hAnsi="宋体" w:eastAsia="宋体" w:cs="宋体"/>
          <w:kern w:val="0"/>
          <w:szCs w:val="20"/>
        </w:rPr>
        <w:t>～0.11%</w:t>
      </w:r>
      <w:r>
        <w:rPr>
          <w:rFonts w:hint="eastAsia" w:ascii="宋体" w:hAnsi="宋体" w:eastAsia="宋体" w:cs="宋体"/>
          <w:color w:val="000000"/>
          <w:szCs w:val="21"/>
        </w:rPr>
        <w:t>”修改为“0.000</w:t>
      </w:r>
      <w:r>
        <w:rPr>
          <w:rFonts w:hint="eastAsia" w:ascii="宋体" w:hAnsi="宋体" w:eastAsia="宋体" w:cs="宋体"/>
          <w:color w:val="000000"/>
          <w:szCs w:val="21"/>
          <w:vertAlign w:val="superscript"/>
        </w:rPr>
        <w:t xml:space="preserve"> </w:t>
      </w:r>
      <w:r>
        <w:rPr>
          <w:rFonts w:hint="eastAsia" w:ascii="宋体" w:hAnsi="宋体" w:eastAsia="宋体" w:cs="宋体"/>
          <w:color w:val="000000"/>
          <w:szCs w:val="21"/>
        </w:rPr>
        <w:t>30%</w:t>
      </w:r>
      <w:r>
        <w:rPr>
          <w:rFonts w:hint="eastAsia" w:ascii="宋体" w:hAnsi="宋体" w:eastAsia="宋体" w:cs="宋体"/>
          <w:kern w:val="0"/>
          <w:szCs w:val="20"/>
        </w:rPr>
        <w:t>～0.60%</w:t>
      </w:r>
      <w:r>
        <w:rPr>
          <w:rFonts w:hint="eastAsia" w:ascii="宋体" w:hAnsi="宋体" w:eastAsia="宋体" w:cs="宋体"/>
          <w:color w:val="000000"/>
          <w:szCs w:val="21"/>
        </w:rPr>
        <w:t>”（见</w:t>
      </w:r>
      <w:r>
        <w:rPr>
          <w:rFonts w:hint="eastAsia" w:ascii="宋体" w:hAnsi="宋体" w:cs="宋体"/>
          <w:color w:val="000000"/>
          <w:szCs w:val="21"/>
          <w:lang w:val="en-US" w:eastAsia="zh-CN"/>
        </w:rPr>
        <w:t>3.1，</w:t>
      </w:r>
      <w:r>
        <w:rPr>
          <w:rFonts w:hint="eastAsia" w:ascii="宋体" w:hAnsi="宋体" w:eastAsia="宋体" w:cs="宋体"/>
          <w:color w:val="000000"/>
          <w:szCs w:val="21"/>
        </w:rPr>
        <w:t>2008</w:t>
      </w:r>
      <w:r>
        <w:rPr>
          <w:rFonts w:hint="eastAsia" w:ascii="宋体" w:hAnsi="宋体" w:cs="宋体"/>
          <w:color w:val="000000"/>
          <w:szCs w:val="21"/>
          <w:lang w:val="en-US" w:eastAsia="zh-CN"/>
        </w:rPr>
        <w:t>年</w:t>
      </w:r>
      <w:r>
        <w:rPr>
          <w:rFonts w:hint="eastAsia" w:ascii="宋体" w:hAnsi="宋体" w:eastAsia="宋体" w:cs="宋体"/>
          <w:color w:val="000000"/>
          <w:szCs w:val="21"/>
        </w:rPr>
        <w:t>版的第1章）；</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增加</w:t>
      </w:r>
      <w:r>
        <w:rPr>
          <w:rFonts w:hint="eastAsia" w:ascii="宋体" w:hAnsi="宋体" w:cs="宋体"/>
          <w:color w:val="000000"/>
          <w:szCs w:val="21"/>
          <w:lang w:val="en-US" w:eastAsia="zh-CN"/>
        </w:rPr>
        <w:t>了</w:t>
      </w:r>
      <w:r>
        <w:rPr>
          <w:rFonts w:hint="eastAsia" w:ascii="宋体" w:hAnsi="宋体" w:eastAsia="宋体" w:cs="宋体"/>
          <w:color w:val="000000"/>
          <w:szCs w:val="21"/>
        </w:rPr>
        <w:t>“规范性引用文件”（见第2章）；</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增加</w:t>
      </w:r>
      <w:r>
        <w:rPr>
          <w:rFonts w:hint="eastAsia" w:ascii="宋体" w:hAnsi="宋体" w:cs="宋体"/>
          <w:color w:val="000000"/>
          <w:szCs w:val="21"/>
          <w:lang w:val="en-US" w:eastAsia="zh-CN"/>
        </w:rPr>
        <w:t>了</w:t>
      </w:r>
      <w:r>
        <w:rPr>
          <w:rFonts w:hint="eastAsia" w:ascii="宋体" w:hAnsi="宋体" w:eastAsia="宋体" w:cs="宋体"/>
          <w:color w:val="000000"/>
          <w:szCs w:val="21"/>
        </w:rPr>
        <w:t>“术语和定义”（见第3章）；</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增加了“试验报告”（见第</w:t>
      </w:r>
      <w:r>
        <w:rPr>
          <w:rFonts w:hint="eastAsia" w:ascii="宋体" w:hAnsi="宋体" w:cs="宋体"/>
          <w:color w:val="000000"/>
          <w:szCs w:val="21"/>
          <w:lang w:val="en-US" w:eastAsia="zh-CN"/>
        </w:rPr>
        <w:t>6</w:t>
      </w:r>
      <w:r>
        <w:rPr>
          <w:rFonts w:hint="eastAsia" w:ascii="宋体" w:hAnsi="宋体" w:eastAsia="宋体" w:cs="宋体"/>
          <w:color w:val="000000"/>
          <w:szCs w:val="21"/>
        </w:rPr>
        <w:t>章）；</w:t>
      </w:r>
    </w:p>
    <w:p>
      <w:pPr>
        <w:widowControl/>
        <w:numPr>
          <w:ilvl w:val="0"/>
          <w:numId w:val="9"/>
        </w:numPr>
        <w:autoSpaceDE w:val="0"/>
        <w:autoSpaceDN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删去了“石墨套坩埚示意图”（见</w:t>
      </w:r>
      <w:r>
        <w:rPr>
          <w:rFonts w:hint="eastAsia" w:ascii="宋体" w:hAnsi="宋体" w:cs="宋体"/>
          <w:color w:val="000000"/>
          <w:szCs w:val="21"/>
          <w:lang w:eastAsia="zh-CN"/>
        </w:rPr>
        <w:t>2008年版</w:t>
      </w:r>
      <w:r>
        <w:rPr>
          <w:rFonts w:hint="eastAsia" w:ascii="宋体" w:hAnsi="宋体" w:eastAsia="宋体" w:cs="宋体"/>
          <w:color w:val="000000"/>
          <w:szCs w:val="21"/>
        </w:rPr>
        <w:t>的</w:t>
      </w:r>
      <w:r>
        <w:rPr>
          <w:rFonts w:hint="eastAsia" w:ascii="宋体" w:hAnsi="宋体" w:cs="宋体"/>
          <w:color w:val="000000"/>
          <w:szCs w:val="21"/>
          <w:lang w:val="en-US" w:eastAsia="zh-CN"/>
        </w:rPr>
        <w:t>图1</w:t>
      </w:r>
      <w:r>
        <w:rPr>
          <w:rFonts w:hint="eastAsia" w:ascii="宋体" w:hAnsi="宋体" w:eastAsia="宋体" w:cs="宋体"/>
          <w:color w:val="000000"/>
          <w:szCs w:val="21"/>
        </w:rPr>
        <w:t>）</w:t>
      </w:r>
      <w:r>
        <w:rPr>
          <w:rFonts w:hint="eastAsia" w:ascii="宋体" w:hAnsi="宋体" w:cs="宋体"/>
          <w:color w:val="000000"/>
          <w:szCs w:val="21"/>
          <w:lang w:eastAsia="zh-CN"/>
        </w:rPr>
        <w:t>；</w:t>
      </w:r>
    </w:p>
    <w:p>
      <w:pPr>
        <w:widowControl/>
        <w:numPr>
          <w:ilvl w:val="0"/>
          <w:numId w:val="9"/>
        </w:numPr>
        <w:autoSpaceDE w:val="0"/>
        <w:autoSpaceDN w:val="0"/>
        <w:ind w:firstLine="420" w:firstLineChars="200"/>
        <w:rPr>
          <w:rFonts w:ascii="宋体" w:hAnsi="宋体" w:cs="宋体"/>
          <w:color w:val="000000"/>
          <w:szCs w:val="21"/>
        </w:rPr>
      </w:pPr>
      <w:r>
        <w:rPr>
          <w:rFonts w:hint="eastAsia" w:ascii="宋体" w:hAnsi="宋体" w:eastAsia="宋体" w:cs="宋体"/>
          <w:color w:val="000000"/>
          <w:szCs w:val="21"/>
        </w:rPr>
        <w:t>删去了“仪器示意图”（见</w:t>
      </w:r>
      <w:r>
        <w:rPr>
          <w:rFonts w:hint="eastAsia" w:ascii="宋体" w:hAnsi="宋体" w:cs="宋体"/>
          <w:color w:val="000000"/>
          <w:szCs w:val="21"/>
          <w:lang w:eastAsia="zh-CN"/>
        </w:rPr>
        <w:t>2008年版</w:t>
      </w:r>
      <w:r>
        <w:rPr>
          <w:rFonts w:hint="eastAsia" w:ascii="宋体" w:hAnsi="宋体" w:eastAsia="宋体" w:cs="宋体"/>
          <w:color w:val="000000"/>
          <w:szCs w:val="21"/>
        </w:rPr>
        <w:t>的</w:t>
      </w:r>
      <w:r>
        <w:rPr>
          <w:rFonts w:hint="eastAsia" w:ascii="宋体" w:hAnsi="宋体" w:cs="宋体"/>
          <w:color w:val="000000"/>
          <w:szCs w:val="21"/>
          <w:lang w:val="en-US" w:eastAsia="zh-CN"/>
        </w:rPr>
        <w:t>图2</w:t>
      </w:r>
      <w:r>
        <w:rPr>
          <w:rFonts w:hint="eastAsia" w:ascii="宋体" w:hAnsi="宋体" w:eastAsia="宋体" w:cs="宋体"/>
          <w:color w:val="000000"/>
          <w:szCs w:val="21"/>
        </w:rPr>
        <w:t>）；</w:t>
      </w:r>
    </w:p>
    <w:p>
      <w:pPr>
        <w:widowControl/>
        <w:numPr>
          <w:ilvl w:val="0"/>
          <w:numId w:val="9"/>
        </w:numPr>
        <w:autoSpaceDE w:val="0"/>
        <w:autoSpaceDN w:val="0"/>
        <w:ind w:firstLine="420" w:firstLineChars="200"/>
        <w:rPr>
          <w:rFonts w:ascii="宋体" w:hAnsi="宋体" w:cs="宋体"/>
          <w:color w:val="000000"/>
          <w:szCs w:val="21"/>
        </w:rPr>
      </w:pPr>
      <w:r>
        <w:rPr>
          <w:rFonts w:hint="eastAsia" w:ascii="宋体" w:hAnsi="宋体" w:eastAsia="宋体" w:cs="宋体"/>
          <w:color w:val="000000"/>
          <w:szCs w:val="21"/>
        </w:rPr>
        <w:t>删去了“质量保证和控制”（见</w:t>
      </w:r>
      <w:r>
        <w:rPr>
          <w:rFonts w:hint="eastAsia" w:ascii="宋体" w:hAnsi="宋体" w:cs="宋体"/>
          <w:color w:val="000000"/>
          <w:szCs w:val="21"/>
          <w:lang w:eastAsia="zh-CN"/>
        </w:rPr>
        <w:t>2008年版</w:t>
      </w:r>
      <w:r>
        <w:rPr>
          <w:rFonts w:hint="eastAsia" w:ascii="宋体" w:hAnsi="宋体" w:eastAsia="宋体" w:cs="宋体"/>
          <w:color w:val="000000"/>
          <w:szCs w:val="21"/>
        </w:rPr>
        <w:t>的第9章）</w:t>
      </w:r>
      <w:r>
        <w:rPr>
          <w:rFonts w:hint="eastAsia" w:ascii="宋体" w:hAnsi="宋体" w:cs="宋体"/>
          <w:color w:val="000000"/>
          <w:szCs w:val="21"/>
          <w:lang w:eastAsia="zh-CN"/>
        </w:rPr>
        <w:t>。</w:t>
      </w:r>
    </w:p>
    <w:p>
      <w:pPr>
        <w:ind w:firstLine="420" w:firstLineChars="200"/>
        <w:rPr>
          <w:color w:val="000000"/>
          <w:szCs w:val="21"/>
        </w:rPr>
      </w:pPr>
      <w:r>
        <w:rPr>
          <w:color w:val="0D0D0D" w:themeColor="text1" w:themeTint="F2"/>
          <w:szCs w:val="21"/>
          <w14:textFill>
            <w14:solidFill>
              <w14:schemeClr w14:val="tx1">
                <w14:lumMod w14:val="95000"/>
                <w14:lumOff w14:val="5000"/>
              </w14:schemeClr>
            </w14:solidFill>
          </w14:textFill>
        </w:rPr>
        <w:t>请注意本文件的某些内容可能涉及专利。本文件的发布机构</w:t>
      </w:r>
      <w:r>
        <w:rPr>
          <w:color w:val="000000"/>
          <w:szCs w:val="21"/>
        </w:rPr>
        <w:t>不承担识别专利的责任。</w:t>
      </w:r>
    </w:p>
    <w:p>
      <w:pPr>
        <w:widowControl/>
        <w:autoSpaceDE w:val="0"/>
        <w:autoSpaceDN w:val="0"/>
        <w:ind w:firstLine="420" w:firstLineChars="200"/>
        <w:rPr>
          <w:rFonts w:ascii="宋体" w:hAnsi="宋体" w:cs="宋体"/>
          <w:color w:val="000000"/>
          <w:szCs w:val="21"/>
        </w:rPr>
      </w:pPr>
      <w:r>
        <w:rPr>
          <w:color w:val="000000"/>
          <w:szCs w:val="21"/>
        </w:rPr>
        <w:t>本</w:t>
      </w:r>
      <w:r>
        <w:rPr>
          <w:rFonts w:hint="eastAsia"/>
          <w:color w:val="000000"/>
          <w:szCs w:val="21"/>
        </w:rPr>
        <w:t>文件由中</w:t>
      </w:r>
      <w:r>
        <w:rPr>
          <w:color w:val="000000"/>
          <w:szCs w:val="21"/>
        </w:rPr>
        <w:t>国有色金属</w:t>
      </w:r>
      <w:r>
        <w:rPr>
          <w:rFonts w:hint="eastAsia"/>
          <w:color w:val="000000"/>
          <w:szCs w:val="21"/>
        </w:rPr>
        <w:t>工业协</w:t>
      </w:r>
      <w:r>
        <w:rPr>
          <w:rFonts w:hint="eastAsia" w:ascii="宋体" w:hAnsi="宋体" w:cs="宋体"/>
          <w:color w:val="000000"/>
          <w:szCs w:val="21"/>
        </w:rPr>
        <w:t>会提出。</w:t>
      </w:r>
    </w:p>
    <w:p>
      <w:pPr>
        <w:widowControl/>
        <w:autoSpaceDE w:val="0"/>
        <w:autoSpaceDN w:val="0"/>
        <w:ind w:firstLine="420" w:firstLineChars="200"/>
        <w:rPr>
          <w:rFonts w:ascii="宋体" w:hAnsi="宋体" w:cs="宋体"/>
          <w:color w:val="000000"/>
          <w:szCs w:val="21"/>
        </w:rPr>
      </w:pPr>
      <w:r>
        <w:rPr>
          <w:rFonts w:hint="eastAsia" w:ascii="宋体" w:hAnsi="宋体" w:cs="宋体"/>
          <w:color w:val="000000"/>
          <w:szCs w:val="21"/>
        </w:rPr>
        <w:t>本文件由全国有色金属标准化技术委员会（SAC/TC 243）归口</w:t>
      </w:r>
      <w:r>
        <w:rPr>
          <w:color w:val="000000"/>
          <w:szCs w:val="21"/>
        </w:rPr>
        <w:t>。</w:t>
      </w:r>
    </w:p>
    <w:p>
      <w:pPr>
        <w:widowControl/>
        <w:autoSpaceDE w:val="0"/>
        <w:autoSpaceDN w:val="0"/>
        <w:ind w:firstLine="420" w:firstLineChars="200"/>
        <w:rPr>
          <w:rFonts w:hint="eastAsia" w:eastAsia="宋体"/>
          <w:color w:val="000000"/>
          <w:szCs w:val="21"/>
          <w:lang w:eastAsia="zh-CN"/>
        </w:rPr>
      </w:pPr>
      <w:r>
        <w:rPr>
          <w:rFonts w:ascii="Times New Roman" w:hAnsi="Times New Roman"/>
          <w:color w:val="auto"/>
        </w:rPr>
        <w:t>本</w:t>
      </w:r>
      <w:r>
        <w:rPr>
          <w:rFonts w:hint="eastAsia" w:ascii="Times New Roman" w:hAnsi="Times New Roman"/>
          <w:color w:val="auto"/>
        </w:rPr>
        <w:t>文件</w:t>
      </w:r>
      <w:r>
        <w:rPr>
          <w:rFonts w:ascii="Times New Roman" w:hAnsi="Times New Roman"/>
          <w:color w:val="auto"/>
        </w:rPr>
        <w:t>起草单位：</w:t>
      </w:r>
      <w:r>
        <w:rPr>
          <w:rFonts w:hint="eastAsia"/>
          <w:color w:val="000000"/>
          <w:szCs w:val="21"/>
        </w:rPr>
        <w:t>中铝洛阳铜加工有限公司、中国船舶重工集团公司第七二五研究所（洛阳船舶材料研究所）、金川集团股份有限公司</w:t>
      </w:r>
      <w:r>
        <w:rPr>
          <w:rFonts w:hint="eastAsia" w:ascii="Times New Roman" w:hAnsi="Times New Roman" w:cs="Times New Roman"/>
          <w:lang w:val="en-US" w:eastAsia="zh-CN"/>
        </w:rPr>
        <w:t>、中国有色金属工业标准计量质量研究所、山东中金岭南铜业有限责任公司、国标(北京）检验认证有限公司、广东省工业分析检测中心、</w:t>
      </w:r>
      <w:r>
        <w:rPr>
          <w:rFonts w:hint="eastAsia"/>
          <w:color w:val="000000"/>
          <w:szCs w:val="21"/>
        </w:rPr>
        <w:t>绍兴市质量技术监督检测院</w:t>
      </w:r>
      <w:r>
        <w:rPr>
          <w:rFonts w:hint="eastAsia"/>
          <w:color w:val="000000"/>
          <w:szCs w:val="21"/>
          <w:lang w:eastAsia="zh-CN"/>
        </w:rPr>
        <w:t>、</w:t>
      </w:r>
      <w:r>
        <w:rPr>
          <w:rFonts w:hint="eastAsia" w:ascii="Times New Roman" w:hAnsi="Times New Roman" w:cs="Times New Roman"/>
          <w:lang w:val="en-US" w:eastAsia="zh-CN"/>
        </w:rPr>
        <w:t>云南铜业股份有限公司、中铝材料应用研究院有限公司苏州分公司、上海有色金属工业技术监测中心有限公司、</w:t>
      </w:r>
      <w:r>
        <w:rPr>
          <w:rFonts w:hint="eastAsia" w:ascii="Times New Roman" w:hAnsi="Times New Roman" w:cs="Times New Roman"/>
        </w:rPr>
        <w:t>中色正锐（山东）铜业有限公司</w:t>
      </w:r>
      <w:r>
        <w:rPr>
          <w:rFonts w:hint="eastAsia" w:ascii="Times New Roman" w:hAnsi="Times New Roman" w:cs="Times New Roman"/>
          <w:lang w:eastAsia="zh-CN"/>
        </w:rPr>
        <w:t>、</w:t>
      </w:r>
      <w:r>
        <w:rPr>
          <w:rFonts w:hint="eastAsia" w:ascii="Times New Roman" w:hAnsi="Times New Roman" w:cs="Times New Roman"/>
          <w:lang w:val="en-US" w:eastAsia="zh-CN"/>
        </w:rPr>
        <w:t>聊城市产品质量监督检验所、山东品冠检测技术服务有限公司。</w:t>
      </w:r>
    </w:p>
    <w:p>
      <w:pPr>
        <w:widowControl/>
        <w:autoSpaceDE w:val="0"/>
        <w:autoSpaceDN w:val="0"/>
        <w:ind w:firstLine="420" w:firstLineChars="200"/>
        <w:rPr>
          <w:rFonts w:hint="default"/>
          <w:color w:val="000000"/>
          <w:szCs w:val="21"/>
          <w:lang w:val="en-US"/>
        </w:rPr>
      </w:pPr>
      <w:r>
        <w:rPr>
          <w:rFonts w:ascii="Times New Roman" w:hAnsi="Times New Roman"/>
          <w:color w:val="auto"/>
        </w:rPr>
        <w:t>本</w:t>
      </w:r>
      <w:r>
        <w:rPr>
          <w:rFonts w:hint="eastAsia" w:ascii="Times New Roman" w:hAnsi="Times New Roman"/>
          <w:color w:val="auto"/>
        </w:rPr>
        <w:t>文件主要</w:t>
      </w:r>
      <w:r>
        <w:rPr>
          <w:rFonts w:ascii="Times New Roman" w:hAnsi="Times New Roman"/>
          <w:color w:val="auto"/>
        </w:rPr>
        <w:t>起草人：</w:t>
      </w:r>
      <w:r>
        <w:rPr>
          <w:rFonts w:hint="eastAsia" w:ascii="宋体" w:hAnsi="宋体" w:cs="宋体"/>
          <w:color w:val="auto"/>
          <w:lang w:val="en-US" w:eastAsia="zh-CN"/>
        </w:rPr>
        <w:t>李绍文、刘攀、张砚博、胡家彦、王士东、韩知为、任民、王长华、庄艾春、程列鑫、员阿朋、冯丹、朱云、郭丽丽、张克、刘光辉、岳好峰、张毅、徐艳燕、袁丽丽、刘若彤、罗铁础、余锡孟、徐晨曦、张惠琳、顾博、唐玉秋、陈倩倩、赵芙蓉、孔洪涛、陈雄飞。</w:t>
      </w:r>
    </w:p>
    <w:p>
      <w:pPr>
        <w:widowControl/>
        <w:autoSpaceDE w:val="0"/>
        <w:autoSpaceDN w:val="0"/>
        <w:ind w:firstLine="420" w:firstLineChars="200"/>
        <w:rPr>
          <w:rFonts w:hint="eastAsia" w:ascii="宋体" w:hAnsi="宋体" w:cs="宋体"/>
          <w:color w:val="auto"/>
          <w:szCs w:val="21"/>
          <w:lang w:val="en-US" w:eastAsia="zh-CN"/>
        </w:rPr>
      </w:pPr>
      <w:r>
        <w:rPr>
          <w:color w:val="auto"/>
          <w:szCs w:val="21"/>
        </w:rPr>
        <w:t>——</w:t>
      </w:r>
      <w:r>
        <w:rPr>
          <w:rFonts w:hint="eastAsia" w:ascii="宋体" w:hAnsi="宋体" w:cs="宋体"/>
          <w:color w:val="auto"/>
          <w:szCs w:val="21"/>
          <w:lang w:val="en-US" w:eastAsia="zh-CN"/>
        </w:rPr>
        <w:t>1985年首次发布为GB 5121.8-1985；</w:t>
      </w:r>
    </w:p>
    <w:p>
      <w:pPr>
        <w:widowControl/>
        <w:autoSpaceDE w:val="0"/>
        <w:autoSpaceDN w:val="0"/>
        <w:ind w:firstLine="420" w:firstLineChars="200"/>
        <w:rPr>
          <w:rFonts w:hint="default" w:ascii="宋体" w:hAnsi="宋体" w:cs="宋体"/>
          <w:color w:val="auto"/>
          <w:szCs w:val="21"/>
          <w:lang w:val="en-US" w:eastAsia="zh-CN"/>
        </w:rPr>
      </w:pPr>
      <w:r>
        <w:rPr>
          <w:color w:val="auto"/>
          <w:szCs w:val="21"/>
        </w:rPr>
        <w:t>——</w:t>
      </w:r>
      <w:r>
        <w:rPr>
          <w:rFonts w:hint="eastAsia" w:ascii="宋体" w:hAnsi="宋体" w:cs="宋体"/>
          <w:color w:val="auto"/>
          <w:szCs w:val="21"/>
          <w:lang w:val="en-US" w:eastAsia="zh-CN"/>
        </w:rPr>
        <w:t>1996年为第一次修订；</w:t>
      </w:r>
    </w:p>
    <w:p>
      <w:pPr>
        <w:ind w:firstLine="420" w:firstLineChars="200"/>
        <w:rPr>
          <w:rFonts w:hint="eastAsia" w:ascii="宋体" w:hAnsi="宋体" w:cs="宋体"/>
          <w:color w:val="auto"/>
          <w:szCs w:val="21"/>
          <w:lang w:val="en-US" w:eastAsia="zh-CN"/>
        </w:rPr>
      </w:pPr>
      <w:r>
        <w:rPr>
          <w:color w:val="auto"/>
          <w:szCs w:val="21"/>
        </w:rPr>
        <w:t>——</w:t>
      </w:r>
      <w:r>
        <w:rPr>
          <w:rFonts w:hint="eastAsia" w:ascii="宋体" w:hAnsi="宋体" w:cs="宋体"/>
          <w:color w:val="auto"/>
          <w:szCs w:val="21"/>
          <w:lang w:val="en-US" w:eastAsia="zh-CN"/>
        </w:rPr>
        <w:t>2008年为第二次修订；</w:t>
      </w:r>
    </w:p>
    <w:p>
      <w:pPr>
        <w:ind w:firstLine="420" w:firstLineChars="200"/>
        <w:rPr>
          <w:rFonts w:hint="eastAsia" w:ascii="宋体" w:hAnsi="宋体" w:eastAsia="宋体" w:cs="宋体"/>
          <w:color w:val="000000"/>
          <w:szCs w:val="21"/>
        </w:rPr>
      </w:pPr>
      <w:r>
        <w:rPr>
          <w:color w:val="auto"/>
          <w:szCs w:val="21"/>
        </w:rPr>
        <w:t>——</w:t>
      </w:r>
      <w:r>
        <w:rPr>
          <w:rFonts w:hint="eastAsia" w:ascii="宋体" w:hAnsi="宋体" w:cs="宋体"/>
          <w:color w:val="auto"/>
          <w:szCs w:val="21"/>
          <w:lang w:val="en-US" w:eastAsia="zh-CN"/>
        </w:rPr>
        <w:t>本次为第三次修订。</w:t>
      </w:r>
    </w:p>
    <w:p>
      <w:pPr>
        <w:ind w:firstLine="420" w:firstLineChars="200"/>
        <w:rPr>
          <w:color w:val="000000"/>
          <w:szCs w:val="21"/>
        </w:rPr>
      </w:pPr>
      <w:r>
        <w:rPr>
          <w:color w:val="000000"/>
          <w:szCs w:val="21"/>
        </w:rPr>
        <w:br w:type="page"/>
      </w:r>
    </w:p>
    <w:p>
      <w:pPr>
        <w:pStyle w:val="57"/>
        <w:rPr>
          <w:rFonts w:hAnsi="黑体"/>
          <w:color w:val="000000"/>
          <w:kern w:val="2"/>
          <w:szCs w:val="32"/>
        </w:rPr>
      </w:pPr>
      <w:r>
        <w:rPr>
          <w:rFonts w:hint="eastAsia" w:hAnsi="黑体"/>
          <w:color w:val="000000"/>
          <w:kern w:val="2"/>
          <w:szCs w:val="32"/>
        </w:rPr>
        <w:t>引　　</w:t>
      </w:r>
      <w:r>
        <w:rPr>
          <w:rFonts w:hAnsi="黑体"/>
          <w:color w:val="000000"/>
          <w:kern w:val="2"/>
          <w:szCs w:val="32"/>
        </w:rPr>
        <w:t>言</w:t>
      </w:r>
    </w:p>
    <w:p>
      <w:pPr>
        <w:ind w:firstLine="420" w:firstLineChars="200"/>
        <w:rPr>
          <w:color w:val="000000"/>
          <w:szCs w:val="21"/>
        </w:rPr>
      </w:pPr>
      <w:r>
        <w:rPr>
          <w:rFonts w:hint="eastAsia"/>
          <w:color w:val="000000"/>
          <w:szCs w:val="21"/>
        </w:rPr>
        <w:t>铜及铜合金以其优良的导电、导热和耐腐蚀性能，以及良好的力学性能和加工成型性，广泛应用于电力、电子、交通、舰船、机械、石油化工等领域。</w:t>
      </w:r>
      <w:r>
        <w:rPr>
          <w:rFonts w:hint="eastAsia" w:ascii="宋体" w:hAnsi="宋体" w:cs="宋体"/>
          <w:color w:val="000000"/>
          <w:szCs w:val="21"/>
        </w:rPr>
        <w:t>GB/T 5121</w:t>
      </w:r>
      <w:r>
        <w:rPr>
          <w:rFonts w:hint="eastAsia"/>
          <w:color w:val="000000"/>
          <w:szCs w:val="21"/>
        </w:rPr>
        <w:t>旨在通过实验研究建立一套完整、切实可行且适应于铜及铜合金产品研发、生产和贸易需求的化学成分分析的方法标准，以</w:t>
      </w:r>
      <w:r>
        <w:rPr>
          <w:rFonts w:hint="eastAsia"/>
          <w:color w:val="0D0D0D" w:themeColor="text1" w:themeTint="F2"/>
          <w:szCs w:val="21"/>
          <w14:textFill>
            <w14:solidFill>
              <w14:schemeClr w14:val="tx1">
                <w14:lumMod w14:val="95000"/>
                <w14:lumOff w14:val="5000"/>
              </w14:schemeClr>
            </w14:solidFill>
          </w14:textFill>
        </w:rPr>
        <w:t>在行业内形成统一的测试评价方法，增加检测结果的可靠性和可比性。</w:t>
      </w:r>
      <w:r>
        <w:rPr>
          <w:rFonts w:hint="eastAsia"/>
          <w:color w:val="000000"/>
          <w:szCs w:val="21"/>
        </w:rPr>
        <w:t>限于文件篇幅、使用需求、适用范围以及各分析方法之间的技术独立性等方面原因，</w:t>
      </w:r>
      <w:r>
        <w:rPr>
          <w:rFonts w:hint="eastAsia" w:ascii="宋体" w:hAnsi="宋体" w:cs="宋体"/>
          <w:color w:val="000000"/>
          <w:szCs w:val="21"/>
        </w:rPr>
        <w:t>GB/T 5121拟由2</w:t>
      </w:r>
      <w:r>
        <w:rPr>
          <w:rFonts w:ascii="宋体" w:hAnsi="宋体" w:cs="宋体"/>
          <w:color w:val="000000"/>
          <w:szCs w:val="21"/>
        </w:rPr>
        <w:t>9</w:t>
      </w:r>
      <w:r>
        <w:rPr>
          <w:rFonts w:hint="eastAsia" w:ascii="宋体" w:hAnsi="宋体" w:cs="宋体"/>
          <w:color w:val="000000"/>
          <w:szCs w:val="21"/>
        </w:rPr>
        <w:t>个部分组成。</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——第1部分：铜含量的测定。目的在于确立铜含量的测定方法。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——第2部分：磷含量的测定。目的在于确立磷含量的测定方法。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——第3部分：铅含量的测定。目的在于确立铅含量的测定方法。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——第4部分：碳、硫量的测定。目的在于确立碳、硫含量的测定方法。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——第5部分：镍含量的测定。目的在于确立镍含量的测定方法。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——第6部分：铋含量的测定。目的在于确立铋含量的测定方法。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——第7部分：砷含量的测定。目的在于确立砷含量的测定方法。</w:t>
      </w:r>
    </w:p>
    <w:p>
      <w:pPr>
        <w:spacing w:line="312"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——第8部分：氧、氮、氢含量的测定。目的在于确立氧、氮、氢含量的测定方法。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——第9部分：铁含量的测定。目的在于确立铁含量的测定方法。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——第10部分：锡含量的测定。目的在于确立锡含量的测定方法。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——第11部分：锌含量的测定。目的在于确立锌含量的测定方法。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——第12部分：锑含量的测定。目的在于确立锑含量的测定方法。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——第13部分：铝含量的测定。目的在于确立铝含量的测定方法。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——第14部分：锰含量的测定。目的在于确立锰含量的测定方法。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——第15部分：钴含量的测定。目的在于确立钴含量的测定方法。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——第16部分：铬含量的测定。目的在于确立铬含量的测定方法。</w:t>
      </w:r>
    </w:p>
    <w:p>
      <w:pPr>
        <w:widowControl/>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——第17部分：铍含量的测定。目的在于确立铍含量的测定方法。</w:t>
      </w:r>
    </w:p>
    <w:p>
      <w:pPr>
        <w:widowControl/>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——第18部分：镁含量的测定。目的在于确立镁含量的测定方法。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——第19部分：银含量的测定。目的在于确立银含量的测定方法。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——第20部分：锆含量的测定。目的在于确立锆含量的测定方法。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——第21部分：钛含量的测定。目的在于确立钛含量的测定方法。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——第22部分：镉含量的测定。目的在于确立镉含量的测定方法。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——第23部分：硅含量的测定。目的在于确立硅含量的测定方法。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——第24部分：硒、碲含量的测定。目的在于确立硒、碲含量的测定方法。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——第25部分：硼含量的测定。目的在于确立硼含量的测定方法。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——第26部分：汞含量的测定。目的在于确立汞含量的测定方法。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27部分：电感耦合等离子体原子发射光谱法。目的在于确立铜及铜合金中磷、银、铋、锑、砷、铁、镍、铅、锡、硫、锌、锰、镉、硒、碲、铝、硅、钴、钛、镁、铍、锆、铬、硼、汞的电感耦合等离子体原子发射光谱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——第28部分：铬、铁、锰、钴、镍、锌、砷、硒、银、镉、锡、锑、碲、铅、铋量的测定　电感耦合等离子体质谱法。目的在于确立铜及铜合金中铬、铁、锰、钴、镍、锌、砷、硒、银、镉、锡、锑、碲、铅、铋的电感耦合等离子体质谱测定方法。</w:t>
      </w:r>
    </w:p>
    <w:p>
      <w:pPr>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——第29部分：三氧化二铝含量的测定。目的在于确定弥散铜中三氧化二铝的测定方法。</w:t>
      </w:r>
    </w:p>
    <w:p>
      <w:pPr>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GB/T 5121.8-2008发布实施已有十余年，已不能完全适用于高纯铜、弥散铜等铜及铜合金产品现行质量监控要求。如GB/T 5231-2022《加工铜及铜合金牌号和化学成分》新增了TUAl0.15、TUAl0.25、TUAl0.35、TUAl0.60四个弥散铜产品指标，其氧含量为0.12%～0.59%；工业和信息化部印发的《重点新材料首批次应用示范指导目录》（2019年版、2021年版）规定超高纯铜锭或超高纯铜电解板中碳、氮、氢、硫、氧气体元素含量不大于0.0005%。GB/T 5121.8-2008未能包括氮、氢的测定方法，未覆盖上述产品中高含量氧的测定范围，已无法满足铜行业上下游客户对产品中气体元素的检测要求。鉴于此，很有必要对GB/T 5121.8-2008进行修订。确保该标准适应行业变化和满足市场需求。</w:t>
      </w:r>
    </w:p>
    <w:p>
      <w:pPr>
        <w:ind w:firstLine="420" w:firstLineChars="200"/>
        <w:rPr>
          <w:color w:val="000000"/>
          <w:szCs w:val="21"/>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本文件充分考虑了目前铜及铜合金生产、研发、应用和检测的实际需求，通过增加氮</w:t>
      </w:r>
      <w:r>
        <w:rPr>
          <w:rFonts w:hint="eastAsia"/>
          <w:color w:val="0D0D0D" w:themeColor="text1" w:themeTint="F2"/>
          <w:szCs w:val="21"/>
          <w14:textFill>
            <w14:solidFill>
              <w14:schemeClr w14:val="tx1">
                <w14:lumMod w14:val="95000"/>
                <w14:lumOff w14:val="5000"/>
              </w14:schemeClr>
            </w14:solidFill>
          </w14:textFill>
        </w:rPr>
        <w:t>、氢元素的测定方法，扩大氧元素的测定范围，进一步提高了标准的适用性，规范了铜及铜合金中氧、氮、氢元素的试验步骤，提高了各机构检测数据之间的可靠性和可比性，在提升铜合金产品质量，助力我国铜及铜合金产业发展方面具有重要意义。</w:t>
      </w:r>
    </w:p>
    <w:p>
      <w:pPr>
        <w:adjustRightInd w:val="0"/>
        <w:snapToGrid w:val="0"/>
        <w:jc w:val="center"/>
        <w:outlineLvl w:val="0"/>
        <w:rPr>
          <w:rFonts w:hint="eastAsia" w:ascii="黑体" w:hAnsi="黑体" w:eastAsia="黑体"/>
          <w:color w:val="000000"/>
          <w:sz w:val="32"/>
          <w:szCs w:val="32"/>
        </w:rPr>
      </w:pPr>
      <w:bookmarkStart w:id="2" w:name="_Toc231057302"/>
    </w:p>
    <w:p>
      <w:pPr>
        <w:adjustRightInd w:val="0"/>
        <w:snapToGrid w:val="0"/>
        <w:jc w:val="center"/>
        <w:outlineLvl w:val="0"/>
        <w:rPr>
          <w:rFonts w:hint="eastAsia" w:ascii="黑体" w:hAnsi="黑体" w:eastAsia="黑体"/>
          <w:color w:val="000000"/>
          <w:sz w:val="32"/>
          <w:szCs w:val="32"/>
        </w:rPr>
        <w:sectPr>
          <w:headerReference r:id="rId8" w:type="default"/>
          <w:footerReference r:id="rId10" w:type="default"/>
          <w:headerReference r:id="rId9" w:type="even"/>
          <w:footerReference r:id="rId11" w:type="even"/>
          <w:pgSz w:w="11907" w:h="16840"/>
          <w:pgMar w:top="1418" w:right="1134" w:bottom="1134" w:left="1418" w:header="1134" w:footer="992" w:gutter="0"/>
          <w:pgBorders>
            <w:top w:val="none" w:sz="0" w:space="0"/>
            <w:left w:val="none" w:sz="0" w:space="0"/>
            <w:bottom w:val="none" w:sz="0" w:space="0"/>
            <w:right w:val="none" w:sz="0" w:space="0"/>
          </w:pgBorders>
          <w:pgNumType w:fmt="upperRoman" w:start="1"/>
          <w:cols w:space="720" w:num="1"/>
          <w:docGrid w:type="lines" w:linePitch="324" w:charSpace="0"/>
        </w:sectPr>
      </w:pPr>
    </w:p>
    <w:p>
      <w:pPr>
        <w:adjustRightInd w:val="0"/>
        <w:snapToGrid w:val="0"/>
        <w:jc w:val="both"/>
        <w:outlineLvl w:val="0"/>
        <w:rPr>
          <w:rFonts w:hint="eastAsia" w:ascii="黑体" w:hAnsi="黑体" w:eastAsia="黑体"/>
          <w:color w:val="000000"/>
          <w:sz w:val="32"/>
          <w:szCs w:val="32"/>
        </w:rPr>
      </w:pPr>
    </w:p>
    <w:p>
      <w:pPr>
        <w:adjustRightInd w:val="0"/>
        <w:snapToGrid w:val="0"/>
        <w:jc w:val="center"/>
        <w:outlineLvl w:val="0"/>
        <w:rPr>
          <w:rFonts w:ascii="黑体" w:hAnsi="黑体" w:eastAsia="黑体"/>
          <w:color w:val="000000"/>
          <w:sz w:val="32"/>
          <w:szCs w:val="32"/>
        </w:rPr>
      </w:pPr>
      <w:r>
        <w:rPr>
          <w:rFonts w:hint="eastAsia" w:ascii="黑体" w:hAnsi="黑体" w:eastAsia="黑体"/>
          <w:color w:val="000000"/>
          <w:sz w:val="32"/>
          <w:szCs w:val="32"/>
        </w:rPr>
        <w:t>铜</w:t>
      </w:r>
      <w:r>
        <w:rPr>
          <w:rFonts w:ascii="黑体" w:hAnsi="黑体" w:eastAsia="黑体"/>
          <w:color w:val="000000"/>
          <w:sz w:val="32"/>
          <w:szCs w:val="32"/>
        </w:rPr>
        <w:t>及</w:t>
      </w:r>
      <w:r>
        <w:rPr>
          <w:rFonts w:hint="eastAsia" w:ascii="黑体" w:hAnsi="黑体" w:eastAsia="黑体"/>
          <w:color w:val="000000"/>
          <w:sz w:val="32"/>
          <w:szCs w:val="32"/>
        </w:rPr>
        <w:t>铜合金</w:t>
      </w:r>
      <w:r>
        <w:rPr>
          <w:rFonts w:ascii="黑体" w:hAnsi="黑体" w:eastAsia="黑体"/>
          <w:color w:val="000000"/>
          <w:sz w:val="32"/>
          <w:szCs w:val="32"/>
        </w:rPr>
        <w:t>化学分析方法</w:t>
      </w:r>
    </w:p>
    <w:p>
      <w:pPr>
        <w:adjustRightInd w:val="0"/>
        <w:snapToGrid w:val="0"/>
        <w:jc w:val="center"/>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val="en-US" w:eastAsia="zh-CN"/>
        </w:rPr>
        <w:t>8</w:t>
      </w:r>
      <w:r>
        <w:rPr>
          <w:rFonts w:ascii="黑体" w:hAnsi="黑体" w:eastAsia="黑体"/>
          <w:color w:val="000000"/>
          <w:sz w:val="32"/>
          <w:szCs w:val="32"/>
        </w:rPr>
        <w:t>部分：</w:t>
      </w:r>
      <w:r>
        <w:rPr>
          <w:rFonts w:hint="eastAsia" w:ascii="黑体" w:hAnsi="黑体" w:eastAsia="黑体"/>
          <w:color w:val="000000"/>
          <w:sz w:val="32"/>
          <w:szCs w:val="32"/>
          <w:lang w:eastAsia="zh-CN"/>
        </w:rPr>
        <w:t>氧、氮、</w:t>
      </w:r>
      <w:r>
        <w:rPr>
          <w:rFonts w:hint="eastAsia" w:ascii="黑体" w:hAnsi="黑体" w:eastAsia="黑体"/>
          <w:color w:val="000000"/>
          <w:sz w:val="32"/>
          <w:szCs w:val="32"/>
        </w:rPr>
        <w:t>氢含量</w:t>
      </w:r>
      <w:r>
        <w:rPr>
          <w:rFonts w:ascii="黑体" w:hAnsi="黑体" w:eastAsia="黑体"/>
          <w:color w:val="000000"/>
          <w:sz w:val="32"/>
          <w:szCs w:val="32"/>
        </w:rPr>
        <w:t>的测定</w:t>
      </w:r>
    </w:p>
    <w:bookmarkEnd w:id="2"/>
    <w:p>
      <w:pPr>
        <w:widowControl/>
        <w:numPr>
          <w:ilvl w:val="1"/>
          <w:numId w:val="0"/>
        </w:numPr>
        <w:spacing w:before="486" w:beforeLines="150" w:after="486" w:afterLines="150"/>
        <w:outlineLvl w:val="0"/>
        <w:rPr>
          <w:rFonts w:eastAsia="黑体"/>
          <w:kern w:val="0"/>
          <w:szCs w:val="20"/>
        </w:rPr>
      </w:pPr>
      <w:r>
        <w:rPr>
          <w:rFonts w:hint="eastAsia" w:ascii="黑体" w:hAnsi="宋体" w:eastAsia="黑体"/>
          <w:kern w:val="0"/>
          <w:szCs w:val="20"/>
        </w:rPr>
        <w:t>1  范围</w:t>
      </w:r>
    </w:p>
    <w:p>
      <w:pPr>
        <w:pStyle w:val="67"/>
        <w:ind w:firstLine="420"/>
        <w:rPr>
          <w:rFonts w:hint="eastAsia" w:ascii="宋体" w:hAnsi="宋体" w:eastAsia="宋体" w:cs="宋体"/>
        </w:rPr>
      </w:pPr>
      <w:r>
        <w:rPr>
          <w:rFonts w:hint="eastAsia" w:ascii="宋体" w:hAnsi="宋体" w:eastAsia="宋体" w:cs="宋体"/>
        </w:rPr>
        <w:t>本文件描述了</w:t>
      </w:r>
      <w:r>
        <w:rPr>
          <w:rFonts w:hint="eastAsia" w:ascii="宋体" w:hAnsi="宋体" w:eastAsia="宋体" w:cs="宋体"/>
          <w:bCs/>
        </w:rPr>
        <w:t>铜及铜合金中氧、氮、氢含量的测定方法</w:t>
      </w:r>
      <w:r>
        <w:rPr>
          <w:rFonts w:hint="eastAsia" w:ascii="宋体" w:hAnsi="宋体" w:eastAsia="宋体" w:cs="宋体"/>
        </w:rPr>
        <w:t>，包括惰性气体熔融-红外吸收法/热导法测定氧、氮含量和惰性气体熔融-红外吸收法或热导法测定氢含量。</w:t>
      </w:r>
    </w:p>
    <w:p>
      <w:pPr>
        <w:pStyle w:val="67"/>
        <w:ind w:firstLine="420"/>
        <w:rPr>
          <w:rFonts w:hint="default" w:ascii="宋体" w:hAnsi="宋体" w:eastAsia="宋体" w:cs="宋体"/>
          <w:lang w:val="en-US" w:eastAsia="zh-CN"/>
        </w:rPr>
      </w:pPr>
      <w:r>
        <w:rPr>
          <w:rFonts w:hint="eastAsia" w:ascii="宋体" w:hAnsi="宋体" w:eastAsia="宋体" w:cs="宋体"/>
        </w:rPr>
        <w:t>本文件适用于铜及铜合金中</w:t>
      </w:r>
      <w:r>
        <w:rPr>
          <w:rFonts w:hint="eastAsia" w:ascii="宋体" w:hAnsi="宋体" w:eastAsia="宋体" w:cs="宋体"/>
          <w:bCs/>
        </w:rPr>
        <w:t>氧、氮、</w:t>
      </w:r>
      <w:r>
        <w:rPr>
          <w:rFonts w:hint="eastAsia" w:ascii="宋体" w:hAnsi="宋体" w:eastAsia="宋体" w:cs="宋体"/>
        </w:rPr>
        <w:t>氢含量的测定，其中方法一适用于铜及铜合金中氧、氮含量的单独测定或同时测定，方法二适用于铜及铜合金中氢含量的测定。测定范围（质量分数）为氧：0.00030%～0.60%，氮：0.00010%～0.050%，氢：0.00005%～0.0010%。</w:t>
      </w:r>
      <w:r>
        <w:rPr>
          <w:rFonts w:hint="eastAsia" w:hAnsi="宋体" w:cs="宋体"/>
          <w:lang w:val="en-US" w:eastAsia="zh-CN"/>
        </w:rPr>
        <w:t>由于</w:t>
      </w:r>
      <w:r>
        <w:rPr>
          <w:rFonts w:hint="eastAsia" w:ascii="宋体" w:hAnsi="宋体" w:eastAsia="宋体" w:cs="宋体"/>
          <w:lang w:val="en-US" w:eastAsia="zh-CN"/>
        </w:rPr>
        <w:t>在分析过程中会产生大量粉尘，堵塞仪器气路，影响检测结果</w:t>
      </w:r>
      <w:r>
        <w:rPr>
          <w:rFonts w:hint="eastAsia" w:hAnsi="宋体" w:cs="宋体"/>
          <w:lang w:val="en-US" w:eastAsia="zh-CN"/>
        </w:rPr>
        <w:t>，</w:t>
      </w:r>
      <w:r>
        <w:rPr>
          <w:rFonts w:hint="eastAsia" w:ascii="宋体" w:hAnsi="宋体" w:eastAsia="宋体" w:cs="宋体"/>
          <w:lang w:val="en-US" w:eastAsia="zh-CN"/>
        </w:rPr>
        <w:t>本文件</w:t>
      </w:r>
      <w:r>
        <w:rPr>
          <w:rFonts w:hint="eastAsia" w:hAnsi="宋体" w:cs="宋体"/>
          <w:lang w:val="en-US" w:eastAsia="zh-CN"/>
        </w:rPr>
        <w:t>不适用</w:t>
      </w:r>
      <w:r>
        <w:rPr>
          <w:rFonts w:hint="eastAsia" w:ascii="宋体" w:hAnsi="宋体" w:eastAsia="宋体" w:cs="宋体"/>
          <w:lang w:val="en-US" w:eastAsia="zh-CN"/>
        </w:rPr>
        <w:t>于锌含量大于1.0%的铜及铜合金。</w:t>
      </w:r>
    </w:p>
    <w:p>
      <w:pPr>
        <w:widowControl/>
        <w:numPr>
          <w:ilvl w:val="1"/>
          <w:numId w:val="0"/>
        </w:numPr>
        <w:spacing w:before="486" w:beforeLines="150" w:after="486" w:afterLines="150"/>
        <w:outlineLvl w:val="0"/>
        <w:rPr>
          <w:rFonts w:ascii="黑体" w:hAnsi="宋体" w:eastAsia="黑体"/>
          <w:kern w:val="0"/>
          <w:szCs w:val="20"/>
        </w:rPr>
      </w:pPr>
      <w:r>
        <w:rPr>
          <w:rFonts w:hint="eastAsia" w:ascii="黑体" w:hAnsi="宋体" w:eastAsia="黑体"/>
          <w:kern w:val="0"/>
          <w:szCs w:val="20"/>
        </w:rPr>
        <w:t>2  规范性引用文件</w:t>
      </w:r>
    </w:p>
    <w:p>
      <w:pPr>
        <w:widowControl/>
        <w:numPr>
          <w:ilvl w:val="1"/>
          <w:numId w:val="0"/>
        </w:numPr>
        <w:ind w:firstLine="420" w:firstLineChars="200"/>
        <w:outlineLvl w:val="1"/>
        <w:rPr>
          <w:kern w:val="0"/>
          <w:szCs w:val="20"/>
        </w:rPr>
      </w:pPr>
      <w:r>
        <w:rPr>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numPr>
          <w:ilvl w:val="1"/>
          <w:numId w:val="0"/>
        </w:numPr>
        <w:ind w:firstLine="420" w:firstLineChars="200"/>
        <w:outlineLvl w:val="1"/>
        <w:rPr>
          <w:rFonts w:hint="eastAsia" w:ascii="宋体" w:hAnsi="宋体" w:eastAsia="宋体" w:cs="宋体"/>
          <w:kern w:val="0"/>
          <w:szCs w:val="20"/>
        </w:rPr>
      </w:pPr>
      <w:r>
        <w:rPr>
          <w:rFonts w:hint="eastAsia" w:ascii="宋体" w:hAnsi="宋体" w:eastAsia="宋体" w:cs="宋体"/>
          <w:kern w:val="0"/>
          <w:szCs w:val="20"/>
        </w:rPr>
        <w:t>GB/T　6682　分析实验室用水规格和试验方法</w:t>
      </w:r>
    </w:p>
    <w:p>
      <w:pPr>
        <w:widowControl/>
        <w:numPr>
          <w:ilvl w:val="1"/>
          <w:numId w:val="0"/>
        </w:numPr>
        <w:ind w:firstLine="420" w:firstLineChars="200"/>
        <w:outlineLvl w:val="1"/>
        <w:rPr>
          <w:rFonts w:hint="eastAsia" w:ascii="宋体" w:hAnsi="宋体" w:eastAsia="宋体" w:cs="宋体"/>
          <w:kern w:val="0"/>
          <w:szCs w:val="20"/>
        </w:rPr>
      </w:pPr>
      <w:r>
        <w:rPr>
          <w:rFonts w:hint="eastAsia" w:ascii="宋体" w:hAnsi="宋体" w:eastAsia="宋体" w:cs="宋体"/>
          <w:kern w:val="0"/>
          <w:szCs w:val="20"/>
        </w:rPr>
        <w:t>YS/T　668　铜及铜合金理化检测取样方法</w:t>
      </w:r>
    </w:p>
    <w:p>
      <w:pPr>
        <w:widowControl/>
        <w:numPr>
          <w:ilvl w:val="1"/>
          <w:numId w:val="0"/>
        </w:numPr>
        <w:spacing w:before="486" w:beforeLines="150" w:after="486" w:afterLines="150"/>
        <w:outlineLvl w:val="0"/>
        <w:rPr>
          <w:rFonts w:hint="eastAsia" w:ascii="黑体" w:hAnsi="宋体" w:eastAsia="黑体"/>
          <w:kern w:val="0"/>
          <w:szCs w:val="20"/>
          <w:lang w:val="en-US" w:eastAsia="zh-CN"/>
        </w:rPr>
      </w:pPr>
      <w:r>
        <w:rPr>
          <w:rFonts w:hint="eastAsia" w:ascii="黑体" w:hAnsi="宋体" w:eastAsia="黑体"/>
          <w:kern w:val="0"/>
          <w:szCs w:val="20"/>
          <w:lang w:val="en-US" w:eastAsia="zh-CN"/>
        </w:rPr>
        <w:t>3　术语和定义</w:t>
      </w:r>
    </w:p>
    <w:p>
      <w:pPr>
        <w:widowControl/>
        <w:numPr>
          <w:ilvl w:val="1"/>
          <w:numId w:val="0"/>
        </w:numPr>
        <w:ind w:firstLine="420" w:firstLineChars="200"/>
        <w:outlineLvl w:val="1"/>
        <w:rPr>
          <w:rFonts w:hint="eastAsia" w:ascii="宋体" w:hAnsi="宋体" w:eastAsia="宋体" w:cs="宋体"/>
          <w:kern w:val="0"/>
          <w:szCs w:val="20"/>
        </w:rPr>
      </w:pPr>
      <w:r>
        <w:rPr>
          <w:rFonts w:hint="eastAsia" w:ascii="宋体" w:hAnsi="宋体" w:eastAsia="宋体" w:cs="宋体"/>
          <w:kern w:val="0"/>
          <w:szCs w:val="20"/>
        </w:rPr>
        <w:t>本文件没有需要界定的术语和定义。</w:t>
      </w:r>
    </w:p>
    <w:p>
      <w:pPr>
        <w:widowControl/>
        <w:numPr>
          <w:ilvl w:val="1"/>
          <w:numId w:val="0"/>
        </w:numPr>
        <w:spacing w:before="486" w:beforeLines="150" w:after="486" w:afterLines="150"/>
        <w:outlineLvl w:val="0"/>
        <w:rPr>
          <w:rFonts w:hint="eastAsia" w:ascii="黑体" w:hAnsi="宋体" w:eastAsia="黑体"/>
          <w:kern w:val="0"/>
          <w:szCs w:val="20"/>
          <w:lang w:val="en-US" w:eastAsia="zh-CN"/>
        </w:rPr>
      </w:pPr>
      <w:r>
        <w:rPr>
          <w:rFonts w:hint="eastAsia" w:ascii="黑体" w:hAnsi="宋体" w:eastAsia="黑体"/>
          <w:kern w:val="0"/>
          <w:szCs w:val="20"/>
          <w:lang w:eastAsia="zh-CN"/>
        </w:rPr>
        <w:t>4</w:t>
      </w:r>
      <w:r>
        <w:rPr>
          <w:rFonts w:hint="eastAsia" w:ascii="黑体" w:hAnsi="宋体" w:eastAsia="黑体"/>
          <w:kern w:val="0"/>
          <w:szCs w:val="20"/>
        </w:rPr>
        <w:t xml:space="preserve">  </w:t>
      </w:r>
      <w:r>
        <w:rPr>
          <w:rFonts w:hint="eastAsia" w:ascii="黑体" w:hAnsi="宋体" w:eastAsia="黑体"/>
          <w:kern w:val="0"/>
          <w:szCs w:val="20"/>
          <w:lang w:eastAsia="zh-CN"/>
        </w:rPr>
        <w:t>方法一</w:t>
      </w:r>
      <w:r>
        <w:rPr>
          <w:rFonts w:hint="eastAsia" w:ascii="黑体" w:hAnsi="宋体" w:eastAsia="黑体"/>
          <w:kern w:val="0"/>
          <w:szCs w:val="20"/>
          <w:lang w:val="en-US" w:eastAsia="zh-CN"/>
        </w:rPr>
        <w:t>:惰性气体熔融-红外吸收法/热导法测定氧、氮含量</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4.1 原理</w:t>
      </w:r>
    </w:p>
    <w:p>
      <w:pPr>
        <w:widowControl/>
        <w:numPr>
          <w:ilvl w:val="1"/>
          <w:numId w:val="0"/>
        </w:numPr>
        <w:spacing w:before="156" w:after="156"/>
        <w:ind w:firstLine="420" w:firstLineChars="200"/>
        <w:outlineLvl w:val="1"/>
        <w:rPr>
          <w:rFonts w:hint="eastAsia" w:eastAsia="宋体"/>
          <w:kern w:val="0"/>
          <w:szCs w:val="20"/>
          <w:lang w:eastAsia="zh-CN"/>
        </w:rPr>
      </w:pPr>
      <w:r>
        <w:rPr>
          <w:rFonts w:hint="eastAsia"/>
          <w:kern w:val="0"/>
          <w:szCs w:val="20"/>
        </w:rPr>
        <w:t>将制</w:t>
      </w:r>
      <w:r>
        <w:rPr>
          <w:rFonts w:hint="eastAsia" w:ascii="宋体" w:hAnsi="宋体" w:eastAsia="宋体" w:cs="宋体"/>
          <w:kern w:val="0"/>
          <w:szCs w:val="20"/>
        </w:rPr>
        <w:t>备好的试料置于石墨坩埚中</w:t>
      </w:r>
      <w:r>
        <w:rPr>
          <w:rFonts w:hint="eastAsia" w:ascii="宋体" w:hAnsi="宋体" w:eastAsia="宋体" w:cs="宋体"/>
          <w:kern w:val="0"/>
          <w:szCs w:val="20"/>
          <w:lang w:eastAsia="zh-CN"/>
        </w:rPr>
        <w:t>（需要时添加助熔剂）</w:t>
      </w:r>
      <w:r>
        <w:rPr>
          <w:rFonts w:hint="eastAsia" w:ascii="宋体" w:hAnsi="宋体" w:eastAsia="宋体" w:cs="宋体"/>
          <w:kern w:val="0"/>
          <w:szCs w:val="20"/>
        </w:rPr>
        <w:t>，在惰性气氛下加热</w:t>
      </w:r>
      <w:r>
        <w:rPr>
          <w:rFonts w:hint="eastAsia" w:ascii="宋体" w:hAnsi="宋体" w:eastAsia="宋体" w:cs="宋体"/>
          <w:kern w:val="0"/>
          <w:szCs w:val="20"/>
          <w:lang w:eastAsia="zh-CN"/>
        </w:rPr>
        <w:t>熔融</w:t>
      </w:r>
      <w:r>
        <w:rPr>
          <w:rFonts w:hint="eastAsia" w:ascii="宋体" w:hAnsi="宋体" w:eastAsia="宋体" w:cs="宋体"/>
          <w:kern w:val="0"/>
          <w:szCs w:val="20"/>
        </w:rPr>
        <w:t>，</w:t>
      </w:r>
      <w:r>
        <w:rPr>
          <w:rFonts w:hint="eastAsia" w:ascii="宋体" w:hAnsi="宋体" w:eastAsia="宋体" w:cs="宋体"/>
          <w:kern w:val="0"/>
          <w:szCs w:val="20"/>
          <w:lang w:eastAsia="zh-CN"/>
        </w:rPr>
        <w:t>释放出氧和氮。其中</w:t>
      </w:r>
      <w:r>
        <w:rPr>
          <w:rFonts w:hint="eastAsia" w:ascii="宋体" w:hAnsi="宋体" w:eastAsia="宋体" w:cs="宋体"/>
          <w:szCs w:val="21"/>
        </w:rPr>
        <w:t>氧以一氧化碳析出或随同</w:t>
      </w:r>
      <w:r>
        <w:rPr>
          <w:rFonts w:hint="eastAsia" w:ascii="宋体" w:hAnsi="宋体" w:eastAsia="宋体" w:cs="宋体"/>
          <w:szCs w:val="21"/>
          <w:lang w:eastAsia="zh-CN"/>
        </w:rPr>
        <w:t>惰性气体</w:t>
      </w:r>
      <w:r>
        <w:rPr>
          <w:rFonts w:hint="eastAsia" w:ascii="宋体" w:hAnsi="宋体" w:eastAsia="宋体" w:cs="宋体"/>
          <w:szCs w:val="21"/>
        </w:rPr>
        <w:t>通过400℃的稀土氧化铜炉，使一氧化碳氧化成二氧化碳，</w:t>
      </w:r>
      <w:r>
        <w:rPr>
          <w:rFonts w:hint="eastAsia" w:ascii="宋体" w:hAnsi="宋体" w:eastAsia="宋体" w:cs="宋体"/>
          <w:szCs w:val="21"/>
          <w:lang w:eastAsia="zh-CN"/>
        </w:rPr>
        <w:t>二氧化碳和部分一氧化碳</w:t>
      </w:r>
      <w:r>
        <w:rPr>
          <w:rFonts w:hint="eastAsia" w:ascii="宋体" w:hAnsi="宋体" w:eastAsia="宋体" w:cs="宋体"/>
          <w:szCs w:val="21"/>
        </w:rPr>
        <w:t>导入红外检测器进行测定</w:t>
      </w:r>
      <w:r>
        <w:rPr>
          <w:rFonts w:hint="eastAsia" w:ascii="宋体" w:hAnsi="宋体" w:eastAsia="宋体" w:cs="宋体"/>
          <w:kern w:val="0"/>
          <w:szCs w:val="20"/>
        </w:rPr>
        <w:t>计算机系统根据样品质量和信号强度计算</w:t>
      </w:r>
      <w:r>
        <w:rPr>
          <w:rFonts w:hint="eastAsia" w:ascii="宋体" w:hAnsi="宋体" w:eastAsia="宋体" w:cs="宋体"/>
          <w:kern w:val="0"/>
          <w:szCs w:val="20"/>
          <w:lang w:eastAsia="zh-CN"/>
        </w:rPr>
        <w:t>氧</w:t>
      </w:r>
      <w:r>
        <w:rPr>
          <w:rFonts w:hint="eastAsia" w:ascii="宋体" w:hAnsi="宋体" w:eastAsia="宋体" w:cs="宋体"/>
          <w:kern w:val="0"/>
          <w:szCs w:val="20"/>
        </w:rPr>
        <w:t>含量</w:t>
      </w:r>
      <w:r>
        <w:rPr>
          <w:rFonts w:hint="eastAsia" w:ascii="宋体" w:hAnsi="宋体" w:eastAsia="宋体" w:cs="宋体"/>
          <w:szCs w:val="21"/>
        </w:rPr>
        <w:t>。</w:t>
      </w:r>
      <w:r>
        <w:rPr>
          <w:rFonts w:hint="eastAsia" w:ascii="宋体" w:hAnsi="宋体" w:eastAsia="宋体" w:cs="宋体"/>
          <w:kern w:val="0"/>
          <w:szCs w:val="20"/>
          <w:lang w:eastAsia="zh-CN"/>
        </w:rPr>
        <w:t>气路中的一氧化碳、二氧化碳及水被吸收分离后，氮气由</w:t>
      </w:r>
      <w:r>
        <w:rPr>
          <w:rFonts w:hint="eastAsia" w:ascii="宋体" w:hAnsi="宋体" w:cs="宋体"/>
          <w:kern w:val="0"/>
          <w:szCs w:val="20"/>
          <w:lang w:eastAsia="zh-CN"/>
        </w:rPr>
        <w:t>惰性</w:t>
      </w:r>
      <w:r>
        <w:rPr>
          <w:rFonts w:hint="eastAsia" w:ascii="宋体" w:hAnsi="宋体" w:eastAsia="宋体" w:cs="宋体"/>
          <w:kern w:val="0"/>
          <w:szCs w:val="20"/>
          <w:lang w:eastAsia="zh-CN"/>
        </w:rPr>
        <w:t>载气流导入热导</w:t>
      </w:r>
      <w:r>
        <w:rPr>
          <w:rFonts w:hint="eastAsia" w:ascii="宋体" w:hAnsi="宋体" w:eastAsia="宋体" w:cs="宋体"/>
          <w:kern w:val="0"/>
          <w:szCs w:val="20"/>
        </w:rPr>
        <w:t>检测器输出信号，计算机系统根据样品质量和信号强度计算</w:t>
      </w:r>
      <w:r>
        <w:rPr>
          <w:rFonts w:hint="eastAsia" w:ascii="宋体" w:hAnsi="宋体" w:eastAsia="宋体" w:cs="宋体"/>
          <w:kern w:val="0"/>
          <w:szCs w:val="20"/>
          <w:lang w:eastAsia="zh-CN"/>
        </w:rPr>
        <w:t>氮</w:t>
      </w:r>
      <w:r>
        <w:rPr>
          <w:rFonts w:hint="eastAsia" w:ascii="宋体" w:hAnsi="宋体" w:eastAsia="宋体" w:cs="宋体"/>
          <w:kern w:val="0"/>
          <w:szCs w:val="20"/>
        </w:rPr>
        <w:t>含量</w:t>
      </w:r>
      <w:r>
        <w:rPr>
          <w:rFonts w:hint="eastAsia"/>
          <w:kern w:val="0"/>
          <w:szCs w:val="20"/>
        </w:rPr>
        <w:t>。</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4.2  试剂或材料</w:t>
      </w:r>
    </w:p>
    <w:p>
      <w:pPr>
        <w:keepNext w:val="0"/>
        <w:keepLines w:val="0"/>
        <w:pageBreakBefore w:val="0"/>
        <w:widowControl/>
        <w:numPr>
          <w:ilvl w:val="1"/>
          <w:numId w:val="0"/>
        </w:numPr>
        <w:kinsoku/>
        <w:wordWrap/>
        <w:overflowPunct/>
        <w:topLinePunct w:val="0"/>
        <w:autoSpaceDE/>
        <w:autoSpaceDN/>
        <w:bidi w:val="0"/>
        <w:adjustRightInd/>
        <w:snapToGrid/>
        <w:spacing w:before="163" w:beforeLines="50" w:after="163" w:afterLines="50"/>
        <w:ind w:firstLine="420" w:firstLineChars="200"/>
        <w:textAlignment w:val="auto"/>
        <w:outlineLvl w:val="2"/>
        <w:rPr>
          <w:rFonts w:hint="eastAsia" w:ascii="黑体" w:hAnsi="宋体" w:eastAsia="黑体"/>
          <w:kern w:val="0"/>
          <w:szCs w:val="20"/>
        </w:rPr>
      </w:pPr>
      <w:r>
        <w:rPr>
          <w:rFonts w:hint="eastAsia" w:ascii="宋体" w:hAnsi="宋体" w:eastAsia="宋体" w:cs="宋体"/>
          <w:kern w:val="0"/>
          <w:szCs w:val="20"/>
        </w:rPr>
        <w:t>除非另有说明，在分析中仅使用确认为分析纯的试剂和符合GB/T 6682规定的二级水</w:t>
      </w:r>
      <w:r>
        <w:rPr>
          <w:rFonts w:hint="eastAsia" w:ascii="黑体" w:hAnsi="宋体" w:eastAsia="黑体"/>
          <w:kern w:val="0"/>
          <w:szCs w:val="20"/>
        </w:rPr>
        <w:t>。</w:t>
      </w:r>
    </w:p>
    <w:p>
      <w:pPr>
        <w:pStyle w:val="89"/>
        <w:numPr>
          <w:ilvl w:val="1"/>
          <w:numId w:val="0"/>
        </w:numPr>
        <w:jc w:val="left"/>
        <w:rPr>
          <w:rFonts w:ascii="Times New Roman" w:eastAsia="宋体"/>
        </w:rPr>
      </w:pPr>
      <w:r>
        <w:rPr>
          <w:rFonts w:hint="eastAsia" w:ascii="黑体" w:hAnsi="黑体" w:eastAsia="黑体" w:cs="黑体"/>
        </w:rPr>
        <w:t>4.2.1</w:t>
      </w:r>
      <w:r>
        <w:rPr>
          <w:rFonts w:ascii="Times New Roman" w:eastAsia="宋体"/>
        </w:rPr>
        <w:t>　硝酸</w:t>
      </w:r>
      <w:r>
        <w:rPr>
          <w:rFonts w:hint="eastAsia" w:ascii="宋体" w:hAnsi="宋体" w:eastAsia="宋体" w:cs="宋体"/>
        </w:rPr>
        <w:t>（ρ1.69g/mL）</w:t>
      </w:r>
      <w:r>
        <w:rPr>
          <w:rFonts w:ascii="Times New Roman" w:eastAsia="宋体"/>
        </w:rPr>
        <w:t>。</w:t>
      </w:r>
    </w:p>
    <w:p>
      <w:pPr>
        <w:pStyle w:val="89"/>
        <w:numPr>
          <w:ilvl w:val="1"/>
          <w:numId w:val="0"/>
        </w:numPr>
        <w:jc w:val="left"/>
        <w:rPr>
          <w:rFonts w:ascii="Times New Roman" w:eastAsia="宋体"/>
        </w:rPr>
      </w:pPr>
      <w:r>
        <w:rPr>
          <w:rFonts w:hint="eastAsia" w:ascii="黑体" w:hAnsi="黑体" w:eastAsia="黑体" w:cs="黑体"/>
        </w:rPr>
        <w:t>4.2.2</w:t>
      </w:r>
      <w:r>
        <w:rPr>
          <w:rFonts w:ascii="Times New Roman" w:eastAsia="宋体"/>
        </w:rPr>
        <w:t>　磷酸</w:t>
      </w:r>
      <w:r>
        <w:rPr>
          <w:rFonts w:hint="eastAsia" w:ascii="宋体" w:hAnsi="宋体" w:eastAsia="宋体" w:cs="宋体"/>
        </w:rPr>
        <w:t>（ρ1.42g/mL）。</w:t>
      </w:r>
    </w:p>
    <w:p>
      <w:pPr>
        <w:pStyle w:val="89"/>
        <w:numPr>
          <w:ilvl w:val="1"/>
          <w:numId w:val="0"/>
        </w:numPr>
        <w:jc w:val="left"/>
        <w:rPr>
          <w:rFonts w:ascii="Times New Roman" w:eastAsia="宋体"/>
        </w:rPr>
      </w:pPr>
      <w:r>
        <w:rPr>
          <w:rFonts w:hint="eastAsia" w:ascii="黑体" w:hAnsi="黑体" w:eastAsia="黑体" w:cs="黑体"/>
        </w:rPr>
        <w:t>4.2.3</w:t>
      </w:r>
      <w:r>
        <w:rPr>
          <w:rFonts w:ascii="Times New Roman" w:eastAsia="宋体"/>
        </w:rPr>
        <w:t>　冰乙酸</w:t>
      </w:r>
      <w:r>
        <w:rPr>
          <w:rFonts w:hint="eastAsia" w:ascii="宋体" w:hAnsi="宋体" w:eastAsia="宋体" w:cs="宋体"/>
        </w:rPr>
        <w:t>（ρ1.05g/mL）。</w:t>
      </w:r>
    </w:p>
    <w:p>
      <w:pPr>
        <w:pStyle w:val="89"/>
        <w:numPr>
          <w:ilvl w:val="1"/>
          <w:numId w:val="0"/>
        </w:numPr>
        <w:jc w:val="left"/>
        <w:rPr>
          <w:rFonts w:ascii="Times New Roman" w:eastAsia="宋体"/>
        </w:rPr>
      </w:pPr>
      <w:r>
        <w:rPr>
          <w:rFonts w:hint="eastAsia" w:ascii="黑体" w:hAnsi="黑体" w:eastAsia="黑体" w:cs="黑体"/>
        </w:rPr>
        <w:t>4.2.4</w:t>
      </w:r>
      <w:r>
        <w:rPr>
          <w:rFonts w:ascii="Times New Roman" w:eastAsia="宋体"/>
        </w:rPr>
        <w:t>　无水乙醇或丙酮。</w:t>
      </w:r>
    </w:p>
    <w:p>
      <w:pPr>
        <w:rPr>
          <w:kern w:val="0"/>
          <w:szCs w:val="20"/>
        </w:rPr>
      </w:pPr>
      <w:r>
        <w:rPr>
          <w:rFonts w:hint="eastAsia" w:ascii="黑体" w:hAnsi="黑体" w:eastAsia="黑体" w:cs="黑体"/>
          <w:kern w:val="0"/>
          <w:szCs w:val="20"/>
        </w:rPr>
        <w:t>4.2.5</w:t>
      </w:r>
      <w:r>
        <w:rPr>
          <w:kern w:val="0"/>
          <w:szCs w:val="20"/>
        </w:rPr>
        <w:t>　混合酸：硝酸</w:t>
      </w:r>
      <w:r>
        <w:rPr>
          <w:rFonts w:hint="eastAsia" w:ascii="宋体" w:hAnsi="宋体" w:eastAsia="宋体" w:cs="宋体"/>
          <w:kern w:val="0"/>
          <w:szCs w:val="20"/>
        </w:rPr>
        <w:t>（4.2.1）、磷酸（4.2.2）、冰乙酸（4.2.3）按体积比10：28：62混匀</w:t>
      </w:r>
      <w:r>
        <w:rPr>
          <w:kern w:val="0"/>
          <w:szCs w:val="20"/>
        </w:rPr>
        <w:t>。</w:t>
      </w:r>
    </w:p>
    <w:p>
      <w:pPr>
        <w:rPr>
          <w:kern w:val="0"/>
          <w:szCs w:val="20"/>
        </w:rPr>
      </w:pPr>
      <w:r>
        <w:rPr>
          <w:rFonts w:hint="eastAsia" w:ascii="黑体" w:hAnsi="黑体" w:eastAsia="黑体" w:cs="黑体"/>
          <w:kern w:val="0"/>
          <w:szCs w:val="20"/>
        </w:rPr>
        <w:t>4.2.6</w:t>
      </w:r>
      <w:r>
        <w:rPr>
          <w:kern w:val="0"/>
          <w:szCs w:val="20"/>
        </w:rPr>
        <w:t>　标准物质/标准样品：铜及铜合金中氧、氮标准物质/标准样品，或其他适用的标准物质/标准样品。</w:t>
      </w:r>
    </w:p>
    <w:p>
      <w:pPr>
        <w:rPr>
          <w:kern w:val="0"/>
          <w:szCs w:val="20"/>
        </w:rPr>
      </w:pPr>
      <w:r>
        <w:rPr>
          <w:rFonts w:hint="eastAsia" w:ascii="黑体" w:hAnsi="黑体" w:eastAsia="黑体" w:cs="黑体"/>
          <w:kern w:val="0"/>
          <w:szCs w:val="20"/>
        </w:rPr>
        <w:t>4.2.7</w:t>
      </w:r>
      <w:r>
        <w:rPr>
          <w:kern w:val="0"/>
          <w:szCs w:val="20"/>
        </w:rPr>
        <w:t>　镍篮</w:t>
      </w:r>
      <w:r>
        <w:rPr>
          <w:rFonts w:hint="eastAsia" w:ascii="宋体" w:hAnsi="宋体" w:eastAsia="宋体" w:cs="宋体"/>
          <w:kern w:val="0"/>
          <w:szCs w:val="20"/>
        </w:rPr>
        <w:t>：1</w:t>
      </w:r>
      <w:r>
        <w:rPr>
          <w:rFonts w:hint="eastAsia" w:ascii="宋体" w:hAnsi="宋体" w:eastAsia="宋体" w:cs="宋体"/>
          <w:kern w:val="0"/>
          <w:szCs w:val="20"/>
          <w:vertAlign w:val="subscript"/>
        </w:rPr>
        <w:t xml:space="preserve"> </w:t>
      </w:r>
      <w:r>
        <w:rPr>
          <w:rFonts w:hint="eastAsia" w:ascii="宋体" w:hAnsi="宋体" w:eastAsia="宋体" w:cs="宋体"/>
          <w:kern w:val="0"/>
          <w:szCs w:val="20"/>
        </w:rPr>
        <w:t>g，纯度不小于99.9%，氧不大于0.0010%，氮不大于0.0002%。使用前宜按以下操作进行表面清洗：使用混合酸（4.2.</w:t>
      </w:r>
      <w:r>
        <w:rPr>
          <w:rFonts w:hint="eastAsia" w:ascii="宋体" w:hAnsi="宋体" w:cs="宋体"/>
          <w:kern w:val="0"/>
          <w:szCs w:val="20"/>
          <w:lang w:val="en-US" w:eastAsia="zh-CN"/>
        </w:rPr>
        <w:t>5</w:t>
      </w:r>
      <w:r>
        <w:rPr>
          <w:rFonts w:hint="eastAsia" w:ascii="宋体" w:hAnsi="宋体" w:eastAsia="宋体" w:cs="宋体"/>
          <w:kern w:val="0"/>
          <w:szCs w:val="20"/>
        </w:rPr>
        <w:t>）浸泡5 min后迅速取出用流水冲洗2 min～3 min，经无水乙醇或丙酮（4.2.</w:t>
      </w:r>
      <w:r>
        <w:rPr>
          <w:rFonts w:hint="eastAsia" w:ascii="宋体" w:hAnsi="宋体" w:cs="宋体"/>
          <w:kern w:val="0"/>
          <w:szCs w:val="20"/>
          <w:lang w:val="en-US" w:eastAsia="zh-CN"/>
        </w:rPr>
        <w:t>4</w:t>
      </w:r>
      <w:r>
        <w:rPr>
          <w:rFonts w:hint="eastAsia" w:ascii="宋体" w:hAnsi="宋体" w:eastAsia="宋体" w:cs="宋体"/>
          <w:kern w:val="0"/>
          <w:szCs w:val="20"/>
        </w:rPr>
        <w:t>）清洗后浸泡于新的无水乙醇或丙酮（4.2.</w:t>
      </w:r>
      <w:r>
        <w:rPr>
          <w:rFonts w:hint="eastAsia" w:ascii="宋体" w:hAnsi="宋体" w:cs="宋体"/>
          <w:kern w:val="0"/>
          <w:szCs w:val="20"/>
          <w:lang w:val="en-US" w:eastAsia="zh-CN"/>
        </w:rPr>
        <w:t>4</w:t>
      </w:r>
      <w:r>
        <w:rPr>
          <w:rFonts w:hint="eastAsia" w:ascii="宋体" w:hAnsi="宋体" w:eastAsia="宋体" w:cs="宋体"/>
          <w:kern w:val="0"/>
          <w:szCs w:val="20"/>
        </w:rPr>
        <w:t>）中备用。使用时取出用冷风吹干。</w:t>
      </w:r>
    </w:p>
    <w:p>
      <w:pPr>
        <w:pStyle w:val="89"/>
        <w:numPr>
          <w:ilvl w:val="1"/>
          <w:numId w:val="0"/>
        </w:numPr>
        <w:jc w:val="left"/>
        <w:rPr>
          <w:rFonts w:ascii="Times New Roman" w:eastAsia="宋体"/>
        </w:rPr>
      </w:pPr>
      <w:r>
        <w:rPr>
          <w:rFonts w:hint="eastAsia" w:ascii="黑体" w:hAnsi="黑体" w:eastAsia="黑体" w:cs="黑体"/>
        </w:rPr>
        <w:t>4.2.8</w:t>
      </w:r>
      <w:r>
        <w:rPr>
          <w:rFonts w:ascii="Times New Roman" w:eastAsia="宋体"/>
        </w:rPr>
        <w:t>　高纯氦（</w:t>
      </w:r>
      <w:r>
        <w:rPr>
          <w:rFonts w:hint="eastAsia" w:ascii="宋体" w:hAnsi="宋体" w:eastAsia="宋体" w:cs="宋体"/>
        </w:rPr>
        <w:t>或高纯氩）：纯度不小于99.999%</w:t>
      </w:r>
      <w:r>
        <w:rPr>
          <w:rFonts w:ascii="Times New Roman" w:eastAsia="宋体"/>
        </w:rPr>
        <w:t>。</w:t>
      </w:r>
    </w:p>
    <w:p>
      <w:pPr>
        <w:rPr>
          <w:kern w:val="0"/>
          <w:szCs w:val="20"/>
        </w:rPr>
      </w:pPr>
      <w:r>
        <w:rPr>
          <w:rFonts w:hint="eastAsia" w:ascii="黑体" w:hAnsi="黑体" w:eastAsia="黑体" w:cs="黑体"/>
          <w:kern w:val="0"/>
          <w:szCs w:val="20"/>
        </w:rPr>
        <w:t>4.2.9</w:t>
      </w:r>
      <w:r>
        <w:rPr>
          <w:kern w:val="0"/>
          <w:szCs w:val="20"/>
        </w:rPr>
        <w:t>　动力气（氮气、氩气或压缩空气</w:t>
      </w:r>
      <w:r>
        <w:rPr>
          <w:rFonts w:hint="eastAsia" w:ascii="宋体" w:hAnsi="宋体" w:eastAsia="宋体" w:cs="宋体"/>
          <w:kern w:val="0"/>
          <w:szCs w:val="20"/>
        </w:rPr>
        <w:t>）：其杂质（油或水）不大于0.5%</w:t>
      </w:r>
      <w:r>
        <w:rPr>
          <w:kern w:val="0"/>
          <w:szCs w:val="20"/>
        </w:rPr>
        <w:t>。</w:t>
      </w:r>
    </w:p>
    <w:p>
      <w:pPr>
        <w:pStyle w:val="89"/>
        <w:numPr>
          <w:ilvl w:val="1"/>
          <w:numId w:val="0"/>
        </w:numPr>
        <w:jc w:val="left"/>
        <w:rPr>
          <w:rFonts w:hint="eastAsia" w:ascii="宋体" w:hAnsi="宋体" w:eastAsia="宋体" w:cs="宋体"/>
          <w:kern w:val="2"/>
          <w:szCs w:val="24"/>
          <w:lang w:val="en-US" w:eastAsia="zh-CN"/>
        </w:rPr>
      </w:pPr>
      <w:r>
        <w:rPr>
          <w:rFonts w:hint="eastAsia" w:ascii="黑体" w:hAnsi="黑体" w:eastAsia="黑体" w:cs="黑体"/>
        </w:rPr>
        <w:t>4.2.10</w:t>
      </w:r>
      <w:r>
        <w:rPr>
          <w:rFonts w:ascii="Times New Roman" w:eastAsia="宋体"/>
        </w:rPr>
        <w:t>　石墨坩锅：采用高纯或光谱纯石墨加工而成。</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4.3  仪器设备</w:t>
      </w:r>
    </w:p>
    <w:p>
      <w:pPr>
        <w:widowControl/>
        <w:numPr>
          <w:ilvl w:val="1"/>
          <w:numId w:val="0"/>
        </w:numPr>
        <w:ind w:firstLine="420" w:firstLineChars="200"/>
        <w:outlineLvl w:val="1"/>
        <w:rPr>
          <w:szCs w:val="21"/>
        </w:rPr>
      </w:pPr>
      <w:r>
        <w:rPr>
          <w:szCs w:val="21"/>
        </w:rPr>
        <w:t>惰性气体熔融-红外/热导检测系统（包括电极炉、吸尘装置、载气净化及分析气体转化系统、红外检测器和热导检测器、计算机及软件控制系统）。如仅单独检测氧含量或氮含量，也可选用单独配备红外检测器或热导检测器的仪器。</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4.4  样品</w:t>
      </w:r>
    </w:p>
    <w:p>
      <w:pPr>
        <w:widowControl/>
        <w:numPr>
          <w:ilvl w:val="1"/>
          <w:numId w:val="0"/>
        </w:numPr>
        <w:outlineLvl w:val="1"/>
        <w:rPr>
          <w:rFonts w:hint="eastAsia" w:ascii="宋体" w:hAnsi="宋体" w:eastAsia="宋体" w:cs="宋体"/>
          <w:kern w:val="0"/>
          <w:szCs w:val="20"/>
        </w:rPr>
      </w:pPr>
      <w:r>
        <w:rPr>
          <w:rFonts w:hint="eastAsia" w:ascii="黑体" w:hAnsi="黑体" w:eastAsia="黑体" w:cs="黑体"/>
          <w:kern w:val="0"/>
          <w:szCs w:val="20"/>
        </w:rPr>
        <w:t>4.4.1</w:t>
      </w:r>
      <w:r>
        <w:rPr>
          <w:rFonts w:hint="eastAsia" w:ascii="宋体" w:hAnsi="宋体" w:eastAsia="宋体" w:cs="宋体"/>
          <w:kern w:val="0"/>
          <w:szCs w:val="20"/>
        </w:rPr>
        <w:t>　</w:t>
      </w:r>
      <w:r>
        <w:rPr>
          <w:rFonts w:hint="eastAsia" w:ascii="宋体" w:hAnsi="宋体" w:eastAsia="宋体" w:cs="宋体"/>
          <w:szCs w:val="21"/>
        </w:rPr>
        <w:t>按照YS/T 668规定将试样加工成直径</w:t>
      </w:r>
      <w:r>
        <w:rPr>
          <w:rFonts w:hint="eastAsia" w:ascii="宋体" w:hAnsi="宋体" w:eastAsia="宋体" w:cs="宋体"/>
          <w:kern w:val="0"/>
          <w:szCs w:val="20"/>
        </w:rPr>
        <w:t>Ф</w:t>
      </w:r>
      <w:r>
        <w:rPr>
          <w:rFonts w:hint="eastAsia" w:ascii="宋体" w:hAnsi="宋体" w:cs="宋体"/>
          <w:kern w:val="0"/>
          <w:szCs w:val="20"/>
          <w:lang w:val="en-US" w:eastAsia="zh-CN"/>
        </w:rPr>
        <w:t>2</w:t>
      </w:r>
      <w:r>
        <w:rPr>
          <w:rFonts w:hint="eastAsia" w:ascii="宋体" w:hAnsi="宋体" w:eastAsia="宋体" w:cs="宋体"/>
          <w:kern w:val="0"/>
          <w:szCs w:val="20"/>
        </w:rPr>
        <w:t>mm～Ф5mm或截面</w:t>
      </w:r>
      <w:r>
        <w:rPr>
          <w:rFonts w:hint="eastAsia" w:ascii="宋体" w:hAnsi="宋体" w:cs="宋体"/>
          <w:kern w:val="0"/>
          <w:szCs w:val="20"/>
          <w:lang w:val="en-US" w:eastAsia="zh-CN"/>
        </w:rPr>
        <w:t>2</w:t>
      </w:r>
      <w:r>
        <w:rPr>
          <w:rFonts w:hint="eastAsia" w:ascii="宋体" w:hAnsi="宋体" w:eastAsia="宋体" w:cs="宋体"/>
          <w:kern w:val="0"/>
          <w:szCs w:val="20"/>
        </w:rPr>
        <w:t>mm×</w:t>
      </w:r>
      <w:r>
        <w:rPr>
          <w:rFonts w:hint="eastAsia" w:ascii="宋体" w:hAnsi="宋体" w:cs="宋体"/>
          <w:kern w:val="0"/>
          <w:szCs w:val="20"/>
          <w:lang w:val="en-US" w:eastAsia="zh-CN"/>
        </w:rPr>
        <w:t>2</w:t>
      </w:r>
      <w:r>
        <w:rPr>
          <w:rFonts w:hint="eastAsia" w:ascii="宋体" w:hAnsi="宋体" w:eastAsia="宋体" w:cs="宋体"/>
          <w:kern w:val="0"/>
          <w:szCs w:val="20"/>
        </w:rPr>
        <w:t>mm～5mm×5mm、长度大于40mm的圆棒或条状，或其他具有足够尺寸和重量的小块。线材、</w:t>
      </w:r>
      <w:r>
        <w:rPr>
          <w:rFonts w:hint="eastAsia" w:ascii="宋体" w:hAnsi="宋体" w:eastAsia="宋体" w:cs="宋体"/>
          <w:szCs w:val="21"/>
        </w:rPr>
        <w:t>丝材可直接取样。</w:t>
      </w:r>
    </w:p>
    <w:p>
      <w:pPr>
        <w:widowControl/>
        <w:numPr>
          <w:ilvl w:val="1"/>
          <w:numId w:val="0"/>
        </w:numPr>
        <w:outlineLvl w:val="1"/>
        <w:rPr>
          <w:rFonts w:hint="eastAsia" w:ascii="宋体" w:hAnsi="宋体" w:eastAsia="宋体" w:cs="宋体"/>
          <w:kern w:val="0"/>
          <w:szCs w:val="20"/>
        </w:rPr>
      </w:pPr>
      <w:r>
        <w:rPr>
          <w:rFonts w:hint="eastAsia" w:ascii="黑体" w:hAnsi="黑体" w:eastAsia="黑体" w:cs="黑体"/>
          <w:kern w:val="0"/>
          <w:szCs w:val="20"/>
        </w:rPr>
        <w:t>4.4.2</w:t>
      </w:r>
      <w:r>
        <w:rPr>
          <w:rFonts w:hint="eastAsia" w:ascii="宋体" w:hAnsi="宋体" w:eastAsia="宋体" w:cs="宋体"/>
          <w:kern w:val="0"/>
          <w:szCs w:val="20"/>
        </w:rPr>
        <w:t>　采用车床、钢锉去除表面污染或氧化层，暴露出新鲜金属表面。加工时不可过热以防氧化。</w:t>
      </w:r>
    </w:p>
    <w:p>
      <w:pPr>
        <w:widowControl/>
        <w:numPr>
          <w:ilvl w:val="1"/>
          <w:numId w:val="0"/>
        </w:numPr>
        <w:outlineLvl w:val="1"/>
        <w:rPr>
          <w:rFonts w:hint="eastAsia" w:ascii="宋体" w:hAnsi="宋体" w:eastAsia="宋体" w:cs="宋体"/>
          <w:szCs w:val="21"/>
        </w:rPr>
      </w:pPr>
      <w:r>
        <w:rPr>
          <w:rFonts w:hint="eastAsia" w:ascii="黑体" w:hAnsi="黑体" w:eastAsia="黑体" w:cs="黑体"/>
          <w:kern w:val="0"/>
          <w:szCs w:val="20"/>
        </w:rPr>
        <w:t>4.4.3</w:t>
      </w:r>
      <w:r>
        <w:rPr>
          <w:rFonts w:hint="eastAsia" w:ascii="宋体" w:hAnsi="宋体" w:eastAsia="宋体" w:cs="宋体"/>
          <w:kern w:val="0"/>
          <w:szCs w:val="20"/>
        </w:rPr>
        <w:t>　</w:t>
      </w:r>
      <w:r>
        <w:rPr>
          <w:rFonts w:hint="eastAsia" w:ascii="宋体" w:hAnsi="宋体" w:eastAsia="宋体" w:cs="宋体"/>
          <w:szCs w:val="21"/>
        </w:rPr>
        <w:t>用专用钢锉、手锯或断线剪将样品加工成所需的重量，加工后的试样应无气孔、裂纹等肉眼可见的缺陷。</w:t>
      </w:r>
    </w:p>
    <w:p>
      <w:pPr>
        <w:rPr>
          <w:rFonts w:hint="default" w:ascii="宋体" w:hAnsi="宋体" w:eastAsia="宋体" w:cs="宋体"/>
          <w:szCs w:val="21"/>
          <w:lang w:val="en-US" w:eastAsia="zh-CN"/>
        </w:rPr>
      </w:pPr>
      <w:r>
        <w:rPr>
          <w:rFonts w:hint="eastAsia" w:ascii="黑体" w:hAnsi="黑体" w:eastAsia="黑体" w:cs="黑体"/>
          <w:szCs w:val="21"/>
        </w:rPr>
        <w:t>4.4.4</w:t>
      </w:r>
      <w:r>
        <w:rPr>
          <w:rFonts w:hint="eastAsia" w:ascii="宋体" w:hAnsi="宋体" w:eastAsia="宋体" w:cs="宋体"/>
          <w:szCs w:val="21"/>
        </w:rPr>
        <w:t>　将试样置于混合酸（4.2.5）中浸泡10min，取出后迅速用水洗净，再以无水乙醇或丙酮（4.2.4）洗涤，冷风吹干后立即分析。处理好的样品在检测前不能有任何污染，检测过程应使用干净的镊子进行夹取。</w:t>
      </w:r>
      <w:r>
        <w:rPr>
          <w:rFonts w:hint="eastAsia" w:ascii="宋体" w:hAnsi="宋体" w:cs="宋体"/>
          <w:szCs w:val="21"/>
          <w:lang w:val="en-US" w:eastAsia="zh-CN"/>
        </w:rPr>
        <w:t>如</w:t>
      </w:r>
      <w:r>
        <w:rPr>
          <w:rFonts w:hint="eastAsia"/>
          <w:szCs w:val="21"/>
        </w:rPr>
        <w:t>试样</w:t>
      </w:r>
      <w:r>
        <w:rPr>
          <w:rFonts w:hint="eastAsia"/>
          <w:szCs w:val="21"/>
          <w:lang w:val="en-US" w:eastAsia="zh-CN"/>
        </w:rPr>
        <w:t>发生</w:t>
      </w:r>
      <w:r>
        <w:rPr>
          <w:rFonts w:hint="eastAsia" w:ascii="宋体" w:hAnsi="宋体" w:cs="宋体"/>
          <w:szCs w:val="21"/>
          <w:lang w:val="en-US" w:eastAsia="zh-CN"/>
        </w:rPr>
        <w:t>氧化应重复本步骤进行处理。</w:t>
      </w:r>
    </w:p>
    <w:p>
      <w:pPr>
        <w:rPr>
          <w:rFonts w:hint="default" w:ascii="宋体" w:hAnsi="宋体" w:eastAsia="宋体" w:cs="宋体"/>
          <w:szCs w:val="21"/>
          <w:lang w:val="en-US" w:eastAsia="zh-CN"/>
        </w:rPr>
      </w:pPr>
      <w:r>
        <w:rPr>
          <w:rFonts w:hint="eastAsia" w:ascii="黑体" w:hAnsi="黑体" w:eastAsia="黑体" w:cs="黑体"/>
          <w:szCs w:val="21"/>
          <w:lang w:val="en-US" w:eastAsia="zh-CN"/>
        </w:rPr>
        <w:t xml:space="preserve">4.4.5 </w:t>
      </w:r>
      <w:r>
        <w:rPr>
          <w:rFonts w:hint="eastAsia" w:ascii="宋体" w:hAnsi="宋体" w:cs="宋体"/>
          <w:szCs w:val="21"/>
          <w:lang w:val="en-US" w:eastAsia="zh-CN"/>
        </w:rPr>
        <w:t xml:space="preserve"> 如仅检测氮含量，可以选择按4.4.1</w:t>
      </w:r>
      <w:r>
        <w:rPr>
          <w:rFonts w:hint="eastAsia" w:ascii="宋体" w:hAnsi="宋体" w:eastAsia="宋体" w:cs="宋体"/>
          <w:szCs w:val="21"/>
          <w:lang w:val="en-US" w:eastAsia="zh-CN"/>
        </w:rPr>
        <w:t>～</w:t>
      </w:r>
      <w:r>
        <w:rPr>
          <w:rFonts w:hint="eastAsia" w:ascii="宋体" w:hAnsi="宋体" w:cs="宋体"/>
          <w:szCs w:val="21"/>
          <w:lang w:val="en-US" w:eastAsia="zh-CN"/>
        </w:rPr>
        <w:t>4.4.4操作或按YS/T 668将试样制备成屑状进行分析。</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4.5  试验步骤</w:t>
      </w:r>
    </w:p>
    <w:p>
      <w:pPr>
        <w:spacing w:before="162" w:beforeLines="50" w:after="162" w:afterLines="50"/>
        <w:outlineLvl w:val="2"/>
        <w:rPr>
          <w:rFonts w:hint="eastAsia" w:ascii="黑体" w:hAnsi="黑体" w:eastAsia="黑体"/>
          <w:szCs w:val="21"/>
          <w:lang w:eastAsia="zh-CN"/>
        </w:rPr>
      </w:pPr>
      <w:r>
        <w:rPr>
          <w:rFonts w:hint="eastAsia" w:ascii="黑体" w:hAnsi="黑体" w:eastAsia="黑体"/>
          <w:szCs w:val="21"/>
          <w:lang w:val="en-US" w:eastAsia="zh-CN"/>
        </w:rPr>
        <w:t>4.5</w:t>
      </w:r>
      <w:r>
        <w:rPr>
          <w:rFonts w:hint="eastAsia" w:ascii="黑体" w:hAnsi="黑体" w:eastAsia="黑体"/>
          <w:szCs w:val="21"/>
        </w:rPr>
        <w:t xml:space="preserve">.1  </w:t>
      </w:r>
      <w:r>
        <w:rPr>
          <w:rFonts w:hint="eastAsia" w:ascii="黑体" w:hAnsi="黑体" w:eastAsia="黑体"/>
          <w:szCs w:val="21"/>
          <w:lang w:eastAsia="zh-CN"/>
        </w:rPr>
        <w:t>试料</w:t>
      </w:r>
    </w:p>
    <w:p>
      <w:pPr>
        <w:spacing w:before="162" w:beforeLines="50" w:after="162" w:afterLines="5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称取0.10g</w:t>
      </w:r>
      <w:r>
        <w:rPr>
          <w:rFonts w:hint="eastAsia" w:ascii="宋体" w:hAnsi="宋体" w:eastAsia="宋体" w:cs="宋体"/>
          <w:kern w:val="0"/>
          <w:szCs w:val="20"/>
          <w:lang w:val="en-US" w:eastAsia="zh-CN"/>
        </w:rPr>
        <w:t>～</w:t>
      </w:r>
      <w:r>
        <w:rPr>
          <w:rFonts w:hint="eastAsia" w:ascii="宋体" w:hAnsi="宋体" w:cs="宋体"/>
          <w:kern w:val="0"/>
          <w:szCs w:val="20"/>
          <w:lang w:val="en-US" w:eastAsia="zh-CN"/>
        </w:rPr>
        <w:t>2.00g试样（4.4），精确至0.0001g。</w:t>
      </w:r>
    </w:p>
    <w:p>
      <w:pPr>
        <w:keepNext w:val="0"/>
        <w:keepLines w:val="0"/>
        <w:pageBreakBefore w:val="0"/>
        <w:widowControl w:val="0"/>
        <w:kinsoku/>
        <w:wordWrap/>
        <w:overflowPunct/>
        <w:topLinePunct w:val="0"/>
        <w:autoSpaceDE/>
        <w:autoSpaceDN/>
        <w:bidi w:val="0"/>
        <w:adjustRightInd/>
        <w:snapToGrid/>
        <w:spacing w:before="163" w:beforeLines="50" w:after="163" w:afterLines="50"/>
        <w:textAlignment w:val="auto"/>
        <w:outlineLvl w:val="2"/>
        <w:rPr>
          <w:rFonts w:hint="eastAsia" w:ascii="黑体" w:hAnsi="黑体" w:eastAsia="黑体"/>
          <w:szCs w:val="21"/>
          <w:lang w:eastAsia="zh-CN"/>
        </w:rPr>
      </w:pPr>
      <w:r>
        <w:rPr>
          <w:rFonts w:hint="eastAsia" w:ascii="黑体" w:hAnsi="黑体" w:eastAsia="黑体"/>
          <w:szCs w:val="21"/>
          <w:lang w:val="en-US" w:eastAsia="zh-CN"/>
        </w:rPr>
        <w:t xml:space="preserve">4.5.2  </w:t>
      </w:r>
      <w:r>
        <w:rPr>
          <w:rFonts w:hint="eastAsia" w:ascii="黑体" w:hAnsi="黑体" w:eastAsia="黑体"/>
          <w:szCs w:val="21"/>
          <w:lang w:eastAsia="zh-CN"/>
        </w:rPr>
        <w:t>测定次数</w:t>
      </w:r>
    </w:p>
    <w:p>
      <w:pPr>
        <w:rPr>
          <w:rFonts w:hint="eastAsia" w:ascii="宋体" w:hAnsi="宋体" w:eastAsia="宋体" w:cs="宋体"/>
          <w:szCs w:val="21"/>
          <w:lang w:val="en-US" w:eastAsia="zh-CN"/>
        </w:rPr>
      </w:pPr>
      <w:r>
        <w:rPr>
          <w:rFonts w:hint="eastAsia" w:ascii="黑体" w:hAnsi="黑体" w:eastAsia="黑体"/>
          <w:szCs w:val="21"/>
          <w:lang w:val="en-US" w:eastAsia="zh-CN"/>
        </w:rPr>
        <w:t xml:space="preserve">    </w:t>
      </w:r>
      <w:r>
        <w:rPr>
          <w:rFonts w:hint="eastAsia" w:ascii="宋体" w:hAnsi="宋体" w:eastAsia="宋体" w:cs="宋体"/>
          <w:szCs w:val="21"/>
          <w:lang w:val="en-US" w:eastAsia="zh-CN"/>
        </w:rPr>
        <w:t>独立进行二次测定，</w:t>
      </w:r>
      <w:r>
        <w:rPr>
          <w:rFonts w:hint="eastAsia" w:ascii="宋体" w:hAnsi="宋体" w:cs="宋体"/>
          <w:szCs w:val="21"/>
          <w:lang w:val="en-US" w:eastAsia="zh-CN"/>
        </w:rPr>
        <w:t>结果</w:t>
      </w:r>
      <w:r>
        <w:rPr>
          <w:rFonts w:hint="eastAsia" w:ascii="宋体" w:hAnsi="宋体" w:eastAsia="宋体" w:cs="宋体"/>
          <w:szCs w:val="21"/>
          <w:lang w:val="en-US" w:eastAsia="zh-CN"/>
        </w:rPr>
        <w:t>取其平均值。</w:t>
      </w:r>
    </w:p>
    <w:p>
      <w:pPr>
        <w:spacing w:before="162" w:beforeLines="50" w:after="162" w:afterLines="50"/>
        <w:outlineLvl w:val="2"/>
        <w:rPr>
          <w:rFonts w:hint="eastAsia" w:ascii="黑体" w:hAnsi="黑体" w:eastAsia="黑体"/>
          <w:szCs w:val="21"/>
          <w:lang w:eastAsia="zh-CN"/>
        </w:rPr>
      </w:pPr>
      <w:r>
        <w:rPr>
          <w:rFonts w:hint="eastAsia" w:ascii="黑体" w:hAnsi="黑体" w:eastAsia="黑体"/>
          <w:szCs w:val="21"/>
          <w:lang w:val="en-US" w:eastAsia="zh-CN"/>
        </w:rPr>
        <w:t>4.5.3</w:t>
      </w:r>
      <w:r>
        <w:rPr>
          <w:rFonts w:hint="eastAsia" w:ascii="黑体" w:hAnsi="黑体" w:eastAsia="黑体"/>
          <w:szCs w:val="21"/>
        </w:rPr>
        <w:t xml:space="preserve">  空白</w:t>
      </w:r>
      <w:r>
        <w:rPr>
          <w:rFonts w:hint="eastAsia" w:ascii="黑体" w:hAnsi="黑体" w:eastAsia="黑体"/>
          <w:szCs w:val="21"/>
          <w:lang w:eastAsia="zh-CN"/>
        </w:rPr>
        <w:t>试验</w:t>
      </w:r>
    </w:p>
    <w:p>
      <w:pPr>
        <w:ind w:firstLine="420" w:firstLineChars="200"/>
        <w:rPr>
          <w:szCs w:val="21"/>
        </w:rPr>
      </w:pPr>
      <w:r>
        <w:rPr>
          <w:szCs w:val="21"/>
        </w:rPr>
        <w:t>随同试</w:t>
      </w:r>
      <w:r>
        <w:rPr>
          <w:rFonts w:hint="eastAsia" w:ascii="宋体" w:hAnsi="宋体" w:eastAsia="宋体" w:cs="宋体"/>
          <w:szCs w:val="21"/>
        </w:rPr>
        <w:t>料（4.5.1）做空白试验，按仪器说明书进行空白补偿或扣除。补偿或扣除后的空白值（绝对值）应不大于0.00005%。如在分析样品时使用镍篮（4.2.7），空白试验还应包括镍篮（4.2.7）的空白</w:t>
      </w:r>
      <w:r>
        <w:rPr>
          <w:szCs w:val="21"/>
        </w:rPr>
        <w:t>。</w:t>
      </w:r>
    </w:p>
    <w:p>
      <w:pPr>
        <w:keepNext w:val="0"/>
        <w:keepLines w:val="0"/>
        <w:pageBreakBefore w:val="0"/>
        <w:widowControl w:val="0"/>
        <w:kinsoku/>
        <w:wordWrap/>
        <w:overflowPunct/>
        <w:topLinePunct w:val="0"/>
        <w:autoSpaceDE/>
        <w:autoSpaceDN/>
        <w:bidi w:val="0"/>
        <w:adjustRightInd/>
        <w:snapToGrid/>
        <w:spacing w:before="163" w:beforeLines="50" w:after="163" w:afterLines="5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4.5.4  预分析</w:t>
      </w:r>
    </w:p>
    <w:p>
      <w:pPr>
        <w:ind w:firstLine="420" w:firstLineChars="200"/>
        <w:rPr>
          <w:szCs w:val="21"/>
        </w:rPr>
      </w:pPr>
      <w:r>
        <w:rPr>
          <w:rFonts w:hint="eastAsia" w:ascii="黑体" w:hAnsi="黑体" w:eastAsia="黑体" w:cs="黑体"/>
          <w:szCs w:val="21"/>
          <w:lang w:val="en-US" w:eastAsia="zh-CN"/>
        </w:rPr>
        <w:t xml:space="preserve"> </w:t>
      </w:r>
      <w:r>
        <w:rPr>
          <w:rFonts w:hint="eastAsia" w:ascii="宋体" w:hAnsi="宋体" w:cs="宋体"/>
          <w:szCs w:val="21"/>
          <w:lang w:val="en-US" w:eastAsia="zh-CN"/>
        </w:rPr>
        <w:t>使用仪器自带原始工作曲线或其他相近的工作曲线，按4.6对</w:t>
      </w:r>
      <w:r>
        <w:rPr>
          <w:szCs w:val="21"/>
        </w:rPr>
        <w:t>试</w:t>
      </w:r>
      <w:r>
        <w:rPr>
          <w:rFonts w:hint="eastAsia" w:ascii="宋体" w:hAnsi="宋体" w:eastAsia="宋体" w:cs="宋体"/>
          <w:szCs w:val="21"/>
        </w:rPr>
        <w:t>料（4.5.1）</w:t>
      </w:r>
      <w:r>
        <w:rPr>
          <w:rFonts w:hint="eastAsia" w:ascii="宋体" w:hAnsi="宋体" w:cs="宋体"/>
          <w:szCs w:val="21"/>
          <w:lang w:val="en-US" w:eastAsia="zh-CN"/>
        </w:rPr>
        <w:t>进行预分析，得到</w:t>
      </w:r>
      <w:r>
        <w:rPr>
          <w:rFonts w:hint="eastAsia" w:ascii="宋体" w:hAnsi="宋体" w:eastAsia="宋体" w:cs="宋体"/>
          <w:szCs w:val="21"/>
        </w:rPr>
        <w:t>待测样品</w:t>
      </w:r>
      <w:r>
        <w:rPr>
          <w:rFonts w:hint="eastAsia" w:ascii="宋体" w:hAnsi="宋体" w:cs="宋体"/>
          <w:szCs w:val="21"/>
          <w:lang w:val="en-US" w:eastAsia="zh-CN"/>
        </w:rPr>
        <w:t>中氧、氮的预计含量。</w:t>
      </w:r>
    </w:p>
    <w:p>
      <w:pPr>
        <w:spacing w:before="162" w:beforeLines="50" w:after="162" w:afterLines="50"/>
        <w:outlineLvl w:val="2"/>
        <w:rPr>
          <w:rFonts w:ascii="黑体" w:hAnsi="黑体" w:eastAsia="黑体"/>
          <w:szCs w:val="21"/>
        </w:rPr>
      </w:pPr>
      <w:r>
        <w:rPr>
          <w:rFonts w:hint="eastAsia" w:ascii="黑体" w:hAnsi="黑体" w:eastAsia="黑体"/>
          <w:szCs w:val="21"/>
          <w:lang w:val="en-US" w:eastAsia="zh-CN"/>
        </w:rPr>
        <w:t>4.5.5</w:t>
      </w:r>
      <w:r>
        <w:rPr>
          <w:rFonts w:hint="eastAsia" w:ascii="黑体" w:hAnsi="黑体" w:eastAsia="黑体"/>
          <w:szCs w:val="21"/>
        </w:rPr>
        <w:t xml:space="preserve">  仪器校准 </w:t>
      </w:r>
    </w:p>
    <w:p>
      <w:pPr>
        <w:spacing w:before="162" w:beforeLines="50" w:after="162" w:afterLines="50"/>
        <w:outlineLvl w:val="3"/>
        <w:rPr>
          <w:rFonts w:hint="eastAsia" w:ascii="黑体" w:hAnsi="黑体" w:eastAsia="黑体" w:cs="黑体"/>
          <w:szCs w:val="21"/>
          <w:lang w:val="en-US" w:eastAsia="zh-CN"/>
        </w:rPr>
      </w:pPr>
      <w:r>
        <w:rPr>
          <w:rFonts w:hint="eastAsia" w:ascii="黑体" w:hAnsi="黑体" w:eastAsia="黑体" w:cs="黑体"/>
          <w:szCs w:val="21"/>
          <w:lang w:val="en-US" w:eastAsia="zh-CN"/>
        </w:rPr>
        <w:t>4.5.5.1  单标准点校准</w:t>
      </w:r>
    </w:p>
    <w:p>
      <w:pPr>
        <w:ind w:firstLine="420" w:firstLineChars="200"/>
        <w:rPr>
          <w:rFonts w:hint="eastAsia"/>
          <w:szCs w:val="21"/>
        </w:rPr>
      </w:pPr>
      <w:r>
        <w:rPr>
          <w:rFonts w:hint="eastAsia"/>
          <w:szCs w:val="21"/>
        </w:rPr>
        <w:t>选取一种</w:t>
      </w:r>
      <w:r>
        <w:rPr>
          <w:rFonts w:hint="eastAsia"/>
          <w:szCs w:val="21"/>
          <w:lang w:eastAsia="zh-CN"/>
        </w:rPr>
        <w:t>标准物质</w:t>
      </w:r>
      <w:r>
        <w:rPr>
          <w:rFonts w:hint="eastAsia" w:ascii="Times New Roman" w:eastAsia="宋体"/>
          <w:kern w:val="2"/>
          <w:szCs w:val="24"/>
          <w:lang w:val="en-US" w:eastAsia="zh-CN"/>
        </w:rPr>
        <w:t>/标准</w:t>
      </w:r>
      <w:r>
        <w:rPr>
          <w:rFonts w:hint="eastAsia" w:ascii="Times New Roman" w:eastAsia="宋体"/>
          <w:kern w:val="2"/>
          <w:szCs w:val="24"/>
        </w:rPr>
        <w:t>样品</w:t>
      </w:r>
      <w:r>
        <w:rPr>
          <w:rFonts w:hint="eastAsia" w:ascii="宋体" w:hAnsi="宋体" w:eastAsia="宋体" w:cs="宋体"/>
          <w:kern w:val="2"/>
          <w:szCs w:val="24"/>
          <w:lang w:eastAsia="zh-CN"/>
        </w:rPr>
        <w:t>（</w:t>
      </w:r>
      <w:r>
        <w:rPr>
          <w:rFonts w:hint="eastAsia" w:ascii="宋体" w:hAnsi="宋体" w:cs="宋体"/>
          <w:kern w:val="2"/>
          <w:szCs w:val="24"/>
          <w:lang w:val="en-US" w:eastAsia="zh-CN"/>
        </w:rPr>
        <w:t>4.2.6</w:t>
      </w:r>
      <w:r>
        <w:rPr>
          <w:rFonts w:hint="eastAsia" w:ascii="宋体" w:hAnsi="宋体" w:eastAsia="宋体" w:cs="宋体"/>
          <w:kern w:val="2"/>
          <w:szCs w:val="24"/>
          <w:lang w:eastAsia="zh-CN"/>
        </w:rPr>
        <w:t>）</w:t>
      </w:r>
      <w:r>
        <w:rPr>
          <w:rFonts w:hint="eastAsia" w:ascii="宋体" w:hAnsi="宋体" w:eastAsia="宋体" w:cs="宋体"/>
          <w:szCs w:val="21"/>
        </w:rPr>
        <w:t>，其氧、氮含量应接近于待测样品的</w:t>
      </w:r>
      <w:r>
        <w:rPr>
          <w:rFonts w:hint="eastAsia" w:ascii="宋体" w:hAnsi="宋体" w:cs="宋体"/>
          <w:szCs w:val="21"/>
          <w:lang w:val="en-US" w:eastAsia="zh-CN"/>
        </w:rPr>
        <w:t>预计</w:t>
      </w:r>
      <w:r>
        <w:rPr>
          <w:rFonts w:hint="eastAsia" w:ascii="宋体" w:hAnsi="宋体" w:eastAsia="宋体" w:cs="宋体"/>
          <w:szCs w:val="21"/>
        </w:rPr>
        <w:t>含量，或通过控制试料质量的方式使标准物质/标准样品中氧、氮质量与待测样品中氧、氮质量相近。按照仪器说明书的要求执行单标准点校准程序，并至少重复分析3次，取其平均值，分别进行氧、氮校准曲线的校准</w:t>
      </w:r>
      <w:r>
        <w:rPr>
          <w:rFonts w:hint="eastAsia"/>
          <w:szCs w:val="21"/>
        </w:rPr>
        <w:t>。</w:t>
      </w:r>
    </w:p>
    <w:p>
      <w:pPr>
        <w:spacing w:before="162" w:beforeLines="50" w:after="162" w:afterLines="50"/>
        <w:outlineLvl w:val="3"/>
        <w:rPr>
          <w:rFonts w:hint="eastAsia" w:ascii="黑体" w:hAnsi="黑体" w:eastAsia="黑体" w:cs="黑体"/>
          <w:szCs w:val="21"/>
          <w:lang w:val="en-US" w:eastAsia="zh-CN"/>
        </w:rPr>
      </w:pPr>
      <w:r>
        <w:rPr>
          <w:rFonts w:hint="eastAsia" w:ascii="黑体" w:hAnsi="黑体" w:eastAsia="黑体" w:cs="黑体"/>
          <w:szCs w:val="21"/>
          <w:lang w:val="en-US" w:eastAsia="zh-CN"/>
        </w:rPr>
        <w:t>4.5.5.2  多标准点校准</w:t>
      </w:r>
    </w:p>
    <w:p>
      <w:pPr>
        <w:spacing w:before="162" w:beforeLines="50" w:after="162" w:afterLines="50"/>
        <w:ind w:firstLine="420" w:firstLineChars="200"/>
        <w:rPr>
          <w:rFonts w:hint="eastAsia" w:ascii="宋体" w:hAnsi="宋体" w:eastAsia="宋体" w:cs="宋体"/>
          <w:szCs w:val="21"/>
          <w:lang w:val="en-US" w:eastAsia="zh-CN"/>
        </w:rPr>
      </w:pPr>
      <w:r>
        <w:rPr>
          <w:rFonts w:hint="eastAsia"/>
          <w:szCs w:val="21"/>
          <w:lang w:val="en-US" w:eastAsia="zh-CN"/>
        </w:rPr>
        <w:t>选取两种或两种以上</w:t>
      </w:r>
      <w:r>
        <w:rPr>
          <w:rFonts w:hint="eastAsia"/>
          <w:szCs w:val="21"/>
          <w:lang w:eastAsia="zh-CN"/>
        </w:rPr>
        <w:t>标准物质</w:t>
      </w:r>
      <w:r>
        <w:rPr>
          <w:rFonts w:hint="eastAsia" w:ascii="宋体" w:hAnsi="宋体" w:eastAsia="宋体" w:cs="宋体"/>
          <w:kern w:val="2"/>
          <w:szCs w:val="24"/>
          <w:lang w:val="en-US" w:eastAsia="zh-CN"/>
        </w:rPr>
        <w:t>/标准</w:t>
      </w:r>
      <w:r>
        <w:rPr>
          <w:rFonts w:hint="eastAsia" w:ascii="宋体" w:hAnsi="宋体" w:eastAsia="宋体" w:cs="宋体"/>
          <w:kern w:val="2"/>
          <w:szCs w:val="24"/>
        </w:rPr>
        <w:t>样品</w:t>
      </w:r>
      <w:r>
        <w:rPr>
          <w:rFonts w:hint="eastAsia" w:ascii="宋体" w:hAnsi="宋体" w:eastAsia="宋体" w:cs="宋体"/>
          <w:kern w:val="2"/>
          <w:szCs w:val="24"/>
          <w:lang w:eastAsia="zh-CN"/>
        </w:rPr>
        <w:t>（</w:t>
      </w:r>
      <w:r>
        <w:rPr>
          <w:rFonts w:hint="eastAsia" w:ascii="宋体" w:hAnsi="宋体" w:cs="宋体"/>
          <w:kern w:val="2"/>
          <w:szCs w:val="24"/>
          <w:lang w:val="en-US" w:eastAsia="zh-CN"/>
        </w:rPr>
        <w:t>4.2.6</w:t>
      </w:r>
      <w:r>
        <w:rPr>
          <w:rFonts w:hint="eastAsia" w:ascii="宋体" w:hAnsi="宋体" w:eastAsia="宋体" w:cs="宋体"/>
          <w:kern w:val="2"/>
          <w:szCs w:val="24"/>
          <w:lang w:eastAsia="zh-CN"/>
        </w:rPr>
        <w:t>）</w:t>
      </w:r>
      <w:r>
        <w:rPr>
          <w:rFonts w:hint="eastAsia" w:ascii="宋体" w:hAnsi="宋体" w:eastAsia="宋体" w:cs="宋体"/>
          <w:szCs w:val="21"/>
          <w:lang w:val="en-US" w:eastAsia="zh-CN"/>
        </w:rPr>
        <w:t>，</w:t>
      </w:r>
      <w:r>
        <w:rPr>
          <w:rFonts w:hint="eastAsia" w:ascii="宋体" w:hAnsi="宋体" w:eastAsia="宋体" w:cs="宋体"/>
          <w:szCs w:val="21"/>
          <w:lang w:eastAsia="zh-CN"/>
        </w:rPr>
        <w:t>标准物质</w:t>
      </w:r>
      <w:r>
        <w:rPr>
          <w:rFonts w:hint="eastAsia" w:ascii="宋体" w:hAnsi="宋体" w:eastAsia="宋体" w:cs="宋体"/>
          <w:kern w:val="2"/>
          <w:szCs w:val="24"/>
          <w:lang w:val="en-US" w:eastAsia="zh-CN"/>
        </w:rPr>
        <w:t>/标准</w:t>
      </w:r>
      <w:r>
        <w:rPr>
          <w:rFonts w:hint="eastAsia" w:ascii="宋体" w:hAnsi="宋体" w:eastAsia="宋体" w:cs="宋体"/>
          <w:kern w:val="2"/>
          <w:szCs w:val="24"/>
        </w:rPr>
        <w:t>样品</w:t>
      </w:r>
      <w:r>
        <w:rPr>
          <w:rFonts w:hint="eastAsia" w:ascii="宋体" w:hAnsi="宋体" w:eastAsia="宋体" w:cs="宋体"/>
          <w:kern w:val="2"/>
          <w:szCs w:val="24"/>
          <w:lang w:eastAsia="zh-CN"/>
        </w:rPr>
        <w:t>（</w:t>
      </w:r>
      <w:r>
        <w:rPr>
          <w:rFonts w:hint="eastAsia" w:ascii="宋体" w:hAnsi="宋体" w:cs="宋体"/>
          <w:kern w:val="2"/>
          <w:szCs w:val="24"/>
          <w:lang w:val="en-US" w:eastAsia="zh-CN"/>
        </w:rPr>
        <w:t>4.2.6</w:t>
      </w:r>
      <w:r>
        <w:rPr>
          <w:rFonts w:hint="eastAsia" w:ascii="宋体" w:hAnsi="宋体" w:eastAsia="宋体" w:cs="宋体"/>
          <w:kern w:val="2"/>
          <w:szCs w:val="24"/>
          <w:lang w:eastAsia="zh-CN"/>
        </w:rPr>
        <w:t>）中氧、氮含量应涵盖</w:t>
      </w:r>
      <w:r>
        <w:rPr>
          <w:rFonts w:hint="eastAsia" w:ascii="宋体" w:hAnsi="宋体" w:eastAsia="宋体" w:cs="宋体"/>
          <w:szCs w:val="21"/>
          <w:lang w:eastAsia="zh-CN"/>
        </w:rPr>
        <w:t>待测</w:t>
      </w:r>
      <w:r>
        <w:rPr>
          <w:rFonts w:hint="eastAsia" w:ascii="宋体" w:hAnsi="宋体" w:eastAsia="宋体" w:cs="宋体"/>
          <w:szCs w:val="21"/>
        </w:rPr>
        <w:t>样品</w:t>
      </w:r>
      <w:r>
        <w:rPr>
          <w:rFonts w:hint="eastAsia" w:ascii="宋体" w:hAnsi="宋体" w:eastAsia="宋体" w:cs="宋体"/>
          <w:szCs w:val="21"/>
          <w:lang w:eastAsia="zh-CN"/>
        </w:rPr>
        <w:t>中氧、氮含量</w:t>
      </w:r>
      <w:r>
        <w:rPr>
          <w:rFonts w:hint="eastAsia" w:ascii="宋体" w:hAnsi="宋体" w:cs="宋体"/>
          <w:szCs w:val="21"/>
          <w:lang w:eastAsia="zh-CN"/>
        </w:rPr>
        <w:t>，</w:t>
      </w:r>
      <w:r>
        <w:rPr>
          <w:rFonts w:hint="eastAsia" w:ascii="宋体" w:hAnsi="宋体" w:eastAsia="宋体" w:cs="宋体"/>
          <w:szCs w:val="21"/>
        </w:rPr>
        <w:t>或通过控制试料质量的方式使标准物质/标准样品中氧、氮质量</w:t>
      </w:r>
      <w:r>
        <w:rPr>
          <w:rFonts w:hint="eastAsia" w:ascii="宋体" w:hAnsi="宋体" w:eastAsia="宋体" w:cs="宋体"/>
          <w:kern w:val="2"/>
          <w:szCs w:val="24"/>
          <w:lang w:eastAsia="zh-CN"/>
        </w:rPr>
        <w:t>应涵盖</w:t>
      </w:r>
      <w:r>
        <w:rPr>
          <w:rFonts w:hint="eastAsia" w:ascii="宋体" w:hAnsi="宋体" w:eastAsia="宋体" w:cs="宋体"/>
          <w:szCs w:val="21"/>
        </w:rPr>
        <w:t>待测样品中氧、氮质量</w:t>
      </w:r>
      <w:r>
        <w:rPr>
          <w:rFonts w:hint="eastAsia" w:ascii="宋体" w:hAnsi="宋体" w:eastAsia="宋体" w:cs="宋体"/>
          <w:szCs w:val="21"/>
          <w:lang w:eastAsia="zh-CN"/>
        </w:rPr>
        <w:t>。</w:t>
      </w:r>
      <w:r>
        <w:rPr>
          <w:rFonts w:hint="eastAsia" w:ascii="宋体" w:hAnsi="宋体" w:eastAsia="宋体" w:cs="宋体"/>
          <w:szCs w:val="21"/>
          <w:lang w:val="en-US" w:eastAsia="zh-CN"/>
        </w:rPr>
        <w:t>按仪器说明书的要求进行多点曲线校准，每种</w:t>
      </w:r>
      <w:r>
        <w:rPr>
          <w:rFonts w:hint="eastAsia" w:ascii="宋体" w:hAnsi="宋体" w:eastAsia="宋体" w:cs="宋体"/>
          <w:szCs w:val="21"/>
          <w:lang w:eastAsia="zh-CN"/>
        </w:rPr>
        <w:t>标准物质</w:t>
      </w:r>
      <w:r>
        <w:rPr>
          <w:rFonts w:hint="eastAsia" w:ascii="宋体" w:hAnsi="宋体" w:eastAsia="宋体" w:cs="宋体"/>
          <w:kern w:val="2"/>
          <w:szCs w:val="24"/>
          <w:lang w:val="en-US" w:eastAsia="zh-CN"/>
        </w:rPr>
        <w:t>/标准</w:t>
      </w:r>
      <w:r>
        <w:rPr>
          <w:rFonts w:hint="eastAsia" w:ascii="宋体" w:hAnsi="宋体" w:eastAsia="宋体" w:cs="宋体"/>
          <w:kern w:val="2"/>
          <w:szCs w:val="24"/>
        </w:rPr>
        <w:t>样品</w:t>
      </w:r>
      <w:r>
        <w:rPr>
          <w:rFonts w:hint="eastAsia" w:ascii="宋体" w:hAnsi="宋体" w:eastAsia="宋体" w:cs="宋体"/>
          <w:kern w:val="2"/>
          <w:szCs w:val="24"/>
          <w:lang w:eastAsia="zh-CN"/>
        </w:rPr>
        <w:t>（</w:t>
      </w:r>
      <w:r>
        <w:rPr>
          <w:rFonts w:hint="eastAsia" w:ascii="宋体" w:hAnsi="宋体" w:cs="宋体"/>
          <w:kern w:val="2"/>
          <w:szCs w:val="24"/>
          <w:lang w:val="en-US" w:eastAsia="zh-CN"/>
        </w:rPr>
        <w:t>4.2.6</w:t>
      </w:r>
      <w:r>
        <w:rPr>
          <w:rFonts w:hint="eastAsia" w:ascii="宋体" w:hAnsi="宋体" w:eastAsia="宋体" w:cs="宋体"/>
          <w:kern w:val="2"/>
          <w:szCs w:val="24"/>
          <w:lang w:eastAsia="zh-CN"/>
        </w:rPr>
        <w:t>）</w:t>
      </w:r>
      <w:r>
        <w:rPr>
          <w:rFonts w:hint="eastAsia" w:ascii="宋体" w:hAnsi="宋体" w:eastAsia="宋体" w:cs="宋体"/>
          <w:szCs w:val="21"/>
          <w:lang w:val="en-US" w:eastAsia="zh-CN"/>
        </w:rPr>
        <w:t>至少重复分析3次，</w:t>
      </w:r>
      <w:r>
        <w:rPr>
          <w:rFonts w:hint="eastAsia" w:ascii="宋体" w:hAnsi="宋体" w:eastAsia="宋体" w:cs="宋体"/>
          <w:szCs w:val="21"/>
        </w:rPr>
        <w:t>取其平均值，分别进行氧、氮校准曲线的校准。</w:t>
      </w:r>
    </w:p>
    <w:p>
      <w:pPr>
        <w:spacing w:before="162" w:beforeLines="50" w:after="162" w:afterLines="50"/>
        <w:rPr>
          <w:rFonts w:eastAsia="黑体"/>
          <w:kern w:val="0"/>
          <w:szCs w:val="20"/>
        </w:rPr>
      </w:pPr>
      <w:r>
        <w:rPr>
          <w:rFonts w:hint="eastAsia" w:ascii="黑体" w:hAnsi="黑体" w:eastAsia="黑体"/>
          <w:szCs w:val="21"/>
          <w:lang w:val="en-US" w:eastAsia="zh-CN"/>
        </w:rPr>
        <w:t>4.6</w:t>
      </w:r>
      <w:r>
        <w:rPr>
          <w:rFonts w:hint="eastAsia" w:ascii="黑体" w:hAnsi="黑体" w:eastAsia="黑体"/>
          <w:szCs w:val="21"/>
        </w:rPr>
        <w:t xml:space="preserve">  </w:t>
      </w:r>
      <w:r>
        <w:rPr>
          <w:rFonts w:hint="eastAsia" w:ascii="黑体" w:hAnsi="黑体" w:eastAsia="黑体" w:cs="黑体"/>
          <w:szCs w:val="21"/>
        </w:rPr>
        <w:t>试料分析</w:t>
      </w:r>
    </w:p>
    <w:p>
      <w:pPr>
        <w:widowControl/>
        <w:numPr>
          <w:ilvl w:val="1"/>
          <w:numId w:val="0"/>
        </w:numPr>
        <w:ind w:firstLine="420"/>
        <w:outlineLvl w:val="1"/>
        <w:rPr>
          <w:rFonts w:hint="default" w:eastAsia="宋体"/>
          <w:kern w:val="0"/>
          <w:szCs w:val="20"/>
          <w:lang w:val="en-US" w:eastAsia="zh-CN"/>
        </w:rPr>
      </w:pPr>
      <w:r>
        <w:rPr>
          <w:kern w:val="0"/>
          <w:szCs w:val="20"/>
        </w:rPr>
        <w:t>准确称</w:t>
      </w:r>
      <w:r>
        <w:rPr>
          <w:rFonts w:hint="eastAsia" w:ascii="宋体" w:hAnsi="宋体" w:eastAsia="宋体" w:cs="宋体"/>
          <w:kern w:val="0"/>
          <w:szCs w:val="20"/>
        </w:rPr>
        <w:t>取试料（4.5.1），将其置于</w:t>
      </w:r>
      <w:r>
        <w:rPr>
          <w:rFonts w:hint="eastAsia" w:ascii="宋体" w:hAnsi="宋体" w:eastAsia="宋体" w:cs="宋体"/>
          <w:szCs w:val="21"/>
        </w:rPr>
        <w:t>惰性气体熔融-红外/热导检测系统</w:t>
      </w:r>
      <w:r>
        <w:rPr>
          <w:rFonts w:hint="eastAsia" w:ascii="宋体" w:hAnsi="宋体" w:eastAsia="宋体" w:cs="宋体"/>
          <w:kern w:val="0"/>
          <w:szCs w:val="20"/>
        </w:rPr>
        <w:t>加样器，装入石墨坩锅（4.2.10），按仪器操作说明书操作，计算机自动显示分析结果</w:t>
      </w:r>
      <w:r>
        <w:rPr>
          <w:kern w:val="0"/>
          <w:szCs w:val="20"/>
        </w:rPr>
        <w:t>。</w:t>
      </w:r>
      <w:r>
        <w:rPr>
          <w:rFonts w:hint="eastAsia"/>
          <w:kern w:val="0"/>
          <w:szCs w:val="20"/>
          <w:lang w:val="en-US" w:eastAsia="zh-CN"/>
        </w:rPr>
        <w:t>推荐仪器分析条件见附</w:t>
      </w:r>
      <w:r>
        <w:rPr>
          <w:rFonts w:hint="eastAsia" w:ascii="宋体" w:hAnsi="宋体" w:eastAsia="宋体" w:cs="宋体"/>
          <w:kern w:val="0"/>
          <w:szCs w:val="20"/>
          <w:lang w:val="en-US" w:eastAsia="zh-CN"/>
        </w:rPr>
        <w:t>录A</w:t>
      </w:r>
      <w:r>
        <w:rPr>
          <w:rFonts w:hint="eastAsia"/>
          <w:kern w:val="0"/>
          <w:szCs w:val="20"/>
          <w:lang w:val="en-US" w:eastAsia="zh-CN"/>
        </w:rPr>
        <w:t>。</w:t>
      </w:r>
    </w:p>
    <w:p>
      <w:pPr>
        <w:widowControl/>
        <w:numPr>
          <w:ilvl w:val="1"/>
          <w:numId w:val="0"/>
        </w:numPr>
        <w:ind w:firstLine="420"/>
        <w:outlineLvl w:val="1"/>
        <w:rPr>
          <w:rFonts w:hint="eastAsia" w:ascii="宋体" w:hAnsi="宋体" w:cs="宋体"/>
          <w:kern w:val="0"/>
          <w:sz w:val="18"/>
          <w:szCs w:val="16"/>
          <w:lang w:val="en-US" w:eastAsia="zh-CN"/>
        </w:rPr>
      </w:pPr>
      <w:r>
        <w:rPr>
          <w:rFonts w:hint="eastAsia" w:ascii="黑体" w:hAnsi="黑体" w:eastAsia="黑体" w:cs="黑体"/>
          <w:kern w:val="0"/>
          <w:sz w:val="18"/>
          <w:szCs w:val="16"/>
        </w:rPr>
        <w:t>注：</w:t>
      </w:r>
      <w:r>
        <w:rPr>
          <w:kern w:val="0"/>
          <w:sz w:val="18"/>
          <w:szCs w:val="16"/>
        </w:rPr>
        <w:t>如试样主成分中含有硅、铬、钛、锆、钨、钼、氧化铝等难熔组分，应将称量后的试料装入镍篮</w:t>
      </w:r>
      <w:r>
        <w:rPr>
          <w:rFonts w:hint="eastAsia" w:ascii="宋体" w:hAnsi="宋体" w:eastAsia="宋体" w:cs="宋体"/>
          <w:kern w:val="0"/>
          <w:sz w:val="18"/>
          <w:szCs w:val="16"/>
        </w:rPr>
        <w:t>（4.2.7）</w:t>
      </w:r>
      <w:r>
        <w:rPr>
          <w:kern w:val="0"/>
          <w:sz w:val="18"/>
          <w:szCs w:val="16"/>
        </w:rPr>
        <w:t>，封口后置于加样器。</w:t>
      </w:r>
    </w:p>
    <w:p>
      <w:pPr>
        <w:widowControl/>
        <w:numPr>
          <w:ilvl w:val="1"/>
          <w:numId w:val="0"/>
        </w:numPr>
        <w:spacing w:before="162" w:beforeLines="50" w:after="162" w:afterLines="50"/>
        <w:outlineLvl w:val="1"/>
        <w:rPr>
          <w:rFonts w:eastAsia="黑体"/>
          <w:kern w:val="0"/>
          <w:szCs w:val="20"/>
        </w:rPr>
      </w:pPr>
      <w:r>
        <w:rPr>
          <w:rFonts w:hint="eastAsia" w:ascii="黑体" w:hAnsi="黑体" w:eastAsia="黑体" w:cs="黑体"/>
          <w:kern w:val="0"/>
          <w:szCs w:val="20"/>
        </w:rPr>
        <w:t>4.7</w:t>
      </w:r>
      <w:r>
        <w:rPr>
          <w:rFonts w:eastAsia="黑体"/>
          <w:kern w:val="0"/>
          <w:szCs w:val="20"/>
        </w:rPr>
        <w:t>　数据处理</w:t>
      </w:r>
    </w:p>
    <w:p>
      <w:pPr>
        <w:widowControl/>
        <w:numPr>
          <w:ilvl w:val="1"/>
          <w:numId w:val="0"/>
        </w:numPr>
        <w:ind w:firstLine="420" w:firstLineChars="200"/>
        <w:outlineLvl w:val="1"/>
        <w:rPr>
          <w:kern w:val="0"/>
          <w:szCs w:val="20"/>
        </w:rPr>
      </w:pPr>
      <w:r>
        <w:rPr>
          <w:kern w:val="0"/>
          <w:szCs w:val="20"/>
        </w:rPr>
        <w:t>若分析结</w:t>
      </w:r>
      <w:r>
        <w:rPr>
          <w:rFonts w:hint="eastAsia" w:ascii="宋体" w:hAnsi="宋体" w:eastAsia="宋体" w:cs="宋体"/>
          <w:kern w:val="0"/>
          <w:szCs w:val="20"/>
        </w:rPr>
        <w:t>果不小于0.100%时，保留三位有效数字；若分析结果小于0.10%时，保留两位有效数字。</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4.8  精密度</w:t>
      </w:r>
    </w:p>
    <w:p>
      <w:pPr>
        <w:pStyle w:val="89"/>
        <w:numPr>
          <w:ilvl w:val="0"/>
          <w:numId w:val="0"/>
        </w:numPr>
        <w:tabs>
          <w:tab w:val="left" w:pos="420"/>
        </w:tabs>
        <w:spacing w:before="120" w:after="120"/>
        <w:rPr>
          <w:rFonts w:hAnsi="黑体"/>
          <w:kern w:val="2"/>
        </w:rPr>
      </w:pPr>
      <w:r>
        <w:rPr>
          <w:rFonts w:hint="eastAsia" w:hAnsi="黑体"/>
          <w:kern w:val="2"/>
          <w:lang w:val="en-US" w:eastAsia="zh-CN"/>
        </w:rPr>
        <w:t>4.8</w:t>
      </w:r>
      <w:r>
        <w:rPr>
          <w:rFonts w:hint="eastAsia" w:hAnsi="黑体"/>
          <w:kern w:val="2"/>
        </w:rPr>
        <w:t>.1  重复性</w:t>
      </w:r>
    </w:p>
    <w:p>
      <w:pPr>
        <w:numPr>
          <w:ilvl w:val="0"/>
          <w:numId w:val="10"/>
        </w:numPr>
        <w:adjustRightInd w:val="0"/>
        <w:snapToGrid w:val="0"/>
        <w:ind w:firstLine="420" w:firstLineChars="200"/>
        <w:jc w:val="left"/>
        <w:rPr>
          <w:szCs w:val="21"/>
        </w:rPr>
      </w:pPr>
      <w:r>
        <w:rPr>
          <w:rFonts w:hint="eastAsia"/>
          <w:szCs w:val="21"/>
        </w:rPr>
        <w:t>在重复性条件下</w:t>
      </w:r>
      <w:r>
        <w:rPr>
          <w:rFonts w:hint="eastAsia" w:ascii="宋体" w:hAnsi="宋体" w:eastAsia="宋体" w:cs="宋体"/>
          <w:szCs w:val="21"/>
        </w:rPr>
        <w:t>获得的两次独立测试结果的测定值，在表1给出的平均值范围内，这两个测试结果的绝对差值不超过重复性限（</w:t>
      </w:r>
      <w:r>
        <w:rPr>
          <w:rFonts w:hint="eastAsia" w:ascii="宋体" w:hAnsi="宋体" w:eastAsia="宋体" w:cs="宋体"/>
          <w:i/>
          <w:szCs w:val="21"/>
        </w:rPr>
        <w:t>r</w:t>
      </w:r>
      <w:r>
        <w:rPr>
          <w:rFonts w:hint="eastAsia" w:ascii="宋体" w:hAnsi="宋体" w:eastAsia="宋体" w:cs="宋体"/>
          <w:szCs w:val="21"/>
        </w:rPr>
        <w:t>），超过重复性限（</w:t>
      </w:r>
      <w:r>
        <w:rPr>
          <w:rFonts w:hint="eastAsia" w:ascii="宋体" w:hAnsi="宋体" w:eastAsia="宋体" w:cs="宋体"/>
          <w:i/>
          <w:szCs w:val="21"/>
        </w:rPr>
        <w:t>r</w:t>
      </w:r>
      <w:r>
        <w:rPr>
          <w:rFonts w:hint="eastAsia" w:ascii="宋体" w:hAnsi="宋体" w:eastAsia="宋体" w:cs="宋体"/>
          <w:szCs w:val="21"/>
        </w:rPr>
        <w:t>）的情况不超过5%，重复性限（</w:t>
      </w:r>
      <w:r>
        <w:rPr>
          <w:rFonts w:hint="eastAsia" w:ascii="宋体" w:hAnsi="宋体" w:eastAsia="宋体" w:cs="宋体"/>
          <w:i/>
          <w:szCs w:val="21"/>
        </w:rPr>
        <w:t>r</w:t>
      </w:r>
      <w:r>
        <w:rPr>
          <w:rFonts w:hint="eastAsia" w:ascii="宋体" w:hAnsi="宋体" w:eastAsia="宋体" w:cs="宋体"/>
          <w:szCs w:val="21"/>
        </w:rPr>
        <w:t>）按表1数据采用线性内插法或外延法求得。</w:t>
      </w:r>
    </w:p>
    <w:p>
      <w:pPr>
        <w:keepNext w:val="0"/>
        <w:keepLines w:val="0"/>
        <w:pageBreakBefore w:val="0"/>
        <w:widowControl w:val="0"/>
        <w:kinsoku/>
        <w:wordWrap/>
        <w:overflowPunct/>
        <w:topLinePunct w:val="0"/>
        <w:autoSpaceDE/>
        <w:autoSpaceDN/>
        <w:bidi w:val="0"/>
        <w:adjustRightInd w:val="0"/>
        <w:snapToGrid w:val="0"/>
        <w:spacing w:after="163" w:afterLines="50"/>
        <w:jc w:val="center"/>
        <w:textAlignment w:val="auto"/>
        <w:rPr>
          <w:rFonts w:hint="default" w:eastAsia="黑体"/>
          <w:szCs w:val="21"/>
          <w:lang w:val="en-US" w:eastAsia="zh-CN"/>
        </w:rPr>
      </w:pPr>
      <w:r>
        <w:rPr>
          <w:rFonts w:hint="eastAsia" w:eastAsia="黑体"/>
          <w:szCs w:val="21"/>
        </w:rPr>
        <w:t>表</w:t>
      </w:r>
      <w:r>
        <w:rPr>
          <w:rFonts w:eastAsia="黑体"/>
          <w:szCs w:val="21"/>
        </w:rPr>
        <w:t xml:space="preserve">1 </w:t>
      </w:r>
      <w:r>
        <w:rPr>
          <w:rFonts w:hint="eastAsia" w:eastAsia="黑体"/>
          <w:szCs w:val="21"/>
        </w:rPr>
        <w:t>重复性限</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1510"/>
        <w:gridCol w:w="1340"/>
        <w:gridCol w:w="134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rPr>
              <w:t>氧的质量分数/%</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 xml:space="preserve">0.00060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0.00151</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0.00419</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0.0204</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rPr>
              <w:t>重复性限（</w:t>
            </w:r>
            <w:r>
              <w:rPr>
                <w:rFonts w:hint="eastAsia" w:ascii="宋体" w:hAnsi="宋体" w:eastAsia="宋体" w:cs="宋体"/>
                <w:i/>
                <w:iCs/>
                <w:color w:val="000000"/>
                <w:kern w:val="0"/>
                <w:sz w:val="18"/>
              </w:rPr>
              <w:t>r</w:t>
            </w:r>
            <w:r>
              <w:rPr>
                <w:rFonts w:hint="eastAsia" w:ascii="宋体" w:hAnsi="宋体" w:eastAsia="宋体" w:cs="宋体"/>
                <w:color w:val="000000"/>
                <w:kern w:val="0"/>
                <w:sz w:val="18"/>
              </w:rPr>
              <w:t>）/%</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0.00010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 xml:space="preserve">0.00020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 xml:space="preserve">0.00021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val="en-US" w:eastAsia="zh-CN"/>
              </w:rPr>
              <w:t xml:space="preserve">0.0011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eastAsia="zh-CN"/>
              </w:rPr>
              <w:t>氮</w:t>
            </w:r>
            <w:r>
              <w:rPr>
                <w:rFonts w:hint="eastAsia" w:ascii="宋体" w:hAnsi="宋体" w:eastAsia="宋体" w:cs="宋体"/>
                <w:color w:val="000000"/>
                <w:kern w:val="0"/>
                <w:sz w:val="18"/>
              </w:rPr>
              <w:t>的质量分数/%</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0.00032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0.00199</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0.0478</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lang w:val="en-US" w:eastAsia="zh-CN"/>
              </w:rPr>
            </w:pPr>
            <w:r>
              <w:rPr>
                <w:rFonts w:hint="eastAsia" w:ascii="宋体" w:hAnsi="宋体" w:eastAsia="宋体" w:cs="宋体"/>
                <w:szCs w:val="21"/>
                <w:lang w:val="en-US" w:eastAsia="zh-CN"/>
              </w:rPr>
              <w:t>---</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rPr>
              <w:t>重复性限（</w:t>
            </w:r>
            <w:r>
              <w:rPr>
                <w:rFonts w:hint="eastAsia" w:ascii="宋体" w:hAnsi="宋体" w:eastAsia="宋体" w:cs="宋体"/>
                <w:i/>
                <w:iCs/>
                <w:color w:val="000000"/>
                <w:kern w:val="0"/>
                <w:sz w:val="18"/>
              </w:rPr>
              <w:t>r</w:t>
            </w:r>
            <w:r>
              <w:rPr>
                <w:rFonts w:hint="eastAsia" w:ascii="宋体" w:hAnsi="宋体" w:eastAsia="宋体" w:cs="宋体"/>
                <w:color w:val="000000"/>
                <w:kern w:val="0"/>
                <w:sz w:val="18"/>
              </w:rPr>
              <w:t>）/%</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0.00010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0.00022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0.0020 </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lang w:eastAsia="zh-CN"/>
              </w:rPr>
            </w:pPr>
            <w:r>
              <w:rPr>
                <w:rFonts w:hint="eastAsia" w:ascii="宋体" w:hAnsi="宋体" w:eastAsia="宋体" w:cs="宋体"/>
                <w:szCs w:val="21"/>
                <w:lang w:val="en-US" w:eastAsia="zh-CN"/>
              </w:rPr>
              <w:t>---</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9571" w:type="dxa"/>
            <w:gridSpan w:val="6"/>
            <w:noWrap w:val="0"/>
            <w:vAlign w:val="top"/>
          </w:tcPr>
          <w:p>
            <w:pPr>
              <w:adjustRightInd w:val="0"/>
              <w:snapToGrid w:val="0"/>
              <w:spacing w:line="300" w:lineRule="auto"/>
              <w:rPr>
                <w:rFonts w:hint="eastAsia"/>
                <w:color w:val="000000"/>
                <w:kern w:val="0"/>
                <w:sz w:val="18"/>
              </w:rPr>
            </w:pPr>
            <w:r>
              <w:rPr>
                <w:rFonts w:hint="eastAsia" w:ascii="黑体" w:hAnsi="黑体" w:eastAsia="黑体" w:cs="黑体"/>
                <w:color w:val="000000"/>
                <w:kern w:val="0"/>
                <w:sz w:val="18"/>
              </w:rPr>
              <w:t>注：</w:t>
            </w:r>
            <w:r>
              <w:rPr>
                <w:rFonts w:hint="eastAsia"/>
                <w:color w:val="000000"/>
                <w:kern w:val="0"/>
                <w:sz w:val="18"/>
              </w:rPr>
              <w:t>重复</w:t>
            </w:r>
            <w:r>
              <w:rPr>
                <w:rFonts w:hint="eastAsia" w:ascii="宋体" w:hAnsi="宋体" w:eastAsia="宋体" w:cs="宋体"/>
                <w:color w:val="000000"/>
                <w:kern w:val="0"/>
                <w:sz w:val="18"/>
              </w:rPr>
              <w:t>性限（</w:t>
            </w:r>
            <w:r>
              <w:rPr>
                <w:rFonts w:hint="eastAsia" w:ascii="宋体" w:hAnsi="宋体" w:eastAsia="宋体" w:cs="宋体"/>
                <w:i/>
                <w:iCs/>
                <w:color w:val="000000"/>
                <w:kern w:val="0"/>
                <w:sz w:val="18"/>
              </w:rPr>
              <w:t>r</w:t>
            </w:r>
            <w:r>
              <w:rPr>
                <w:rFonts w:hint="eastAsia" w:ascii="宋体" w:hAnsi="宋体" w:eastAsia="宋体" w:cs="宋体"/>
                <w:color w:val="000000"/>
                <w:kern w:val="0"/>
                <w:sz w:val="18"/>
              </w:rPr>
              <w:t>）为2.83S</w:t>
            </w:r>
            <w:r>
              <w:rPr>
                <w:rFonts w:hint="eastAsia" w:ascii="宋体" w:hAnsi="宋体" w:eastAsia="宋体" w:cs="宋体"/>
                <w:color w:val="000000"/>
                <w:kern w:val="0"/>
                <w:sz w:val="18"/>
                <w:vertAlign w:val="subscript"/>
              </w:rPr>
              <w:t>r</w:t>
            </w:r>
            <w:r>
              <w:rPr>
                <w:rFonts w:hint="eastAsia" w:ascii="宋体" w:hAnsi="宋体" w:eastAsia="宋体" w:cs="宋体"/>
                <w:color w:val="000000"/>
                <w:kern w:val="0"/>
                <w:sz w:val="18"/>
              </w:rPr>
              <w:t>，S</w:t>
            </w:r>
            <w:r>
              <w:rPr>
                <w:rFonts w:hint="eastAsia" w:ascii="宋体" w:hAnsi="宋体" w:eastAsia="宋体" w:cs="宋体"/>
                <w:color w:val="000000"/>
                <w:kern w:val="0"/>
                <w:sz w:val="18"/>
                <w:vertAlign w:val="subscript"/>
              </w:rPr>
              <w:t>r</w:t>
            </w:r>
            <w:r>
              <w:rPr>
                <w:rFonts w:hint="eastAsia" w:ascii="宋体" w:hAnsi="宋体" w:eastAsia="宋体" w:cs="宋体"/>
                <w:color w:val="000000"/>
                <w:kern w:val="0"/>
                <w:sz w:val="18"/>
              </w:rPr>
              <w:t>为重复性标准偏差。</w:t>
            </w:r>
          </w:p>
        </w:tc>
      </w:tr>
    </w:tbl>
    <w:p>
      <w:pPr>
        <w:adjustRightInd w:val="0"/>
        <w:snapToGrid w:val="0"/>
        <w:spacing w:before="162" w:beforeLines="50" w:line="360" w:lineRule="auto"/>
        <w:outlineLvl w:val="3"/>
        <w:rPr>
          <w:rFonts w:hint="eastAsia" w:ascii="黑体" w:hAnsi="黑体" w:eastAsia="黑体"/>
          <w:color w:val="auto"/>
          <w:szCs w:val="32"/>
          <w:lang w:val="en-US" w:eastAsia="zh-CN"/>
        </w:rPr>
      </w:pPr>
    </w:p>
    <w:p>
      <w:pPr>
        <w:adjustRightInd w:val="0"/>
        <w:snapToGrid w:val="0"/>
        <w:spacing w:before="162" w:beforeLines="50" w:line="360" w:lineRule="auto"/>
        <w:outlineLvl w:val="3"/>
        <w:rPr>
          <w:rFonts w:hint="eastAsia" w:ascii="黑体" w:hAnsi="黑体" w:eastAsia="黑体"/>
          <w:color w:val="auto"/>
          <w:szCs w:val="32"/>
          <w:lang w:val="en-US" w:eastAsia="zh-CN"/>
        </w:rPr>
      </w:pPr>
    </w:p>
    <w:p>
      <w:pPr>
        <w:adjustRightInd w:val="0"/>
        <w:snapToGrid w:val="0"/>
        <w:spacing w:before="162" w:beforeLines="50" w:line="360" w:lineRule="auto"/>
        <w:outlineLvl w:val="3"/>
        <w:rPr>
          <w:rFonts w:ascii="黑体" w:hAnsi="黑体" w:eastAsia="黑体"/>
          <w:color w:val="auto"/>
          <w:szCs w:val="32"/>
        </w:rPr>
      </w:pPr>
      <w:r>
        <w:rPr>
          <w:rFonts w:hint="eastAsia" w:ascii="黑体" w:hAnsi="黑体" w:eastAsia="黑体"/>
          <w:color w:val="auto"/>
          <w:szCs w:val="32"/>
          <w:lang w:val="en-US" w:eastAsia="zh-CN"/>
        </w:rPr>
        <w:t>4.8.2</w:t>
      </w:r>
      <w:r>
        <w:rPr>
          <w:rFonts w:hint="eastAsia" w:ascii="黑体" w:hAnsi="黑体" w:eastAsia="黑体"/>
          <w:color w:val="auto"/>
          <w:szCs w:val="32"/>
        </w:rPr>
        <w:t xml:space="preserve">  再现性</w:t>
      </w:r>
    </w:p>
    <w:p>
      <w:pPr>
        <w:spacing w:before="50" w:after="50"/>
        <w:ind w:firstLine="420" w:firstLineChars="200"/>
        <w:rPr>
          <w:rFonts w:hint="eastAsia"/>
          <w:color w:val="FF0000"/>
        </w:rPr>
      </w:pPr>
      <w:r>
        <w:rPr>
          <w:rFonts w:hint="eastAsia"/>
          <w:color w:val="auto"/>
        </w:rPr>
        <w:t>在再现性条件下</w:t>
      </w:r>
      <w:r>
        <w:rPr>
          <w:rFonts w:hint="eastAsia" w:ascii="宋体" w:hAnsi="宋体" w:eastAsia="宋体" w:cs="宋体"/>
          <w:color w:val="auto"/>
        </w:rPr>
        <w:t>获得的两次独立测试结果的测定值，在</w:t>
      </w:r>
      <w:r>
        <w:rPr>
          <w:rFonts w:hint="eastAsia" w:ascii="宋体" w:hAnsi="宋体" w:eastAsia="宋体" w:cs="宋体"/>
          <w:szCs w:val="21"/>
        </w:rPr>
        <w:t>表</w:t>
      </w:r>
      <w:r>
        <w:rPr>
          <w:rFonts w:hint="eastAsia" w:ascii="宋体" w:hAnsi="宋体" w:cs="宋体"/>
          <w:szCs w:val="21"/>
          <w:lang w:val="en-US" w:eastAsia="zh-CN"/>
        </w:rPr>
        <w:t>2</w:t>
      </w:r>
      <w:r>
        <w:rPr>
          <w:rFonts w:hint="eastAsia" w:ascii="宋体" w:hAnsi="宋体" w:eastAsia="宋体" w:cs="宋体"/>
          <w:color w:val="auto"/>
        </w:rPr>
        <w:t>给出的平均值范围内，两个测试结果的绝对差值不超过再现性限（</w:t>
      </w:r>
      <w:r>
        <w:rPr>
          <w:rFonts w:hint="eastAsia" w:ascii="宋体" w:hAnsi="宋体" w:eastAsia="宋体" w:cs="宋体"/>
          <w:i/>
          <w:color w:val="auto"/>
        </w:rPr>
        <w:t>R</w:t>
      </w:r>
      <w:r>
        <w:rPr>
          <w:rFonts w:hint="eastAsia" w:ascii="宋体" w:hAnsi="宋体" w:eastAsia="宋体" w:cs="宋体"/>
          <w:color w:val="auto"/>
        </w:rPr>
        <w:t>），超过再现性限（</w:t>
      </w:r>
      <w:r>
        <w:rPr>
          <w:rFonts w:hint="eastAsia" w:ascii="宋体" w:hAnsi="宋体" w:eastAsia="宋体" w:cs="宋体"/>
          <w:i/>
          <w:color w:val="auto"/>
        </w:rPr>
        <w:t>R</w:t>
      </w:r>
      <w:r>
        <w:rPr>
          <w:rFonts w:hint="eastAsia" w:ascii="宋体" w:hAnsi="宋体" w:eastAsia="宋体" w:cs="宋体"/>
          <w:color w:val="auto"/>
        </w:rPr>
        <w:t>）情况不超过5%。再现性限（</w:t>
      </w:r>
      <w:r>
        <w:rPr>
          <w:rFonts w:hint="eastAsia" w:ascii="宋体" w:hAnsi="宋体" w:eastAsia="宋体" w:cs="宋体"/>
          <w:i/>
          <w:color w:val="auto"/>
        </w:rPr>
        <w:t>R</w:t>
      </w:r>
      <w:r>
        <w:rPr>
          <w:rFonts w:hint="eastAsia" w:ascii="宋体" w:hAnsi="宋体" w:eastAsia="宋体" w:cs="宋体"/>
          <w:color w:val="auto"/>
        </w:rPr>
        <w:t>）按表2数据采用线性内插法或外延法求得</w:t>
      </w:r>
      <w:r>
        <w:rPr>
          <w:rFonts w:hint="eastAsia"/>
          <w:color w:val="auto"/>
        </w:rPr>
        <w:t>。</w:t>
      </w:r>
    </w:p>
    <w:p>
      <w:pPr>
        <w:spacing w:line="360" w:lineRule="auto"/>
        <w:ind w:firstLine="420" w:firstLineChars="200"/>
        <w:jc w:val="center"/>
        <w:rPr>
          <w:rFonts w:ascii="黑体" w:hAnsi="黑体" w:eastAsia="黑体"/>
        </w:rPr>
      </w:pPr>
      <w:r>
        <w:rPr>
          <w:rFonts w:hint="eastAsia" w:ascii="黑体" w:hAnsi="黑体" w:eastAsia="黑体"/>
          <w:szCs w:val="21"/>
        </w:rPr>
        <w:t xml:space="preserve">表2  </w:t>
      </w:r>
      <w:r>
        <w:rPr>
          <w:rFonts w:hint="eastAsia" w:ascii="黑体" w:hAnsi="黑体" w:eastAsia="黑体"/>
        </w:rPr>
        <w:t>再现性限</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1510"/>
        <w:gridCol w:w="1340"/>
        <w:gridCol w:w="134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rPr>
              <w:t>氧的质量分数/%</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lang w:val="en-US" w:eastAsia="zh-CN"/>
              </w:rPr>
              <w:t xml:space="preserve">0.00060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lang w:val="en-US" w:eastAsia="zh-CN"/>
              </w:rPr>
              <w:t>0.00151</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lang w:val="en-US" w:eastAsia="zh-CN"/>
              </w:rPr>
              <w:t>0.00419</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zCs w:val="21"/>
              </w:rPr>
            </w:pPr>
            <w:r>
              <w:rPr>
                <w:rFonts w:hint="eastAsia" w:ascii="宋体" w:hAnsi="宋体" w:eastAsia="宋体" w:cs="宋体"/>
                <w:color w:val="000000"/>
                <w:kern w:val="0"/>
                <w:sz w:val="18"/>
                <w:lang w:val="en-US" w:eastAsia="zh-CN"/>
              </w:rPr>
              <w:t>0.0204</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zCs w:val="21"/>
                <w:lang w:val="en-US" w:eastAsia="zh-CN"/>
              </w:rPr>
            </w:pPr>
            <w:r>
              <w:rPr>
                <w:rFonts w:hint="eastAsia" w:ascii="宋体" w:hAnsi="宋体" w:eastAsia="宋体" w:cs="宋体"/>
                <w:color w:val="000000"/>
                <w:kern w:val="0"/>
                <w:sz w:val="18"/>
                <w:lang w:val="en-US" w:eastAsia="zh-CN"/>
              </w:rPr>
              <w:t>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zCs w:val="21"/>
              </w:rPr>
            </w:pPr>
            <w:r>
              <w:rPr>
                <w:rFonts w:hint="eastAsia" w:ascii="宋体" w:hAnsi="宋体" w:cs="宋体"/>
                <w:color w:val="000000"/>
                <w:kern w:val="0"/>
                <w:sz w:val="18"/>
                <w:lang w:eastAsia="zh-CN"/>
              </w:rPr>
              <w:t>再现</w:t>
            </w:r>
            <w:r>
              <w:rPr>
                <w:rFonts w:hint="eastAsia" w:ascii="宋体" w:hAnsi="宋体" w:eastAsia="宋体" w:cs="宋体"/>
                <w:color w:val="000000"/>
                <w:kern w:val="0"/>
                <w:sz w:val="18"/>
              </w:rPr>
              <w:t>性限（</w:t>
            </w:r>
            <w:r>
              <w:rPr>
                <w:rFonts w:hint="eastAsia" w:ascii="宋体" w:hAnsi="宋体" w:eastAsia="宋体" w:cs="宋体"/>
                <w:i/>
                <w:iCs/>
                <w:kern w:val="0"/>
                <w:sz w:val="18"/>
              </w:rPr>
              <w:t>R</w:t>
            </w:r>
            <w:r>
              <w:rPr>
                <w:rFonts w:hint="eastAsia" w:ascii="宋体" w:hAnsi="宋体" w:eastAsia="宋体" w:cs="宋体"/>
                <w:color w:val="000000"/>
                <w:kern w:val="0"/>
                <w:sz w:val="18"/>
              </w:rPr>
              <w:t>）/%</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0.00019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0.00034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0.00037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0.0028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eastAsia="宋体" w:cs="宋体"/>
                <w:color w:val="000000"/>
                <w:kern w:val="0"/>
                <w:sz w:val="18"/>
                <w:lang w:eastAsia="zh-CN"/>
              </w:rPr>
              <w:t>氮</w:t>
            </w:r>
            <w:r>
              <w:rPr>
                <w:rFonts w:hint="eastAsia" w:ascii="宋体" w:hAnsi="宋体" w:eastAsia="宋体" w:cs="宋体"/>
                <w:color w:val="000000"/>
                <w:kern w:val="0"/>
                <w:sz w:val="18"/>
              </w:rPr>
              <w:t>的质量分数/%</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lang w:eastAsia="zh-CN"/>
              </w:rPr>
            </w:pPr>
            <w:r>
              <w:rPr>
                <w:rFonts w:hint="eastAsia" w:ascii="宋体" w:hAnsi="宋体" w:eastAsia="宋体" w:cs="宋体"/>
                <w:color w:val="000000"/>
                <w:kern w:val="0"/>
                <w:sz w:val="18"/>
                <w:lang w:val="en-US" w:eastAsia="zh-CN"/>
              </w:rPr>
              <w:t xml:space="preserve">0.00032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lang w:val="en-US" w:eastAsia="zh-CN"/>
              </w:rPr>
            </w:pPr>
            <w:r>
              <w:rPr>
                <w:rFonts w:hint="eastAsia" w:ascii="宋体" w:hAnsi="宋体" w:eastAsia="宋体" w:cs="宋体"/>
                <w:color w:val="000000"/>
                <w:kern w:val="0"/>
                <w:sz w:val="18"/>
                <w:lang w:val="en-US" w:eastAsia="zh-CN"/>
              </w:rPr>
              <w:t>0.00199</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lang w:val="en-US" w:eastAsia="zh-CN"/>
              </w:rPr>
            </w:pPr>
            <w:r>
              <w:rPr>
                <w:rFonts w:hint="eastAsia" w:ascii="宋体" w:hAnsi="宋体" w:eastAsia="宋体" w:cs="宋体"/>
                <w:color w:val="000000"/>
                <w:kern w:val="0"/>
                <w:sz w:val="18"/>
                <w:lang w:val="en-US" w:eastAsia="zh-CN"/>
              </w:rPr>
              <w:t>0.0478</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lang w:val="en-US" w:eastAsia="zh-CN"/>
              </w:rPr>
            </w:pPr>
            <w:r>
              <w:rPr>
                <w:rFonts w:hint="eastAsia" w:ascii="宋体" w:hAnsi="宋体" w:eastAsia="宋体" w:cs="宋体"/>
                <w:szCs w:val="21"/>
                <w:lang w:val="en-US" w:eastAsia="zh-CN"/>
              </w:rPr>
              <w:t>---</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0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color w:val="000000"/>
                <w:kern w:val="0"/>
                <w:sz w:val="18"/>
              </w:rPr>
            </w:pPr>
            <w:r>
              <w:rPr>
                <w:rFonts w:hint="eastAsia" w:ascii="宋体" w:hAnsi="宋体" w:cs="宋体"/>
                <w:color w:val="000000"/>
                <w:kern w:val="0"/>
                <w:sz w:val="18"/>
                <w:lang w:eastAsia="zh-CN"/>
              </w:rPr>
              <w:t>再现</w:t>
            </w:r>
            <w:r>
              <w:rPr>
                <w:rFonts w:hint="eastAsia" w:ascii="宋体" w:hAnsi="宋体" w:eastAsia="宋体" w:cs="宋体"/>
                <w:color w:val="000000"/>
                <w:kern w:val="0"/>
                <w:sz w:val="18"/>
              </w:rPr>
              <w:t>性限（</w:t>
            </w:r>
            <w:r>
              <w:rPr>
                <w:rFonts w:hint="eastAsia" w:ascii="宋体" w:hAnsi="宋体" w:eastAsia="宋体" w:cs="宋体"/>
                <w:i/>
                <w:iCs/>
                <w:kern w:val="0"/>
                <w:sz w:val="18"/>
              </w:rPr>
              <w:t>R</w:t>
            </w:r>
            <w:r>
              <w:rPr>
                <w:rFonts w:hint="eastAsia" w:ascii="宋体" w:hAnsi="宋体" w:eastAsia="宋体" w:cs="宋体"/>
                <w:color w:val="000000"/>
                <w:kern w:val="0"/>
                <w:sz w:val="18"/>
              </w:rPr>
              <w:t>）/%</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0.00017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0.00050 </w:t>
            </w:r>
          </w:p>
        </w:tc>
        <w:tc>
          <w:tcPr>
            <w:tcW w:w="1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000000"/>
                <w:kern w:val="0"/>
                <w:sz w:val="18"/>
                <w:lang w:val="en-US" w:eastAsia="zh-CN"/>
              </w:rPr>
            </w:pPr>
            <w:r>
              <w:rPr>
                <w:rFonts w:hint="eastAsia" w:ascii="宋体" w:hAnsi="宋体" w:eastAsia="宋体" w:cs="宋体"/>
                <w:color w:val="000000"/>
                <w:kern w:val="0"/>
                <w:sz w:val="18"/>
                <w:lang w:val="en-US" w:eastAsia="zh-CN"/>
              </w:rPr>
              <w:t xml:space="preserve">0.0037 </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lang w:eastAsia="zh-CN"/>
              </w:rPr>
            </w:pPr>
            <w:r>
              <w:rPr>
                <w:rFonts w:hint="eastAsia" w:ascii="宋体" w:hAnsi="宋体" w:eastAsia="宋体" w:cs="宋体"/>
                <w:szCs w:val="21"/>
                <w:lang w:val="en-US" w:eastAsia="zh-CN"/>
              </w:rPr>
              <w:t>---</w:t>
            </w:r>
          </w:p>
        </w:tc>
        <w:tc>
          <w:tcPr>
            <w:tcW w:w="134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9571" w:type="dxa"/>
            <w:gridSpan w:val="6"/>
            <w:noWrap w:val="0"/>
            <w:vAlign w:val="top"/>
          </w:tcPr>
          <w:p>
            <w:pPr>
              <w:adjustRightInd w:val="0"/>
              <w:snapToGrid w:val="0"/>
              <w:spacing w:line="300" w:lineRule="auto"/>
              <w:rPr>
                <w:rFonts w:hint="eastAsia" w:ascii="宋体" w:hAnsi="宋体" w:eastAsia="宋体" w:cs="宋体"/>
                <w:color w:val="000000"/>
                <w:kern w:val="0"/>
                <w:sz w:val="18"/>
              </w:rPr>
            </w:pPr>
            <w:r>
              <w:rPr>
                <w:rFonts w:hint="eastAsia" w:ascii="黑体" w:hAnsi="黑体" w:eastAsia="黑体" w:cs="黑体"/>
                <w:kern w:val="0"/>
                <w:sz w:val="18"/>
              </w:rPr>
              <w:t>注：</w:t>
            </w:r>
            <w:r>
              <w:rPr>
                <w:rFonts w:hint="eastAsia" w:ascii="宋体" w:hAnsi="宋体" w:eastAsia="宋体" w:cs="宋体"/>
                <w:kern w:val="0"/>
                <w:sz w:val="18"/>
              </w:rPr>
              <w:t>再现性限（</w:t>
            </w:r>
            <w:r>
              <w:rPr>
                <w:rFonts w:hint="eastAsia" w:ascii="宋体" w:hAnsi="宋体" w:eastAsia="宋体" w:cs="宋体"/>
                <w:i/>
                <w:iCs/>
                <w:kern w:val="0"/>
                <w:sz w:val="18"/>
              </w:rPr>
              <w:t>R</w:t>
            </w:r>
            <w:r>
              <w:rPr>
                <w:rFonts w:hint="eastAsia" w:ascii="宋体" w:hAnsi="宋体" w:eastAsia="宋体" w:cs="宋体"/>
                <w:kern w:val="0"/>
                <w:sz w:val="18"/>
              </w:rPr>
              <w:t>）为2.83S</w:t>
            </w:r>
            <w:r>
              <w:rPr>
                <w:rFonts w:hint="eastAsia" w:ascii="宋体" w:hAnsi="宋体" w:eastAsia="宋体" w:cs="宋体"/>
                <w:kern w:val="0"/>
                <w:szCs w:val="21"/>
                <w:vertAlign w:val="subscript"/>
              </w:rPr>
              <w:t>R</w:t>
            </w:r>
            <w:r>
              <w:rPr>
                <w:rFonts w:hint="eastAsia" w:ascii="宋体" w:hAnsi="宋体" w:eastAsia="宋体" w:cs="宋体"/>
                <w:kern w:val="0"/>
                <w:sz w:val="18"/>
              </w:rPr>
              <w:t>，S</w:t>
            </w:r>
            <w:r>
              <w:rPr>
                <w:rFonts w:hint="eastAsia" w:ascii="宋体" w:hAnsi="宋体" w:eastAsia="宋体" w:cs="宋体"/>
                <w:kern w:val="0"/>
                <w:szCs w:val="21"/>
                <w:vertAlign w:val="subscript"/>
              </w:rPr>
              <w:t>R</w:t>
            </w:r>
            <w:r>
              <w:rPr>
                <w:rFonts w:hint="eastAsia" w:ascii="宋体" w:hAnsi="宋体" w:eastAsia="宋体" w:cs="宋体"/>
                <w:kern w:val="0"/>
                <w:sz w:val="18"/>
              </w:rPr>
              <w:t>为再现性标准偏差。</w:t>
            </w:r>
          </w:p>
        </w:tc>
      </w:tr>
    </w:tbl>
    <w:p>
      <w:pPr>
        <w:widowControl/>
        <w:numPr>
          <w:ilvl w:val="1"/>
          <w:numId w:val="0"/>
        </w:numPr>
        <w:spacing w:before="486" w:beforeLines="150" w:after="486" w:afterLines="150"/>
        <w:outlineLvl w:val="0"/>
        <w:rPr>
          <w:rFonts w:hint="eastAsia" w:ascii="黑体" w:hAnsi="宋体" w:eastAsia="黑体"/>
          <w:kern w:val="0"/>
          <w:szCs w:val="20"/>
        </w:rPr>
      </w:pPr>
      <w:r>
        <w:rPr>
          <w:rFonts w:hint="eastAsia" w:ascii="黑体" w:hAnsi="宋体" w:eastAsia="黑体"/>
          <w:kern w:val="0"/>
          <w:szCs w:val="20"/>
          <w:lang w:val="en-US" w:eastAsia="zh-CN"/>
        </w:rPr>
        <w:t>5</w:t>
      </w:r>
      <w:r>
        <w:rPr>
          <w:rFonts w:hint="eastAsia" w:ascii="黑体" w:hAnsi="宋体" w:eastAsia="黑体"/>
          <w:kern w:val="0"/>
          <w:szCs w:val="20"/>
        </w:rPr>
        <w:t xml:space="preserve">  </w:t>
      </w:r>
      <w:r>
        <w:rPr>
          <w:rFonts w:hint="eastAsia" w:ascii="黑体" w:hAnsi="宋体" w:eastAsia="黑体"/>
          <w:kern w:val="0"/>
          <w:szCs w:val="20"/>
          <w:lang w:eastAsia="zh-CN"/>
        </w:rPr>
        <w:t>方法二</w:t>
      </w:r>
      <w:r>
        <w:rPr>
          <w:rFonts w:hint="eastAsia" w:ascii="黑体" w:hAnsi="宋体" w:eastAsia="黑体"/>
          <w:kern w:val="0"/>
          <w:szCs w:val="20"/>
          <w:lang w:val="en-US" w:eastAsia="zh-CN"/>
        </w:rPr>
        <w:t>: 惰性气体熔融-红外吸收法或热导法测定氢含量</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5.1  原理</w:t>
      </w:r>
    </w:p>
    <w:p>
      <w:pPr>
        <w:widowControl/>
        <w:numPr>
          <w:ilvl w:val="1"/>
          <w:numId w:val="0"/>
        </w:numPr>
        <w:spacing w:before="156" w:after="156"/>
        <w:ind w:firstLine="420" w:firstLineChars="200"/>
        <w:outlineLvl w:val="1"/>
        <w:rPr>
          <w:kern w:val="0"/>
          <w:szCs w:val="20"/>
        </w:rPr>
      </w:pPr>
      <w:r>
        <w:rPr>
          <w:kern w:val="0"/>
          <w:szCs w:val="20"/>
        </w:rPr>
        <w:t>将制备好的试料置于石墨坩埚中，在惰性气氛下加热熔融，释放出氢。氢分子与释放出的其他气体（如一氧化碳等）分离后由惰性载气导入热导检测器输出信号；或随同惰性载气通过氧化铜炉后转化为水分子，导入红外检测器输出信号。计算机根据样品质量和信号强度计算氢含量。</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5.2  试剂或材料</w:t>
      </w:r>
    </w:p>
    <w:p>
      <w:pPr>
        <w:pStyle w:val="89"/>
        <w:numPr>
          <w:ilvl w:val="1"/>
          <w:numId w:val="0"/>
        </w:numPr>
        <w:jc w:val="left"/>
        <w:rPr>
          <w:rFonts w:hint="eastAsia" w:ascii="宋体" w:hAnsi="宋体" w:eastAsia="宋体" w:cs="宋体"/>
          <w:kern w:val="2"/>
          <w:szCs w:val="24"/>
        </w:rPr>
      </w:pPr>
      <w:r>
        <w:rPr>
          <w:rFonts w:hint="eastAsia" w:ascii="黑体" w:hAnsi="黑体" w:eastAsia="黑体" w:cs="黑体"/>
          <w:kern w:val="2"/>
          <w:szCs w:val="24"/>
        </w:rPr>
        <w:t>5.2.1</w:t>
      </w:r>
      <w:r>
        <w:rPr>
          <w:rFonts w:hint="eastAsia" w:ascii="宋体" w:hAnsi="宋体" w:eastAsia="宋体" w:cs="宋体"/>
        </w:rPr>
        <w:t>　</w:t>
      </w:r>
      <w:r>
        <w:rPr>
          <w:rFonts w:hint="eastAsia" w:ascii="宋体" w:hAnsi="宋体" w:eastAsia="宋体" w:cs="宋体"/>
          <w:kern w:val="2"/>
          <w:szCs w:val="24"/>
        </w:rPr>
        <w:t>无水乙醇或丙酮，分析纯。</w:t>
      </w:r>
    </w:p>
    <w:p>
      <w:pPr>
        <w:rPr>
          <w:rFonts w:hint="eastAsia" w:ascii="宋体" w:hAnsi="宋体" w:eastAsia="宋体" w:cs="宋体"/>
          <w:kern w:val="0"/>
          <w:szCs w:val="20"/>
        </w:rPr>
      </w:pPr>
      <w:r>
        <w:rPr>
          <w:rFonts w:hint="eastAsia" w:ascii="黑体" w:hAnsi="黑体" w:eastAsia="黑体" w:cs="黑体"/>
          <w:kern w:val="0"/>
          <w:szCs w:val="20"/>
        </w:rPr>
        <w:t>5.2.2</w:t>
      </w:r>
      <w:r>
        <w:rPr>
          <w:rFonts w:hint="eastAsia" w:ascii="宋体" w:hAnsi="宋体" w:eastAsia="宋体" w:cs="宋体"/>
          <w:kern w:val="0"/>
          <w:szCs w:val="20"/>
        </w:rPr>
        <w:t>　标准物质/标准样品：铜及铜合金中氢标准物质/标准样品，或其他适用的钢中氢标准物质/标准样品。</w:t>
      </w:r>
    </w:p>
    <w:p>
      <w:pPr>
        <w:pStyle w:val="89"/>
        <w:numPr>
          <w:ilvl w:val="1"/>
          <w:numId w:val="0"/>
        </w:numPr>
        <w:jc w:val="left"/>
        <w:rPr>
          <w:rFonts w:hint="eastAsia" w:ascii="宋体" w:hAnsi="宋体" w:eastAsia="宋体" w:cs="宋体"/>
          <w:kern w:val="2"/>
          <w:szCs w:val="24"/>
        </w:rPr>
      </w:pPr>
      <w:r>
        <w:rPr>
          <w:rFonts w:hint="eastAsia" w:ascii="黑体" w:hAnsi="黑体" w:eastAsia="黑体" w:cs="黑体"/>
          <w:kern w:val="2"/>
          <w:szCs w:val="24"/>
        </w:rPr>
        <w:t>5.2.3</w:t>
      </w:r>
      <w:r>
        <w:rPr>
          <w:rFonts w:hint="eastAsia" w:ascii="宋体" w:hAnsi="宋体" w:eastAsia="宋体" w:cs="宋体"/>
        </w:rPr>
        <w:t>　</w:t>
      </w:r>
      <w:r>
        <w:rPr>
          <w:rFonts w:hint="eastAsia" w:ascii="宋体" w:hAnsi="宋体" w:eastAsia="宋体" w:cs="宋体"/>
          <w:kern w:val="2"/>
          <w:szCs w:val="24"/>
        </w:rPr>
        <w:t>助熔剂：锡片或锡粒，纯度不小于99.99%，氢不大于0.0001%。</w:t>
      </w:r>
    </w:p>
    <w:p>
      <w:pPr>
        <w:pStyle w:val="89"/>
        <w:numPr>
          <w:ilvl w:val="1"/>
          <w:numId w:val="0"/>
        </w:numPr>
        <w:jc w:val="left"/>
        <w:rPr>
          <w:rFonts w:hint="eastAsia" w:ascii="宋体" w:hAnsi="宋体" w:eastAsia="宋体" w:cs="宋体"/>
        </w:rPr>
      </w:pPr>
      <w:r>
        <w:rPr>
          <w:rFonts w:hint="eastAsia" w:ascii="黑体" w:hAnsi="黑体" w:eastAsia="黑体" w:cs="黑体"/>
          <w:kern w:val="2"/>
          <w:szCs w:val="24"/>
        </w:rPr>
        <w:t>5.2.4</w:t>
      </w:r>
      <w:r>
        <w:rPr>
          <w:rFonts w:hint="eastAsia" w:ascii="宋体" w:hAnsi="宋体" w:eastAsia="宋体" w:cs="宋体"/>
        </w:rPr>
        <w:t>　</w:t>
      </w:r>
      <w:r>
        <w:rPr>
          <w:rFonts w:hint="eastAsia" w:ascii="宋体" w:hAnsi="宋体" w:eastAsia="宋体" w:cs="宋体"/>
          <w:kern w:val="2"/>
          <w:szCs w:val="24"/>
        </w:rPr>
        <w:t>高纯氦（或高纯氮）：纯度不小于99.999%。</w:t>
      </w:r>
    </w:p>
    <w:p>
      <w:pPr>
        <w:rPr>
          <w:rFonts w:hint="eastAsia" w:ascii="宋体" w:hAnsi="宋体" w:eastAsia="宋体" w:cs="宋体"/>
          <w:kern w:val="0"/>
          <w:szCs w:val="20"/>
        </w:rPr>
      </w:pPr>
      <w:r>
        <w:rPr>
          <w:rFonts w:hint="eastAsia" w:ascii="黑体" w:hAnsi="黑体" w:eastAsia="黑体" w:cs="黑体"/>
          <w:kern w:val="0"/>
          <w:szCs w:val="20"/>
        </w:rPr>
        <w:t>5.2.5</w:t>
      </w:r>
      <w:r>
        <w:rPr>
          <w:rFonts w:hint="eastAsia" w:ascii="宋体" w:hAnsi="宋体" w:eastAsia="宋体" w:cs="宋体"/>
          <w:kern w:val="0"/>
          <w:szCs w:val="20"/>
        </w:rPr>
        <w:t>　动力气（氮气、氩气或压缩空气）：其杂质（油或水）不大于0.5%。</w:t>
      </w:r>
    </w:p>
    <w:p>
      <w:pPr>
        <w:pStyle w:val="89"/>
        <w:numPr>
          <w:ilvl w:val="1"/>
          <w:numId w:val="0"/>
        </w:numPr>
        <w:jc w:val="left"/>
        <w:rPr>
          <w:rFonts w:hint="eastAsia" w:ascii="宋体" w:hAnsi="宋体" w:eastAsia="宋体" w:cs="宋体"/>
          <w:kern w:val="2"/>
          <w:szCs w:val="24"/>
        </w:rPr>
      </w:pPr>
      <w:r>
        <w:rPr>
          <w:rFonts w:hint="eastAsia" w:ascii="黑体" w:hAnsi="黑体" w:eastAsia="黑体" w:cs="黑体"/>
          <w:kern w:val="2"/>
          <w:szCs w:val="24"/>
        </w:rPr>
        <w:t>5.2.6</w:t>
      </w:r>
      <w:r>
        <w:rPr>
          <w:rFonts w:hint="eastAsia" w:ascii="宋体" w:hAnsi="宋体" w:eastAsia="宋体" w:cs="宋体"/>
        </w:rPr>
        <w:t>　</w:t>
      </w:r>
      <w:r>
        <w:rPr>
          <w:rFonts w:hint="eastAsia" w:ascii="宋体" w:hAnsi="宋体" w:eastAsia="宋体" w:cs="宋体"/>
          <w:kern w:val="2"/>
          <w:szCs w:val="24"/>
        </w:rPr>
        <w:t>石墨坩埚：</w:t>
      </w:r>
      <w:r>
        <w:rPr>
          <w:rFonts w:hint="eastAsia" w:ascii="宋体" w:hAnsi="宋体" w:eastAsia="宋体" w:cs="宋体"/>
        </w:rPr>
        <w:t>采用高纯或光谱纯石墨加工而成</w:t>
      </w:r>
      <w:r>
        <w:rPr>
          <w:rFonts w:hint="eastAsia" w:ascii="宋体" w:hAnsi="宋体" w:eastAsia="宋体" w:cs="宋体"/>
          <w:kern w:val="2"/>
          <w:szCs w:val="24"/>
        </w:rPr>
        <w:t>。</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4.3  仪器设备</w:t>
      </w:r>
    </w:p>
    <w:p>
      <w:pPr>
        <w:widowControl/>
        <w:numPr>
          <w:ilvl w:val="1"/>
          <w:numId w:val="0"/>
        </w:numPr>
        <w:ind w:firstLine="420" w:firstLineChars="200"/>
        <w:outlineLvl w:val="1"/>
        <w:rPr>
          <w:szCs w:val="21"/>
        </w:rPr>
      </w:pPr>
      <w:r>
        <w:rPr>
          <w:szCs w:val="21"/>
        </w:rPr>
        <w:t>惰性气体熔融-红外或热导检</w:t>
      </w:r>
      <w:r>
        <w:rPr>
          <w:rFonts w:hint="eastAsia" w:ascii="宋体" w:hAnsi="宋体" w:eastAsia="宋体" w:cs="宋体"/>
          <w:szCs w:val="21"/>
        </w:rPr>
        <w:t>测系统（包括电极炉、吸尘装置、载气净化及分析气体转化系统、红外检测器或热导检测器、计算机及软件控制系统）。附录A给</w:t>
      </w:r>
      <w:r>
        <w:rPr>
          <w:szCs w:val="21"/>
        </w:rPr>
        <w:t>出了</w:t>
      </w:r>
      <w:r>
        <w:rPr>
          <w:rFonts w:hint="eastAsia"/>
          <w:szCs w:val="21"/>
          <w:lang w:val="en-US" w:eastAsia="zh-CN"/>
        </w:rPr>
        <w:t>推荐</w:t>
      </w:r>
      <w:r>
        <w:rPr>
          <w:szCs w:val="21"/>
        </w:rPr>
        <w:t>仪器工作条件。</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lang w:val="en-US" w:eastAsia="zh-CN"/>
        </w:rPr>
      </w:pPr>
      <w:r>
        <w:rPr>
          <w:rFonts w:hint="eastAsia" w:ascii="黑体" w:hAnsi="宋体" w:eastAsia="黑体"/>
          <w:kern w:val="0"/>
          <w:szCs w:val="20"/>
          <w:lang w:val="en-US" w:eastAsia="zh-CN"/>
        </w:rPr>
        <w:t>5.4  样品</w:t>
      </w:r>
    </w:p>
    <w:p>
      <w:pPr>
        <w:widowControl/>
        <w:numPr>
          <w:ilvl w:val="1"/>
          <w:numId w:val="0"/>
        </w:numPr>
        <w:outlineLvl w:val="1"/>
        <w:rPr>
          <w:rFonts w:hint="eastAsia" w:ascii="宋体" w:hAnsi="宋体" w:eastAsia="宋体" w:cs="宋体"/>
          <w:kern w:val="0"/>
          <w:szCs w:val="20"/>
        </w:rPr>
      </w:pPr>
      <w:r>
        <w:rPr>
          <w:rFonts w:hint="eastAsia" w:ascii="黑体" w:hAnsi="黑体" w:eastAsia="黑体" w:cs="黑体"/>
        </w:rPr>
        <w:t>5.4.1</w:t>
      </w:r>
      <w:r>
        <w:rPr>
          <w:rFonts w:hint="eastAsia" w:ascii="宋体" w:hAnsi="宋体" w:eastAsia="宋体" w:cs="宋体"/>
        </w:rPr>
        <w:t>　将试样加工成直径</w:t>
      </w:r>
      <w:r>
        <w:rPr>
          <w:rFonts w:hint="eastAsia" w:ascii="宋体" w:hAnsi="宋体" w:eastAsia="宋体" w:cs="宋体"/>
          <w:kern w:val="0"/>
          <w:szCs w:val="20"/>
        </w:rPr>
        <w:t>Ф4mm</w:t>
      </w:r>
      <w:r>
        <w:rPr>
          <w:rFonts w:hint="eastAsia" w:ascii="宋体" w:hAnsi="宋体" w:eastAsia="宋体" w:cs="宋体"/>
          <w:szCs w:val="21"/>
        </w:rPr>
        <w:t>～</w:t>
      </w:r>
      <w:r>
        <w:rPr>
          <w:rFonts w:hint="eastAsia" w:ascii="宋体" w:hAnsi="宋体" w:eastAsia="宋体" w:cs="宋体"/>
          <w:kern w:val="0"/>
          <w:szCs w:val="20"/>
        </w:rPr>
        <w:t>Ф6mm，或截面为3mm×3mm</w:t>
      </w:r>
      <w:r>
        <w:rPr>
          <w:rFonts w:hint="eastAsia" w:ascii="宋体" w:hAnsi="宋体" w:eastAsia="宋体" w:cs="宋体"/>
          <w:szCs w:val="21"/>
        </w:rPr>
        <w:t>～</w:t>
      </w:r>
      <w:r>
        <w:rPr>
          <w:rFonts w:hint="eastAsia" w:ascii="宋体" w:hAnsi="宋体" w:eastAsia="宋体" w:cs="宋体"/>
          <w:kern w:val="0"/>
          <w:szCs w:val="20"/>
        </w:rPr>
        <w:t>5mm×5mm，长度大于40mm</w:t>
      </w:r>
      <w:r>
        <w:rPr>
          <w:rFonts w:hint="eastAsia" w:ascii="宋体" w:hAnsi="宋体" w:eastAsia="宋体" w:cs="宋体"/>
        </w:rPr>
        <w:t>的圆棒或条状，或</w:t>
      </w:r>
      <w:r>
        <w:rPr>
          <w:rFonts w:hint="eastAsia" w:ascii="宋体" w:hAnsi="宋体" w:eastAsia="宋体" w:cs="宋体"/>
          <w:kern w:val="0"/>
          <w:szCs w:val="20"/>
        </w:rPr>
        <w:t>其他具有足够尺寸和重量的小块。线材、</w:t>
      </w:r>
      <w:r>
        <w:rPr>
          <w:rFonts w:hint="eastAsia" w:ascii="宋体" w:hAnsi="宋体" w:eastAsia="宋体" w:cs="宋体"/>
          <w:szCs w:val="21"/>
        </w:rPr>
        <w:t>丝材可直接取样。</w:t>
      </w:r>
    </w:p>
    <w:p>
      <w:pPr>
        <w:widowControl/>
        <w:numPr>
          <w:ilvl w:val="1"/>
          <w:numId w:val="0"/>
        </w:numPr>
        <w:outlineLvl w:val="1"/>
        <w:rPr>
          <w:rFonts w:hint="eastAsia" w:ascii="宋体" w:hAnsi="宋体" w:eastAsia="宋体" w:cs="宋体"/>
          <w:kern w:val="0"/>
          <w:szCs w:val="20"/>
        </w:rPr>
      </w:pPr>
      <w:r>
        <w:rPr>
          <w:rFonts w:hint="eastAsia" w:ascii="黑体" w:hAnsi="黑体" w:eastAsia="黑体" w:cs="黑体"/>
          <w:kern w:val="0"/>
          <w:szCs w:val="20"/>
        </w:rPr>
        <w:t>5.4.2</w:t>
      </w:r>
      <w:r>
        <w:rPr>
          <w:rFonts w:hint="eastAsia" w:ascii="宋体" w:hAnsi="宋体" w:eastAsia="宋体" w:cs="宋体"/>
          <w:kern w:val="0"/>
          <w:szCs w:val="20"/>
        </w:rPr>
        <w:t>　采用车床、钢锉去除表面污染或氧化层，暴露出新鲜金属表面。加工时不可过热以防氢元素逸出。</w:t>
      </w:r>
    </w:p>
    <w:p>
      <w:pPr>
        <w:widowControl/>
        <w:numPr>
          <w:ilvl w:val="1"/>
          <w:numId w:val="0"/>
        </w:numPr>
        <w:outlineLvl w:val="1"/>
        <w:rPr>
          <w:rFonts w:hint="eastAsia" w:ascii="宋体" w:hAnsi="宋体" w:eastAsia="宋体" w:cs="宋体"/>
          <w:szCs w:val="21"/>
        </w:rPr>
      </w:pPr>
      <w:r>
        <w:rPr>
          <w:rFonts w:hint="eastAsia" w:ascii="黑体" w:hAnsi="黑体" w:eastAsia="黑体" w:cs="黑体"/>
          <w:kern w:val="0"/>
          <w:szCs w:val="20"/>
        </w:rPr>
        <w:t>5.4.3</w:t>
      </w:r>
      <w:r>
        <w:rPr>
          <w:rFonts w:hint="eastAsia" w:ascii="宋体" w:hAnsi="宋体" w:eastAsia="宋体" w:cs="宋体"/>
          <w:kern w:val="0"/>
          <w:szCs w:val="20"/>
        </w:rPr>
        <w:t>　</w:t>
      </w:r>
      <w:r>
        <w:rPr>
          <w:rFonts w:hint="eastAsia" w:ascii="宋体" w:hAnsi="宋体" w:eastAsia="宋体" w:cs="宋体"/>
          <w:szCs w:val="21"/>
        </w:rPr>
        <w:t>用专用钢锉、手锯或断线剪将样品加工成所需的重量，加工后的试样应无气孔、裂纹等肉眼可见的缺陷。</w:t>
      </w:r>
    </w:p>
    <w:p>
      <w:pPr>
        <w:rPr>
          <w:rFonts w:hint="eastAsia" w:ascii="宋体" w:hAnsi="宋体" w:eastAsia="宋体" w:cs="宋体"/>
          <w:szCs w:val="21"/>
        </w:rPr>
      </w:pPr>
      <w:r>
        <w:rPr>
          <w:rFonts w:hint="eastAsia" w:ascii="黑体" w:hAnsi="黑体" w:eastAsia="黑体" w:cs="黑体"/>
          <w:szCs w:val="21"/>
        </w:rPr>
        <w:t>5.4.4</w:t>
      </w:r>
      <w:r>
        <w:rPr>
          <w:rFonts w:hint="eastAsia" w:ascii="宋体" w:hAnsi="宋体" w:eastAsia="宋体" w:cs="宋体"/>
          <w:szCs w:val="21"/>
        </w:rPr>
        <w:t>　将试样置于无水乙醇或丙酮（5.2.</w:t>
      </w:r>
      <w:r>
        <w:rPr>
          <w:rFonts w:hint="eastAsia" w:ascii="宋体" w:hAnsi="宋体" w:cs="宋体"/>
          <w:szCs w:val="21"/>
          <w:lang w:val="en-US" w:eastAsia="zh-CN"/>
        </w:rPr>
        <w:t>1</w:t>
      </w:r>
      <w:r>
        <w:rPr>
          <w:rFonts w:hint="eastAsia" w:ascii="宋体" w:hAnsi="宋体" w:eastAsia="宋体" w:cs="宋体"/>
          <w:szCs w:val="21"/>
        </w:rPr>
        <w:t>）洗涤，冷风吹干或自然风干后立即分析。处理好的样品在检测前不能有任何污染，检测过程应使用干净的镊子进行夹取。</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ascii="黑体" w:hAnsi="宋体" w:eastAsia="黑体"/>
          <w:kern w:val="0"/>
          <w:szCs w:val="20"/>
        </w:rPr>
      </w:pPr>
      <w:r>
        <w:rPr>
          <w:rFonts w:hint="eastAsia" w:ascii="黑体" w:hAnsi="宋体" w:eastAsia="黑体"/>
          <w:kern w:val="0"/>
          <w:szCs w:val="20"/>
          <w:lang w:val="en-US" w:eastAsia="zh-CN"/>
        </w:rPr>
        <w:t>5.5</w:t>
      </w:r>
      <w:r>
        <w:rPr>
          <w:rFonts w:hint="eastAsia" w:ascii="黑体" w:hAnsi="宋体" w:eastAsia="黑体"/>
          <w:kern w:val="0"/>
          <w:szCs w:val="20"/>
        </w:rPr>
        <w:t xml:space="preserve">  试验步骤</w:t>
      </w:r>
    </w:p>
    <w:p>
      <w:pPr>
        <w:spacing w:before="162" w:beforeLines="50" w:after="162" w:afterLines="50"/>
        <w:rPr>
          <w:rFonts w:hint="eastAsia" w:ascii="黑体" w:hAnsi="黑体" w:eastAsia="黑体" w:cs="黑体"/>
          <w:szCs w:val="21"/>
        </w:rPr>
      </w:pPr>
      <w:r>
        <w:rPr>
          <w:rFonts w:hint="eastAsia" w:ascii="黑体" w:hAnsi="黑体" w:eastAsia="黑体" w:cs="黑体"/>
          <w:szCs w:val="21"/>
        </w:rPr>
        <w:t>5.5.1　试料</w:t>
      </w:r>
    </w:p>
    <w:p>
      <w:pPr>
        <w:ind w:firstLine="420"/>
        <w:rPr>
          <w:kern w:val="0"/>
          <w:szCs w:val="20"/>
        </w:rPr>
      </w:pPr>
      <w:r>
        <w:rPr>
          <w:rFonts w:hint="eastAsia" w:ascii="宋体" w:hAnsi="宋体" w:eastAsia="宋体" w:cs="宋体"/>
          <w:szCs w:val="21"/>
        </w:rPr>
        <w:t>称取0.5 g～</w:t>
      </w:r>
      <w:r>
        <w:rPr>
          <w:rFonts w:hint="eastAsia" w:ascii="宋体" w:hAnsi="宋体" w:eastAsia="宋体" w:cs="宋体"/>
          <w:kern w:val="0"/>
          <w:szCs w:val="20"/>
        </w:rPr>
        <w:t>2.0 g试样（5.4），精确至0.0001 g。</w:t>
      </w:r>
    </w:p>
    <w:p>
      <w:pPr>
        <w:spacing w:before="162" w:beforeLines="50" w:after="162" w:afterLines="50"/>
        <w:rPr>
          <w:rFonts w:eastAsia="黑体"/>
          <w:szCs w:val="21"/>
        </w:rPr>
      </w:pPr>
      <w:r>
        <w:rPr>
          <w:rFonts w:hint="eastAsia" w:ascii="黑体" w:hAnsi="黑体" w:eastAsia="黑体" w:cs="黑体"/>
          <w:szCs w:val="21"/>
        </w:rPr>
        <w:t>5.5.2</w:t>
      </w:r>
      <w:r>
        <w:rPr>
          <w:rFonts w:eastAsia="黑体"/>
          <w:szCs w:val="21"/>
        </w:rPr>
        <w:t>　</w:t>
      </w:r>
      <w:r>
        <w:rPr>
          <w:rFonts w:hint="eastAsia" w:eastAsia="黑体"/>
          <w:szCs w:val="21"/>
        </w:rPr>
        <w:t>测定次数</w:t>
      </w:r>
    </w:p>
    <w:p>
      <w:pPr>
        <w:ind w:firstLine="420"/>
        <w:rPr>
          <w:kern w:val="0"/>
          <w:szCs w:val="20"/>
        </w:rPr>
      </w:pPr>
      <w:r>
        <w:rPr>
          <w:rFonts w:hint="eastAsia"/>
          <w:kern w:val="0"/>
          <w:szCs w:val="20"/>
        </w:rPr>
        <w:t>独立进行二次测定，结果取其平均值</w:t>
      </w:r>
      <w:r>
        <w:rPr>
          <w:kern w:val="0"/>
          <w:szCs w:val="20"/>
        </w:rPr>
        <w:t>。</w:t>
      </w:r>
    </w:p>
    <w:p>
      <w:pPr>
        <w:keepNext w:val="0"/>
        <w:keepLines w:val="0"/>
        <w:pageBreakBefore w:val="0"/>
        <w:widowControl w:val="0"/>
        <w:kinsoku/>
        <w:wordWrap/>
        <w:overflowPunct/>
        <w:topLinePunct w:val="0"/>
        <w:autoSpaceDE/>
        <w:autoSpaceDN/>
        <w:bidi w:val="0"/>
        <w:adjustRightInd/>
        <w:snapToGrid/>
        <w:spacing w:before="163" w:beforeLines="50" w:after="163" w:afterLines="5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5.5.3  空白试验</w:t>
      </w:r>
    </w:p>
    <w:p>
      <w:pPr>
        <w:ind w:firstLine="420"/>
        <w:rPr>
          <w:rFonts w:hint="eastAsia" w:ascii="黑体" w:hAnsi="黑体" w:eastAsia="黑体" w:cs="黑体"/>
          <w:szCs w:val="21"/>
          <w:lang w:val="en-US" w:eastAsia="zh-CN"/>
        </w:rPr>
      </w:pPr>
      <w:r>
        <w:rPr>
          <w:rFonts w:hint="eastAsia"/>
          <w:kern w:val="0"/>
          <w:szCs w:val="20"/>
          <w:lang w:val="en-US" w:eastAsia="zh-CN"/>
        </w:rPr>
        <w:t>随同</w:t>
      </w:r>
      <w:r>
        <w:rPr>
          <w:rFonts w:hint="eastAsia" w:ascii="宋体" w:hAnsi="宋体" w:eastAsia="宋体" w:cs="宋体"/>
          <w:kern w:val="0"/>
          <w:szCs w:val="20"/>
          <w:lang w:val="en-US" w:eastAsia="zh-CN"/>
        </w:rPr>
        <w:t>试料（5.5.1）做空白试验，按仪器说明书进行空白补偿或扣除。补偿或扣除后的空白值（绝对值）应不大于0.00002%。</w:t>
      </w:r>
    </w:p>
    <w:p>
      <w:pPr>
        <w:keepNext w:val="0"/>
        <w:keepLines w:val="0"/>
        <w:pageBreakBefore w:val="0"/>
        <w:widowControl w:val="0"/>
        <w:kinsoku/>
        <w:wordWrap/>
        <w:overflowPunct/>
        <w:topLinePunct w:val="0"/>
        <w:autoSpaceDE/>
        <w:autoSpaceDN/>
        <w:bidi w:val="0"/>
        <w:adjustRightInd/>
        <w:snapToGrid/>
        <w:spacing w:before="163" w:beforeLines="50" w:after="163" w:afterLines="50"/>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5.5.4  预分析</w:t>
      </w:r>
    </w:p>
    <w:p>
      <w:pPr>
        <w:ind w:firstLine="420" w:firstLineChars="200"/>
        <w:rPr>
          <w:kern w:val="0"/>
          <w:szCs w:val="20"/>
        </w:rPr>
      </w:pPr>
      <w:r>
        <w:rPr>
          <w:rFonts w:hint="eastAsia" w:ascii="黑体" w:hAnsi="黑体" w:eastAsia="黑体" w:cs="黑体"/>
          <w:szCs w:val="21"/>
          <w:lang w:val="en-US" w:eastAsia="zh-CN"/>
        </w:rPr>
        <w:t xml:space="preserve"> </w:t>
      </w:r>
      <w:r>
        <w:rPr>
          <w:rFonts w:hint="eastAsia" w:ascii="宋体" w:hAnsi="宋体" w:cs="宋体"/>
          <w:szCs w:val="21"/>
          <w:lang w:val="en-US" w:eastAsia="zh-CN"/>
        </w:rPr>
        <w:t>使用仪器自带原始工作曲线或其他相近的工作曲线，按5.6对</w:t>
      </w:r>
      <w:r>
        <w:rPr>
          <w:szCs w:val="21"/>
        </w:rPr>
        <w:t>试</w:t>
      </w:r>
      <w:r>
        <w:rPr>
          <w:rFonts w:hint="eastAsia" w:ascii="宋体" w:hAnsi="宋体" w:eastAsia="宋体" w:cs="宋体"/>
          <w:szCs w:val="21"/>
        </w:rPr>
        <w:t>料（</w:t>
      </w:r>
      <w:r>
        <w:rPr>
          <w:rFonts w:hint="eastAsia" w:ascii="宋体" w:hAnsi="宋体" w:cs="宋体"/>
          <w:szCs w:val="21"/>
          <w:lang w:val="en-US" w:eastAsia="zh-CN"/>
        </w:rPr>
        <w:t>5</w:t>
      </w:r>
      <w:r>
        <w:rPr>
          <w:rFonts w:hint="eastAsia" w:ascii="宋体" w:hAnsi="宋体" w:eastAsia="宋体" w:cs="宋体"/>
          <w:szCs w:val="21"/>
        </w:rPr>
        <w:t>.5.1）</w:t>
      </w:r>
      <w:r>
        <w:rPr>
          <w:rFonts w:hint="eastAsia" w:ascii="宋体" w:hAnsi="宋体" w:cs="宋体"/>
          <w:szCs w:val="21"/>
          <w:lang w:val="en-US" w:eastAsia="zh-CN"/>
        </w:rPr>
        <w:t>进行预分析，得到</w:t>
      </w:r>
      <w:r>
        <w:rPr>
          <w:rFonts w:hint="eastAsia" w:ascii="宋体" w:hAnsi="宋体" w:eastAsia="宋体" w:cs="宋体"/>
          <w:szCs w:val="21"/>
        </w:rPr>
        <w:t>待测样品</w:t>
      </w:r>
      <w:r>
        <w:rPr>
          <w:rFonts w:hint="eastAsia" w:ascii="宋体" w:hAnsi="宋体" w:cs="宋体"/>
          <w:szCs w:val="21"/>
          <w:lang w:val="en-US" w:eastAsia="zh-CN"/>
        </w:rPr>
        <w:t>中氢的预计含量。</w:t>
      </w:r>
    </w:p>
    <w:p>
      <w:pPr>
        <w:spacing w:before="162" w:beforeLines="50" w:after="162" w:afterLines="50"/>
        <w:outlineLvl w:val="1"/>
        <w:rPr>
          <w:rFonts w:ascii="黑体" w:hAnsi="黑体" w:eastAsia="黑体"/>
          <w:szCs w:val="21"/>
        </w:rPr>
      </w:pPr>
      <w:r>
        <w:rPr>
          <w:rFonts w:hint="eastAsia" w:ascii="黑体" w:hAnsi="黑体" w:eastAsia="黑体"/>
          <w:szCs w:val="21"/>
          <w:lang w:val="en-US" w:eastAsia="zh-CN"/>
        </w:rPr>
        <w:t>5.5.5</w:t>
      </w:r>
      <w:r>
        <w:rPr>
          <w:rFonts w:hint="eastAsia" w:ascii="黑体" w:hAnsi="黑体" w:eastAsia="黑体"/>
          <w:szCs w:val="21"/>
        </w:rPr>
        <w:t xml:space="preserve">  仪器校准 </w:t>
      </w:r>
    </w:p>
    <w:p>
      <w:pPr>
        <w:rPr>
          <w:szCs w:val="21"/>
        </w:rPr>
      </w:pPr>
      <w:r>
        <w:rPr>
          <w:rFonts w:hint="eastAsia"/>
          <w:szCs w:val="21"/>
          <w:lang w:val="en-US" w:eastAsia="zh-CN"/>
        </w:rPr>
        <w:t xml:space="preserve">    </w:t>
      </w:r>
      <w:r>
        <w:rPr>
          <w:szCs w:val="21"/>
        </w:rPr>
        <w:t>选取一种标准物质/标准样</w:t>
      </w:r>
      <w:r>
        <w:rPr>
          <w:rFonts w:hint="eastAsia" w:ascii="宋体" w:hAnsi="宋体" w:eastAsia="宋体" w:cs="宋体"/>
          <w:szCs w:val="21"/>
        </w:rPr>
        <w:t>品（5.2.</w:t>
      </w:r>
      <w:r>
        <w:rPr>
          <w:rFonts w:hint="eastAsia" w:ascii="宋体" w:hAnsi="宋体" w:cs="宋体"/>
          <w:szCs w:val="21"/>
          <w:lang w:val="en-US" w:eastAsia="zh-CN"/>
        </w:rPr>
        <w:t>2</w:t>
      </w:r>
      <w:r>
        <w:rPr>
          <w:rFonts w:hint="eastAsia" w:ascii="宋体" w:hAnsi="宋体" w:eastAsia="宋体" w:cs="宋体"/>
          <w:szCs w:val="21"/>
        </w:rPr>
        <w:t>），其氢含量应接近于待测样品的含量，或通过控制试料质量的方式使标准物质/标准样品（5.2.</w:t>
      </w:r>
      <w:r>
        <w:rPr>
          <w:rFonts w:hint="eastAsia" w:ascii="宋体" w:hAnsi="宋体" w:cs="宋体"/>
          <w:szCs w:val="21"/>
          <w:lang w:val="en-US" w:eastAsia="zh-CN"/>
        </w:rPr>
        <w:t>2</w:t>
      </w:r>
      <w:r>
        <w:rPr>
          <w:rFonts w:hint="eastAsia" w:ascii="宋体" w:hAnsi="宋体" w:eastAsia="宋体" w:cs="宋体"/>
          <w:szCs w:val="21"/>
        </w:rPr>
        <w:t>）中氢质量与待测样品中氢质量相近。按照仪器说明书的要求执行单标准点校准程序，并至少重复分析3次，取其平均值，进行氢校准曲线的校准</w:t>
      </w:r>
      <w:r>
        <w:rPr>
          <w:szCs w:val="21"/>
        </w:rPr>
        <w:t>。</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rPr>
      </w:pPr>
      <w:r>
        <w:rPr>
          <w:rFonts w:hint="eastAsia" w:ascii="黑体" w:hAnsi="宋体" w:eastAsia="黑体"/>
          <w:kern w:val="0"/>
          <w:szCs w:val="20"/>
        </w:rPr>
        <w:t>5.6　试料分析</w:t>
      </w:r>
    </w:p>
    <w:p>
      <w:pPr>
        <w:spacing w:before="162" w:beforeLines="50" w:after="162" w:afterLines="50"/>
        <w:ind w:firstLine="420" w:firstLineChars="200"/>
        <w:rPr>
          <w:rFonts w:hint="eastAsia"/>
          <w:szCs w:val="21"/>
        </w:rPr>
      </w:pPr>
      <w:r>
        <w:rPr>
          <w:rFonts w:hint="eastAsia" w:ascii="宋体" w:hAnsi="宋体" w:eastAsia="宋体" w:cs="宋体"/>
          <w:kern w:val="0"/>
          <w:szCs w:val="20"/>
        </w:rPr>
        <w:t>准确称取试料（5.5.1），将其置于</w:t>
      </w:r>
      <w:r>
        <w:rPr>
          <w:rFonts w:hint="eastAsia" w:ascii="宋体" w:hAnsi="宋体" w:eastAsia="宋体" w:cs="宋体"/>
          <w:szCs w:val="21"/>
        </w:rPr>
        <w:t>惰性气体熔融-红外/热导检测系统</w:t>
      </w:r>
      <w:r>
        <w:rPr>
          <w:rFonts w:hint="eastAsia" w:ascii="宋体" w:hAnsi="宋体" w:eastAsia="宋体" w:cs="宋体"/>
          <w:kern w:val="0"/>
          <w:szCs w:val="20"/>
        </w:rPr>
        <w:t>加样器，装入含有助熔剂</w:t>
      </w:r>
      <w:r>
        <w:rPr>
          <w:rFonts w:hint="eastAsia" w:ascii="宋体" w:hAnsi="宋体" w:cs="宋体"/>
          <w:kern w:val="0"/>
          <w:szCs w:val="20"/>
          <w:lang w:eastAsia="zh-CN"/>
        </w:rPr>
        <w:t>（</w:t>
      </w:r>
      <w:r>
        <w:rPr>
          <w:rFonts w:hint="eastAsia" w:ascii="宋体" w:hAnsi="宋体" w:cs="宋体"/>
          <w:kern w:val="0"/>
          <w:szCs w:val="20"/>
          <w:lang w:val="en-US" w:eastAsia="zh-CN"/>
        </w:rPr>
        <w:t>5.2.3</w:t>
      </w:r>
      <w:r>
        <w:rPr>
          <w:rFonts w:hint="eastAsia" w:ascii="宋体" w:hAnsi="宋体" w:cs="宋体"/>
          <w:kern w:val="0"/>
          <w:szCs w:val="20"/>
          <w:lang w:eastAsia="zh-CN"/>
        </w:rPr>
        <w:t>）</w:t>
      </w:r>
      <w:r>
        <w:rPr>
          <w:rFonts w:hint="eastAsia" w:ascii="宋体" w:hAnsi="宋体" w:eastAsia="宋体" w:cs="宋体"/>
          <w:kern w:val="0"/>
          <w:szCs w:val="20"/>
        </w:rPr>
        <w:t>的石墨坩锅（5.2.</w:t>
      </w:r>
      <w:r>
        <w:rPr>
          <w:rFonts w:hint="eastAsia" w:ascii="宋体" w:hAnsi="宋体" w:cs="宋体"/>
          <w:kern w:val="0"/>
          <w:szCs w:val="20"/>
          <w:lang w:val="en-US" w:eastAsia="zh-CN"/>
        </w:rPr>
        <w:t>6</w:t>
      </w:r>
      <w:r>
        <w:rPr>
          <w:rFonts w:hint="eastAsia" w:ascii="宋体" w:hAnsi="宋体" w:eastAsia="宋体" w:cs="宋体"/>
          <w:kern w:val="0"/>
          <w:szCs w:val="20"/>
        </w:rPr>
        <w:t>），</w:t>
      </w:r>
      <w:r>
        <w:rPr>
          <w:rFonts w:hint="eastAsia" w:ascii="宋体" w:hAnsi="宋体" w:cs="宋体"/>
          <w:kern w:val="0"/>
          <w:szCs w:val="20"/>
          <w:lang w:val="en-US" w:eastAsia="zh-CN"/>
        </w:rPr>
        <w:t>助熔剂</w:t>
      </w:r>
      <w:r>
        <w:rPr>
          <w:rFonts w:hint="eastAsia" w:ascii="宋体" w:hAnsi="宋体" w:cs="宋体"/>
          <w:kern w:val="0"/>
          <w:szCs w:val="20"/>
        </w:rPr>
        <w:t>（</w:t>
      </w:r>
      <w:r>
        <w:rPr>
          <w:rFonts w:hint="eastAsia" w:ascii="宋体" w:hAnsi="宋体" w:cs="宋体"/>
          <w:kern w:val="0"/>
          <w:szCs w:val="20"/>
          <w:lang w:val="en-US" w:eastAsia="zh-CN"/>
        </w:rPr>
        <w:t>5.2.3</w:t>
      </w:r>
      <w:r>
        <w:rPr>
          <w:rFonts w:hint="eastAsia" w:ascii="宋体" w:hAnsi="宋体" w:cs="宋体"/>
          <w:kern w:val="0"/>
          <w:szCs w:val="20"/>
        </w:rPr>
        <w:t>）</w:t>
      </w:r>
      <w:r>
        <w:rPr>
          <w:rFonts w:hint="eastAsia" w:ascii="宋体" w:hAnsi="宋体" w:cs="宋体"/>
          <w:kern w:val="0"/>
          <w:szCs w:val="20"/>
          <w:lang w:val="en-US" w:eastAsia="zh-CN"/>
        </w:rPr>
        <w:t>加入量与试料</w:t>
      </w:r>
      <w:r>
        <w:rPr>
          <w:rFonts w:hint="eastAsia" w:ascii="宋体" w:hAnsi="宋体" w:cs="宋体"/>
          <w:kern w:val="0"/>
          <w:szCs w:val="20"/>
        </w:rPr>
        <w:t>（</w:t>
      </w:r>
      <w:r>
        <w:rPr>
          <w:rFonts w:hint="eastAsia" w:ascii="宋体" w:hAnsi="宋体" w:eastAsia="宋体" w:cs="宋体"/>
          <w:kern w:val="0"/>
          <w:szCs w:val="20"/>
        </w:rPr>
        <w:t>5.5.1</w:t>
      </w:r>
      <w:r>
        <w:rPr>
          <w:rFonts w:hint="eastAsia" w:ascii="宋体" w:hAnsi="宋体" w:cs="宋体"/>
          <w:kern w:val="0"/>
          <w:szCs w:val="20"/>
        </w:rPr>
        <w:t>）</w:t>
      </w:r>
      <w:r>
        <w:rPr>
          <w:rFonts w:hint="eastAsia" w:ascii="宋体" w:hAnsi="宋体" w:cs="宋体"/>
          <w:kern w:val="0"/>
          <w:szCs w:val="20"/>
          <w:lang w:val="en-US" w:eastAsia="zh-CN"/>
        </w:rPr>
        <w:t>重量比为约2:1。</w:t>
      </w:r>
      <w:r>
        <w:rPr>
          <w:rFonts w:hint="eastAsia" w:ascii="宋体" w:hAnsi="宋体" w:eastAsia="宋体" w:cs="宋体"/>
          <w:kern w:val="0"/>
          <w:szCs w:val="20"/>
        </w:rPr>
        <w:t>按仪器操作说明书操作，计算机自动显示分析结果。</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rPr>
      </w:pPr>
      <w:r>
        <w:rPr>
          <w:rFonts w:hint="eastAsia" w:ascii="黑体" w:hAnsi="宋体" w:eastAsia="黑体"/>
          <w:kern w:val="0"/>
          <w:szCs w:val="20"/>
          <w:lang w:val="en-US" w:eastAsia="zh-CN"/>
        </w:rPr>
        <w:t xml:space="preserve">5.7  </w:t>
      </w:r>
      <w:r>
        <w:rPr>
          <w:rFonts w:hint="eastAsia" w:ascii="黑体" w:hAnsi="宋体" w:eastAsia="黑体"/>
          <w:kern w:val="0"/>
          <w:szCs w:val="20"/>
        </w:rPr>
        <w:t>数据处理</w:t>
      </w:r>
    </w:p>
    <w:p>
      <w:pPr>
        <w:widowControl/>
        <w:numPr>
          <w:ilvl w:val="1"/>
          <w:numId w:val="0"/>
        </w:numPr>
        <w:spacing w:before="156" w:after="156"/>
        <w:ind w:firstLine="420" w:firstLineChars="200"/>
        <w:outlineLvl w:val="1"/>
        <w:rPr>
          <w:kern w:val="0"/>
          <w:szCs w:val="20"/>
        </w:rPr>
      </w:pPr>
      <w:r>
        <w:rPr>
          <w:kern w:val="0"/>
          <w:szCs w:val="20"/>
        </w:rPr>
        <w:t>若分析结果不</w:t>
      </w:r>
      <w:r>
        <w:rPr>
          <w:rFonts w:hint="eastAsia" w:ascii="宋体" w:hAnsi="宋体" w:eastAsia="宋体" w:cs="宋体"/>
          <w:kern w:val="0"/>
          <w:szCs w:val="20"/>
        </w:rPr>
        <w:t>小于0.00010%时，保留两位有效数字；若分析结果小于0.0001</w:t>
      </w:r>
      <w:r>
        <w:rPr>
          <w:rFonts w:hint="eastAsia" w:ascii="宋体" w:hAnsi="宋体" w:cs="宋体"/>
          <w:kern w:val="0"/>
          <w:szCs w:val="20"/>
          <w:lang w:val="en-US" w:eastAsia="zh-CN"/>
        </w:rPr>
        <w:t>0</w:t>
      </w:r>
      <w:r>
        <w:rPr>
          <w:rFonts w:hint="eastAsia" w:ascii="宋体" w:hAnsi="宋体" w:eastAsia="宋体" w:cs="宋体"/>
          <w:kern w:val="0"/>
          <w:szCs w:val="20"/>
        </w:rPr>
        <w:t>%时，保留一位有效数字。</w:t>
      </w:r>
    </w:p>
    <w:p>
      <w:pPr>
        <w:keepNext w:val="0"/>
        <w:keepLines w:val="0"/>
        <w:pageBreakBefore w:val="0"/>
        <w:widowControl/>
        <w:numPr>
          <w:ilvl w:val="1"/>
          <w:numId w:val="0"/>
        </w:numPr>
        <w:kinsoku/>
        <w:wordWrap/>
        <w:overflowPunct/>
        <w:topLinePunct w:val="0"/>
        <w:autoSpaceDE/>
        <w:autoSpaceDN/>
        <w:bidi w:val="0"/>
        <w:adjustRightInd/>
        <w:snapToGrid/>
        <w:spacing w:before="325" w:beforeLines="100" w:after="325" w:afterLines="100"/>
        <w:textAlignment w:val="auto"/>
        <w:outlineLvl w:val="1"/>
        <w:rPr>
          <w:rFonts w:hint="eastAsia" w:ascii="黑体" w:hAnsi="宋体" w:eastAsia="黑体"/>
          <w:kern w:val="0"/>
          <w:szCs w:val="20"/>
        </w:rPr>
      </w:pPr>
      <w:r>
        <w:rPr>
          <w:rFonts w:hint="eastAsia" w:ascii="黑体" w:hAnsi="宋体" w:eastAsia="黑体"/>
          <w:kern w:val="0"/>
          <w:szCs w:val="20"/>
          <w:lang w:val="en-US" w:eastAsia="zh-CN"/>
        </w:rPr>
        <w:t xml:space="preserve">5.8 </w:t>
      </w:r>
      <w:r>
        <w:rPr>
          <w:rFonts w:hint="eastAsia" w:ascii="黑体" w:hAnsi="宋体" w:eastAsia="黑体"/>
          <w:kern w:val="0"/>
          <w:szCs w:val="20"/>
        </w:rPr>
        <w:t xml:space="preserve"> 精密度</w:t>
      </w:r>
    </w:p>
    <w:p>
      <w:pPr>
        <w:spacing w:before="162" w:beforeLines="50" w:after="162" w:afterLines="50"/>
        <w:outlineLvl w:val="1"/>
        <w:rPr>
          <w:rFonts w:hint="eastAsia" w:ascii="黑体" w:hAnsi="黑体" w:eastAsia="黑体"/>
          <w:szCs w:val="21"/>
        </w:rPr>
      </w:pPr>
      <w:r>
        <w:rPr>
          <w:rFonts w:hint="eastAsia" w:ascii="黑体" w:hAnsi="黑体" w:eastAsia="黑体"/>
          <w:szCs w:val="21"/>
          <w:lang w:val="en-US" w:eastAsia="zh-CN"/>
        </w:rPr>
        <w:t>5.8</w:t>
      </w:r>
      <w:r>
        <w:rPr>
          <w:rFonts w:hint="eastAsia" w:ascii="黑体" w:hAnsi="黑体" w:eastAsia="黑体"/>
          <w:szCs w:val="21"/>
        </w:rPr>
        <w:t>.1  重复性</w:t>
      </w:r>
    </w:p>
    <w:p>
      <w:pPr>
        <w:numPr>
          <w:ilvl w:val="0"/>
          <w:numId w:val="10"/>
        </w:numPr>
        <w:adjustRightInd w:val="0"/>
        <w:snapToGrid w:val="0"/>
        <w:ind w:firstLine="420" w:firstLineChars="200"/>
        <w:jc w:val="left"/>
        <w:rPr>
          <w:rFonts w:hint="eastAsia" w:eastAsia="黑体"/>
          <w:szCs w:val="21"/>
        </w:rPr>
      </w:pPr>
      <w:r>
        <w:rPr>
          <w:rFonts w:hint="eastAsia"/>
          <w:szCs w:val="21"/>
        </w:rPr>
        <w:t>在重复性条件下获得的两</w:t>
      </w:r>
      <w:r>
        <w:rPr>
          <w:rFonts w:hint="eastAsia" w:ascii="宋体" w:hAnsi="宋体" w:eastAsia="宋体" w:cs="宋体"/>
          <w:szCs w:val="21"/>
        </w:rPr>
        <w:t>次独立测试结果的测定值，在表</w:t>
      </w:r>
      <w:r>
        <w:rPr>
          <w:rFonts w:hint="eastAsia" w:ascii="宋体" w:hAnsi="宋体" w:cs="宋体"/>
          <w:szCs w:val="21"/>
          <w:lang w:val="en-US" w:eastAsia="zh-CN"/>
        </w:rPr>
        <w:t>3</w:t>
      </w:r>
      <w:r>
        <w:rPr>
          <w:rFonts w:hint="eastAsia" w:ascii="宋体" w:hAnsi="宋体" w:eastAsia="宋体" w:cs="宋体"/>
          <w:szCs w:val="21"/>
        </w:rPr>
        <w:t>给出的平均值范围内，这两个测试结果的绝对差值不超过重复性限（</w:t>
      </w:r>
      <w:r>
        <w:rPr>
          <w:rFonts w:hint="eastAsia" w:ascii="宋体" w:hAnsi="宋体" w:eastAsia="宋体" w:cs="宋体"/>
          <w:i/>
          <w:szCs w:val="21"/>
        </w:rPr>
        <w:t>r</w:t>
      </w:r>
      <w:r>
        <w:rPr>
          <w:rFonts w:hint="eastAsia" w:ascii="宋体" w:hAnsi="宋体" w:eastAsia="宋体" w:cs="宋体"/>
          <w:szCs w:val="21"/>
        </w:rPr>
        <w:t>），超过重复性限（</w:t>
      </w:r>
      <w:r>
        <w:rPr>
          <w:rFonts w:hint="eastAsia" w:ascii="宋体" w:hAnsi="宋体" w:eastAsia="宋体" w:cs="宋体"/>
          <w:i/>
          <w:szCs w:val="21"/>
        </w:rPr>
        <w:t>r</w:t>
      </w:r>
      <w:r>
        <w:rPr>
          <w:rFonts w:hint="eastAsia" w:ascii="宋体" w:hAnsi="宋体" w:eastAsia="宋体" w:cs="宋体"/>
          <w:szCs w:val="21"/>
        </w:rPr>
        <w:t>）的情况不超过5%，重复性限（</w:t>
      </w:r>
      <w:r>
        <w:rPr>
          <w:rFonts w:hint="eastAsia" w:ascii="宋体" w:hAnsi="宋体" w:eastAsia="宋体" w:cs="宋体"/>
          <w:i/>
          <w:szCs w:val="21"/>
        </w:rPr>
        <w:t>r</w:t>
      </w:r>
      <w:r>
        <w:rPr>
          <w:rFonts w:hint="eastAsia" w:ascii="宋体" w:hAnsi="宋体" w:eastAsia="宋体" w:cs="宋体"/>
          <w:szCs w:val="21"/>
        </w:rPr>
        <w:t>）按表</w:t>
      </w:r>
      <w:r>
        <w:rPr>
          <w:rFonts w:hint="eastAsia" w:ascii="宋体" w:hAnsi="宋体" w:cs="宋体"/>
          <w:szCs w:val="21"/>
          <w:lang w:val="en-US" w:eastAsia="zh-CN"/>
        </w:rPr>
        <w:t>3</w:t>
      </w:r>
      <w:r>
        <w:rPr>
          <w:rFonts w:hint="eastAsia" w:ascii="宋体" w:hAnsi="宋体" w:eastAsia="宋体" w:cs="宋体"/>
          <w:szCs w:val="21"/>
        </w:rPr>
        <w:t>数据采用线性内插法或外延法求得。</w:t>
      </w:r>
    </w:p>
    <w:p>
      <w:pPr>
        <w:adjustRightInd w:val="0"/>
        <w:snapToGrid w:val="0"/>
        <w:jc w:val="center"/>
        <w:rPr>
          <w:rFonts w:hint="eastAsia" w:eastAsia="黑体"/>
          <w:szCs w:val="21"/>
        </w:rPr>
      </w:pPr>
    </w:p>
    <w:p>
      <w:pPr>
        <w:spacing w:line="360" w:lineRule="auto"/>
        <w:ind w:firstLine="420" w:firstLineChars="200"/>
        <w:jc w:val="center"/>
        <w:rPr>
          <w:rFonts w:hint="eastAsia" w:ascii="黑体" w:hAnsi="黑体" w:eastAsia="黑体"/>
        </w:rPr>
      </w:pPr>
    </w:p>
    <w:p>
      <w:pPr>
        <w:spacing w:line="360" w:lineRule="auto"/>
        <w:ind w:firstLine="420" w:firstLineChars="200"/>
        <w:jc w:val="center"/>
        <w:rPr>
          <w:rFonts w:hint="eastAsia" w:ascii="黑体" w:hAnsi="黑体" w:eastAsia="黑体"/>
        </w:rPr>
      </w:pPr>
      <w:r>
        <w:rPr>
          <w:rFonts w:hint="eastAsia" w:ascii="黑体" w:hAnsi="黑体" w:eastAsia="黑体"/>
        </w:rPr>
        <w:t>表</w:t>
      </w:r>
      <w:r>
        <w:rPr>
          <w:rFonts w:hint="eastAsia" w:ascii="黑体" w:hAnsi="黑体" w:eastAsia="黑体"/>
          <w:lang w:val="en-US" w:eastAsia="zh-CN"/>
        </w:rPr>
        <w:t>3</w:t>
      </w:r>
      <w:r>
        <w:rPr>
          <w:rFonts w:hint="eastAsia" w:ascii="黑体" w:hAnsi="黑体" w:eastAsia="黑体"/>
        </w:rPr>
        <w:t xml:space="preserve"> 重复性限</w:t>
      </w:r>
    </w:p>
    <w:tbl>
      <w:tblPr>
        <w:tblStyle w:val="39"/>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2208"/>
        <w:gridCol w:w="220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氢的质量分数/%</w:t>
            </w:r>
          </w:p>
        </w:tc>
        <w:tc>
          <w:tcPr>
            <w:tcW w:w="118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0.00017</w:t>
            </w:r>
          </w:p>
        </w:tc>
        <w:tc>
          <w:tcPr>
            <w:tcW w:w="118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0.00038</w:t>
            </w:r>
          </w:p>
        </w:tc>
        <w:tc>
          <w:tcPr>
            <w:tcW w:w="118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0.0006</w:t>
            </w:r>
            <w:r>
              <w:rPr>
                <w:rFonts w:hint="eastAsia" w:ascii="宋体" w:hAns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重复性限</w:t>
            </w:r>
            <w:r>
              <w:rPr>
                <w:rFonts w:hint="eastAsia" w:ascii="宋体" w:hAnsi="宋体" w:eastAsia="宋体" w:cs="宋体"/>
                <w:i/>
                <w:sz w:val="18"/>
                <w:szCs w:val="18"/>
              </w:rPr>
              <w:t>r</w:t>
            </w:r>
            <w:r>
              <w:rPr>
                <w:rFonts w:hint="eastAsia" w:ascii="宋体" w:hAnsi="宋体" w:eastAsia="宋体" w:cs="宋体"/>
                <w:sz w:val="18"/>
                <w:szCs w:val="18"/>
              </w:rPr>
              <w:t>/%</w:t>
            </w:r>
          </w:p>
        </w:tc>
        <w:tc>
          <w:tcPr>
            <w:tcW w:w="118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0.0000</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 xml:space="preserve"> </w:t>
            </w:r>
          </w:p>
        </w:tc>
        <w:tc>
          <w:tcPr>
            <w:tcW w:w="118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0.00006 </w:t>
            </w:r>
          </w:p>
        </w:tc>
        <w:tc>
          <w:tcPr>
            <w:tcW w:w="118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0.00009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5000" w:type="pct"/>
            <w:gridSpan w:val="4"/>
            <w:noWrap w:val="0"/>
            <w:vAlign w:val="top"/>
          </w:tcPr>
          <w:p>
            <w:pPr>
              <w:adjustRightInd w:val="0"/>
              <w:snapToGrid w:val="0"/>
              <w:spacing w:line="300" w:lineRule="auto"/>
              <w:rPr>
                <w:rFonts w:hint="eastAsia"/>
                <w:color w:val="000000"/>
                <w:kern w:val="0"/>
                <w:sz w:val="18"/>
              </w:rPr>
            </w:pPr>
            <w:bookmarkStart w:id="3" w:name="_Toc231057314"/>
            <w:r>
              <w:rPr>
                <w:rFonts w:hint="eastAsia" w:ascii="黑体" w:hAnsi="黑体" w:eastAsia="黑体" w:cs="黑体"/>
                <w:color w:val="000000"/>
                <w:kern w:val="0"/>
                <w:sz w:val="18"/>
              </w:rPr>
              <w:t>注：</w:t>
            </w:r>
            <w:r>
              <w:rPr>
                <w:rFonts w:hint="eastAsia"/>
                <w:color w:val="000000"/>
                <w:kern w:val="0"/>
                <w:sz w:val="18"/>
              </w:rPr>
              <w:t>重复</w:t>
            </w:r>
            <w:r>
              <w:rPr>
                <w:rFonts w:hint="eastAsia" w:ascii="宋体" w:hAnsi="宋体" w:eastAsia="宋体" w:cs="宋体"/>
                <w:color w:val="000000"/>
                <w:kern w:val="0"/>
                <w:sz w:val="18"/>
              </w:rPr>
              <w:t>性限（</w:t>
            </w:r>
            <w:r>
              <w:rPr>
                <w:rFonts w:hint="eastAsia" w:ascii="宋体" w:hAnsi="宋体" w:eastAsia="宋体" w:cs="宋体"/>
                <w:i/>
                <w:iCs/>
                <w:color w:val="000000"/>
                <w:kern w:val="0"/>
                <w:sz w:val="18"/>
              </w:rPr>
              <w:t>r</w:t>
            </w:r>
            <w:r>
              <w:rPr>
                <w:rFonts w:hint="eastAsia" w:ascii="宋体" w:hAnsi="宋体" w:eastAsia="宋体" w:cs="宋体"/>
                <w:color w:val="000000"/>
                <w:kern w:val="0"/>
                <w:sz w:val="18"/>
              </w:rPr>
              <w:t>）为2.83S</w:t>
            </w:r>
            <w:r>
              <w:rPr>
                <w:rFonts w:hint="eastAsia" w:ascii="宋体" w:hAnsi="宋体" w:eastAsia="宋体" w:cs="宋体"/>
                <w:color w:val="000000"/>
                <w:kern w:val="0"/>
                <w:sz w:val="18"/>
                <w:vertAlign w:val="subscript"/>
              </w:rPr>
              <w:t>r</w:t>
            </w:r>
            <w:r>
              <w:rPr>
                <w:rFonts w:hint="eastAsia" w:ascii="宋体" w:hAnsi="宋体" w:eastAsia="宋体" w:cs="宋体"/>
                <w:color w:val="000000"/>
                <w:kern w:val="0"/>
                <w:sz w:val="18"/>
              </w:rPr>
              <w:t>，S</w:t>
            </w:r>
            <w:r>
              <w:rPr>
                <w:rFonts w:hint="eastAsia" w:ascii="宋体" w:hAnsi="宋体" w:eastAsia="宋体" w:cs="宋体"/>
                <w:color w:val="000000"/>
                <w:kern w:val="0"/>
                <w:sz w:val="18"/>
                <w:vertAlign w:val="subscript"/>
              </w:rPr>
              <w:t>r</w:t>
            </w:r>
            <w:r>
              <w:rPr>
                <w:rFonts w:hint="eastAsia" w:ascii="宋体" w:hAnsi="宋体" w:eastAsia="宋体" w:cs="宋体"/>
                <w:color w:val="000000"/>
                <w:kern w:val="0"/>
                <w:sz w:val="18"/>
              </w:rPr>
              <w:t>为重复性标准偏差。</w:t>
            </w:r>
          </w:p>
        </w:tc>
      </w:tr>
    </w:tbl>
    <w:p>
      <w:pPr>
        <w:spacing w:before="162" w:beforeLines="50" w:after="162" w:afterLines="50"/>
        <w:outlineLvl w:val="1"/>
        <w:rPr>
          <w:rFonts w:hint="eastAsia" w:ascii="黑体" w:hAnsi="黑体" w:eastAsia="黑体"/>
          <w:szCs w:val="21"/>
          <w:lang w:val="en-US" w:eastAsia="zh-CN"/>
        </w:rPr>
      </w:pPr>
    </w:p>
    <w:p>
      <w:pPr>
        <w:spacing w:before="162" w:beforeLines="50" w:after="162" w:afterLines="50"/>
        <w:outlineLvl w:val="1"/>
        <w:rPr>
          <w:rFonts w:hint="eastAsia" w:ascii="黑体" w:hAnsi="黑体" w:eastAsia="黑体"/>
          <w:szCs w:val="21"/>
          <w:lang w:val="en-US" w:eastAsia="zh-CN"/>
        </w:rPr>
      </w:pPr>
      <w:r>
        <w:rPr>
          <w:rFonts w:hint="eastAsia" w:ascii="黑体" w:hAnsi="黑体" w:eastAsia="黑体"/>
          <w:szCs w:val="21"/>
          <w:lang w:val="en-US" w:eastAsia="zh-CN"/>
        </w:rPr>
        <w:t>5.8.2  再现性</w:t>
      </w:r>
    </w:p>
    <w:p>
      <w:pPr>
        <w:spacing w:before="50" w:after="50"/>
        <w:ind w:firstLine="420" w:firstLineChars="200"/>
        <w:rPr>
          <w:rFonts w:hint="eastAsia" w:ascii="黑体" w:hAnsi="黑体" w:eastAsia="黑体"/>
          <w:szCs w:val="21"/>
        </w:rPr>
      </w:pPr>
      <w:r>
        <w:rPr>
          <w:rFonts w:hint="eastAsia"/>
          <w:color w:val="auto"/>
        </w:rPr>
        <w:t>在再现性条件下获</w:t>
      </w:r>
      <w:r>
        <w:rPr>
          <w:rFonts w:hint="eastAsia" w:ascii="宋体" w:hAnsi="宋体" w:eastAsia="宋体" w:cs="宋体"/>
          <w:color w:val="auto"/>
        </w:rPr>
        <w:t>得的两次独立测试结果的测定值，在表</w:t>
      </w:r>
      <w:r>
        <w:rPr>
          <w:rFonts w:hint="eastAsia" w:ascii="宋体" w:hAnsi="宋体" w:cs="宋体"/>
          <w:color w:val="auto"/>
          <w:lang w:val="en-US" w:eastAsia="zh-CN"/>
        </w:rPr>
        <w:t>4</w:t>
      </w:r>
      <w:r>
        <w:rPr>
          <w:rFonts w:hint="eastAsia" w:ascii="宋体" w:hAnsi="宋体" w:eastAsia="宋体" w:cs="宋体"/>
          <w:color w:val="auto"/>
        </w:rPr>
        <w:t>给出的平均值范围内，两个测试结果的绝对差值不超过再现性限（</w:t>
      </w:r>
      <w:r>
        <w:rPr>
          <w:rFonts w:hint="eastAsia" w:ascii="宋体" w:hAnsi="宋体" w:eastAsia="宋体" w:cs="宋体"/>
          <w:i/>
          <w:color w:val="auto"/>
        </w:rPr>
        <w:t>R</w:t>
      </w:r>
      <w:r>
        <w:rPr>
          <w:rFonts w:hint="eastAsia" w:ascii="宋体" w:hAnsi="宋体" w:eastAsia="宋体" w:cs="宋体"/>
          <w:color w:val="auto"/>
        </w:rPr>
        <w:t>），超过再现性限（</w:t>
      </w:r>
      <w:r>
        <w:rPr>
          <w:rFonts w:hint="eastAsia" w:ascii="宋体" w:hAnsi="宋体" w:eastAsia="宋体" w:cs="宋体"/>
          <w:i/>
          <w:color w:val="auto"/>
        </w:rPr>
        <w:t>R</w:t>
      </w:r>
      <w:r>
        <w:rPr>
          <w:rFonts w:hint="eastAsia" w:ascii="宋体" w:hAnsi="宋体" w:eastAsia="宋体" w:cs="宋体"/>
          <w:color w:val="auto"/>
        </w:rPr>
        <w:t>）情况不超过5%。再现性限（</w:t>
      </w:r>
      <w:r>
        <w:rPr>
          <w:rFonts w:hint="eastAsia" w:ascii="宋体" w:hAnsi="宋体" w:eastAsia="宋体" w:cs="宋体"/>
          <w:i/>
          <w:color w:val="auto"/>
        </w:rPr>
        <w:t>R</w:t>
      </w:r>
      <w:r>
        <w:rPr>
          <w:rFonts w:hint="eastAsia" w:ascii="宋体" w:hAnsi="宋体" w:eastAsia="宋体" w:cs="宋体"/>
          <w:color w:val="auto"/>
        </w:rPr>
        <w:t>）按表</w:t>
      </w:r>
      <w:r>
        <w:rPr>
          <w:rFonts w:hint="eastAsia" w:ascii="宋体" w:hAnsi="宋体" w:cs="宋体"/>
          <w:color w:val="auto"/>
          <w:lang w:val="en-US" w:eastAsia="zh-CN"/>
        </w:rPr>
        <w:t>4</w:t>
      </w:r>
      <w:r>
        <w:rPr>
          <w:rFonts w:hint="eastAsia" w:ascii="宋体" w:hAnsi="宋体" w:eastAsia="宋体" w:cs="宋体"/>
          <w:color w:val="auto"/>
        </w:rPr>
        <w:t>数据采用线性内插法或外延法求得</w:t>
      </w:r>
      <w:r>
        <w:rPr>
          <w:rFonts w:hint="eastAsia"/>
          <w:color w:val="auto"/>
        </w:rPr>
        <w:t>。</w:t>
      </w:r>
    </w:p>
    <w:p>
      <w:pPr>
        <w:spacing w:line="360" w:lineRule="auto"/>
        <w:ind w:firstLine="420" w:firstLineChars="200"/>
        <w:jc w:val="center"/>
        <w:rPr>
          <w:rFonts w:hint="eastAsia" w:ascii="黑体" w:hAnsi="黑体" w:eastAsia="黑体"/>
        </w:rPr>
      </w:pPr>
      <w:r>
        <w:rPr>
          <w:rFonts w:hint="eastAsia" w:ascii="黑体" w:hAnsi="黑体" w:eastAsia="黑体"/>
          <w:szCs w:val="21"/>
        </w:rPr>
        <w:t>表</w:t>
      </w:r>
      <w:r>
        <w:rPr>
          <w:rFonts w:hint="eastAsia" w:ascii="黑体" w:hAnsi="黑体" w:eastAsia="黑体"/>
          <w:szCs w:val="21"/>
          <w:lang w:val="en-US" w:eastAsia="zh-CN"/>
        </w:rPr>
        <w:t>4</w:t>
      </w:r>
      <w:r>
        <w:rPr>
          <w:rFonts w:hint="eastAsia" w:ascii="黑体" w:hAnsi="黑体" w:eastAsia="黑体"/>
          <w:szCs w:val="21"/>
        </w:rPr>
        <w:t xml:space="preserve">  </w:t>
      </w:r>
      <w:r>
        <w:rPr>
          <w:rFonts w:hint="eastAsia" w:ascii="黑体" w:hAnsi="黑体" w:eastAsia="黑体"/>
        </w:rPr>
        <w:t>再现性限</w:t>
      </w:r>
    </w:p>
    <w:tbl>
      <w:tblPr>
        <w:tblStyle w:val="39"/>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2208"/>
        <w:gridCol w:w="220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氢的质量分数/%</w:t>
            </w:r>
          </w:p>
        </w:tc>
        <w:tc>
          <w:tcPr>
            <w:tcW w:w="22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0.00017</w:t>
            </w:r>
          </w:p>
        </w:tc>
        <w:tc>
          <w:tcPr>
            <w:tcW w:w="22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0.00038</w:t>
            </w:r>
          </w:p>
        </w:tc>
        <w:tc>
          <w:tcPr>
            <w:tcW w:w="22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0.0006</w:t>
            </w:r>
            <w:r>
              <w:rPr>
                <w:rFonts w:hint="eastAsia" w:ascii="宋体" w:hAns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rPr>
            </w:pPr>
            <w:r>
              <w:rPr>
                <w:rFonts w:hint="eastAsia" w:ascii="宋体" w:hAnsi="宋体" w:cs="宋体"/>
                <w:sz w:val="18"/>
                <w:szCs w:val="18"/>
                <w:lang w:val="en-US" w:eastAsia="zh-CN"/>
              </w:rPr>
              <w:t>再现性</w:t>
            </w:r>
            <w:r>
              <w:rPr>
                <w:rFonts w:hint="eastAsia" w:ascii="宋体" w:hAnsi="宋体" w:eastAsia="宋体" w:cs="宋体"/>
                <w:sz w:val="18"/>
                <w:szCs w:val="18"/>
              </w:rPr>
              <w:t>限</w:t>
            </w:r>
            <w:r>
              <w:rPr>
                <w:rFonts w:hint="eastAsia" w:ascii="宋体" w:hAnsi="宋体" w:cs="宋体"/>
                <w:i/>
                <w:sz w:val="18"/>
                <w:szCs w:val="18"/>
                <w:lang w:val="en-US" w:eastAsia="zh-CN"/>
              </w:rPr>
              <w:t>R</w:t>
            </w:r>
            <w:r>
              <w:rPr>
                <w:rFonts w:hint="eastAsia" w:ascii="宋体" w:hAnsi="宋体" w:eastAsia="宋体" w:cs="宋体"/>
                <w:sz w:val="18"/>
                <w:szCs w:val="18"/>
              </w:rPr>
              <w:t>/%</w:t>
            </w:r>
          </w:p>
        </w:tc>
        <w:tc>
          <w:tcPr>
            <w:tcW w:w="22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0.00</w:t>
            </w:r>
            <w:r>
              <w:rPr>
                <w:rFonts w:hint="eastAsia" w:ascii="宋体" w:hAnsi="宋体" w:cs="宋体"/>
                <w:sz w:val="18"/>
                <w:szCs w:val="18"/>
                <w:lang w:val="en-US" w:eastAsia="zh-CN"/>
              </w:rPr>
              <w:t>0</w:t>
            </w:r>
            <w:r>
              <w:rPr>
                <w:rFonts w:hint="eastAsia" w:ascii="宋体" w:hAnsi="宋体" w:eastAsia="宋体" w:cs="宋体"/>
                <w:sz w:val="18"/>
                <w:szCs w:val="18"/>
                <w:lang w:val="en-US" w:eastAsia="zh-CN"/>
              </w:rPr>
              <w:t>0</w:t>
            </w:r>
            <w:r>
              <w:rPr>
                <w:rFonts w:hint="eastAsia" w:ascii="宋体" w:hAnsi="宋体" w:cs="宋体"/>
                <w:sz w:val="18"/>
                <w:szCs w:val="18"/>
                <w:lang w:val="en-US" w:eastAsia="zh-CN"/>
              </w:rPr>
              <w:t>8</w:t>
            </w:r>
            <w:r>
              <w:rPr>
                <w:rFonts w:hint="eastAsia" w:ascii="宋体" w:hAnsi="宋体" w:eastAsia="宋体" w:cs="宋体"/>
                <w:sz w:val="18"/>
                <w:szCs w:val="18"/>
                <w:lang w:val="en-US" w:eastAsia="zh-CN"/>
              </w:rPr>
              <w:t xml:space="preserve"> </w:t>
            </w:r>
          </w:p>
        </w:tc>
        <w:tc>
          <w:tcPr>
            <w:tcW w:w="22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0.000</w:t>
            </w:r>
            <w:r>
              <w:rPr>
                <w:rFonts w:hint="eastAsia" w:ascii="宋体" w:hAnsi="宋体" w:cs="宋体"/>
                <w:sz w:val="18"/>
                <w:szCs w:val="18"/>
                <w:lang w:val="en-US" w:eastAsia="zh-CN"/>
              </w:rPr>
              <w:t>09</w:t>
            </w:r>
            <w:r>
              <w:rPr>
                <w:rFonts w:hint="eastAsia" w:ascii="宋体" w:hAnsi="宋体" w:eastAsia="宋体" w:cs="宋体"/>
                <w:sz w:val="18"/>
                <w:szCs w:val="18"/>
                <w:lang w:val="en-US" w:eastAsia="zh-CN"/>
              </w:rPr>
              <w:t xml:space="preserve"> </w:t>
            </w:r>
          </w:p>
        </w:tc>
        <w:tc>
          <w:tcPr>
            <w:tcW w:w="22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0.0001</w:t>
            </w:r>
            <w:r>
              <w:rPr>
                <w:rFonts w:hint="eastAsia" w:ascii="宋体" w:hAnsi="宋体" w:cs="宋体"/>
                <w:sz w:val="18"/>
                <w:szCs w:val="18"/>
                <w:lang w:val="en-US" w:eastAsia="zh-CN"/>
              </w:rPr>
              <w:t>4</w:t>
            </w:r>
            <w:r>
              <w:rPr>
                <w:rFonts w:hint="eastAsia" w:ascii="宋体" w:hAnsi="宋体" w:eastAsia="宋体" w:cs="宋体"/>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5000" w:type="pct"/>
            <w:gridSpan w:val="4"/>
            <w:noWrap w:val="0"/>
            <w:vAlign w:val="top"/>
          </w:tcPr>
          <w:p>
            <w:pPr>
              <w:adjustRightInd w:val="0"/>
              <w:snapToGrid w:val="0"/>
              <w:spacing w:line="300" w:lineRule="auto"/>
              <w:rPr>
                <w:rFonts w:hint="eastAsia"/>
                <w:color w:val="000000"/>
                <w:kern w:val="0"/>
                <w:sz w:val="18"/>
              </w:rPr>
            </w:pPr>
            <w:r>
              <w:rPr>
                <w:rFonts w:hint="eastAsia" w:ascii="黑体" w:hAnsi="黑体" w:eastAsia="黑体" w:cs="黑体"/>
                <w:color w:val="000000"/>
                <w:kern w:val="0"/>
                <w:sz w:val="18"/>
              </w:rPr>
              <w:t>注：</w:t>
            </w:r>
            <w:r>
              <w:rPr>
                <w:rFonts w:hint="eastAsia" w:ascii="宋体" w:hAnsi="宋体" w:cs="宋体"/>
                <w:sz w:val="18"/>
                <w:szCs w:val="18"/>
                <w:lang w:val="en-US" w:eastAsia="zh-CN"/>
              </w:rPr>
              <w:t>再现性</w:t>
            </w:r>
            <w:r>
              <w:rPr>
                <w:rFonts w:hint="eastAsia" w:ascii="宋体" w:hAnsi="宋体" w:eastAsia="宋体" w:cs="宋体"/>
                <w:sz w:val="18"/>
                <w:szCs w:val="18"/>
              </w:rPr>
              <w:t>限</w:t>
            </w:r>
            <w:r>
              <w:rPr>
                <w:rFonts w:hint="eastAsia" w:ascii="宋体" w:hAnsi="宋体" w:eastAsia="宋体" w:cs="宋体"/>
                <w:color w:val="000000"/>
                <w:kern w:val="0"/>
                <w:sz w:val="18"/>
              </w:rPr>
              <w:t>（</w:t>
            </w:r>
            <w:r>
              <w:rPr>
                <w:rFonts w:hint="eastAsia" w:ascii="宋体" w:hAnsi="宋体" w:cs="宋体"/>
                <w:i/>
                <w:sz w:val="18"/>
                <w:szCs w:val="18"/>
                <w:lang w:val="en-US" w:eastAsia="zh-CN"/>
              </w:rPr>
              <w:t>R</w:t>
            </w:r>
            <w:r>
              <w:rPr>
                <w:rFonts w:hint="eastAsia" w:ascii="宋体" w:hAnsi="宋体" w:eastAsia="宋体" w:cs="宋体"/>
                <w:color w:val="000000"/>
                <w:kern w:val="0"/>
                <w:sz w:val="18"/>
              </w:rPr>
              <w:t>）为2.83S</w:t>
            </w:r>
            <w:r>
              <w:rPr>
                <w:rFonts w:hint="eastAsia" w:ascii="宋体" w:hAnsi="宋体" w:cs="宋体"/>
                <w:i w:val="0"/>
                <w:iCs/>
                <w:sz w:val="18"/>
                <w:szCs w:val="18"/>
                <w:vertAlign w:val="subscript"/>
                <w:lang w:val="en-US" w:eastAsia="zh-CN"/>
              </w:rPr>
              <w:t>R</w:t>
            </w:r>
            <w:r>
              <w:rPr>
                <w:rFonts w:hint="eastAsia" w:ascii="宋体" w:hAnsi="宋体" w:eastAsia="宋体" w:cs="宋体"/>
                <w:color w:val="000000"/>
                <w:kern w:val="0"/>
                <w:sz w:val="18"/>
              </w:rPr>
              <w:t>，S</w:t>
            </w:r>
            <w:r>
              <w:rPr>
                <w:rFonts w:hint="eastAsia" w:ascii="宋体" w:hAnsi="宋体" w:cs="宋体"/>
                <w:i w:val="0"/>
                <w:iCs/>
                <w:sz w:val="18"/>
                <w:szCs w:val="18"/>
                <w:vertAlign w:val="subscript"/>
                <w:lang w:val="en-US" w:eastAsia="zh-CN"/>
              </w:rPr>
              <w:t>R</w:t>
            </w:r>
            <w:r>
              <w:rPr>
                <w:rFonts w:hint="eastAsia" w:ascii="宋体" w:hAnsi="宋体" w:eastAsia="宋体" w:cs="宋体"/>
                <w:color w:val="000000"/>
                <w:kern w:val="0"/>
                <w:sz w:val="18"/>
              </w:rPr>
              <w:t>为重复性标准偏差。</w:t>
            </w:r>
          </w:p>
        </w:tc>
      </w:tr>
    </w:tbl>
    <w:p>
      <w:pPr>
        <w:widowControl/>
        <w:numPr>
          <w:ilvl w:val="1"/>
          <w:numId w:val="0"/>
        </w:numPr>
        <w:spacing w:before="486" w:beforeLines="150" w:after="486" w:afterLines="150"/>
        <w:outlineLvl w:val="0"/>
        <w:rPr>
          <w:rFonts w:hint="eastAsia" w:ascii="黑体" w:hAnsi="宋体" w:eastAsia="黑体"/>
          <w:kern w:val="0"/>
          <w:szCs w:val="20"/>
          <w:lang w:eastAsia="zh-CN"/>
        </w:rPr>
      </w:pPr>
      <w:r>
        <w:rPr>
          <w:rFonts w:hint="eastAsia" w:ascii="黑体" w:hAnsi="宋体" w:eastAsia="黑体"/>
          <w:kern w:val="0"/>
          <w:szCs w:val="20"/>
          <w:lang w:val="en-US" w:eastAsia="zh-CN"/>
        </w:rPr>
        <w:t>6</w:t>
      </w:r>
      <w:r>
        <w:rPr>
          <w:rFonts w:hint="eastAsia" w:ascii="黑体" w:hAnsi="宋体" w:eastAsia="黑体"/>
          <w:kern w:val="0"/>
          <w:szCs w:val="20"/>
          <w:lang w:eastAsia="zh-CN"/>
        </w:rPr>
        <w:t xml:space="preserve">  试验报告</w:t>
      </w:r>
    </w:p>
    <w:p>
      <w:pPr>
        <w:ind w:firstLine="420" w:firstLineChars="200"/>
        <w:rPr>
          <w:color w:val="auto"/>
        </w:rPr>
      </w:pPr>
      <w:r>
        <w:rPr>
          <w:rFonts w:hint="eastAsia"/>
          <w:color w:val="auto"/>
        </w:rPr>
        <w:t>试验报告至少应包括下列内容：</w:t>
      </w:r>
    </w:p>
    <w:p>
      <w:pPr>
        <w:adjustRightInd w:val="0"/>
        <w:snapToGrid w:val="0"/>
        <w:ind w:firstLine="437"/>
        <w:rPr>
          <w:color w:val="auto"/>
        </w:rPr>
      </w:pPr>
      <w:r>
        <w:rPr>
          <w:color w:val="auto"/>
        </w:rPr>
        <w:t>——</w:t>
      </w:r>
      <w:r>
        <w:rPr>
          <w:rFonts w:hint="eastAsia"/>
          <w:color w:val="auto"/>
        </w:rPr>
        <w:t>样品；</w:t>
      </w:r>
    </w:p>
    <w:p>
      <w:pPr>
        <w:adjustRightInd w:val="0"/>
        <w:snapToGrid w:val="0"/>
        <w:ind w:firstLine="437"/>
        <w:rPr>
          <w:rFonts w:hint="eastAsia"/>
          <w:color w:val="auto"/>
        </w:rPr>
      </w:pPr>
      <w:r>
        <w:rPr>
          <w:color w:val="auto"/>
        </w:rPr>
        <w:t>——</w:t>
      </w:r>
      <w:r>
        <w:rPr>
          <w:rFonts w:hint="eastAsia"/>
          <w:color w:val="auto"/>
          <w:lang w:val="en-US" w:eastAsia="zh-CN"/>
        </w:rPr>
        <w:t>本文件的编号</w:t>
      </w:r>
      <w:r>
        <w:rPr>
          <w:rFonts w:hint="eastAsia"/>
          <w:color w:val="auto"/>
        </w:rPr>
        <w:t>；</w:t>
      </w:r>
    </w:p>
    <w:p>
      <w:pPr>
        <w:adjustRightInd w:val="0"/>
        <w:snapToGrid w:val="0"/>
        <w:ind w:firstLine="437"/>
        <w:rPr>
          <w:rFonts w:hint="eastAsia"/>
          <w:color w:val="auto"/>
        </w:rPr>
      </w:pPr>
      <w:r>
        <w:rPr>
          <w:color w:val="auto"/>
        </w:rPr>
        <w:t>——</w:t>
      </w:r>
      <w:r>
        <w:rPr>
          <w:rFonts w:hint="eastAsia"/>
          <w:color w:val="auto"/>
        </w:rPr>
        <w:t>所使用的方法；</w:t>
      </w:r>
    </w:p>
    <w:p>
      <w:pPr>
        <w:adjustRightInd w:val="0"/>
        <w:snapToGrid w:val="0"/>
        <w:ind w:firstLine="437"/>
        <w:rPr>
          <w:color w:val="auto"/>
        </w:rPr>
      </w:pPr>
      <w:r>
        <w:rPr>
          <w:color w:val="auto"/>
        </w:rPr>
        <w:t>——</w:t>
      </w:r>
      <w:r>
        <w:rPr>
          <w:rFonts w:hint="eastAsia"/>
          <w:color w:val="auto"/>
        </w:rPr>
        <w:t>分析结果及其表示；</w:t>
      </w:r>
    </w:p>
    <w:p>
      <w:pPr>
        <w:adjustRightInd w:val="0"/>
        <w:snapToGrid w:val="0"/>
        <w:ind w:firstLine="437"/>
        <w:rPr>
          <w:rFonts w:hint="eastAsia"/>
          <w:color w:val="auto"/>
        </w:rPr>
      </w:pPr>
      <w:r>
        <w:rPr>
          <w:color w:val="auto"/>
        </w:rPr>
        <w:t>——</w:t>
      </w:r>
      <w:r>
        <w:rPr>
          <w:rFonts w:hint="eastAsia"/>
          <w:color w:val="auto"/>
        </w:rPr>
        <w:t>测定中观察到的异常现象；</w:t>
      </w:r>
    </w:p>
    <w:p>
      <w:pPr>
        <w:adjustRightInd w:val="0"/>
        <w:snapToGrid w:val="0"/>
        <w:ind w:firstLine="437"/>
        <w:rPr>
          <w:rFonts w:hint="default" w:eastAsia="宋体"/>
          <w:color w:val="auto"/>
          <w:lang w:val="en-US" w:eastAsia="zh-CN"/>
        </w:rPr>
      </w:pPr>
      <w:r>
        <w:rPr>
          <w:color w:val="auto"/>
        </w:rPr>
        <w:t>——</w:t>
      </w:r>
      <w:r>
        <w:rPr>
          <w:rFonts w:hint="eastAsia"/>
          <w:color w:val="auto"/>
          <w:lang w:val="en-US" w:eastAsia="zh-CN"/>
        </w:rPr>
        <w:t>试验人员；</w:t>
      </w:r>
    </w:p>
    <w:p>
      <w:pPr>
        <w:adjustRightInd w:val="0"/>
        <w:snapToGrid w:val="0"/>
        <w:ind w:firstLine="437"/>
        <w:rPr>
          <w:color w:val="FF0000"/>
        </w:rPr>
      </w:pPr>
      <w:r>
        <w:rPr>
          <w:color w:val="auto"/>
        </w:rPr>
        <w:t>——</w:t>
      </w:r>
      <w:r>
        <w:rPr>
          <w:rFonts w:hint="eastAsia"/>
          <w:color w:val="auto"/>
        </w:rPr>
        <w:t>试验日期。</w:t>
      </w:r>
      <w:bookmarkEnd w:id="3"/>
    </w:p>
    <w:p>
      <w:pPr>
        <w:adjustRightInd w:val="0"/>
        <w:snapToGrid w:val="0"/>
        <w:ind w:firstLine="437"/>
        <w:rPr>
          <w:szCs w:val="21"/>
        </w:rPr>
      </w:pPr>
    </w:p>
    <w:p>
      <w:pPr>
        <w:ind w:firstLine="420" w:firstLineChars="200"/>
        <w:rPr>
          <w:color w:val="000000"/>
          <w:szCs w:val="21"/>
        </w:rPr>
      </w:pPr>
    </w:p>
    <w:p>
      <w:pPr>
        <w:ind w:firstLine="420" w:firstLineChars="200"/>
        <w:rPr>
          <w:color w:val="000000"/>
          <w:szCs w:val="21"/>
        </w:rPr>
      </w:pPr>
    </w:p>
    <w:p>
      <w:pPr>
        <w:adjustRightInd w:val="0"/>
        <w:snapToGrid w:val="0"/>
        <w:rPr>
          <w:color w:val="000000"/>
          <w:sz w:val="15"/>
          <w:szCs w:val="15"/>
        </w:rPr>
        <w:sectPr>
          <w:footerReference r:id="rId12" w:type="default"/>
          <w:footerReference r:id="rId13" w:type="even"/>
          <w:pgSz w:w="11907" w:h="16840"/>
          <w:pgMar w:top="1418" w:right="1134" w:bottom="1134" w:left="1418" w:header="1134" w:footer="992" w:gutter="0"/>
          <w:pgBorders>
            <w:top w:val="none" w:sz="0" w:space="0"/>
            <w:left w:val="none" w:sz="0" w:space="0"/>
            <w:bottom w:val="none" w:sz="0" w:space="0"/>
            <w:right w:val="none" w:sz="0" w:space="0"/>
          </w:pgBorders>
          <w:pgNumType w:start="1"/>
          <w:cols w:space="720" w:num="1"/>
          <w:docGrid w:type="lines" w:linePitch="324" w:charSpace="0"/>
        </w:sectPr>
      </w:pPr>
    </w:p>
    <w:bookmarkEnd w:id="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olor w:val="000000"/>
          <w:szCs w:val="21"/>
        </w:rPr>
      </w:pPr>
      <w:r>
        <w:rPr>
          <w:rFonts w:hint="eastAsia" w:ascii="黑体" w:hAnsi="黑体" w:eastAsia="黑体"/>
          <w:color w:val="000000"/>
          <w:szCs w:val="21"/>
        </w:rPr>
        <w:t>附</w:t>
      </w:r>
      <w:r>
        <w:rPr>
          <w:rFonts w:hint="eastAsia" w:ascii="黑体" w:hAnsi="黑体" w:eastAsia="黑体"/>
          <w:color w:val="000000"/>
          <w:szCs w:val="21"/>
          <w:lang w:val="en-US" w:eastAsia="zh-CN"/>
        </w:rPr>
        <w:t xml:space="preserve"> </w:t>
      </w:r>
      <w:r>
        <w:rPr>
          <w:rFonts w:hint="eastAsia" w:ascii="黑体" w:hAnsi="黑体" w:eastAsia="黑体"/>
          <w:color w:val="000000"/>
          <w:szCs w:val="21"/>
        </w:rPr>
        <w:t>录</w:t>
      </w:r>
      <w:r>
        <w:rPr>
          <w:rFonts w:hint="eastAsia" w:ascii="黑体" w:hAnsi="黑体" w:eastAsia="黑体"/>
          <w:color w:val="000000"/>
          <w:szCs w:val="21"/>
          <w:lang w:val="en-US" w:eastAsia="zh-CN"/>
        </w:rPr>
        <w:t xml:space="preserve"> </w:t>
      </w:r>
      <w:r>
        <w:rPr>
          <w:rFonts w:hint="eastAsia" w:ascii="黑体" w:hAnsi="黑体" w:eastAsia="黑体"/>
          <w:color w:val="000000"/>
          <w:szCs w:val="21"/>
        </w:rPr>
        <w:t>A</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olor w:val="000000"/>
          <w:szCs w:val="21"/>
        </w:rPr>
      </w:pPr>
      <w:r>
        <w:rPr>
          <w:rFonts w:hint="eastAsia" w:ascii="黑体" w:hAnsi="黑体" w:eastAsia="黑体"/>
          <w:color w:val="000000"/>
          <w:szCs w:val="21"/>
        </w:rPr>
        <w:t>(资料性)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olor w:val="000000"/>
          <w:szCs w:val="21"/>
        </w:rPr>
      </w:pPr>
      <w:r>
        <w:rPr>
          <w:rFonts w:hint="eastAsia" w:ascii="黑体" w:hAnsi="黑体" w:eastAsia="黑体"/>
          <w:color w:val="000000"/>
          <w:szCs w:val="21"/>
        </w:rPr>
        <w:t>仪器分析条件</w:t>
      </w:r>
      <w:r>
        <w:rPr>
          <w:rFonts w:hint="eastAsia" w:ascii="黑体" w:hAnsi="黑体" w:eastAsia="黑体"/>
          <w:color w:val="000000"/>
          <w:szCs w:val="21"/>
          <w:lang w:eastAsia="zh-CN"/>
        </w:rPr>
        <w:t>（</w:t>
      </w:r>
      <w:r>
        <w:rPr>
          <w:rFonts w:hint="eastAsia" w:ascii="黑体" w:hAnsi="黑体" w:eastAsia="黑体"/>
          <w:color w:val="000000"/>
          <w:szCs w:val="21"/>
          <w:lang w:val="en-US" w:eastAsia="zh-CN"/>
        </w:rPr>
        <w:t>推荐</w:t>
      </w:r>
      <w:r>
        <w:rPr>
          <w:rFonts w:hint="eastAsia" w:ascii="黑体" w:hAnsi="黑体" w:eastAsia="黑体"/>
          <w:color w:val="000000"/>
          <w:szCs w:val="21"/>
          <w:lang w:eastAsia="zh-CN"/>
        </w:rPr>
        <w:t>）</w:t>
      </w:r>
    </w:p>
    <w:p>
      <w:pPr>
        <w:ind w:firstLine="420"/>
        <w:jc w:val="left"/>
        <w:rPr>
          <w:rFonts w:hint="eastAsia" w:ascii="黑体" w:hAnsi="黑体" w:eastAsia="黑体"/>
          <w:color w:val="000000"/>
          <w:szCs w:val="21"/>
        </w:rPr>
      </w:pPr>
      <w:r>
        <w:rPr>
          <w:rFonts w:hint="eastAsia" w:ascii="黑体" w:hAnsi="黑体"/>
          <w:color w:val="0D0D0D" w:themeColor="text1" w:themeTint="F2"/>
          <w:szCs w:val="21"/>
          <w14:textFill>
            <w14:solidFill>
              <w14:schemeClr w14:val="tx1">
                <w14:lumMod w14:val="95000"/>
                <w14:lumOff w14:val="5000"/>
              </w14:schemeClr>
            </w14:solidFill>
          </w14:textFill>
        </w:rPr>
        <w:t>推荐的仪器分析条件见表A</w:t>
      </w:r>
      <w:r>
        <w:rPr>
          <w:rFonts w:ascii="黑体" w:hAnsi="黑体"/>
          <w:color w:val="0D0D0D" w:themeColor="text1" w:themeTint="F2"/>
          <w:szCs w:val="21"/>
          <w14:textFill>
            <w14:solidFill>
              <w14:schemeClr w14:val="tx1">
                <w14:lumMod w14:val="95000"/>
                <w14:lumOff w14:val="5000"/>
              </w14:schemeClr>
            </w14:solidFill>
          </w14:textFill>
        </w:rPr>
        <w:t>.1</w:t>
      </w:r>
      <w:r>
        <w:rPr>
          <w:rFonts w:hint="eastAsia" w:ascii="黑体" w:hAnsi="黑体"/>
          <w:color w:val="0D0D0D" w:themeColor="text1" w:themeTint="F2"/>
          <w:szCs w:val="21"/>
          <w14:textFill>
            <w14:solidFill>
              <w14:schemeClr w14:val="tx1">
                <w14:lumMod w14:val="95000"/>
                <w14:lumOff w14:val="5000"/>
              </w14:schemeClr>
            </w14:solidFill>
          </w14:textFill>
        </w:rPr>
        <w:t>，实验室也可根据仪器说明书优化确定其它适用的分析条件。</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color w:val="000000"/>
          <w:szCs w:val="21"/>
        </w:rPr>
      </w:pPr>
      <w:r>
        <w:rPr>
          <w:rFonts w:hint="eastAsia" w:ascii="黑体" w:hAnsi="黑体" w:eastAsia="黑体"/>
          <w:color w:val="000000"/>
          <w:szCs w:val="21"/>
        </w:rPr>
        <w:t>表A</w:t>
      </w:r>
      <w:r>
        <w:rPr>
          <w:rFonts w:ascii="黑体" w:hAnsi="黑体" w:eastAsia="黑体"/>
          <w:color w:val="000000"/>
          <w:szCs w:val="21"/>
        </w:rPr>
        <w:t>.1</w:t>
      </w:r>
      <w:r>
        <w:rPr>
          <w:rFonts w:hint="eastAsia"/>
          <w:color w:val="000000"/>
          <w:szCs w:val="21"/>
        </w:rPr>
        <w:t>　</w:t>
      </w:r>
      <w:r>
        <w:rPr>
          <w:rFonts w:hint="eastAsia" w:ascii="黑体" w:hAnsi="黑体" w:eastAsia="黑体"/>
          <w:color w:val="000000"/>
          <w:szCs w:val="21"/>
        </w:rPr>
        <w:t>仪器分析条件</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6"/>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Borders>
              <w:top w:val="single" w:color="auto" w:sz="12" w:space="0"/>
              <w:left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rPr>
              <w:t>测定</w:t>
            </w:r>
            <w:r>
              <w:rPr>
                <w:rFonts w:hint="eastAsia" w:ascii="宋体" w:hAnsi="宋体" w:eastAsia="宋体" w:cs="宋体"/>
                <w:color w:val="000000"/>
                <w:kern w:val="2"/>
                <w:sz w:val="18"/>
                <w:szCs w:val="18"/>
              </w:rPr>
              <w:t>元素</w:t>
            </w:r>
          </w:p>
        </w:tc>
        <w:tc>
          <w:tcPr>
            <w:tcW w:w="714" w:type="pct"/>
            <w:tcBorders>
              <w:top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方法</w:t>
            </w:r>
          </w:p>
        </w:tc>
        <w:tc>
          <w:tcPr>
            <w:tcW w:w="713" w:type="pct"/>
            <w:tcBorders>
              <w:top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载气</w:t>
            </w:r>
          </w:p>
        </w:tc>
        <w:tc>
          <w:tcPr>
            <w:tcW w:w="714" w:type="pct"/>
            <w:tcBorders>
              <w:top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石墨坩埚</w:t>
            </w:r>
          </w:p>
        </w:tc>
        <w:tc>
          <w:tcPr>
            <w:tcW w:w="714" w:type="pct"/>
            <w:tcBorders>
              <w:top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脱气功率</w:t>
            </w:r>
          </w:p>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kW</w:t>
            </w:r>
          </w:p>
        </w:tc>
        <w:tc>
          <w:tcPr>
            <w:tcW w:w="714" w:type="pct"/>
            <w:tcBorders>
              <w:top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分析功率</w:t>
            </w:r>
          </w:p>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kW</w:t>
            </w:r>
          </w:p>
        </w:tc>
        <w:tc>
          <w:tcPr>
            <w:tcW w:w="714" w:type="pct"/>
            <w:tcBorders>
              <w:top w:val="single" w:color="auto" w:sz="12" w:space="0"/>
              <w:bottom w:val="single" w:color="auto" w:sz="12" w:space="0"/>
              <w:righ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分析时间</w:t>
            </w:r>
          </w:p>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Borders>
              <w:top w:val="single" w:color="auto" w:sz="12" w:space="0"/>
              <w:lef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氧</w:t>
            </w:r>
          </w:p>
        </w:tc>
        <w:tc>
          <w:tcPr>
            <w:tcW w:w="714" w:type="pct"/>
            <w:tcBorders>
              <w:top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红外吸收法</w:t>
            </w:r>
          </w:p>
        </w:tc>
        <w:tc>
          <w:tcPr>
            <w:tcW w:w="713" w:type="pct"/>
            <w:tcBorders>
              <w:top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氦气、氩气</w:t>
            </w:r>
          </w:p>
        </w:tc>
        <w:tc>
          <w:tcPr>
            <w:tcW w:w="714" w:type="pct"/>
            <w:tcBorders>
              <w:top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套坩埚</w:t>
            </w:r>
          </w:p>
        </w:tc>
        <w:tc>
          <w:tcPr>
            <w:tcW w:w="714" w:type="pct"/>
            <w:tcBorders>
              <w:top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5.50</w:t>
            </w:r>
          </w:p>
        </w:tc>
        <w:tc>
          <w:tcPr>
            <w:tcW w:w="714" w:type="pct"/>
            <w:tcBorders>
              <w:top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4.50</w:t>
            </w:r>
          </w:p>
        </w:tc>
        <w:tc>
          <w:tcPr>
            <w:tcW w:w="714" w:type="pct"/>
            <w:tcBorders>
              <w:top w:val="single" w:color="auto" w:sz="12" w:space="0"/>
              <w:righ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Borders>
              <w:lef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氮</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热导法</w:t>
            </w:r>
          </w:p>
        </w:tc>
        <w:tc>
          <w:tcPr>
            <w:tcW w:w="713"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氦气</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套坩埚</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5.50</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4.50</w:t>
            </w:r>
          </w:p>
        </w:tc>
        <w:tc>
          <w:tcPr>
            <w:tcW w:w="714" w:type="pct"/>
            <w:tcBorders>
              <w:righ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Borders>
              <w:lef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氢</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红外吸收法</w:t>
            </w:r>
          </w:p>
        </w:tc>
        <w:tc>
          <w:tcPr>
            <w:tcW w:w="713"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氦气</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标准坩埚</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3.25</w:t>
            </w:r>
          </w:p>
        </w:tc>
        <w:tc>
          <w:tcPr>
            <w:tcW w:w="714" w:type="pct"/>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2.75</w:t>
            </w:r>
          </w:p>
        </w:tc>
        <w:tc>
          <w:tcPr>
            <w:tcW w:w="714" w:type="pct"/>
            <w:tcBorders>
              <w:righ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Borders>
              <w:left w:val="single" w:color="auto" w:sz="12" w:space="0"/>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p>
        </w:tc>
        <w:tc>
          <w:tcPr>
            <w:tcW w:w="714" w:type="pct"/>
            <w:tcBorders>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热导法</w:t>
            </w:r>
          </w:p>
        </w:tc>
        <w:tc>
          <w:tcPr>
            <w:tcW w:w="713" w:type="pct"/>
            <w:tcBorders>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氮气</w:t>
            </w:r>
          </w:p>
        </w:tc>
        <w:tc>
          <w:tcPr>
            <w:tcW w:w="714" w:type="pct"/>
            <w:tcBorders>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标准坩埚</w:t>
            </w:r>
          </w:p>
        </w:tc>
        <w:tc>
          <w:tcPr>
            <w:tcW w:w="714" w:type="pct"/>
            <w:tcBorders>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3.25</w:t>
            </w:r>
          </w:p>
        </w:tc>
        <w:tc>
          <w:tcPr>
            <w:tcW w:w="714" w:type="pct"/>
            <w:tcBorders>
              <w:bottom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2.75</w:t>
            </w:r>
          </w:p>
        </w:tc>
        <w:tc>
          <w:tcPr>
            <w:tcW w:w="714" w:type="pct"/>
            <w:tcBorders>
              <w:bottom w:val="single" w:color="auto" w:sz="12" w:space="0"/>
              <w:right w:val="single" w:color="auto" w:sz="12" w:space="0"/>
            </w:tcBorders>
            <w:vAlign w:val="center"/>
          </w:tcPr>
          <w:p>
            <w:pPr>
              <w:pStyle w:val="6"/>
              <w:spacing w:line="240" w:lineRule="auto"/>
              <w:ind w:firstLine="0"/>
              <w:jc w:val="center"/>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45</w:t>
            </w:r>
          </w:p>
        </w:tc>
      </w:tr>
    </w:tbl>
    <w:p>
      <w:pPr>
        <w:pStyle w:val="6"/>
        <w:spacing w:line="240" w:lineRule="auto"/>
        <w:ind w:left="0" w:leftChars="0" w:firstLine="0" w:firstLineChars="0"/>
        <w:rPr>
          <w:rFonts w:hint="eastAsia" w:ascii="宋体" w:hAnsi="宋体" w:eastAsia="宋体" w:cs="宋体"/>
          <w:color w:val="000000"/>
          <w:kern w:val="2"/>
          <w:sz w:val="21"/>
          <w:szCs w:val="21"/>
        </w:rPr>
      </w:pPr>
    </w:p>
    <w:p>
      <w:pPr>
        <w:widowControl/>
        <w:jc w:val="left"/>
        <w:rPr>
          <w:rFonts w:ascii="黑体" w:hAnsi="黑体" w:eastAsia="黑体"/>
          <w:color w:val="000000"/>
          <w:szCs w:val="21"/>
        </w:rPr>
      </w:pPr>
      <w:r>
        <w:rPr>
          <w:rFonts w:ascii="黑体" w:hAnsi="黑体" w:eastAsia="黑体"/>
          <w:color w:val="000000"/>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olor w:val="000000"/>
          <w:szCs w:val="21"/>
        </w:rPr>
      </w:pPr>
      <w:r>
        <w:rPr>
          <w:rFonts w:hint="eastAsia" w:ascii="黑体" w:hAnsi="黑体" w:eastAsia="黑体"/>
          <w:color w:val="000000"/>
          <w:szCs w:val="21"/>
        </w:rPr>
        <w:t>附录B</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olor w:val="000000"/>
          <w:szCs w:val="21"/>
        </w:rPr>
      </w:pPr>
      <w:r>
        <w:rPr>
          <w:rFonts w:hint="eastAsia" w:ascii="黑体" w:hAnsi="黑体" w:eastAsia="黑体"/>
          <w:color w:val="000000"/>
          <w:szCs w:val="21"/>
        </w:rPr>
        <w:t>(资料性)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olor w:val="000000"/>
          <w:szCs w:val="21"/>
        </w:rPr>
      </w:pPr>
      <w:r>
        <w:rPr>
          <w:rFonts w:hint="eastAsia" w:ascii="黑体" w:hAnsi="黑体" w:eastAsia="黑体"/>
          <w:color w:val="000000"/>
          <w:szCs w:val="21"/>
        </w:rPr>
        <w:t>精密度试验原始数据</w:t>
      </w:r>
    </w:p>
    <w:p>
      <w:pPr>
        <w:pStyle w:val="6"/>
        <w:spacing w:line="240" w:lineRule="auto"/>
        <w:ind w:firstLine="437"/>
        <w:rPr>
          <w:color w:val="000000"/>
          <w:kern w:val="2"/>
          <w:sz w:val="21"/>
          <w:szCs w:val="21"/>
        </w:rPr>
      </w:pPr>
      <w:r>
        <w:rPr>
          <w:rFonts w:hint="eastAsia"/>
          <w:color w:val="000000"/>
          <w:kern w:val="2"/>
          <w:sz w:val="21"/>
          <w:szCs w:val="21"/>
        </w:rPr>
        <w:t>精密度试验原</w:t>
      </w:r>
      <w:r>
        <w:rPr>
          <w:rFonts w:hint="eastAsia" w:ascii="宋体" w:hAnsi="宋体" w:eastAsia="宋体" w:cs="宋体"/>
          <w:color w:val="000000"/>
          <w:kern w:val="2"/>
          <w:sz w:val="21"/>
          <w:szCs w:val="21"/>
        </w:rPr>
        <w:t>始数据是202</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rPr>
        <w:t>年由</w:t>
      </w:r>
      <w:r>
        <w:rPr>
          <w:rFonts w:hint="eastAsia" w:ascii="宋体" w:hAnsi="宋体" w:cs="宋体"/>
          <w:color w:val="000000"/>
          <w:kern w:val="2"/>
          <w:sz w:val="21"/>
          <w:szCs w:val="21"/>
          <w:lang w:val="en-US" w:eastAsia="zh-CN"/>
        </w:rPr>
        <w:t>9</w:t>
      </w:r>
      <w:r>
        <w:rPr>
          <w:rFonts w:hint="eastAsia" w:ascii="宋体" w:hAnsi="宋体" w:eastAsia="宋体" w:cs="宋体"/>
          <w:color w:val="000000"/>
          <w:kern w:val="2"/>
          <w:sz w:val="21"/>
          <w:szCs w:val="21"/>
        </w:rPr>
        <w:t>家～</w:t>
      </w:r>
      <w:r>
        <w:rPr>
          <w:rFonts w:hint="eastAsia" w:ascii="宋体" w:hAnsi="宋体" w:eastAsia="宋体" w:cs="宋体"/>
          <w:color w:val="000000"/>
          <w:kern w:val="2"/>
          <w:sz w:val="21"/>
          <w:szCs w:val="21"/>
          <w:lang w:val="en-US" w:eastAsia="zh-CN"/>
        </w:rPr>
        <w:t>10家</w:t>
      </w:r>
      <w:r>
        <w:rPr>
          <w:rFonts w:hint="eastAsia" w:ascii="宋体" w:hAnsi="宋体" w:eastAsia="宋体" w:cs="宋体"/>
          <w:color w:val="000000"/>
          <w:kern w:val="2"/>
          <w:sz w:val="21"/>
          <w:szCs w:val="21"/>
        </w:rPr>
        <w:t>实验室分别对铜及铜合金中</w:t>
      </w:r>
      <w:r>
        <w:rPr>
          <w:rFonts w:hint="eastAsia" w:ascii="宋体" w:hAnsi="宋体" w:eastAsia="宋体" w:cs="宋体"/>
          <w:color w:val="000000"/>
          <w:kern w:val="2"/>
          <w:sz w:val="21"/>
          <w:szCs w:val="21"/>
          <w:lang w:val="en-US" w:eastAsia="zh-CN"/>
        </w:rPr>
        <w:t>氧的5个、氮的3个和</w:t>
      </w:r>
      <w:r>
        <w:rPr>
          <w:rFonts w:hint="eastAsia" w:ascii="宋体" w:hAnsi="宋体" w:eastAsia="宋体" w:cs="宋体"/>
          <w:color w:val="000000"/>
          <w:kern w:val="2"/>
          <w:sz w:val="21"/>
          <w:szCs w:val="21"/>
        </w:rPr>
        <w:t>氢的</w:t>
      </w:r>
      <w:r>
        <w:rPr>
          <w:rFonts w:hint="eastAsia" w:ascii="宋体" w:hAnsi="宋体" w:cs="宋体"/>
          <w:color w:val="000000"/>
          <w:kern w:val="2"/>
          <w:sz w:val="21"/>
          <w:szCs w:val="21"/>
          <w:lang w:val="en-US" w:eastAsia="zh-CN"/>
        </w:rPr>
        <w:t>3</w:t>
      </w:r>
      <w:r>
        <w:rPr>
          <w:rFonts w:hint="eastAsia" w:ascii="宋体" w:hAnsi="宋体" w:eastAsia="宋体" w:cs="宋体"/>
          <w:color w:val="000000"/>
          <w:kern w:val="2"/>
          <w:sz w:val="21"/>
          <w:szCs w:val="21"/>
        </w:rPr>
        <w:t>个不同水平样品进行共同试验确定。每个实验室分别对每个水平的</w:t>
      </w:r>
      <w:r>
        <w:rPr>
          <w:rFonts w:hint="eastAsia" w:ascii="宋体" w:hAnsi="宋体" w:cs="宋体"/>
          <w:color w:val="000000"/>
          <w:kern w:val="2"/>
          <w:sz w:val="21"/>
          <w:szCs w:val="21"/>
          <w:lang w:val="en-US" w:eastAsia="zh-CN"/>
        </w:rPr>
        <w:t>氧、氮、</w:t>
      </w:r>
      <w:r>
        <w:rPr>
          <w:rFonts w:hint="eastAsia" w:ascii="宋体" w:hAnsi="宋体" w:eastAsia="宋体" w:cs="宋体"/>
          <w:color w:val="000000"/>
          <w:kern w:val="2"/>
          <w:sz w:val="21"/>
          <w:szCs w:val="21"/>
        </w:rPr>
        <w:t>氢的含量在重复性条件下独立测定</w:t>
      </w:r>
      <w:r>
        <w:rPr>
          <w:rFonts w:hint="eastAsia" w:ascii="宋体" w:hAnsi="宋体" w:eastAsia="宋体" w:cs="宋体"/>
          <w:color w:val="000000"/>
          <w:kern w:val="2"/>
          <w:sz w:val="21"/>
          <w:szCs w:val="21"/>
          <w:lang w:val="en-US" w:eastAsia="zh-CN"/>
        </w:rPr>
        <w:t>7</w:t>
      </w:r>
      <w:r>
        <w:rPr>
          <w:rFonts w:hint="eastAsia" w:ascii="宋体" w:hAnsi="宋体" w:eastAsia="宋体" w:cs="宋体"/>
          <w:color w:val="000000"/>
          <w:kern w:val="2"/>
          <w:sz w:val="21"/>
          <w:szCs w:val="21"/>
        </w:rPr>
        <w:t>次。测量原始数据见表B</w:t>
      </w: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rPr>
        <w:t>～表B</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color w:val="000000"/>
          <w:szCs w:val="21"/>
        </w:rPr>
      </w:pPr>
      <w:r>
        <w:rPr>
          <w:rFonts w:hint="eastAsia" w:ascii="黑体" w:hAnsi="黑体" w:eastAsia="黑体"/>
          <w:color w:val="000000"/>
          <w:szCs w:val="21"/>
        </w:rPr>
        <w:t>表B</w:t>
      </w:r>
      <w:r>
        <w:rPr>
          <w:rFonts w:hint="eastAsia" w:ascii="黑体" w:hAnsi="黑体" w:eastAsia="黑体"/>
          <w:color w:val="000000"/>
          <w:szCs w:val="21"/>
          <w:lang w:val="en-US" w:eastAsia="zh-CN"/>
        </w:rPr>
        <w:t>.1  氧</w:t>
      </w:r>
      <w:r>
        <w:rPr>
          <w:rFonts w:hint="eastAsia" w:ascii="黑体" w:hAnsi="黑体" w:eastAsia="黑体"/>
          <w:color w:val="000000"/>
          <w:szCs w:val="21"/>
        </w:rPr>
        <w:t>精密度试验原始数据</w:t>
      </w:r>
    </w:p>
    <w:tbl>
      <w:tblPr>
        <w:tblStyle w:val="4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3"/>
        <w:gridCol w:w="1063"/>
        <w:gridCol w:w="1063"/>
        <w:gridCol w:w="1063"/>
        <w:gridCol w:w="1063"/>
        <w:gridCol w:w="1064"/>
        <w:gridCol w:w="1064"/>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vAlign w:val="center"/>
          </w:tcPr>
          <w:p>
            <w:pPr>
              <w:tabs>
                <w:tab w:val="left" w:pos="2205"/>
              </w:tabs>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实验室</w:t>
            </w:r>
          </w:p>
        </w:tc>
        <w:tc>
          <w:tcPr>
            <w:tcW w:w="1063" w:type="dxa"/>
            <w:vMerge w:val="restart"/>
            <w:vAlign w:val="center"/>
          </w:tcPr>
          <w:p>
            <w:pPr>
              <w:tabs>
                <w:tab w:val="left" w:pos="2205"/>
              </w:tabs>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水平数</w:t>
            </w:r>
          </w:p>
        </w:tc>
        <w:tc>
          <w:tcPr>
            <w:tcW w:w="7444" w:type="dxa"/>
            <w:gridSpan w:val="7"/>
          </w:tcPr>
          <w:p>
            <w:pPr>
              <w:tabs>
                <w:tab w:val="left" w:pos="2205"/>
              </w:tabs>
              <w:jc w:val="center"/>
              <w:rPr>
                <w:rFonts w:hint="default" w:ascii="宋体" w:hAnsi="宋体" w:cs="宋体"/>
                <w:i/>
                <w:iCs/>
                <w:color w:val="000000"/>
                <w:sz w:val="18"/>
                <w:szCs w:val="18"/>
                <w:vertAlign w:val="baseline"/>
                <w:lang w:val="en-US" w:eastAsia="zh-CN"/>
              </w:rPr>
            </w:pPr>
            <w:r>
              <w:rPr>
                <w:rFonts w:hint="eastAsia" w:ascii="宋体" w:hAnsi="宋体" w:eastAsia="宋体" w:cs="宋体"/>
                <w:i/>
                <w:iCs/>
                <w:color w:val="000000"/>
                <w:sz w:val="18"/>
                <w:szCs w:val="18"/>
                <w:vertAlign w:val="baseline"/>
                <w:lang w:val="en-US" w:eastAsia="zh-CN"/>
              </w:rPr>
              <w:t>ω</w:t>
            </w:r>
            <w:r>
              <w:rPr>
                <w:rFonts w:hint="eastAsia" w:ascii="宋体" w:hAnsi="宋体" w:eastAsia="宋体" w:cs="宋体"/>
                <w:i w:val="0"/>
                <w:iCs w:val="0"/>
                <w:color w:val="000000"/>
                <w:sz w:val="18"/>
                <w:szCs w:val="18"/>
                <w:vertAlign w:val="subscript"/>
                <w:lang w:val="en-US" w:eastAsia="zh-CN"/>
              </w:rPr>
              <w:t>O</w:t>
            </w:r>
            <w:r>
              <w:rPr>
                <w:rFonts w:hint="eastAsia" w:ascii="宋体" w:hAnsi="宋体" w:cs="宋体"/>
                <w:i w:val="0"/>
                <w:iCs w:val="0"/>
                <w:color w:val="000000"/>
                <w:sz w:val="18"/>
                <w:szCs w:val="18"/>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bottom w:val="single" w:color="auto" w:sz="12" w:space="0"/>
            </w:tcBorders>
          </w:tcPr>
          <w:p>
            <w:pPr>
              <w:tabs>
                <w:tab w:val="left" w:pos="2205"/>
              </w:tabs>
              <w:jc w:val="center"/>
              <w:rPr>
                <w:color w:val="000000"/>
                <w:sz w:val="18"/>
                <w:szCs w:val="18"/>
                <w:vertAlign w:val="baseline"/>
              </w:rPr>
            </w:pPr>
          </w:p>
        </w:tc>
        <w:tc>
          <w:tcPr>
            <w:tcW w:w="1063" w:type="dxa"/>
            <w:vMerge w:val="continue"/>
            <w:tcBorders>
              <w:bottom w:val="single" w:color="auto" w:sz="12" w:space="0"/>
            </w:tcBorders>
          </w:tcPr>
          <w:p>
            <w:pPr>
              <w:tabs>
                <w:tab w:val="left" w:pos="2205"/>
              </w:tabs>
              <w:jc w:val="center"/>
              <w:rPr>
                <w:color w:val="000000"/>
                <w:sz w:val="18"/>
                <w:szCs w:val="18"/>
                <w:vertAlign w:val="baseline"/>
              </w:rPr>
            </w:pP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tl2br w:val="nil"/>
              <w:tr2bl w:val="nil"/>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12" w:space="0"/>
              <w:tl2br w:val="nil"/>
              <w:tr2bl w:val="nil"/>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0.00057</w:t>
            </w:r>
          </w:p>
        </w:tc>
        <w:tc>
          <w:tcPr>
            <w:tcW w:w="1063"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0.00062</w:t>
            </w:r>
          </w:p>
        </w:tc>
        <w:tc>
          <w:tcPr>
            <w:tcW w:w="1063"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0.00057</w:t>
            </w:r>
          </w:p>
        </w:tc>
        <w:tc>
          <w:tcPr>
            <w:tcW w:w="1063"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0.00057</w:t>
            </w:r>
          </w:p>
        </w:tc>
        <w:tc>
          <w:tcPr>
            <w:tcW w:w="1064"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0.00061</w:t>
            </w:r>
          </w:p>
        </w:tc>
        <w:tc>
          <w:tcPr>
            <w:tcW w:w="1064"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0.00062</w:t>
            </w:r>
          </w:p>
        </w:tc>
        <w:tc>
          <w:tcPr>
            <w:tcW w:w="1064" w:type="dxa"/>
            <w:tcBorders>
              <w:top w:val="single" w:color="auto" w:sz="12"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0.00160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0.00151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0.00156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0.00152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0.00158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0.00148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0.00145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0.00414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0.00406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0.00402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0.00412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0.00434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0.00410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0.00411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0.0196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0.0206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0.0207</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0.0199</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0.0201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0.0204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0.0199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0.364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0.360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0.360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0.362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0.357</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0.357</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0.371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2</w:t>
            </w: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0.00070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tcPr>
          <w:p>
            <w:pPr>
              <w:tabs>
                <w:tab w:val="left" w:pos="2205"/>
              </w:tabs>
              <w:jc w:val="center"/>
              <w:rPr>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tcPr>
          <w:p>
            <w:pPr>
              <w:tabs>
                <w:tab w:val="left" w:pos="2205"/>
              </w:tabs>
              <w:jc w:val="center"/>
              <w:rPr>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0.00411</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0.00410</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0.00422</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0.00440</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0.00451</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0.00430</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0.00440</w:t>
            </w:r>
            <w:r>
              <w:rPr>
                <w:rFonts w:hint="eastAsia" w:ascii="宋体" w:hAnsi="宋体" w:cs="宋体"/>
                <w:i w:val="0"/>
                <w:iCs w:val="0"/>
                <w:color w:val="auto"/>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tcPr>
          <w:p>
            <w:pPr>
              <w:tabs>
                <w:tab w:val="left" w:pos="2205"/>
              </w:tabs>
              <w:jc w:val="center"/>
              <w:rPr>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0.0185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0.0186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0.0184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tcPr>
          <w:p>
            <w:pPr>
              <w:tabs>
                <w:tab w:val="left" w:pos="2205"/>
              </w:tabs>
              <w:jc w:val="center"/>
              <w:rPr>
                <w:color w:val="000000"/>
                <w:sz w:val="18"/>
                <w:szCs w:val="18"/>
                <w:vertAlign w:val="baseline"/>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0.371</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0.367</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0.353</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0.353</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0.382</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0.361</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0.376</w:t>
            </w:r>
            <w:r>
              <w:rPr>
                <w:rFonts w:hint="eastAsia" w:ascii="宋体" w:hAnsi="宋体" w:cs="宋体"/>
                <w:i w:val="0"/>
                <w:iCs w:val="0"/>
                <w:color w:val="auto"/>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3</w:t>
            </w: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0.00066</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0.00071</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0.00083</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0.00086</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0.00085</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0.00068</w:t>
            </w:r>
            <w:r>
              <w:rPr>
                <w:rFonts w:hint="eastAsia" w:ascii="宋体" w:hAnsi="宋体" w:cs="宋体"/>
                <w:i w:val="0"/>
                <w:iCs w:val="0"/>
                <w:color w:val="auto"/>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0.00102</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0.00119</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0.00123</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0.00138</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0.00137</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0.00140</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0.00141</w:t>
            </w:r>
            <w:r>
              <w:rPr>
                <w:rFonts w:hint="eastAsia" w:ascii="宋体" w:hAnsi="宋体" w:cs="宋体"/>
                <w:i w:val="0"/>
                <w:iCs w:val="0"/>
                <w:color w:val="auto"/>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0.00471</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0.00475</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0.00483</w:t>
            </w:r>
            <w:r>
              <w:rPr>
                <w:rFonts w:hint="eastAsia" w:ascii="宋体" w:hAnsi="宋体" w:cs="宋体"/>
                <w:i w:val="0"/>
                <w:iCs w:val="0"/>
                <w:color w:val="auto"/>
                <w:kern w:val="0"/>
                <w:sz w:val="18"/>
                <w:szCs w:val="18"/>
                <w:u w:val="none"/>
                <w:lang w:val="en-US" w:eastAsia="zh-CN" w:bidi="ar"/>
              </w:rPr>
              <w:t>**</w:t>
            </w:r>
          </w:p>
        </w:tc>
        <w:tc>
          <w:tcPr>
            <w:tcW w:w="1063"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0.00489</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0.00473</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0.00462</w:t>
            </w:r>
            <w:r>
              <w:rPr>
                <w:rFonts w:hint="eastAsia" w:ascii="宋体" w:hAnsi="宋体" w:cs="宋体"/>
                <w:i w:val="0"/>
                <w:iCs w:val="0"/>
                <w:color w:val="auto"/>
                <w:kern w:val="0"/>
                <w:sz w:val="18"/>
                <w:szCs w:val="18"/>
                <w:u w:val="none"/>
                <w:lang w:val="en-US" w:eastAsia="zh-CN" w:bidi="ar"/>
              </w:rPr>
              <w:t>**</w:t>
            </w:r>
          </w:p>
        </w:tc>
        <w:tc>
          <w:tcPr>
            <w:tcW w:w="106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0.00478</w:t>
            </w:r>
            <w:r>
              <w:rPr>
                <w:rFonts w:hint="eastAsia" w:ascii="宋体" w:hAnsi="宋体" w:cs="宋体"/>
                <w:i w:val="0"/>
                <w:iCs w:val="0"/>
                <w:color w:val="auto"/>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0.353</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l2br w:val="nil"/>
              <w:tr2bl w:val="nil"/>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4</w:t>
            </w: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0.00149</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0.00433</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0.0197</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0.0198</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0.0199</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0.357</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5</w:t>
            </w: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0.00407</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0.00409</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0.0203</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6</w:t>
            </w: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0.00071</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0.00156</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0.00160</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0.00153</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0.00422</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0.0209</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0.0202</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0.0207</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0.0198</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0.0196</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l2br w:val="nil"/>
              <w:tr2bl w:val="nil"/>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tl2br w:val="nil"/>
              <w:tr2bl w:val="nil"/>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0.353</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0.350</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0.357</w:t>
            </w:r>
          </w:p>
        </w:tc>
        <w:tc>
          <w:tcPr>
            <w:tcW w:w="106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0.355</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0.361</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0.364</w:t>
            </w:r>
          </w:p>
        </w:tc>
        <w:tc>
          <w:tcPr>
            <w:tcW w:w="106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0.358</w:t>
            </w:r>
          </w:p>
        </w:tc>
      </w:tr>
    </w:tbl>
    <w:p>
      <w:pPr>
        <w:tabs>
          <w:tab w:val="left" w:pos="2205"/>
        </w:tabs>
        <w:rPr>
          <w:color w:val="000000"/>
          <w:sz w:val="15"/>
          <w:szCs w:val="15"/>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olor w:val="000000"/>
          <w:szCs w:val="21"/>
          <w:lang w:eastAsia="zh-CN"/>
        </w:rPr>
      </w:pPr>
      <w:r>
        <w:rPr>
          <w:rFonts w:hint="eastAsia" w:ascii="黑体" w:hAnsi="黑体" w:eastAsia="黑体"/>
          <w:color w:val="000000"/>
          <w:szCs w:val="21"/>
        </w:rPr>
        <w:t>表B</w:t>
      </w:r>
      <w:r>
        <w:rPr>
          <w:rFonts w:hint="eastAsia" w:ascii="黑体" w:hAnsi="黑体" w:eastAsia="黑体"/>
          <w:color w:val="000000"/>
          <w:szCs w:val="21"/>
          <w:lang w:val="en-US" w:eastAsia="zh-CN"/>
        </w:rPr>
        <w:t>.1  氧</w:t>
      </w:r>
      <w:r>
        <w:rPr>
          <w:rFonts w:hint="eastAsia" w:ascii="黑体" w:hAnsi="黑体" w:eastAsia="黑体"/>
          <w:color w:val="000000"/>
          <w:szCs w:val="21"/>
        </w:rPr>
        <w:t>精密度试验原始数据</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续</w:t>
      </w:r>
      <w:r>
        <w:rPr>
          <w:rFonts w:hint="eastAsia" w:ascii="宋体" w:hAnsi="宋体" w:eastAsia="宋体" w:cs="宋体"/>
          <w:color w:val="000000"/>
          <w:szCs w:val="21"/>
          <w:lang w:eastAsia="zh-CN"/>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3"/>
        <w:gridCol w:w="1063"/>
        <w:gridCol w:w="1063"/>
        <w:gridCol w:w="1063"/>
        <w:gridCol w:w="1063"/>
        <w:gridCol w:w="1064"/>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left w:val="single" w:color="auto" w:sz="12" w:space="0"/>
            </w:tcBorders>
            <w:vAlign w:val="center"/>
          </w:tcPr>
          <w:p>
            <w:pPr>
              <w:tabs>
                <w:tab w:val="left" w:pos="2205"/>
              </w:tabs>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实验室</w:t>
            </w:r>
          </w:p>
        </w:tc>
        <w:tc>
          <w:tcPr>
            <w:tcW w:w="1063" w:type="dxa"/>
            <w:vMerge w:val="restart"/>
            <w:tcBorders>
              <w:top w:val="single" w:color="auto" w:sz="12" w:space="0"/>
            </w:tcBorders>
            <w:vAlign w:val="center"/>
          </w:tcPr>
          <w:p>
            <w:pPr>
              <w:tabs>
                <w:tab w:val="left" w:pos="2205"/>
              </w:tabs>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水平数</w:t>
            </w:r>
          </w:p>
        </w:tc>
        <w:tc>
          <w:tcPr>
            <w:tcW w:w="7444" w:type="dxa"/>
            <w:gridSpan w:val="7"/>
            <w:tcBorders>
              <w:top w:val="single" w:color="auto" w:sz="12" w:space="0"/>
              <w:right w:val="single" w:color="auto" w:sz="12" w:space="0"/>
            </w:tcBorders>
          </w:tcPr>
          <w:p>
            <w:pPr>
              <w:tabs>
                <w:tab w:val="left" w:pos="2205"/>
              </w:tabs>
              <w:jc w:val="center"/>
              <w:rPr>
                <w:rFonts w:hint="default" w:ascii="宋体" w:hAnsi="宋体" w:cs="宋体"/>
                <w:i/>
                <w:iCs/>
                <w:color w:val="000000"/>
                <w:sz w:val="18"/>
                <w:szCs w:val="18"/>
                <w:vertAlign w:val="baseline"/>
                <w:lang w:val="en-US" w:eastAsia="zh-CN"/>
              </w:rPr>
            </w:pPr>
            <w:r>
              <w:rPr>
                <w:rFonts w:hint="eastAsia" w:ascii="宋体" w:hAnsi="宋体" w:eastAsia="宋体" w:cs="宋体"/>
                <w:i/>
                <w:iCs/>
                <w:color w:val="000000"/>
                <w:sz w:val="18"/>
                <w:szCs w:val="18"/>
                <w:vertAlign w:val="baseline"/>
                <w:lang w:val="en-US" w:eastAsia="zh-CN"/>
              </w:rPr>
              <w:t>ω</w:t>
            </w:r>
            <w:r>
              <w:rPr>
                <w:rFonts w:hint="eastAsia" w:ascii="宋体" w:hAnsi="宋体" w:eastAsia="宋体" w:cs="宋体"/>
                <w:i w:val="0"/>
                <w:iCs w:val="0"/>
                <w:color w:val="000000"/>
                <w:sz w:val="18"/>
                <w:szCs w:val="18"/>
                <w:vertAlign w:val="subscript"/>
                <w:lang w:val="en-US" w:eastAsia="zh-CN"/>
              </w:rPr>
              <w:t>O</w:t>
            </w:r>
            <w:r>
              <w:rPr>
                <w:rFonts w:hint="eastAsia" w:ascii="宋体" w:hAnsi="宋体" w:cs="宋体"/>
                <w:i w:val="0"/>
                <w:iCs w:val="0"/>
                <w:color w:val="00000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bottom w:val="single" w:color="auto" w:sz="12" w:space="0"/>
            </w:tcBorders>
          </w:tcPr>
          <w:p>
            <w:pPr>
              <w:tabs>
                <w:tab w:val="left" w:pos="2205"/>
              </w:tabs>
              <w:jc w:val="center"/>
              <w:rPr>
                <w:color w:val="000000"/>
                <w:sz w:val="18"/>
                <w:szCs w:val="18"/>
                <w:vertAlign w:val="baseline"/>
              </w:rPr>
            </w:pPr>
          </w:p>
        </w:tc>
        <w:tc>
          <w:tcPr>
            <w:tcW w:w="1063" w:type="dxa"/>
            <w:vMerge w:val="continue"/>
            <w:tcBorders>
              <w:bottom w:val="single" w:color="auto" w:sz="12" w:space="0"/>
            </w:tcBorders>
          </w:tcPr>
          <w:p>
            <w:pPr>
              <w:tabs>
                <w:tab w:val="left" w:pos="2205"/>
              </w:tabs>
              <w:jc w:val="center"/>
              <w:rPr>
                <w:color w:val="000000"/>
                <w:sz w:val="18"/>
                <w:szCs w:val="18"/>
                <w:vertAlign w:val="baseline"/>
              </w:rPr>
            </w:pP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064" w:type="dxa"/>
            <w:tcBorders>
              <w:bottom w:val="single" w:color="auto" w:sz="12" w:space="0"/>
              <w:right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left w:val="single" w:color="auto" w:sz="12" w:space="0"/>
            </w:tcBorders>
            <w:vAlign w:val="center"/>
          </w:tcPr>
          <w:p>
            <w:pPr>
              <w:tabs>
                <w:tab w:val="left" w:pos="2205"/>
              </w:tabs>
              <w:jc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7</w:t>
            </w:r>
          </w:p>
        </w:tc>
        <w:tc>
          <w:tcPr>
            <w:tcW w:w="1063" w:type="dxa"/>
            <w:tcBorders>
              <w:top w:val="single" w:color="auto" w:sz="12"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0.00064</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0.00068</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0.00055</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0.00072</w:t>
            </w:r>
          </w:p>
        </w:tc>
        <w:tc>
          <w:tcPr>
            <w:tcW w:w="1064"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0.00068</w:t>
            </w:r>
          </w:p>
        </w:tc>
        <w:tc>
          <w:tcPr>
            <w:tcW w:w="1064"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0.00067</w:t>
            </w:r>
          </w:p>
        </w:tc>
        <w:tc>
          <w:tcPr>
            <w:tcW w:w="1064" w:type="dxa"/>
            <w:tcBorders>
              <w:top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0.00143</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0.00152</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0.00155</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0.00416</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0.00420</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0.0203</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0.362</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0.353</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8</w:t>
            </w: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0.00053</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tcPr>
          <w:p>
            <w:pPr>
              <w:tabs>
                <w:tab w:val="left" w:pos="2205"/>
              </w:tabs>
              <w:jc w:val="center"/>
              <w:rPr>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0.00138</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0.00159</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tcPr>
          <w:p>
            <w:pPr>
              <w:tabs>
                <w:tab w:val="left" w:pos="2205"/>
              </w:tabs>
              <w:jc w:val="center"/>
              <w:rPr>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0.00442</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0.00438</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0.00424</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tcPr>
          <w:p>
            <w:pPr>
              <w:tabs>
                <w:tab w:val="left" w:pos="2205"/>
              </w:tabs>
              <w:jc w:val="center"/>
              <w:rPr>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0.0206</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0.0209</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0.0196</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0.0196</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0.0192</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0.0195</w:t>
            </w:r>
            <w:r>
              <w:rPr>
                <w:rFonts w:hint="eastAsia" w:ascii="宋体" w:hAnsi="宋体" w:cs="宋体"/>
                <w:i w:val="0"/>
                <w:iCs w:val="0"/>
                <w:color w:val="auto"/>
                <w:kern w:val="0"/>
                <w:sz w:val="18"/>
                <w:szCs w:val="18"/>
                <w:u w:val="none"/>
                <w:lang w:val="en-US" w:eastAsia="zh-CN" w:bidi="ar"/>
              </w:rPr>
              <w:t>*</w:t>
            </w:r>
          </w:p>
        </w:tc>
        <w:tc>
          <w:tcPr>
            <w:tcW w:w="1064"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0.0185</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tcPr>
          <w:p>
            <w:pPr>
              <w:tabs>
                <w:tab w:val="left" w:pos="2205"/>
              </w:tabs>
              <w:jc w:val="center"/>
              <w:rPr>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0.368</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0.393</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0.380</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0.371</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0.373</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r>
              <w:rPr>
                <w:rFonts w:hint="eastAsia" w:ascii="宋体" w:hAnsi="宋体" w:cs="宋体"/>
                <w:i w:val="0"/>
                <w:iCs w:val="0"/>
                <w:color w:val="auto"/>
                <w:kern w:val="0"/>
                <w:sz w:val="18"/>
                <w:szCs w:val="18"/>
                <w:u w:val="none"/>
                <w:lang w:val="en-US" w:eastAsia="zh-CN" w:bidi="ar"/>
              </w:rPr>
              <w:t>*</w:t>
            </w:r>
          </w:p>
        </w:tc>
        <w:tc>
          <w:tcPr>
            <w:tcW w:w="1064"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0.357</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9</w:t>
            </w: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0.00157</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0.00160</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0.00146</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0.00413</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0.00411</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0.0211</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10</w:t>
            </w: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0.00053</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0.00055</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0.00132</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0.00144</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0.00414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0.0216</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0.0213</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0.357</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0.348</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9"/>
            <w:tcBorders>
              <w:left w:val="single" w:color="auto" w:sz="12" w:space="0"/>
              <w:bottom w:val="single" w:color="auto" w:sz="12" w:space="0"/>
              <w:right w:val="single" w:color="auto" w:sz="12" w:space="0"/>
            </w:tcBorders>
            <w:vAlign w:val="top"/>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注：</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为岐离值，“</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”为离群值。</w:t>
            </w:r>
          </w:p>
        </w:tc>
      </w:tr>
    </w:tbl>
    <w:p>
      <w:pPr>
        <w:tabs>
          <w:tab w:val="left" w:pos="2205"/>
        </w:tabs>
        <w:rPr>
          <w:color w:val="000000"/>
          <w:sz w:val="15"/>
          <w:szCs w:val="15"/>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olor w:val="000000"/>
          <w:szCs w:val="21"/>
          <w:lang w:eastAsia="zh-CN"/>
        </w:rPr>
      </w:pPr>
      <w:r>
        <w:rPr>
          <w:rFonts w:hint="eastAsia" w:ascii="黑体" w:hAnsi="黑体" w:eastAsia="黑体"/>
          <w:color w:val="000000"/>
          <w:szCs w:val="21"/>
        </w:rPr>
        <w:t>表B</w:t>
      </w:r>
      <w:r>
        <w:rPr>
          <w:rFonts w:hint="eastAsia" w:ascii="黑体" w:hAnsi="黑体" w:eastAsia="黑体"/>
          <w:color w:val="000000"/>
          <w:szCs w:val="21"/>
          <w:lang w:val="en-US" w:eastAsia="zh-CN"/>
        </w:rPr>
        <w:t>.2  氮</w:t>
      </w:r>
      <w:r>
        <w:rPr>
          <w:rFonts w:hint="eastAsia" w:ascii="黑体" w:hAnsi="黑体" w:eastAsia="黑体"/>
          <w:color w:val="000000"/>
          <w:szCs w:val="21"/>
        </w:rPr>
        <w:t>精密度试验原始数据</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3"/>
        <w:gridCol w:w="1063"/>
        <w:gridCol w:w="1063"/>
        <w:gridCol w:w="1063"/>
        <w:gridCol w:w="1063"/>
        <w:gridCol w:w="1064"/>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left w:val="single" w:color="auto" w:sz="12" w:space="0"/>
            </w:tcBorders>
            <w:vAlign w:val="center"/>
          </w:tcPr>
          <w:p>
            <w:pPr>
              <w:tabs>
                <w:tab w:val="left" w:pos="2205"/>
              </w:tabs>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实验室</w:t>
            </w:r>
          </w:p>
        </w:tc>
        <w:tc>
          <w:tcPr>
            <w:tcW w:w="1063" w:type="dxa"/>
            <w:vMerge w:val="restart"/>
            <w:tcBorders>
              <w:top w:val="single" w:color="auto" w:sz="12" w:space="0"/>
            </w:tcBorders>
            <w:vAlign w:val="center"/>
          </w:tcPr>
          <w:p>
            <w:pPr>
              <w:tabs>
                <w:tab w:val="left" w:pos="2205"/>
              </w:tabs>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水平数</w:t>
            </w:r>
          </w:p>
        </w:tc>
        <w:tc>
          <w:tcPr>
            <w:tcW w:w="7444" w:type="dxa"/>
            <w:gridSpan w:val="7"/>
            <w:tcBorders>
              <w:top w:val="single" w:color="auto" w:sz="12" w:space="0"/>
              <w:right w:val="single" w:color="auto" w:sz="12" w:space="0"/>
            </w:tcBorders>
          </w:tcPr>
          <w:p>
            <w:pPr>
              <w:tabs>
                <w:tab w:val="left" w:pos="2205"/>
              </w:tabs>
              <w:jc w:val="center"/>
              <w:rPr>
                <w:rFonts w:hint="default" w:ascii="宋体" w:hAnsi="宋体" w:cs="宋体"/>
                <w:i/>
                <w:iCs/>
                <w:color w:val="000000"/>
                <w:sz w:val="18"/>
                <w:szCs w:val="18"/>
                <w:vertAlign w:val="baseline"/>
                <w:lang w:val="en-US" w:eastAsia="zh-CN"/>
              </w:rPr>
            </w:pPr>
            <w:r>
              <w:rPr>
                <w:rFonts w:hint="eastAsia" w:ascii="宋体" w:hAnsi="宋体" w:eastAsia="宋体" w:cs="宋体"/>
                <w:i/>
                <w:iCs/>
                <w:color w:val="000000"/>
                <w:sz w:val="18"/>
                <w:szCs w:val="18"/>
                <w:vertAlign w:val="baseline"/>
                <w:lang w:val="en-US" w:eastAsia="zh-CN"/>
              </w:rPr>
              <w:t>ω</w:t>
            </w:r>
            <w:r>
              <w:rPr>
                <w:rFonts w:hint="eastAsia" w:ascii="宋体" w:hAnsi="宋体" w:cs="宋体"/>
                <w:i w:val="0"/>
                <w:iCs w:val="0"/>
                <w:color w:val="000000"/>
                <w:sz w:val="18"/>
                <w:szCs w:val="18"/>
                <w:vertAlign w:val="subscript"/>
                <w:lang w:val="en-US" w:eastAsia="zh-CN"/>
              </w:rPr>
              <w:t>N</w:t>
            </w:r>
            <w:r>
              <w:rPr>
                <w:rFonts w:hint="eastAsia" w:ascii="宋体" w:hAnsi="宋体" w:cs="宋体"/>
                <w:i w:val="0"/>
                <w:iCs w:val="0"/>
                <w:color w:val="00000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bottom w:val="single" w:color="auto" w:sz="12" w:space="0"/>
            </w:tcBorders>
          </w:tcPr>
          <w:p>
            <w:pPr>
              <w:tabs>
                <w:tab w:val="left" w:pos="2205"/>
              </w:tabs>
              <w:jc w:val="center"/>
              <w:rPr>
                <w:color w:val="000000"/>
                <w:sz w:val="18"/>
                <w:szCs w:val="18"/>
                <w:vertAlign w:val="baseline"/>
              </w:rPr>
            </w:pPr>
          </w:p>
        </w:tc>
        <w:tc>
          <w:tcPr>
            <w:tcW w:w="1063" w:type="dxa"/>
            <w:vMerge w:val="continue"/>
            <w:tcBorders>
              <w:bottom w:val="single" w:color="auto" w:sz="12" w:space="0"/>
            </w:tcBorders>
          </w:tcPr>
          <w:p>
            <w:pPr>
              <w:tabs>
                <w:tab w:val="left" w:pos="2205"/>
              </w:tabs>
              <w:jc w:val="center"/>
              <w:rPr>
                <w:color w:val="000000"/>
                <w:sz w:val="18"/>
                <w:szCs w:val="18"/>
                <w:vertAlign w:val="baseline"/>
              </w:rPr>
            </w:pP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064" w:type="dxa"/>
            <w:tcBorders>
              <w:bottom w:val="single" w:color="auto" w:sz="12" w:space="0"/>
              <w:right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left w:val="single" w:color="auto" w:sz="12" w:space="0"/>
            </w:tcBorders>
            <w:vAlign w:val="center"/>
          </w:tcPr>
          <w:p>
            <w:pPr>
              <w:tabs>
                <w:tab w:val="left" w:pos="2205"/>
              </w:tabs>
              <w:jc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1</w:t>
            </w:r>
          </w:p>
        </w:tc>
        <w:tc>
          <w:tcPr>
            <w:tcW w:w="1063" w:type="dxa"/>
            <w:tcBorders>
              <w:top w:val="single" w:color="auto" w:sz="12"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0.000338</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0.000305</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0.000289</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0.000341</w:t>
            </w:r>
          </w:p>
        </w:tc>
        <w:tc>
          <w:tcPr>
            <w:tcW w:w="1064"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0.000348</w:t>
            </w:r>
          </w:p>
        </w:tc>
        <w:tc>
          <w:tcPr>
            <w:tcW w:w="1064"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0.000279</w:t>
            </w:r>
          </w:p>
        </w:tc>
        <w:tc>
          <w:tcPr>
            <w:tcW w:w="1064" w:type="dxa"/>
            <w:tcBorders>
              <w:top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0.00194</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0.0468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0.0476</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0.0476</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0.000283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0.000241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0.000250</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0.000261</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tcPr>
          <w:p>
            <w:pPr>
              <w:tabs>
                <w:tab w:val="left" w:pos="2205"/>
              </w:tabs>
              <w:jc w:val="center"/>
              <w:rPr>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0.00198</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0.00220</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0.00201</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0.00249</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0.00195</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0.00211</w:t>
            </w:r>
            <w:r>
              <w:rPr>
                <w:rFonts w:hint="eastAsia" w:ascii="宋体" w:hAnsi="宋体" w:cs="宋体"/>
                <w:i w:val="0"/>
                <w:iCs w:val="0"/>
                <w:color w:val="auto"/>
                <w:kern w:val="0"/>
                <w:sz w:val="18"/>
                <w:szCs w:val="18"/>
                <w:u w:val="none"/>
                <w:lang w:val="en-US" w:eastAsia="zh-CN" w:bidi="ar"/>
              </w:rPr>
              <w:t>**</w:t>
            </w:r>
          </w:p>
        </w:tc>
        <w:tc>
          <w:tcPr>
            <w:tcW w:w="1064"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0.00223</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tcPr>
          <w:p>
            <w:pPr>
              <w:tabs>
                <w:tab w:val="left" w:pos="2205"/>
              </w:tabs>
              <w:jc w:val="center"/>
              <w:rPr>
                <w:color w:val="000000"/>
                <w:sz w:val="18"/>
                <w:szCs w:val="18"/>
                <w:vertAlign w:val="baseline"/>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0.0482</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3</w:t>
            </w: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0.00232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0.00229</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0.00222</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0.00232</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0.185</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0.186</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0.188</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0.187</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0.186</w:t>
            </w:r>
            <w:r>
              <w:rPr>
                <w:rFonts w:hint="eastAsia" w:ascii="宋体" w:hAnsi="宋体" w:cs="宋体"/>
                <w:i w:val="0"/>
                <w:iCs w:val="0"/>
                <w:color w:val="auto"/>
                <w:kern w:val="0"/>
                <w:sz w:val="18"/>
                <w:szCs w:val="18"/>
                <w:u w:val="none"/>
                <w:lang w:val="en-US" w:eastAsia="zh-CN" w:bidi="ar"/>
              </w:rPr>
              <w:t>**</w:t>
            </w:r>
          </w:p>
        </w:tc>
        <w:tc>
          <w:tcPr>
            <w:tcW w:w="106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0.188</w:t>
            </w:r>
            <w:r>
              <w:rPr>
                <w:rFonts w:hint="eastAsia" w:ascii="宋体" w:hAnsi="宋体" w:cs="宋体"/>
                <w:i w:val="0"/>
                <w:iCs w:val="0"/>
                <w:color w:val="auto"/>
                <w:kern w:val="0"/>
                <w:sz w:val="18"/>
                <w:szCs w:val="18"/>
                <w:u w:val="none"/>
                <w:lang w:val="en-US" w:eastAsia="zh-CN" w:bidi="ar"/>
              </w:rPr>
              <w:t>**</w:t>
            </w:r>
          </w:p>
        </w:tc>
        <w:tc>
          <w:tcPr>
            <w:tcW w:w="1064"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0.189</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4</w:t>
            </w: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0.000411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0.000390</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0.000426</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0.00204</w:t>
            </w:r>
          </w:p>
        </w:tc>
        <w:tc>
          <w:tcPr>
            <w:tcW w:w="106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0.00190</w:t>
            </w:r>
          </w:p>
        </w:tc>
        <w:tc>
          <w:tcPr>
            <w:tcW w:w="1064"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bottom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3" w:type="dxa"/>
            <w:tcBorders>
              <w:bottom w:val="single" w:color="auto" w:sz="12" w:space="0"/>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3</w:t>
            </w:r>
          </w:p>
        </w:tc>
        <w:tc>
          <w:tcPr>
            <w:tcW w:w="1063"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0.0486</w:t>
            </w:r>
          </w:p>
        </w:tc>
        <w:tc>
          <w:tcPr>
            <w:tcW w:w="1063"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0.0489</w:t>
            </w:r>
          </w:p>
        </w:tc>
        <w:tc>
          <w:tcPr>
            <w:tcW w:w="1063"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0.0497</w:t>
            </w:r>
          </w:p>
        </w:tc>
        <w:tc>
          <w:tcPr>
            <w:tcW w:w="1063"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0.0489</w:t>
            </w:r>
          </w:p>
        </w:tc>
        <w:tc>
          <w:tcPr>
            <w:tcW w:w="1064"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0.0482</w:t>
            </w:r>
          </w:p>
        </w:tc>
        <w:tc>
          <w:tcPr>
            <w:tcW w:w="1064"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0.0481</w:t>
            </w:r>
          </w:p>
        </w:tc>
        <w:tc>
          <w:tcPr>
            <w:tcW w:w="1064" w:type="dxa"/>
            <w:tcBorders>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0.0484</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olor w:val="000000"/>
          <w:szCs w:val="21"/>
          <w:lang w:eastAsia="zh-CN"/>
        </w:rPr>
      </w:pPr>
      <w:r>
        <w:rPr>
          <w:rFonts w:hint="eastAsia" w:ascii="黑体" w:hAnsi="黑体" w:eastAsia="黑体"/>
          <w:color w:val="000000"/>
          <w:szCs w:val="21"/>
        </w:rPr>
        <w:t>表B</w:t>
      </w:r>
      <w:r>
        <w:rPr>
          <w:rFonts w:hint="eastAsia" w:ascii="黑体" w:hAnsi="黑体" w:eastAsia="黑体"/>
          <w:color w:val="000000"/>
          <w:szCs w:val="21"/>
          <w:lang w:val="en-US" w:eastAsia="zh-CN"/>
        </w:rPr>
        <w:t>.2氮</w:t>
      </w:r>
      <w:r>
        <w:rPr>
          <w:rFonts w:hint="eastAsia" w:ascii="黑体" w:hAnsi="黑体" w:eastAsia="黑体"/>
          <w:color w:val="000000"/>
          <w:szCs w:val="21"/>
        </w:rPr>
        <w:t>精密度试验原始数据</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续</w:t>
      </w:r>
      <w:r>
        <w:rPr>
          <w:rFonts w:hint="eastAsia" w:ascii="宋体" w:hAnsi="宋体" w:eastAsia="宋体" w:cs="宋体"/>
          <w:color w:val="000000"/>
          <w:szCs w:val="21"/>
          <w:lang w:eastAsia="zh-CN"/>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1"/>
        <w:gridCol w:w="1063"/>
        <w:gridCol w:w="1063"/>
        <w:gridCol w:w="1063"/>
        <w:gridCol w:w="1063"/>
        <w:gridCol w:w="1063"/>
        <w:gridCol w:w="106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Borders>
              <w:top w:val="single" w:color="auto" w:sz="12" w:space="0"/>
              <w:left w:val="single" w:color="auto" w:sz="12" w:space="0"/>
            </w:tcBorders>
            <w:vAlign w:val="center"/>
          </w:tcPr>
          <w:p>
            <w:pPr>
              <w:tabs>
                <w:tab w:val="left" w:pos="2205"/>
              </w:tabs>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实验室</w:t>
            </w:r>
          </w:p>
        </w:tc>
        <w:tc>
          <w:tcPr>
            <w:tcW w:w="1061" w:type="dxa"/>
            <w:vMerge w:val="restart"/>
            <w:tcBorders>
              <w:top w:val="single" w:color="auto" w:sz="12" w:space="0"/>
            </w:tcBorders>
            <w:vAlign w:val="center"/>
          </w:tcPr>
          <w:p>
            <w:pPr>
              <w:tabs>
                <w:tab w:val="left" w:pos="2205"/>
              </w:tabs>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水平数</w:t>
            </w:r>
          </w:p>
        </w:tc>
        <w:tc>
          <w:tcPr>
            <w:tcW w:w="7443" w:type="dxa"/>
            <w:gridSpan w:val="7"/>
            <w:tcBorders>
              <w:top w:val="single" w:color="auto" w:sz="12" w:space="0"/>
              <w:right w:val="single" w:color="auto" w:sz="12" w:space="0"/>
            </w:tcBorders>
          </w:tcPr>
          <w:p>
            <w:pPr>
              <w:tabs>
                <w:tab w:val="left" w:pos="2205"/>
              </w:tabs>
              <w:jc w:val="center"/>
              <w:rPr>
                <w:rFonts w:hint="default" w:ascii="宋体" w:hAnsi="宋体" w:cs="宋体"/>
                <w:i/>
                <w:iCs/>
                <w:color w:val="000000"/>
                <w:sz w:val="18"/>
                <w:szCs w:val="18"/>
                <w:vertAlign w:val="baseline"/>
                <w:lang w:val="en-US" w:eastAsia="zh-CN"/>
              </w:rPr>
            </w:pPr>
            <w:r>
              <w:rPr>
                <w:rFonts w:hint="eastAsia" w:ascii="宋体" w:hAnsi="宋体" w:eastAsia="宋体" w:cs="宋体"/>
                <w:i/>
                <w:iCs/>
                <w:color w:val="000000"/>
                <w:sz w:val="18"/>
                <w:szCs w:val="18"/>
                <w:vertAlign w:val="baseline"/>
                <w:lang w:val="en-US" w:eastAsia="zh-CN"/>
              </w:rPr>
              <w:t>ω</w:t>
            </w:r>
            <w:r>
              <w:rPr>
                <w:rFonts w:hint="eastAsia" w:ascii="宋体" w:hAnsi="宋体" w:cs="宋体"/>
                <w:i w:val="0"/>
                <w:iCs w:val="0"/>
                <w:color w:val="000000"/>
                <w:sz w:val="18"/>
                <w:szCs w:val="18"/>
                <w:vertAlign w:val="subscript"/>
                <w:lang w:val="en-US" w:eastAsia="zh-CN"/>
              </w:rPr>
              <w:t>N</w:t>
            </w:r>
            <w:r>
              <w:rPr>
                <w:rFonts w:hint="eastAsia" w:ascii="宋体" w:hAnsi="宋体" w:cs="宋体"/>
                <w:i w:val="0"/>
                <w:iCs w:val="0"/>
                <w:color w:val="00000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bottom w:val="single" w:color="auto" w:sz="12" w:space="0"/>
            </w:tcBorders>
          </w:tcPr>
          <w:p>
            <w:pPr>
              <w:tabs>
                <w:tab w:val="left" w:pos="2205"/>
              </w:tabs>
              <w:jc w:val="center"/>
              <w:rPr>
                <w:color w:val="000000"/>
                <w:sz w:val="18"/>
                <w:szCs w:val="18"/>
                <w:vertAlign w:val="baseline"/>
              </w:rPr>
            </w:pPr>
          </w:p>
        </w:tc>
        <w:tc>
          <w:tcPr>
            <w:tcW w:w="1061" w:type="dxa"/>
            <w:vMerge w:val="continue"/>
            <w:tcBorders>
              <w:bottom w:val="single" w:color="auto" w:sz="12" w:space="0"/>
            </w:tcBorders>
          </w:tcPr>
          <w:p>
            <w:pPr>
              <w:tabs>
                <w:tab w:val="left" w:pos="2205"/>
              </w:tabs>
              <w:jc w:val="center"/>
              <w:rPr>
                <w:color w:val="000000"/>
                <w:sz w:val="18"/>
                <w:szCs w:val="18"/>
                <w:vertAlign w:val="baseline"/>
              </w:rPr>
            </w:pP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065" w:type="dxa"/>
            <w:tcBorders>
              <w:bottom w:val="single" w:color="auto" w:sz="12" w:space="0"/>
              <w:right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Borders>
              <w:top w:val="single" w:color="auto" w:sz="12" w:space="0"/>
              <w:left w:val="single" w:color="auto" w:sz="12" w:space="0"/>
            </w:tcBorders>
            <w:vAlign w:val="center"/>
          </w:tcPr>
          <w:p>
            <w:pPr>
              <w:tabs>
                <w:tab w:val="left" w:pos="2205"/>
              </w:tabs>
              <w:jc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kern w:val="2"/>
                <w:sz w:val="18"/>
                <w:szCs w:val="18"/>
                <w:vertAlign w:val="baseline"/>
                <w:lang w:val="en-US" w:eastAsia="zh-CN" w:bidi="ar-SA"/>
              </w:rPr>
              <w:t>5</w:t>
            </w:r>
          </w:p>
        </w:tc>
        <w:tc>
          <w:tcPr>
            <w:tcW w:w="1061" w:type="dxa"/>
            <w:tcBorders>
              <w:top w:val="single" w:color="auto" w:sz="12"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0.000324</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0.000411</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0.000380</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0.000390</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0.000426</w:t>
            </w:r>
          </w:p>
        </w:tc>
        <w:tc>
          <w:tcPr>
            <w:tcW w:w="1063"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0.000400</w:t>
            </w:r>
          </w:p>
        </w:tc>
        <w:tc>
          <w:tcPr>
            <w:tcW w:w="1065" w:type="dxa"/>
            <w:tcBorders>
              <w:top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top"/>
          </w:tcPr>
          <w:p>
            <w:pPr>
              <w:tabs>
                <w:tab w:val="left" w:pos="2205"/>
              </w:tabs>
              <w:jc w:val="center"/>
              <w:rPr>
                <w:rFonts w:hint="eastAsia" w:ascii="宋体" w:hAnsi="宋体" w:eastAsia="宋体" w:cs="宋体"/>
                <w:color w:val="000000"/>
                <w:sz w:val="18"/>
                <w:szCs w:val="18"/>
                <w:vertAlign w:val="baseline"/>
              </w:rPr>
            </w:pPr>
          </w:p>
        </w:tc>
        <w:tc>
          <w:tcPr>
            <w:tcW w:w="1061"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0.00224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0.00190</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top"/>
          </w:tcPr>
          <w:p>
            <w:pPr>
              <w:tabs>
                <w:tab w:val="left" w:pos="2205"/>
              </w:tabs>
              <w:jc w:val="center"/>
              <w:rPr>
                <w:rFonts w:hint="eastAsia" w:ascii="宋体" w:hAnsi="宋体" w:eastAsia="宋体" w:cs="宋体"/>
                <w:color w:val="000000"/>
                <w:sz w:val="18"/>
                <w:szCs w:val="18"/>
                <w:vertAlign w:val="baseline"/>
              </w:rPr>
            </w:pPr>
          </w:p>
        </w:tc>
        <w:tc>
          <w:tcPr>
            <w:tcW w:w="1061"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0.0497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0.0481</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Borders>
              <w:left w:val="single" w:color="auto" w:sz="12" w:space="0"/>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7</w:t>
            </w: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0.000249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0.000258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0.000279</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0.00196</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0.0471</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8</w:t>
            </w: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0.000299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0.000331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0.000288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0.000282</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tcPr>
          <w:p>
            <w:pPr>
              <w:tabs>
                <w:tab w:val="left" w:pos="2205"/>
              </w:tabs>
              <w:jc w:val="center"/>
              <w:rPr>
                <w:color w:val="000000"/>
                <w:sz w:val="18"/>
                <w:szCs w:val="18"/>
                <w:vertAlign w:val="baseline"/>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0.00213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0.00191</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tcPr>
          <w:p>
            <w:pPr>
              <w:tabs>
                <w:tab w:val="left" w:pos="2205"/>
              </w:tabs>
              <w:jc w:val="center"/>
              <w:rPr>
                <w:color w:val="000000"/>
                <w:sz w:val="18"/>
                <w:szCs w:val="18"/>
                <w:vertAlign w:val="baseline"/>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0.0434</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0.0441</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0.0437</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0.0467</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0.0437</w:t>
            </w:r>
            <w:r>
              <w:rPr>
                <w:rFonts w:hint="eastAsia" w:ascii="宋体" w:hAnsi="宋体" w:cs="宋体"/>
                <w:i w:val="0"/>
                <w:iCs w:val="0"/>
                <w:color w:val="auto"/>
                <w:kern w:val="0"/>
                <w:sz w:val="18"/>
                <w:szCs w:val="18"/>
                <w:u w:val="none"/>
                <w:lang w:val="en-US" w:eastAsia="zh-CN" w:bidi="ar"/>
              </w:rPr>
              <w:t>*</w:t>
            </w:r>
          </w:p>
        </w:tc>
        <w:tc>
          <w:tcPr>
            <w:tcW w:w="106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0.0446</w:t>
            </w:r>
            <w:r>
              <w:rPr>
                <w:rFonts w:hint="eastAsia" w:ascii="宋体" w:hAnsi="宋体" w:cs="宋体"/>
                <w:i w:val="0"/>
                <w:iCs w:val="0"/>
                <w:color w:val="auto"/>
                <w:kern w:val="0"/>
                <w:sz w:val="18"/>
                <w:szCs w:val="18"/>
                <w:u w:val="none"/>
                <w:lang w:val="en-US" w:eastAsia="zh-CN" w:bidi="ar"/>
              </w:rPr>
              <w:t>*</w:t>
            </w:r>
          </w:p>
        </w:tc>
        <w:tc>
          <w:tcPr>
            <w:tcW w:w="1065"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0.0451</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9</w:t>
            </w: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0.000307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0.000315</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0.00201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0.00186</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0.0478</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10</w:t>
            </w: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0.00025</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0.00178</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0.00161</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0.00184</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0.00175</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1061"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0.0477</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0.0469</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0.0470</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0.0482</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0.0463</w:t>
            </w:r>
          </w:p>
        </w:tc>
        <w:tc>
          <w:tcPr>
            <w:tcW w:w="106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0.0483</w:t>
            </w:r>
          </w:p>
        </w:tc>
        <w:tc>
          <w:tcPr>
            <w:tcW w:w="1065"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9"/>
            <w:tcBorders>
              <w:left w:val="single" w:color="auto" w:sz="12" w:space="0"/>
              <w:bottom w:val="single" w:color="auto" w:sz="12" w:space="0"/>
              <w:right w:val="single" w:color="auto" w:sz="12" w:space="0"/>
            </w:tcBorders>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注：</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为岐离值，“</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”为离群值。</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olor w:val="000000"/>
          <w:szCs w:val="21"/>
          <w:lang w:eastAsia="zh-CN"/>
        </w:rPr>
      </w:pPr>
      <w:r>
        <w:rPr>
          <w:rFonts w:hint="eastAsia" w:ascii="黑体" w:hAnsi="黑体" w:eastAsia="黑体"/>
          <w:color w:val="000000"/>
          <w:szCs w:val="21"/>
        </w:rPr>
        <w:t>表B</w:t>
      </w:r>
      <w:r>
        <w:rPr>
          <w:rFonts w:hint="eastAsia" w:ascii="黑体" w:hAnsi="黑体" w:eastAsia="黑体"/>
          <w:color w:val="000000"/>
          <w:szCs w:val="21"/>
          <w:lang w:val="en-US" w:eastAsia="zh-CN"/>
        </w:rPr>
        <w:t>.3  氢</w:t>
      </w:r>
      <w:r>
        <w:rPr>
          <w:rFonts w:hint="eastAsia" w:ascii="黑体" w:hAnsi="黑体" w:eastAsia="黑体"/>
          <w:color w:val="000000"/>
          <w:szCs w:val="21"/>
        </w:rPr>
        <w:t>精密度试验原始数据</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1116"/>
        <w:gridCol w:w="1116"/>
        <w:gridCol w:w="1116"/>
        <w:gridCol w:w="1116"/>
        <w:gridCol w:w="1116"/>
        <w:gridCol w:w="111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top w:val="single" w:color="auto" w:sz="12" w:space="0"/>
              <w:left w:val="single" w:color="auto" w:sz="12" w:space="0"/>
            </w:tcBorders>
            <w:vAlign w:val="center"/>
          </w:tcPr>
          <w:p>
            <w:pPr>
              <w:tabs>
                <w:tab w:val="left" w:pos="2205"/>
              </w:tabs>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实验室</w:t>
            </w:r>
          </w:p>
        </w:tc>
        <w:tc>
          <w:tcPr>
            <w:tcW w:w="879" w:type="dxa"/>
            <w:vMerge w:val="restart"/>
            <w:tcBorders>
              <w:top w:val="single" w:color="auto" w:sz="12" w:space="0"/>
            </w:tcBorders>
            <w:vAlign w:val="center"/>
          </w:tcPr>
          <w:p>
            <w:pPr>
              <w:tabs>
                <w:tab w:val="left" w:pos="2205"/>
              </w:tabs>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水平数</w:t>
            </w:r>
          </w:p>
        </w:tc>
        <w:tc>
          <w:tcPr>
            <w:tcW w:w="7812" w:type="dxa"/>
            <w:gridSpan w:val="7"/>
            <w:tcBorders>
              <w:top w:val="single" w:color="auto" w:sz="12" w:space="0"/>
              <w:right w:val="single" w:color="auto" w:sz="12" w:space="0"/>
            </w:tcBorders>
          </w:tcPr>
          <w:p>
            <w:pPr>
              <w:tabs>
                <w:tab w:val="left" w:pos="2205"/>
              </w:tabs>
              <w:jc w:val="center"/>
              <w:rPr>
                <w:rFonts w:hint="default" w:ascii="宋体" w:hAnsi="宋体" w:cs="宋体"/>
                <w:i/>
                <w:iCs/>
                <w:color w:val="000000"/>
                <w:sz w:val="18"/>
                <w:szCs w:val="18"/>
                <w:vertAlign w:val="baseline"/>
                <w:lang w:val="en-US" w:eastAsia="zh-CN"/>
              </w:rPr>
            </w:pPr>
            <w:r>
              <w:rPr>
                <w:rFonts w:hint="eastAsia" w:ascii="宋体" w:hAnsi="宋体" w:eastAsia="宋体" w:cs="宋体"/>
                <w:i/>
                <w:iCs/>
                <w:color w:val="000000"/>
                <w:sz w:val="18"/>
                <w:szCs w:val="18"/>
                <w:vertAlign w:val="baseline"/>
                <w:lang w:val="en-US" w:eastAsia="zh-CN"/>
              </w:rPr>
              <w:t>ω</w:t>
            </w:r>
            <w:r>
              <w:rPr>
                <w:rFonts w:hint="eastAsia" w:ascii="宋体" w:hAnsi="宋体" w:cs="宋体"/>
                <w:i w:val="0"/>
                <w:iCs w:val="0"/>
                <w:color w:val="000000"/>
                <w:sz w:val="18"/>
                <w:szCs w:val="18"/>
                <w:vertAlign w:val="subscript"/>
                <w:lang w:val="en-US" w:eastAsia="zh-CN"/>
              </w:rPr>
              <w:t>H</w:t>
            </w:r>
            <w:r>
              <w:rPr>
                <w:rFonts w:hint="eastAsia" w:ascii="宋体" w:hAnsi="宋体" w:cs="宋体"/>
                <w:i w:val="0"/>
                <w:iCs w:val="0"/>
                <w:color w:val="00000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bottom w:val="single" w:color="auto" w:sz="12" w:space="0"/>
            </w:tcBorders>
          </w:tcPr>
          <w:p>
            <w:pPr>
              <w:tabs>
                <w:tab w:val="left" w:pos="2205"/>
              </w:tabs>
              <w:jc w:val="center"/>
              <w:rPr>
                <w:color w:val="000000"/>
                <w:sz w:val="18"/>
                <w:szCs w:val="18"/>
                <w:vertAlign w:val="baseline"/>
              </w:rPr>
            </w:pPr>
          </w:p>
        </w:tc>
        <w:tc>
          <w:tcPr>
            <w:tcW w:w="879" w:type="dxa"/>
            <w:vMerge w:val="continue"/>
            <w:tcBorders>
              <w:bottom w:val="single" w:color="auto" w:sz="12" w:space="0"/>
            </w:tcBorders>
          </w:tcPr>
          <w:p>
            <w:pPr>
              <w:tabs>
                <w:tab w:val="left" w:pos="2205"/>
              </w:tabs>
              <w:jc w:val="center"/>
              <w:rPr>
                <w:color w:val="000000"/>
                <w:sz w:val="18"/>
                <w:szCs w:val="18"/>
                <w:vertAlign w:val="baseline"/>
              </w:rPr>
            </w:pPr>
          </w:p>
        </w:tc>
        <w:tc>
          <w:tcPr>
            <w:tcW w:w="1116"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116"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116"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116"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116"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116"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116" w:type="dxa"/>
            <w:tcBorders>
              <w:bottom w:val="single" w:color="auto" w:sz="12" w:space="0"/>
              <w:right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top w:val="single" w:color="auto" w:sz="12" w:space="0"/>
              <w:left w:val="single" w:color="auto" w:sz="12" w:space="0"/>
            </w:tcBorders>
            <w:vAlign w:val="center"/>
          </w:tcPr>
          <w:p>
            <w:pPr>
              <w:tabs>
                <w:tab w:val="left" w:pos="2205"/>
              </w:tabs>
              <w:jc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1</w:t>
            </w:r>
          </w:p>
        </w:tc>
        <w:tc>
          <w:tcPr>
            <w:tcW w:w="879" w:type="dxa"/>
            <w:tcBorders>
              <w:top w:val="single" w:color="auto" w:sz="12"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116"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0.000169</w:t>
            </w:r>
          </w:p>
        </w:tc>
        <w:tc>
          <w:tcPr>
            <w:tcW w:w="1116"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0.000222</w:t>
            </w:r>
          </w:p>
        </w:tc>
        <w:tc>
          <w:tcPr>
            <w:tcW w:w="1116"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0.000191</w:t>
            </w:r>
          </w:p>
        </w:tc>
        <w:tc>
          <w:tcPr>
            <w:tcW w:w="1116"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0.000185</w:t>
            </w:r>
          </w:p>
        </w:tc>
        <w:tc>
          <w:tcPr>
            <w:tcW w:w="1116"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0.000196</w:t>
            </w:r>
          </w:p>
        </w:tc>
        <w:tc>
          <w:tcPr>
            <w:tcW w:w="1116" w:type="dxa"/>
            <w:tcBorders>
              <w:top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0.000214</w:t>
            </w:r>
          </w:p>
        </w:tc>
        <w:tc>
          <w:tcPr>
            <w:tcW w:w="1116" w:type="dxa"/>
            <w:tcBorders>
              <w:top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879"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0.000395</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0.000358</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0.000390</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0.000417</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0.000397</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879"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0.000626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0.000663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0.000653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0.000659</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0.000686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0.000606</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0.000127</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0.000164</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0.000126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0.000136</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tcPr>
          <w:p>
            <w:pPr>
              <w:tabs>
                <w:tab w:val="left" w:pos="2205"/>
              </w:tabs>
              <w:jc w:val="center"/>
              <w:rPr>
                <w:color w:val="000000"/>
                <w:sz w:val="18"/>
                <w:szCs w:val="18"/>
                <w:vertAlign w:val="baseline"/>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0.000385</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0.000360</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0.000426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0.000353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0.000374</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0.000324</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tcPr>
          <w:p>
            <w:pPr>
              <w:tabs>
                <w:tab w:val="left" w:pos="2205"/>
              </w:tabs>
              <w:jc w:val="center"/>
              <w:rPr>
                <w:color w:val="000000"/>
                <w:sz w:val="18"/>
                <w:szCs w:val="18"/>
                <w:vertAlign w:val="baseline"/>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0.000546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0.000620</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0.000609</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0.000513</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3</w:t>
            </w: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0.00017</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0.00033</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0.00033</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0.00033</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0.00030</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0.00042</w:t>
            </w:r>
            <w:r>
              <w:rPr>
                <w:rFonts w:hint="eastAsia" w:ascii="宋体" w:hAnsi="宋体" w:cs="宋体"/>
                <w:i w:val="0"/>
                <w:iCs w:val="0"/>
                <w:color w:val="auto"/>
                <w:kern w:val="0"/>
                <w:sz w:val="18"/>
                <w:szCs w:val="18"/>
                <w:u w:val="none"/>
                <w:lang w:val="en-US" w:eastAsia="zh-CN" w:bidi="ar"/>
              </w:rPr>
              <w:t>**</w:t>
            </w:r>
          </w:p>
        </w:tc>
        <w:tc>
          <w:tcPr>
            <w:tcW w:w="1116"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0.00026</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0.00045</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0.00054</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0.00046</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w:t>
            </w:r>
            <w:r>
              <w:rPr>
                <w:rFonts w:hint="eastAsia" w:ascii="宋体" w:hAnsi="宋体" w:cs="宋体"/>
                <w:i w:val="0"/>
                <w:iCs w:val="0"/>
                <w:color w:val="auto"/>
                <w:kern w:val="0"/>
                <w:sz w:val="18"/>
                <w:szCs w:val="18"/>
                <w:u w:val="none"/>
                <w:lang w:val="en-US" w:eastAsia="zh-CN" w:bidi="ar"/>
              </w:rPr>
              <w:t>**</w:t>
            </w:r>
          </w:p>
        </w:tc>
        <w:tc>
          <w:tcPr>
            <w:tcW w:w="1116"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0.00048</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left w:val="single" w:color="auto" w:sz="12" w:space="0"/>
            </w:tcBorders>
            <w:vAlign w:val="center"/>
          </w:tcPr>
          <w:p>
            <w:pPr>
              <w:tabs>
                <w:tab w:val="left" w:pos="2205"/>
              </w:tabs>
              <w:jc w:val="center"/>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4</w:t>
            </w:r>
          </w:p>
        </w:tc>
        <w:tc>
          <w:tcPr>
            <w:tcW w:w="879"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0.000172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0.000187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0.000165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0.000188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0.000185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0.000192 </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0.000399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0.000362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0.000407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0.000398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0.000385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0.000389 </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0.000525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0.000559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0.000601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0.000587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0.000577 </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0.000565 </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0.000548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5</w:t>
            </w:r>
          </w:p>
          <w:p>
            <w:pPr>
              <w:tabs>
                <w:tab w:val="left" w:pos="2205"/>
              </w:tabs>
              <w:jc w:val="center"/>
              <w:rPr>
                <w:rFonts w:hint="default" w:ascii="宋体" w:hAnsi="宋体" w:cs="宋体"/>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0.000215</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0.000218</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0.000143</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0.000206</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0.000172</w:t>
            </w:r>
            <w:r>
              <w:rPr>
                <w:rFonts w:hint="eastAsia" w:ascii="宋体" w:hAnsi="宋体" w:cs="宋体"/>
                <w:i w:val="0"/>
                <w:iCs w:val="0"/>
                <w:color w:val="auto"/>
                <w:kern w:val="0"/>
                <w:sz w:val="18"/>
                <w:szCs w:val="18"/>
                <w:u w:val="none"/>
                <w:lang w:val="en-US" w:eastAsia="zh-CN" w:bidi="ar"/>
              </w:rPr>
              <w:t>*</w:t>
            </w:r>
          </w:p>
        </w:tc>
        <w:tc>
          <w:tcPr>
            <w:tcW w:w="11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0.000137</w:t>
            </w:r>
            <w:r>
              <w:rPr>
                <w:rFonts w:hint="eastAsia" w:ascii="宋体" w:hAnsi="宋体" w:cs="宋体"/>
                <w:i w:val="0"/>
                <w:iCs w:val="0"/>
                <w:color w:val="auto"/>
                <w:kern w:val="0"/>
                <w:sz w:val="18"/>
                <w:szCs w:val="18"/>
                <w:u w:val="none"/>
                <w:lang w:val="en-US" w:eastAsia="zh-CN" w:bidi="ar"/>
              </w:rPr>
              <w:t>*</w:t>
            </w:r>
          </w:p>
        </w:tc>
        <w:tc>
          <w:tcPr>
            <w:tcW w:w="1116" w:type="dxa"/>
            <w:tcBorders>
              <w:right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0.000152</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0.000380</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0.000375</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0.000384</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0.000392</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0.000640</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0.000538</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0.000604</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0.000575</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0.000574</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0.000633</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tcBorders>
              <w:left w:val="single" w:color="auto" w:sz="12" w:space="0"/>
            </w:tcBorders>
            <w:vAlign w:val="center"/>
          </w:tcPr>
          <w:p>
            <w:pPr>
              <w:tabs>
                <w:tab w:val="left" w:pos="2205"/>
              </w:tabs>
              <w:jc w:val="center"/>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7</w:t>
            </w:r>
          </w:p>
          <w:p>
            <w:pPr>
              <w:tabs>
                <w:tab w:val="left" w:pos="2205"/>
              </w:tabs>
              <w:jc w:val="center"/>
              <w:rPr>
                <w:rFonts w:hint="default" w:ascii="宋体" w:hAnsi="宋体" w:eastAsia="宋体" w:cs="宋体"/>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0.000167</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0.000149</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0.000132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0.000185</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0.000175</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879" w:type="dxa"/>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2</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0.000369</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0.000377</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0.000397</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0.000376</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0.000341</w:t>
            </w:r>
          </w:p>
        </w:tc>
        <w:tc>
          <w:tcPr>
            <w:tcW w:w="11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0.000380</w:t>
            </w:r>
          </w:p>
        </w:tc>
        <w:tc>
          <w:tcPr>
            <w:tcW w:w="1116" w:type="dxa"/>
            <w:tcBorders>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tcBorders>
              <w:left w:val="single" w:color="auto" w:sz="12" w:space="0"/>
              <w:bottom w:val="single" w:color="auto" w:sz="12" w:space="0"/>
            </w:tcBorders>
            <w:vAlign w:val="top"/>
          </w:tcPr>
          <w:p>
            <w:pPr>
              <w:tabs>
                <w:tab w:val="left" w:pos="2205"/>
              </w:tabs>
              <w:jc w:val="center"/>
              <w:rPr>
                <w:rFonts w:ascii="Times New Roman" w:hAnsi="Times New Roman" w:eastAsia="宋体" w:cs="Times New Roman"/>
                <w:color w:val="000000"/>
                <w:kern w:val="2"/>
                <w:sz w:val="18"/>
                <w:szCs w:val="18"/>
                <w:vertAlign w:val="baseline"/>
                <w:lang w:val="en-US" w:eastAsia="zh-CN" w:bidi="ar-SA"/>
              </w:rPr>
            </w:pPr>
          </w:p>
        </w:tc>
        <w:tc>
          <w:tcPr>
            <w:tcW w:w="879" w:type="dxa"/>
            <w:tcBorders>
              <w:bottom w:val="single" w:color="auto" w:sz="12" w:space="0"/>
            </w:tcBorders>
            <w:vAlign w:val="center"/>
          </w:tcPr>
          <w:p>
            <w:pPr>
              <w:tabs>
                <w:tab w:val="left" w:pos="2205"/>
              </w:tabs>
              <w:jc w:val="center"/>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sz w:val="18"/>
                <w:szCs w:val="18"/>
                <w:vertAlign w:val="baseline"/>
                <w:lang w:val="en-US" w:eastAsia="zh-CN"/>
              </w:rPr>
              <w:t>3</w:t>
            </w:r>
          </w:p>
        </w:tc>
        <w:tc>
          <w:tcPr>
            <w:tcW w:w="1116"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0.000611</w:t>
            </w:r>
          </w:p>
        </w:tc>
        <w:tc>
          <w:tcPr>
            <w:tcW w:w="1116"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0.000638</w:t>
            </w:r>
          </w:p>
        </w:tc>
        <w:tc>
          <w:tcPr>
            <w:tcW w:w="1116"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0.000573</w:t>
            </w:r>
          </w:p>
        </w:tc>
        <w:tc>
          <w:tcPr>
            <w:tcW w:w="1116"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0.000560</w:t>
            </w:r>
          </w:p>
        </w:tc>
        <w:tc>
          <w:tcPr>
            <w:tcW w:w="1116"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0.000654</w:t>
            </w:r>
          </w:p>
        </w:tc>
        <w:tc>
          <w:tcPr>
            <w:tcW w:w="1116" w:type="dxa"/>
            <w:tcBorders>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0.000663</w:t>
            </w:r>
          </w:p>
        </w:tc>
        <w:tc>
          <w:tcPr>
            <w:tcW w:w="1116" w:type="dxa"/>
            <w:tcBorders>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0.000610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olor w:val="000000"/>
          <w:szCs w:val="21"/>
          <w:lang w:eastAsia="zh-CN"/>
        </w:rPr>
      </w:pPr>
      <w:r>
        <w:rPr>
          <w:rFonts w:hint="eastAsia" w:ascii="黑体" w:hAnsi="黑体" w:eastAsia="黑体"/>
          <w:color w:val="000000"/>
          <w:szCs w:val="21"/>
        </w:rPr>
        <w:t>表B</w:t>
      </w:r>
      <w:r>
        <w:rPr>
          <w:rFonts w:hint="eastAsia" w:ascii="黑体" w:hAnsi="黑体" w:eastAsia="黑体"/>
          <w:color w:val="000000"/>
          <w:szCs w:val="21"/>
          <w:lang w:val="en-US" w:eastAsia="zh-CN"/>
        </w:rPr>
        <w:t>.3  氢</w:t>
      </w:r>
      <w:r>
        <w:rPr>
          <w:rFonts w:hint="eastAsia" w:ascii="黑体" w:hAnsi="黑体" w:eastAsia="黑体"/>
          <w:color w:val="000000"/>
          <w:szCs w:val="21"/>
        </w:rPr>
        <w:t>精密度试验原始数据</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1116"/>
        <w:gridCol w:w="1116"/>
        <w:gridCol w:w="1116"/>
        <w:gridCol w:w="1116"/>
        <w:gridCol w:w="1116"/>
        <w:gridCol w:w="111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left w:val="single" w:color="auto" w:sz="12" w:space="0"/>
            </w:tcBorders>
            <w:vAlign w:val="center"/>
          </w:tcPr>
          <w:p>
            <w:pPr>
              <w:tabs>
                <w:tab w:val="left" w:pos="2205"/>
              </w:tabs>
              <w:jc w:val="center"/>
              <w:rPr>
                <w:rFonts w:hint="default" w:eastAsia="宋体"/>
                <w:color w:val="000000"/>
                <w:sz w:val="18"/>
                <w:szCs w:val="18"/>
                <w:vertAlign w:val="baseline"/>
                <w:lang w:val="en-US" w:eastAsia="zh-CN"/>
              </w:rPr>
            </w:pPr>
            <w:r>
              <w:rPr>
                <w:rFonts w:hint="eastAsia"/>
                <w:color w:val="000000"/>
                <w:sz w:val="18"/>
                <w:szCs w:val="18"/>
                <w:vertAlign w:val="baseline"/>
                <w:lang w:val="en-US" w:eastAsia="zh-CN"/>
              </w:rPr>
              <w:t>实验室</w:t>
            </w:r>
          </w:p>
        </w:tc>
        <w:tc>
          <w:tcPr>
            <w:tcW w:w="1063" w:type="dxa"/>
            <w:vMerge w:val="restart"/>
            <w:tcBorders>
              <w:top w:val="single" w:color="auto" w:sz="12" w:space="0"/>
            </w:tcBorders>
            <w:vAlign w:val="center"/>
          </w:tcPr>
          <w:p>
            <w:pPr>
              <w:tabs>
                <w:tab w:val="left" w:pos="2205"/>
              </w:tabs>
              <w:jc w:val="center"/>
              <w:rPr>
                <w:rFonts w:hint="eastAsia" w:eastAsia="宋体"/>
                <w:color w:val="000000"/>
                <w:sz w:val="18"/>
                <w:szCs w:val="18"/>
                <w:vertAlign w:val="baseline"/>
                <w:lang w:val="en-US" w:eastAsia="zh-CN"/>
              </w:rPr>
            </w:pPr>
            <w:r>
              <w:rPr>
                <w:rFonts w:hint="eastAsia"/>
                <w:color w:val="000000"/>
                <w:sz w:val="18"/>
                <w:szCs w:val="18"/>
                <w:vertAlign w:val="baseline"/>
                <w:lang w:val="en-US" w:eastAsia="zh-CN"/>
              </w:rPr>
              <w:t>水平数</w:t>
            </w:r>
          </w:p>
        </w:tc>
        <w:tc>
          <w:tcPr>
            <w:tcW w:w="7444" w:type="dxa"/>
            <w:gridSpan w:val="7"/>
            <w:tcBorders>
              <w:top w:val="single" w:color="auto" w:sz="12" w:space="0"/>
              <w:right w:val="single" w:color="auto" w:sz="12" w:space="0"/>
            </w:tcBorders>
          </w:tcPr>
          <w:p>
            <w:pPr>
              <w:tabs>
                <w:tab w:val="left" w:pos="2205"/>
              </w:tabs>
              <w:jc w:val="center"/>
              <w:rPr>
                <w:rFonts w:hint="default" w:ascii="宋体" w:hAnsi="宋体" w:cs="宋体"/>
                <w:i/>
                <w:iCs/>
                <w:color w:val="000000"/>
                <w:sz w:val="18"/>
                <w:szCs w:val="18"/>
                <w:vertAlign w:val="baseline"/>
                <w:lang w:val="en-US" w:eastAsia="zh-CN"/>
              </w:rPr>
            </w:pPr>
            <w:r>
              <w:rPr>
                <w:rFonts w:hint="eastAsia" w:ascii="宋体" w:hAnsi="宋体" w:eastAsia="宋体" w:cs="宋体"/>
                <w:i/>
                <w:iCs/>
                <w:color w:val="000000"/>
                <w:sz w:val="18"/>
                <w:szCs w:val="18"/>
                <w:vertAlign w:val="baseline"/>
                <w:lang w:val="en-US" w:eastAsia="zh-CN"/>
              </w:rPr>
              <w:t>ω</w:t>
            </w:r>
            <w:r>
              <w:rPr>
                <w:rFonts w:hint="eastAsia" w:ascii="宋体" w:hAnsi="宋体" w:cs="宋体"/>
                <w:i w:val="0"/>
                <w:iCs w:val="0"/>
                <w:color w:val="000000"/>
                <w:sz w:val="18"/>
                <w:szCs w:val="18"/>
                <w:vertAlign w:val="subscript"/>
                <w:lang w:val="en-US" w:eastAsia="zh-CN"/>
              </w:rPr>
              <w:t>H</w:t>
            </w:r>
            <w:r>
              <w:rPr>
                <w:rFonts w:hint="eastAsia" w:ascii="宋体" w:hAnsi="宋体" w:cs="宋体"/>
                <w:i w:val="0"/>
                <w:iCs w:val="0"/>
                <w:color w:val="000000"/>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left w:val="single" w:color="auto" w:sz="12" w:space="0"/>
              <w:bottom w:val="single" w:color="auto" w:sz="12" w:space="0"/>
            </w:tcBorders>
          </w:tcPr>
          <w:p>
            <w:pPr>
              <w:tabs>
                <w:tab w:val="left" w:pos="2205"/>
              </w:tabs>
              <w:jc w:val="center"/>
              <w:rPr>
                <w:color w:val="000000"/>
                <w:sz w:val="18"/>
                <w:szCs w:val="18"/>
                <w:vertAlign w:val="baseline"/>
              </w:rPr>
            </w:pPr>
          </w:p>
        </w:tc>
        <w:tc>
          <w:tcPr>
            <w:tcW w:w="1063" w:type="dxa"/>
            <w:vMerge w:val="continue"/>
            <w:tcBorders>
              <w:bottom w:val="single" w:color="auto" w:sz="12" w:space="0"/>
            </w:tcBorders>
          </w:tcPr>
          <w:p>
            <w:pPr>
              <w:tabs>
                <w:tab w:val="left" w:pos="2205"/>
              </w:tabs>
              <w:jc w:val="center"/>
              <w:rPr>
                <w:color w:val="000000"/>
                <w:sz w:val="18"/>
                <w:szCs w:val="18"/>
                <w:vertAlign w:val="baseline"/>
              </w:rPr>
            </w:pP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4</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5</w:t>
            </w:r>
          </w:p>
        </w:tc>
        <w:tc>
          <w:tcPr>
            <w:tcW w:w="1064" w:type="dxa"/>
            <w:tcBorders>
              <w:bottom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6</w:t>
            </w:r>
          </w:p>
        </w:tc>
        <w:tc>
          <w:tcPr>
            <w:tcW w:w="1064" w:type="dxa"/>
            <w:tcBorders>
              <w:bottom w:val="single" w:color="auto" w:sz="12" w:space="0"/>
              <w:right w:val="single" w:color="auto" w:sz="12" w:space="0"/>
            </w:tcBorders>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12" w:space="0"/>
              <w:left w:val="single" w:color="auto" w:sz="12" w:space="0"/>
              <w:bottom w:val="single" w:color="auto" w:sz="4"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8</w:t>
            </w:r>
          </w:p>
        </w:tc>
        <w:tc>
          <w:tcPr>
            <w:tcW w:w="1063" w:type="dxa"/>
            <w:tcBorders>
              <w:top w:val="single" w:color="auto" w:sz="12"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0.000157</w:t>
            </w:r>
          </w:p>
        </w:tc>
        <w:tc>
          <w:tcPr>
            <w:tcW w:w="1063" w:type="dxa"/>
            <w:tcBorders>
              <w:top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0.000156</w:t>
            </w:r>
          </w:p>
        </w:tc>
        <w:tc>
          <w:tcPr>
            <w:tcW w:w="1063" w:type="dxa"/>
            <w:tcBorders>
              <w:top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0.000146</w:t>
            </w:r>
          </w:p>
        </w:tc>
        <w:tc>
          <w:tcPr>
            <w:tcW w:w="1063" w:type="dxa"/>
            <w:tcBorders>
              <w:top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0.000161</w:t>
            </w:r>
          </w:p>
        </w:tc>
        <w:tc>
          <w:tcPr>
            <w:tcW w:w="1064" w:type="dxa"/>
            <w:tcBorders>
              <w:top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0.000181</w:t>
            </w:r>
          </w:p>
        </w:tc>
        <w:tc>
          <w:tcPr>
            <w:tcW w:w="1064" w:type="dxa"/>
            <w:tcBorders>
              <w:top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0.000190</w:t>
            </w:r>
          </w:p>
        </w:tc>
        <w:tc>
          <w:tcPr>
            <w:tcW w:w="1064" w:type="dxa"/>
            <w:tcBorders>
              <w:top w:val="single" w:color="auto" w:sz="12"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op w:val="single" w:color="auto" w:sz="4" w:space="0"/>
              <w:left w:val="single" w:color="auto" w:sz="12" w:space="0"/>
              <w:bottom w:val="single" w:color="auto" w:sz="4"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0.000446</w:t>
            </w:r>
            <w:r>
              <w:rPr>
                <w:rFonts w:hint="eastAsia" w:ascii="宋体" w:hAnsi="宋体" w:cs="宋体"/>
                <w:i w:val="0"/>
                <w:iCs w:val="0"/>
                <w:color w:val="auto"/>
                <w:kern w:val="0"/>
                <w:sz w:val="18"/>
                <w:szCs w:val="18"/>
                <w:u w:val="none"/>
                <w:lang w:val="en-US" w:eastAsia="zh-CN" w:bidi="ar"/>
              </w:rPr>
              <w:t>**</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0.000454</w:t>
            </w:r>
            <w:r>
              <w:rPr>
                <w:rFonts w:hint="eastAsia" w:ascii="宋体" w:hAnsi="宋体" w:cs="宋体"/>
                <w:i w:val="0"/>
                <w:iCs w:val="0"/>
                <w:color w:val="auto"/>
                <w:kern w:val="0"/>
                <w:sz w:val="18"/>
                <w:szCs w:val="18"/>
                <w:u w:val="none"/>
                <w:lang w:val="en-US" w:eastAsia="zh-CN" w:bidi="ar"/>
              </w:rPr>
              <w:t>**</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0.000401</w:t>
            </w:r>
            <w:r>
              <w:rPr>
                <w:rFonts w:hint="eastAsia" w:ascii="宋体" w:hAnsi="宋体" w:cs="宋体"/>
                <w:i w:val="0"/>
                <w:iCs w:val="0"/>
                <w:color w:val="auto"/>
                <w:kern w:val="0"/>
                <w:sz w:val="18"/>
                <w:szCs w:val="18"/>
                <w:u w:val="none"/>
                <w:lang w:val="en-US" w:eastAsia="zh-CN" w:bidi="ar"/>
              </w:rPr>
              <w:t>**</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0.000439</w:t>
            </w:r>
            <w:r>
              <w:rPr>
                <w:rFonts w:hint="eastAsia" w:ascii="宋体" w:hAnsi="宋体" w:cs="宋体"/>
                <w:i w:val="0"/>
                <w:iCs w:val="0"/>
                <w:color w:val="auto"/>
                <w:kern w:val="0"/>
                <w:sz w:val="18"/>
                <w:szCs w:val="18"/>
                <w:u w:val="none"/>
                <w:lang w:val="en-US" w:eastAsia="zh-CN" w:bidi="ar"/>
              </w:rPr>
              <w:t>**</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0.000417</w:t>
            </w:r>
            <w:r>
              <w:rPr>
                <w:rFonts w:hint="eastAsia" w:ascii="宋体" w:hAnsi="宋体" w:cs="宋体"/>
                <w:i w:val="0"/>
                <w:iCs w:val="0"/>
                <w:color w:val="auto"/>
                <w:kern w:val="0"/>
                <w:sz w:val="18"/>
                <w:szCs w:val="18"/>
                <w:u w:val="none"/>
                <w:lang w:val="en-US" w:eastAsia="zh-CN" w:bidi="ar"/>
              </w:rPr>
              <w:t>**</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0.000482</w:t>
            </w:r>
            <w:r>
              <w:rPr>
                <w:rFonts w:hint="eastAsia" w:ascii="宋体" w:hAnsi="宋体" w:cs="宋体"/>
                <w:i w:val="0"/>
                <w:iCs w:val="0"/>
                <w:color w:val="auto"/>
                <w:kern w:val="0"/>
                <w:sz w:val="18"/>
                <w:szCs w:val="18"/>
                <w:u w:val="none"/>
                <w:lang w:val="en-US" w:eastAsia="zh-CN" w:bidi="ar"/>
              </w:rPr>
              <w:t>**</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0.000460</w:t>
            </w:r>
            <w:r>
              <w:rPr>
                <w:rFonts w:hint="eastAsia" w:ascii="宋体" w:hAnsi="宋体" w:cs="宋体"/>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op w:val="single" w:color="auto" w:sz="4" w:space="0"/>
              <w:left w:val="single" w:color="auto" w:sz="12" w:space="0"/>
              <w:bottom w:val="single" w:color="auto" w:sz="4" w:space="0"/>
            </w:tcBorders>
            <w:vAlign w:val="center"/>
          </w:tcPr>
          <w:p>
            <w:pPr>
              <w:tabs>
                <w:tab w:val="left" w:pos="2205"/>
              </w:tabs>
              <w:jc w:val="center"/>
              <w:rPr>
                <w:rFonts w:hint="eastAsia" w:ascii="宋体" w:hAnsi="宋体" w:cs="宋体"/>
                <w:color w:val="000000"/>
                <w:kern w:val="2"/>
                <w:sz w:val="18"/>
                <w:szCs w:val="18"/>
                <w:vertAlign w:val="baseline"/>
                <w:lang w:val="en-US" w:eastAsia="zh-CN" w:bidi="ar-SA"/>
              </w:rPr>
            </w:pP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0.000696</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0.000633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0.000686</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0.000650</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0.000641</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4" w:space="0"/>
              <w:left w:val="single" w:color="auto" w:sz="12" w:space="0"/>
              <w:bottom w:val="single" w:color="auto" w:sz="4" w:space="0"/>
            </w:tcBorders>
            <w:vAlign w:val="center"/>
          </w:tcPr>
          <w:p>
            <w:pPr>
              <w:tabs>
                <w:tab w:val="left" w:pos="2205"/>
              </w:tabs>
              <w:jc w:val="center"/>
              <w:rPr>
                <w:rFonts w:hint="eastAsia" w:ascii="宋体" w:hAnsi="宋体" w:cs="宋体"/>
                <w:color w:val="000000"/>
                <w:sz w:val="18"/>
                <w:szCs w:val="18"/>
                <w:vertAlign w:val="baseline"/>
                <w:lang w:val="en-US" w:eastAsia="zh-CN"/>
              </w:rPr>
            </w:pPr>
            <w:r>
              <w:rPr>
                <w:rFonts w:hint="eastAsia" w:ascii="宋体" w:hAnsi="宋体" w:cs="宋体"/>
                <w:color w:val="000000"/>
                <w:kern w:val="2"/>
                <w:sz w:val="18"/>
                <w:szCs w:val="18"/>
                <w:vertAlign w:val="baseline"/>
                <w:lang w:val="en-US" w:eastAsia="zh-CN" w:bidi="ar-SA"/>
              </w:rPr>
              <w:t>9</w:t>
            </w: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0.000174</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0.000167</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0.000159</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0.000192</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0.000189</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0.000172</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op w:val="single" w:color="auto" w:sz="4" w:space="0"/>
              <w:left w:val="single" w:color="auto" w:sz="12" w:space="0"/>
              <w:bottom w:val="single" w:color="auto" w:sz="4" w:space="0"/>
            </w:tcBorders>
            <w:vAlign w:val="top"/>
          </w:tcPr>
          <w:p>
            <w:pPr>
              <w:tabs>
                <w:tab w:val="left" w:pos="2205"/>
              </w:tabs>
              <w:jc w:val="center"/>
              <w:rPr>
                <w:rFonts w:hint="eastAsia" w:ascii="宋体" w:hAnsi="宋体" w:cs="宋体"/>
                <w:color w:val="000000"/>
                <w:sz w:val="18"/>
                <w:szCs w:val="18"/>
                <w:vertAlign w:val="baseline"/>
                <w:lang w:val="en-US" w:eastAsia="zh-CN"/>
              </w:rPr>
            </w:pP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0.000372</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0.000359</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0.000387</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0.000392</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op w:val="single" w:color="auto" w:sz="4" w:space="0"/>
              <w:left w:val="single" w:color="auto" w:sz="12" w:space="0"/>
              <w:bottom w:val="single" w:color="auto" w:sz="4" w:space="0"/>
            </w:tcBorders>
            <w:vAlign w:val="top"/>
          </w:tcPr>
          <w:p>
            <w:pPr>
              <w:tabs>
                <w:tab w:val="left" w:pos="2205"/>
              </w:tabs>
              <w:jc w:val="center"/>
              <w:rPr>
                <w:rFonts w:hint="eastAsia" w:ascii="宋体" w:hAnsi="宋体" w:cs="宋体"/>
                <w:color w:val="000000"/>
                <w:sz w:val="18"/>
                <w:szCs w:val="18"/>
                <w:vertAlign w:val="baseline"/>
                <w:lang w:val="en-US" w:eastAsia="zh-CN"/>
              </w:rPr>
            </w:pP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0.000579</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0.000592</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0.000590</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0.000583</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Borders>
              <w:top w:val="single" w:color="auto" w:sz="4" w:space="0"/>
              <w:left w:val="single" w:color="auto" w:sz="12" w:space="0"/>
              <w:bottom w:val="single" w:color="auto" w:sz="4" w:space="0"/>
            </w:tcBorders>
            <w:vAlign w:val="center"/>
          </w:tcPr>
          <w:p>
            <w:pPr>
              <w:tabs>
                <w:tab w:val="left" w:pos="2205"/>
              </w:tabs>
              <w:jc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10</w:t>
            </w: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0.000148</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0.000151</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0.000183</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0.000180</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0.000143</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op w:val="single" w:color="auto" w:sz="4" w:space="0"/>
              <w:left w:val="single" w:color="auto" w:sz="12"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0.000373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0.000384</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0.000388</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0.000431</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0.000431</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0.000363</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Borders>
              <w:top w:val="single" w:color="auto" w:sz="4" w:space="0"/>
              <w:left w:val="single" w:color="auto" w:sz="12"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rPr>
            </w:pPr>
          </w:p>
        </w:tc>
        <w:tc>
          <w:tcPr>
            <w:tcW w:w="1063" w:type="dxa"/>
            <w:tcBorders>
              <w:top w:val="single" w:color="auto" w:sz="4" w:space="0"/>
              <w:bottom w:val="single" w:color="auto" w:sz="4" w:space="0"/>
            </w:tcBorders>
            <w:vAlign w:val="center"/>
          </w:tcPr>
          <w:p>
            <w:pPr>
              <w:tabs>
                <w:tab w:val="left" w:pos="2205"/>
              </w:tabs>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3</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0.000596</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0.000588</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0.000642</w:t>
            </w:r>
          </w:p>
        </w:tc>
        <w:tc>
          <w:tcPr>
            <w:tcW w:w="106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0.000569</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0.000581</w:t>
            </w:r>
          </w:p>
        </w:tc>
        <w:tc>
          <w:tcPr>
            <w:tcW w:w="106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0.000571</w:t>
            </w:r>
          </w:p>
        </w:tc>
        <w:tc>
          <w:tcPr>
            <w:tcW w:w="1064" w:type="dxa"/>
            <w:tcBorders>
              <w:top w:val="single" w:color="auto" w:sz="4" w:space="0"/>
              <w:bottom w:val="single" w:color="auto" w:sz="4"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9"/>
            <w:tcBorders>
              <w:top w:val="single" w:color="auto" w:sz="4" w:space="0"/>
              <w:left w:val="single" w:color="auto" w:sz="12" w:space="0"/>
              <w:bottom w:val="single" w:color="auto" w:sz="12" w:space="0"/>
              <w:right w:val="single" w:color="auto" w:sz="12"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注：</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为岐离值，“</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”为离群值。</w:t>
            </w:r>
          </w:p>
        </w:tc>
      </w:tr>
    </w:tbl>
    <w:p>
      <w:pPr>
        <w:tabs>
          <w:tab w:val="left" w:pos="2205"/>
        </w:tabs>
        <w:rPr>
          <w:color w:val="000000"/>
          <w:sz w:val="15"/>
          <w:szCs w:val="15"/>
        </w:rPr>
      </w:pPr>
    </w:p>
    <w:p>
      <w:pPr>
        <w:tabs>
          <w:tab w:val="left" w:pos="2205"/>
        </w:tabs>
        <w:rPr>
          <w:color w:val="000000"/>
          <w:sz w:val="15"/>
          <w:szCs w:val="15"/>
        </w:rPr>
      </w:pPr>
    </w:p>
    <w:p>
      <w:pPr>
        <w:tabs>
          <w:tab w:val="left" w:pos="2205"/>
        </w:tabs>
        <w:rPr>
          <w:color w:val="000000"/>
          <w:sz w:val="15"/>
          <w:szCs w:val="15"/>
        </w:rPr>
      </w:pPr>
      <w:bookmarkStart w:id="4" w:name="_GoBack"/>
      <w:bookmarkEnd w:id="4"/>
      <w:r>
        <w:rPr>
          <w:color w:val="000000"/>
          <w:sz w:val="15"/>
          <w:szCs w:val="15"/>
        </w:rPr>
        <mc:AlternateContent>
          <mc:Choice Requires="wps">
            <w:drawing>
              <wp:anchor distT="0" distB="0" distL="114300" distR="114300" simplePos="0" relativeHeight="251669504" behindDoc="0" locked="0" layoutInCell="1" allowOverlap="1">
                <wp:simplePos x="0" y="0"/>
                <wp:positionH relativeFrom="column">
                  <wp:posOffset>1894205</wp:posOffset>
                </wp:positionH>
                <wp:positionV relativeFrom="paragraph">
                  <wp:posOffset>107950</wp:posOffset>
                </wp:positionV>
                <wp:extent cx="1905000" cy="0"/>
                <wp:effectExtent l="0" t="0" r="0" b="0"/>
                <wp:wrapNone/>
                <wp:docPr id="13" name="自选图形 35"/>
                <wp:cNvGraphicFramePr/>
                <a:graphic xmlns:a="http://schemas.openxmlformats.org/drawingml/2006/main">
                  <a:graphicData uri="http://schemas.microsoft.com/office/word/2010/wordprocessingShape">
                    <wps:wsp>
                      <wps:cNvCnPr/>
                      <wps:spPr>
                        <a:xfrm>
                          <a:off x="0" y="0"/>
                          <a:ext cx="190500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margin-left:149.15pt;margin-top:8.5pt;height:0pt;width:150pt;z-index:251669504;mso-width-relative:page;mso-height-relative:page;" filled="f" stroked="t" coordsize="21600,21600" o:gfxdata="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UT/PUAAAACQEAAA8AAAAAAAAAAQAgAAAAIgAAAGRycy9kb3ducmV2LnhtbFBLAQIU&#10;ABQAAAAIAIdO4kDiOkII9wEAAOYDAAAOAAAAAAAAAAEAIAAAACMBAABkcnMvZTJvRG9jLnhtbFBL&#10;BQYAAAAABgAGAFkBAACMBQAAAAA=&#10;">
                <v:fill on="f" focussize="0,0"/>
                <v:stroke weight="1.25pt" color="#000000" joinstyle="round"/>
                <v:imagedata o:title=""/>
                <o:lock v:ext="edit" aspectratio="f"/>
              </v:shape>
            </w:pict>
          </mc:Fallback>
        </mc:AlternateContent>
      </w:r>
    </w:p>
    <w:sectPr>
      <w:headerReference r:id="rId16" w:type="first"/>
      <w:footerReference r:id="rId19" w:type="first"/>
      <w:headerReference r:id="rId14" w:type="default"/>
      <w:footerReference r:id="rId17" w:type="default"/>
      <w:headerReference r:id="rId15" w:type="even"/>
      <w:footerReference r:id="rId18" w:type="even"/>
      <w:pgSz w:w="11906" w:h="16838"/>
      <w:pgMar w:top="1418" w:right="1134" w:bottom="1418" w:left="1418" w:header="1134" w:footer="113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rPr>
        <w:rStyle w:val="43"/>
      </w:rPr>
    </w:pPr>
    <w:r>
      <w:rPr>
        <w:rStyle w:val="43"/>
      </w:rPr>
      <w:fldChar w:fldCharType="begin"/>
    </w:r>
    <w:r>
      <w:rPr>
        <w:rStyle w:val="43"/>
      </w:rPr>
      <w:instrText xml:space="preserve">PAGE  </w:instrText>
    </w:r>
    <w:r>
      <w:rPr>
        <w:rStyle w:val="43"/>
      </w:rPr>
      <w:fldChar w:fldCharType="separate"/>
    </w:r>
    <w:r>
      <w:rPr>
        <w:rStyle w:val="43"/>
      </w:rPr>
      <w:t>1</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43"/>
      </w:rPr>
    </w:pPr>
    <w:r>
      <w:rPr>
        <w:rStyle w:val="43"/>
      </w:rPr>
      <w:fldChar w:fldCharType="begin"/>
    </w:r>
    <w:r>
      <w:rPr>
        <w:rStyle w:val="43"/>
      </w:rPr>
      <w:instrText xml:space="preserve">PAGE  </w:instrText>
    </w:r>
    <w:r>
      <w:rPr>
        <w:rStyle w:val="4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840" w:hanging="42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ind w:right="360" w:firstLine="360"/>
      <w:rPr>
        <w:rStyle w:val="43"/>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386"/>
      <w:docPartObj>
        <w:docPartGallery w:val="autotext"/>
      </w:docPartObj>
    </w:sdtPr>
    <w:sdtEndPr>
      <w:rPr>
        <w:rFonts w:asciiTheme="minorEastAsia" w:hAnsiTheme="minorEastAsia" w:eastAsiaTheme="minorEastAsia"/>
      </w:rPr>
    </w:sdtEndPr>
    <w:sdtContent>
      <w:p>
        <w:pPr>
          <w:pStyle w:val="29"/>
          <w:ind w:left="840" w:hanging="420"/>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w:t>
        </w:r>
        <w:r>
          <w:rPr>
            <w:rFonts w:asciiTheme="minorEastAsia" w:hAnsiTheme="minorEastAsia" w:eastAsiaTheme="minorEastAsia"/>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1602" w:y="113"/>
      <w:rPr>
        <w:rStyle w:val="43"/>
        <w:rFonts w:asciiTheme="minorEastAsia" w:hAnsiTheme="minorEastAsia" w:eastAsiaTheme="minorEastAsia"/>
      </w:rPr>
    </w:pPr>
    <w:r>
      <w:rPr>
        <w:rStyle w:val="43"/>
        <w:rFonts w:asciiTheme="minorEastAsia" w:hAnsiTheme="minorEastAsia" w:eastAsiaTheme="minorEastAsia"/>
      </w:rPr>
      <w:fldChar w:fldCharType="begin"/>
    </w:r>
    <w:r>
      <w:rPr>
        <w:rStyle w:val="43"/>
        <w:rFonts w:asciiTheme="minorEastAsia" w:hAnsiTheme="minorEastAsia" w:eastAsiaTheme="minorEastAsia"/>
      </w:rPr>
      <w:instrText xml:space="preserve">PAGE  </w:instrText>
    </w:r>
    <w:r>
      <w:rPr>
        <w:rStyle w:val="43"/>
        <w:rFonts w:asciiTheme="minorEastAsia" w:hAnsiTheme="minorEastAsia" w:eastAsiaTheme="minorEastAsia"/>
      </w:rPr>
      <w:fldChar w:fldCharType="separate"/>
    </w:r>
    <w:r>
      <w:rPr>
        <w:rStyle w:val="43"/>
        <w:rFonts w:asciiTheme="minorEastAsia" w:hAnsiTheme="minorEastAsia" w:eastAsiaTheme="minorEastAsia"/>
      </w:rPr>
      <w:t>II</w:t>
    </w:r>
    <w:r>
      <w:rPr>
        <w:rStyle w:val="43"/>
        <w:rFonts w:asciiTheme="minorEastAsia" w:hAnsiTheme="minorEastAsia" w:eastAsiaTheme="minorEastAsia"/>
      </w:rPr>
      <w:fldChar w:fldCharType="end"/>
    </w:r>
  </w:p>
  <w:p>
    <w:pPr>
      <w:pStyle w:val="87"/>
      <w:ind w:right="360" w:firstLine="360"/>
      <w:rPr>
        <w:rStyle w:val="4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PAGE   \* MERGEFORMAT</w:instrText>
    </w:r>
    <w:r>
      <w:fldChar w:fldCharType="separate"/>
    </w:r>
    <w:r>
      <w:rPr>
        <w:lang w:val="zh-CN"/>
      </w:rPr>
      <w:t>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fldChar w:fldCharType="begin"/>
    </w:r>
    <w:r>
      <w:instrText xml:space="preserve">PAGE   \* MERGEFORMAT</w:instrText>
    </w:r>
    <w:r>
      <w:fldChar w:fldCharType="separate"/>
    </w:r>
    <w:r>
      <w:rPr>
        <w:lang w:val="zh-CN"/>
      </w:rPr>
      <w:t>4</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rPr>
        <w:rFonts w:ascii="黑体" w:eastAsia="黑体"/>
      </w:rPr>
    </w:pPr>
    <w:r>
      <w:rPr>
        <w:rFonts w:hint="eastAsia" w:ascii="黑体" w:eastAsia="黑体"/>
      </w:rPr>
      <w:t>GB/T 5121.</w:t>
    </w:r>
    <w:r>
      <w:rPr>
        <w:rFonts w:hint="eastAsia" w:ascii="黑体" w:eastAsia="黑体"/>
        <w:lang w:val="en-US" w:eastAsia="zh-CN"/>
      </w:rPr>
      <w:t>8</w:t>
    </w:r>
    <w:r>
      <w:rPr>
        <w:rFonts w:hint="eastAsia" w:ascii="黑体" w:eastAsia="黑体"/>
      </w:rPr>
      <w:t>—20</w:t>
    </w:r>
    <w:r>
      <w:rPr>
        <w:rFonts w:ascii="黑体" w:eastAsia="黑体"/>
      </w:rPr>
      <w:t>2</w:t>
    </w:r>
    <w:r>
      <w:rPr>
        <w:rFonts w:hint="eastAsia" w:ascii="黑体" w:eastAsia="黑体"/>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rPr>
        <w:rFonts w:ascii="黑体" w:eastAsia="黑体"/>
      </w:rPr>
    </w:pPr>
    <w:r>
      <w:rPr>
        <w:rFonts w:hint="eastAsia" w:ascii="黑体" w:eastAsia="黑体"/>
      </w:rPr>
      <w:t>GB/T 5121.</w:t>
    </w:r>
    <w:r>
      <w:rPr>
        <w:rFonts w:hint="eastAsia" w:ascii="黑体" w:eastAsia="黑体"/>
        <w:lang w:val="en-US" w:eastAsia="zh-CN"/>
      </w:rPr>
      <w:t>8</w:t>
    </w:r>
    <w:r>
      <w:rPr>
        <w:rFonts w:hint="eastAsia" w:ascii="黑体" w:eastAsia="黑体"/>
      </w:rPr>
      <w:t>—202×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rPr>
        <w:rFonts w:ascii="黑体" w:eastAsia="黑体"/>
      </w:rPr>
    </w:pPr>
    <w:r>
      <w:rPr>
        <w:rFonts w:hint="eastAsia" w:ascii="黑体" w:eastAsia="黑体"/>
      </w:rPr>
      <w:t>GB/T 5121.</w:t>
    </w:r>
    <w:r>
      <w:rPr>
        <w:rFonts w:hint="eastAsia" w:ascii="黑体" w:eastAsia="黑体"/>
        <w:lang w:val="en-US" w:eastAsia="zh-CN"/>
      </w:rPr>
      <w:t>8</w:t>
    </w:r>
    <w:r>
      <w:rPr>
        <w:rFonts w:hint="eastAsia" w:ascii="黑体" w:eastAsia="黑体"/>
      </w:rPr>
      <w:t>—202×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rPr>
        <w:rFonts w:ascii="黑体" w:eastAsia="黑体"/>
      </w:rPr>
    </w:pPr>
    <w:r>
      <w:rPr>
        <w:rFonts w:hint="eastAsia" w:ascii="黑体" w:eastAsia="黑体"/>
      </w:rPr>
      <w:t>GB/T 5121.</w:t>
    </w:r>
    <w:r>
      <w:rPr>
        <w:rFonts w:hint="eastAsia" w:ascii="黑体" w:eastAsia="黑体"/>
        <w:lang w:val="en-US" w:eastAsia="zh-CN"/>
      </w:rPr>
      <w:t>8</w:t>
    </w:r>
    <w:r>
      <w:rPr>
        <w:rFonts w:hint="eastAsia" w:ascii="黑体" w:eastAsia="黑体"/>
      </w:rPr>
      <w:t>—202×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rFonts w:ascii="黑体" w:eastAsia="黑体"/>
        <w:sz w:val="21"/>
        <w:szCs w:val="21"/>
      </w:rPr>
    </w:pPr>
    <w:r>
      <w:rPr>
        <w:rFonts w:hint="eastAsia" w:ascii="黑体" w:eastAsia="黑体"/>
        <w:sz w:val="21"/>
        <w:szCs w:val="21"/>
      </w:rPr>
      <w:t>GB/T 4698.2-20XX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06F7D"/>
    <w:multiLevelType w:val="multilevel"/>
    <w:tmpl w:val="46806F7D"/>
    <w:lvl w:ilvl="0" w:tentative="0">
      <w:start w:val="1"/>
      <w:numFmt w:val="none"/>
      <w:pStyle w:val="11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D22D8F"/>
    <w:multiLevelType w:val="multilevel"/>
    <w:tmpl w:val="46D22D8F"/>
    <w:lvl w:ilvl="0" w:tentative="0">
      <w:start w:val="1"/>
      <w:numFmt w:val="none"/>
      <w:pStyle w:val="12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6E4D7B"/>
    <w:multiLevelType w:val="multilevel"/>
    <w:tmpl w:val="496E4D7B"/>
    <w:lvl w:ilvl="0" w:tentative="0">
      <w:start w:val="1"/>
      <w:numFmt w:val="none"/>
      <w:pStyle w:val="13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4E4EF8"/>
    <w:multiLevelType w:val="singleLevel"/>
    <w:tmpl w:val="514E4EF8"/>
    <w:lvl w:ilvl="0" w:tentative="0">
      <w:start w:val="1"/>
      <w:numFmt w:val="lowerLetter"/>
      <w:lvlText w:val="%1)"/>
      <w:lvlJc w:val="left"/>
      <w:pPr>
        <w:tabs>
          <w:tab w:val="left" w:pos="312"/>
        </w:tabs>
      </w:pPr>
    </w:lvl>
  </w:abstractNum>
  <w:abstractNum w:abstractNumId="4">
    <w:nsid w:val="557C2AF5"/>
    <w:multiLevelType w:val="multilevel"/>
    <w:tmpl w:val="557C2AF5"/>
    <w:lvl w:ilvl="0" w:tentative="0">
      <w:start w:val="1"/>
      <w:numFmt w:val="decimal"/>
      <w:pStyle w:val="1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37"/>
      <w:suff w:val="nothing"/>
      <w:lvlText w:val="表%1 "/>
      <w:lvlJc w:val="center"/>
      <w:pPr>
        <w:ind w:left="4935" w:firstLine="0"/>
      </w:pPr>
      <w:rPr>
        <w:rFonts w:hint="eastAsia" w:ascii="黑体" w:hAnsi="Times New Roman" w:eastAsia="黑体"/>
        <w:b w:val="0"/>
        <w:i w:val="0"/>
        <w:sz w:val="21"/>
      </w:rPr>
    </w:lvl>
    <w:lvl w:ilvl="1" w:tentative="0">
      <w:start w:val="1"/>
      <w:numFmt w:val="decimal"/>
      <w:pStyle w:val="126"/>
      <w:lvlText w:val="%1.%2"/>
      <w:lvlJc w:val="left"/>
      <w:pPr>
        <w:tabs>
          <w:tab w:val="left" w:pos="887"/>
        </w:tabs>
        <w:ind w:left="887" w:hanging="567"/>
      </w:pPr>
      <w:rPr>
        <w:rFonts w:hint="eastAsia"/>
      </w:rPr>
    </w:lvl>
    <w:lvl w:ilvl="2" w:tentative="0">
      <w:start w:val="1"/>
      <w:numFmt w:val="decimal"/>
      <w:lvlText w:val="%1.%2.%3"/>
      <w:lvlJc w:val="left"/>
      <w:pPr>
        <w:tabs>
          <w:tab w:val="left" w:pos="1313"/>
        </w:tabs>
        <w:ind w:left="1313" w:hanging="567"/>
      </w:pPr>
      <w:rPr>
        <w:rFonts w:hint="eastAsia"/>
      </w:rPr>
    </w:lvl>
    <w:lvl w:ilvl="3" w:tentative="0">
      <w:start w:val="1"/>
      <w:numFmt w:val="decimal"/>
      <w:lvlText w:val="%1.%2.%3.%4"/>
      <w:lvlJc w:val="left"/>
      <w:pPr>
        <w:tabs>
          <w:tab w:val="left" w:pos="1879"/>
        </w:tabs>
        <w:ind w:left="1879" w:hanging="708"/>
      </w:pPr>
      <w:rPr>
        <w:rFonts w:hint="eastAsia"/>
      </w:rPr>
    </w:lvl>
    <w:lvl w:ilvl="4" w:tentative="0">
      <w:start w:val="1"/>
      <w:numFmt w:val="decimal"/>
      <w:lvlText w:val="%1.%2.%3.%4.%5"/>
      <w:lvlJc w:val="left"/>
      <w:pPr>
        <w:tabs>
          <w:tab w:val="left" w:pos="2446"/>
        </w:tabs>
        <w:ind w:left="2446" w:hanging="850"/>
      </w:pPr>
      <w:rPr>
        <w:rFonts w:hint="eastAsia"/>
      </w:rPr>
    </w:lvl>
    <w:lvl w:ilvl="5" w:tentative="0">
      <w:start w:val="1"/>
      <w:numFmt w:val="decimal"/>
      <w:lvlText w:val="%1.%2.%3.%4.%5.%6"/>
      <w:lvlJc w:val="left"/>
      <w:pPr>
        <w:tabs>
          <w:tab w:val="left" w:pos="3155"/>
        </w:tabs>
        <w:ind w:left="3155" w:hanging="1134"/>
      </w:pPr>
      <w:rPr>
        <w:rFonts w:hint="eastAsia"/>
      </w:rPr>
    </w:lvl>
    <w:lvl w:ilvl="6" w:tentative="0">
      <w:start w:val="1"/>
      <w:numFmt w:val="decimal"/>
      <w:pStyle w:val="120"/>
      <w:lvlText w:val="%1.%2.%3.%4.%5.%6.%7"/>
      <w:lvlJc w:val="left"/>
      <w:pPr>
        <w:tabs>
          <w:tab w:val="left" w:pos="3722"/>
        </w:tabs>
        <w:ind w:left="3722" w:hanging="1276"/>
      </w:pPr>
      <w:rPr>
        <w:rFonts w:hint="eastAsia"/>
      </w:rPr>
    </w:lvl>
    <w:lvl w:ilvl="7" w:tentative="0">
      <w:start w:val="1"/>
      <w:numFmt w:val="decimal"/>
      <w:lvlText w:val="%1.%2.%3.%4.%5.%6.%7.%8"/>
      <w:lvlJc w:val="left"/>
      <w:pPr>
        <w:tabs>
          <w:tab w:val="left" w:pos="4289"/>
        </w:tabs>
        <w:ind w:left="4289" w:hanging="1418"/>
      </w:pPr>
      <w:rPr>
        <w:rFonts w:hint="eastAsia"/>
      </w:rPr>
    </w:lvl>
    <w:lvl w:ilvl="8" w:tentative="0">
      <w:start w:val="1"/>
      <w:numFmt w:val="decimal"/>
      <w:lvlText w:val="%1.%2.%3.%4.%5.%6.%7.%8.%9"/>
      <w:lvlJc w:val="left"/>
      <w:pPr>
        <w:tabs>
          <w:tab w:val="left" w:pos="4997"/>
        </w:tabs>
        <w:ind w:left="4997" w:hanging="1700"/>
      </w:pPr>
      <w:rPr>
        <w:rFonts w:hint="eastAsia"/>
      </w:rPr>
    </w:lvl>
  </w:abstractNum>
  <w:abstractNum w:abstractNumId="6">
    <w:nsid w:val="657D3FBC"/>
    <w:multiLevelType w:val="multilevel"/>
    <w:tmpl w:val="657D3FBC"/>
    <w:lvl w:ilvl="0" w:tentative="0">
      <w:start w:val="1"/>
      <w:numFmt w:val="upperLetter"/>
      <w:pStyle w:val="114"/>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11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3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0"/>
  </w:num>
  <w:num w:numId="4">
    <w:abstractNumId w:val="5"/>
  </w:num>
  <w:num w:numId="5">
    <w:abstractNumId w:val="1"/>
  </w:num>
  <w:num w:numId="6">
    <w:abstractNumId w:val="8"/>
  </w:num>
  <w:num w:numId="7">
    <w:abstractNumId w:val="2"/>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B45D38"/>
    <w:rsid w:val="00001600"/>
    <w:rsid w:val="00003893"/>
    <w:rsid w:val="00012E6C"/>
    <w:rsid w:val="00012F3A"/>
    <w:rsid w:val="00014191"/>
    <w:rsid w:val="00023E8F"/>
    <w:rsid w:val="0002524F"/>
    <w:rsid w:val="00026FBA"/>
    <w:rsid w:val="00033530"/>
    <w:rsid w:val="00037930"/>
    <w:rsid w:val="000448D5"/>
    <w:rsid w:val="00044CA1"/>
    <w:rsid w:val="00044E39"/>
    <w:rsid w:val="00045022"/>
    <w:rsid w:val="00061C50"/>
    <w:rsid w:val="000620E6"/>
    <w:rsid w:val="00062137"/>
    <w:rsid w:val="000707C9"/>
    <w:rsid w:val="00075D21"/>
    <w:rsid w:val="000762F0"/>
    <w:rsid w:val="000826C8"/>
    <w:rsid w:val="00083C40"/>
    <w:rsid w:val="00085501"/>
    <w:rsid w:val="00085AA2"/>
    <w:rsid w:val="000916D0"/>
    <w:rsid w:val="00094A62"/>
    <w:rsid w:val="00096972"/>
    <w:rsid w:val="000A0570"/>
    <w:rsid w:val="000A6A6E"/>
    <w:rsid w:val="000B2ABA"/>
    <w:rsid w:val="000B39E8"/>
    <w:rsid w:val="000C2071"/>
    <w:rsid w:val="000C4F08"/>
    <w:rsid w:val="000D5EDB"/>
    <w:rsid w:val="000D6AE8"/>
    <w:rsid w:val="000E304B"/>
    <w:rsid w:val="000E694B"/>
    <w:rsid w:val="000F2840"/>
    <w:rsid w:val="001032CE"/>
    <w:rsid w:val="001044B0"/>
    <w:rsid w:val="00105F41"/>
    <w:rsid w:val="00113F69"/>
    <w:rsid w:val="00116747"/>
    <w:rsid w:val="001173AC"/>
    <w:rsid w:val="00123AFD"/>
    <w:rsid w:val="00123D01"/>
    <w:rsid w:val="00126E87"/>
    <w:rsid w:val="00130F45"/>
    <w:rsid w:val="00134E3F"/>
    <w:rsid w:val="00137478"/>
    <w:rsid w:val="00142C31"/>
    <w:rsid w:val="00145613"/>
    <w:rsid w:val="001654D5"/>
    <w:rsid w:val="001664FC"/>
    <w:rsid w:val="001716D9"/>
    <w:rsid w:val="00173168"/>
    <w:rsid w:val="00173A33"/>
    <w:rsid w:val="00176F60"/>
    <w:rsid w:val="001825AF"/>
    <w:rsid w:val="00186561"/>
    <w:rsid w:val="001879A3"/>
    <w:rsid w:val="001939C5"/>
    <w:rsid w:val="00195503"/>
    <w:rsid w:val="0019666D"/>
    <w:rsid w:val="001A33D8"/>
    <w:rsid w:val="001A533F"/>
    <w:rsid w:val="001B1550"/>
    <w:rsid w:val="001B544F"/>
    <w:rsid w:val="001B597D"/>
    <w:rsid w:val="001C15AD"/>
    <w:rsid w:val="001C1B2E"/>
    <w:rsid w:val="001C307B"/>
    <w:rsid w:val="001D72AD"/>
    <w:rsid w:val="001E0667"/>
    <w:rsid w:val="001E2DD4"/>
    <w:rsid w:val="001E2FC8"/>
    <w:rsid w:val="001E74D8"/>
    <w:rsid w:val="001F2AB4"/>
    <w:rsid w:val="001F5C02"/>
    <w:rsid w:val="001F5F19"/>
    <w:rsid w:val="00200BD4"/>
    <w:rsid w:val="00200D66"/>
    <w:rsid w:val="0020306D"/>
    <w:rsid w:val="00203208"/>
    <w:rsid w:val="00211CAF"/>
    <w:rsid w:val="0022320F"/>
    <w:rsid w:val="0022768D"/>
    <w:rsid w:val="00231A75"/>
    <w:rsid w:val="00235724"/>
    <w:rsid w:val="00236E05"/>
    <w:rsid w:val="00241F04"/>
    <w:rsid w:val="002421A9"/>
    <w:rsid w:val="00243F71"/>
    <w:rsid w:val="002525CC"/>
    <w:rsid w:val="00270CA6"/>
    <w:rsid w:val="002731E7"/>
    <w:rsid w:val="00275129"/>
    <w:rsid w:val="00291CED"/>
    <w:rsid w:val="002A0CDA"/>
    <w:rsid w:val="002A27D5"/>
    <w:rsid w:val="002B2279"/>
    <w:rsid w:val="002C180F"/>
    <w:rsid w:val="002C1929"/>
    <w:rsid w:val="002C70D3"/>
    <w:rsid w:val="002D1FBF"/>
    <w:rsid w:val="002D61BE"/>
    <w:rsid w:val="002D62B0"/>
    <w:rsid w:val="002E3CF9"/>
    <w:rsid w:val="002E7FAD"/>
    <w:rsid w:val="00300C24"/>
    <w:rsid w:val="00300DFF"/>
    <w:rsid w:val="003045E5"/>
    <w:rsid w:val="00305C1C"/>
    <w:rsid w:val="00311344"/>
    <w:rsid w:val="00311A04"/>
    <w:rsid w:val="00314863"/>
    <w:rsid w:val="00315DBC"/>
    <w:rsid w:val="00321313"/>
    <w:rsid w:val="00323F2C"/>
    <w:rsid w:val="0032530A"/>
    <w:rsid w:val="003257CE"/>
    <w:rsid w:val="00335B4D"/>
    <w:rsid w:val="00336435"/>
    <w:rsid w:val="0033765E"/>
    <w:rsid w:val="0035525E"/>
    <w:rsid w:val="00366F54"/>
    <w:rsid w:val="003671A8"/>
    <w:rsid w:val="00371476"/>
    <w:rsid w:val="00372043"/>
    <w:rsid w:val="003729C8"/>
    <w:rsid w:val="00375EE1"/>
    <w:rsid w:val="003A703A"/>
    <w:rsid w:val="003B0C28"/>
    <w:rsid w:val="003C2D48"/>
    <w:rsid w:val="003D071F"/>
    <w:rsid w:val="003D190A"/>
    <w:rsid w:val="003D2277"/>
    <w:rsid w:val="003D274D"/>
    <w:rsid w:val="003E35CE"/>
    <w:rsid w:val="003E409B"/>
    <w:rsid w:val="003E7977"/>
    <w:rsid w:val="003F2D41"/>
    <w:rsid w:val="003F3B14"/>
    <w:rsid w:val="003F4F11"/>
    <w:rsid w:val="00410C70"/>
    <w:rsid w:val="004119A2"/>
    <w:rsid w:val="00423929"/>
    <w:rsid w:val="00427E69"/>
    <w:rsid w:val="00437846"/>
    <w:rsid w:val="004549FB"/>
    <w:rsid w:val="00456443"/>
    <w:rsid w:val="00457343"/>
    <w:rsid w:val="004602FF"/>
    <w:rsid w:val="00461B73"/>
    <w:rsid w:val="00463178"/>
    <w:rsid w:val="00464FC3"/>
    <w:rsid w:val="00466B4A"/>
    <w:rsid w:val="00471C42"/>
    <w:rsid w:val="004737D9"/>
    <w:rsid w:val="00476AEE"/>
    <w:rsid w:val="00480577"/>
    <w:rsid w:val="004811CC"/>
    <w:rsid w:val="00482E4C"/>
    <w:rsid w:val="00493E1F"/>
    <w:rsid w:val="00494168"/>
    <w:rsid w:val="004969B1"/>
    <w:rsid w:val="004A14AD"/>
    <w:rsid w:val="004A45DA"/>
    <w:rsid w:val="004A5100"/>
    <w:rsid w:val="004A7A99"/>
    <w:rsid w:val="004B20E3"/>
    <w:rsid w:val="004B597C"/>
    <w:rsid w:val="004C5061"/>
    <w:rsid w:val="004D10F4"/>
    <w:rsid w:val="004D2022"/>
    <w:rsid w:val="004D5C95"/>
    <w:rsid w:val="004E5674"/>
    <w:rsid w:val="004F4C87"/>
    <w:rsid w:val="0050129F"/>
    <w:rsid w:val="00504125"/>
    <w:rsid w:val="00504EC5"/>
    <w:rsid w:val="00510569"/>
    <w:rsid w:val="00512CAC"/>
    <w:rsid w:val="0052287D"/>
    <w:rsid w:val="00522881"/>
    <w:rsid w:val="005334FC"/>
    <w:rsid w:val="00543C22"/>
    <w:rsid w:val="00546275"/>
    <w:rsid w:val="005474A2"/>
    <w:rsid w:val="00550E0B"/>
    <w:rsid w:val="00552521"/>
    <w:rsid w:val="00552E86"/>
    <w:rsid w:val="00560EEC"/>
    <w:rsid w:val="00566730"/>
    <w:rsid w:val="00576E66"/>
    <w:rsid w:val="005823B9"/>
    <w:rsid w:val="00584147"/>
    <w:rsid w:val="00586DF7"/>
    <w:rsid w:val="00595DCF"/>
    <w:rsid w:val="00597C20"/>
    <w:rsid w:val="00597C71"/>
    <w:rsid w:val="005A0FD9"/>
    <w:rsid w:val="005A1496"/>
    <w:rsid w:val="005A1CED"/>
    <w:rsid w:val="005A2ED1"/>
    <w:rsid w:val="005A3D9A"/>
    <w:rsid w:val="005A435C"/>
    <w:rsid w:val="005B5353"/>
    <w:rsid w:val="005B7FDB"/>
    <w:rsid w:val="005C28C3"/>
    <w:rsid w:val="005D31AA"/>
    <w:rsid w:val="005D36A7"/>
    <w:rsid w:val="005D5991"/>
    <w:rsid w:val="005D6846"/>
    <w:rsid w:val="005D6D53"/>
    <w:rsid w:val="005E0805"/>
    <w:rsid w:val="00600DF3"/>
    <w:rsid w:val="006060C6"/>
    <w:rsid w:val="00611E97"/>
    <w:rsid w:val="00613BAB"/>
    <w:rsid w:val="006216BF"/>
    <w:rsid w:val="00631425"/>
    <w:rsid w:val="006330BA"/>
    <w:rsid w:val="00646666"/>
    <w:rsid w:val="006467F6"/>
    <w:rsid w:val="00647394"/>
    <w:rsid w:val="00647520"/>
    <w:rsid w:val="00650B28"/>
    <w:rsid w:val="00652868"/>
    <w:rsid w:val="00657953"/>
    <w:rsid w:val="00661F51"/>
    <w:rsid w:val="006620F2"/>
    <w:rsid w:val="006647BC"/>
    <w:rsid w:val="006664D2"/>
    <w:rsid w:val="00674571"/>
    <w:rsid w:val="006750EC"/>
    <w:rsid w:val="00682102"/>
    <w:rsid w:val="0068520E"/>
    <w:rsid w:val="006901A7"/>
    <w:rsid w:val="00693102"/>
    <w:rsid w:val="0069498C"/>
    <w:rsid w:val="006A0851"/>
    <w:rsid w:val="006A7E61"/>
    <w:rsid w:val="006B1335"/>
    <w:rsid w:val="006B1688"/>
    <w:rsid w:val="006B46BE"/>
    <w:rsid w:val="006C19CD"/>
    <w:rsid w:val="006C2993"/>
    <w:rsid w:val="006D0A8A"/>
    <w:rsid w:val="006D4C2E"/>
    <w:rsid w:val="006E2759"/>
    <w:rsid w:val="006E714E"/>
    <w:rsid w:val="006E7BD7"/>
    <w:rsid w:val="006F1899"/>
    <w:rsid w:val="006F2A55"/>
    <w:rsid w:val="006F68B6"/>
    <w:rsid w:val="006F72E3"/>
    <w:rsid w:val="007035F6"/>
    <w:rsid w:val="0070745D"/>
    <w:rsid w:val="00713BEB"/>
    <w:rsid w:val="0071575B"/>
    <w:rsid w:val="00717588"/>
    <w:rsid w:val="00721A95"/>
    <w:rsid w:val="00722D8C"/>
    <w:rsid w:val="00724204"/>
    <w:rsid w:val="00756509"/>
    <w:rsid w:val="00757E60"/>
    <w:rsid w:val="007656E7"/>
    <w:rsid w:val="00767163"/>
    <w:rsid w:val="00770B23"/>
    <w:rsid w:val="00773EF2"/>
    <w:rsid w:val="007767D8"/>
    <w:rsid w:val="00780C58"/>
    <w:rsid w:val="00781250"/>
    <w:rsid w:val="00783EA5"/>
    <w:rsid w:val="007924B9"/>
    <w:rsid w:val="007A0D78"/>
    <w:rsid w:val="007A3949"/>
    <w:rsid w:val="007A63ED"/>
    <w:rsid w:val="007A7F8F"/>
    <w:rsid w:val="007B10B7"/>
    <w:rsid w:val="007B1C42"/>
    <w:rsid w:val="007B66E3"/>
    <w:rsid w:val="007C1E23"/>
    <w:rsid w:val="007C3D0E"/>
    <w:rsid w:val="007C58E9"/>
    <w:rsid w:val="007C6F1E"/>
    <w:rsid w:val="007D1EC6"/>
    <w:rsid w:val="007D65D2"/>
    <w:rsid w:val="007E578C"/>
    <w:rsid w:val="007F17AE"/>
    <w:rsid w:val="007F2B0A"/>
    <w:rsid w:val="00801697"/>
    <w:rsid w:val="0080270A"/>
    <w:rsid w:val="008059DC"/>
    <w:rsid w:val="00805D3F"/>
    <w:rsid w:val="00807FC4"/>
    <w:rsid w:val="00812F6F"/>
    <w:rsid w:val="008157B8"/>
    <w:rsid w:val="00825F36"/>
    <w:rsid w:val="00826215"/>
    <w:rsid w:val="008319A8"/>
    <w:rsid w:val="00832B6E"/>
    <w:rsid w:val="00832DE1"/>
    <w:rsid w:val="008343C1"/>
    <w:rsid w:val="0083662C"/>
    <w:rsid w:val="0085149E"/>
    <w:rsid w:val="00852637"/>
    <w:rsid w:val="00854BA4"/>
    <w:rsid w:val="00857243"/>
    <w:rsid w:val="00860130"/>
    <w:rsid w:val="00861E94"/>
    <w:rsid w:val="00865CF0"/>
    <w:rsid w:val="0086723F"/>
    <w:rsid w:val="00873237"/>
    <w:rsid w:val="008767EB"/>
    <w:rsid w:val="0087785A"/>
    <w:rsid w:val="0088021D"/>
    <w:rsid w:val="0088081D"/>
    <w:rsid w:val="00881828"/>
    <w:rsid w:val="0088474A"/>
    <w:rsid w:val="00891449"/>
    <w:rsid w:val="008A2EB2"/>
    <w:rsid w:val="008B2FE3"/>
    <w:rsid w:val="008C7611"/>
    <w:rsid w:val="008D26EE"/>
    <w:rsid w:val="008D3C0B"/>
    <w:rsid w:val="008E0550"/>
    <w:rsid w:val="008E1941"/>
    <w:rsid w:val="008E581A"/>
    <w:rsid w:val="008E6B2F"/>
    <w:rsid w:val="008F338D"/>
    <w:rsid w:val="008F388D"/>
    <w:rsid w:val="0090497C"/>
    <w:rsid w:val="00905F33"/>
    <w:rsid w:val="00907C0C"/>
    <w:rsid w:val="009109EF"/>
    <w:rsid w:val="0093081F"/>
    <w:rsid w:val="009417C7"/>
    <w:rsid w:val="00943BFF"/>
    <w:rsid w:val="009569A8"/>
    <w:rsid w:val="00956A13"/>
    <w:rsid w:val="00956E63"/>
    <w:rsid w:val="00961280"/>
    <w:rsid w:val="00970020"/>
    <w:rsid w:val="00970458"/>
    <w:rsid w:val="00972A29"/>
    <w:rsid w:val="00974A4C"/>
    <w:rsid w:val="009810E1"/>
    <w:rsid w:val="00982B21"/>
    <w:rsid w:val="00984453"/>
    <w:rsid w:val="009849F1"/>
    <w:rsid w:val="00987B85"/>
    <w:rsid w:val="009A23BC"/>
    <w:rsid w:val="009A4083"/>
    <w:rsid w:val="009A41B4"/>
    <w:rsid w:val="009B00D6"/>
    <w:rsid w:val="009B3E97"/>
    <w:rsid w:val="009B4324"/>
    <w:rsid w:val="009B70CD"/>
    <w:rsid w:val="009C165B"/>
    <w:rsid w:val="009C28CC"/>
    <w:rsid w:val="009D0680"/>
    <w:rsid w:val="009D0CC2"/>
    <w:rsid w:val="009D103E"/>
    <w:rsid w:val="009E7E4F"/>
    <w:rsid w:val="00A032FB"/>
    <w:rsid w:val="00A112EC"/>
    <w:rsid w:val="00A11A86"/>
    <w:rsid w:val="00A14534"/>
    <w:rsid w:val="00A20DA6"/>
    <w:rsid w:val="00A27313"/>
    <w:rsid w:val="00A2760A"/>
    <w:rsid w:val="00A34C74"/>
    <w:rsid w:val="00A37A4E"/>
    <w:rsid w:val="00A47A04"/>
    <w:rsid w:val="00A50D58"/>
    <w:rsid w:val="00A65F29"/>
    <w:rsid w:val="00A67EDD"/>
    <w:rsid w:val="00A7103E"/>
    <w:rsid w:val="00A7610F"/>
    <w:rsid w:val="00A81432"/>
    <w:rsid w:val="00A82387"/>
    <w:rsid w:val="00A84D18"/>
    <w:rsid w:val="00A87267"/>
    <w:rsid w:val="00A940FB"/>
    <w:rsid w:val="00A97AFF"/>
    <w:rsid w:val="00AA1B8C"/>
    <w:rsid w:val="00AA6981"/>
    <w:rsid w:val="00AA7B2D"/>
    <w:rsid w:val="00AA7FE2"/>
    <w:rsid w:val="00AB0688"/>
    <w:rsid w:val="00AC2793"/>
    <w:rsid w:val="00AC2CE3"/>
    <w:rsid w:val="00AC3B75"/>
    <w:rsid w:val="00AC544C"/>
    <w:rsid w:val="00AD11DC"/>
    <w:rsid w:val="00AD2D42"/>
    <w:rsid w:val="00AE0827"/>
    <w:rsid w:val="00AF044E"/>
    <w:rsid w:val="00AF3747"/>
    <w:rsid w:val="00AF3D93"/>
    <w:rsid w:val="00B072CC"/>
    <w:rsid w:val="00B15F71"/>
    <w:rsid w:val="00B169EB"/>
    <w:rsid w:val="00B2026A"/>
    <w:rsid w:val="00B21854"/>
    <w:rsid w:val="00B22823"/>
    <w:rsid w:val="00B25B76"/>
    <w:rsid w:val="00B25CD4"/>
    <w:rsid w:val="00B43BDD"/>
    <w:rsid w:val="00B45D38"/>
    <w:rsid w:val="00B50229"/>
    <w:rsid w:val="00B53DC0"/>
    <w:rsid w:val="00B663BA"/>
    <w:rsid w:val="00B67356"/>
    <w:rsid w:val="00B747B0"/>
    <w:rsid w:val="00B7557A"/>
    <w:rsid w:val="00B75E6A"/>
    <w:rsid w:val="00B84B54"/>
    <w:rsid w:val="00B859D8"/>
    <w:rsid w:val="00B86533"/>
    <w:rsid w:val="00B87E3C"/>
    <w:rsid w:val="00B87FD2"/>
    <w:rsid w:val="00B94350"/>
    <w:rsid w:val="00B946F7"/>
    <w:rsid w:val="00B968DE"/>
    <w:rsid w:val="00BA186C"/>
    <w:rsid w:val="00BA1AF5"/>
    <w:rsid w:val="00BA4788"/>
    <w:rsid w:val="00BA5960"/>
    <w:rsid w:val="00BA63AA"/>
    <w:rsid w:val="00BB026B"/>
    <w:rsid w:val="00BB03FA"/>
    <w:rsid w:val="00BB093B"/>
    <w:rsid w:val="00BB495B"/>
    <w:rsid w:val="00BB673D"/>
    <w:rsid w:val="00BC1DD9"/>
    <w:rsid w:val="00BC50BC"/>
    <w:rsid w:val="00BD2983"/>
    <w:rsid w:val="00BD37C6"/>
    <w:rsid w:val="00BE0844"/>
    <w:rsid w:val="00BE3109"/>
    <w:rsid w:val="00BE6725"/>
    <w:rsid w:val="00BE6C6C"/>
    <w:rsid w:val="00BE719B"/>
    <w:rsid w:val="00C01CBC"/>
    <w:rsid w:val="00C0217A"/>
    <w:rsid w:val="00C042E1"/>
    <w:rsid w:val="00C04724"/>
    <w:rsid w:val="00C06CEE"/>
    <w:rsid w:val="00C106B2"/>
    <w:rsid w:val="00C243B0"/>
    <w:rsid w:val="00C27E4E"/>
    <w:rsid w:val="00C34A31"/>
    <w:rsid w:val="00C35387"/>
    <w:rsid w:val="00C36CCD"/>
    <w:rsid w:val="00C37F74"/>
    <w:rsid w:val="00C421F6"/>
    <w:rsid w:val="00C42B9F"/>
    <w:rsid w:val="00C4411D"/>
    <w:rsid w:val="00C45CA6"/>
    <w:rsid w:val="00C4616C"/>
    <w:rsid w:val="00C46CB2"/>
    <w:rsid w:val="00C5145C"/>
    <w:rsid w:val="00C56A26"/>
    <w:rsid w:val="00C56CE9"/>
    <w:rsid w:val="00C64DE7"/>
    <w:rsid w:val="00C67EF5"/>
    <w:rsid w:val="00C72743"/>
    <w:rsid w:val="00C729E7"/>
    <w:rsid w:val="00C82B7D"/>
    <w:rsid w:val="00C86345"/>
    <w:rsid w:val="00C8686C"/>
    <w:rsid w:val="00C9090C"/>
    <w:rsid w:val="00C910D2"/>
    <w:rsid w:val="00C9529A"/>
    <w:rsid w:val="00C9785B"/>
    <w:rsid w:val="00CA56AF"/>
    <w:rsid w:val="00CA6516"/>
    <w:rsid w:val="00CA691F"/>
    <w:rsid w:val="00CA6A76"/>
    <w:rsid w:val="00CB11BE"/>
    <w:rsid w:val="00CC2406"/>
    <w:rsid w:val="00CC2662"/>
    <w:rsid w:val="00CC5A70"/>
    <w:rsid w:val="00CC696E"/>
    <w:rsid w:val="00CC7610"/>
    <w:rsid w:val="00CD271B"/>
    <w:rsid w:val="00CD2AF5"/>
    <w:rsid w:val="00CD40C8"/>
    <w:rsid w:val="00CE0E92"/>
    <w:rsid w:val="00CE30D4"/>
    <w:rsid w:val="00CE6359"/>
    <w:rsid w:val="00CF41B1"/>
    <w:rsid w:val="00CF5229"/>
    <w:rsid w:val="00CF585D"/>
    <w:rsid w:val="00CF7A6A"/>
    <w:rsid w:val="00D02E6F"/>
    <w:rsid w:val="00D05C96"/>
    <w:rsid w:val="00D13650"/>
    <w:rsid w:val="00D150CD"/>
    <w:rsid w:val="00D24086"/>
    <w:rsid w:val="00D24437"/>
    <w:rsid w:val="00D25F5C"/>
    <w:rsid w:val="00D35D58"/>
    <w:rsid w:val="00D40992"/>
    <w:rsid w:val="00D456D3"/>
    <w:rsid w:val="00D5046D"/>
    <w:rsid w:val="00D51CC1"/>
    <w:rsid w:val="00D543FA"/>
    <w:rsid w:val="00D54834"/>
    <w:rsid w:val="00D54B9C"/>
    <w:rsid w:val="00D65BDB"/>
    <w:rsid w:val="00D65FC7"/>
    <w:rsid w:val="00D832BC"/>
    <w:rsid w:val="00D83585"/>
    <w:rsid w:val="00D86AA8"/>
    <w:rsid w:val="00D873C1"/>
    <w:rsid w:val="00D90262"/>
    <w:rsid w:val="00D902E8"/>
    <w:rsid w:val="00D97C17"/>
    <w:rsid w:val="00DA1060"/>
    <w:rsid w:val="00DA2E06"/>
    <w:rsid w:val="00DA3EA5"/>
    <w:rsid w:val="00DB092E"/>
    <w:rsid w:val="00DB251C"/>
    <w:rsid w:val="00DB6010"/>
    <w:rsid w:val="00DC29D0"/>
    <w:rsid w:val="00DC3495"/>
    <w:rsid w:val="00DD39EE"/>
    <w:rsid w:val="00DD3C22"/>
    <w:rsid w:val="00DE0F61"/>
    <w:rsid w:val="00DE3130"/>
    <w:rsid w:val="00DE43F2"/>
    <w:rsid w:val="00DE6C62"/>
    <w:rsid w:val="00DF1509"/>
    <w:rsid w:val="00DF16E5"/>
    <w:rsid w:val="00DF5F09"/>
    <w:rsid w:val="00DF5FA9"/>
    <w:rsid w:val="00DF7A7A"/>
    <w:rsid w:val="00E0054A"/>
    <w:rsid w:val="00E022BE"/>
    <w:rsid w:val="00E02C12"/>
    <w:rsid w:val="00E03BC4"/>
    <w:rsid w:val="00E103A9"/>
    <w:rsid w:val="00E209D8"/>
    <w:rsid w:val="00E2256D"/>
    <w:rsid w:val="00E25EF3"/>
    <w:rsid w:val="00E2703B"/>
    <w:rsid w:val="00E309FE"/>
    <w:rsid w:val="00E336DB"/>
    <w:rsid w:val="00E41757"/>
    <w:rsid w:val="00E43616"/>
    <w:rsid w:val="00E52C90"/>
    <w:rsid w:val="00E5661C"/>
    <w:rsid w:val="00E627D3"/>
    <w:rsid w:val="00E63A77"/>
    <w:rsid w:val="00E63ED6"/>
    <w:rsid w:val="00E66C7C"/>
    <w:rsid w:val="00E935BF"/>
    <w:rsid w:val="00E951A2"/>
    <w:rsid w:val="00E953FE"/>
    <w:rsid w:val="00E971C5"/>
    <w:rsid w:val="00EA6BC2"/>
    <w:rsid w:val="00EB1FB7"/>
    <w:rsid w:val="00ED0786"/>
    <w:rsid w:val="00ED4062"/>
    <w:rsid w:val="00EE09A7"/>
    <w:rsid w:val="00EE5B4D"/>
    <w:rsid w:val="00EE60F3"/>
    <w:rsid w:val="00EF4084"/>
    <w:rsid w:val="00F0662D"/>
    <w:rsid w:val="00F072C0"/>
    <w:rsid w:val="00F25378"/>
    <w:rsid w:val="00F3028E"/>
    <w:rsid w:val="00F306DD"/>
    <w:rsid w:val="00F33DD6"/>
    <w:rsid w:val="00F33DED"/>
    <w:rsid w:val="00F36671"/>
    <w:rsid w:val="00F37586"/>
    <w:rsid w:val="00F41DCE"/>
    <w:rsid w:val="00F44026"/>
    <w:rsid w:val="00F44971"/>
    <w:rsid w:val="00F51B77"/>
    <w:rsid w:val="00F529DE"/>
    <w:rsid w:val="00F5558C"/>
    <w:rsid w:val="00F55EBC"/>
    <w:rsid w:val="00F57AFC"/>
    <w:rsid w:val="00F67D00"/>
    <w:rsid w:val="00F7384A"/>
    <w:rsid w:val="00F76B69"/>
    <w:rsid w:val="00F91984"/>
    <w:rsid w:val="00F92E98"/>
    <w:rsid w:val="00F97558"/>
    <w:rsid w:val="00FA090B"/>
    <w:rsid w:val="00FB1633"/>
    <w:rsid w:val="00FB6AFB"/>
    <w:rsid w:val="00FC41C2"/>
    <w:rsid w:val="00FC6B50"/>
    <w:rsid w:val="00FC7026"/>
    <w:rsid w:val="00FD3AAD"/>
    <w:rsid w:val="00FD46EE"/>
    <w:rsid w:val="00FE41F4"/>
    <w:rsid w:val="00FE45CC"/>
    <w:rsid w:val="00FE618E"/>
    <w:rsid w:val="00FE62A6"/>
    <w:rsid w:val="0147778C"/>
    <w:rsid w:val="02CE3940"/>
    <w:rsid w:val="04D97DDC"/>
    <w:rsid w:val="050C6CC6"/>
    <w:rsid w:val="053D7FEC"/>
    <w:rsid w:val="05783B0A"/>
    <w:rsid w:val="05A57FFE"/>
    <w:rsid w:val="05EC04A4"/>
    <w:rsid w:val="06884F1C"/>
    <w:rsid w:val="06E415DA"/>
    <w:rsid w:val="06F86E33"/>
    <w:rsid w:val="08316AB3"/>
    <w:rsid w:val="08C10CE0"/>
    <w:rsid w:val="08D132F7"/>
    <w:rsid w:val="08E85770"/>
    <w:rsid w:val="0A2166A1"/>
    <w:rsid w:val="0A327541"/>
    <w:rsid w:val="0B584C32"/>
    <w:rsid w:val="0B5E26D9"/>
    <w:rsid w:val="0B69368D"/>
    <w:rsid w:val="0B882E7B"/>
    <w:rsid w:val="0CAA6FB0"/>
    <w:rsid w:val="0CE23636"/>
    <w:rsid w:val="0E250E55"/>
    <w:rsid w:val="0E9F5DF3"/>
    <w:rsid w:val="0EE91E83"/>
    <w:rsid w:val="0EE94903"/>
    <w:rsid w:val="0F724C99"/>
    <w:rsid w:val="0FB12275"/>
    <w:rsid w:val="0FD12F7E"/>
    <w:rsid w:val="100507A9"/>
    <w:rsid w:val="10606175"/>
    <w:rsid w:val="114D01A0"/>
    <w:rsid w:val="122356AC"/>
    <w:rsid w:val="12590A9F"/>
    <w:rsid w:val="12767ED2"/>
    <w:rsid w:val="13006247"/>
    <w:rsid w:val="13177246"/>
    <w:rsid w:val="13DB2F8D"/>
    <w:rsid w:val="13EC63BC"/>
    <w:rsid w:val="13F11368"/>
    <w:rsid w:val="14445DAD"/>
    <w:rsid w:val="145F444C"/>
    <w:rsid w:val="15655FDB"/>
    <w:rsid w:val="15CC7E09"/>
    <w:rsid w:val="16016EC7"/>
    <w:rsid w:val="160E0624"/>
    <w:rsid w:val="16E42F30"/>
    <w:rsid w:val="17773DA4"/>
    <w:rsid w:val="17D31922"/>
    <w:rsid w:val="186A1BEC"/>
    <w:rsid w:val="187060AF"/>
    <w:rsid w:val="18ED07C2"/>
    <w:rsid w:val="1A5D1977"/>
    <w:rsid w:val="1A710F7F"/>
    <w:rsid w:val="1AAE5D2F"/>
    <w:rsid w:val="1C404676"/>
    <w:rsid w:val="1C902753"/>
    <w:rsid w:val="1D3544E5"/>
    <w:rsid w:val="1D3C7931"/>
    <w:rsid w:val="1D5A3F4C"/>
    <w:rsid w:val="1D7067DA"/>
    <w:rsid w:val="1D8D2573"/>
    <w:rsid w:val="1DA376A1"/>
    <w:rsid w:val="1DBA49EB"/>
    <w:rsid w:val="1E5135A1"/>
    <w:rsid w:val="1EE47F71"/>
    <w:rsid w:val="1FA616CA"/>
    <w:rsid w:val="1FB621F4"/>
    <w:rsid w:val="1FF061ED"/>
    <w:rsid w:val="2066593C"/>
    <w:rsid w:val="20F52909"/>
    <w:rsid w:val="21C244AB"/>
    <w:rsid w:val="2244538D"/>
    <w:rsid w:val="227047D9"/>
    <w:rsid w:val="227A7AD0"/>
    <w:rsid w:val="22AE341C"/>
    <w:rsid w:val="23024978"/>
    <w:rsid w:val="231352C9"/>
    <w:rsid w:val="23403BE4"/>
    <w:rsid w:val="2393537E"/>
    <w:rsid w:val="23BB6949"/>
    <w:rsid w:val="23EE02BB"/>
    <w:rsid w:val="24256ECD"/>
    <w:rsid w:val="24623F72"/>
    <w:rsid w:val="251F57E3"/>
    <w:rsid w:val="257B0F03"/>
    <w:rsid w:val="25E81495"/>
    <w:rsid w:val="275B644D"/>
    <w:rsid w:val="279369D8"/>
    <w:rsid w:val="27BA3F65"/>
    <w:rsid w:val="28015C6A"/>
    <w:rsid w:val="289447B6"/>
    <w:rsid w:val="28DC5CDF"/>
    <w:rsid w:val="292F0982"/>
    <w:rsid w:val="292F5DAD"/>
    <w:rsid w:val="29EC23D0"/>
    <w:rsid w:val="2A293624"/>
    <w:rsid w:val="2A2E29E8"/>
    <w:rsid w:val="2A691C72"/>
    <w:rsid w:val="2AF94DA4"/>
    <w:rsid w:val="2BAE3DE1"/>
    <w:rsid w:val="2BE55033"/>
    <w:rsid w:val="2C3D62FD"/>
    <w:rsid w:val="2C4310C1"/>
    <w:rsid w:val="2CCD69A4"/>
    <w:rsid w:val="2CE7265A"/>
    <w:rsid w:val="2D0A4384"/>
    <w:rsid w:val="2D2D7412"/>
    <w:rsid w:val="2D60110A"/>
    <w:rsid w:val="2D866360"/>
    <w:rsid w:val="2D9A1924"/>
    <w:rsid w:val="2DEF06E0"/>
    <w:rsid w:val="2E59496A"/>
    <w:rsid w:val="2EE403A4"/>
    <w:rsid w:val="2F3C5BD8"/>
    <w:rsid w:val="2F630D1E"/>
    <w:rsid w:val="2F8C200A"/>
    <w:rsid w:val="2FE05FEA"/>
    <w:rsid w:val="308C5332"/>
    <w:rsid w:val="30C94408"/>
    <w:rsid w:val="30F8359F"/>
    <w:rsid w:val="31F47267"/>
    <w:rsid w:val="3220624D"/>
    <w:rsid w:val="323D738C"/>
    <w:rsid w:val="324C4D79"/>
    <w:rsid w:val="32D07EF0"/>
    <w:rsid w:val="33D757D4"/>
    <w:rsid w:val="35E42132"/>
    <w:rsid w:val="37A1773E"/>
    <w:rsid w:val="3849669A"/>
    <w:rsid w:val="38AF6970"/>
    <w:rsid w:val="38BF0EB7"/>
    <w:rsid w:val="39001745"/>
    <w:rsid w:val="39167469"/>
    <w:rsid w:val="39227BBC"/>
    <w:rsid w:val="3AE158FD"/>
    <w:rsid w:val="3B5B0513"/>
    <w:rsid w:val="3BC136BC"/>
    <w:rsid w:val="3C2738E5"/>
    <w:rsid w:val="3C3C71E7"/>
    <w:rsid w:val="3C991F43"/>
    <w:rsid w:val="3C9F3D96"/>
    <w:rsid w:val="3D3067F1"/>
    <w:rsid w:val="3D45190F"/>
    <w:rsid w:val="3E23240C"/>
    <w:rsid w:val="3E3412EE"/>
    <w:rsid w:val="3E4B54BF"/>
    <w:rsid w:val="3E5663C6"/>
    <w:rsid w:val="3E6309CA"/>
    <w:rsid w:val="3E6D18D9"/>
    <w:rsid w:val="3EC534C3"/>
    <w:rsid w:val="3F1A1E43"/>
    <w:rsid w:val="3F5B1A36"/>
    <w:rsid w:val="3FF83425"/>
    <w:rsid w:val="403926A8"/>
    <w:rsid w:val="41886A2A"/>
    <w:rsid w:val="42C8119D"/>
    <w:rsid w:val="43822388"/>
    <w:rsid w:val="43AF32DF"/>
    <w:rsid w:val="443E1644"/>
    <w:rsid w:val="44446C38"/>
    <w:rsid w:val="448259B3"/>
    <w:rsid w:val="45DE130F"/>
    <w:rsid w:val="46E774C2"/>
    <w:rsid w:val="47864264"/>
    <w:rsid w:val="47F92430"/>
    <w:rsid w:val="4856518C"/>
    <w:rsid w:val="48A97ABE"/>
    <w:rsid w:val="48B45554"/>
    <w:rsid w:val="495A6762"/>
    <w:rsid w:val="4A054C0E"/>
    <w:rsid w:val="4A072F23"/>
    <w:rsid w:val="4A4C1A86"/>
    <w:rsid w:val="4B241572"/>
    <w:rsid w:val="4BD9235C"/>
    <w:rsid w:val="4C033F52"/>
    <w:rsid w:val="4C3363A1"/>
    <w:rsid w:val="4C5B411D"/>
    <w:rsid w:val="4C653E79"/>
    <w:rsid w:val="4DFE42FC"/>
    <w:rsid w:val="4E703038"/>
    <w:rsid w:val="4E897428"/>
    <w:rsid w:val="4EB4216F"/>
    <w:rsid w:val="4EBD41B7"/>
    <w:rsid w:val="4ECA19FE"/>
    <w:rsid w:val="4F033995"/>
    <w:rsid w:val="4F50499C"/>
    <w:rsid w:val="50243514"/>
    <w:rsid w:val="503404A9"/>
    <w:rsid w:val="50835F83"/>
    <w:rsid w:val="51662D86"/>
    <w:rsid w:val="52B17586"/>
    <w:rsid w:val="53732D30"/>
    <w:rsid w:val="53AF7E46"/>
    <w:rsid w:val="53BD07B5"/>
    <w:rsid w:val="549332C4"/>
    <w:rsid w:val="54BE6593"/>
    <w:rsid w:val="554C3B9F"/>
    <w:rsid w:val="555869E7"/>
    <w:rsid w:val="55674E7D"/>
    <w:rsid w:val="55780C75"/>
    <w:rsid w:val="55F9666F"/>
    <w:rsid w:val="56A417B8"/>
    <w:rsid w:val="57B872BF"/>
    <w:rsid w:val="5876002D"/>
    <w:rsid w:val="591F781C"/>
    <w:rsid w:val="5B4D1FA1"/>
    <w:rsid w:val="5B985C49"/>
    <w:rsid w:val="5BA04646"/>
    <w:rsid w:val="5BC9689C"/>
    <w:rsid w:val="5CA22C3E"/>
    <w:rsid w:val="5D9D6927"/>
    <w:rsid w:val="5E231B5D"/>
    <w:rsid w:val="5E586D46"/>
    <w:rsid w:val="5E6F724E"/>
    <w:rsid w:val="5ED2409E"/>
    <w:rsid w:val="5FE73B79"/>
    <w:rsid w:val="616E6E4B"/>
    <w:rsid w:val="61882403"/>
    <w:rsid w:val="61954B1F"/>
    <w:rsid w:val="61CE4024"/>
    <w:rsid w:val="624502F4"/>
    <w:rsid w:val="624C34E5"/>
    <w:rsid w:val="629343B7"/>
    <w:rsid w:val="629848C7"/>
    <w:rsid w:val="62EC3671"/>
    <w:rsid w:val="6319386D"/>
    <w:rsid w:val="632A0D90"/>
    <w:rsid w:val="634B1F60"/>
    <w:rsid w:val="63AB23D8"/>
    <w:rsid w:val="64607667"/>
    <w:rsid w:val="65D063A8"/>
    <w:rsid w:val="65E16585"/>
    <w:rsid w:val="65F71905"/>
    <w:rsid w:val="66753BD0"/>
    <w:rsid w:val="67056D2A"/>
    <w:rsid w:val="67900263"/>
    <w:rsid w:val="68466B73"/>
    <w:rsid w:val="687E438E"/>
    <w:rsid w:val="689C7B2C"/>
    <w:rsid w:val="689E063A"/>
    <w:rsid w:val="68AD09A1"/>
    <w:rsid w:val="69EE74C3"/>
    <w:rsid w:val="6A8B394D"/>
    <w:rsid w:val="6BEC6D2D"/>
    <w:rsid w:val="6BF82881"/>
    <w:rsid w:val="6CB432E3"/>
    <w:rsid w:val="6CC13DA5"/>
    <w:rsid w:val="6E4A10B7"/>
    <w:rsid w:val="6EF15BDC"/>
    <w:rsid w:val="6F0F5516"/>
    <w:rsid w:val="6FD10C92"/>
    <w:rsid w:val="71AD37BF"/>
    <w:rsid w:val="725B7351"/>
    <w:rsid w:val="72E10742"/>
    <w:rsid w:val="73BE0928"/>
    <w:rsid w:val="744877CF"/>
    <w:rsid w:val="749E3893"/>
    <w:rsid w:val="74C57072"/>
    <w:rsid w:val="74E76FE8"/>
    <w:rsid w:val="75C01795"/>
    <w:rsid w:val="762878B8"/>
    <w:rsid w:val="773F1043"/>
    <w:rsid w:val="77495D38"/>
    <w:rsid w:val="781400F4"/>
    <w:rsid w:val="784501A7"/>
    <w:rsid w:val="78D72FFA"/>
    <w:rsid w:val="78F33792"/>
    <w:rsid w:val="798474E4"/>
    <w:rsid w:val="79870D9A"/>
    <w:rsid w:val="7B0115D1"/>
    <w:rsid w:val="7B624D04"/>
    <w:rsid w:val="7B770003"/>
    <w:rsid w:val="7BB8348D"/>
    <w:rsid w:val="7BC736D0"/>
    <w:rsid w:val="7BFA3AA5"/>
    <w:rsid w:val="7D0E7E4C"/>
    <w:rsid w:val="7D1A2FE3"/>
    <w:rsid w:val="7D7A4E9D"/>
    <w:rsid w:val="7E2117BD"/>
    <w:rsid w:val="7E2D5010"/>
    <w:rsid w:val="7E386B07"/>
    <w:rsid w:val="7E562AFC"/>
    <w:rsid w:val="7E957AB5"/>
    <w:rsid w:val="7ED30FF3"/>
    <w:rsid w:val="7ED607F9"/>
    <w:rsid w:val="7F800765"/>
    <w:rsid w:val="7FFC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61"/>
    <w:qFormat/>
    <w:uiPriority w:val="0"/>
    <w:pPr>
      <w:keepLines/>
      <w:adjustRightInd w:val="0"/>
      <w:spacing w:before="120" w:after="120"/>
      <w:jc w:val="left"/>
      <w:textAlignment w:val="baseline"/>
      <w:outlineLvl w:val="0"/>
    </w:pPr>
    <w:rPr>
      <w:rFonts w:ascii="黑体" w:hAnsi="Verdana" w:eastAsia="黑体"/>
      <w:kern w:val="0"/>
      <w:szCs w:val="20"/>
    </w:rPr>
  </w:style>
  <w:style w:type="paragraph" w:styleId="5">
    <w:name w:val="heading 2"/>
    <w:basedOn w:val="2"/>
    <w:next w:val="6"/>
    <w:link w:val="62"/>
    <w:qFormat/>
    <w:uiPriority w:val="0"/>
    <w:pPr>
      <w:tabs>
        <w:tab w:val="left" w:pos="360"/>
      </w:tabs>
      <w:outlineLvl w:val="1"/>
    </w:pPr>
    <w:rPr>
      <w:rFonts w:ascii="宋体" w:hAnsi="Times New Roman" w:eastAsia="宋体"/>
    </w:rPr>
  </w:style>
  <w:style w:type="paragraph" w:styleId="7">
    <w:name w:val="heading 3"/>
    <w:basedOn w:val="2"/>
    <w:next w:val="6"/>
    <w:qFormat/>
    <w:uiPriority w:val="0"/>
    <w:pPr>
      <w:tabs>
        <w:tab w:val="left" w:pos="360"/>
      </w:tabs>
      <w:outlineLvl w:val="2"/>
    </w:pPr>
    <w:rPr>
      <w:rFonts w:ascii="宋体" w:hAnsi="Tahoma" w:eastAsia="宋体"/>
    </w:rPr>
  </w:style>
  <w:style w:type="paragraph" w:styleId="8">
    <w:name w:val="heading 4"/>
    <w:basedOn w:val="2"/>
    <w:next w:val="6"/>
    <w:qFormat/>
    <w:uiPriority w:val="0"/>
    <w:pPr>
      <w:keepNext/>
      <w:tabs>
        <w:tab w:val="left" w:pos="360"/>
      </w:tabs>
      <w:outlineLvl w:val="3"/>
    </w:pPr>
    <w:rPr>
      <w:rFonts w:ascii="宋体" w:hAnsi="Tahoma" w:eastAsia="宋体"/>
    </w:rPr>
  </w:style>
  <w:style w:type="paragraph" w:styleId="9">
    <w:name w:val="heading 5"/>
    <w:basedOn w:val="7"/>
    <w:next w:val="6"/>
    <w:qFormat/>
    <w:uiPriority w:val="0"/>
    <w:pPr>
      <w:outlineLvl w:val="4"/>
    </w:pPr>
  </w:style>
  <w:style w:type="paragraph" w:styleId="10">
    <w:name w:val="heading 6"/>
    <w:basedOn w:val="1"/>
    <w:next w:val="1"/>
    <w:link w:val="99"/>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100"/>
    <w:qFormat/>
    <w:uiPriority w:val="0"/>
    <w:pPr>
      <w:keepNext/>
      <w:keepLines/>
      <w:spacing w:before="240" w:after="64" w:line="320" w:lineRule="auto"/>
      <w:outlineLvl w:val="6"/>
    </w:pPr>
    <w:rPr>
      <w:b/>
      <w:bCs/>
      <w:sz w:val="24"/>
    </w:rPr>
  </w:style>
  <w:style w:type="paragraph" w:styleId="12">
    <w:name w:val="heading 8"/>
    <w:basedOn w:val="1"/>
    <w:next w:val="1"/>
    <w:link w:val="10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102"/>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6">
    <w:name w:val="Normal Indent"/>
    <w:basedOn w:val="1"/>
    <w:qFormat/>
    <w:uiPriority w:val="0"/>
    <w:pPr>
      <w:adjustRightInd w:val="0"/>
      <w:spacing w:line="360" w:lineRule="atLeast"/>
      <w:ind w:firstLine="420"/>
      <w:jc w:val="left"/>
      <w:textAlignment w:val="baseline"/>
    </w:pPr>
    <w:rPr>
      <w:kern w:val="0"/>
      <w:sz w:val="24"/>
      <w:szCs w:val="20"/>
    </w:rPr>
  </w:style>
  <w:style w:type="paragraph" w:styleId="14">
    <w:name w:val="toc 7"/>
    <w:basedOn w:val="15"/>
    <w:next w:val="1"/>
    <w:qFormat/>
    <w:uiPriority w:val="0"/>
  </w:style>
  <w:style w:type="paragraph" w:styleId="15">
    <w:name w:val="toc 6"/>
    <w:basedOn w:val="16"/>
    <w:next w:val="1"/>
    <w:qFormat/>
    <w:uiPriority w:val="0"/>
  </w:style>
  <w:style w:type="paragraph" w:styleId="16">
    <w:name w:val="toc 5"/>
    <w:basedOn w:val="17"/>
    <w:next w:val="1"/>
    <w:qFormat/>
    <w:uiPriority w:val="0"/>
  </w:style>
  <w:style w:type="paragraph" w:styleId="17">
    <w:name w:val="toc 4"/>
    <w:basedOn w:val="18"/>
    <w:next w:val="1"/>
    <w:qFormat/>
    <w:uiPriority w:val="0"/>
  </w:style>
  <w:style w:type="paragraph" w:styleId="18">
    <w:name w:val="toc 3"/>
    <w:basedOn w:val="19"/>
    <w:next w:val="1"/>
    <w:qFormat/>
    <w:uiPriority w:val="0"/>
    <w:pPr>
      <w:widowControl/>
      <w:ind w:left="0" w:leftChars="0"/>
    </w:pPr>
    <w:rPr>
      <w:rFonts w:ascii="宋体"/>
      <w:kern w:val="0"/>
      <w:szCs w:val="20"/>
    </w:rPr>
  </w:style>
  <w:style w:type="paragraph" w:styleId="19">
    <w:name w:val="toc 2"/>
    <w:basedOn w:val="1"/>
    <w:next w:val="1"/>
    <w:semiHidden/>
    <w:qFormat/>
    <w:uiPriority w:val="0"/>
    <w:pPr>
      <w:ind w:left="420" w:leftChars="200"/>
    </w:pPr>
  </w:style>
  <w:style w:type="paragraph" w:styleId="20">
    <w:name w:val="Document Map"/>
    <w:basedOn w:val="1"/>
    <w:link w:val="127"/>
    <w:qFormat/>
    <w:uiPriority w:val="0"/>
    <w:pPr>
      <w:shd w:val="clear" w:color="auto" w:fill="000080"/>
    </w:pPr>
  </w:style>
  <w:style w:type="paragraph" w:styleId="21">
    <w:name w:val="annotation text"/>
    <w:basedOn w:val="1"/>
    <w:link w:val="104"/>
    <w:qFormat/>
    <w:uiPriority w:val="0"/>
    <w:pPr>
      <w:jc w:val="left"/>
    </w:pPr>
  </w:style>
  <w:style w:type="paragraph" w:styleId="22">
    <w:name w:val="Body Text Indent"/>
    <w:basedOn w:val="1"/>
    <w:qFormat/>
    <w:uiPriority w:val="0"/>
    <w:pPr>
      <w:adjustRightInd w:val="0"/>
      <w:spacing w:line="300" w:lineRule="exact"/>
      <w:ind w:firstLine="420" w:firstLineChars="200"/>
      <w:textAlignment w:val="baseline"/>
    </w:pPr>
    <w:rPr>
      <w:kern w:val="0"/>
      <w:szCs w:val="20"/>
    </w:rPr>
  </w:style>
  <w:style w:type="paragraph" w:styleId="23">
    <w:name w:val="HTML Address"/>
    <w:basedOn w:val="1"/>
    <w:link w:val="115"/>
    <w:qFormat/>
    <w:uiPriority w:val="0"/>
    <w:rPr>
      <w:i/>
      <w:iCs/>
    </w:rPr>
  </w:style>
  <w:style w:type="paragraph" w:styleId="24">
    <w:name w:val="Plain Text"/>
    <w:basedOn w:val="1"/>
    <w:qFormat/>
    <w:uiPriority w:val="0"/>
    <w:rPr>
      <w:rFonts w:ascii="宋体" w:hAnsi="Courier New" w:cs="Courier New"/>
      <w:szCs w:val="21"/>
    </w:rPr>
  </w:style>
  <w:style w:type="paragraph" w:styleId="25">
    <w:name w:val="toc 8"/>
    <w:basedOn w:val="14"/>
    <w:next w:val="1"/>
    <w:qFormat/>
    <w:uiPriority w:val="0"/>
  </w:style>
  <w:style w:type="paragraph" w:styleId="26">
    <w:name w:val="Date"/>
    <w:basedOn w:val="1"/>
    <w:next w:val="1"/>
    <w:link w:val="58"/>
    <w:qFormat/>
    <w:uiPriority w:val="0"/>
    <w:pPr>
      <w:ind w:left="100" w:leftChars="2500"/>
    </w:pPr>
  </w:style>
  <w:style w:type="paragraph" w:styleId="27">
    <w:name w:val="Body Text Indent 2"/>
    <w:basedOn w:val="1"/>
    <w:qFormat/>
    <w:uiPriority w:val="0"/>
    <w:pPr>
      <w:adjustRightInd w:val="0"/>
      <w:spacing w:line="312" w:lineRule="atLeast"/>
      <w:ind w:firstLine="315" w:firstLineChars="150"/>
      <w:textAlignment w:val="baseline"/>
    </w:pPr>
    <w:rPr>
      <w:kern w:val="0"/>
      <w:szCs w:val="20"/>
    </w:rPr>
  </w:style>
  <w:style w:type="paragraph" w:styleId="28">
    <w:name w:val="Balloon Text"/>
    <w:basedOn w:val="1"/>
    <w:link w:val="106"/>
    <w:qFormat/>
    <w:uiPriority w:val="0"/>
    <w:rPr>
      <w:sz w:val="18"/>
      <w:szCs w:val="18"/>
    </w:rPr>
  </w:style>
  <w:style w:type="paragraph" w:styleId="29">
    <w:name w:val="footer"/>
    <w:basedOn w:val="1"/>
    <w:link w:val="103"/>
    <w:qFormat/>
    <w:uiPriority w:val="99"/>
    <w:pPr>
      <w:tabs>
        <w:tab w:val="center" w:pos="4153"/>
        <w:tab w:val="right" w:pos="8306"/>
      </w:tabs>
      <w:snapToGrid w:val="0"/>
      <w:ind w:right="210" w:rightChars="100"/>
      <w:jc w:val="righ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style>
  <w:style w:type="paragraph" w:styleId="32">
    <w:name w:val="footnote text"/>
    <w:basedOn w:val="1"/>
    <w:link w:val="124"/>
    <w:qFormat/>
    <w:uiPriority w:val="0"/>
    <w:pPr>
      <w:snapToGrid w:val="0"/>
      <w:jc w:val="left"/>
    </w:pPr>
    <w:rPr>
      <w:sz w:val="18"/>
      <w:szCs w:val="18"/>
    </w:rPr>
  </w:style>
  <w:style w:type="paragraph" w:styleId="33">
    <w:name w:val="Body Text Indent 3"/>
    <w:basedOn w:val="1"/>
    <w:qFormat/>
    <w:uiPriority w:val="0"/>
    <w:pPr>
      <w:ind w:firstLine="420" w:firstLineChars="200"/>
    </w:pPr>
    <w:rPr>
      <w:color w:val="0000FF"/>
    </w:rPr>
  </w:style>
  <w:style w:type="paragraph" w:styleId="34">
    <w:name w:val="toc 9"/>
    <w:basedOn w:val="25"/>
    <w:next w:val="1"/>
    <w:qFormat/>
    <w:uiPriority w:val="0"/>
  </w:style>
  <w:style w:type="paragraph" w:styleId="35">
    <w:name w:val="Body Text 2"/>
    <w:basedOn w:val="1"/>
    <w:qFormat/>
    <w:uiPriority w:val="0"/>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paragraph" w:styleId="36">
    <w:name w:val="HTML Preformatted"/>
    <w:basedOn w:val="1"/>
    <w:link w:val="110"/>
    <w:qFormat/>
    <w:uiPriority w:val="0"/>
    <w:rPr>
      <w:rFonts w:ascii="Courier New" w:hAnsi="Courier New" w:cs="Courier New"/>
      <w:sz w:val="20"/>
      <w:szCs w:val="20"/>
    </w:rPr>
  </w:style>
  <w:style w:type="paragraph" w:styleId="37">
    <w:name w:val="Title"/>
    <w:basedOn w:val="1"/>
    <w:link w:val="133"/>
    <w:qFormat/>
    <w:uiPriority w:val="0"/>
    <w:pPr>
      <w:spacing w:before="240" w:after="60"/>
      <w:jc w:val="center"/>
      <w:outlineLvl w:val="0"/>
    </w:pPr>
    <w:rPr>
      <w:rFonts w:ascii="Arial" w:hAnsi="Arial" w:cs="Arial"/>
      <w:b/>
      <w:bCs/>
      <w:sz w:val="32"/>
      <w:szCs w:val="32"/>
    </w:rPr>
  </w:style>
  <w:style w:type="paragraph" w:styleId="38">
    <w:name w:val="annotation subject"/>
    <w:basedOn w:val="21"/>
    <w:next w:val="21"/>
    <w:link w:val="105"/>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Classic 1"/>
    <w:basedOn w:val="3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TML Definition"/>
    <w:qFormat/>
    <w:uiPriority w:val="0"/>
    <w:rPr>
      <w:i/>
      <w:iCs/>
    </w:rPr>
  </w:style>
  <w:style w:type="character" w:styleId="46">
    <w:name w:val="HTML Typewriter"/>
    <w:qFormat/>
    <w:uiPriority w:val="0"/>
    <w:rPr>
      <w:rFonts w:ascii="Courier New" w:hAnsi="Courier New"/>
      <w:sz w:val="20"/>
      <w:szCs w:val="20"/>
    </w:rPr>
  </w:style>
  <w:style w:type="character" w:styleId="47">
    <w:name w:val="HTML Acronym"/>
    <w:basedOn w:val="42"/>
    <w:qFormat/>
    <w:uiPriority w:val="0"/>
  </w:style>
  <w:style w:type="character" w:styleId="48">
    <w:name w:val="HTML Variable"/>
    <w:qFormat/>
    <w:uiPriority w:val="0"/>
    <w:rPr>
      <w:i/>
      <w:iCs/>
    </w:rPr>
  </w:style>
  <w:style w:type="character" w:styleId="49">
    <w:name w:val="Hyperlink"/>
    <w:qFormat/>
    <w:uiPriority w:val="0"/>
    <w:rPr>
      <w:color w:val="0000FF"/>
      <w:u w:val="single"/>
    </w:rPr>
  </w:style>
  <w:style w:type="character" w:styleId="50">
    <w:name w:val="HTML Code"/>
    <w:qFormat/>
    <w:uiPriority w:val="0"/>
    <w:rPr>
      <w:rFonts w:ascii="Courier New" w:hAnsi="Courier New"/>
      <w:sz w:val="20"/>
      <w:szCs w:val="20"/>
    </w:rPr>
  </w:style>
  <w:style w:type="character" w:styleId="51">
    <w:name w:val="annotation reference"/>
    <w:qFormat/>
    <w:uiPriority w:val="0"/>
    <w:rPr>
      <w:sz w:val="21"/>
      <w:szCs w:val="21"/>
    </w:rPr>
  </w:style>
  <w:style w:type="character" w:styleId="52">
    <w:name w:val="HTML Cite"/>
    <w:qFormat/>
    <w:uiPriority w:val="0"/>
    <w:rPr>
      <w:i/>
      <w:iCs/>
    </w:rPr>
  </w:style>
  <w:style w:type="character" w:styleId="53">
    <w:name w:val="footnote reference"/>
    <w:qFormat/>
    <w:uiPriority w:val="0"/>
    <w:rPr>
      <w:vertAlign w:val="superscript"/>
    </w:rPr>
  </w:style>
  <w:style w:type="character" w:styleId="54">
    <w:name w:val="HTML Keyboard"/>
    <w:qFormat/>
    <w:uiPriority w:val="0"/>
    <w:rPr>
      <w:rFonts w:ascii="Courier New" w:hAnsi="Courier New"/>
      <w:sz w:val="20"/>
      <w:szCs w:val="20"/>
    </w:rPr>
  </w:style>
  <w:style w:type="character" w:styleId="55">
    <w:name w:val="HTML Sample"/>
    <w:qFormat/>
    <w:uiPriority w:val="0"/>
    <w:rPr>
      <w:rFonts w:ascii="Courier New" w:hAnsi="Courier New"/>
    </w:rPr>
  </w:style>
  <w:style w:type="character" w:customStyle="1" w:styleId="56">
    <w:name w:val="前言、引言标题 Char"/>
    <w:link w:val="57"/>
    <w:qFormat/>
    <w:uiPriority w:val="0"/>
    <w:rPr>
      <w:rFonts w:ascii="黑体" w:eastAsia="黑体"/>
      <w:sz w:val="32"/>
      <w:shd w:val="clear" w:color="FFFFFF" w:fill="FFFFFF"/>
    </w:rPr>
  </w:style>
  <w:style w:type="paragraph" w:customStyle="1" w:styleId="57">
    <w:name w:val="前言、引言标题"/>
    <w:next w:val="1"/>
    <w:link w:val="56"/>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58">
    <w:name w:val="日期 字符"/>
    <w:link w:val="26"/>
    <w:qFormat/>
    <w:uiPriority w:val="0"/>
    <w:rPr>
      <w:rFonts w:eastAsia="宋体"/>
      <w:kern w:val="2"/>
      <w:sz w:val="21"/>
      <w:szCs w:val="24"/>
      <w:lang w:val="en-US" w:eastAsia="zh-CN" w:bidi="ar-SA"/>
    </w:rPr>
  </w:style>
  <w:style w:type="character" w:customStyle="1" w:styleId="59">
    <w:name w:val="个人答复风格"/>
    <w:qFormat/>
    <w:uiPriority w:val="0"/>
    <w:rPr>
      <w:rFonts w:ascii="Arial" w:hAnsi="Arial" w:eastAsia="宋体" w:cs="Arial"/>
      <w:color w:val="auto"/>
      <w:sz w:val="20"/>
    </w:rPr>
  </w:style>
  <w:style w:type="character" w:customStyle="1" w:styleId="60">
    <w:name w:val="发布"/>
    <w:qFormat/>
    <w:uiPriority w:val="0"/>
    <w:rPr>
      <w:rFonts w:ascii="黑体" w:eastAsia="黑体"/>
      <w:spacing w:val="22"/>
      <w:w w:val="100"/>
      <w:position w:val="3"/>
      <w:sz w:val="28"/>
    </w:rPr>
  </w:style>
  <w:style w:type="character" w:customStyle="1" w:styleId="61">
    <w:name w:val="标题 1 字符"/>
    <w:link w:val="2"/>
    <w:qFormat/>
    <w:uiPriority w:val="0"/>
    <w:rPr>
      <w:rFonts w:ascii="黑体" w:hAnsi="Verdana" w:eastAsia="黑体"/>
      <w:sz w:val="21"/>
    </w:rPr>
  </w:style>
  <w:style w:type="character" w:customStyle="1" w:styleId="62">
    <w:name w:val="标题 2 字符"/>
    <w:link w:val="5"/>
    <w:qFormat/>
    <w:uiPriority w:val="0"/>
    <w:rPr>
      <w:rFonts w:ascii="宋体" w:hAnsi="Verdana" w:eastAsia="宋体"/>
      <w:sz w:val="21"/>
      <w:lang w:val="en-US" w:eastAsia="zh-CN" w:bidi="ar-SA"/>
    </w:rPr>
  </w:style>
  <w:style w:type="character" w:customStyle="1" w:styleId="63">
    <w:name w:val="章标题 Char"/>
    <w:link w:val="64"/>
    <w:qFormat/>
    <w:uiPriority w:val="0"/>
    <w:rPr>
      <w:rFonts w:ascii="黑体" w:eastAsia="黑体"/>
      <w:sz w:val="21"/>
    </w:rPr>
  </w:style>
  <w:style w:type="paragraph" w:customStyle="1" w:styleId="64">
    <w:name w:val="章标题"/>
    <w:next w:val="1"/>
    <w:link w:val="63"/>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65">
    <w:name w:val="正文表标题 Char"/>
    <w:link w:val="66"/>
    <w:qFormat/>
    <w:uiPriority w:val="0"/>
    <w:rPr>
      <w:rFonts w:ascii="黑体" w:eastAsia="黑体"/>
      <w:sz w:val="21"/>
    </w:rPr>
  </w:style>
  <w:style w:type="paragraph" w:customStyle="1" w:styleId="66">
    <w:name w:val="正文表标题"/>
    <w:next w:val="67"/>
    <w:link w:val="65"/>
    <w:qFormat/>
    <w:uiPriority w:val="0"/>
    <w:pPr>
      <w:ind w:left="4935"/>
      <w:jc w:val="center"/>
    </w:pPr>
    <w:rPr>
      <w:rFonts w:ascii="黑体" w:hAnsi="Times New Roman" w:eastAsia="黑体" w:cs="Times New Roman"/>
      <w:sz w:val="21"/>
      <w:lang w:val="en-US" w:eastAsia="zh-CN" w:bidi="ar-SA"/>
    </w:rPr>
  </w:style>
  <w:style w:type="paragraph" w:customStyle="1" w:styleId="67">
    <w:name w:val="段"/>
    <w:link w:val="1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图表脚注"/>
    <w:next w:val="67"/>
    <w:qFormat/>
    <w:uiPriority w:val="0"/>
    <w:pPr>
      <w:jc w:val="both"/>
    </w:pPr>
    <w:rPr>
      <w:rFonts w:ascii="宋体" w:hAnsi="Times New Roman" w:eastAsia="宋体" w:cs="Times New Roman"/>
      <w:sz w:val="18"/>
      <w:lang w:val="en-US" w:eastAsia="zh-CN" w:bidi="ar-SA"/>
    </w:rPr>
  </w:style>
  <w:style w:type="paragraph" w:customStyle="1" w:styleId="69">
    <w:name w:val="实施日期"/>
    <w:basedOn w:val="70"/>
    <w:qFormat/>
    <w:uiPriority w:val="0"/>
    <w:pPr>
      <w:framePr w:hSpace="0" w:wrap="around" w:xAlign="right"/>
      <w:jc w:val="right"/>
    </w:pPr>
  </w:style>
  <w:style w:type="paragraph" w:customStyle="1" w:styleId="7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1">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4">
    <w:name w:val="附录一级条标题"/>
    <w:basedOn w:val="1"/>
    <w:next w:val="67"/>
    <w:qFormat/>
    <w:uiPriority w:val="0"/>
    <w:pPr>
      <w:widowControl/>
      <w:wordWrap w:val="0"/>
      <w:overflowPunct w:val="0"/>
      <w:autoSpaceDE w:val="0"/>
      <w:autoSpaceDN w:val="0"/>
      <w:textAlignment w:val="baseline"/>
      <w:outlineLvl w:val="2"/>
    </w:pPr>
    <w:rPr>
      <w:rFonts w:ascii="黑体" w:eastAsia="黑体"/>
      <w:kern w:val="21"/>
      <w:szCs w:val="20"/>
    </w:rPr>
  </w:style>
  <w:style w:type="paragraph" w:customStyle="1" w:styleId="7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7">
    <w:name w:val="附录二级条标题"/>
    <w:basedOn w:val="74"/>
    <w:next w:val="67"/>
    <w:qFormat/>
    <w:uiPriority w:val="0"/>
    <w:pPr>
      <w:outlineLvl w:val="3"/>
    </w:pPr>
  </w:style>
  <w:style w:type="paragraph" w:customStyle="1" w:styleId="7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9">
    <w:name w:val="附录表标题"/>
    <w:next w:val="67"/>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4">
    <w:name w:val="附录四级条标题"/>
    <w:basedOn w:val="85"/>
    <w:next w:val="67"/>
    <w:qFormat/>
    <w:uiPriority w:val="0"/>
    <w:pPr>
      <w:outlineLvl w:val="5"/>
    </w:pPr>
  </w:style>
  <w:style w:type="paragraph" w:customStyle="1" w:styleId="85">
    <w:name w:val="附录三级条标题"/>
    <w:basedOn w:val="77"/>
    <w:next w:val="67"/>
    <w:qFormat/>
    <w:uiPriority w:val="0"/>
    <w:pPr>
      <w:outlineLvl w:val="4"/>
    </w:pPr>
  </w:style>
  <w:style w:type="paragraph" w:customStyle="1" w:styleId="86">
    <w:name w:val="附录图标题"/>
    <w:next w:val="67"/>
    <w:qFormat/>
    <w:uiPriority w:val="0"/>
    <w:pPr>
      <w:tabs>
        <w:tab w:val="left" w:pos="360"/>
      </w:tabs>
      <w:jc w:val="center"/>
    </w:pPr>
    <w:rPr>
      <w:rFonts w:ascii="黑体" w:hAnsi="Times New Roman" w:eastAsia="黑体" w:cs="Times New Roman"/>
      <w:sz w:val="21"/>
      <w:lang w:val="en-US" w:eastAsia="zh-CN" w:bidi="ar-SA"/>
    </w:rPr>
  </w:style>
  <w:style w:type="paragraph" w:customStyle="1" w:styleId="8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8">
    <w:name w:val="二级条标题"/>
    <w:basedOn w:val="89"/>
    <w:next w:val="1"/>
    <w:qFormat/>
    <w:uiPriority w:val="0"/>
    <w:pPr>
      <w:outlineLvl w:val="3"/>
    </w:pPr>
  </w:style>
  <w:style w:type="paragraph" w:customStyle="1" w:styleId="89">
    <w:name w:val="一级条标题"/>
    <w:basedOn w:val="64"/>
    <w:next w:val="1"/>
    <w:qFormat/>
    <w:uiPriority w:val="0"/>
    <w:pPr>
      <w:spacing w:beforeLines="0" w:afterLines="0"/>
      <w:outlineLvl w:val="2"/>
    </w:pPr>
  </w:style>
  <w:style w:type="paragraph" w:customStyle="1" w:styleId="90">
    <w:name w:val="五级条标题"/>
    <w:basedOn w:val="91"/>
    <w:next w:val="1"/>
    <w:qFormat/>
    <w:uiPriority w:val="0"/>
    <w:pPr>
      <w:outlineLvl w:val="6"/>
    </w:pPr>
  </w:style>
  <w:style w:type="paragraph" w:customStyle="1" w:styleId="91">
    <w:name w:val="四级条标题"/>
    <w:basedOn w:val="92"/>
    <w:next w:val="1"/>
    <w:qFormat/>
    <w:uiPriority w:val="0"/>
    <w:pPr>
      <w:outlineLvl w:val="5"/>
    </w:pPr>
  </w:style>
  <w:style w:type="paragraph" w:customStyle="1" w:styleId="92">
    <w:name w:val="三级条标题"/>
    <w:basedOn w:val="88"/>
    <w:next w:val="1"/>
    <w:qFormat/>
    <w:uiPriority w:val="0"/>
    <w:pPr>
      <w:outlineLvl w:val="4"/>
    </w:pPr>
  </w:style>
  <w:style w:type="paragraph" w:customStyle="1" w:styleId="93">
    <w:name w:val="标准书眉一"/>
    <w:qFormat/>
    <w:uiPriority w:val="0"/>
    <w:pPr>
      <w:jc w:val="both"/>
    </w:pPr>
    <w:rPr>
      <w:rFonts w:ascii="Times New Roman" w:hAnsi="Times New Roman" w:eastAsia="宋体" w:cs="Times New Roman"/>
      <w:lang w:val="en-US" w:eastAsia="zh-CN" w:bidi="ar-SA"/>
    </w:rPr>
  </w:style>
  <w:style w:type="paragraph" w:customStyle="1" w:styleId="94">
    <w:name w:val="标准书眉_偶数页"/>
    <w:basedOn w:val="83"/>
    <w:next w:val="1"/>
    <w:qFormat/>
    <w:uiPriority w:val="0"/>
    <w:pPr>
      <w:jc w:val="left"/>
    </w:pPr>
  </w:style>
  <w:style w:type="paragraph" w:customStyle="1" w:styleId="9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8">
    <w:name w:val="标准"/>
    <w:basedOn w:val="1"/>
    <w:qFormat/>
    <w:uiPriority w:val="0"/>
    <w:pPr>
      <w:adjustRightInd w:val="0"/>
      <w:spacing w:line="312" w:lineRule="atLeast"/>
      <w:jc w:val="center"/>
      <w:textAlignment w:val="baseline"/>
    </w:pPr>
    <w:rPr>
      <w:kern w:val="0"/>
      <w:szCs w:val="20"/>
    </w:rPr>
  </w:style>
  <w:style w:type="character" w:customStyle="1" w:styleId="99">
    <w:name w:val="标题 6 字符"/>
    <w:basedOn w:val="42"/>
    <w:link w:val="10"/>
    <w:qFormat/>
    <w:uiPriority w:val="0"/>
    <w:rPr>
      <w:rFonts w:ascii="Arial" w:hAnsi="Arial" w:eastAsia="黑体"/>
      <w:b/>
      <w:bCs/>
      <w:kern w:val="2"/>
      <w:sz w:val="24"/>
      <w:szCs w:val="24"/>
    </w:rPr>
  </w:style>
  <w:style w:type="character" w:customStyle="1" w:styleId="100">
    <w:name w:val="标题 7 字符"/>
    <w:basedOn w:val="42"/>
    <w:link w:val="11"/>
    <w:qFormat/>
    <w:uiPriority w:val="0"/>
    <w:rPr>
      <w:b/>
      <w:bCs/>
      <w:kern w:val="2"/>
      <w:sz w:val="24"/>
      <w:szCs w:val="24"/>
    </w:rPr>
  </w:style>
  <w:style w:type="character" w:customStyle="1" w:styleId="101">
    <w:name w:val="标题 8 字符"/>
    <w:basedOn w:val="42"/>
    <w:link w:val="12"/>
    <w:qFormat/>
    <w:uiPriority w:val="0"/>
    <w:rPr>
      <w:rFonts w:ascii="Arial" w:hAnsi="Arial" w:eastAsia="黑体"/>
      <w:kern w:val="2"/>
      <w:sz w:val="24"/>
      <w:szCs w:val="24"/>
    </w:rPr>
  </w:style>
  <w:style w:type="character" w:customStyle="1" w:styleId="102">
    <w:name w:val="标题 9 字符"/>
    <w:basedOn w:val="42"/>
    <w:link w:val="13"/>
    <w:qFormat/>
    <w:uiPriority w:val="0"/>
    <w:rPr>
      <w:rFonts w:ascii="Arial" w:hAnsi="Arial" w:eastAsia="黑体"/>
      <w:kern w:val="2"/>
      <w:sz w:val="21"/>
      <w:szCs w:val="21"/>
    </w:rPr>
  </w:style>
  <w:style w:type="character" w:customStyle="1" w:styleId="103">
    <w:name w:val="页脚 字符"/>
    <w:link w:val="29"/>
    <w:qFormat/>
    <w:uiPriority w:val="99"/>
    <w:rPr>
      <w:kern w:val="2"/>
      <w:sz w:val="18"/>
      <w:szCs w:val="18"/>
    </w:rPr>
  </w:style>
  <w:style w:type="character" w:customStyle="1" w:styleId="104">
    <w:name w:val="批注文字 字符"/>
    <w:link w:val="21"/>
    <w:qFormat/>
    <w:uiPriority w:val="0"/>
    <w:rPr>
      <w:kern w:val="2"/>
      <w:sz w:val="21"/>
      <w:szCs w:val="24"/>
    </w:rPr>
  </w:style>
  <w:style w:type="character" w:customStyle="1" w:styleId="105">
    <w:name w:val="批注主题 字符"/>
    <w:link w:val="38"/>
    <w:qFormat/>
    <w:uiPriority w:val="0"/>
    <w:rPr>
      <w:b/>
      <w:bCs/>
      <w:kern w:val="2"/>
      <w:sz w:val="21"/>
      <w:szCs w:val="24"/>
    </w:rPr>
  </w:style>
  <w:style w:type="character" w:customStyle="1" w:styleId="106">
    <w:name w:val="批注框文本 字符"/>
    <w:link w:val="28"/>
    <w:qFormat/>
    <w:uiPriority w:val="0"/>
    <w:rPr>
      <w:kern w:val="2"/>
      <w:sz w:val="18"/>
      <w:szCs w:val="18"/>
    </w:rPr>
  </w:style>
  <w:style w:type="character" w:customStyle="1" w:styleId="107">
    <w:name w:val="二级条标题 Char"/>
    <w:basedOn w:val="108"/>
    <w:qFormat/>
    <w:uiPriority w:val="0"/>
    <w:rPr>
      <w:rFonts w:eastAsia="黑体"/>
      <w:kern w:val="2"/>
      <w:sz w:val="21"/>
      <w:szCs w:val="24"/>
      <w:lang w:val="en-US" w:eastAsia="zh-CN" w:bidi="ar-SA"/>
    </w:rPr>
  </w:style>
  <w:style w:type="character" w:customStyle="1" w:styleId="108">
    <w:name w:val="一级条标题 Char"/>
    <w:qFormat/>
    <w:uiPriority w:val="0"/>
    <w:rPr>
      <w:rFonts w:eastAsia="黑体"/>
      <w:kern w:val="2"/>
      <w:sz w:val="21"/>
      <w:szCs w:val="24"/>
      <w:lang w:val="en-US" w:eastAsia="zh-CN" w:bidi="ar-SA"/>
    </w:rPr>
  </w:style>
  <w:style w:type="character" w:customStyle="1" w:styleId="109">
    <w:name w:val="个人撰写风格"/>
    <w:qFormat/>
    <w:uiPriority w:val="0"/>
    <w:rPr>
      <w:rFonts w:ascii="Arial" w:hAnsi="Arial" w:eastAsia="宋体" w:cs="Arial"/>
      <w:color w:val="auto"/>
      <w:sz w:val="20"/>
    </w:rPr>
  </w:style>
  <w:style w:type="character" w:customStyle="1" w:styleId="110">
    <w:name w:val="HTML 预设格式 字符"/>
    <w:basedOn w:val="42"/>
    <w:link w:val="36"/>
    <w:qFormat/>
    <w:uiPriority w:val="0"/>
    <w:rPr>
      <w:rFonts w:ascii="Courier New" w:hAnsi="Courier New" w:cs="Courier New"/>
      <w:kern w:val="2"/>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2">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13">
    <w:name w:val="列项◆（三级）"/>
    <w:qFormat/>
    <w:uiPriority w:val="0"/>
    <w:pPr>
      <w:numPr>
        <w:ilvl w:val="0"/>
        <w:numId w:val="1"/>
      </w:num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14">
    <w:name w:val="注："/>
    <w:next w:val="67"/>
    <w:qFormat/>
    <w:uiPriority w:val="0"/>
    <w:pPr>
      <w:widowControl w:val="0"/>
      <w:numPr>
        <w:ilvl w:val="0"/>
        <w:numId w:val="2"/>
      </w:numPr>
      <w:autoSpaceDE w:val="0"/>
      <w:autoSpaceDN w:val="0"/>
      <w:jc w:val="both"/>
    </w:pPr>
    <w:rPr>
      <w:rFonts w:ascii="宋体" w:hAnsi="Times New Roman" w:eastAsia="宋体" w:cs="Times New Roman"/>
      <w:sz w:val="18"/>
      <w:lang w:val="en-US" w:eastAsia="zh-CN" w:bidi="ar-SA"/>
    </w:rPr>
  </w:style>
  <w:style w:type="character" w:customStyle="1" w:styleId="115">
    <w:name w:val="HTML 地址 字符"/>
    <w:basedOn w:val="42"/>
    <w:link w:val="23"/>
    <w:qFormat/>
    <w:uiPriority w:val="0"/>
    <w:rPr>
      <w:i/>
      <w:iCs/>
      <w:kern w:val="2"/>
      <w:sz w:val="21"/>
      <w:szCs w:val="24"/>
    </w:rPr>
  </w:style>
  <w:style w:type="paragraph" w:customStyle="1" w:styleId="116">
    <w:name w:val="参考文献、索引标题"/>
    <w:basedOn w:val="57"/>
    <w:next w:val="1"/>
    <w:qFormat/>
    <w:uiPriority w:val="0"/>
    <w:pPr>
      <w:spacing w:after="200"/>
    </w:pPr>
    <w:rPr>
      <w:sz w:val="21"/>
    </w:rPr>
  </w:style>
  <w:style w:type="character" w:customStyle="1" w:styleId="117">
    <w:name w:val="批注框文本 Char1"/>
    <w:basedOn w:val="42"/>
    <w:qFormat/>
    <w:uiPriority w:val="0"/>
    <w:rPr>
      <w:kern w:val="2"/>
      <w:sz w:val="18"/>
      <w:szCs w:val="18"/>
    </w:rPr>
  </w:style>
  <w:style w:type="paragraph" w:customStyle="1" w:styleId="1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9">
    <w:name w:val="列项——（一级）"/>
    <w:qFormat/>
    <w:uiPriority w:val="0"/>
    <w:pPr>
      <w:widowControl w:val="0"/>
      <w:numPr>
        <w:ilvl w:val="0"/>
        <w:numId w:val="3"/>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0">
    <w:name w:val="附录五级条标题"/>
    <w:basedOn w:val="84"/>
    <w:next w:val="67"/>
    <w:qFormat/>
    <w:uiPriority w:val="0"/>
    <w:pPr>
      <w:numPr>
        <w:ilvl w:val="6"/>
        <w:numId w:val="4"/>
      </w:numPr>
      <w:outlineLvl w:val="6"/>
    </w:pPr>
  </w:style>
  <w:style w:type="paragraph" w:customStyle="1" w:styleId="121">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122">
    <w:name w:val="批注文字 Char1"/>
    <w:basedOn w:val="42"/>
    <w:qFormat/>
    <w:uiPriority w:val="0"/>
    <w:rPr>
      <w:kern w:val="2"/>
      <w:sz w:val="21"/>
      <w:szCs w:val="24"/>
    </w:rPr>
  </w:style>
  <w:style w:type="paragraph" w:customStyle="1" w:styleId="123">
    <w:name w:val="注×："/>
    <w:qFormat/>
    <w:uiPriority w:val="0"/>
    <w:pPr>
      <w:widowControl w:val="0"/>
      <w:numPr>
        <w:ilvl w:val="0"/>
        <w:numId w:val="5"/>
      </w:numPr>
      <w:tabs>
        <w:tab w:val="left" w:pos="630"/>
      </w:tabs>
      <w:autoSpaceDE w:val="0"/>
      <w:autoSpaceDN w:val="0"/>
      <w:jc w:val="both"/>
    </w:pPr>
    <w:rPr>
      <w:rFonts w:ascii="宋体" w:hAnsi="Times New Roman" w:eastAsia="宋体" w:cs="Times New Roman"/>
      <w:sz w:val="18"/>
      <w:lang w:val="en-US" w:eastAsia="zh-CN" w:bidi="ar-SA"/>
    </w:rPr>
  </w:style>
  <w:style w:type="character" w:customStyle="1" w:styleId="124">
    <w:name w:val="脚注文本 字符"/>
    <w:basedOn w:val="42"/>
    <w:link w:val="32"/>
    <w:qFormat/>
    <w:uiPriority w:val="0"/>
    <w:rPr>
      <w:kern w:val="2"/>
      <w:sz w:val="18"/>
      <w:szCs w:val="18"/>
    </w:rPr>
  </w:style>
  <w:style w:type="paragraph" w:customStyle="1" w:styleId="12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6">
    <w:name w:val="附录章标题"/>
    <w:next w:val="67"/>
    <w:qFormat/>
    <w:uiPriority w:val="0"/>
    <w:pPr>
      <w:numPr>
        <w:ilvl w:val="1"/>
        <w:numId w:val="4"/>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127">
    <w:name w:val="文档结构图 字符"/>
    <w:basedOn w:val="42"/>
    <w:link w:val="20"/>
    <w:qFormat/>
    <w:uiPriority w:val="0"/>
    <w:rPr>
      <w:kern w:val="2"/>
      <w:sz w:val="21"/>
      <w:szCs w:val="24"/>
      <w:shd w:val="clear" w:color="auto" w:fill="000080"/>
    </w:rPr>
  </w:style>
  <w:style w:type="paragraph" w:customStyle="1" w:styleId="128">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129">
    <w:name w:val="批注主题 Char1"/>
    <w:basedOn w:val="122"/>
    <w:qFormat/>
    <w:uiPriority w:val="0"/>
    <w:rPr>
      <w:b/>
      <w:bCs/>
      <w:kern w:val="2"/>
      <w:sz w:val="21"/>
      <w:szCs w:val="24"/>
    </w:rPr>
  </w:style>
  <w:style w:type="paragraph" w:customStyle="1" w:styleId="130">
    <w:name w:val="示例"/>
    <w:next w:val="67"/>
    <w:qFormat/>
    <w:uiPriority w:val="0"/>
    <w:pPr>
      <w:numPr>
        <w:ilvl w:val="0"/>
        <w:numId w:val="6"/>
      </w:numPr>
      <w:tabs>
        <w:tab w:val="left" w:pos="816"/>
        <w:tab w:val="clear" w:pos="1140"/>
      </w:tabs>
      <w:ind w:firstLine="419" w:firstLineChars="233"/>
      <w:jc w:val="both"/>
    </w:pPr>
    <w:rPr>
      <w:rFonts w:ascii="宋体" w:hAnsi="Times New Roman" w:eastAsia="宋体" w:cs="Times New Roman"/>
      <w:sz w:val="18"/>
      <w:lang w:val="en-US" w:eastAsia="zh-CN" w:bidi="ar-SA"/>
    </w:rPr>
  </w:style>
  <w:style w:type="paragraph" w:customStyle="1" w:styleId="131">
    <w:name w:val="其他发布部门"/>
    <w:basedOn w:val="76"/>
    <w:qFormat/>
    <w:uiPriority w:val="0"/>
    <w:pPr>
      <w:framePr w:wrap="around"/>
      <w:spacing w:line="0" w:lineRule="atLeast"/>
    </w:pPr>
    <w:rPr>
      <w:rFonts w:ascii="黑体" w:eastAsia="黑体"/>
      <w:b w:val="0"/>
    </w:rPr>
  </w:style>
  <w:style w:type="paragraph" w:customStyle="1" w:styleId="132">
    <w:name w:val="条文脚注"/>
    <w:basedOn w:val="32"/>
    <w:qFormat/>
    <w:uiPriority w:val="0"/>
    <w:pPr>
      <w:ind w:left="780" w:leftChars="200" w:hanging="360" w:hangingChars="200"/>
      <w:jc w:val="both"/>
    </w:pPr>
    <w:rPr>
      <w:rFonts w:ascii="宋体"/>
    </w:rPr>
  </w:style>
  <w:style w:type="character" w:customStyle="1" w:styleId="133">
    <w:name w:val="标题 字符"/>
    <w:basedOn w:val="42"/>
    <w:link w:val="37"/>
    <w:qFormat/>
    <w:uiPriority w:val="0"/>
    <w:rPr>
      <w:rFonts w:ascii="Arial" w:hAnsi="Arial" w:cs="Arial"/>
      <w:b/>
      <w:bCs/>
      <w:kern w:val="2"/>
      <w:sz w:val="32"/>
      <w:szCs w:val="32"/>
    </w:rPr>
  </w:style>
  <w:style w:type="paragraph" w:customStyle="1" w:styleId="134">
    <w:name w:val="正文图标题"/>
    <w:next w:val="6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35">
    <w:name w:val="封面标准代替信息"/>
    <w:basedOn w:val="71"/>
    <w:qFormat/>
    <w:uiPriority w:val="0"/>
    <w:pPr>
      <w:framePr w:wrap="around" w:anchorLock="0"/>
      <w:spacing w:before="57"/>
    </w:pPr>
    <w:rPr>
      <w:rFonts w:ascii="宋体"/>
      <w:sz w:val="21"/>
    </w:rPr>
  </w:style>
  <w:style w:type="paragraph" w:customStyle="1" w:styleId="136">
    <w:name w:val="目次、标准名称标题"/>
    <w:basedOn w:val="57"/>
    <w:next w:val="67"/>
    <w:qFormat/>
    <w:uiPriority w:val="0"/>
    <w:pPr>
      <w:spacing w:line="460" w:lineRule="exact"/>
    </w:pPr>
  </w:style>
  <w:style w:type="paragraph" w:customStyle="1" w:styleId="137">
    <w:name w:val="附录标识"/>
    <w:basedOn w:val="57"/>
    <w:qFormat/>
    <w:uiPriority w:val="0"/>
    <w:pPr>
      <w:numPr>
        <w:ilvl w:val="0"/>
        <w:numId w:val="4"/>
      </w:numPr>
      <w:tabs>
        <w:tab w:val="left" w:pos="6405"/>
      </w:tabs>
      <w:spacing w:after="200"/>
    </w:pPr>
    <w:rPr>
      <w:sz w:val="21"/>
    </w:rPr>
  </w:style>
  <w:style w:type="paragraph" w:customStyle="1" w:styleId="1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39">
    <w:name w:val="列项●（二级）"/>
    <w:qFormat/>
    <w:uiPriority w:val="0"/>
    <w:pPr>
      <w:numPr>
        <w:ilvl w:val="0"/>
        <w:numId w:val="8"/>
      </w:num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styleId="140">
    <w:name w:val="List Paragraph"/>
    <w:basedOn w:val="1"/>
    <w:qFormat/>
    <w:uiPriority w:val="99"/>
    <w:pPr>
      <w:ind w:firstLine="420" w:firstLineChars="200"/>
    </w:pPr>
  </w:style>
  <w:style w:type="character" w:customStyle="1" w:styleId="141">
    <w:name w:val="段 Char"/>
    <w:link w:val="67"/>
    <w:qFormat/>
    <w:uiPriority w:val="0"/>
    <w:rPr>
      <w:rFonts w:ascii="宋体"/>
      <w:sz w:val="21"/>
    </w:rPr>
  </w:style>
  <w:style w:type="character" w:customStyle="1" w:styleId="142">
    <w:name w:val="font21"/>
    <w:basedOn w:val="42"/>
    <w:qFormat/>
    <w:uiPriority w:val="0"/>
    <w:rPr>
      <w:rFonts w:hint="default" w:ascii="Arial" w:hAnsi="Arial" w:cs="Arial"/>
      <w:color w:val="000000"/>
      <w:sz w:val="24"/>
      <w:szCs w:val="24"/>
      <w:u w:val="none"/>
    </w:rPr>
  </w:style>
  <w:style w:type="character" w:customStyle="1" w:styleId="143">
    <w:name w:val="font01"/>
    <w:basedOn w:val="4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封面"/>
    </customSectPr>
    <customSectPr>
      <sectNamePr val="前言引言"/>
    </customSectPr>
    <customSectPr>
      <sectNamePr val="正文"/>
    </customSectPr>
    <customSectPr>
      <sectNamePr val="附录"/>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54329-AFC4-4383-A476-E9D50658D7A2}">
  <ds:schemaRefs/>
</ds:datastoreItem>
</file>

<file path=docProps/app.xml><?xml version="1.0" encoding="utf-8"?>
<Properties xmlns="http://schemas.openxmlformats.org/officeDocument/2006/extended-properties" xmlns:vt="http://schemas.openxmlformats.org/officeDocument/2006/docPropsVTypes">
  <Template>Normal.dotm</Template>
  <Company>csu</Company>
  <Pages>17</Pages>
  <Words>8137</Words>
  <Characters>13824</Characters>
  <Lines>33</Lines>
  <Paragraphs>9</Paragraphs>
  <TotalTime>1</TotalTime>
  <ScaleCrop>false</ScaleCrop>
  <LinksUpToDate>false</LinksUpToDate>
  <CharactersWithSpaces>14042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2020-10-13T05:59:00Z</dcterms:created>
  <dc:creator>zjf</dc:creator>
  <cp:lastModifiedBy>HUAWEI</cp:lastModifiedBy>
  <cp:lastPrinted>2021-10-15T23:51:00Z</cp:lastPrinted>
  <dcterms:modified xsi:type="dcterms:W3CDTF">2023-09-15T03:56:46Z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2BE37034EFA048919FCDE566A7FA79D1_13</vt:lpwstr>
  </property>
</Properties>
</file>