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rPr>
          <w:rFonts w:ascii="宋体" w:hAnsi="宋体" w:cs="宋体"/>
          <w:kern w:val="0"/>
          <w:sz w:val="36"/>
          <w:szCs w:val="36"/>
        </w:rPr>
      </w:pPr>
      <w:r>
        <w:rPr>
          <w:rFonts w:hint="eastAsia" w:ascii="宋体" w:hAnsi="宋体" w:cs="宋体"/>
          <w:kern w:val="0"/>
          <w:sz w:val="36"/>
          <w:szCs w:val="36"/>
          <w:lang w:val="en-US" w:eastAsia="zh-CN"/>
        </w:rPr>
        <w:t>稀土金属及其氧化物中非稀土杂质</w:t>
      </w:r>
      <w:r>
        <w:rPr>
          <w:rFonts w:hint="eastAsia" w:ascii="宋体" w:hAnsi="宋体" w:cs="宋体"/>
          <w:kern w:val="0"/>
          <w:sz w:val="36"/>
          <w:szCs w:val="36"/>
        </w:rPr>
        <w:t>化学分析方法</w:t>
      </w: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第</w:t>
      </w:r>
      <w:r>
        <w:rPr>
          <w:rFonts w:hint="eastAsia" w:ascii="宋体" w:hAnsi="宋体" w:cs="宋体"/>
          <w:kern w:val="0"/>
          <w:sz w:val="36"/>
          <w:szCs w:val="36"/>
          <w:lang w:val="en-US" w:eastAsia="zh-CN"/>
        </w:rPr>
        <w:t>21</w:t>
      </w:r>
      <w:r>
        <w:rPr>
          <w:rFonts w:hint="eastAsia" w:ascii="宋体" w:hAnsi="宋体" w:cs="宋体"/>
          <w:kern w:val="0"/>
          <w:sz w:val="36"/>
          <w:szCs w:val="36"/>
        </w:rPr>
        <w:t>部分：</w:t>
      </w:r>
      <w:r>
        <w:rPr>
          <w:rFonts w:hint="eastAsia" w:ascii="宋体" w:hAnsi="宋体" w:cs="宋体"/>
          <w:kern w:val="0"/>
          <w:sz w:val="36"/>
          <w:szCs w:val="36"/>
          <w:lang w:val="en-US" w:eastAsia="zh-CN"/>
        </w:rPr>
        <w:t>稀土氧化物中硫酸根</w:t>
      </w:r>
      <w:r>
        <w:rPr>
          <w:rFonts w:hint="eastAsia" w:ascii="宋体" w:hAnsi="宋体" w:cs="宋体"/>
          <w:kern w:val="0"/>
          <w:sz w:val="36"/>
          <w:szCs w:val="36"/>
        </w:rPr>
        <w:t>含量的测定</w:t>
      </w:r>
    </w:p>
    <w:p>
      <w:pPr>
        <w:widowControl/>
        <w:spacing w:line="300" w:lineRule="auto"/>
        <w:jc w:val="center"/>
        <w:rPr>
          <w:rFonts w:hint="default" w:ascii="宋体" w:hAnsi="宋体" w:eastAsia="宋体" w:cs="宋体"/>
          <w:kern w:val="0"/>
          <w:sz w:val="36"/>
          <w:szCs w:val="36"/>
          <w:lang w:val="en-US" w:eastAsia="zh-CN"/>
        </w:rPr>
      </w:pPr>
      <w:r>
        <w:rPr>
          <w:rFonts w:hint="eastAsia" w:ascii="宋体" w:hAnsi="宋体" w:cs="宋体"/>
          <w:kern w:val="0"/>
          <w:sz w:val="36"/>
          <w:szCs w:val="36"/>
          <w:lang w:val="en-US" w:eastAsia="zh-CN"/>
        </w:rPr>
        <w:t>方法1 比浊法</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0"/>
          <w:szCs w:val="30"/>
        </w:rPr>
      </w:pPr>
    </w:p>
    <w:p>
      <w:pPr>
        <w:widowControl/>
        <w:spacing w:line="300" w:lineRule="auto"/>
        <w:jc w:val="center"/>
        <w:rPr>
          <w:rFonts w:ascii="宋体" w:hAnsi="宋体" w:cs="宋体"/>
          <w:kern w:val="0"/>
          <w:sz w:val="36"/>
          <w:szCs w:val="36"/>
        </w:rPr>
      </w:pPr>
      <w:r>
        <w:rPr>
          <w:rFonts w:hint="eastAsia" w:ascii="宋体" w:hAnsi="宋体" w:cs="宋体"/>
          <w:kern w:val="0"/>
          <w:sz w:val="36"/>
          <w:szCs w:val="36"/>
        </w:rPr>
        <w:t>编制说明(</w:t>
      </w:r>
      <w:r>
        <w:rPr>
          <w:rFonts w:hint="eastAsia" w:ascii="宋体" w:hAnsi="宋体" w:cs="宋体"/>
          <w:kern w:val="0"/>
          <w:sz w:val="36"/>
          <w:szCs w:val="36"/>
          <w:lang w:val="en-US" w:eastAsia="zh-CN"/>
        </w:rPr>
        <w:t>预审</w:t>
      </w:r>
      <w:r>
        <w:rPr>
          <w:rFonts w:hint="eastAsia" w:ascii="宋体" w:hAnsi="宋体" w:cs="宋体"/>
          <w:kern w:val="0"/>
          <w:sz w:val="36"/>
          <w:szCs w:val="36"/>
        </w:rPr>
        <w:t>稿）</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福建省长汀金龙稀土有限公司检测中心</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jc w:val="center"/>
        <w:rPr>
          <w:rFonts w:ascii="宋体" w:hAnsi="宋体" w:cs="宋体"/>
          <w:sz w:val="30"/>
          <w:szCs w:val="30"/>
        </w:rPr>
      </w:pPr>
      <w:r>
        <w:rPr>
          <w:rFonts w:hint="eastAsia" w:ascii="宋体" w:hAnsi="宋体" w:cs="宋体"/>
          <w:sz w:val="30"/>
          <w:szCs w:val="30"/>
        </w:rPr>
        <w:t>202</w:t>
      </w:r>
      <w:r>
        <w:rPr>
          <w:rFonts w:ascii="宋体" w:hAnsi="宋体" w:cs="宋体"/>
          <w:sz w:val="30"/>
          <w:szCs w:val="30"/>
        </w:rPr>
        <w:t>3</w:t>
      </w:r>
      <w:r>
        <w:rPr>
          <w:rFonts w:hint="eastAsia" w:ascii="宋体" w:hAnsi="宋体" w:cs="宋体"/>
          <w:sz w:val="30"/>
          <w:szCs w:val="30"/>
        </w:rPr>
        <w:t>年</w:t>
      </w:r>
      <w:r>
        <w:rPr>
          <w:rFonts w:hint="eastAsia" w:ascii="宋体" w:hAnsi="宋体" w:cs="宋体"/>
          <w:sz w:val="30"/>
          <w:szCs w:val="30"/>
          <w:lang w:val="en-US" w:eastAsia="zh-CN"/>
        </w:rPr>
        <w:t>9</w:t>
      </w:r>
      <w:r>
        <w:rPr>
          <w:rFonts w:hint="eastAsia" w:ascii="宋体" w:hAnsi="宋体" w:cs="宋体"/>
          <w:sz w:val="30"/>
          <w:szCs w:val="30"/>
        </w:rPr>
        <w:t>月</w:t>
      </w:r>
      <w:r>
        <w:rPr>
          <w:rFonts w:hint="eastAsia" w:ascii="宋体" w:hAnsi="宋体" w:cs="宋体"/>
          <w:sz w:val="30"/>
          <w:szCs w:val="30"/>
          <w:lang w:val="en-US" w:eastAsia="zh-CN"/>
        </w:rPr>
        <w:t>1</w:t>
      </w:r>
      <w:r>
        <w:rPr>
          <w:rFonts w:ascii="宋体" w:hAnsi="宋体" w:cs="宋体"/>
          <w:sz w:val="30"/>
          <w:szCs w:val="30"/>
        </w:rPr>
        <w:t>5</w:t>
      </w:r>
      <w:r>
        <w:rPr>
          <w:rFonts w:hint="eastAsia" w:ascii="宋体" w:hAnsi="宋体" w:cs="宋体"/>
          <w:sz w:val="30"/>
          <w:szCs w:val="30"/>
        </w:rPr>
        <w:t>日</w:t>
      </w:r>
    </w:p>
    <w:p>
      <w:pPr>
        <w:pStyle w:val="117"/>
        <w:spacing w:before="0" w:line="300" w:lineRule="auto"/>
        <w:ind w:firstLine="0" w:firstLineChars="0"/>
        <w:rPr>
          <w:rFonts w:ascii="宋体" w:hAnsi="宋体" w:cs="宋体"/>
          <w:b/>
          <w:w w:val="90"/>
          <w:sz w:val="30"/>
          <w:szCs w:val="30"/>
        </w:rPr>
      </w:pPr>
      <w:r>
        <w:rPr>
          <w:rFonts w:hint="eastAsia" w:ascii="宋体" w:hAnsi="宋体" w:cs="宋体"/>
          <w:b/>
          <w:w w:val="90"/>
          <w:sz w:val="30"/>
          <w:szCs w:val="30"/>
        </w:rPr>
        <w:t>《</w:t>
      </w:r>
      <w:r>
        <w:rPr>
          <w:rFonts w:hint="eastAsia" w:ascii="宋体" w:hAnsi="宋体" w:cs="宋体"/>
          <w:b/>
          <w:w w:val="90"/>
          <w:sz w:val="30"/>
          <w:szCs w:val="30"/>
          <w:lang w:val="en-US" w:eastAsia="zh-CN"/>
        </w:rPr>
        <w:t>稀土金属及其氧化物中非稀土杂质</w:t>
      </w:r>
      <w:r>
        <w:rPr>
          <w:rFonts w:hint="eastAsia" w:ascii="宋体" w:hAnsi="宋体" w:cs="宋体"/>
          <w:b/>
          <w:w w:val="90"/>
          <w:sz w:val="30"/>
          <w:szCs w:val="30"/>
        </w:rPr>
        <w:t>化学方法 第</w:t>
      </w:r>
      <w:r>
        <w:rPr>
          <w:rFonts w:hint="eastAsia" w:ascii="宋体" w:hAnsi="宋体" w:cs="宋体"/>
          <w:b/>
          <w:w w:val="90"/>
          <w:sz w:val="30"/>
          <w:szCs w:val="30"/>
          <w:lang w:val="en-US" w:eastAsia="zh-CN"/>
        </w:rPr>
        <w:t>21</w:t>
      </w:r>
      <w:r>
        <w:rPr>
          <w:rFonts w:hint="eastAsia" w:ascii="宋体" w:hAnsi="宋体" w:cs="宋体"/>
          <w:b/>
          <w:w w:val="90"/>
          <w:sz w:val="30"/>
          <w:szCs w:val="30"/>
        </w:rPr>
        <w:t>部分：</w:t>
      </w:r>
      <w:r>
        <w:rPr>
          <w:rFonts w:hint="eastAsia" w:ascii="宋体" w:hAnsi="宋体" w:cs="宋体"/>
          <w:b/>
          <w:w w:val="90"/>
          <w:sz w:val="30"/>
          <w:szCs w:val="30"/>
          <w:lang w:val="en-US" w:eastAsia="zh-CN"/>
        </w:rPr>
        <w:t>稀土氧化物中硫酸根</w:t>
      </w:r>
      <w:r>
        <w:rPr>
          <w:rFonts w:hint="eastAsia" w:ascii="宋体" w:hAnsi="宋体" w:cs="宋体"/>
          <w:b/>
          <w:w w:val="90"/>
          <w:sz w:val="30"/>
          <w:szCs w:val="30"/>
        </w:rPr>
        <w:t>含量的测定</w:t>
      </w:r>
      <w:r>
        <w:rPr>
          <w:rFonts w:hint="eastAsia" w:ascii="宋体" w:hAnsi="宋体" w:cs="宋体"/>
          <w:b/>
          <w:w w:val="90"/>
          <w:sz w:val="30"/>
          <w:szCs w:val="30"/>
          <w:lang w:val="en-US" w:eastAsia="zh-CN"/>
        </w:rPr>
        <w:t xml:space="preserve"> </w:t>
      </w:r>
      <w:r>
        <w:rPr>
          <w:rFonts w:hint="eastAsia" w:ascii="宋体" w:hAnsi="宋体" w:cs="宋体"/>
          <w:b/>
          <w:w w:val="90"/>
          <w:sz w:val="30"/>
          <w:szCs w:val="30"/>
        </w:rPr>
        <w:t xml:space="preserve">》 </w:t>
      </w:r>
    </w:p>
    <w:p>
      <w:pPr>
        <w:spacing w:before="312" w:beforeLines="100"/>
        <w:jc w:val="center"/>
        <w:rPr>
          <w:rFonts w:ascii="宋体" w:hAnsi="宋体" w:cs="宋体"/>
          <w:b/>
          <w:w w:val="90"/>
          <w:sz w:val="30"/>
          <w:szCs w:val="30"/>
        </w:rPr>
      </w:pPr>
      <w:r>
        <w:rPr>
          <w:rFonts w:hint="eastAsia" w:ascii="宋体" w:hAnsi="宋体" w:cs="宋体"/>
          <w:b/>
          <w:w w:val="90"/>
          <w:sz w:val="30"/>
          <w:szCs w:val="30"/>
        </w:rPr>
        <w:t>编制说明（</w:t>
      </w:r>
      <w:r>
        <w:rPr>
          <w:rFonts w:hint="eastAsia" w:ascii="宋体" w:hAnsi="宋体" w:cs="宋体"/>
          <w:b/>
          <w:w w:val="90"/>
          <w:sz w:val="30"/>
          <w:szCs w:val="30"/>
          <w:lang w:val="en-US" w:eastAsia="zh-CN"/>
        </w:rPr>
        <w:t>预审</w:t>
      </w:r>
      <w:r>
        <w:rPr>
          <w:rFonts w:hint="eastAsia" w:ascii="宋体" w:hAnsi="宋体" w:cs="宋体"/>
          <w:b/>
          <w:w w:val="90"/>
          <w:sz w:val="30"/>
          <w:szCs w:val="30"/>
        </w:rPr>
        <w:t>稿）</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szCs w:val="21"/>
        </w:rPr>
      </w:pPr>
      <w:r>
        <w:rPr>
          <w:rFonts w:hint="eastAsia" w:cs="宋体" w:asciiTheme="minorEastAsia" w:hAnsiTheme="minorEastAsia" w:eastAsiaTheme="minorEastAsia"/>
          <w:szCs w:val="21"/>
        </w:rPr>
        <w:t>1.任务来源</w:t>
      </w:r>
    </w:p>
    <w:p>
      <w:pPr>
        <w:ind w:firstLine="420"/>
        <w:rPr>
          <w:rFonts w:hint="default" w:ascii="宋体" w:hAnsi="宋体" w:eastAsia="宋体" w:cs="宋体"/>
          <w:szCs w:val="20"/>
          <w:lang w:val="en-US" w:eastAsia="zh-CN"/>
        </w:rPr>
      </w:pPr>
      <w:r>
        <w:rPr>
          <w:rFonts w:hint="eastAsia" w:ascii="宋体" w:hAnsi="宋体" w:cs="宋体"/>
          <w:szCs w:val="20"/>
        </w:rPr>
        <w:t>202</w:t>
      </w:r>
      <w:r>
        <w:rPr>
          <w:rFonts w:ascii="宋体" w:hAnsi="宋体" w:cs="宋体"/>
          <w:szCs w:val="20"/>
        </w:rPr>
        <w:t>2</w:t>
      </w:r>
      <w:r>
        <w:rPr>
          <w:rFonts w:hint="eastAsia" w:ascii="宋体" w:hAnsi="宋体" w:cs="宋体"/>
          <w:szCs w:val="20"/>
        </w:rPr>
        <w:t>年9月27日，全国稀土标准化技术委员会召开了202</w:t>
      </w:r>
      <w:r>
        <w:rPr>
          <w:rFonts w:ascii="宋体" w:hAnsi="宋体" w:cs="宋体"/>
          <w:szCs w:val="20"/>
        </w:rPr>
        <w:t>2</w:t>
      </w:r>
      <w:r>
        <w:rPr>
          <w:rFonts w:hint="eastAsia" w:ascii="宋体" w:hAnsi="宋体" w:cs="宋体"/>
          <w:szCs w:val="20"/>
        </w:rPr>
        <w:t>年第七次稀土标准制修订工作会，落实工信部下达的国家标准《</w:t>
      </w:r>
      <w:r>
        <w:rPr>
          <w:rFonts w:hint="eastAsia" w:ascii="宋体" w:hAnsi="宋体" w:cs="宋体"/>
          <w:szCs w:val="20"/>
          <w:lang w:val="en-US" w:eastAsia="zh-CN"/>
        </w:rPr>
        <w:t>稀土金属及其氧化物中非稀土杂质</w:t>
      </w:r>
      <w:r>
        <w:rPr>
          <w:rFonts w:hint="eastAsia" w:ascii="宋体" w:hAnsi="宋体" w:cs="宋体"/>
          <w:szCs w:val="20"/>
        </w:rPr>
        <w:t>化学方法 第</w:t>
      </w:r>
      <w:r>
        <w:rPr>
          <w:rFonts w:hint="eastAsia" w:ascii="宋体" w:hAnsi="宋体" w:cs="宋体"/>
          <w:szCs w:val="20"/>
          <w:lang w:val="en-US" w:eastAsia="zh-CN"/>
        </w:rPr>
        <w:t>21</w:t>
      </w:r>
      <w:r>
        <w:rPr>
          <w:rFonts w:hint="eastAsia" w:ascii="宋体" w:hAnsi="宋体" w:cs="宋体"/>
          <w:szCs w:val="20"/>
        </w:rPr>
        <w:t>部分：</w:t>
      </w:r>
      <w:r>
        <w:rPr>
          <w:rFonts w:hint="eastAsia" w:ascii="宋体" w:hAnsi="宋体" w:cs="宋体"/>
          <w:szCs w:val="20"/>
          <w:lang w:val="en-US" w:eastAsia="zh-CN"/>
        </w:rPr>
        <w:t>稀土氧化物中硫酸根</w:t>
      </w:r>
      <w:r>
        <w:rPr>
          <w:rFonts w:hint="eastAsia" w:ascii="宋体" w:hAnsi="宋体" w:cs="宋体"/>
          <w:szCs w:val="20"/>
        </w:rPr>
        <w:t>含量的测定》的制定计划，由福建省长汀金龙稀土有限公司负责制定，计划号为2022075</w:t>
      </w:r>
      <w:r>
        <w:rPr>
          <w:rFonts w:hint="eastAsia" w:ascii="宋体" w:hAnsi="宋体" w:cs="宋体"/>
          <w:szCs w:val="20"/>
          <w:lang w:val="en-US" w:eastAsia="zh-CN"/>
        </w:rPr>
        <w:t>4</w:t>
      </w:r>
      <w:r>
        <w:rPr>
          <w:rFonts w:hint="eastAsia" w:ascii="宋体" w:hAnsi="宋体" w:cs="宋体"/>
          <w:szCs w:val="20"/>
        </w:rPr>
        <w:t>-T-469</w:t>
      </w:r>
      <w:r>
        <w:rPr>
          <w:rFonts w:hint="eastAsia" w:ascii="宋体" w:hAnsi="宋体" w:cs="宋体"/>
          <w:szCs w:val="20"/>
          <w:lang w:eastAsia="zh-CN"/>
        </w:rPr>
        <w:t>，</w:t>
      </w:r>
      <w:r>
        <w:rPr>
          <w:rFonts w:hint="eastAsia" w:ascii="宋体" w:hAnsi="宋体" w:cs="宋体"/>
          <w:szCs w:val="20"/>
          <w:lang w:val="en-US" w:eastAsia="zh-CN"/>
        </w:rPr>
        <w:t>项目周期为22个月，完成年限为2024年。</w:t>
      </w:r>
    </w:p>
    <w:p>
      <w:pPr>
        <w:pStyle w:val="136"/>
        <w:numPr>
          <w:ilvl w:val="0"/>
          <w:numId w:val="3"/>
        </w:numPr>
        <w:ind w:firstLineChars="0"/>
      </w:pPr>
      <w:r>
        <w:rPr>
          <w:rFonts w:hint="eastAsia"/>
        </w:rPr>
        <w:t>项目编制组简况</w:t>
      </w:r>
    </w:p>
    <w:p>
      <w:pPr>
        <w:rPr>
          <w:rFonts w:ascii="宋体" w:hAnsi="宋体" w:cs="宋体"/>
        </w:rPr>
      </w:pPr>
      <w:r>
        <w:rPr>
          <w:rFonts w:hint="eastAsia" w:ascii="宋体" w:hAnsi="宋体" w:cs="宋体"/>
        </w:rPr>
        <w:t>2.1 编制组成员单位</w:t>
      </w:r>
    </w:p>
    <w:p>
      <w:pPr>
        <w:keepNext w:val="0"/>
        <w:keepLines w:val="0"/>
        <w:widowControl/>
        <w:suppressLineNumbers w:val="0"/>
        <w:ind w:firstLine="420" w:firstLineChars="200"/>
        <w:jc w:val="left"/>
        <w:rPr>
          <w:rFonts w:ascii="宋体" w:hAnsi="宋体" w:cs="宋体"/>
        </w:rPr>
      </w:pPr>
      <w:r>
        <w:rPr>
          <w:rFonts w:hint="eastAsia" w:ascii="宋体" w:hAnsi="宋体" w:cs="宋体"/>
        </w:rPr>
        <w:t>编制组由福建省长汀金龙稀土有限公司、</w:t>
      </w:r>
      <w:r>
        <w:rPr>
          <w:rFonts w:hint="eastAsia" w:ascii="宋体" w:hAnsi="宋体" w:cs="宋体"/>
          <w:lang w:val="en-US" w:eastAsia="zh-CN"/>
        </w:rPr>
        <w:t>包头稀土研究院</w:t>
      </w:r>
      <w:r>
        <w:rPr>
          <w:rFonts w:hint="eastAsia" w:ascii="宋体" w:hAnsi="宋体" w:cs="宋体"/>
        </w:rPr>
        <w:t>、</w:t>
      </w:r>
      <w:r>
        <w:rPr>
          <w:rFonts w:hint="eastAsia" w:ascii="宋体" w:hAnsi="宋体" w:cs="宋体"/>
          <w:lang w:val="en-US" w:eastAsia="zh-CN"/>
        </w:rPr>
        <w:t>国标（北京）检验</w:t>
      </w:r>
      <w:r>
        <w:rPr>
          <w:rFonts w:hint="eastAsia" w:ascii="宋体" w:hAnsi="宋体" w:cs="宋体"/>
        </w:rPr>
        <w:t>认证股份有限公司、</w:t>
      </w:r>
      <w:r>
        <w:rPr>
          <w:rFonts w:hint="eastAsia" w:ascii="宋体" w:hAnsi="宋体" w:cs="宋体"/>
          <w:lang w:val="en-US" w:eastAsia="zh-CN"/>
        </w:rPr>
        <w:t>赣州晨光稀土新材料有限公司</w:t>
      </w:r>
      <w:r>
        <w:rPr>
          <w:rFonts w:hint="eastAsia" w:ascii="宋体" w:hAnsi="宋体" w:cs="宋体"/>
        </w:rPr>
        <w:t>、</w:t>
      </w:r>
      <w:r>
        <w:rPr>
          <w:rFonts w:hint="eastAsia" w:ascii="宋体" w:hAnsi="宋体" w:eastAsia="宋体" w:cs="宋体"/>
          <w:color w:val="000000"/>
          <w:kern w:val="0"/>
          <w:sz w:val="21"/>
          <w:szCs w:val="21"/>
          <w:lang w:val="en-US" w:eastAsia="zh-CN" w:bidi="ar"/>
        </w:rPr>
        <w:t>四川省乐山锐丰冶金有限公司、 包头华美稀土高科有限公司</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定南大华新材料资源有限公司</w:t>
      </w:r>
      <w:r>
        <w:rPr>
          <w:rFonts w:hint="eastAsia" w:ascii="宋体" w:hAnsi="宋体" w:cs="宋体"/>
          <w:sz w:val="21"/>
          <w:szCs w:val="21"/>
        </w:rPr>
        <w:t>等</w:t>
      </w:r>
      <w:r>
        <w:rPr>
          <w:rFonts w:hint="eastAsia" w:ascii="宋体" w:hAnsi="宋体" w:cs="宋体"/>
          <w:sz w:val="21"/>
          <w:szCs w:val="21"/>
          <w:lang w:val="en-US" w:eastAsia="zh-CN"/>
        </w:rPr>
        <w:t>7</w:t>
      </w:r>
      <w:r>
        <w:rPr>
          <w:rFonts w:hint="eastAsia" w:ascii="宋体" w:hAnsi="宋体" w:cs="宋体"/>
          <w:sz w:val="21"/>
          <w:szCs w:val="21"/>
        </w:rPr>
        <w:t>家单位组成。</w:t>
      </w:r>
      <w:r>
        <w:rPr>
          <w:rFonts w:hint="eastAsia" w:ascii="宋体" w:hAnsi="宋体" w:cs="宋体"/>
        </w:rPr>
        <w:t>本项目组起草人员长期从事化学分析检测工作，多次参与国家、行业标准的制修订工作，能够保证本项目计划的顺利完成。</w:t>
      </w:r>
    </w:p>
    <w:p>
      <w:pPr>
        <w:rPr>
          <w:rFonts w:ascii="宋体" w:hAnsi="宋体" w:cs="宋体"/>
        </w:rPr>
      </w:pPr>
      <w:r>
        <w:rPr>
          <w:rFonts w:hint="eastAsia" w:ascii="宋体" w:hAnsi="宋体" w:cs="宋体"/>
        </w:rPr>
        <w:t>2.2 负责起草单位简介</w:t>
      </w:r>
    </w:p>
    <w:p>
      <w:pPr>
        <w:ind w:firstLine="422" w:firstLineChars="200"/>
      </w:pPr>
      <w:r>
        <w:rPr>
          <w:rFonts w:hint="eastAsia" w:cs="宋体" w:asciiTheme="minorEastAsia" w:hAnsiTheme="minorEastAsia" w:eastAsiaTheme="minorEastAsia"/>
          <w:b/>
          <w:szCs w:val="20"/>
        </w:rPr>
        <w:t>福建省长汀金龙稀土有限公司：</w:t>
      </w:r>
      <w:r>
        <w:rPr>
          <w:rFonts w:hint="eastAsia" w:ascii="宋体" w:hAnsi="宋体" w:cs="宋体"/>
        </w:rPr>
        <w:t>(以下</w:t>
      </w:r>
      <w:r>
        <w:rPr>
          <w:rFonts w:ascii="宋体" w:hAnsi="宋体" w:cs="宋体"/>
        </w:rPr>
        <w:t>简称</w:t>
      </w:r>
      <w:r>
        <w:rPr>
          <w:rFonts w:hint="eastAsia" w:ascii="宋体" w:hAnsi="宋体" w:cs="宋体"/>
        </w:rPr>
        <w:t>长汀金龙)</w:t>
      </w:r>
      <w:r>
        <w:rPr>
          <w:rFonts w:hint="eastAsia"/>
        </w:rPr>
        <w:t xml:space="preserve"> 福建省长汀金龙稀土有限公司是厦门钨业的控股子公司，主要从事稀土冶炼分离、稀土金属及合金、稀土磁性材料及其他稀土功能材料的研发与生产。公司占地800亩，厂房建筑面积20万平方米，总投资40亿元，目前已建成5000吨稀土分离、3000吨稀土金属、2000吨高纯稀土氧化物、1300吨三基色荧光粉、12000吨钕铁硼磁性材料、5000吨钕铁硼表面处理生产线，拥有从稀土矿开采—稀土分离—稀土金属—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100强等荣誉。</w:t>
      </w:r>
    </w:p>
    <w:p>
      <w:pPr>
        <w:ind w:firstLine="420" w:firstLineChars="200"/>
      </w:pPr>
      <w:r>
        <w:rPr>
          <w:rFonts w:hint="eastAsia"/>
        </w:rPr>
        <w:t>金龙稀土检测中心主要从事稀土冶炼分离和稀土深加工材料的检测服务，涉及领域包括成分分析、物理性能分析、机械性能分析、磁性能分析、环境可靠性分析领域。现检测中心有90余人，工程师以上职称8人，拥有国内外先进的精密分析仪器共100多台/套，总价值超过3400万元，并于2015年通过了中国合格评定国家认可委员会（CNAS）认可，按照 ISO/IEC 17025 国际实验室管理体系要求开展检测活动。作为长期从事稀土材料开发与应用单位，金龙稀土近三年先后主导和参与了《铥镱镥富集物》、《铥镱镥富集物化学分析方法》《烧结钕铁硼绿色工厂评价要求》等39项稀土国家/行业标准的制/修订工作，拥有多名经验丰富的标准制修订专家。</w:t>
      </w:r>
    </w:p>
    <w:p>
      <w:pPr>
        <w:rPr>
          <w:rFonts w:ascii="宋体" w:hAnsi="宋体" w:cs="宋体"/>
        </w:rPr>
      </w:pPr>
      <w:r>
        <w:rPr>
          <w:rFonts w:ascii="宋体" w:hAnsi="宋体" w:cs="宋体"/>
        </w:rPr>
        <w:t>2.3</w:t>
      </w:r>
      <w:r>
        <w:rPr>
          <w:rFonts w:hint="eastAsia" w:ascii="宋体" w:hAnsi="宋体" w:cs="宋体"/>
        </w:rPr>
        <w:t xml:space="preserve"> 参与起草单位简介</w:t>
      </w:r>
    </w:p>
    <w:p>
      <w:pPr>
        <w:ind w:firstLine="422" w:firstLineChars="200"/>
        <w:rPr>
          <w:rFonts w:hint="eastAsia" w:ascii="宋体" w:hAnsi="宋体" w:cs="宋体"/>
        </w:rPr>
      </w:pPr>
      <w:r>
        <w:rPr>
          <w:rFonts w:hint="eastAsia" w:ascii="宋体" w:hAnsi="宋体" w:cs="宋体" w:eastAsiaTheme="minorEastAsia"/>
          <w:b/>
          <w:bCs/>
          <w:lang w:val="en-US" w:eastAsia="zh-CN"/>
        </w:rPr>
        <w:t>包头稀土研究院：</w:t>
      </w:r>
      <w:r>
        <w:rPr>
          <w:rFonts w:hint="eastAsia" w:ascii="宋体" w:hAnsi="宋体" w:cs="宋体" w:eastAsiaTheme="minorEastAsia"/>
          <w:b w:val="0"/>
          <w:bCs w:val="0"/>
          <w:lang w:val="en-US" w:eastAsia="zh-CN"/>
        </w:rPr>
        <w:t>（</w:t>
      </w:r>
      <w:r>
        <w:rPr>
          <w:rFonts w:hint="eastAsia" w:ascii="宋体" w:hAnsi="宋体" w:cs="宋体"/>
        </w:rPr>
        <w:t>以下简称</w:t>
      </w:r>
      <w:r>
        <w:rPr>
          <w:rFonts w:hint="eastAsia" w:ascii="宋体" w:hAnsi="宋体" w:cs="宋体"/>
          <w:lang w:val="en-US" w:eastAsia="zh-CN"/>
        </w:rPr>
        <w:t>包院）包头稀土研究院（包院）</w:t>
      </w:r>
      <w:r>
        <w:rPr>
          <w:rFonts w:hint="eastAsia" w:ascii="宋体" w:hAnsi="宋体" w:cs="宋体"/>
        </w:rPr>
        <w:t>成立于1963年，直属原冶金工业部。1992年进入包钢（集团）公司，是全国最大的综合性稀土科技研发机构。包头稀土研究院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理化检测中心多年来承担参与60%以上国家稀土产品标准、国家稀土分析方法标准的起草及国家稀土标准样品的研制工作。理化检测中心拥有一支高水平的检测技术团队和一批先进的检测设备，是行业内知名的稀土检测机构。中心拥有电感耦合等离子质谱仪、电感耦合等离子光谱仪、辉光放电质谱仪、原子吸收光谱仪、X荧光光谱仪、原子荧光光谱仪、透射电子显微镜、场发射扫描电子显微镜、粒度仪等大型设备，检测范围覆盖材料、物理、化学等领域。</w:t>
      </w:r>
    </w:p>
    <w:p>
      <w:pPr>
        <w:ind w:firstLine="422" w:firstLineChars="200"/>
        <w:rPr>
          <w:rFonts w:hint="eastAsia"/>
        </w:rPr>
      </w:pPr>
      <w:r>
        <w:rPr>
          <w:rFonts w:hint="eastAsia" w:ascii="宋体" w:hAnsi="宋体" w:cs="宋体"/>
          <w:b/>
          <w:bCs/>
          <w:lang w:val="en-US" w:eastAsia="zh-CN"/>
        </w:rPr>
        <w:t>国标（北京）检验</w:t>
      </w:r>
      <w:r>
        <w:rPr>
          <w:rFonts w:hint="eastAsia" w:ascii="宋体" w:hAnsi="宋体" w:cs="宋体"/>
          <w:b/>
          <w:bCs/>
        </w:rPr>
        <w:t>认证股份有限公司：</w:t>
      </w:r>
      <w:r>
        <w:rPr>
          <w:rFonts w:hint="eastAsia" w:ascii="宋体" w:hAnsi="宋体" w:cs="宋体"/>
          <w:bCs/>
        </w:rPr>
        <w:t>（以下简称</w:t>
      </w:r>
      <w:r>
        <w:rPr>
          <w:rFonts w:hint="eastAsia" w:ascii="宋体" w:hAnsi="宋体" w:cs="宋体"/>
          <w:bCs/>
          <w:lang w:val="en-US" w:eastAsia="zh-CN"/>
        </w:rPr>
        <w:t>国标检验</w:t>
      </w:r>
      <w:r>
        <w:rPr>
          <w:rFonts w:hint="eastAsia" w:ascii="宋体" w:hAnsi="宋体" w:cs="宋体"/>
          <w:bCs/>
        </w:rPr>
        <w:t>）</w:t>
      </w:r>
      <w:r>
        <w:rPr>
          <w:rFonts w:hint="eastAsia"/>
        </w:rPr>
        <w:t>公司隶属于国合通用测试评价认证股份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ind w:firstLine="422" w:firstLineChars="200"/>
        <w:rPr>
          <w:rFonts w:hint="eastAsia" w:ascii="宋体" w:hAnsi="宋体" w:cs="宋体"/>
          <w:bCs/>
        </w:rPr>
      </w:pPr>
      <w:r>
        <w:rPr>
          <w:rFonts w:hint="eastAsia" w:ascii="宋体" w:hAnsi="宋体" w:cs="宋体"/>
          <w:b/>
          <w:bCs/>
          <w:lang w:val="en-US" w:eastAsia="zh-CN"/>
        </w:rPr>
        <w:t>赣州晨光稀土新材料</w:t>
      </w:r>
      <w:r>
        <w:rPr>
          <w:rFonts w:ascii="宋体" w:hAnsi="宋体" w:cs="宋体"/>
          <w:b/>
          <w:bCs/>
        </w:rPr>
        <w:t>有限公司</w:t>
      </w:r>
      <w:r>
        <w:rPr>
          <w:rFonts w:hint="eastAsia" w:ascii="宋体" w:hAnsi="宋体" w:cs="宋体"/>
          <w:b/>
          <w:bCs/>
        </w:rPr>
        <w:t>:</w:t>
      </w:r>
      <w:r>
        <w:rPr>
          <w:rFonts w:ascii="宋体" w:hAnsi="宋体" w:cs="宋体"/>
        </w:rPr>
        <w:t xml:space="preserve"> </w:t>
      </w:r>
      <w:r>
        <w:rPr>
          <w:rFonts w:cs="宋体" w:asciiTheme="minorEastAsia" w:hAnsiTheme="minorEastAsia" w:eastAsiaTheme="minorEastAsia"/>
          <w:szCs w:val="20"/>
        </w:rPr>
        <w:t>（</w:t>
      </w:r>
      <w:r>
        <w:rPr>
          <w:rFonts w:hint="eastAsia" w:cs="宋体" w:asciiTheme="minorEastAsia" w:hAnsiTheme="minorEastAsia" w:eastAsiaTheme="minorEastAsia"/>
          <w:szCs w:val="20"/>
        </w:rPr>
        <w:t>以下简称</w:t>
      </w:r>
      <w:r>
        <w:rPr>
          <w:rFonts w:hint="eastAsia" w:cs="宋体" w:asciiTheme="minorEastAsia" w:hAnsiTheme="minorEastAsia" w:eastAsiaTheme="minorEastAsia"/>
          <w:szCs w:val="20"/>
          <w:lang w:val="en-US" w:eastAsia="zh-CN"/>
        </w:rPr>
        <w:t>晨光</w:t>
      </w:r>
      <w:r>
        <w:rPr>
          <w:rFonts w:hint="eastAsia" w:cs="宋体" w:asciiTheme="minorEastAsia" w:hAnsiTheme="minorEastAsia" w:eastAsiaTheme="minorEastAsia"/>
          <w:szCs w:val="20"/>
        </w:rPr>
        <w:t>稀土）</w:t>
      </w:r>
      <w:r>
        <w:rPr>
          <w:rFonts w:hint="eastAsia" w:ascii="宋体" w:hAnsi="宋体" w:cs="宋体"/>
          <w:bCs/>
        </w:rPr>
        <w:t>赣州晨光稀土新材料有限公司最早源自1997年成立的江西省赣南晨光稀土金属冶炼厂，2003年更名为赣州晨光稀土新材料有限公司，2010年股份制改造并更名为赣州晨光稀土新材料股份有限公司, 2017年2月8日经中国证监会正式下文批准,盛和资源与晨光稀土完成重大资产重组，晨光稀土成为盛和资源全资控股子公司，2021年3月更名为赣州晨光稀土新材料有限公司，晨光稀土现有下属公司全南县新资源稀土有限责任公司、赣州步莱铽新资源有限公司等。赣州晨光稀土新材料有限公司年产稀土金属及合金产品12000吨，全南县新资源稀土有限责任公司年产稀土氧化物3000吨，赣州步莱铽新资源有限公司年处理钕铁硼废料5000吨，荧光粉废料1000吨。晨光稀土是一家专业生产各种稀土氧化物、稀土金属、混合稀土金属、稀土合金及磁材等系列产品的稀土配套产业公司，拥有集稀土“分离----冶炼----应用---回收”为一体的较为完整的产业链，是目前国内冶炼、分离技术最先进的公司之一。</w:t>
      </w:r>
    </w:p>
    <w:p>
      <w:pPr>
        <w:ind w:firstLine="422" w:firstLineChars="200"/>
        <w:rPr>
          <w:rFonts w:hint="eastAsia" w:ascii="宋体" w:hAnsi="宋体" w:cs="宋体"/>
          <w:bCs/>
        </w:rPr>
      </w:pPr>
      <w:r>
        <w:rPr>
          <w:rFonts w:hint="eastAsia" w:ascii="宋体" w:hAnsi="宋体" w:cs="宋体"/>
          <w:b/>
          <w:bCs/>
          <w:lang w:val="en-US" w:eastAsia="zh-CN"/>
        </w:rPr>
        <w:t>四川省乐山锐丰冶金有限公司</w:t>
      </w:r>
      <w:r>
        <w:rPr>
          <w:rFonts w:hint="eastAsia" w:ascii="宋体" w:hAnsi="宋体" w:cs="宋体"/>
          <w:b/>
          <w:bCs/>
        </w:rPr>
        <w:t>：</w:t>
      </w:r>
      <w:r>
        <w:rPr>
          <w:rFonts w:cs="宋体" w:asciiTheme="minorEastAsia" w:hAnsiTheme="minorEastAsia" w:eastAsiaTheme="minorEastAsia"/>
          <w:szCs w:val="20"/>
        </w:rPr>
        <w:t>（</w:t>
      </w:r>
      <w:r>
        <w:rPr>
          <w:rFonts w:hint="eastAsia" w:ascii="宋体" w:hAnsi="宋体" w:cs="宋体"/>
        </w:rPr>
        <w:t>以下简称</w:t>
      </w:r>
      <w:r>
        <w:rPr>
          <w:rFonts w:hint="eastAsia" w:ascii="宋体" w:hAnsi="宋体" w:cs="宋体"/>
          <w:lang w:val="en-US" w:eastAsia="zh-CN"/>
        </w:rPr>
        <w:t>乐山锐丰</w:t>
      </w:r>
      <w:r>
        <w:rPr>
          <w:rFonts w:hint="eastAsia" w:ascii="宋体" w:hAnsi="宋体" w:cs="宋体"/>
        </w:rPr>
        <w:t>）</w:t>
      </w:r>
      <w:r>
        <w:rPr>
          <w:rFonts w:hint="eastAsia" w:ascii="宋体" w:hAnsi="宋体" w:cs="宋体"/>
          <w:bCs/>
        </w:rPr>
        <w:t>四川省乐山锐丰冶金有限公司成立于2001年6月，位于乐山市五通桥区盐磷化工循环产业园，占地面积79000㎡。集产品研发，生产为一体的稀土深加工企业，主要生产稀上氧化物、稀土盐类、稀土富集物、抛光粉、氯化铵等多规格产品，销往包头、江西、山东、广东、浙江、武汉、荷兰、美国、意大利、韩国、日本、奥地利等地区和国家。公司实施了15O9001质量、ISO14001环境、OHSA518001职业健康安全和I5O5001能源管理体系；获海关进出口货物收发货人报关注册登记证书，并备案登记“对外贸易经营者备案登记表”。 国家高新技术企业、国家级"专精特新"小巨人企业；国家认可实验室(CNAS)企业、四川省企业技术中心、省级绿色制造示范企业、省级环保良好企业、企业信用等级评价AAA企业。</w:t>
      </w:r>
    </w:p>
    <w:p>
      <w:pPr>
        <w:ind w:firstLine="420" w:firstLineChars="200"/>
        <w:rPr>
          <w:rFonts w:ascii="宋体" w:hAnsi="宋体" w:cs="宋体"/>
        </w:rPr>
      </w:pPr>
      <w:r>
        <w:rPr>
          <w:rFonts w:hint="eastAsia" w:ascii="宋体" w:hAnsi="宋体" w:cs="宋体"/>
          <w:bCs/>
        </w:rPr>
        <w:t xml:space="preserve">  中国稀土行业协会会员单位：国家技术标准创新基地(稀土)理事单位、四川省循环经济协会会员单位、全国稀土标准化技术委员会会员单位，主持、参与稀土产品标准的制(修)定工作，荣获多项全国稀土标准化技术委员会技术标准优秀奖中国有色金属工业科学技术奖。 </w:t>
      </w:r>
    </w:p>
    <w:p>
      <w:pPr>
        <w:ind w:firstLine="422" w:firstLineChars="200"/>
        <w:rPr>
          <w:rFonts w:hint="default" w:cs="宋体" w:asciiTheme="minorEastAsia" w:hAnsiTheme="minorEastAsia" w:eastAsiaTheme="minorEastAsia"/>
          <w:kern w:val="2"/>
          <w:sz w:val="21"/>
          <w:szCs w:val="20"/>
          <w:lang w:val="en-US" w:eastAsia="zh-CN" w:bidi="ar-SA"/>
        </w:rPr>
      </w:pPr>
      <w:r>
        <w:rPr>
          <w:rFonts w:hint="eastAsia" w:ascii="宋体" w:hAnsi="宋体" w:cs="宋体"/>
          <w:b/>
          <w:bCs/>
          <w:lang w:val="en-US" w:eastAsia="zh-CN"/>
        </w:rPr>
        <w:t>包头华美稀土高科有限公司</w:t>
      </w:r>
      <w:r>
        <w:rPr>
          <w:rFonts w:hint="eastAsia" w:ascii="宋体" w:hAnsi="宋体" w:cs="宋体"/>
          <w:b/>
          <w:bCs/>
        </w:rPr>
        <w:t>：</w:t>
      </w:r>
      <w:r>
        <w:rPr>
          <w:rFonts w:hint="eastAsia" w:cs="宋体" w:asciiTheme="minorEastAsia" w:hAnsiTheme="minorEastAsia" w:eastAsiaTheme="minorEastAsia"/>
          <w:kern w:val="2"/>
          <w:sz w:val="21"/>
          <w:szCs w:val="20"/>
          <w:lang w:val="en-US" w:eastAsia="zh-CN" w:bidi="ar-SA"/>
        </w:rPr>
        <w:t>（以下简称华美稀土）</w:t>
      </w:r>
      <w:r>
        <w:rPr>
          <w:rFonts w:hint="eastAsia"/>
        </w:rPr>
        <w:t>包头华美稀土高科有限公司成立于1993年，是专业从事稀土产品生产的民营股份制高科技企业。2003年4月，公司与包钢稀土高科进行了强强联合，形成了民营企业与国有上市公司合作共赢新的经济发展模式，得到社会界的关注和支持。公司在标准的起草方面有着丰富的经验，多次参与国家标准、行业标准的制修订工作。具有优秀的创新能力，8项发明专利，近年曾获得中国冶金科学技术三等奖1项、中国有色金属工业科学技术三等奖1项、内蒙古自治区科技进步三等奖、包头市科技进步一等奖1项，二等奖2项、包钢集团公司科技进步三等奖1项。现公司现拥有7项发明专利，6项实用新型，近年来曾获得中国冶金科学技术三等奖1项，中国有色金属工业科学技术三等奖1项，中国稀土科技奖二等奖2项，内蒙古自治区科技进步三等奖1项，通过包头市科技局科技成果鉴定 2 项，获得包头市科技进步一等奖 1 项，二等奖 1 项，包钢集团公司科技进步特等奖1项，二等奖1项，三等奖1项。</w:t>
      </w:r>
    </w:p>
    <w:p>
      <w:pPr>
        <w:spacing w:line="360" w:lineRule="exact"/>
        <w:ind w:firstLine="422" w:firstLineChars="200"/>
        <w:rPr>
          <w:rFonts w:ascii="宋体" w:hAnsi="宋体" w:cs="宋体"/>
          <w:b/>
        </w:rPr>
      </w:pPr>
      <w:r>
        <w:rPr>
          <w:rFonts w:hint="eastAsia" w:ascii="宋体" w:hAnsi="宋体" w:cs="宋体"/>
          <w:b/>
          <w:lang w:val="en-US" w:eastAsia="zh-CN"/>
        </w:rPr>
        <w:t>定南大华新材料资源有限公司</w:t>
      </w:r>
      <w:r>
        <w:rPr>
          <w:rFonts w:hint="eastAsia" w:ascii="宋体" w:hAnsi="宋体" w:cs="宋体"/>
          <w:b/>
        </w:rPr>
        <w:t>:</w:t>
      </w:r>
      <w:r>
        <w:rPr>
          <w:rFonts w:hint="eastAsia" w:ascii="宋体" w:hAnsi="宋体" w:cs="宋体"/>
        </w:rPr>
        <w:t>（</w:t>
      </w:r>
      <w:r>
        <w:rPr>
          <w:rFonts w:hint="eastAsia" w:ascii="宋体" w:hAnsi="宋体" w:cs="宋体"/>
          <w:bCs/>
        </w:rPr>
        <w:t>以下简称</w:t>
      </w:r>
      <w:r>
        <w:rPr>
          <w:rFonts w:hint="eastAsia" w:ascii="宋体" w:hAnsi="宋体" w:cs="宋体"/>
          <w:bCs/>
          <w:lang w:val="en-US" w:eastAsia="zh-CN"/>
        </w:rPr>
        <w:t>定南大华</w:t>
      </w:r>
      <w:r>
        <w:rPr>
          <w:rFonts w:hint="eastAsia" w:ascii="宋体" w:hAnsi="宋体" w:cs="宋体"/>
          <w:bCs/>
        </w:rPr>
        <w:t>）</w:t>
      </w:r>
      <w:r>
        <w:rPr>
          <w:rFonts w:hint="eastAsia"/>
          <w:lang w:val="en-US" w:eastAsia="zh-CN"/>
        </w:rPr>
        <w:t>定南大华新材料资源有限公司</w:t>
      </w:r>
      <w:r>
        <w:rPr>
          <w:rFonts w:hint="eastAsia"/>
        </w:rPr>
        <w:t>是五矿稀土集团有限公司下属直管企业,成立于2004年，位于江西省赣州市定南县，占地面积158亩，拥有各类高素质的管理、技术和生产人员230多人。公司年分离产能4400吨南方离子型稀土矿，主要生产14种高纯单一稀土化合物及2种共沉产品，10种产品的纯度大于99.99%，其中高纯氧化镧、高纯氧化钇（纯度≥99.999%）为公司的“拳头”产品，主要出口美国、日本、韩国、欧盟等发达国家和地区。产品质量在同行业中居于前位，相关产品在高纯光学材料市场中占有率较高。定南大华检测中心全面贯彻“准确、及时、科学、公正”的质量方针，坚持“以客户为关注焦点”，拥有一批熟悉相关检测标准规范、有较丰富工作经验的技术人员，检测中心于</w:t>
      </w:r>
      <w:r>
        <w:t>2022</w:t>
      </w:r>
      <w:r>
        <w:rPr>
          <w:rFonts w:hint="eastAsia"/>
        </w:rPr>
        <w:t>年</w:t>
      </w:r>
      <w:r>
        <w:t>2</w:t>
      </w:r>
      <w:r>
        <w:rPr>
          <w:rFonts w:hint="eastAsia"/>
        </w:rPr>
        <w:t>月</w:t>
      </w:r>
      <w:r>
        <w:t>18</w:t>
      </w:r>
      <w:r>
        <w:rPr>
          <w:rFonts w:hint="eastAsia"/>
        </w:rPr>
        <w:t>日取得国家实验室认可（CNAS）的资格。</w:t>
      </w:r>
    </w:p>
    <w:p>
      <w:pPr>
        <w:pStyle w:val="136"/>
        <w:numPr>
          <w:ilvl w:val="1"/>
          <w:numId w:val="3"/>
        </w:numPr>
        <w:ind w:firstLineChars="0"/>
        <w:rPr>
          <w:rFonts w:cs="宋体"/>
        </w:rPr>
      </w:pPr>
      <w:r>
        <w:rPr>
          <w:rFonts w:hint="eastAsia" w:cs="宋体"/>
        </w:rPr>
        <w:t>主要工作成员及承担工作情况</w:t>
      </w:r>
    </w:p>
    <w:p>
      <w:pPr>
        <w:ind w:firstLine="420" w:firstLineChars="200"/>
        <w:rPr>
          <w:rFonts w:ascii="宋体" w:hAnsi="宋体" w:cs="宋体"/>
        </w:rPr>
      </w:pPr>
      <w:r>
        <w:rPr>
          <w:rFonts w:hint="eastAsia" w:ascii="宋体" w:hAnsi="宋体" w:cs="宋体"/>
        </w:rPr>
        <w:t>本标准主要起草人及承担工作情况见表1。</w:t>
      </w:r>
    </w:p>
    <w:p>
      <w:pPr>
        <w:ind w:firstLine="420" w:firstLineChars="200"/>
        <w:jc w:val="center"/>
        <w:rPr>
          <w:rFonts w:ascii="宋体" w:hAnsi="宋体" w:cs="宋体"/>
        </w:rPr>
      </w:pPr>
      <w:r>
        <w:rPr>
          <w:rFonts w:hint="eastAsia" w:ascii="宋体" w:hAnsi="宋体" w:cs="宋体"/>
        </w:rPr>
        <w:t>表1 主要起草人及承担工作情况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085" w:type="dxa"/>
          </w:tcPr>
          <w:p>
            <w:pPr>
              <w:jc w:val="center"/>
              <w:rPr>
                <w:rFonts w:ascii="宋体" w:hAnsi="宋体" w:cs="宋体"/>
              </w:rPr>
            </w:pPr>
            <w:r>
              <w:rPr>
                <w:rFonts w:hint="eastAsia" w:ascii="宋体" w:hAnsi="宋体" w:cs="宋体"/>
              </w:rPr>
              <w:t>起草人</w:t>
            </w:r>
          </w:p>
        </w:tc>
        <w:tc>
          <w:tcPr>
            <w:tcW w:w="6477" w:type="dxa"/>
          </w:tcPr>
          <w:p>
            <w:pPr>
              <w:jc w:val="center"/>
              <w:rPr>
                <w:rFonts w:ascii="宋体" w:hAnsi="宋体" w:cs="宋体"/>
              </w:rPr>
            </w:pPr>
            <w:r>
              <w:rPr>
                <w:rFonts w:hint="eastAsia" w:ascii="宋体" w:hAnsi="宋体" w:cs="宋体"/>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hint="default" w:ascii="宋体" w:hAnsi="宋体" w:eastAsia="宋体" w:cs="宋体"/>
                <w:lang w:val="en-US" w:eastAsia="zh-CN"/>
              </w:rPr>
            </w:pP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kern w:val="2"/>
                <w:sz w:val="18"/>
                <w:szCs w:val="18"/>
              </w:rPr>
            </w:pPr>
            <w:r>
              <w:rPr>
                <w:rFonts w:hint="eastAsia" w:ascii="Times New Roman" w:hAnsi="Times New Roman" w:cs="Times New Roman"/>
                <w:kern w:val="2"/>
                <w:sz w:val="18"/>
                <w:szCs w:val="18"/>
              </w:rPr>
              <w:t>负责方法的起草，各阶段标准文本、编制说明的编写、数据统计及组织协调。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ascii="宋体" w:hAnsi="宋体" w:cs="宋体"/>
              </w:rPr>
            </w:pPr>
          </w:p>
        </w:tc>
        <w:tc>
          <w:tcPr>
            <w:tcW w:w="6477" w:type="dxa"/>
            <w:vAlign w:val="center"/>
          </w:tcPr>
          <w:p>
            <w:pPr>
              <w:pStyle w:val="81"/>
              <w:adjustRightInd w:val="0"/>
              <w:snapToGrid w:val="0"/>
              <w:spacing w:before="0" w:beforeAutospacing="0" w:after="0" w:afterAutospacing="0" w:line="312" w:lineRule="auto"/>
              <w:rPr>
                <w:rFonts w:hint="eastAsia" w:ascii="Times New Roman" w:hAnsi="Times New Roman" w:cs="Times New Roman"/>
                <w:kern w:val="2"/>
                <w:sz w:val="18"/>
                <w:szCs w:val="18"/>
              </w:rPr>
            </w:pPr>
            <w:r>
              <w:rPr>
                <w:rFonts w:hint="eastAsia" w:ascii="Times New Roman" w:hAnsi="Times New Roman" w:cs="Times New Roman"/>
                <w:kern w:val="2"/>
                <w:sz w:val="18"/>
                <w:szCs w:val="18"/>
              </w:rPr>
              <w:t>协助完成方法的起草，协助完成精密度实验数据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spacing w:line="0" w:lineRule="atLeast"/>
              <w:jc w:val="center"/>
              <w:rPr>
                <w:rFonts w:hint="default" w:ascii="宋体" w:hAnsi="宋体" w:eastAsia="宋体" w:cs="宋体"/>
                <w:sz w:val="18"/>
                <w:szCs w:val="18"/>
                <w:lang w:val="en-US" w:eastAsia="zh-CN"/>
              </w:rPr>
            </w:pP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085" w:type="dxa"/>
          </w:tcPr>
          <w:p>
            <w:pPr>
              <w:jc w:val="center"/>
              <w:rPr>
                <w:rFonts w:hint="default" w:ascii="宋体" w:hAnsi="宋体" w:eastAsia="宋体" w:cs="宋体"/>
                <w:sz w:val="18"/>
                <w:szCs w:val="18"/>
                <w:lang w:val="en-US" w:eastAsia="zh-CN"/>
              </w:rPr>
            </w:pP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pPr>
        <w:rPr>
          <w:rFonts w:ascii="宋体" w:hAnsi="宋体" w:cs="宋体"/>
        </w:rPr>
      </w:pPr>
    </w:p>
    <w:p>
      <w:pPr>
        <w:pStyle w:val="120"/>
        <w:numPr>
          <w:ilvl w:val="0"/>
          <w:numId w:val="3"/>
        </w:numPr>
        <w:tabs>
          <w:tab w:val="clear" w:pos="675"/>
        </w:tabs>
        <w:spacing w:before="156" w:beforeLines="50" w:after="156" w:afterLines="50"/>
        <w:jc w:val="left"/>
        <w:rPr>
          <w:rFonts w:ascii="宋体" w:hAnsi="宋体" w:eastAsia="宋体" w:cs="宋体"/>
        </w:rPr>
      </w:pPr>
      <w:r>
        <w:rPr>
          <w:rFonts w:hint="eastAsia" w:ascii="宋体" w:hAnsi="宋体" w:eastAsia="宋体" w:cs="宋体"/>
        </w:rPr>
        <w:t>项目背景</w:t>
      </w:r>
    </w:p>
    <w:p>
      <w:pPr>
        <w:rPr>
          <w:rFonts w:hint="eastAsia"/>
        </w:rPr>
      </w:pPr>
      <w:r>
        <w:rPr>
          <w:rFonts w:hint="eastAsia"/>
        </w:rPr>
        <w:t>3.1 项目的必要性简述</w:t>
      </w:r>
    </w:p>
    <w:p>
      <w:pPr>
        <w:ind w:firstLine="420"/>
        <w:rPr>
          <w:rFonts w:hint="default" w:eastAsia="宋体"/>
          <w:lang w:val="en-US" w:eastAsia="zh-CN"/>
        </w:rPr>
      </w:pPr>
      <w:r>
        <w:rPr>
          <w:rFonts w:hint="eastAsia"/>
        </w:rPr>
        <w:t>目前，众多氧化物的生产和交易过程中，均有硫酸根的限制要求，但目前仍未建立相应的标准。业内试验室在检测过程中多参考GB/T 16484.12-2009《氯化稀土、碳酸稀土化学分析方法  硫酸根含量的测定》，但该方法试验条件并不完全适用于稀土氧化物</w:t>
      </w:r>
      <w:r>
        <w:rPr>
          <w:rFonts w:hint="eastAsia"/>
          <w:lang w:eastAsia="zh-CN"/>
        </w:rPr>
        <w:t>，</w:t>
      </w:r>
      <w:r>
        <w:rPr>
          <w:rFonts w:hint="eastAsia"/>
        </w:rPr>
        <w:t>因此有必要建立统一、快速、准确的稀土氧化物中硫酸根测定的国家标准。</w:t>
      </w:r>
      <w:r>
        <w:rPr>
          <w:rFonts w:hint="eastAsia"/>
          <w:lang w:val="en-US" w:eastAsia="zh-CN"/>
        </w:rPr>
        <w:t>鉴于此，</w:t>
      </w:r>
      <w:r>
        <w:rPr>
          <w:rFonts w:hint="eastAsia"/>
        </w:rPr>
        <w:t xml:space="preserve">有必要增加GB/T </w:t>
      </w:r>
      <w:r>
        <w:rPr>
          <w:rFonts w:hint="eastAsia"/>
          <w:lang w:val="en-US" w:eastAsia="zh-CN"/>
        </w:rPr>
        <w:t>12690</w:t>
      </w:r>
      <w:r>
        <w:rPr>
          <w:rFonts w:hint="eastAsia"/>
        </w:rPr>
        <w:t>的第</w:t>
      </w:r>
      <w:r>
        <w:rPr>
          <w:rFonts w:hint="eastAsia"/>
          <w:lang w:val="en-US" w:eastAsia="zh-CN"/>
        </w:rPr>
        <w:t>21</w:t>
      </w:r>
      <w:r>
        <w:rPr>
          <w:rFonts w:hint="eastAsia"/>
        </w:rPr>
        <w:t>部分：</w:t>
      </w:r>
      <w:r>
        <w:rPr>
          <w:rFonts w:hint="eastAsia"/>
          <w:lang w:val="en-US" w:eastAsia="zh-CN"/>
        </w:rPr>
        <w:t>稀土氧化物中硫酸根</w:t>
      </w:r>
      <w:r>
        <w:rPr>
          <w:rFonts w:hint="eastAsia"/>
        </w:rPr>
        <w:t>含量的测定</w:t>
      </w:r>
      <w:r>
        <w:rPr>
          <w:rFonts w:hint="eastAsia"/>
          <w:lang w:eastAsia="zh-CN"/>
        </w:rPr>
        <w:t>，</w:t>
      </w:r>
      <w:r>
        <w:rPr>
          <w:rFonts w:hint="eastAsia"/>
          <w:lang w:val="en-US" w:eastAsia="zh-CN"/>
        </w:rPr>
        <w:t>包含两个方法，方法1：比浊法；方法2：重量法。</w:t>
      </w:r>
    </w:p>
    <w:p>
      <w:r>
        <w:rPr>
          <w:rFonts w:hint="eastAsia"/>
        </w:rPr>
        <w:t>3.2 项目的可行性简述</w:t>
      </w:r>
    </w:p>
    <w:p>
      <w:pPr>
        <w:pStyle w:val="264"/>
        <w:ind w:firstLine="420"/>
        <w:rPr>
          <w:highlight w:val="none"/>
        </w:rPr>
      </w:pPr>
      <w:r>
        <w:rPr>
          <w:rFonts w:hint="eastAsia"/>
          <w:highlight w:val="none"/>
          <w:lang w:val="en-US" w:eastAsia="zh-CN"/>
        </w:rPr>
        <w:t>比浊</w:t>
      </w:r>
      <w:r>
        <w:rPr>
          <w:rFonts w:hint="eastAsia"/>
          <w:highlight w:val="none"/>
        </w:rPr>
        <w:t>法具有检出限低、</w:t>
      </w:r>
      <w:r>
        <w:rPr>
          <w:rFonts w:hint="eastAsia"/>
          <w:highlight w:val="none"/>
          <w:lang w:val="en-US" w:eastAsia="zh-CN"/>
        </w:rPr>
        <w:t>操作简单、快速、准确</w:t>
      </w:r>
      <w:r>
        <w:rPr>
          <w:rFonts w:hint="eastAsia"/>
          <w:highlight w:val="none"/>
        </w:rPr>
        <w:t>等优势，在稀土行业中广泛运用</w:t>
      </w:r>
      <w:r>
        <w:rPr>
          <w:rFonts w:hint="eastAsia"/>
          <w:highlight w:val="none"/>
          <w:lang w:eastAsia="zh-CN"/>
        </w:rPr>
        <w:t>、</w:t>
      </w:r>
      <w:r>
        <w:rPr>
          <w:rFonts w:hint="eastAsia"/>
          <w:highlight w:val="none"/>
          <w:lang w:val="en-US" w:eastAsia="zh-CN"/>
        </w:rPr>
        <w:t>历史悠久</w:t>
      </w:r>
      <w:r>
        <w:rPr>
          <w:rFonts w:hint="eastAsia"/>
          <w:highlight w:val="none"/>
        </w:rPr>
        <w:t>，分析技术已非常成熟。《</w:t>
      </w:r>
      <w:r>
        <w:rPr>
          <w:rFonts w:hint="default" w:ascii="Times New Roman" w:hAnsi="Times New Roman" w:cs="Times New Roman"/>
          <w:lang w:val="en-US" w:eastAsia="zh-CN"/>
        </w:rPr>
        <w:t>稀土金属及其氧化物中非稀土杂质</w:t>
      </w:r>
      <w:r>
        <w:rPr>
          <w:rFonts w:hint="default" w:ascii="Times New Roman" w:hAnsi="Times New Roman" w:cs="Times New Roman"/>
        </w:rPr>
        <w:t>化学分析方法 第</w:t>
      </w:r>
      <w:r>
        <w:rPr>
          <w:rFonts w:hint="default" w:ascii="Times New Roman" w:hAnsi="Times New Roman" w:cs="Times New Roman"/>
          <w:lang w:val="en-US" w:eastAsia="zh-CN"/>
        </w:rPr>
        <w:t>21</w:t>
      </w:r>
      <w:r>
        <w:rPr>
          <w:rFonts w:hint="default" w:ascii="Times New Roman" w:hAnsi="Times New Roman" w:cs="Times New Roman"/>
        </w:rPr>
        <w:t>部分：</w:t>
      </w:r>
      <w:r>
        <w:rPr>
          <w:rFonts w:hint="default" w:ascii="Times New Roman" w:hAnsi="Times New Roman" w:cs="Times New Roman"/>
          <w:lang w:val="en-US" w:eastAsia="zh-CN"/>
        </w:rPr>
        <w:t>稀土氧化物中硫酸根含量</w:t>
      </w:r>
      <w:r>
        <w:rPr>
          <w:rFonts w:hint="default" w:ascii="Times New Roman" w:hAnsi="Times New Roman" w:cs="Times New Roman"/>
        </w:rPr>
        <w:t>的测定</w:t>
      </w:r>
      <w:r>
        <w:rPr>
          <w:rFonts w:hint="eastAsia"/>
          <w:highlight w:val="none"/>
        </w:rPr>
        <w:t>》通过系统的试验和多家实验室的验证，具有操作简单、快速、准确的优势。有利于在各类检测机构推广应用，对于促进我国稀土产品的生产和贸易具有重要意义。</w:t>
      </w:r>
    </w:p>
    <w:p>
      <w:pPr>
        <w:pStyle w:val="120"/>
        <w:numPr>
          <w:ilvl w:val="0"/>
          <w:numId w:val="3"/>
        </w:numPr>
        <w:tabs>
          <w:tab w:val="clear" w:pos="675"/>
        </w:tabs>
        <w:spacing w:before="156" w:beforeLines="50" w:after="156" w:afterLines="50"/>
        <w:jc w:val="left"/>
      </w:pPr>
      <w:r>
        <w:rPr>
          <w:rFonts w:hint="eastAsia" w:ascii="宋体" w:hAnsi="宋体" w:eastAsia="宋体" w:cs="宋体"/>
        </w:rPr>
        <w:t>主要工作过程</w:t>
      </w:r>
    </w:p>
    <w:p>
      <w:pPr>
        <w:numPr>
          <w:ilvl w:val="0"/>
          <w:numId w:val="0"/>
        </w:numPr>
        <w:ind w:leftChars="0"/>
        <w:rPr>
          <w:rFonts w:hint="eastAsia"/>
          <w:lang w:val="en-US" w:eastAsia="zh-CN"/>
        </w:rPr>
      </w:pPr>
      <w:r>
        <w:rPr>
          <w:rFonts w:hint="eastAsia"/>
          <w:lang w:val="en-US" w:eastAsia="zh-CN"/>
        </w:rPr>
        <w:t>4.1 预研阶段</w:t>
      </w:r>
    </w:p>
    <w:p>
      <w:pPr>
        <w:pStyle w:val="264"/>
        <w:ind w:firstLine="420"/>
      </w:pPr>
      <w:r>
        <w:rPr>
          <w:rFonts w:hint="eastAsia"/>
          <w:lang w:val="en-US" w:eastAsia="zh-CN"/>
        </w:rPr>
        <w:t>福建省长汀金龙稀土有限公司</w:t>
      </w:r>
      <w:r>
        <w:rPr>
          <w:rFonts w:hint="eastAsia"/>
        </w:rPr>
        <w:t>在总结对</w:t>
      </w:r>
      <w:r>
        <w:rPr>
          <w:rFonts w:hint="eastAsia"/>
          <w:lang w:val="en-US" w:eastAsia="zh-CN"/>
        </w:rPr>
        <w:t>稀土氧化物</w:t>
      </w:r>
      <w:r>
        <w:rPr>
          <w:rFonts w:hint="eastAsia"/>
        </w:rPr>
        <w:t>中</w:t>
      </w:r>
      <w:r>
        <w:rPr>
          <w:rFonts w:hint="eastAsia"/>
          <w:lang w:val="en-US" w:eastAsia="zh-CN"/>
        </w:rPr>
        <w:t>硫酸根含量</w:t>
      </w:r>
      <w:r>
        <w:rPr>
          <w:rFonts w:hint="eastAsia"/>
        </w:rPr>
        <w:t>的测定检测经验的基础上，对</w:t>
      </w:r>
      <w:r>
        <w:rPr>
          <w:rFonts w:hint="eastAsia"/>
          <w:lang w:val="en-US" w:eastAsia="zh-CN"/>
        </w:rPr>
        <w:t>稀土氧化物</w:t>
      </w:r>
      <w:r>
        <w:rPr>
          <w:rFonts w:hint="eastAsia"/>
        </w:rPr>
        <w:t>中</w:t>
      </w:r>
      <w:r>
        <w:rPr>
          <w:rFonts w:hint="eastAsia"/>
          <w:lang w:val="en-US" w:eastAsia="zh-CN"/>
        </w:rPr>
        <w:t>硫酸根含量</w:t>
      </w:r>
      <w:r>
        <w:rPr>
          <w:rFonts w:hint="eastAsia"/>
        </w:rPr>
        <w:t>的测定进行条件试验，初步形成试验方法。</w:t>
      </w:r>
    </w:p>
    <w:p>
      <w:pPr>
        <w:pStyle w:val="264"/>
        <w:ind w:firstLine="420"/>
        <w:rPr>
          <w:rFonts w:hint="default" w:ascii="Times New Roman" w:hAnsi="Times New Roman" w:cs="Times New Roman"/>
          <w:highlight w:val="yellow"/>
        </w:rPr>
      </w:pPr>
      <w:r>
        <w:rPr>
          <w:rFonts w:hint="default" w:ascii="Times New Roman" w:hAnsi="Times New Roman" w:cs="Times New Roman"/>
        </w:rPr>
        <w:t>2020 年</w:t>
      </w:r>
      <w:r>
        <w:rPr>
          <w:rFonts w:hint="default" w:ascii="Times New Roman" w:hAnsi="Times New Roman" w:cs="Times New Roman"/>
          <w:lang w:val="en-US" w:eastAsia="zh-CN"/>
        </w:rPr>
        <w:t>11</w:t>
      </w:r>
      <w:r>
        <w:rPr>
          <w:rFonts w:hint="default" w:ascii="Times New Roman" w:hAnsi="Times New Roman" w:cs="Times New Roman"/>
        </w:rPr>
        <w:t>月，提交《</w:t>
      </w:r>
      <w:r>
        <w:rPr>
          <w:rFonts w:hint="default" w:ascii="Times New Roman" w:hAnsi="Times New Roman" w:cs="Times New Roman"/>
          <w:lang w:val="en-US" w:eastAsia="zh-CN"/>
        </w:rPr>
        <w:t>稀土金属及其氧化物中非稀土杂质</w:t>
      </w:r>
      <w:r>
        <w:rPr>
          <w:rFonts w:hint="default" w:ascii="Times New Roman" w:hAnsi="Times New Roman" w:cs="Times New Roman"/>
        </w:rPr>
        <w:t>化学分析方法 第</w:t>
      </w:r>
      <w:r>
        <w:rPr>
          <w:rFonts w:hint="default" w:ascii="Times New Roman" w:hAnsi="Times New Roman" w:cs="Times New Roman"/>
          <w:lang w:val="en-US" w:eastAsia="zh-CN"/>
        </w:rPr>
        <w:t>21</w:t>
      </w:r>
      <w:r>
        <w:rPr>
          <w:rFonts w:hint="default" w:ascii="Times New Roman" w:hAnsi="Times New Roman" w:cs="Times New Roman"/>
        </w:rPr>
        <w:t>部分：</w:t>
      </w:r>
      <w:r>
        <w:rPr>
          <w:rFonts w:hint="default" w:ascii="Times New Roman" w:hAnsi="Times New Roman" w:cs="Times New Roman"/>
          <w:lang w:val="en-US" w:eastAsia="zh-CN"/>
        </w:rPr>
        <w:t>稀土氧化物中硫酸根含量</w:t>
      </w:r>
      <w:r>
        <w:rPr>
          <w:rFonts w:hint="default" w:ascii="Times New Roman" w:hAnsi="Times New Roman" w:cs="Times New Roman"/>
        </w:rPr>
        <w:t>的测定》</w:t>
      </w:r>
      <w:r>
        <w:rPr>
          <w:rFonts w:hint="default" w:ascii="Times New Roman" w:hAnsi="Times New Roman" w:cs="Times New Roman"/>
          <w:lang w:val="en-US" w:eastAsia="zh-CN"/>
        </w:rPr>
        <w:t>国家</w:t>
      </w:r>
      <w:r>
        <w:rPr>
          <w:rFonts w:hint="default" w:ascii="Times New Roman" w:hAnsi="Times New Roman" w:cs="Times New Roman"/>
        </w:rPr>
        <w:t>标准项目建议书。</w:t>
      </w:r>
    </w:p>
    <w:p>
      <w:pPr>
        <w:numPr>
          <w:ilvl w:val="0"/>
          <w:numId w:val="0"/>
        </w:numPr>
        <w:ind w:leftChars="0"/>
        <w:rPr>
          <w:rFonts w:hint="eastAsia"/>
          <w:lang w:val="en-US" w:eastAsia="zh-CN"/>
        </w:rPr>
      </w:pPr>
      <w:r>
        <w:rPr>
          <w:rFonts w:hint="eastAsia"/>
          <w:lang w:val="en-US" w:eastAsia="zh-CN"/>
        </w:rPr>
        <w:t>4.2 立项阶段</w:t>
      </w:r>
    </w:p>
    <w:p>
      <w:pPr>
        <w:pStyle w:val="264"/>
        <w:ind w:firstLine="420"/>
        <w:rPr>
          <w:rFonts w:hint="default" w:ascii="Times New Roman" w:hAnsi="Times New Roman" w:cs="Times New Roman"/>
        </w:rPr>
      </w:pPr>
      <w:r>
        <w:rPr>
          <w:rFonts w:hint="eastAsia" w:ascii="Times New Roman" w:hAnsi="Times New Roman" w:cs="Times New Roman"/>
        </w:rPr>
        <w:t>20</w:t>
      </w:r>
      <w:r>
        <w:rPr>
          <w:rFonts w:hint="default" w:ascii="Times New Roman" w:hAnsi="Times New Roman" w:cs="Times New Roman"/>
        </w:rPr>
        <w:t>20</w:t>
      </w:r>
      <w:r>
        <w:rPr>
          <w:rFonts w:hint="eastAsia" w:ascii="Times New Roman" w:hAnsi="Times New Roman" w:cs="Times New Roman"/>
        </w:rPr>
        <w:t>年</w:t>
      </w:r>
      <w:r>
        <w:rPr>
          <w:rFonts w:hint="eastAsia" w:ascii="Times New Roman" w:hAnsi="Times New Roman" w:cs="Times New Roman"/>
          <w:lang w:val="en-US" w:eastAsia="zh-CN"/>
        </w:rPr>
        <w:t>11</w:t>
      </w:r>
      <w:r>
        <w:rPr>
          <w:rFonts w:hint="eastAsia" w:ascii="Times New Roman" w:hAnsi="Times New Roman" w:cs="Times New Roman"/>
        </w:rPr>
        <w:t>月向全国稀标委秘书处提交了本项目的项目建议书、立项论证报告、草案稿，正式申请立项。全国稀土标委会对本项目立项进行了意见征集并组织了全体委员进行投票，最终通过了本项目的立项请求，并上报国标委获批立项。</w:t>
      </w:r>
    </w:p>
    <w:p>
      <w:pPr>
        <w:keepNext w:val="0"/>
        <w:keepLines w:val="0"/>
        <w:widowControl/>
        <w:suppressLineNumbers w:val="0"/>
        <w:jc w:val="left"/>
        <w:rPr>
          <w:rFonts w:hint="eastAsia" w:ascii="Times New Roman" w:hAnsi="Times New Roman" w:cs="Times New Roman"/>
        </w:rPr>
      </w:pPr>
      <w:r>
        <w:rPr>
          <w:rFonts w:hint="eastAsia" w:ascii="Times New Roman" w:hAnsi="Times New Roman" w:cs="Times New Roman"/>
        </w:rPr>
        <w:t>202</w:t>
      </w:r>
      <w:r>
        <w:rPr>
          <w:rFonts w:hint="default" w:ascii="Times New Roman" w:hAnsi="Times New Roman" w:cs="Times New Roman"/>
        </w:rPr>
        <w:t>2</w:t>
      </w:r>
      <w:r>
        <w:rPr>
          <w:rFonts w:hint="eastAsia" w:ascii="Times New Roman" w:hAnsi="Times New Roman" w:cs="Times New Roman"/>
        </w:rPr>
        <w:t>年9月</w:t>
      </w:r>
      <w:r>
        <w:rPr>
          <w:rFonts w:hint="default" w:ascii="Times New Roman" w:hAnsi="Times New Roman" w:cs="Times New Roman"/>
        </w:rPr>
        <w:t>27</w:t>
      </w:r>
      <w:r>
        <w:rPr>
          <w:rFonts w:hint="eastAsia" w:ascii="Times New Roman" w:hAnsi="Times New Roman" w:cs="Times New Roman"/>
        </w:rPr>
        <w:t>日全国稀土标准化技术委员会于网络召开“202</w:t>
      </w:r>
      <w:r>
        <w:rPr>
          <w:rFonts w:hint="default" w:ascii="Times New Roman" w:hAnsi="Times New Roman" w:cs="Times New Roman"/>
        </w:rPr>
        <w:t>2</w:t>
      </w:r>
      <w:r>
        <w:rPr>
          <w:rFonts w:hint="eastAsia" w:ascii="Times New Roman" w:hAnsi="Times New Roman" w:cs="Times New Roman"/>
        </w:rPr>
        <w:t>年第七次稀土标准制修订工作会”，会议完成了2022年下达的12项稀土国家标准制修订计划的任务落实。会议确定《</w:t>
      </w:r>
      <w:r>
        <w:rPr>
          <w:rFonts w:hint="eastAsia" w:ascii="Times New Roman" w:hAnsi="Times New Roman" w:cs="Times New Roman"/>
          <w:lang w:val="en-US" w:eastAsia="zh-CN"/>
        </w:rPr>
        <w:t>稀土金属及其氧化物中非稀土杂质</w:t>
      </w:r>
      <w:r>
        <w:rPr>
          <w:rFonts w:hint="eastAsia" w:ascii="Times New Roman" w:hAnsi="Times New Roman" w:cs="Times New Roman"/>
        </w:rPr>
        <w:t>化学分析方法 第</w:t>
      </w:r>
      <w:r>
        <w:rPr>
          <w:rFonts w:hint="eastAsia" w:ascii="Times New Roman" w:hAnsi="Times New Roman" w:cs="Times New Roman"/>
          <w:lang w:val="en-US" w:eastAsia="zh-CN"/>
        </w:rPr>
        <w:t>21</w:t>
      </w:r>
      <w:r>
        <w:rPr>
          <w:rFonts w:hint="eastAsia" w:ascii="Times New Roman" w:hAnsi="Times New Roman" w:cs="Times New Roman"/>
        </w:rPr>
        <w:t>部分：</w:t>
      </w:r>
      <w:r>
        <w:rPr>
          <w:rFonts w:hint="eastAsia" w:ascii="Times New Roman" w:hAnsi="Times New Roman" w:cs="Times New Roman"/>
          <w:lang w:val="en-US" w:eastAsia="zh-CN"/>
        </w:rPr>
        <w:t>稀土氧化物中硫酸根含量</w:t>
      </w:r>
      <w:r>
        <w:rPr>
          <w:rFonts w:hint="eastAsia" w:ascii="Times New Roman" w:hAnsi="Times New Roman" w:cs="Times New Roman"/>
        </w:rPr>
        <w:t>的测定》</w:t>
      </w:r>
      <w:r>
        <w:rPr>
          <w:rFonts w:hint="eastAsia" w:ascii="Times New Roman" w:hAnsi="Times New Roman" w:cs="Times New Roman"/>
          <w:lang w:val="en-US" w:eastAsia="zh-CN"/>
        </w:rPr>
        <w:t>方法1</w:t>
      </w:r>
      <w:r>
        <w:rPr>
          <w:rFonts w:hint="eastAsia" w:ascii="Times New Roman" w:hAnsi="Times New Roman" w:cs="Times New Roman"/>
        </w:rPr>
        <w:t>负责起草单位为福建省长汀金龙稀土有限公司；</w:t>
      </w:r>
      <w:r>
        <w:rPr>
          <w:rFonts w:hint="eastAsia" w:ascii="Times New Roman" w:hAnsi="Times New Roman" w:cs="Times New Roman"/>
          <w:lang w:val="en-US" w:eastAsia="zh-CN"/>
        </w:rPr>
        <w:t>方法1</w:t>
      </w:r>
      <w:r>
        <w:rPr>
          <w:rFonts w:hint="eastAsia" w:cs="Times New Roman"/>
          <w:lang w:val="en-US" w:eastAsia="zh-CN"/>
        </w:rPr>
        <w:t>：比浊法</w:t>
      </w:r>
      <w:r>
        <w:rPr>
          <w:rFonts w:hint="eastAsia" w:ascii="Times New Roman" w:hAnsi="Times New Roman" w:cs="Times New Roman"/>
          <w:lang w:val="en-US" w:eastAsia="zh-CN"/>
        </w:rPr>
        <w:t>的</w:t>
      </w:r>
      <w:r>
        <w:rPr>
          <w:rFonts w:hint="eastAsia" w:ascii="Times New Roman" w:hAnsi="Times New Roman" w:cs="Times New Roman"/>
        </w:rPr>
        <w:t>一验单位为</w:t>
      </w:r>
      <w:r>
        <w:rPr>
          <w:rFonts w:hint="eastAsia" w:cs="Times New Roman"/>
          <w:lang w:val="en-US" w:eastAsia="zh-CN"/>
        </w:rPr>
        <w:t>包头稀土研究院</w:t>
      </w:r>
      <w:r>
        <w:rPr>
          <w:rFonts w:hint="eastAsia" w:ascii="Times New Roman" w:hAnsi="Times New Roman" w:cs="Times New Roman"/>
        </w:rPr>
        <w:t>、</w:t>
      </w:r>
      <w:r>
        <w:rPr>
          <w:rFonts w:hint="eastAsia" w:cs="Times New Roman"/>
          <w:lang w:val="en-US" w:eastAsia="zh-CN"/>
        </w:rPr>
        <w:t>国合通用测试评价认证股份有限公司，</w:t>
      </w:r>
      <w:r>
        <w:rPr>
          <w:rFonts w:hint="eastAsia" w:cs="Times New Roman"/>
          <w:sz w:val="21"/>
          <w:szCs w:val="21"/>
          <w:lang w:val="en-US" w:eastAsia="zh-CN"/>
        </w:rPr>
        <w:t>二验单位为</w:t>
      </w:r>
      <w:r>
        <w:rPr>
          <w:rFonts w:hint="eastAsia" w:ascii="宋体" w:hAnsi="宋体" w:eastAsia="宋体" w:cs="宋体"/>
          <w:color w:val="000000"/>
          <w:kern w:val="0"/>
          <w:sz w:val="21"/>
          <w:szCs w:val="21"/>
          <w:lang w:val="en-US" w:eastAsia="zh-CN" w:bidi="ar"/>
        </w:rPr>
        <w:t>赣州晨光稀土新材料有限公司、四川省乐山锐丰冶金有限公司、包头华美稀土高科有限公司、定南大华新材料资源有限公司</w:t>
      </w:r>
      <w:r>
        <w:rPr>
          <w:rFonts w:hint="eastAsia" w:ascii="宋体" w:hAnsi="宋体" w:cs="宋体"/>
          <w:color w:val="000000"/>
          <w:kern w:val="0"/>
          <w:sz w:val="21"/>
          <w:szCs w:val="21"/>
          <w:lang w:val="en-US" w:eastAsia="zh-CN" w:bidi="ar"/>
        </w:rPr>
        <w:t>。</w:t>
      </w:r>
      <w:r>
        <w:rPr>
          <w:rFonts w:hint="eastAsia" w:ascii="Times New Roman" w:hAnsi="Times New Roman" w:cs="Times New Roman"/>
        </w:rPr>
        <w:t>会议确定了项目的时间进度安排等。</w:t>
      </w:r>
    </w:p>
    <w:p>
      <w:pPr>
        <w:numPr>
          <w:ilvl w:val="0"/>
          <w:numId w:val="0"/>
        </w:numPr>
        <w:ind w:leftChars="0"/>
        <w:rPr>
          <w:rFonts w:hint="eastAsia"/>
          <w:lang w:val="en-US" w:eastAsia="zh-CN"/>
        </w:rPr>
      </w:pPr>
      <w:r>
        <w:rPr>
          <w:rFonts w:hint="eastAsia"/>
          <w:lang w:val="en-US" w:eastAsia="zh-CN"/>
        </w:rPr>
        <w:t>4.3 起草阶段</w:t>
      </w:r>
    </w:p>
    <w:p>
      <w:pPr>
        <w:ind w:firstLine="420" w:firstLineChars="200"/>
        <w:rPr>
          <w:rFonts w:hint="eastAsia" w:ascii="宋体" w:hAnsi="宋体" w:cs="宋体"/>
        </w:rPr>
      </w:pPr>
      <w:r>
        <w:rPr>
          <w:rFonts w:hint="eastAsia" w:ascii="宋体" w:hAnsi="宋体" w:cs="宋体"/>
        </w:rPr>
        <w:t>福建省长汀金龙稀土有限公司接受任务后，立即成立了国家标准《</w:t>
      </w:r>
      <w:r>
        <w:rPr>
          <w:rFonts w:hint="eastAsia" w:ascii="宋体" w:hAnsi="宋体" w:cs="宋体"/>
          <w:szCs w:val="20"/>
          <w:lang w:val="en-US" w:eastAsia="zh-CN"/>
        </w:rPr>
        <w:t>稀土金属及其氧化物中非稀土杂质</w:t>
      </w:r>
      <w:r>
        <w:rPr>
          <w:rFonts w:hint="eastAsia" w:ascii="宋体" w:hAnsi="宋体" w:cs="宋体"/>
          <w:szCs w:val="20"/>
        </w:rPr>
        <w:t>化学方法 第</w:t>
      </w:r>
      <w:r>
        <w:rPr>
          <w:rFonts w:hint="eastAsia" w:ascii="宋体" w:hAnsi="宋体" w:cs="宋体"/>
          <w:szCs w:val="20"/>
          <w:lang w:val="en-US" w:eastAsia="zh-CN"/>
        </w:rPr>
        <w:t>21</w:t>
      </w:r>
      <w:r>
        <w:rPr>
          <w:rFonts w:hint="eastAsia" w:ascii="宋体" w:hAnsi="宋体" w:cs="宋体"/>
          <w:szCs w:val="20"/>
        </w:rPr>
        <w:t>部分：</w:t>
      </w:r>
      <w:r>
        <w:rPr>
          <w:rFonts w:hint="eastAsia" w:ascii="宋体" w:hAnsi="宋体" w:cs="宋体"/>
          <w:szCs w:val="20"/>
          <w:lang w:val="en-US" w:eastAsia="zh-CN"/>
        </w:rPr>
        <w:t>稀土氧化物中硫酸根</w:t>
      </w:r>
      <w:r>
        <w:rPr>
          <w:rFonts w:hint="eastAsia" w:ascii="宋体" w:hAnsi="宋体" w:cs="宋体"/>
          <w:szCs w:val="20"/>
        </w:rPr>
        <w:t>含量的测定</w:t>
      </w:r>
      <w:r>
        <w:rPr>
          <w:rFonts w:hint="eastAsia" w:ascii="宋体" w:hAnsi="宋体" w:cs="宋体"/>
        </w:rPr>
        <w:t>》研发小组。</w:t>
      </w:r>
    </w:p>
    <w:p>
      <w:pPr>
        <w:ind w:firstLine="420" w:firstLineChars="200"/>
        <w:rPr>
          <w:rFonts w:hint="default" w:ascii="宋体" w:hAnsi="宋体" w:eastAsia="宋体" w:cs="宋体"/>
          <w:lang w:val="en-US" w:eastAsia="zh-CN"/>
        </w:rPr>
      </w:pPr>
      <w:r>
        <w:rPr>
          <w:rFonts w:hint="eastAsia" w:ascii="宋体" w:hAnsi="宋体" w:cs="宋体"/>
          <w:lang w:val="en-US" w:eastAsia="zh-CN"/>
        </w:rPr>
        <w:t>2023年4月针对稀土氧化物、离子型稀土矿混合稀土氧化物等稀土产品进行了条件试验摸索，初步形成试验方法。</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7</w:t>
      </w:r>
      <w:r>
        <w:rPr>
          <w:rFonts w:hint="eastAsia" w:ascii="宋体" w:hAnsi="宋体" w:cs="宋体"/>
        </w:rPr>
        <w:t>月，牵头</w:t>
      </w:r>
      <w:r>
        <w:rPr>
          <w:rFonts w:ascii="宋体" w:hAnsi="宋体" w:cs="宋体"/>
        </w:rPr>
        <w:t>起草单位准备好了</w:t>
      </w:r>
      <w:r>
        <w:rPr>
          <w:rFonts w:hint="eastAsia" w:ascii="宋体" w:hAnsi="宋体" w:cs="宋体"/>
        </w:rPr>
        <w:t>试验用统一样品，开展了精密度、加标回收等试验，证明方法准确可靠。</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牵头起草单位</w:t>
      </w:r>
      <w:r>
        <w:rPr>
          <w:rFonts w:hint="eastAsia" w:ascii="宋体" w:hAnsi="宋体" w:cs="宋体"/>
        </w:rPr>
        <w:t>对实验数据进行整理，完成了国家标准《</w:t>
      </w:r>
      <w:r>
        <w:rPr>
          <w:rFonts w:hint="eastAsia" w:ascii="宋体" w:hAnsi="宋体" w:cs="宋体"/>
          <w:lang w:val="en-US" w:eastAsia="zh-CN"/>
        </w:rPr>
        <w:t>稀土金属及其氧化物中非稀土杂质</w:t>
      </w:r>
      <w:r>
        <w:rPr>
          <w:rFonts w:hint="eastAsia" w:ascii="宋体" w:hAnsi="宋体" w:cs="宋体"/>
        </w:rPr>
        <w:t>化学方法 第</w:t>
      </w:r>
      <w:r>
        <w:rPr>
          <w:rFonts w:hint="eastAsia" w:ascii="宋体" w:hAnsi="宋体" w:cs="宋体"/>
          <w:lang w:val="en-US" w:eastAsia="zh-CN"/>
        </w:rPr>
        <w:t>21</w:t>
      </w:r>
      <w:r>
        <w:rPr>
          <w:rFonts w:hint="eastAsia" w:ascii="宋体" w:hAnsi="宋体" w:cs="宋体"/>
        </w:rPr>
        <w:t>部分：</w:t>
      </w:r>
      <w:r>
        <w:rPr>
          <w:rFonts w:hint="eastAsia" w:ascii="宋体" w:hAnsi="宋体" w:cs="宋体"/>
          <w:lang w:val="en-US" w:eastAsia="zh-CN"/>
        </w:rPr>
        <w:t>稀土氧化物中硫酸根含量</w:t>
      </w:r>
      <w:r>
        <w:rPr>
          <w:rFonts w:hint="eastAsia" w:ascii="宋体" w:hAnsi="宋体" w:cs="宋体"/>
        </w:rPr>
        <w:t>的测定》方法研究报告的编写，并将样品和方法研究报告</w:t>
      </w:r>
      <w:r>
        <w:rPr>
          <w:rFonts w:hint="eastAsia" w:ascii="宋体" w:hAnsi="宋体" w:cs="宋体"/>
          <w:lang w:val="en-US" w:eastAsia="zh-CN"/>
        </w:rPr>
        <w:t>发</w:t>
      </w:r>
      <w:r>
        <w:rPr>
          <w:rFonts w:hint="eastAsia" w:ascii="宋体" w:hAnsi="宋体" w:cs="宋体"/>
        </w:rPr>
        <w:t>给验证单位进行验证工作。</w:t>
      </w:r>
    </w:p>
    <w:p>
      <w:pPr>
        <w:ind w:firstLine="420"/>
        <w:rPr>
          <w:rFonts w:hint="default" w:ascii="宋体" w:hAnsi="宋体" w:eastAsia="宋体" w:cs="宋体"/>
          <w:lang w:val="en-US" w:eastAsia="zh-CN"/>
        </w:rPr>
      </w:pPr>
      <w:r>
        <w:rPr>
          <w:rFonts w:hint="eastAsia" w:ascii="宋体" w:hAnsi="宋体" w:cs="宋体"/>
        </w:rPr>
        <w:t>截止2023年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r>
        <w:rPr>
          <w:rFonts w:hint="eastAsia" w:ascii="宋体" w:hAnsi="宋体" w:cs="宋体"/>
          <w:lang w:val="en-US" w:eastAsia="zh-CN"/>
        </w:rPr>
        <w:t>方法1</w:t>
      </w:r>
      <w:r>
        <w:rPr>
          <w:rFonts w:hint="eastAsia" w:ascii="宋体" w:hAnsi="宋体" w:cs="宋体"/>
        </w:rPr>
        <w:t>各验证单位（2家一验，</w:t>
      </w:r>
      <w:r>
        <w:rPr>
          <w:rFonts w:hint="eastAsia" w:ascii="宋体" w:hAnsi="宋体" w:cs="宋体"/>
          <w:lang w:val="en-US" w:eastAsia="zh-CN"/>
        </w:rPr>
        <w:t>4</w:t>
      </w:r>
      <w:r>
        <w:rPr>
          <w:rFonts w:hint="eastAsia" w:ascii="宋体" w:hAnsi="宋体" w:cs="宋体"/>
        </w:rPr>
        <w:t>家二验）完成标准的验证工作并返回验证报告。</w:t>
      </w:r>
    </w:p>
    <w:p>
      <w:pPr>
        <w:ind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除文字外的修改，在验证过程中，各验证单位提出意见见表2</w:t>
      </w:r>
      <w:r>
        <w:rPr>
          <w:rFonts w:hint="eastAsia" w:ascii="宋体" w:hAnsi="宋体" w:cs="宋体"/>
          <w:color w:val="000000" w:themeColor="text1"/>
          <w:lang w:eastAsia="zh-CN"/>
          <w14:textFill>
            <w14:solidFill>
              <w14:schemeClr w14:val="tx1"/>
            </w14:solidFill>
          </w14:textFill>
        </w:rPr>
        <w:t>。</w:t>
      </w:r>
    </w:p>
    <w:p>
      <w:pPr>
        <w:ind w:firstLine="42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表2</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验证单位意见汇总表</w:t>
      </w:r>
    </w:p>
    <w:tbl>
      <w:tblPr>
        <w:tblStyle w:val="8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51"/>
        <w:gridCol w:w="3359"/>
        <w:gridCol w:w="1425"/>
        <w:gridCol w:w="129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szCs w:val="21"/>
              </w:rPr>
            </w:pPr>
            <w:r>
              <w:rPr>
                <w:rFonts w:hint="eastAsia"/>
                <w:szCs w:val="21"/>
              </w:rPr>
              <w:t>序号</w:t>
            </w:r>
          </w:p>
        </w:tc>
        <w:tc>
          <w:tcPr>
            <w:tcW w:w="851" w:type="dxa"/>
            <w:vAlign w:val="center"/>
          </w:tcPr>
          <w:p>
            <w:pPr>
              <w:adjustRightInd w:val="0"/>
              <w:snapToGrid w:val="0"/>
              <w:spacing w:line="360" w:lineRule="auto"/>
              <w:jc w:val="center"/>
              <w:rPr>
                <w:szCs w:val="21"/>
              </w:rPr>
            </w:pPr>
            <w:r>
              <w:rPr>
                <w:rFonts w:hint="eastAsia"/>
                <w:szCs w:val="21"/>
              </w:rPr>
              <w:t>编号</w:t>
            </w:r>
          </w:p>
        </w:tc>
        <w:tc>
          <w:tcPr>
            <w:tcW w:w="3359" w:type="dxa"/>
            <w:vAlign w:val="center"/>
          </w:tcPr>
          <w:p>
            <w:pPr>
              <w:adjustRightInd w:val="0"/>
              <w:snapToGrid w:val="0"/>
              <w:spacing w:line="360" w:lineRule="auto"/>
              <w:jc w:val="center"/>
              <w:rPr>
                <w:szCs w:val="21"/>
              </w:rPr>
            </w:pPr>
            <w:r>
              <w:rPr>
                <w:rFonts w:hint="eastAsia"/>
                <w:szCs w:val="21"/>
              </w:rPr>
              <w:t>意见内容</w:t>
            </w:r>
          </w:p>
        </w:tc>
        <w:tc>
          <w:tcPr>
            <w:tcW w:w="1425" w:type="dxa"/>
            <w:vAlign w:val="center"/>
          </w:tcPr>
          <w:p>
            <w:pPr>
              <w:adjustRightInd w:val="0"/>
              <w:snapToGrid w:val="0"/>
              <w:spacing w:line="360" w:lineRule="auto"/>
              <w:jc w:val="center"/>
              <w:rPr>
                <w:szCs w:val="21"/>
              </w:rPr>
            </w:pPr>
            <w:r>
              <w:rPr>
                <w:rFonts w:hint="eastAsia"/>
                <w:szCs w:val="21"/>
              </w:rPr>
              <w:t>提出单位</w:t>
            </w:r>
          </w:p>
        </w:tc>
        <w:tc>
          <w:tcPr>
            <w:tcW w:w="1290" w:type="dxa"/>
            <w:vAlign w:val="center"/>
          </w:tcPr>
          <w:p>
            <w:pPr>
              <w:adjustRightInd w:val="0"/>
              <w:snapToGrid w:val="0"/>
              <w:spacing w:line="360" w:lineRule="auto"/>
              <w:jc w:val="center"/>
              <w:rPr>
                <w:szCs w:val="21"/>
              </w:rPr>
            </w:pPr>
            <w:r>
              <w:rPr>
                <w:rFonts w:hint="eastAsia"/>
                <w:szCs w:val="21"/>
              </w:rPr>
              <w:t>处理意见</w:t>
            </w:r>
          </w:p>
        </w:tc>
        <w:tc>
          <w:tcPr>
            <w:tcW w:w="2113" w:type="dxa"/>
            <w:vAlign w:val="center"/>
          </w:tcPr>
          <w:p>
            <w:pPr>
              <w:adjustRightInd w:val="0"/>
              <w:snapToGrid w:val="0"/>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64"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adjustRightInd w:val="0"/>
              <w:snapToGrid w:val="0"/>
              <w:spacing w:line="360" w:lineRule="auto"/>
              <w:jc w:val="center"/>
              <w:rPr>
                <w:rFonts w:hint="eastAsia"/>
              </w:rPr>
            </w:pPr>
            <w:r>
              <w:rPr>
                <w:rFonts w:hint="eastAsia"/>
              </w:rPr>
              <w:t>建议增加“2.2.9 聚乙烯醇溶液（5g/L）”的配制方法及试剂保存有效期。</w:t>
            </w:r>
          </w:p>
        </w:tc>
        <w:tc>
          <w:tcPr>
            <w:tcW w:w="1425"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包头稀土研究院</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部分采纳</w:t>
            </w:r>
          </w:p>
        </w:tc>
        <w:tc>
          <w:tcPr>
            <w:tcW w:w="2113"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补充聚乙烯醇的配制方法，对试剂保存有效期无特殊要求，现有国标中均无未写有效期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851" w:type="dxa"/>
            <w:vAlign w:val="center"/>
          </w:tcPr>
          <w:p>
            <w:pPr>
              <w:adjustRightInd w:val="0"/>
              <w:snapToGrid w:val="0"/>
              <w:spacing w:line="360" w:lineRule="auto"/>
              <w:jc w:val="center"/>
              <w:rPr>
                <w:rFonts w:hint="eastAsia" w:ascii="宋体" w:hAnsi="宋体" w:eastAsia="宋体" w:cs="宋体"/>
                <w:sz w:val="18"/>
                <w:szCs w:val="18"/>
              </w:rPr>
            </w:pPr>
            <w:bookmarkStart w:id="0" w:name="_GoBack"/>
            <w:bookmarkEnd w:id="0"/>
          </w:p>
        </w:tc>
        <w:tc>
          <w:tcPr>
            <w:tcW w:w="3359" w:type="dxa"/>
            <w:vAlign w:val="center"/>
          </w:tcPr>
          <w:p>
            <w:pPr>
              <w:pStyle w:val="136"/>
              <w:numPr>
                <w:ilvl w:val="0"/>
                <w:numId w:val="0"/>
              </w:numPr>
              <w:ind w:leftChars="0"/>
              <w:rPr>
                <w:rFonts w:hint="eastAsia" w:ascii="宋体" w:hAnsi="宋体" w:eastAsia="宋体" w:cs="宋体"/>
                <w:sz w:val="18"/>
                <w:szCs w:val="18"/>
              </w:rPr>
            </w:pPr>
            <w:r>
              <w:rPr>
                <w:rFonts w:hint="eastAsia"/>
                <w:szCs w:val="21"/>
              </w:rPr>
              <w:t>对于含铈的稀土金属及其氧化物，在比浊法的酸度条件下，由于氢氧化铈沉淀的析出产生了伪浊度，造成测定结果的偏高，因此对于铈高的稀土产品，采用氢氧化钠作为沉淀剂，使稀土与硫酸根进行分离的前处理方式后进行比浊法测定，但对于除二氧化铈以外的稀土产品，可以直接进行比浊法测定</w:t>
            </w:r>
            <w:r>
              <w:rPr>
                <w:rFonts w:hint="eastAsia"/>
                <w:szCs w:val="21"/>
                <w:lang w:eastAsia="zh-CN"/>
              </w:rPr>
              <w:t>。</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 w:val="18"/>
                <w:szCs w:val="18"/>
                <w:lang w:val="en-US" w:eastAsia="zh-CN"/>
              </w:rPr>
              <w:t>包头稀土研究院</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如果需要区分氧化铈和非氧化铈，需要绘制两条工作曲线分开测定，另外如果不与稀土分离，其中Pr、Nd、Sm、Tb、Dy、Ho、Er、Tm在选择的波长下有吸光度，在测试时需要做补偿溶液，操作繁琐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numPr>
                <w:ilvl w:val="0"/>
                <w:numId w:val="0"/>
              </w:numPr>
              <w:ind w:leftChars="0"/>
              <w:rPr>
                <w:rFonts w:hint="eastAsia"/>
              </w:rPr>
            </w:pPr>
            <w:r>
              <w:rPr>
                <w:rFonts w:hint="eastAsia"/>
              </w:rPr>
              <w:t>在测定二氧化铈样品时，由于空白偏高导致1</w:t>
            </w:r>
            <w:r>
              <w:t>#</w:t>
            </w:r>
            <w:r>
              <w:rPr>
                <w:rFonts w:hint="eastAsia"/>
              </w:rPr>
              <w:t>统一样品测定结果偏低，建议如下：</w:t>
            </w:r>
          </w:p>
          <w:p>
            <w:pPr>
              <w:numPr>
                <w:ilvl w:val="0"/>
                <w:numId w:val="4"/>
              </w:numPr>
              <w:ind w:leftChars="0"/>
              <w:rPr>
                <w:rFonts w:hint="eastAsia"/>
              </w:rPr>
            </w:pPr>
            <w:r>
              <w:rPr>
                <w:rFonts w:hint="eastAsia"/>
              </w:rPr>
              <w:t>二氧化铈产品溶解采用硝酸和过氧化氢溶解完全后，蒸至湿盐状后盐酸提取，氢氧化钠分离稀土后比浊测定。</w:t>
            </w:r>
          </w:p>
          <w:p>
            <w:pPr>
              <w:numPr>
                <w:ilvl w:val="0"/>
                <w:numId w:val="4"/>
              </w:numPr>
              <w:ind w:leftChars="0"/>
              <w:rPr>
                <w:rFonts w:hint="eastAsia"/>
              </w:rPr>
            </w:pPr>
            <w:r>
              <w:rPr>
                <w:rFonts w:hint="eastAsia"/>
              </w:rPr>
              <w:t>分开确定二氧化铈产品和除二氧化铈以外稀土产品中硫酸根的检测下限。</w:t>
            </w:r>
          </w:p>
        </w:tc>
        <w:tc>
          <w:tcPr>
            <w:tcW w:w="1425"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包头稀土研究院</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其他验证单位测试不会偏低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ascii="宋体" w:hAnsi="宋体" w:cs="宋体"/>
                <w:szCs w:val="21"/>
              </w:rPr>
            </w:pPr>
            <w:r>
              <w:rPr>
                <w:rFonts w:hint="eastAsia"/>
                <w:kern w:val="0"/>
                <w:lang w:val="en-US" w:eastAsia="zh-CN"/>
              </w:rPr>
              <w:t>建议加标回收率试验以基体样品含量的1倍、1.5倍、2倍进行加标回收率试验</w:t>
            </w:r>
            <w:r>
              <w:rPr>
                <w:rFonts w:hint="eastAsia"/>
                <w:kern w:val="0"/>
              </w:rPr>
              <w:t>。</w:t>
            </w:r>
          </w:p>
        </w:tc>
        <w:tc>
          <w:tcPr>
            <w:tcW w:w="1425" w:type="dxa"/>
            <w:vAlign w:val="center"/>
          </w:tcPr>
          <w:p>
            <w:pPr>
              <w:adjustRightInd w:val="0"/>
              <w:snapToGrid w:val="0"/>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国标（北京）检验认证有限公司</w:t>
            </w:r>
          </w:p>
        </w:tc>
        <w:tc>
          <w:tcPr>
            <w:tcW w:w="1290" w:type="dxa"/>
            <w:vAlign w:val="center"/>
          </w:tcPr>
          <w:p>
            <w:pPr>
              <w:adjustRightInd w:val="0"/>
              <w:snapToGrid w:val="0"/>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试验在不同含量水平的样品，加入量按照在1倍进行回收率试验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kern w:val="0"/>
                <w:lang w:val="en-US" w:eastAsia="zh-CN"/>
              </w:rPr>
            </w:pPr>
            <w:r>
              <w:rPr>
                <w:rFonts w:hint="eastAsia"/>
                <w:kern w:val="0"/>
                <w:lang w:val="en-US" w:eastAsia="zh-CN"/>
              </w:rPr>
              <w:t>稀土分离能力试验中，为简化试验流程，建议增加不进行氢氧化钠分离基体试验，确定是否所有样品均需要分离基体。</w:t>
            </w:r>
          </w:p>
        </w:tc>
        <w:tc>
          <w:tcPr>
            <w:tcW w:w="1425"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国标（北京）检验认证有限公司</w:t>
            </w:r>
          </w:p>
        </w:tc>
        <w:tc>
          <w:tcPr>
            <w:tcW w:w="1290"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如果需要区分氧化铈和非氧化铈，需要绘制两条工作曲线分开测定，另外如果不与稀土分离，其中Pr、Nd、Sm、Tb、Dy、Ho、Er、Tm在选择的波长下有吸光度，在测试时需要做补偿溶液，操作繁琐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kern w:val="0"/>
                <w:lang w:val="en-US" w:eastAsia="zh-CN"/>
              </w:rPr>
            </w:pPr>
            <w:r>
              <w:rPr>
                <w:rFonts w:hint="eastAsia"/>
                <w:kern w:val="0"/>
                <w:lang w:val="en-US" w:eastAsia="zh-CN"/>
              </w:rPr>
              <w:t>稳定剂选择试验中，丙三醇-无水乙醇体系和聚乙烯醇-无水乙醇体系的净吸光值接近，由于聚乙烯醇溶解费时，建议选择丙三醇-无水乙醇体系。</w:t>
            </w:r>
          </w:p>
        </w:tc>
        <w:tc>
          <w:tcPr>
            <w:tcW w:w="1425"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国标（北京）检验认证有限公司</w:t>
            </w:r>
          </w:p>
        </w:tc>
        <w:tc>
          <w:tcPr>
            <w:tcW w:w="1290"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其他单位的验证结果是聚乙烯醇-无水乙醇体系信号值更高，稳定性更好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ascii="宋体" w:hAnsi="宋体" w:eastAsia="宋体" w:cs="宋体"/>
                <w:sz w:val="18"/>
                <w:szCs w:val="18"/>
              </w:rPr>
            </w:pPr>
            <w:r>
              <w:rPr>
                <w:rFonts w:hint="eastAsia" w:ascii="宋体" w:hAnsi="宋体" w:cs="宋体"/>
                <w:szCs w:val="21"/>
              </w:rPr>
              <w:t>2.2.9 中聚乙烯醇溶液（5g/L）建议对配置要有详细的表述。有很多单位不会操作。</w:t>
            </w:r>
          </w:p>
        </w:tc>
        <w:tc>
          <w:tcPr>
            <w:tcW w:w="1425"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采纳</w:t>
            </w:r>
          </w:p>
        </w:tc>
        <w:tc>
          <w:tcPr>
            <w:tcW w:w="2113" w:type="dxa"/>
            <w:vAlign w:val="center"/>
          </w:tcPr>
          <w:p>
            <w:pPr>
              <w:adjustRightInd w:val="0"/>
              <w:snapToGrid w:val="0"/>
              <w:spacing w:line="36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Cs w:val="21"/>
              </w:rPr>
              <w:t>2.2.11中氯化钡溶液（250g/L））用时现配，建议对配置好的氯化钡在使用前低温稍加热到60℃左右，这样线性更好，结果更准确。</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其他验证单位未对氯化钡进行加热，线性都很好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ascii="宋体" w:hAnsi="宋体" w:eastAsia="宋体" w:cs="宋体"/>
                <w:sz w:val="18"/>
                <w:szCs w:val="18"/>
              </w:rPr>
            </w:pPr>
            <w:r>
              <w:rPr>
                <w:rFonts w:hint="eastAsia" w:ascii="宋体" w:hAnsi="宋体" w:cs="宋体"/>
                <w:szCs w:val="21"/>
              </w:rPr>
              <w:t xml:space="preserve"> 2.2.14后 建议加1条2.2.15 增加溶解氧化铈样品的试剂空白溶液。在测定氧化铈样品时可以减去氧化铈溶样过程中的空白。</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文本中有注明需要随同试料做试剂空白；2.2.14中试剂空白的配制是为了做工作曲线用的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ascii="宋体" w:hAnsi="宋体" w:eastAsia="宋体" w:cs="宋体"/>
                <w:kern w:val="2"/>
                <w:sz w:val="18"/>
                <w:szCs w:val="18"/>
                <w:lang w:val="en-US" w:eastAsia="zh-CN" w:bidi="ar-SA"/>
              </w:rPr>
            </w:pPr>
            <w:r>
              <w:rPr>
                <w:rFonts w:hint="eastAsia" w:ascii="宋体" w:hAnsi="宋体" w:cs="宋体"/>
                <w:szCs w:val="21"/>
              </w:rPr>
              <w:t>2.4.2.5中用盐酸（2.2.5）调至黄色刚消失，因为酸度大，所以容易过量，使酸度不一致，建议调完后在用1+8的氨水回调至微黄。这样可以保证酸度在要求的范围内。</w:t>
            </w:r>
          </w:p>
        </w:tc>
        <w:tc>
          <w:tcPr>
            <w:tcW w:w="1425"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部分采纳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文本改为：用盐酸或氨水调至黄色刚消失（这样如果存在使用盐酸调过量时，再用氨水回调）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851" w:type="dxa"/>
            <w:vAlign w:val="center"/>
          </w:tcPr>
          <w:p>
            <w:pPr>
              <w:adjustRightInd w:val="0"/>
              <w:snapToGrid w:val="0"/>
              <w:spacing w:line="360" w:lineRule="auto"/>
              <w:jc w:val="center"/>
              <w:rPr>
                <w:rFonts w:hint="eastAsia" w:ascii="宋体" w:hAnsi="宋体" w:eastAsia="宋体" w:cs="宋体"/>
                <w:sz w:val="18"/>
                <w:szCs w:val="18"/>
              </w:rPr>
            </w:pPr>
          </w:p>
        </w:tc>
        <w:tc>
          <w:tcPr>
            <w:tcW w:w="3359" w:type="dxa"/>
            <w:vAlign w:val="center"/>
          </w:tcPr>
          <w:p>
            <w:pPr>
              <w:ind w:firstLine="420" w:firstLineChars="200"/>
              <w:rPr>
                <w:rFonts w:hint="eastAsia" w:ascii="宋体" w:hAnsi="宋体" w:eastAsia="宋体" w:cs="宋体"/>
                <w:kern w:val="2"/>
                <w:sz w:val="18"/>
                <w:szCs w:val="18"/>
                <w:lang w:val="en-US" w:eastAsia="zh-CN" w:bidi="ar-SA"/>
              </w:rPr>
            </w:pPr>
            <w:r>
              <w:rPr>
                <w:rFonts w:hint="eastAsia" w:ascii="宋体" w:hAnsi="宋体" w:cs="宋体"/>
                <w:szCs w:val="21"/>
                <w:lang w:val="en-US" w:eastAsia="zh-CN"/>
              </w:rPr>
              <w:t>在调pH时消耗比较多盐酸，建议适当减少氢氧化钠加入量或降低其浓度</w:t>
            </w:r>
          </w:p>
        </w:tc>
        <w:tc>
          <w:tcPr>
            <w:tcW w:w="1425" w:type="dxa"/>
            <w:vAlign w:val="center"/>
          </w:tcPr>
          <w:p>
            <w:pPr>
              <w:adjustRightInd w:val="0"/>
              <w:snapToGrid w:val="0"/>
              <w:spacing w:line="360" w:lineRule="auto"/>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赣州晨光稀土</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p>
        </w:tc>
      </w:tr>
    </w:tbl>
    <w:p>
      <w:pPr>
        <w:rPr>
          <w:rFonts w:hint="eastAsia" w:ascii="宋体" w:hAnsi="宋体" w:eastAsia="宋体" w:cs="宋体"/>
        </w:rPr>
      </w:pPr>
    </w:p>
    <w:p>
      <w:pPr>
        <w:pStyle w:val="120"/>
        <w:tabs>
          <w:tab w:val="clear" w:pos="675"/>
        </w:tabs>
        <w:spacing w:before="156" w:beforeLines="50" w:after="156" w:afterLines="50"/>
        <w:ind w:left="0" w:firstLine="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4</w:t>
      </w:r>
      <w:r>
        <w:rPr>
          <w:rFonts w:hint="eastAsia" w:ascii="宋体" w:hAnsi="宋体" w:eastAsia="宋体" w:cs="宋体"/>
        </w:rPr>
        <w:t>征求意见阶段</w:t>
      </w:r>
    </w:p>
    <w:p>
      <w:pPr>
        <w:numPr>
          <w:ilvl w:val="0"/>
          <w:numId w:val="0"/>
        </w:numPr>
        <w:ind w:leftChars="0"/>
        <w:rPr>
          <w:rFonts w:hint="default"/>
          <w:lang w:val="en-US" w:eastAsia="zh-CN"/>
        </w:rPr>
      </w:pPr>
      <w:r>
        <w:rPr>
          <w:rFonts w:hint="default"/>
          <w:lang w:val="en-US" w:eastAsia="zh-CN"/>
        </w:rPr>
        <w:t>4.4.1</w:t>
      </w:r>
      <w:r>
        <w:rPr>
          <w:rFonts w:hint="eastAsia"/>
          <w:lang w:val="en-US" w:eastAsia="zh-CN"/>
        </w:rPr>
        <w:t xml:space="preserve"> 意见征集基本情况</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12</w:t>
      </w:r>
      <w:r>
        <w:rPr>
          <w:rFonts w:hint="eastAsia" w:ascii="宋体" w:hAnsi="宋体" w:cs="宋体"/>
        </w:rPr>
        <w:t>日，研究报告、征求意见稿、征求意见汇总处理表通过邮件、微信的形式，发送至</w:t>
      </w:r>
      <w:r>
        <w:rPr>
          <w:rFonts w:hint="eastAsia" w:ascii="宋体" w:hAnsi="宋体" w:cs="宋体"/>
          <w:highlight w:val="none"/>
        </w:rPr>
        <w:t>江西南方稀土高技术股份有限公司、湖南稀土金属材料研究院有限责任公司、江阴加华新材料资源有限公司、厦门稀土材料研究所、</w:t>
      </w:r>
      <w:r>
        <w:rPr>
          <w:rFonts w:hint="eastAsia" w:ascii="宋体" w:hAnsi="宋体" w:cs="宋体"/>
          <w:szCs w:val="21"/>
          <w:highlight w:val="none"/>
        </w:rPr>
        <w:t>中稀（凉山）稀土有限公司</w:t>
      </w:r>
      <w:r>
        <w:rPr>
          <w:rFonts w:hint="eastAsia" w:ascii="宋体" w:hAnsi="宋体" w:cs="宋体"/>
          <w:highlight w:val="none"/>
        </w:rPr>
        <w:t>、江西省钨与稀土产品质量监督检验中心、中稀天马新材料科技股份有限公司、赣州湛海新材料科技有限公司、</w:t>
      </w:r>
      <w:r>
        <w:rPr>
          <w:rFonts w:hint="eastAsia" w:ascii="宋体" w:hAnsi="宋体" w:cs="宋体"/>
          <w:szCs w:val="21"/>
          <w:highlight w:val="none"/>
        </w:rPr>
        <w:t>江西中标检检测中心有限公司、中色南方稀土（新丰）有限公司、龙岩稀土开发有限公司、</w:t>
      </w:r>
      <w:r>
        <w:rPr>
          <w:rFonts w:hint="eastAsia" w:ascii="宋体" w:hAnsi="宋体" w:cs="宋体"/>
          <w:szCs w:val="21"/>
          <w:highlight w:val="none"/>
          <w:lang w:val="en-US" w:eastAsia="zh-CN"/>
        </w:rPr>
        <w:t>江西理工大学、虔东稀土集团股份有限公司、赣州有色冶金研究所有限公司</w:t>
      </w:r>
      <w:r>
        <w:rPr>
          <w:rFonts w:hint="eastAsia" w:ascii="宋体" w:hAnsi="宋体" w:cs="宋体"/>
          <w:highlight w:val="none"/>
        </w:rPr>
        <w:t>等1</w:t>
      </w:r>
      <w:r>
        <w:rPr>
          <w:rFonts w:hint="eastAsia" w:ascii="宋体" w:hAnsi="宋体" w:cs="宋体"/>
          <w:highlight w:val="none"/>
          <w:lang w:val="en-US" w:eastAsia="zh-CN"/>
        </w:rPr>
        <w:t>5</w:t>
      </w:r>
      <w:r>
        <w:rPr>
          <w:rFonts w:hint="eastAsia" w:ascii="宋体" w:hAnsi="宋体" w:cs="宋体"/>
          <w:highlight w:val="none"/>
        </w:rPr>
        <w:t>单位</w:t>
      </w:r>
      <w:r>
        <w:rPr>
          <w:rFonts w:hint="eastAsia" w:ascii="宋体" w:hAnsi="宋体" w:cs="宋体"/>
        </w:rPr>
        <w:t>进行意见征集。</w:t>
      </w:r>
    </w:p>
    <w:p>
      <w:pPr>
        <w:ind w:firstLine="420"/>
        <w:rPr>
          <w:rFonts w:hint="eastAsia" w:ascii="宋体" w:hAnsi="宋体" w:cs="宋体"/>
        </w:rPr>
      </w:pPr>
      <w:r>
        <w:rPr>
          <w:rFonts w:hint="eastAsia" w:ascii="宋体" w:hAnsi="宋体" w:cs="宋体"/>
        </w:rPr>
        <w:t>截止到2023年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14</w:t>
      </w:r>
      <w:r>
        <w:rPr>
          <w:rFonts w:hint="eastAsia" w:ascii="宋体" w:hAnsi="宋体" w:cs="宋体"/>
        </w:rPr>
        <w:t>日，收到回复的单位数</w:t>
      </w:r>
      <w:r>
        <w:rPr>
          <w:rFonts w:hint="eastAsia" w:ascii="宋体" w:hAnsi="宋体" w:cs="宋体"/>
          <w:highlight w:val="none"/>
        </w:rPr>
        <w:t>15个，回复并有建议或意见的单位数10</w:t>
      </w:r>
      <w:r>
        <w:rPr>
          <w:rFonts w:hint="eastAsia" w:ascii="宋体" w:hAnsi="宋体" w:cs="宋体"/>
        </w:rPr>
        <w:t>个，详见《征求稿意见汇总处理表》。</w:t>
      </w:r>
    </w:p>
    <w:p>
      <w:pPr>
        <w:numPr>
          <w:ilvl w:val="0"/>
          <w:numId w:val="0"/>
        </w:numPr>
        <w:ind w:leftChars="0"/>
        <w:rPr>
          <w:rFonts w:hint="eastAsia"/>
          <w:lang w:val="en-US" w:eastAsia="zh-CN"/>
        </w:rPr>
      </w:pPr>
      <w:r>
        <w:rPr>
          <w:rFonts w:hint="eastAsia"/>
          <w:lang w:val="en-US" w:eastAsia="zh-CN"/>
        </w:rPr>
        <w:t>4.4.2预审阶段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s="Times New Roman"/>
          <w:b/>
          <w:sz w:val="21"/>
          <w:szCs w:val="21"/>
        </w:rPr>
      </w:pPr>
      <w:r>
        <w:rPr>
          <w:rFonts w:ascii="宋体" w:hAnsi="宋体" w:eastAsia="宋体" w:cs="Times New Roman"/>
          <w:sz w:val="21"/>
          <w:szCs w:val="21"/>
        </w:rPr>
        <w:t>2023年</w:t>
      </w:r>
      <w:r>
        <w:rPr>
          <w:rFonts w:hint="eastAsia" w:ascii="宋体" w:hAnsi="宋体" w:cs="Times New Roman"/>
          <w:sz w:val="21"/>
          <w:szCs w:val="21"/>
          <w:lang w:val="en-US" w:eastAsia="zh-CN"/>
        </w:rPr>
        <w:t>9</w:t>
      </w:r>
      <w:r>
        <w:rPr>
          <w:rFonts w:ascii="宋体" w:hAnsi="宋体" w:eastAsia="宋体" w:cs="Times New Roman"/>
          <w:sz w:val="21"/>
          <w:szCs w:val="21"/>
        </w:rPr>
        <w:t>月</w:t>
      </w:r>
      <w:r>
        <w:rPr>
          <w:rFonts w:hint="eastAsia" w:ascii="宋体" w:hAnsi="宋体" w:cs="Times New Roman"/>
          <w:sz w:val="21"/>
          <w:szCs w:val="21"/>
          <w:lang w:val="en-US" w:eastAsia="zh-CN"/>
        </w:rPr>
        <w:t>20</w:t>
      </w:r>
      <w:r>
        <w:rPr>
          <w:rFonts w:ascii="宋体" w:hAnsi="宋体" w:eastAsia="宋体" w:cs="Times New Roman"/>
          <w:sz w:val="21"/>
          <w:szCs w:val="21"/>
        </w:rPr>
        <w:t>日至</w:t>
      </w:r>
      <w:r>
        <w:rPr>
          <w:rFonts w:hint="eastAsia" w:ascii="宋体" w:hAnsi="宋体" w:cs="Times New Roman"/>
          <w:sz w:val="21"/>
          <w:szCs w:val="21"/>
          <w:lang w:val="en-US" w:eastAsia="zh-CN"/>
        </w:rPr>
        <w:t>9</w:t>
      </w:r>
      <w:r>
        <w:rPr>
          <w:rFonts w:ascii="宋体" w:hAnsi="宋体" w:eastAsia="宋体" w:cs="Times New Roman"/>
          <w:sz w:val="21"/>
          <w:szCs w:val="21"/>
        </w:rPr>
        <w:t>月</w:t>
      </w:r>
      <w:r>
        <w:rPr>
          <w:rFonts w:hint="eastAsia" w:ascii="宋体" w:hAnsi="宋体" w:cs="Times New Roman"/>
          <w:sz w:val="21"/>
          <w:szCs w:val="21"/>
          <w:lang w:val="en-US" w:eastAsia="zh-CN"/>
        </w:rPr>
        <w:t>22</w:t>
      </w:r>
      <w:r>
        <w:rPr>
          <w:rFonts w:ascii="宋体" w:hAnsi="宋体" w:eastAsia="宋体" w:cs="Times New Roman"/>
          <w:sz w:val="21"/>
          <w:szCs w:val="21"/>
        </w:rPr>
        <w:t>日， 2023年全国稀土标准化技术委员会第</w:t>
      </w:r>
      <w:r>
        <w:rPr>
          <w:rFonts w:hint="eastAsia" w:ascii="宋体" w:hAnsi="宋体" w:cs="Times New Roman"/>
          <w:sz w:val="21"/>
          <w:szCs w:val="21"/>
          <w:lang w:val="en-US" w:eastAsia="zh-CN"/>
        </w:rPr>
        <w:t>六</w:t>
      </w:r>
      <w:r>
        <w:rPr>
          <w:rFonts w:ascii="宋体" w:hAnsi="宋体" w:eastAsia="宋体" w:cs="Times New Roman"/>
          <w:sz w:val="21"/>
          <w:szCs w:val="21"/>
        </w:rPr>
        <w:t>次稀土标准工作会议</w:t>
      </w:r>
      <w:r>
        <w:rPr>
          <w:rFonts w:hint="eastAsia" w:ascii="宋体" w:hAnsi="宋体" w:eastAsia="宋体" w:cs="Times New Roman"/>
          <w:sz w:val="21"/>
          <w:szCs w:val="21"/>
        </w:rPr>
        <w:t>于</w:t>
      </w:r>
      <w:r>
        <w:rPr>
          <w:rFonts w:hint="eastAsia" w:ascii="宋体" w:hAnsi="宋体" w:cs="Times New Roman"/>
          <w:sz w:val="21"/>
          <w:szCs w:val="21"/>
          <w:lang w:val="en-US" w:eastAsia="zh-CN"/>
        </w:rPr>
        <w:t>成都</w:t>
      </w:r>
      <w:r>
        <w:rPr>
          <w:rFonts w:ascii="宋体" w:hAnsi="宋体" w:eastAsia="宋体" w:cs="Times New Roman"/>
          <w:sz w:val="21"/>
          <w:szCs w:val="21"/>
        </w:rPr>
        <w:t>召开</w:t>
      </w:r>
      <w:r>
        <w:rPr>
          <w:rFonts w:hint="eastAsia" w:ascii="宋体" w:hAnsi="宋体" w:eastAsia="宋体" w:cs="Times New Roman"/>
          <w:sz w:val="21"/>
          <w:szCs w:val="21"/>
        </w:rPr>
        <w:t>，</w:t>
      </w:r>
      <w:r>
        <w:rPr>
          <w:rFonts w:ascii="宋体" w:hAnsi="宋体" w:eastAsia="宋体" w:cs="Times New Roman"/>
          <w:sz w:val="21"/>
          <w:szCs w:val="21"/>
        </w:rPr>
        <w:t>会上各专家</w:t>
      </w:r>
      <w:r>
        <w:rPr>
          <w:rFonts w:hint="eastAsia" w:ascii="宋体" w:hAnsi="宋体" w:eastAsia="宋体" w:cs="Times New Roman"/>
          <w:sz w:val="21"/>
          <w:szCs w:val="21"/>
        </w:rPr>
        <w:t>对《</w:t>
      </w:r>
      <w:r>
        <w:rPr>
          <w:rFonts w:hint="eastAsia" w:ascii="宋体" w:hAnsi="宋体" w:cs="Times New Roman"/>
          <w:sz w:val="21"/>
          <w:szCs w:val="21"/>
          <w:lang w:val="en-US" w:eastAsia="zh-CN"/>
        </w:rPr>
        <w:t>稀土金属及其氧化物中非稀土杂质化学分析方法</w:t>
      </w:r>
      <w:r>
        <w:rPr>
          <w:rFonts w:hint="eastAsia" w:ascii="宋体" w:hAnsi="宋体" w:eastAsia="宋体" w:cs="Times New Roman"/>
          <w:sz w:val="21"/>
          <w:szCs w:val="21"/>
        </w:rPr>
        <w:t xml:space="preserve"> 第</w:t>
      </w:r>
      <w:r>
        <w:rPr>
          <w:rFonts w:hint="eastAsia" w:ascii="宋体" w:hAnsi="宋体" w:cs="Times New Roman"/>
          <w:sz w:val="21"/>
          <w:szCs w:val="21"/>
          <w:lang w:val="en-US" w:eastAsia="zh-CN"/>
        </w:rPr>
        <w:t>21</w:t>
      </w:r>
      <w:r>
        <w:rPr>
          <w:rFonts w:hint="eastAsia" w:ascii="宋体" w:hAnsi="宋体" w:eastAsia="宋体" w:cs="Times New Roman"/>
          <w:sz w:val="21"/>
          <w:szCs w:val="21"/>
        </w:rPr>
        <w:t>部分：</w:t>
      </w:r>
      <w:r>
        <w:rPr>
          <w:rFonts w:hint="eastAsia" w:ascii="宋体" w:hAnsi="宋体" w:cs="Times New Roman"/>
          <w:sz w:val="21"/>
          <w:szCs w:val="21"/>
          <w:lang w:val="en-US" w:eastAsia="zh-CN"/>
        </w:rPr>
        <w:t>稀土氧化物中硫酸根</w:t>
      </w:r>
      <w:r>
        <w:rPr>
          <w:rFonts w:hint="eastAsia" w:ascii="宋体" w:hAnsi="宋体" w:eastAsia="宋体" w:cs="Times New Roman"/>
          <w:sz w:val="21"/>
          <w:szCs w:val="21"/>
        </w:rPr>
        <w:t>含量的测定》</w:t>
      </w:r>
      <w:r>
        <w:rPr>
          <w:rFonts w:ascii="宋体" w:hAnsi="宋体" w:eastAsia="宋体" w:cs="Times New Roman"/>
          <w:sz w:val="21"/>
          <w:szCs w:val="21"/>
        </w:rPr>
        <w:t>进行了认真、细致的讨论，提出了具体的修改意见，并形成如下会议纪要：</w:t>
      </w:r>
      <w:r>
        <w:rPr>
          <w:rFonts w:ascii="宋体" w:hAnsi="宋体" w:eastAsia="宋体" w:cs="Times New Roman"/>
          <w:b/>
          <w:sz w:val="21"/>
          <w:szCs w:val="21"/>
        </w:rPr>
        <w:t xml:space="preserve"> </w:t>
      </w:r>
    </w:p>
    <w:p>
      <w:pPr>
        <w:numPr>
          <w:ilvl w:val="0"/>
          <w:numId w:val="0"/>
        </w:numPr>
        <w:ind w:leftChars="0"/>
        <w:rPr>
          <w:rFonts w:hint="eastAsia"/>
          <w:lang w:val="en-US" w:eastAsia="zh-CN"/>
        </w:rPr>
      </w:pPr>
      <w:r>
        <w:rPr>
          <w:rFonts w:hint="eastAsia"/>
          <w:lang w:val="en-US" w:eastAsia="zh-CN"/>
        </w:rPr>
        <w:t>4.5 审查阶段</w:t>
      </w:r>
    </w:p>
    <w:p>
      <w:pPr>
        <w:numPr>
          <w:ilvl w:val="0"/>
          <w:numId w:val="0"/>
        </w:numPr>
        <w:ind w:leftChars="0"/>
        <w:rPr>
          <w:rFonts w:hint="default"/>
          <w:lang w:val="en-US" w:eastAsia="zh-CN"/>
        </w:rPr>
      </w:pPr>
      <w:r>
        <w:rPr>
          <w:rFonts w:hint="eastAsia"/>
          <w:lang w:val="en-US" w:eastAsia="zh-CN"/>
        </w:rPr>
        <w:t>4.6报批阶段</w:t>
      </w:r>
    </w:p>
    <w:p>
      <w:pPr>
        <w:rPr>
          <w:rFonts w:hint="eastAsia" w:ascii="宋体" w:hAnsi="宋体" w:eastAsia="宋体"/>
          <w:sz w:val="21"/>
          <w:szCs w:val="21"/>
        </w:rPr>
      </w:pPr>
    </w:p>
    <w:p>
      <w:pPr>
        <w:numPr>
          <w:ilvl w:val="0"/>
          <w:numId w:val="2"/>
        </w:numPr>
        <w:spacing w:before="156" w:beforeLines="50" w:after="156" w:afterLines="50" w:line="300" w:lineRule="auto"/>
        <w:jc w:val="left"/>
        <w:rPr>
          <w:rFonts w:ascii="宋体" w:hAnsi="宋体" w:cs="宋体"/>
          <w:b/>
          <w:bCs/>
          <w:sz w:val="24"/>
          <w:szCs w:val="22"/>
        </w:rPr>
      </w:pPr>
      <w:r>
        <w:rPr>
          <w:rFonts w:hint="eastAsia" w:ascii="宋体" w:hAnsi="宋体" w:cs="宋体"/>
          <w:b/>
          <w:sz w:val="24"/>
        </w:rPr>
        <w:t>标准编制原则</w:t>
      </w:r>
    </w:p>
    <w:p>
      <w:pPr>
        <w:pStyle w:val="120"/>
        <w:tabs>
          <w:tab w:val="clear" w:pos="675"/>
        </w:tabs>
        <w:spacing w:before="156" w:beforeLines="50" w:after="156" w:afterLines="50"/>
        <w:ind w:left="0" w:firstLine="210" w:firstLineChars="100"/>
        <w:jc w:val="left"/>
        <w:rPr>
          <w:rFonts w:ascii="宋体" w:hAnsi="宋体" w:eastAsia="宋体" w:cs="宋体"/>
        </w:rPr>
      </w:pPr>
      <w:r>
        <w:rPr>
          <w:rFonts w:hint="eastAsia" w:ascii="宋体" w:hAnsi="宋体" w:eastAsia="宋体" w:cs="宋体"/>
        </w:rPr>
        <w:t>本标准在起草过程中遵循以下原则：</w:t>
      </w:r>
    </w:p>
    <w:p>
      <w:pPr>
        <w:numPr>
          <w:ilvl w:val="0"/>
          <w:numId w:val="0"/>
        </w:numPr>
        <w:ind w:leftChars="0"/>
        <w:rPr>
          <w:rFonts w:hint="eastAsia"/>
          <w:lang w:val="en-US" w:eastAsia="zh-CN"/>
        </w:rPr>
      </w:pPr>
      <w:r>
        <w:rPr>
          <w:rFonts w:hint="eastAsia"/>
          <w:lang w:val="en-US" w:eastAsia="zh-CN"/>
        </w:rPr>
        <w:t>1.规范性</w:t>
      </w:r>
    </w:p>
    <w:p>
      <w:pPr>
        <w:pStyle w:val="136"/>
        <w:widowControl/>
        <w:ind w:left="360" w:firstLine="0" w:firstLineChars="0"/>
        <w:rPr>
          <w:rFonts w:ascii="宋体" w:hAnsi="宋体" w:cs="宋体"/>
        </w:rPr>
      </w:pPr>
      <w:r>
        <w:rPr>
          <w:rFonts w:hint="eastAsia" w:ascii="宋体" w:hAnsi="宋体" w:cs="宋体"/>
        </w:rPr>
        <w:t>本标准是根据GB/T 1.1-2020《标准化工作导则 第1部分：标准化文件的结构和起草规则》和GB/T 20001.4-2015《标准编写规则 第4部分：试验方法标准》的要求进行编写的。</w:t>
      </w:r>
    </w:p>
    <w:p>
      <w:pPr>
        <w:numPr>
          <w:ilvl w:val="0"/>
          <w:numId w:val="0"/>
        </w:numPr>
        <w:ind w:leftChars="0"/>
        <w:rPr>
          <w:rFonts w:hint="eastAsia"/>
          <w:lang w:val="en-US" w:eastAsia="zh-CN"/>
        </w:rPr>
      </w:pPr>
      <w:r>
        <w:rPr>
          <w:rFonts w:hint="eastAsia"/>
          <w:lang w:val="en-US" w:eastAsia="zh-CN"/>
        </w:rPr>
        <w:t>2.适用性</w:t>
      </w:r>
    </w:p>
    <w:p>
      <w:pPr>
        <w:widowControl/>
        <w:ind w:firstLine="420" w:firstLineChars="200"/>
        <w:rPr>
          <w:rFonts w:ascii="宋体" w:hAnsi="宋体" w:cs="宋体"/>
        </w:rPr>
      </w:pPr>
      <w:r>
        <w:rPr>
          <w:rFonts w:hint="eastAsia" w:ascii="宋体" w:hAnsi="宋体" w:cs="宋体"/>
        </w:rPr>
        <w:t>本标准根据现有</w:t>
      </w:r>
      <w:r>
        <w:rPr>
          <w:rFonts w:ascii="宋体" w:hAnsi="宋体" w:cs="宋体"/>
        </w:rPr>
        <w:t>产品</w:t>
      </w:r>
      <w:r>
        <w:rPr>
          <w:rFonts w:hint="eastAsia" w:ascii="宋体" w:hAnsi="宋体" w:cs="宋体"/>
        </w:rPr>
        <w:t>标准所规定的各项指标要求，参考生产工艺与贸易的实际情况制定的。</w:t>
      </w:r>
      <w:r>
        <w:rPr>
          <w:rFonts w:hint="eastAsia" w:ascii="宋体" w:hAnsi="宋体" w:cs="宋体"/>
          <w:lang w:val="en-US" w:eastAsia="zh-CN"/>
        </w:rPr>
        <w:t>本标准在制定时</w:t>
      </w:r>
      <w:r>
        <w:rPr>
          <w:rFonts w:hint="eastAsia" w:ascii="宋体" w:hAnsi="宋体" w:cs="宋体"/>
        </w:rPr>
        <w:t>着重于准确、简单、快速、成本低的特点，能更好的满足客户及操作人员的要求。</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三、标准</w:t>
      </w:r>
      <w:r>
        <w:rPr>
          <w:rFonts w:ascii="宋体" w:hAnsi="宋体" w:eastAsia="宋体" w:cs="宋体"/>
          <w:b/>
          <w:bCs/>
          <w:sz w:val="24"/>
          <w:szCs w:val="22"/>
        </w:rPr>
        <w:t>主要技术内容、确定的依据</w:t>
      </w:r>
      <w:r>
        <w:rPr>
          <w:rFonts w:hint="eastAsia" w:ascii="宋体" w:hAnsi="宋体" w:eastAsia="宋体" w:cs="宋体"/>
          <w:b/>
          <w:bCs/>
          <w:sz w:val="24"/>
          <w:szCs w:val="22"/>
        </w:rPr>
        <w:t>及主要试验和验证情况</w:t>
      </w:r>
    </w:p>
    <w:p>
      <w:pPr>
        <w:numPr>
          <w:ilvl w:val="0"/>
          <w:numId w:val="0"/>
        </w:numPr>
        <w:ind w:leftChars="0"/>
        <w:rPr>
          <w:rFonts w:hint="eastAsia"/>
          <w:lang w:val="en-US" w:eastAsia="zh-CN"/>
        </w:rPr>
      </w:pPr>
      <w:r>
        <w:rPr>
          <w:rFonts w:hint="eastAsia"/>
          <w:lang w:val="en-US" w:eastAsia="zh-CN"/>
        </w:rPr>
        <w:t>1.标准范围的确定</w:t>
      </w:r>
    </w:p>
    <w:p>
      <w:pPr>
        <w:pStyle w:val="121"/>
        <w:numPr>
          <w:ilvl w:val="255"/>
          <w:numId w:val="0"/>
        </w:numPr>
        <w:tabs>
          <w:tab w:val="center" w:pos="4201"/>
          <w:tab w:val="right" w:leader="dot" w:pos="9298"/>
        </w:tabs>
        <w:ind w:firstLine="420" w:firstLineChars="200"/>
        <w:jc w:val="left"/>
        <w:rPr>
          <w:rFonts w:hint="eastAsia" w:eastAsia="宋体" w:cs="宋体"/>
          <w:szCs w:val="22"/>
          <w:lang w:val="en-US" w:eastAsia="zh-CN"/>
        </w:rPr>
      </w:pPr>
      <w:r>
        <w:rPr>
          <w:rFonts w:hint="eastAsia" w:cs="宋体"/>
          <w:lang w:val="en-US" w:eastAsia="zh-CN"/>
        </w:rPr>
        <w:t>本文对于检测范围的的下限的确定是通过检出限试验确定的，确定方法的测定下限为0.010%；对于方法的检测上限是参考了产品标准以及实际含量确定的，确定方法的测定上限是0.50%。</w:t>
      </w:r>
      <w:r>
        <w:rPr>
          <w:rFonts w:hint="eastAsia" w:cs="宋体"/>
        </w:rPr>
        <w:t>本文件适用于</w:t>
      </w:r>
      <w:r>
        <w:rPr>
          <w:rFonts w:hint="eastAsia" w:cs="宋体"/>
          <w:lang w:val="en-US" w:eastAsia="zh-CN"/>
        </w:rPr>
        <w:t>稀土氧化物、</w:t>
      </w:r>
      <w:r>
        <w:rPr>
          <w:rFonts w:hint="eastAsia" w:cs="宋体"/>
        </w:rPr>
        <w:t>离子型稀土矿混合稀土氧化物中</w:t>
      </w:r>
      <w:r>
        <w:rPr>
          <w:rFonts w:hint="eastAsia" w:cs="宋体"/>
          <w:lang w:val="en-US" w:eastAsia="zh-CN"/>
        </w:rPr>
        <w:t>硫酸根</w:t>
      </w:r>
      <w:r>
        <w:rPr>
          <w:rFonts w:hint="eastAsia" w:cs="宋体"/>
        </w:rPr>
        <w:t>含量的</w:t>
      </w:r>
      <w:r>
        <w:rPr>
          <w:rFonts w:cs="宋体"/>
        </w:rPr>
        <w:t>测定</w:t>
      </w:r>
      <w:r>
        <w:rPr>
          <w:rFonts w:hint="eastAsia" w:cs="宋体"/>
          <w:szCs w:val="22"/>
        </w:rPr>
        <w:t>。测定范围（质量分数）</w:t>
      </w:r>
      <w:r>
        <w:rPr>
          <w:rFonts w:hint="eastAsia" w:cs="宋体"/>
          <w:szCs w:val="22"/>
          <w:lang w:eastAsia="zh-CN"/>
        </w:rPr>
        <w:t>：</w:t>
      </w:r>
      <w:r>
        <w:rPr>
          <w:rFonts w:hint="eastAsia" w:cs="宋体"/>
          <w:szCs w:val="22"/>
          <w:lang w:val="en-US" w:eastAsia="zh-CN"/>
        </w:rPr>
        <w:t>稀土氧化物：</w:t>
      </w:r>
      <w:r>
        <w:rPr>
          <w:rFonts w:hint="eastAsia" w:cs="宋体"/>
          <w:szCs w:val="22"/>
        </w:rPr>
        <w:t>0.010%～</w:t>
      </w:r>
      <w:r>
        <w:rPr>
          <w:rFonts w:hint="eastAsia" w:cs="宋体"/>
          <w:szCs w:val="22"/>
          <w:lang w:val="en-US" w:eastAsia="zh-CN"/>
        </w:rPr>
        <w:t>0.20</w:t>
      </w:r>
      <w:r>
        <w:rPr>
          <w:rFonts w:hint="eastAsia" w:cs="宋体"/>
          <w:szCs w:val="22"/>
        </w:rPr>
        <w:t>%</w:t>
      </w:r>
      <w:r>
        <w:rPr>
          <w:rFonts w:hint="eastAsia" w:cs="宋体"/>
          <w:szCs w:val="22"/>
          <w:lang w:eastAsia="zh-CN"/>
        </w:rPr>
        <w:t>；</w:t>
      </w:r>
      <w:r>
        <w:rPr>
          <w:rFonts w:hint="eastAsia" w:cs="宋体"/>
          <w:szCs w:val="22"/>
          <w:lang w:val="en-US" w:eastAsia="zh-CN"/>
        </w:rPr>
        <w:t>离子型稀土矿混合稀土氧化物：</w:t>
      </w:r>
      <w:r>
        <w:rPr>
          <w:rFonts w:hint="eastAsia" w:cs="宋体"/>
          <w:szCs w:val="22"/>
        </w:rPr>
        <w:t>0.10%～</w:t>
      </w:r>
      <w:r>
        <w:rPr>
          <w:rFonts w:hint="eastAsia" w:cs="宋体"/>
          <w:szCs w:val="22"/>
          <w:lang w:val="en-US" w:eastAsia="zh-CN"/>
        </w:rPr>
        <w:t>0.50</w:t>
      </w:r>
      <w:r>
        <w:rPr>
          <w:rFonts w:hint="eastAsia" w:cs="宋体"/>
          <w:szCs w:val="22"/>
        </w:rPr>
        <w:t>%</w:t>
      </w:r>
      <w:r>
        <w:rPr>
          <w:rFonts w:hint="eastAsia" w:cs="宋体"/>
          <w:szCs w:val="22"/>
          <w:lang w:eastAsia="zh-CN"/>
        </w:rPr>
        <w:t>。</w:t>
      </w:r>
    </w:p>
    <w:p>
      <w:pPr>
        <w:numPr>
          <w:ilvl w:val="0"/>
          <w:numId w:val="0"/>
        </w:numPr>
        <w:ind w:leftChars="0"/>
        <w:rPr>
          <w:rFonts w:hint="eastAsia"/>
          <w:lang w:val="en-US" w:eastAsia="zh-CN"/>
        </w:rPr>
      </w:pPr>
      <w:r>
        <w:rPr>
          <w:rFonts w:hint="eastAsia"/>
          <w:lang w:val="en-US" w:eastAsia="zh-CN"/>
        </w:rPr>
        <w:t>2.样品前处理的选择</w:t>
      </w:r>
    </w:p>
    <w:p>
      <w:pPr>
        <w:pStyle w:val="121"/>
        <w:spacing w:line="360" w:lineRule="auto"/>
        <w:ind w:firstLine="0" w:firstLineChars="0"/>
        <w:rPr>
          <w:rFonts w:ascii="Times New Roman"/>
        </w:rPr>
      </w:pPr>
      <w:r>
        <w:rPr>
          <w:rFonts w:hint="eastAsia" w:ascii="Times New Roman"/>
          <w:lang w:val="en-US" w:eastAsia="zh-CN"/>
        </w:rPr>
        <w:t>2.1</w:t>
      </w:r>
      <w:r>
        <w:rPr>
          <w:rFonts w:ascii="Times New Roman"/>
        </w:rPr>
        <w:t>稀土氧化物（除氧化铈外）试料的溶解：将试料置于聚四氟乙烯烧杯中，加20mL盐酸（2.2.5），低温加热溶解至清。</w:t>
      </w:r>
      <w:r>
        <w:rPr>
          <w:rFonts w:hint="eastAsia" w:ascii="Times New Roman"/>
        </w:rPr>
        <w:t>加入30mL的氢氧化钠溶液（2.2.7），室温下进行保温，冷却至室温，将溶液移入100mL容量瓶中，用纯水定容，摇匀，用慢速定量滤纸过滤。</w:t>
      </w:r>
      <w:r>
        <w:rPr>
          <w:rFonts w:hint="eastAsia" w:ascii="Times New Roman"/>
          <w:lang w:val="en-US" w:eastAsia="zh-CN"/>
        </w:rPr>
        <w:t>因</w:t>
      </w:r>
      <w:r>
        <w:rPr>
          <w:rFonts w:hint="eastAsia" w:ascii="Times New Roman"/>
          <w:color w:val="000000" w:themeColor="text1"/>
          <w14:textFill>
            <w14:solidFill>
              <w14:schemeClr w14:val="tx1"/>
            </w14:solidFill>
          </w14:textFill>
        </w:rPr>
        <w:t>硝酸具有氧化性，若试样中有亚硫酸根存在，会将亚硫酸根氧化成硫酸</w:t>
      </w:r>
      <w:r>
        <w:rPr>
          <w:rFonts w:hint="eastAsia" w:ascii="Times New Roman"/>
          <w:color w:val="000000" w:themeColor="text1"/>
          <w:lang w:val="en-US" w:eastAsia="zh-CN"/>
          <w14:textFill>
            <w14:solidFill>
              <w14:schemeClr w14:val="tx1"/>
            </w14:solidFill>
          </w14:textFill>
        </w:rPr>
        <w:t>根，所以对于用盐酸可消解的样品采用盐酸消解。</w:t>
      </w:r>
    </w:p>
    <w:p>
      <w:pPr>
        <w:pStyle w:val="121"/>
        <w:spacing w:line="360" w:lineRule="auto"/>
        <w:ind w:firstLine="0" w:firstLineChars="0"/>
        <w:rPr>
          <w:rFonts w:hint="eastAsia" w:ascii="Times New Roman"/>
        </w:rPr>
      </w:pPr>
      <w:r>
        <w:rPr>
          <w:rFonts w:hint="eastAsia" w:ascii="Times New Roman"/>
          <w:lang w:val="en-US" w:eastAsia="zh-CN"/>
        </w:rPr>
        <w:t>2.2</w:t>
      </w:r>
      <w:r>
        <w:rPr>
          <w:rFonts w:ascii="Times New Roman"/>
        </w:rPr>
        <w:t>氧化铈试料的溶解：</w:t>
      </w:r>
      <w:r>
        <w:rPr>
          <w:rFonts w:hint="eastAsia" w:ascii="Times New Roman"/>
        </w:rPr>
        <w:t>对于氧化铈的消解，分别探究了</w:t>
      </w:r>
      <w:r>
        <w:rPr>
          <w:rFonts w:hint="eastAsia" w:ascii="Times New Roman"/>
          <w:lang w:val="en-US" w:eastAsia="zh-CN"/>
        </w:rPr>
        <w:t>以下4</w:t>
      </w:r>
      <w:r>
        <w:rPr>
          <w:rFonts w:hint="eastAsia" w:ascii="Times New Roman"/>
        </w:rPr>
        <w:t>种消解方式</w:t>
      </w:r>
      <w:r>
        <w:rPr>
          <w:rFonts w:hint="eastAsia" w:ascii="Times New Roman"/>
          <w:lang w:eastAsia="zh-CN"/>
        </w:rPr>
        <w:t>，</w:t>
      </w:r>
      <w:r>
        <w:rPr>
          <w:rFonts w:hint="eastAsia" w:ascii="Times New Roman"/>
          <w:lang w:val="en-US" w:eastAsia="zh-CN"/>
        </w:rPr>
        <w:t>测试结果见表2。</w:t>
      </w:r>
    </w:p>
    <w:p>
      <w:pPr>
        <w:pStyle w:val="121"/>
        <w:spacing w:line="360" w:lineRule="auto"/>
        <w:ind w:firstLine="0" w:firstLineChars="0"/>
        <w:rPr>
          <w:rFonts w:ascii="Times New Roman"/>
          <w:highlight w:val="none"/>
        </w:rPr>
      </w:pPr>
      <w:r>
        <w:rPr>
          <w:rFonts w:hint="eastAsia" w:ascii="Times New Roman"/>
          <w:lang w:val="en-US" w:eastAsia="zh-CN"/>
        </w:rPr>
        <w:t>方式1：</w:t>
      </w:r>
      <w:r>
        <w:rPr>
          <w:rFonts w:hint="eastAsia" w:ascii="Times New Roman"/>
          <w:highlight w:val="none"/>
          <w:lang w:val="en-US" w:eastAsia="zh-CN"/>
        </w:rPr>
        <w:t>称取2.00g（精确至0.0001g）</w:t>
      </w:r>
      <w:r>
        <w:rPr>
          <w:rFonts w:ascii="Times New Roman"/>
          <w:highlight w:val="none"/>
        </w:rPr>
        <w:t>试料置于聚四氟乙烯烧杯中，</w:t>
      </w:r>
      <w:r>
        <w:rPr>
          <w:rFonts w:hint="eastAsia" w:ascii="Times New Roman"/>
          <w:highlight w:val="none"/>
          <w:lang w:val="en-US" w:eastAsia="zh-CN"/>
        </w:rPr>
        <w:t>加入</w:t>
      </w:r>
      <w:r>
        <w:rPr>
          <w:rFonts w:ascii="Times New Roman"/>
          <w:highlight w:val="none"/>
        </w:rPr>
        <w:t>20mL</w:t>
      </w:r>
      <w:r>
        <w:rPr>
          <w:rFonts w:hint="eastAsia" w:ascii="Times New Roman"/>
          <w:highlight w:val="none"/>
          <w:lang w:val="en-US" w:eastAsia="zh-CN"/>
        </w:rPr>
        <w:t>盐</w:t>
      </w:r>
      <w:r>
        <w:rPr>
          <w:rFonts w:ascii="Times New Roman"/>
          <w:highlight w:val="none"/>
        </w:rPr>
        <w:t>酸（2.2.</w:t>
      </w:r>
      <w:r>
        <w:rPr>
          <w:rFonts w:hint="eastAsia" w:ascii="Times New Roman"/>
          <w:highlight w:val="none"/>
          <w:lang w:val="en-US" w:eastAsia="zh-CN"/>
        </w:rPr>
        <w:t>5</w:t>
      </w:r>
      <w:r>
        <w:rPr>
          <w:rFonts w:ascii="Times New Roman"/>
          <w:highlight w:val="none"/>
        </w:rPr>
        <w:t>）</w:t>
      </w:r>
      <w:r>
        <w:rPr>
          <w:rFonts w:hint="eastAsia" w:ascii="Times New Roman"/>
          <w:highlight w:val="none"/>
        </w:rPr>
        <w:t>，</w:t>
      </w:r>
      <w:r>
        <w:rPr>
          <w:rFonts w:ascii="Times New Roman"/>
          <w:highlight w:val="none"/>
        </w:rPr>
        <w:t>低温加热溶解</w:t>
      </w:r>
      <w:r>
        <w:rPr>
          <w:rFonts w:hint="eastAsia" w:ascii="Times New Roman"/>
          <w:highlight w:val="none"/>
          <w:lang w:val="en-US" w:eastAsia="zh-CN"/>
        </w:rPr>
        <w:t>至沸</w:t>
      </w:r>
      <w:r>
        <w:rPr>
          <w:rFonts w:ascii="Times New Roman"/>
          <w:highlight w:val="none"/>
        </w:rPr>
        <w:t>。</w:t>
      </w:r>
      <w:r>
        <w:rPr>
          <w:rFonts w:hint="eastAsia" w:ascii="Times New Roman"/>
        </w:rPr>
        <w:t>加入30mL的氢氧化钠溶液（2.2.7），室温下进行保温，冷却至室温，将溶液移入100mL容量瓶中，用纯水定容，摇匀，用慢速定量滤纸过滤。</w:t>
      </w:r>
    </w:p>
    <w:p>
      <w:pPr>
        <w:pStyle w:val="121"/>
        <w:spacing w:line="360" w:lineRule="auto"/>
        <w:ind w:firstLine="0" w:firstLineChars="0"/>
        <w:rPr>
          <w:rFonts w:hint="eastAsia" w:ascii="Times New Roman"/>
        </w:rPr>
      </w:pPr>
      <w:r>
        <w:rPr>
          <w:rFonts w:hint="eastAsia" w:ascii="Times New Roman"/>
          <w:lang w:val="en-US" w:eastAsia="zh-CN"/>
        </w:rPr>
        <w:t>方式2：</w:t>
      </w:r>
      <w:r>
        <w:rPr>
          <w:rFonts w:hint="eastAsia" w:ascii="Times New Roman"/>
          <w:highlight w:val="none"/>
          <w:lang w:val="en-US" w:eastAsia="zh-CN"/>
        </w:rPr>
        <w:t>称取1.00g（精确至0.0001g）</w:t>
      </w:r>
      <w:r>
        <w:rPr>
          <w:rFonts w:hint="eastAsia" w:ascii="Times New Roman"/>
          <w:lang w:val="en-US" w:eastAsia="zh-CN"/>
        </w:rPr>
        <w:t>试料置于盛有3g无水碳酸钠熔剂的铂坩埚中，以3g无水碳酸钠熔剂覆盖，于1000℃熔融30min(中间取出摇动一次），取出冷却，将铂坩埚外表用水冲洗干净，置于聚四氟乙烯烧杯中，加10mL水，20mL盐酸（2.2.5）加热溶解至沸。</w:t>
      </w:r>
      <w:r>
        <w:rPr>
          <w:rFonts w:hint="eastAsia" w:ascii="Times New Roman"/>
        </w:rPr>
        <w:t>加入</w:t>
      </w:r>
      <w:r>
        <w:rPr>
          <w:rFonts w:hint="eastAsia" w:ascii="Times New Roman"/>
          <w:lang w:val="en-US" w:eastAsia="zh-CN"/>
        </w:rPr>
        <w:t>15</w:t>
      </w:r>
      <w:r>
        <w:rPr>
          <w:rFonts w:hint="eastAsia" w:ascii="Times New Roman"/>
        </w:rPr>
        <w:t>mL的氢氧化钠溶液（2.2.7），室温下进行保温，冷却至室温，将溶液移入</w:t>
      </w:r>
      <w:r>
        <w:rPr>
          <w:rFonts w:hint="eastAsia" w:ascii="Times New Roman"/>
          <w:lang w:val="en-US" w:eastAsia="zh-CN"/>
        </w:rPr>
        <w:t>5</w:t>
      </w:r>
      <w:r>
        <w:rPr>
          <w:rFonts w:hint="eastAsia" w:ascii="Times New Roman"/>
        </w:rPr>
        <w:t>0mL容量瓶中，用纯水定容，摇匀，用慢速定量滤纸过滤。</w:t>
      </w:r>
    </w:p>
    <w:p>
      <w:pPr>
        <w:pStyle w:val="121"/>
        <w:spacing w:line="360" w:lineRule="auto"/>
        <w:ind w:firstLine="0" w:firstLineChars="0"/>
        <w:rPr>
          <w:rFonts w:ascii="Times New Roman"/>
          <w:highlight w:val="none"/>
        </w:rPr>
      </w:pPr>
      <w:r>
        <w:rPr>
          <w:rFonts w:hint="eastAsia" w:ascii="Times New Roman"/>
          <w:highlight w:val="none"/>
        </w:rPr>
        <w:t>方式</w:t>
      </w:r>
      <w:r>
        <w:rPr>
          <w:rFonts w:hint="eastAsia" w:ascii="Times New Roman"/>
          <w:highlight w:val="none"/>
          <w:lang w:val="en-US" w:eastAsia="zh-CN"/>
        </w:rPr>
        <w:t>3</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w:t>
      </w:r>
      <w:r>
        <w:rPr>
          <w:rFonts w:hint="eastAsia" w:ascii="Times New Roman"/>
          <w:highlight w:val="none"/>
        </w:rPr>
        <w:t>硝</w:t>
      </w:r>
      <w:r>
        <w:rPr>
          <w:rFonts w:ascii="Times New Roman"/>
          <w:highlight w:val="none"/>
        </w:rPr>
        <w:t>酸（2.2.4），5</w:t>
      </w:r>
      <w:r>
        <w:rPr>
          <w:rFonts w:hint="eastAsia" w:ascii="Times New Roman"/>
          <w:highlight w:val="none"/>
        </w:rPr>
        <w:t>mL过氧化氢（2.2.1），</w:t>
      </w:r>
      <w:r>
        <w:rPr>
          <w:rFonts w:ascii="Times New Roman"/>
          <w:highlight w:val="none"/>
        </w:rPr>
        <w:t>低温加热溶解至清，</w:t>
      </w:r>
      <w:r>
        <w:rPr>
          <w:rFonts w:hint="eastAsia" w:ascii="Times New Roman"/>
          <w:highlight w:val="none"/>
        </w:rPr>
        <w:t>并不再有小气泡</w:t>
      </w:r>
      <w:r>
        <w:rPr>
          <w:rFonts w:ascii="Times New Roman"/>
          <w:highlight w:val="none"/>
        </w:rPr>
        <w:t>。</w:t>
      </w:r>
      <w:r>
        <w:rPr>
          <w:rFonts w:hint="eastAsia" w:ascii="Times New Roman"/>
        </w:rPr>
        <w:t>加入30mL的氢氧化钠溶液（2.2.7），室温下进行保温，冷却至室温，将溶液移入100mL容量瓶中，用纯水定容，摇匀，用慢速定量滤纸过滤。</w:t>
      </w:r>
    </w:p>
    <w:p>
      <w:pPr>
        <w:pStyle w:val="121"/>
        <w:spacing w:line="360" w:lineRule="auto"/>
        <w:ind w:firstLine="0" w:firstLineChars="0"/>
        <w:rPr>
          <w:rFonts w:ascii="Times New Roman"/>
          <w:highlight w:val="none"/>
        </w:rPr>
      </w:pPr>
      <w:r>
        <w:rPr>
          <w:rFonts w:hint="eastAsia" w:ascii="Times New Roman"/>
          <w:highlight w:val="none"/>
        </w:rPr>
        <w:t>方式</w:t>
      </w:r>
      <w:r>
        <w:rPr>
          <w:rFonts w:hint="eastAsia" w:ascii="Times New Roman"/>
          <w:highlight w:val="none"/>
          <w:lang w:val="en-US" w:eastAsia="zh-CN"/>
        </w:rPr>
        <w:t>4</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试料置于聚四氟乙烯烧杯中，加20mL硝酸（2.2.4），5mL过氧化氢（2.2.1），低温加热溶解至清，加入5mL高氯酸（2.2.3）赶至近干，加入10mL盐酸（2.2.5），低温加热溶解至清。</w:t>
      </w:r>
      <w:r>
        <w:rPr>
          <w:rFonts w:hint="eastAsia" w:ascii="Times New Roman"/>
        </w:rPr>
        <w:t>加入30mL的氢氧化钠溶液（2.2.7），室温下进行保温，冷却至室温，将溶液移入100mL容量瓶中，用纯水定容，摇匀，用慢速定量滤纸过滤。</w:t>
      </w:r>
    </w:p>
    <w:p>
      <w:pPr>
        <w:ind w:firstLine="420" w:firstLineChars="200"/>
        <w:jc w:val="center"/>
        <w:rPr>
          <w:rFonts w:hint="eastAsia"/>
          <w:kern w:val="0"/>
        </w:rPr>
      </w:pPr>
      <w:r>
        <w:rPr>
          <w:rFonts w:hint="eastAsia"/>
          <w:kern w:val="0"/>
          <w:lang w:val="en-US" w:eastAsia="zh-CN"/>
        </w:rPr>
        <w:t xml:space="preserve">  </w:t>
      </w:r>
      <w:r>
        <w:rPr>
          <w:kern w:val="0"/>
        </w:rPr>
        <w:t>表2</w:t>
      </w:r>
      <w:r>
        <w:rPr>
          <w:rFonts w:hint="eastAsia"/>
          <w:kern w:val="0"/>
          <w:lang w:val="en-US" w:eastAsia="zh-CN"/>
        </w:rPr>
        <w:t xml:space="preserve"> </w:t>
      </w:r>
      <w:r>
        <w:rPr>
          <w:kern w:val="0"/>
        </w:rPr>
        <w:t xml:space="preserve"> </w:t>
      </w:r>
      <w:r>
        <w:rPr>
          <w:rFonts w:hint="eastAsia"/>
          <w:kern w:val="0"/>
          <w:lang w:val="en-US" w:eastAsia="zh-CN"/>
        </w:rPr>
        <w:t xml:space="preserve"> 4</w:t>
      </w:r>
      <w:r>
        <w:rPr>
          <w:kern w:val="0"/>
        </w:rPr>
        <w:t>种消解方式的测定结果</w:t>
      </w:r>
    </w:p>
    <w:tbl>
      <w:tblPr>
        <w:tblStyle w:val="88"/>
        <w:tblW w:w="9917" w:type="dxa"/>
        <w:tblInd w:w="93" w:type="dxa"/>
        <w:tblLayout w:type="fixed"/>
        <w:tblCellMar>
          <w:top w:w="0" w:type="dxa"/>
          <w:left w:w="108" w:type="dxa"/>
          <w:bottom w:w="0" w:type="dxa"/>
          <w:right w:w="108" w:type="dxa"/>
        </w:tblCellMar>
      </w:tblPr>
      <w:tblGrid>
        <w:gridCol w:w="751"/>
        <w:gridCol w:w="1483"/>
        <w:gridCol w:w="2950"/>
        <w:gridCol w:w="1150"/>
        <w:gridCol w:w="1400"/>
        <w:gridCol w:w="967"/>
        <w:gridCol w:w="1216"/>
      </w:tblGrid>
      <w:tr>
        <w:tblPrEx>
          <w:tblCellMar>
            <w:top w:w="0" w:type="dxa"/>
            <w:left w:w="108" w:type="dxa"/>
            <w:bottom w:w="0" w:type="dxa"/>
            <w:right w:w="108" w:type="dxa"/>
          </w:tblCellMar>
        </w:tblPrEx>
        <w:trPr>
          <w:trHeight w:val="33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样品</w:t>
            </w:r>
          </w:p>
          <w:p>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编号</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消解方式</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现象</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本底</w:t>
            </w:r>
            <w:r>
              <w:rPr>
                <w:rFonts w:hint="eastAsia" w:ascii="宋体" w:hAnsi="宋体" w:cs="宋体"/>
                <w:color w:val="000000"/>
                <w:kern w:val="0"/>
                <w:sz w:val="18"/>
                <w:szCs w:val="18"/>
                <w:lang w:val="en-US" w:eastAsia="zh-CN"/>
              </w:rPr>
              <w:t>测试</w:t>
            </w:r>
            <w:r>
              <w:rPr>
                <w:rFonts w:hint="eastAsia" w:ascii="宋体" w:hAnsi="宋体" w:cs="宋体"/>
                <w:color w:val="000000"/>
                <w:kern w:val="0"/>
                <w:sz w:val="18"/>
                <w:szCs w:val="18"/>
              </w:rPr>
              <w:t>值%</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加入SO</w:t>
            </w:r>
            <w:r>
              <w:rPr>
                <w:rFonts w:hint="eastAsia" w:ascii="宋体" w:hAnsi="宋体" w:cs="宋体"/>
                <w:color w:val="000000"/>
                <w:kern w:val="0"/>
                <w:sz w:val="18"/>
                <w:szCs w:val="18"/>
                <w:vertAlign w:val="subscript"/>
              </w:rPr>
              <w:t>4</w:t>
            </w:r>
            <w:r>
              <w:rPr>
                <w:rFonts w:hint="eastAsia" w:ascii="宋体" w:hAnsi="宋体" w:cs="宋体"/>
                <w:color w:val="000000"/>
                <w:kern w:val="0"/>
                <w:sz w:val="18"/>
                <w:szCs w:val="18"/>
                <w:vertAlign w:val="superscript"/>
              </w:rPr>
              <w:t>2-</w:t>
            </w:r>
            <w:r>
              <w:rPr>
                <w:rFonts w:hint="eastAsia" w:ascii="宋体" w:hAnsi="宋体" w:cs="宋体"/>
                <w:color w:val="000000"/>
                <w:kern w:val="0"/>
                <w:sz w:val="18"/>
                <w:szCs w:val="18"/>
              </w:rPr>
              <w:t>含量%</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测定值%</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加标回收率%</w:t>
            </w:r>
          </w:p>
        </w:tc>
      </w:tr>
      <w:tr>
        <w:tblPrEx>
          <w:tblCellMar>
            <w:top w:w="0" w:type="dxa"/>
            <w:left w:w="108" w:type="dxa"/>
            <w:bottom w:w="0" w:type="dxa"/>
            <w:right w:w="108" w:type="dxa"/>
          </w:tblCellMar>
        </w:tblPrEx>
        <w:trPr>
          <w:trHeight w:val="410" w:hRule="atLeast"/>
        </w:trPr>
        <w:tc>
          <w:tcPr>
            <w:tcW w:w="751"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统一样1#</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盐酸</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color w:val="000000"/>
                <w:kern w:val="0"/>
                <w:sz w:val="22"/>
              </w:rPr>
            </w:pPr>
            <w:r>
              <w:rPr>
                <w:rFonts w:hint="eastAsia"/>
                <w:color w:val="000000"/>
                <w:kern w:val="0"/>
                <w:sz w:val="22"/>
              </w:rPr>
              <w:t>不能溶清，测试结果偏低</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＜0.010%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330" w:hRule="atLeast"/>
        </w:trPr>
        <w:tc>
          <w:tcPr>
            <w:tcW w:w="751" w:type="dxa"/>
            <w:vMerge w:val="continue"/>
            <w:tcBorders>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无水碳酸钠碱熔</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color w:val="000000"/>
                <w:kern w:val="0"/>
                <w:sz w:val="22"/>
              </w:rPr>
            </w:pPr>
            <w:r>
              <w:rPr>
                <w:rFonts w:hint="eastAsia"/>
                <w:color w:val="000000"/>
                <w:kern w:val="0"/>
                <w:sz w:val="22"/>
              </w:rPr>
              <w:t>碱熔后用盐酸无法溶清，测试结果偏低</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＜0.010%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330" w:hRule="atLeast"/>
        </w:trPr>
        <w:tc>
          <w:tcPr>
            <w:tcW w:w="751" w:type="dxa"/>
            <w:vMerge w:val="continue"/>
            <w:tcBorders>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硝酸+过氧化氢</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rPr>
              <w:t>可以溶清，</w:t>
            </w:r>
            <w:r>
              <w:rPr>
                <w:rFonts w:hint="eastAsia"/>
                <w:color w:val="000000"/>
                <w:kern w:val="0"/>
                <w:sz w:val="22"/>
                <w:lang w:val="en-US" w:eastAsia="zh-CN"/>
              </w:rPr>
              <w:t>测试结果偏低</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＜0.010%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330" w:hRule="atLeast"/>
        </w:trPr>
        <w:tc>
          <w:tcPr>
            <w:tcW w:w="751"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硝酸+过氧化氢+高氯酸+盐酸</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rPr>
              <w:t>可以溶清</w:t>
            </w:r>
            <w:r>
              <w:rPr>
                <w:rFonts w:hint="eastAsia"/>
                <w:color w:val="000000"/>
                <w:kern w:val="0"/>
                <w:sz w:val="22"/>
                <w:lang w:eastAsia="zh-CN"/>
              </w:rPr>
              <w:t>，</w:t>
            </w:r>
            <w:r>
              <w:rPr>
                <w:rFonts w:hint="eastAsia"/>
                <w:color w:val="000000"/>
                <w:kern w:val="0"/>
                <w:sz w:val="22"/>
                <w:lang w:val="en-US" w:eastAsia="zh-CN"/>
              </w:rPr>
              <w:t>测试结果正常，加标回收率好</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0.0135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0.015</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0.0293</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105.3</w:t>
            </w:r>
          </w:p>
        </w:tc>
      </w:tr>
    </w:tbl>
    <w:p>
      <w:pPr>
        <w:pStyle w:val="121"/>
        <w:spacing w:line="360" w:lineRule="auto"/>
        <w:ind w:firstLine="0" w:firstLineChars="0"/>
        <w:rPr>
          <w:rFonts w:hint="eastAsia" w:ascii="Times New Roman"/>
          <w:lang w:val="en-US" w:eastAsia="zh-CN"/>
        </w:rPr>
      </w:pPr>
      <w:r>
        <w:rPr>
          <w:rFonts w:hint="eastAsia" w:ascii="Times New Roman"/>
          <w:lang w:val="en-US" w:eastAsia="zh-CN"/>
        </w:rPr>
        <w:t>结论：因氧化铈不溶于盐酸，碱熔后也不溶于盐酸，测试结果偏低；采用硝酸+过氧化氢消解测试结果偏低；采用硝酸+过氧化氢+高氯酸+盐酸消解，测试结果与ICP、CS结果一致，故选择采用硝酸+过氧化氢+高氯酸+盐酸消解。</w:t>
      </w:r>
    </w:p>
    <w:p>
      <w:pPr>
        <w:pStyle w:val="121"/>
        <w:spacing w:line="360" w:lineRule="auto"/>
        <w:ind w:firstLine="0" w:firstLineChars="0"/>
        <w:rPr>
          <w:rFonts w:hint="eastAsia" w:ascii="Times New Roman"/>
          <w:lang w:val="en-US" w:eastAsia="zh-CN"/>
        </w:rPr>
      </w:pPr>
      <w:r>
        <w:rPr>
          <w:rFonts w:hint="eastAsia" w:ascii="Times New Roman"/>
          <w:lang w:val="en-US" w:eastAsia="zh-CN"/>
        </w:rPr>
        <w:t>2.3</w:t>
      </w:r>
      <w:r>
        <w:rPr>
          <w:rFonts w:ascii="Times New Roman"/>
        </w:rPr>
        <w:t>稀土矿的溶解：将试料置于聚四氟乙烯烧杯中，加20mL盐酸（2.2.5），低温加热溶解至清。</w:t>
      </w:r>
      <w:r>
        <w:rPr>
          <w:rFonts w:hint="eastAsia" w:ascii="Times New Roman"/>
          <w:lang w:val="en-US" w:eastAsia="zh-CN"/>
        </w:rPr>
        <w:t>部分试样采用盐酸消解存在不溶物，对不溶物进行能谱和ICP测试，测试结果均不含S。</w:t>
      </w:r>
    </w:p>
    <w:p>
      <w:pPr>
        <w:pStyle w:val="121"/>
        <w:spacing w:line="360" w:lineRule="auto"/>
        <w:ind w:firstLine="0" w:firstLineChars="0"/>
        <w:rPr>
          <w:rFonts w:hint="eastAsia" w:ascii="Times New Roman"/>
          <w:lang w:val="en-US" w:eastAsia="zh-CN"/>
        </w:rPr>
      </w:pPr>
      <w:r>
        <w:rPr>
          <w:rFonts w:hint="eastAsia" w:ascii="Times New Roman"/>
          <w:lang w:val="en-US" w:eastAsia="zh-CN"/>
        </w:rPr>
        <w:t>结论：对于稀土矿采用盐酸消解。</w:t>
      </w:r>
    </w:p>
    <w:p>
      <w:pPr>
        <w:numPr>
          <w:ilvl w:val="0"/>
          <w:numId w:val="0"/>
        </w:numPr>
        <w:ind w:leftChars="0"/>
        <w:rPr>
          <w:rFonts w:hint="eastAsia"/>
          <w:lang w:val="en-US" w:eastAsia="zh-CN"/>
        </w:rPr>
      </w:pPr>
      <w:r>
        <w:rPr>
          <w:rFonts w:hint="eastAsia"/>
          <w:lang w:val="en-US" w:eastAsia="zh-CN"/>
        </w:rPr>
        <w:t>3.稀土分离能力试验</w:t>
      </w:r>
    </w:p>
    <w:p>
      <w:pPr>
        <w:pStyle w:val="121"/>
        <w:spacing w:line="360" w:lineRule="auto"/>
        <w:ind w:firstLine="435" w:firstLineChars="0"/>
        <w:rPr>
          <w:rFonts w:hint="default" w:ascii="Times New Roman"/>
          <w:lang w:val="en-US" w:eastAsia="zh-CN"/>
        </w:rPr>
      </w:pPr>
      <w:r>
        <w:rPr>
          <w:rFonts w:hint="eastAsia" w:ascii="Times New Roman"/>
          <w:kern w:val="2"/>
          <w:szCs w:val="21"/>
        </w:rPr>
        <w:t>根据试料的最大称样量和分取量，统一样1#和3#按照2.4.2.4制备试样，分取10mL于25mL比色管中，</w:t>
      </w:r>
      <w:r>
        <w:rPr>
          <w:rFonts w:hint="eastAsia" w:ascii="Times New Roman"/>
        </w:rPr>
        <w:t>加1滴对硝基酚指示剂（2.2.8），用盐酸（2.2.5）调至黄色刚消失，过量</w:t>
      </w:r>
      <w:r>
        <w:rPr>
          <w:rFonts w:hint="eastAsia" w:ascii="Times New Roman"/>
          <w:lang w:val="en-US" w:eastAsia="zh-CN"/>
        </w:rPr>
        <w:t>2</w:t>
      </w:r>
      <w:r>
        <w:rPr>
          <w:rFonts w:hint="eastAsia" w:ascii="Times New Roman"/>
        </w:rPr>
        <w:t>滴，用水定容至刻度，摇匀。于ICP测定试液中稀土含量，结果均小于0.05mg/L，说明加入氢氧化钠溶液可以将稀土沉淀完全。</w:t>
      </w:r>
    </w:p>
    <w:p>
      <w:pPr>
        <w:numPr>
          <w:ilvl w:val="0"/>
          <w:numId w:val="0"/>
        </w:numPr>
        <w:ind w:leftChars="0"/>
        <w:rPr>
          <w:rFonts w:hint="eastAsia"/>
          <w:lang w:val="en-US" w:eastAsia="zh-CN"/>
        </w:rPr>
      </w:pPr>
      <w:r>
        <w:rPr>
          <w:rFonts w:hint="eastAsia"/>
          <w:lang w:val="en-US" w:eastAsia="zh-CN"/>
        </w:rPr>
        <w:t>4.波长的选择</w:t>
      </w:r>
    </w:p>
    <w:p>
      <w:pPr>
        <w:pStyle w:val="121"/>
        <w:spacing w:line="360" w:lineRule="auto"/>
        <w:ind w:firstLine="420"/>
        <w:rPr>
          <w:rFonts w:hint="eastAsia" w:ascii="Times New Roman" w:eastAsia="宋体"/>
          <w:kern w:val="2"/>
          <w:szCs w:val="21"/>
          <w:lang w:eastAsia="zh-CN"/>
        </w:rPr>
      </w:pPr>
      <w:r>
        <w:rPr>
          <w:szCs w:val="21"/>
        </w:rPr>
        <w:t>移取2.50mL硫酸根标准溶液（100μg/mL）于25mL比色管中，移取10mL试剂空白溶液，</w:t>
      </w:r>
      <w:r>
        <w:rPr>
          <w:rFonts w:ascii="Times New Roman"/>
          <w:kern w:val="2"/>
          <w:szCs w:val="21"/>
        </w:rPr>
        <w:t>按照方法2.4.2.5测定吸光度，测量其在340nm-510nm波长范围的吸光度，结果如表3所示。根据干扰最小、最大吸收原则，选择波长400nm为吸收波长。</w:t>
      </w:r>
      <w:r>
        <w:rPr>
          <w:rFonts w:hint="eastAsia" w:ascii="Times New Roman"/>
          <w:kern w:val="2"/>
          <w:szCs w:val="21"/>
        </w:rPr>
        <w:t>吸收曲线见表</w:t>
      </w:r>
      <w:r>
        <w:rPr>
          <w:rFonts w:hint="eastAsia" w:ascii="Times New Roman"/>
          <w:kern w:val="2"/>
          <w:szCs w:val="21"/>
          <w:lang w:val="en-US" w:eastAsia="zh-CN"/>
        </w:rPr>
        <w:t>3</w:t>
      </w:r>
    </w:p>
    <w:p>
      <w:pPr>
        <w:pStyle w:val="121"/>
        <w:spacing w:line="360" w:lineRule="auto"/>
        <w:ind w:firstLine="420"/>
        <w:jc w:val="center"/>
        <w:rPr>
          <w:rFonts w:hint="eastAsia" w:ascii="Times New Roman" w:eastAsia="宋体"/>
          <w:kern w:val="2"/>
          <w:szCs w:val="21"/>
          <w:lang w:eastAsia="zh-CN"/>
        </w:rPr>
      </w:pPr>
      <w:r>
        <w:rPr>
          <w:rFonts w:ascii="Times New Roman"/>
          <w:kern w:val="2"/>
          <w:szCs w:val="21"/>
        </w:rPr>
        <w:t>表</w:t>
      </w:r>
      <w:r>
        <w:rPr>
          <w:rFonts w:hint="eastAsia" w:ascii="Times New Roman"/>
          <w:kern w:val="2"/>
          <w:szCs w:val="21"/>
          <w:lang w:val="en-US" w:eastAsia="zh-CN"/>
        </w:rPr>
        <w:t>3</w:t>
      </w:r>
    </w:p>
    <w:tbl>
      <w:tblPr>
        <w:tblStyle w:val="88"/>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2536"/>
        <w:gridCol w:w="2539"/>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波长</w:t>
            </w:r>
          </w:p>
        </w:tc>
        <w:tc>
          <w:tcPr>
            <w:tcW w:w="2536" w:type="dxa"/>
            <w:shd w:val="clear" w:color="auto" w:fill="auto"/>
            <w:noWrap w:val="0"/>
            <w:vAlign w:val="center"/>
          </w:tcPr>
          <w:p>
            <w:pPr>
              <w:ind w:firstLine="210" w:firstLineChars="100"/>
              <w:jc w:val="center"/>
              <w:rPr>
                <w:color w:val="000000"/>
                <w:szCs w:val="21"/>
              </w:rPr>
            </w:pPr>
            <w:r>
              <w:rPr>
                <w:color w:val="000000"/>
                <w:szCs w:val="21"/>
              </w:rPr>
              <w:t>空白</w:t>
            </w:r>
          </w:p>
        </w:tc>
        <w:tc>
          <w:tcPr>
            <w:tcW w:w="2539" w:type="dxa"/>
            <w:shd w:val="clear" w:color="auto" w:fill="auto"/>
            <w:noWrap w:val="0"/>
            <w:vAlign w:val="center"/>
          </w:tcPr>
          <w:p>
            <w:pPr>
              <w:jc w:val="center"/>
              <w:rPr>
                <w:color w:val="000000"/>
                <w:szCs w:val="21"/>
              </w:rPr>
            </w:pPr>
            <w:r>
              <w:rPr>
                <w:szCs w:val="21"/>
              </w:rPr>
              <w:t>250</w:t>
            </w:r>
            <w:r>
              <w:rPr>
                <w:color w:val="000000"/>
                <w:szCs w:val="21"/>
              </w:rPr>
              <w:t>µg</w:t>
            </w:r>
            <w:r>
              <w:rPr>
                <w:szCs w:val="21"/>
              </w:rPr>
              <w:t>SO</w:t>
            </w:r>
            <w:r>
              <w:rPr>
                <w:szCs w:val="21"/>
                <w:vertAlign w:val="subscript"/>
              </w:rPr>
              <w:t>4</w:t>
            </w:r>
            <w:r>
              <w:rPr>
                <w:szCs w:val="21"/>
                <w:vertAlign w:val="superscript"/>
              </w:rPr>
              <w:t>2-</w:t>
            </w:r>
          </w:p>
        </w:tc>
        <w:tc>
          <w:tcPr>
            <w:tcW w:w="2539" w:type="dxa"/>
            <w:shd w:val="clear" w:color="auto" w:fill="auto"/>
            <w:noWrap w:val="0"/>
            <w:vAlign w:val="top"/>
          </w:tcPr>
          <w:p>
            <w:pPr>
              <w:jc w:val="center"/>
              <w:rPr>
                <w:color w:val="000000"/>
                <w:szCs w:val="21"/>
              </w:rPr>
            </w:pPr>
            <w:r>
              <w:rPr>
                <w:color w:val="000000"/>
                <w:szCs w:val="21"/>
              </w:rPr>
              <w:t>净吸光度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340</w:t>
            </w:r>
          </w:p>
        </w:tc>
        <w:tc>
          <w:tcPr>
            <w:tcW w:w="2536" w:type="dxa"/>
            <w:shd w:val="clear" w:color="auto" w:fill="auto"/>
            <w:noWrap w:val="0"/>
            <w:vAlign w:val="center"/>
          </w:tcPr>
          <w:p>
            <w:pPr>
              <w:jc w:val="center"/>
              <w:rPr>
                <w:color w:val="000000"/>
                <w:sz w:val="22"/>
              </w:rPr>
            </w:pPr>
            <w:r>
              <w:rPr>
                <w:color w:val="000000"/>
                <w:sz w:val="22"/>
              </w:rPr>
              <w:t xml:space="preserve">0.193 </w:t>
            </w:r>
          </w:p>
        </w:tc>
        <w:tc>
          <w:tcPr>
            <w:tcW w:w="2539" w:type="dxa"/>
            <w:shd w:val="clear" w:color="auto" w:fill="auto"/>
            <w:noWrap w:val="0"/>
            <w:vAlign w:val="center"/>
          </w:tcPr>
          <w:p>
            <w:pPr>
              <w:jc w:val="center"/>
              <w:rPr>
                <w:color w:val="000000"/>
                <w:sz w:val="22"/>
              </w:rPr>
            </w:pPr>
            <w:r>
              <w:rPr>
                <w:color w:val="000000"/>
                <w:sz w:val="22"/>
              </w:rPr>
              <w:t>0.594</w:t>
            </w:r>
          </w:p>
        </w:tc>
        <w:tc>
          <w:tcPr>
            <w:tcW w:w="2539" w:type="dxa"/>
            <w:shd w:val="clear" w:color="auto" w:fill="auto"/>
            <w:noWrap w:val="0"/>
            <w:vAlign w:val="center"/>
          </w:tcPr>
          <w:p>
            <w:pPr>
              <w:jc w:val="center"/>
              <w:rPr>
                <w:color w:val="000000"/>
                <w:sz w:val="22"/>
              </w:rPr>
            </w:pPr>
            <w:r>
              <w:rPr>
                <w:color w:val="000000"/>
                <w:sz w:val="22"/>
              </w:rPr>
              <w:t xml:space="preserve">0.401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350</w:t>
            </w:r>
          </w:p>
        </w:tc>
        <w:tc>
          <w:tcPr>
            <w:tcW w:w="2536" w:type="dxa"/>
            <w:shd w:val="clear" w:color="auto" w:fill="auto"/>
            <w:noWrap w:val="0"/>
            <w:vAlign w:val="center"/>
          </w:tcPr>
          <w:p>
            <w:pPr>
              <w:jc w:val="center"/>
              <w:rPr>
                <w:color w:val="000000"/>
                <w:sz w:val="22"/>
              </w:rPr>
            </w:pPr>
            <w:r>
              <w:rPr>
                <w:color w:val="000000"/>
                <w:sz w:val="22"/>
              </w:rPr>
              <w:t xml:space="preserve">0.153 </w:t>
            </w:r>
          </w:p>
        </w:tc>
        <w:tc>
          <w:tcPr>
            <w:tcW w:w="2539" w:type="dxa"/>
            <w:shd w:val="clear" w:color="auto" w:fill="auto"/>
            <w:noWrap w:val="0"/>
            <w:vAlign w:val="center"/>
          </w:tcPr>
          <w:p>
            <w:pPr>
              <w:jc w:val="center"/>
              <w:rPr>
                <w:color w:val="000000"/>
                <w:sz w:val="22"/>
              </w:rPr>
            </w:pPr>
            <w:r>
              <w:rPr>
                <w:color w:val="000000"/>
                <w:sz w:val="22"/>
              </w:rPr>
              <w:t>0.554</w:t>
            </w:r>
          </w:p>
        </w:tc>
        <w:tc>
          <w:tcPr>
            <w:tcW w:w="2539" w:type="dxa"/>
            <w:shd w:val="clear" w:color="auto" w:fill="auto"/>
            <w:noWrap w:val="0"/>
            <w:vAlign w:val="center"/>
          </w:tcPr>
          <w:p>
            <w:pPr>
              <w:jc w:val="center"/>
              <w:rPr>
                <w:color w:val="000000"/>
                <w:sz w:val="22"/>
              </w:rPr>
            </w:pPr>
            <w:r>
              <w:rPr>
                <w:color w:val="000000"/>
                <w:sz w:val="22"/>
              </w:rPr>
              <w:t xml:space="preserve">0.401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360</w:t>
            </w:r>
          </w:p>
        </w:tc>
        <w:tc>
          <w:tcPr>
            <w:tcW w:w="2536" w:type="dxa"/>
            <w:shd w:val="clear" w:color="auto" w:fill="auto"/>
            <w:noWrap w:val="0"/>
            <w:vAlign w:val="center"/>
          </w:tcPr>
          <w:p>
            <w:pPr>
              <w:jc w:val="center"/>
              <w:rPr>
                <w:color w:val="000000"/>
                <w:sz w:val="22"/>
              </w:rPr>
            </w:pPr>
            <w:r>
              <w:rPr>
                <w:color w:val="000000"/>
                <w:sz w:val="22"/>
              </w:rPr>
              <w:t xml:space="preserve">0.106 </w:t>
            </w:r>
          </w:p>
        </w:tc>
        <w:tc>
          <w:tcPr>
            <w:tcW w:w="2539" w:type="dxa"/>
            <w:shd w:val="clear" w:color="auto" w:fill="auto"/>
            <w:noWrap w:val="0"/>
            <w:vAlign w:val="center"/>
          </w:tcPr>
          <w:p>
            <w:pPr>
              <w:jc w:val="center"/>
              <w:rPr>
                <w:color w:val="000000"/>
                <w:sz w:val="22"/>
              </w:rPr>
            </w:pPr>
            <w:r>
              <w:rPr>
                <w:color w:val="000000"/>
                <w:sz w:val="22"/>
              </w:rPr>
              <w:t>0.506</w:t>
            </w:r>
          </w:p>
        </w:tc>
        <w:tc>
          <w:tcPr>
            <w:tcW w:w="2539" w:type="dxa"/>
            <w:shd w:val="clear" w:color="auto" w:fill="auto"/>
            <w:noWrap w:val="0"/>
            <w:vAlign w:val="center"/>
          </w:tcPr>
          <w:p>
            <w:pPr>
              <w:jc w:val="center"/>
              <w:rPr>
                <w:color w:val="000000"/>
                <w:sz w:val="22"/>
              </w:rPr>
            </w:pPr>
            <w:r>
              <w:rPr>
                <w:color w:val="000000"/>
                <w:sz w:val="22"/>
              </w:rPr>
              <w:t xml:space="preserve">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370</w:t>
            </w:r>
          </w:p>
        </w:tc>
        <w:tc>
          <w:tcPr>
            <w:tcW w:w="2536" w:type="dxa"/>
            <w:shd w:val="clear" w:color="auto" w:fill="auto"/>
            <w:noWrap w:val="0"/>
            <w:vAlign w:val="center"/>
          </w:tcPr>
          <w:p>
            <w:pPr>
              <w:jc w:val="center"/>
              <w:rPr>
                <w:color w:val="000000"/>
                <w:sz w:val="22"/>
              </w:rPr>
            </w:pPr>
            <w:r>
              <w:rPr>
                <w:color w:val="000000"/>
                <w:sz w:val="22"/>
              </w:rPr>
              <w:t xml:space="preserve">0.056 </w:t>
            </w:r>
          </w:p>
        </w:tc>
        <w:tc>
          <w:tcPr>
            <w:tcW w:w="2539" w:type="dxa"/>
            <w:shd w:val="clear" w:color="auto" w:fill="auto"/>
            <w:noWrap w:val="0"/>
            <w:vAlign w:val="center"/>
          </w:tcPr>
          <w:p>
            <w:pPr>
              <w:jc w:val="center"/>
              <w:rPr>
                <w:color w:val="000000"/>
                <w:sz w:val="22"/>
              </w:rPr>
            </w:pPr>
            <w:r>
              <w:rPr>
                <w:color w:val="000000"/>
                <w:sz w:val="22"/>
              </w:rPr>
              <w:t>0.448</w:t>
            </w:r>
          </w:p>
        </w:tc>
        <w:tc>
          <w:tcPr>
            <w:tcW w:w="2539" w:type="dxa"/>
            <w:shd w:val="clear" w:color="auto" w:fill="auto"/>
            <w:noWrap w:val="0"/>
            <w:vAlign w:val="center"/>
          </w:tcPr>
          <w:p>
            <w:pPr>
              <w:jc w:val="center"/>
              <w:rPr>
                <w:color w:val="000000"/>
                <w:sz w:val="22"/>
              </w:rPr>
            </w:pPr>
            <w:r>
              <w:rPr>
                <w:color w:val="000000"/>
                <w:sz w:val="22"/>
              </w:rPr>
              <w:t xml:space="preserve">0.392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380</w:t>
            </w:r>
          </w:p>
        </w:tc>
        <w:tc>
          <w:tcPr>
            <w:tcW w:w="2536" w:type="dxa"/>
            <w:shd w:val="clear" w:color="auto" w:fill="auto"/>
            <w:noWrap w:val="0"/>
            <w:vAlign w:val="center"/>
          </w:tcPr>
          <w:p>
            <w:pPr>
              <w:jc w:val="center"/>
              <w:rPr>
                <w:color w:val="000000"/>
                <w:sz w:val="22"/>
              </w:rPr>
            </w:pPr>
            <w:r>
              <w:rPr>
                <w:color w:val="000000"/>
                <w:sz w:val="22"/>
              </w:rPr>
              <w:t xml:space="preserve">0.031 </w:t>
            </w:r>
          </w:p>
        </w:tc>
        <w:tc>
          <w:tcPr>
            <w:tcW w:w="2539" w:type="dxa"/>
            <w:shd w:val="clear" w:color="auto" w:fill="auto"/>
            <w:noWrap w:val="0"/>
            <w:vAlign w:val="center"/>
          </w:tcPr>
          <w:p>
            <w:pPr>
              <w:jc w:val="center"/>
              <w:rPr>
                <w:color w:val="000000"/>
                <w:sz w:val="22"/>
              </w:rPr>
            </w:pPr>
            <w:r>
              <w:rPr>
                <w:color w:val="000000"/>
                <w:sz w:val="22"/>
              </w:rPr>
              <w:t>0.417</w:t>
            </w:r>
          </w:p>
        </w:tc>
        <w:tc>
          <w:tcPr>
            <w:tcW w:w="2539" w:type="dxa"/>
            <w:shd w:val="clear" w:color="auto" w:fill="auto"/>
            <w:noWrap w:val="0"/>
            <w:vAlign w:val="center"/>
          </w:tcPr>
          <w:p>
            <w:pPr>
              <w:jc w:val="center"/>
              <w:rPr>
                <w:color w:val="000000"/>
                <w:sz w:val="22"/>
              </w:rPr>
            </w:pPr>
            <w:r>
              <w:rPr>
                <w:color w:val="000000"/>
                <w:sz w:val="22"/>
              </w:rPr>
              <w:t xml:space="preserve">0.386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390</w:t>
            </w:r>
          </w:p>
        </w:tc>
        <w:tc>
          <w:tcPr>
            <w:tcW w:w="2536" w:type="dxa"/>
            <w:shd w:val="clear" w:color="auto" w:fill="auto"/>
            <w:noWrap w:val="0"/>
            <w:vAlign w:val="center"/>
          </w:tcPr>
          <w:p>
            <w:pPr>
              <w:jc w:val="center"/>
              <w:rPr>
                <w:color w:val="000000"/>
                <w:sz w:val="22"/>
              </w:rPr>
            </w:pPr>
            <w:r>
              <w:rPr>
                <w:color w:val="000000"/>
                <w:sz w:val="22"/>
              </w:rPr>
              <w:t xml:space="preserve">0.017 </w:t>
            </w:r>
          </w:p>
        </w:tc>
        <w:tc>
          <w:tcPr>
            <w:tcW w:w="2539" w:type="dxa"/>
            <w:shd w:val="clear" w:color="auto" w:fill="auto"/>
            <w:noWrap w:val="0"/>
            <w:vAlign w:val="center"/>
          </w:tcPr>
          <w:p>
            <w:pPr>
              <w:jc w:val="center"/>
              <w:rPr>
                <w:color w:val="000000"/>
                <w:sz w:val="22"/>
              </w:rPr>
            </w:pPr>
            <w:r>
              <w:rPr>
                <w:color w:val="000000"/>
                <w:sz w:val="22"/>
              </w:rPr>
              <w:t>0.395</w:t>
            </w:r>
          </w:p>
        </w:tc>
        <w:tc>
          <w:tcPr>
            <w:tcW w:w="2539" w:type="dxa"/>
            <w:shd w:val="clear" w:color="auto" w:fill="auto"/>
            <w:noWrap w:val="0"/>
            <w:vAlign w:val="center"/>
          </w:tcPr>
          <w:p>
            <w:pPr>
              <w:jc w:val="center"/>
              <w:rPr>
                <w:color w:val="000000"/>
                <w:sz w:val="22"/>
              </w:rPr>
            </w:pPr>
            <w:r>
              <w:rPr>
                <w:color w:val="000000"/>
                <w:sz w:val="22"/>
              </w:rPr>
              <w:t xml:space="preserve">0.378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400</w:t>
            </w:r>
          </w:p>
        </w:tc>
        <w:tc>
          <w:tcPr>
            <w:tcW w:w="2536" w:type="dxa"/>
            <w:shd w:val="clear" w:color="auto" w:fill="auto"/>
            <w:noWrap w:val="0"/>
            <w:vAlign w:val="center"/>
          </w:tcPr>
          <w:p>
            <w:pPr>
              <w:jc w:val="center"/>
              <w:rPr>
                <w:color w:val="000000"/>
                <w:sz w:val="22"/>
              </w:rPr>
            </w:pPr>
            <w:r>
              <w:rPr>
                <w:color w:val="000000"/>
                <w:sz w:val="22"/>
              </w:rPr>
              <w:t xml:space="preserve">0.010 </w:t>
            </w:r>
          </w:p>
        </w:tc>
        <w:tc>
          <w:tcPr>
            <w:tcW w:w="2539" w:type="dxa"/>
            <w:shd w:val="clear" w:color="auto" w:fill="auto"/>
            <w:noWrap w:val="0"/>
            <w:vAlign w:val="center"/>
          </w:tcPr>
          <w:p>
            <w:pPr>
              <w:jc w:val="center"/>
              <w:rPr>
                <w:color w:val="000000"/>
                <w:sz w:val="22"/>
              </w:rPr>
            </w:pPr>
            <w:r>
              <w:rPr>
                <w:color w:val="000000"/>
                <w:sz w:val="22"/>
              </w:rPr>
              <w:t>0.376</w:t>
            </w:r>
          </w:p>
        </w:tc>
        <w:tc>
          <w:tcPr>
            <w:tcW w:w="2539" w:type="dxa"/>
            <w:shd w:val="clear" w:color="auto" w:fill="auto"/>
            <w:noWrap w:val="0"/>
            <w:vAlign w:val="center"/>
          </w:tcPr>
          <w:p>
            <w:pPr>
              <w:jc w:val="center"/>
              <w:rPr>
                <w:color w:val="000000"/>
                <w:sz w:val="22"/>
              </w:rPr>
            </w:pPr>
            <w:r>
              <w:rPr>
                <w:color w:val="000000"/>
                <w:sz w:val="22"/>
              </w:rPr>
              <w:t xml:space="preserve">0.368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410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0.362</w:t>
            </w:r>
          </w:p>
        </w:tc>
        <w:tc>
          <w:tcPr>
            <w:tcW w:w="2539" w:type="dxa"/>
            <w:shd w:val="clear" w:color="auto" w:fill="auto"/>
            <w:noWrap w:val="0"/>
            <w:vAlign w:val="center"/>
          </w:tcPr>
          <w:p>
            <w:pPr>
              <w:jc w:val="center"/>
              <w:rPr>
                <w:color w:val="000000"/>
                <w:sz w:val="22"/>
              </w:rPr>
            </w:pPr>
            <w:r>
              <w:rPr>
                <w:color w:val="000000"/>
                <w:sz w:val="22"/>
              </w:rPr>
              <w:t xml:space="preserve">0.355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420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0.350</w:t>
            </w:r>
          </w:p>
        </w:tc>
        <w:tc>
          <w:tcPr>
            <w:tcW w:w="2539" w:type="dxa"/>
            <w:shd w:val="clear" w:color="auto" w:fill="auto"/>
            <w:noWrap w:val="0"/>
            <w:vAlign w:val="center"/>
          </w:tcPr>
          <w:p>
            <w:pPr>
              <w:jc w:val="center"/>
              <w:rPr>
                <w:color w:val="000000"/>
                <w:sz w:val="22"/>
              </w:rPr>
            </w:pPr>
            <w:r>
              <w:rPr>
                <w:color w:val="000000"/>
                <w:sz w:val="22"/>
              </w:rPr>
              <w:t xml:space="preserve">0.344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430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0.341</w:t>
            </w:r>
          </w:p>
        </w:tc>
        <w:tc>
          <w:tcPr>
            <w:tcW w:w="2539" w:type="dxa"/>
            <w:shd w:val="clear" w:color="auto" w:fill="auto"/>
            <w:noWrap w:val="0"/>
            <w:vAlign w:val="center"/>
          </w:tcPr>
          <w:p>
            <w:pPr>
              <w:jc w:val="center"/>
              <w:rPr>
                <w:color w:val="000000"/>
                <w:sz w:val="22"/>
              </w:rPr>
            </w:pPr>
            <w:r>
              <w:rPr>
                <w:color w:val="000000"/>
                <w:sz w:val="22"/>
              </w:rPr>
              <w:t xml:space="preserve">0.335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440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0.328</w:t>
            </w:r>
          </w:p>
        </w:tc>
        <w:tc>
          <w:tcPr>
            <w:tcW w:w="2539" w:type="dxa"/>
            <w:shd w:val="clear" w:color="auto" w:fill="auto"/>
            <w:noWrap w:val="0"/>
            <w:vAlign w:val="center"/>
          </w:tcPr>
          <w:p>
            <w:pPr>
              <w:jc w:val="center"/>
              <w:rPr>
                <w:color w:val="000000"/>
                <w:sz w:val="22"/>
              </w:rPr>
            </w:pPr>
            <w:r>
              <w:rPr>
                <w:color w:val="000000"/>
                <w:sz w:val="22"/>
              </w:rPr>
              <w:t xml:space="preserve">0.322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450</w:t>
            </w:r>
          </w:p>
        </w:tc>
        <w:tc>
          <w:tcPr>
            <w:tcW w:w="2536" w:type="dxa"/>
            <w:shd w:val="clear" w:color="auto" w:fill="auto"/>
            <w:noWrap w:val="0"/>
            <w:vAlign w:val="center"/>
          </w:tcPr>
          <w:p>
            <w:pPr>
              <w:jc w:val="center"/>
              <w:rPr>
                <w:color w:val="000000"/>
                <w:sz w:val="22"/>
              </w:rPr>
            </w:pPr>
            <w:r>
              <w:rPr>
                <w:color w:val="000000"/>
                <w:sz w:val="22"/>
              </w:rPr>
              <w:t xml:space="preserve">0.005 </w:t>
            </w:r>
          </w:p>
        </w:tc>
        <w:tc>
          <w:tcPr>
            <w:tcW w:w="2539" w:type="dxa"/>
            <w:shd w:val="clear" w:color="auto" w:fill="auto"/>
            <w:noWrap w:val="0"/>
            <w:vAlign w:val="center"/>
          </w:tcPr>
          <w:p>
            <w:pPr>
              <w:jc w:val="center"/>
              <w:rPr>
                <w:color w:val="000000"/>
                <w:sz w:val="22"/>
              </w:rPr>
            </w:pPr>
            <w:r>
              <w:rPr>
                <w:color w:val="000000"/>
                <w:sz w:val="22"/>
              </w:rPr>
              <w:t>0.307</w:t>
            </w:r>
          </w:p>
        </w:tc>
        <w:tc>
          <w:tcPr>
            <w:tcW w:w="2539" w:type="dxa"/>
            <w:shd w:val="clear" w:color="auto" w:fill="auto"/>
            <w:noWrap w:val="0"/>
            <w:vAlign w:val="center"/>
          </w:tcPr>
          <w:p>
            <w:pPr>
              <w:jc w:val="center"/>
              <w:rPr>
                <w:color w:val="000000"/>
                <w:sz w:val="22"/>
              </w:rPr>
            </w:pPr>
            <w:r>
              <w:rPr>
                <w:color w:val="000000"/>
                <w:sz w:val="22"/>
              </w:rPr>
              <w:t xml:space="preserve">0.302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460</w:t>
            </w:r>
          </w:p>
        </w:tc>
        <w:tc>
          <w:tcPr>
            <w:tcW w:w="2536" w:type="dxa"/>
            <w:shd w:val="clear" w:color="auto" w:fill="auto"/>
            <w:noWrap w:val="0"/>
            <w:vAlign w:val="center"/>
          </w:tcPr>
          <w:p>
            <w:pPr>
              <w:jc w:val="center"/>
              <w:rPr>
                <w:color w:val="000000"/>
                <w:sz w:val="22"/>
              </w:rPr>
            </w:pPr>
            <w:r>
              <w:rPr>
                <w:color w:val="000000"/>
                <w:sz w:val="22"/>
              </w:rPr>
              <w:t xml:space="preserve">0.005 </w:t>
            </w:r>
          </w:p>
        </w:tc>
        <w:tc>
          <w:tcPr>
            <w:tcW w:w="2539" w:type="dxa"/>
            <w:shd w:val="clear" w:color="auto" w:fill="auto"/>
            <w:noWrap w:val="0"/>
            <w:vAlign w:val="center"/>
          </w:tcPr>
          <w:p>
            <w:pPr>
              <w:jc w:val="center"/>
              <w:rPr>
                <w:color w:val="000000"/>
                <w:sz w:val="22"/>
              </w:rPr>
            </w:pPr>
            <w:r>
              <w:rPr>
                <w:color w:val="000000"/>
                <w:sz w:val="22"/>
              </w:rPr>
              <w:t>0.298</w:t>
            </w:r>
          </w:p>
        </w:tc>
        <w:tc>
          <w:tcPr>
            <w:tcW w:w="2539" w:type="dxa"/>
            <w:shd w:val="clear" w:color="auto" w:fill="auto"/>
            <w:noWrap w:val="0"/>
            <w:vAlign w:val="center"/>
          </w:tcPr>
          <w:p>
            <w:pPr>
              <w:jc w:val="center"/>
              <w:rPr>
                <w:color w:val="000000"/>
                <w:sz w:val="22"/>
              </w:rPr>
            </w:pPr>
            <w:r>
              <w:rPr>
                <w:color w:val="000000"/>
                <w:sz w:val="22"/>
              </w:rPr>
              <w:t xml:space="preserve">0.293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470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0.290</w:t>
            </w:r>
          </w:p>
        </w:tc>
        <w:tc>
          <w:tcPr>
            <w:tcW w:w="2539" w:type="dxa"/>
            <w:shd w:val="clear" w:color="auto" w:fill="auto"/>
            <w:noWrap w:val="0"/>
            <w:vAlign w:val="center"/>
          </w:tcPr>
          <w:p>
            <w:pPr>
              <w:jc w:val="center"/>
              <w:rPr>
                <w:color w:val="000000"/>
                <w:sz w:val="22"/>
              </w:rPr>
            </w:pPr>
            <w:r>
              <w:rPr>
                <w:color w:val="000000"/>
                <w:sz w:val="22"/>
              </w:rPr>
              <w:t xml:space="preserve">0.284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480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0.281</w:t>
            </w:r>
          </w:p>
        </w:tc>
        <w:tc>
          <w:tcPr>
            <w:tcW w:w="2539" w:type="dxa"/>
            <w:shd w:val="clear" w:color="auto" w:fill="auto"/>
            <w:noWrap w:val="0"/>
            <w:vAlign w:val="center"/>
          </w:tcPr>
          <w:p>
            <w:pPr>
              <w:jc w:val="center"/>
              <w:rPr>
                <w:color w:val="000000"/>
                <w:sz w:val="22"/>
              </w:rPr>
            </w:pPr>
            <w:r>
              <w:rPr>
                <w:color w:val="000000"/>
                <w:sz w:val="22"/>
              </w:rPr>
              <w:t xml:space="preserve">0.275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490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0.272</w:t>
            </w:r>
          </w:p>
        </w:tc>
        <w:tc>
          <w:tcPr>
            <w:tcW w:w="2539" w:type="dxa"/>
            <w:shd w:val="clear" w:color="auto" w:fill="auto"/>
            <w:noWrap w:val="0"/>
            <w:vAlign w:val="center"/>
          </w:tcPr>
          <w:p>
            <w:pPr>
              <w:jc w:val="center"/>
              <w:rPr>
                <w:color w:val="000000"/>
                <w:sz w:val="22"/>
              </w:rPr>
            </w:pPr>
            <w:r>
              <w:rPr>
                <w:color w:val="000000"/>
                <w:sz w:val="22"/>
              </w:rPr>
              <w:t xml:space="preserve">0.266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500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0.263</w:t>
            </w:r>
          </w:p>
        </w:tc>
        <w:tc>
          <w:tcPr>
            <w:tcW w:w="2539" w:type="dxa"/>
            <w:shd w:val="clear" w:color="auto" w:fill="auto"/>
            <w:noWrap w:val="0"/>
            <w:vAlign w:val="center"/>
          </w:tcPr>
          <w:p>
            <w:pPr>
              <w:jc w:val="center"/>
              <w:rPr>
                <w:color w:val="000000"/>
                <w:sz w:val="22"/>
              </w:rPr>
            </w:pPr>
            <w:r>
              <w:rPr>
                <w:color w:val="000000"/>
                <w:sz w:val="22"/>
              </w:rPr>
              <w:t xml:space="preserve">0.257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510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0.256</w:t>
            </w:r>
          </w:p>
        </w:tc>
        <w:tc>
          <w:tcPr>
            <w:tcW w:w="2539" w:type="dxa"/>
            <w:shd w:val="clear" w:color="auto" w:fill="auto"/>
            <w:noWrap w:val="0"/>
            <w:vAlign w:val="center"/>
          </w:tcPr>
          <w:p>
            <w:pPr>
              <w:jc w:val="center"/>
              <w:rPr>
                <w:color w:val="000000"/>
                <w:sz w:val="22"/>
              </w:rPr>
            </w:pPr>
            <w:r>
              <w:rPr>
                <w:color w:val="000000"/>
                <w:sz w:val="22"/>
              </w:rPr>
              <w:t xml:space="preserve">0.249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520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0.248</w:t>
            </w:r>
          </w:p>
        </w:tc>
        <w:tc>
          <w:tcPr>
            <w:tcW w:w="2539" w:type="dxa"/>
            <w:shd w:val="clear" w:color="auto" w:fill="auto"/>
            <w:noWrap w:val="0"/>
            <w:vAlign w:val="center"/>
          </w:tcPr>
          <w:p>
            <w:pPr>
              <w:jc w:val="center"/>
              <w:rPr>
                <w:color w:val="000000"/>
                <w:sz w:val="22"/>
              </w:rPr>
            </w:pPr>
            <w:r>
              <w:rPr>
                <w:color w:val="000000"/>
                <w:sz w:val="22"/>
              </w:rPr>
              <w:t xml:space="preserve">0.241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530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0.239</w:t>
            </w:r>
          </w:p>
        </w:tc>
        <w:tc>
          <w:tcPr>
            <w:tcW w:w="2539" w:type="dxa"/>
            <w:shd w:val="clear" w:color="auto" w:fill="auto"/>
            <w:noWrap w:val="0"/>
            <w:vAlign w:val="center"/>
          </w:tcPr>
          <w:p>
            <w:pPr>
              <w:jc w:val="center"/>
              <w:rPr>
                <w:color w:val="000000"/>
                <w:sz w:val="22"/>
              </w:rPr>
            </w:pPr>
            <w:r>
              <w:rPr>
                <w:color w:val="000000"/>
                <w:sz w:val="22"/>
              </w:rPr>
              <w:t xml:space="preserve">0.232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540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0.232</w:t>
            </w:r>
          </w:p>
        </w:tc>
        <w:tc>
          <w:tcPr>
            <w:tcW w:w="2539" w:type="dxa"/>
            <w:shd w:val="clear" w:color="auto" w:fill="auto"/>
            <w:noWrap w:val="0"/>
            <w:vAlign w:val="center"/>
          </w:tcPr>
          <w:p>
            <w:pPr>
              <w:jc w:val="center"/>
              <w:rPr>
                <w:color w:val="000000"/>
                <w:sz w:val="22"/>
              </w:rPr>
            </w:pPr>
            <w:r>
              <w:rPr>
                <w:color w:val="000000"/>
                <w:sz w:val="22"/>
              </w:rPr>
              <w:t xml:space="preserve">0.226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550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0.226</w:t>
            </w:r>
          </w:p>
        </w:tc>
        <w:tc>
          <w:tcPr>
            <w:tcW w:w="2539" w:type="dxa"/>
            <w:shd w:val="clear" w:color="auto" w:fill="auto"/>
            <w:noWrap w:val="0"/>
            <w:vAlign w:val="center"/>
          </w:tcPr>
          <w:p>
            <w:pPr>
              <w:jc w:val="center"/>
              <w:rPr>
                <w:color w:val="000000"/>
                <w:sz w:val="22"/>
              </w:rPr>
            </w:pPr>
            <w:r>
              <w:rPr>
                <w:color w:val="000000"/>
                <w:sz w:val="22"/>
              </w:rPr>
              <w:t xml:space="preserve">0.220 </w:t>
            </w:r>
          </w:p>
        </w:tc>
      </w:tr>
    </w:tbl>
    <w:p>
      <w:pPr>
        <w:pStyle w:val="121"/>
        <w:tabs>
          <w:tab w:val="center" w:pos="4201"/>
          <w:tab w:val="right" w:leader="dot" w:pos="9298"/>
        </w:tabs>
        <w:ind w:firstLine="420"/>
        <w:jc w:val="left"/>
        <w:rPr>
          <w:rFonts w:hint="eastAsia" w:ascii="Times New Roman" w:eastAsia="宋体"/>
          <w:kern w:val="2"/>
          <w:szCs w:val="21"/>
          <w:lang w:eastAsia="zh-CN"/>
        </w:rPr>
      </w:pPr>
    </w:p>
    <w:p>
      <w:pPr>
        <w:pStyle w:val="136"/>
        <w:spacing w:line="276" w:lineRule="auto"/>
        <w:rPr>
          <w:rFonts w:hint="eastAsia" w:hAnsi="宋体"/>
          <w:color w:val="000000"/>
          <w:szCs w:val="21"/>
        </w:rPr>
      </w:pPr>
    </w:p>
    <w:p>
      <w:pPr>
        <w:pStyle w:val="136"/>
        <w:spacing w:line="276" w:lineRule="auto"/>
        <w:rPr>
          <w:rFonts w:hint="eastAsia" w:hAnsi="宋体"/>
          <w:color w:val="000000"/>
          <w:szCs w:val="21"/>
        </w:rPr>
      </w:pPr>
      <w:r>
        <w:rPr>
          <w:rFonts w:ascii="Times New Roman"/>
          <w:kern w:val="2"/>
          <w:szCs w:val="21"/>
        </w:rPr>
        <w:drawing>
          <wp:inline distT="0" distB="0" distL="114300" distR="114300">
            <wp:extent cx="5913120" cy="2716530"/>
            <wp:effectExtent l="0" t="0" r="11430"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913120" cy="2716530"/>
                    </a:xfrm>
                    <a:prstGeom prst="rect">
                      <a:avLst/>
                    </a:prstGeom>
                    <a:noFill/>
                    <a:ln>
                      <a:noFill/>
                    </a:ln>
                  </pic:spPr>
                </pic:pic>
              </a:graphicData>
            </a:graphic>
          </wp:inline>
        </w:drawing>
      </w:r>
    </w:p>
    <w:p>
      <w:pPr>
        <w:pStyle w:val="136"/>
        <w:spacing w:line="276" w:lineRule="auto"/>
        <w:rPr>
          <w:rFonts w:hint="eastAsia" w:hAnsi="宋体"/>
          <w:color w:val="000000"/>
          <w:szCs w:val="21"/>
        </w:rPr>
      </w:pPr>
    </w:p>
    <w:p>
      <w:pPr>
        <w:numPr>
          <w:ilvl w:val="0"/>
          <w:numId w:val="0"/>
        </w:numPr>
        <w:ind w:leftChars="0"/>
        <w:rPr>
          <w:rFonts w:hint="eastAsia"/>
          <w:lang w:val="en-US" w:eastAsia="zh-CN"/>
        </w:rPr>
      </w:pPr>
      <w:r>
        <w:rPr>
          <w:rFonts w:hint="eastAsia"/>
          <w:lang w:val="en-US" w:eastAsia="zh-CN"/>
        </w:rPr>
        <w:t>5.稳定剂的选择</w:t>
      </w:r>
    </w:p>
    <w:p>
      <w:pPr>
        <w:spacing w:line="276" w:lineRule="auto"/>
        <w:ind w:firstLine="435"/>
        <w:rPr>
          <w:color w:val="000000"/>
          <w:szCs w:val="21"/>
        </w:rPr>
      </w:pPr>
      <w:r>
        <w:rPr>
          <w:color w:val="000000"/>
          <w:szCs w:val="21"/>
        </w:rPr>
        <w:t>比浊法的关键是选择适当的稳定剂，控制生成BaSO4结晶的大小和防止晶粒沉降，使其在体系中均匀分散，稳定时间长，有利于测定。</w:t>
      </w:r>
      <w:r>
        <w:rPr>
          <w:szCs w:val="21"/>
        </w:rPr>
        <w:t>移取2.50mL硫酸根标准溶液（100μg/mL）于25mL比色管中，移取10mL试剂空白溶液，</w:t>
      </w:r>
      <w:r>
        <w:rPr>
          <w:color w:val="000000"/>
          <w:szCs w:val="21"/>
        </w:rPr>
        <w:t>考察了丙三醇-无水乙醇稳定剂（2mL丙三醇+2mL无水乙醇）、聚乙烯醇-无水乙醇稳定剂（2.5mL聚乙烯醇+2mL无水乙醇）这两种稳定剂对吸光度的影响。</w:t>
      </w:r>
      <w:r>
        <w:rPr>
          <w:rFonts w:hint="eastAsia"/>
          <w:color w:val="000000"/>
          <w:szCs w:val="21"/>
        </w:rPr>
        <w:t>结果如表</w:t>
      </w:r>
      <w:r>
        <w:rPr>
          <w:rFonts w:hint="eastAsia"/>
          <w:color w:val="000000"/>
          <w:szCs w:val="21"/>
          <w:lang w:val="en-US" w:eastAsia="zh-CN"/>
        </w:rPr>
        <w:t>4</w:t>
      </w:r>
      <w:r>
        <w:rPr>
          <w:rFonts w:hint="eastAsia"/>
          <w:color w:val="000000"/>
          <w:szCs w:val="21"/>
        </w:rPr>
        <w:t>所示。</w:t>
      </w:r>
    </w:p>
    <w:p>
      <w:pPr>
        <w:spacing w:line="276" w:lineRule="auto"/>
        <w:ind w:firstLine="435"/>
        <w:jc w:val="center"/>
        <w:rPr>
          <w:rFonts w:hint="eastAsia" w:eastAsia="宋体"/>
          <w:color w:val="000000"/>
          <w:szCs w:val="21"/>
          <w:lang w:eastAsia="zh-CN"/>
        </w:rPr>
      </w:pPr>
      <w:r>
        <w:rPr>
          <w:rFonts w:hint="eastAsia"/>
          <w:color w:val="000000"/>
          <w:szCs w:val="21"/>
        </w:rPr>
        <w:t>表</w:t>
      </w:r>
      <w:r>
        <w:rPr>
          <w:rFonts w:hint="eastAsia"/>
          <w:color w:val="000000"/>
          <w:szCs w:val="21"/>
          <w:lang w:val="en-US" w:eastAsia="zh-CN"/>
        </w:rPr>
        <w:t>4</w:t>
      </w:r>
    </w:p>
    <w:tbl>
      <w:tblPr>
        <w:tblStyle w:val="88"/>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1"/>
        <w:gridCol w:w="860"/>
        <w:gridCol w:w="860"/>
        <w:gridCol w:w="860"/>
        <w:gridCol w:w="860"/>
        <w:gridCol w:w="860"/>
        <w:gridCol w:w="860"/>
        <w:gridCol w:w="860"/>
        <w:gridCol w:w="991"/>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1221" w:type="dxa"/>
            <w:shd w:val="clear" w:color="auto" w:fill="auto"/>
            <w:noWrap/>
            <w:vAlign w:val="center"/>
          </w:tcPr>
          <w:p>
            <w:pPr>
              <w:spacing w:line="276" w:lineRule="auto"/>
              <w:jc w:val="center"/>
              <w:rPr>
                <w:color w:val="000000"/>
                <w:szCs w:val="21"/>
              </w:rPr>
            </w:pPr>
            <w:r>
              <w:rPr>
                <w:color w:val="000000"/>
                <w:szCs w:val="21"/>
              </w:rPr>
              <w:t>稳定剂</w:t>
            </w:r>
          </w:p>
        </w:tc>
        <w:tc>
          <w:tcPr>
            <w:tcW w:w="5159" w:type="dxa"/>
            <w:gridSpan w:val="6"/>
            <w:shd w:val="clear" w:color="auto" w:fill="auto"/>
            <w:noWrap/>
            <w:vAlign w:val="center"/>
          </w:tcPr>
          <w:p>
            <w:pPr>
              <w:spacing w:line="276" w:lineRule="auto"/>
              <w:jc w:val="center"/>
              <w:rPr>
                <w:color w:val="000000"/>
                <w:szCs w:val="21"/>
              </w:rPr>
            </w:pPr>
            <w:r>
              <w:rPr>
                <w:rFonts w:hint="eastAsia"/>
                <w:color w:val="000000"/>
                <w:szCs w:val="21"/>
              </w:rPr>
              <w:t>净</w:t>
            </w:r>
            <w:r>
              <w:rPr>
                <w:color w:val="000000"/>
                <w:szCs w:val="21"/>
              </w:rPr>
              <w:t>吸光度</w:t>
            </w:r>
          </w:p>
        </w:tc>
        <w:tc>
          <w:tcPr>
            <w:tcW w:w="860" w:type="dxa"/>
            <w:shd w:val="clear" w:color="auto" w:fill="auto"/>
            <w:noWrap/>
            <w:vAlign w:val="center"/>
          </w:tcPr>
          <w:p>
            <w:pPr>
              <w:spacing w:line="276" w:lineRule="auto"/>
              <w:jc w:val="center"/>
              <w:rPr>
                <w:color w:val="000000"/>
                <w:szCs w:val="21"/>
              </w:rPr>
            </w:pPr>
            <w:r>
              <w:rPr>
                <w:color w:val="000000"/>
                <w:szCs w:val="21"/>
              </w:rPr>
              <w:t>平均值</w:t>
            </w:r>
          </w:p>
        </w:tc>
        <w:tc>
          <w:tcPr>
            <w:tcW w:w="991" w:type="dxa"/>
            <w:shd w:val="clear" w:color="auto" w:fill="auto"/>
            <w:noWrap/>
            <w:vAlign w:val="center"/>
          </w:tcPr>
          <w:p>
            <w:pPr>
              <w:spacing w:line="276" w:lineRule="auto"/>
              <w:jc w:val="center"/>
              <w:rPr>
                <w:color w:val="000000"/>
                <w:szCs w:val="21"/>
              </w:rPr>
            </w:pPr>
            <w:r>
              <w:rPr>
                <w:color w:val="000000"/>
                <w:szCs w:val="21"/>
              </w:rPr>
              <w:t>SD</w:t>
            </w:r>
          </w:p>
        </w:tc>
        <w:tc>
          <w:tcPr>
            <w:tcW w:w="998" w:type="dxa"/>
            <w:shd w:val="clear" w:color="auto" w:fill="auto"/>
            <w:noWrap/>
            <w:vAlign w:val="center"/>
          </w:tcPr>
          <w:p>
            <w:pPr>
              <w:spacing w:line="276" w:lineRule="auto"/>
              <w:jc w:val="center"/>
              <w:rPr>
                <w:color w:val="000000"/>
                <w:szCs w:val="21"/>
              </w:rPr>
            </w:pPr>
            <w:r>
              <w:rPr>
                <w:color w:val="000000"/>
                <w:szCs w:val="21"/>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221" w:type="dxa"/>
            <w:shd w:val="clear" w:color="auto" w:fill="auto"/>
            <w:noWrap w:val="0"/>
            <w:vAlign w:val="center"/>
          </w:tcPr>
          <w:p>
            <w:pPr>
              <w:spacing w:line="276" w:lineRule="auto"/>
              <w:jc w:val="center"/>
              <w:rPr>
                <w:color w:val="000000"/>
                <w:szCs w:val="21"/>
              </w:rPr>
            </w:pPr>
            <w:r>
              <w:rPr>
                <w:color w:val="000000"/>
                <w:szCs w:val="21"/>
              </w:rPr>
              <w:t>丙三醇-无水乙醇</w:t>
            </w:r>
          </w:p>
        </w:tc>
        <w:tc>
          <w:tcPr>
            <w:tcW w:w="860" w:type="dxa"/>
            <w:shd w:val="clear" w:color="auto" w:fill="auto"/>
            <w:noWrap/>
            <w:vAlign w:val="center"/>
          </w:tcPr>
          <w:p>
            <w:pPr>
              <w:spacing w:line="276" w:lineRule="auto"/>
              <w:rPr>
                <w:color w:val="000000"/>
                <w:szCs w:val="21"/>
              </w:rPr>
            </w:pPr>
            <w:r>
              <w:rPr>
                <w:color w:val="000000"/>
                <w:szCs w:val="21"/>
              </w:rPr>
              <w:t>0.324</w:t>
            </w:r>
          </w:p>
        </w:tc>
        <w:tc>
          <w:tcPr>
            <w:tcW w:w="860" w:type="dxa"/>
            <w:shd w:val="clear" w:color="auto" w:fill="auto"/>
            <w:noWrap/>
            <w:vAlign w:val="center"/>
          </w:tcPr>
          <w:p>
            <w:pPr>
              <w:spacing w:line="276" w:lineRule="auto"/>
              <w:jc w:val="center"/>
              <w:rPr>
                <w:color w:val="000000"/>
                <w:szCs w:val="21"/>
              </w:rPr>
            </w:pPr>
            <w:r>
              <w:rPr>
                <w:color w:val="000000"/>
                <w:szCs w:val="21"/>
              </w:rPr>
              <w:t>0.324</w:t>
            </w:r>
          </w:p>
        </w:tc>
        <w:tc>
          <w:tcPr>
            <w:tcW w:w="860" w:type="dxa"/>
            <w:shd w:val="clear" w:color="auto" w:fill="auto"/>
            <w:noWrap/>
            <w:vAlign w:val="center"/>
          </w:tcPr>
          <w:p>
            <w:pPr>
              <w:spacing w:line="276" w:lineRule="auto"/>
              <w:jc w:val="center"/>
              <w:rPr>
                <w:color w:val="000000"/>
                <w:szCs w:val="21"/>
              </w:rPr>
            </w:pPr>
            <w:r>
              <w:rPr>
                <w:color w:val="000000"/>
                <w:szCs w:val="21"/>
              </w:rPr>
              <w:t>0.326</w:t>
            </w:r>
          </w:p>
        </w:tc>
        <w:tc>
          <w:tcPr>
            <w:tcW w:w="860" w:type="dxa"/>
            <w:shd w:val="clear" w:color="auto" w:fill="auto"/>
            <w:noWrap/>
            <w:vAlign w:val="center"/>
          </w:tcPr>
          <w:p>
            <w:pPr>
              <w:spacing w:line="276" w:lineRule="auto"/>
              <w:jc w:val="center"/>
              <w:rPr>
                <w:color w:val="000000"/>
                <w:szCs w:val="21"/>
              </w:rPr>
            </w:pPr>
            <w:r>
              <w:rPr>
                <w:color w:val="000000"/>
                <w:szCs w:val="21"/>
              </w:rPr>
              <w:t>0.336</w:t>
            </w:r>
          </w:p>
        </w:tc>
        <w:tc>
          <w:tcPr>
            <w:tcW w:w="860" w:type="dxa"/>
            <w:shd w:val="clear" w:color="auto" w:fill="auto"/>
            <w:noWrap/>
            <w:vAlign w:val="center"/>
          </w:tcPr>
          <w:p>
            <w:pPr>
              <w:spacing w:line="276" w:lineRule="auto"/>
              <w:jc w:val="center"/>
              <w:rPr>
                <w:color w:val="000000"/>
                <w:szCs w:val="21"/>
              </w:rPr>
            </w:pPr>
            <w:r>
              <w:rPr>
                <w:color w:val="000000"/>
                <w:szCs w:val="21"/>
              </w:rPr>
              <w:t>0.333</w:t>
            </w:r>
          </w:p>
        </w:tc>
        <w:tc>
          <w:tcPr>
            <w:tcW w:w="860" w:type="dxa"/>
            <w:shd w:val="clear" w:color="auto" w:fill="auto"/>
            <w:noWrap/>
            <w:vAlign w:val="center"/>
          </w:tcPr>
          <w:p>
            <w:pPr>
              <w:spacing w:line="276" w:lineRule="auto"/>
              <w:jc w:val="center"/>
              <w:rPr>
                <w:color w:val="000000"/>
                <w:szCs w:val="21"/>
              </w:rPr>
            </w:pPr>
            <w:r>
              <w:rPr>
                <w:color w:val="000000"/>
                <w:szCs w:val="21"/>
              </w:rPr>
              <w:t>0.335</w:t>
            </w:r>
          </w:p>
        </w:tc>
        <w:tc>
          <w:tcPr>
            <w:tcW w:w="860" w:type="dxa"/>
            <w:shd w:val="clear" w:color="auto" w:fill="auto"/>
            <w:noWrap/>
            <w:vAlign w:val="center"/>
          </w:tcPr>
          <w:p>
            <w:pPr>
              <w:spacing w:line="276" w:lineRule="auto"/>
              <w:jc w:val="center"/>
              <w:rPr>
                <w:color w:val="000000"/>
                <w:szCs w:val="21"/>
              </w:rPr>
            </w:pPr>
            <w:r>
              <w:rPr>
                <w:color w:val="000000"/>
                <w:szCs w:val="21"/>
              </w:rPr>
              <w:t>0.330</w:t>
            </w:r>
          </w:p>
        </w:tc>
        <w:tc>
          <w:tcPr>
            <w:tcW w:w="991" w:type="dxa"/>
            <w:shd w:val="clear" w:color="auto" w:fill="auto"/>
            <w:noWrap/>
            <w:vAlign w:val="center"/>
          </w:tcPr>
          <w:p>
            <w:pPr>
              <w:spacing w:line="276" w:lineRule="auto"/>
              <w:jc w:val="center"/>
              <w:rPr>
                <w:color w:val="000000"/>
                <w:szCs w:val="21"/>
              </w:rPr>
            </w:pPr>
            <w:r>
              <w:rPr>
                <w:color w:val="000000"/>
                <w:szCs w:val="21"/>
              </w:rPr>
              <w:t>0.0051</w:t>
            </w:r>
          </w:p>
        </w:tc>
        <w:tc>
          <w:tcPr>
            <w:tcW w:w="998" w:type="dxa"/>
            <w:shd w:val="clear" w:color="auto" w:fill="auto"/>
            <w:noWrap/>
            <w:vAlign w:val="center"/>
          </w:tcPr>
          <w:p>
            <w:pPr>
              <w:spacing w:line="276" w:lineRule="auto"/>
              <w:jc w:val="center"/>
              <w:rPr>
                <w:color w:val="000000"/>
                <w:szCs w:val="21"/>
              </w:rPr>
            </w:pPr>
            <w:r>
              <w:rPr>
                <w:color w:val="000000"/>
                <w:szCs w:val="21"/>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221" w:type="dxa"/>
            <w:shd w:val="clear" w:color="auto" w:fill="auto"/>
            <w:noWrap w:val="0"/>
            <w:vAlign w:val="center"/>
          </w:tcPr>
          <w:p>
            <w:pPr>
              <w:spacing w:line="276" w:lineRule="auto"/>
              <w:jc w:val="center"/>
              <w:rPr>
                <w:color w:val="000000"/>
                <w:szCs w:val="21"/>
              </w:rPr>
            </w:pPr>
            <w:r>
              <w:rPr>
                <w:color w:val="000000"/>
                <w:szCs w:val="21"/>
              </w:rPr>
              <w:t>聚乙烯醇-无水乙醇</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0.369</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0.372</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0.370</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0.374</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0.373</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0.369</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0.371</w:t>
            </w:r>
          </w:p>
        </w:tc>
        <w:tc>
          <w:tcPr>
            <w:tcW w:w="991" w:type="dxa"/>
            <w:shd w:val="clear" w:color="auto" w:fill="auto"/>
            <w:noWrap/>
            <w:vAlign w:val="center"/>
          </w:tcPr>
          <w:p>
            <w:pPr>
              <w:spacing w:line="276" w:lineRule="auto"/>
              <w:jc w:val="center"/>
              <w:rPr>
                <w:color w:val="000000"/>
                <w:szCs w:val="21"/>
              </w:rPr>
            </w:pPr>
            <w:r>
              <w:rPr>
                <w:rFonts w:hint="eastAsia"/>
                <w:color w:val="000000"/>
                <w:szCs w:val="21"/>
              </w:rPr>
              <w:t>0.0020</w:t>
            </w:r>
          </w:p>
        </w:tc>
        <w:tc>
          <w:tcPr>
            <w:tcW w:w="998" w:type="dxa"/>
            <w:shd w:val="clear" w:color="auto" w:fill="auto"/>
            <w:noWrap/>
            <w:vAlign w:val="center"/>
          </w:tcPr>
          <w:p>
            <w:pPr>
              <w:spacing w:line="276" w:lineRule="auto"/>
              <w:jc w:val="center"/>
              <w:rPr>
                <w:color w:val="000000"/>
                <w:szCs w:val="21"/>
              </w:rPr>
            </w:pPr>
            <w:r>
              <w:rPr>
                <w:rFonts w:hint="eastAsia"/>
                <w:color w:val="000000"/>
                <w:szCs w:val="21"/>
              </w:rPr>
              <w:t>0.53</w:t>
            </w:r>
          </w:p>
        </w:tc>
      </w:tr>
    </w:tbl>
    <w:p>
      <w:pPr>
        <w:spacing w:line="276" w:lineRule="auto"/>
        <w:rPr>
          <w:color w:val="000000"/>
          <w:szCs w:val="21"/>
        </w:rPr>
      </w:pPr>
      <w:r>
        <w:rPr>
          <w:color w:val="000000"/>
          <w:szCs w:val="21"/>
        </w:rPr>
        <w:t>结论：从上表可得，聚乙烯醇-无水乙醇的稳定性更好、灵敏度更高，所以试验选择聚乙烯醇-无水乙醇稳定剂。</w:t>
      </w:r>
    </w:p>
    <w:p>
      <w:pPr>
        <w:numPr>
          <w:ilvl w:val="0"/>
          <w:numId w:val="0"/>
        </w:numPr>
        <w:ind w:leftChars="0"/>
        <w:rPr>
          <w:rFonts w:hint="eastAsia"/>
          <w:lang w:val="en-US" w:eastAsia="zh-CN"/>
        </w:rPr>
      </w:pPr>
      <w:r>
        <w:rPr>
          <w:rFonts w:hint="eastAsia"/>
          <w:lang w:val="en-US" w:eastAsia="zh-CN"/>
        </w:rPr>
        <w:t>6.稳定时间的选择</w:t>
      </w:r>
    </w:p>
    <w:p>
      <w:pPr>
        <w:spacing w:line="276" w:lineRule="auto"/>
        <w:ind w:firstLine="420" w:firstLineChars="200"/>
        <w:rPr>
          <w:szCs w:val="21"/>
        </w:rPr>
      </w:pPr>
      <w:r>
        <w:rPr>
          <w:szCs w:val="21"/>
        </w:rPr>
        <w:t>移取2.50mL硫酸根标准溶液（100μg/mL）于25mL比色管中，移取10mL试剂空白溶液，按照方法2.4.2.5测定，同时做试剂空白试验。分别考察在稳定时间5min、10min、15min、20min、30min、60min下的净吸光度值。</w:t>
      </w:r>
      <w:r>
        <w:rPr>
          <w:rFonts w:hint="eastAsia"/>
          <w:szCs w:val="21"/>
        </w:rPr>
        <w:t>结果如表</w:t>
      </w:r>
      <w:r>
        <w:rPr>
          <w:rFonts w:hint="eastAsia"/>
          <w:szCs w:val="21"/>
          <w:lang w:val="en-US" w:eastAsia="zh-CN"/>
        </w:rPr>
        <w:t>5</w:t>
      </w:r>
      <w:r>
        <w:rPr>
          <w:rFonts w:hint="eastAsia"/>
          <w:szCs w:val="21"/>
        </w:rPr>
        <w:t>所示。</w:t>
      </w:r>
    </w:p>
    <w:p>
      <w:pPr>
        <w:spacing w:line="276" w:lineRule="auto"/>
        <w:ind w:firstLine="420" w:firstLineChars="200"/>
        <w:jc w:val="center"/>
        <w:rPr>
          <w:rFonts w:hint="eastAsia" w:eastAsia="宋体"/>
          <w:szCs w:val="21"/>
          <w:lang w:eastAsia="zh-CN"/>
        </w:rPr>
      </w:pPr>
      <w:r>
        <w:rPr>
          <w:rFonts w:hint="eastAsia"/>
          <w:szCs w:val="21"/>
        </w:rPr>
        <w:t>表</w:t>
      </w:r>
      <w:r>
        <w:rPr>
          <w:rFonts w:hint="eastAsia"/>
          <w:szCs w:val="21"/>
          <w:lang w:val="en-US" w:eastAsia="zh-CN"/>
        </w:rPr>
        <w:t>5</w:t>
      </w:r>
    </w:p>
    <w:tbl>
      <w:tblPr>
        <w:tblStyle w:val="88"/>
        <w:tblW w:w="9761" w:type="dxa"/>
        <w:tblInd w:w="93" w:type="dxa"/>
        <w:tblLayout w:type="autofit"/>
        <w:tblCellMar>
          <w:top w:w="0" w:type="dxa"/>
          <w:left w:w="108" w:type="dxa"/>
          <w:bottom w:w="0" w:type="dxa"/>
          <w:right w:w="108" w:type="dxa"/>
        </w:tblCellMar>
      </w:tblPr>
      <w:tblGrid>
        <w:gridCol w:w="1600"/>
        <w:gridCol w:w="1380"/>
        <w:gridCol w:w="1380"/>
        <w:gridCol w:w="1360"/>
        <w:gridCol w:w="1383"/>
        <w:gridCol w:w="1417"/>
        <w:gridCol w:w="1241"/>
      </w:tblGrid>
      <w:tr>
        <w:tblPrEx>
          <w:tblCellMar>
            <w:top w:w="0" w:type="dxa"/>
            <w:left w:w="108" w:type="dxa"/>
            <w:bottom w:w="0" w:type="dxa"/>
            <w:right w:w="108" w:type="dxa"/>
          </w:tblCellMar>
        </w:tblPrEx>
        <w:trPr>
          <w:trHeight w:val="420" w:hRule="atLeast"/>
        </w:trPr>
        <w:tc>
          <w:tcPr>
            <w:tcW w:w="1600"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tcPr>
          <w:p>
            <w:pPr>
              <w:widowControl/>
              <w:spacing w:line="240" w:lineRule="auto"/>
              <w:jc w:val="center"/>
              <w:rPr>
                <w:rFonts w:eastAsia="微软雅黑"/>
                <w:color w:val="000000"/>
                <w:kern w:val="0"/>
                <w:sz w:val="22"/>
              </w:rPr>
            </w:pPr>
            <w:r>
              <w:rPr>
                <w:rFonts w:eastAsia="微软雅黑"/>
                <w:color w:val="000000"/>
                <w:kern w:val="0"/>
                <w:sz w:val="22"/>
              </w:rPr>
              <w:t>　</w:t>
            </w:r>
          </w:p>
        </w:tc>
        <w:tc>
          <w:tcPr>
            <w:tcW w:w="816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不同稳定时间下吸光度</w:t>
            </w:r>
          </w:p>
        </w:tc>
      </w:tr>
      <w:tr>
        <w:tblPrEx>
          <w:tblCellMar>
            <w:top w:w="0" w:type="dxa"/>
            <w:left w:w="108" w:type="dxa"/>
            <w:bottom w:w="0" w:type="dxa"/>
            <w:right w:w="108" w:type="dxa"/>
          </w:tblCellMar>
        </w:tblPrEx>
        <w:trPr>
          <w:trHeight w:val="420" w:hRule="atLeast"/>
        </w:trPr>
        <w:tc>
          <w:tcPr>
            <w:tcW w:w="160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eastAsia="微软雅黑"/>
                <w:color w:val="000000"/>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5min</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10min</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15min</w:t>
            </w:r>
          </w:p>
        </w:tc>
        <w:tc>
          <w:tcPr>
            <w:tcW w:w="13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20min</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30min</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color w:val="000000"/>
                <w:kern w:val="0"/>
                <w:sz w:val="22"/>
              </w:rPr>
            </w:pPr>
            <w:r>
              <w:rPr>
                <w:color w:val="000000"/>
                <w:kern w:val="0"/>
                <w:sz w:val="22"/>
              </w:rPr>
              <w:t>60min</w:t>
            </w:r>
          </w:p>
        </w:tc>
      </w:tr>
      <w:tr>
        <w:tblPrEx>
          <w:tblCellMar>
            <w:top w:w="0" w:type="dxa"/>
            <w:left w:w="108" w:type="dxa"/>
            <w:bottom w:w="0" w:type="dxa"/>
            <w:right w:w="108"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试剂空白</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0.005</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0.005</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0.006</w:t>
            </w:r>
          </w:p>
        </w:tc>
        <w:tc>
          <w:tcPr>
            <w:tcW w:w="13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0.007</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0.005</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0.005</w:t>
            </w:r>
          </w:p>
        </w:tc>
      </w:tr>
      <w:tr>
        <w:tblPrEx>
          <w:tblCellMar>
            <w:top w:w="0" w:type="dxa"/>
            <w:left w:w="108" w:type="dxa"/>
            <w:bottom w:w="0" w:type="dxa"/>
            <w:right w:w="108"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样品吸光度</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0.371</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0.377</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0.375</w:t>
            </w:r>
          </w:p>
        </w:tc>
        <w:tc>
          <w:tcPr>
            <w:tcW w:w="13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0.375</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0.371</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0.357</w:t>
            </w:r>
          </w:p>
        </w:tc>
      </w:tr>
      <w:tr>
        <w:tblPrEx>
          <w:tblCellMar>
            <w:top w:w="0" w:type="dxa"/>
            <w:left w:w="108" w:type="dxa"/>
            <w:bottom w:w="0" w:type="dxa"/>
            <w:right w:w="108"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净吸光度</w:t>
            </w:r>
          </w:p>
        </w:tc>
        <w:tc>
          <w:tcPr>
            <w:tcW w:w="138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0.366</w:t>
            </w:r>
          </w:p>
        </w:tc>
        <w:tc>
          <w:tcPr>
            <w:tcW w:w="138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0.372</w:t>
            </w:r>
          </w:p>
        </w:tc>
        <w:tc>
          <w:tcPr>
            <w:tcW w:w="136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0.369</w:t>
            </w:r>
          </w:p>
        </w:tc>
        <w:tc>
          <w:tcPr>
            <w:tcW w:w="1383"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0.368</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0.366</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0.352</w:t>
            </w:r>
          </w:p>
        </w:tc>
      </w:tr>
    </w:tbl>
    <w:p>
      <w:pPr>
        <w:spacing w:line="276" w:lineRule="auto"/>
        <w:rPr>
          <w:color w:val="000000"/>
          <w:szCs w:val="21"/>
        </w:rPr>
      </w:pPr>
      <w:r>
        <w:rPr>
          <w:color w:val="000000"/>
          <w:szCs w:val="21"/>
        </w:rPr>
        <w:t>结论：上表可得，吸光度随着稳定时间的增长，先呈上升后下降趋势，试液放置10min~20min，稳定性较好，吸光度变化为0.372-0.368=0.004。方法选择硫酸根测定稳定时间为10min，建议在20min内测定完毕。</w:t>
      </w:r>
    </w:p>
    <w:p>
      <w:pPr>
        <w:numPr>
          <w:ilvl w:val="0"/>
          <w:numId w:val="0"/>
        </w:numPr>
        <w:ind w:leftChars="0"/>
        <w:rPr>
          <w:rFonts w:hint="eastAsia"/>
          <w:lang w:val="en-US" w:eastAsia="zh-CN"/>
        </w:rPr>
      </w:pPr>
      <w:r>
        <w:rPr>
          <w:rFonts w:hint="eastAsia"/>
          <w:lang w:val="en-US" w:eastAsia="zh-CN"/>
        </w:rPr>
        <w:t>7.酸度的选择</w:t>
      </w:r>
    </w:p>
    <w:p>
      <w:pPr>
        <w:spacing w:line="276" w:lineRule="auto"/>
        <w:ind w:firstLine="420" w:firstLineChars="200"/>
        <w:rPr>
          <w:szCs w:val="21"/>
        </w:rPr>
      </w:pPr>
      <w:r>
        <w:rPr>
          <w:szCs w:val="21"/>
        </w:rPr>
        <w:t>移取2.50mL硫酸根标准溶液（100μg/mL）于25mL比色管中，移取10mL试剂空白溶液，按照方法2.4.2.5测定，同时做试剂空白试验。稳定10min后立即测试。</w:t>
      </w:r>
      <w:r>
        <w:rPr>
          <w:rFonts w:hint="eastAsia"/>
          <w:szCs w:val="21"/>
        </w:rPr>
        <w:t>结果如表</w:t>
      </w:r>
      <w:r>
        <w:rPr>
          <w:rFonts w:hint="eastAsia"/>
          <w:szCs w:val="21"/>
          <w:lang w:val="en-US" w:eastAsia="zh-CN"/>
        </w:rPr>
        <w:t>6</w:t>
      </w:r>
      <w:r>
        <w:rPr>
          <w:rFonts w:hint="eastAsia"/>
          <w:szCs w:val="21"/>
        </w:rPr>
        <w:t>所示。</w:t>
      </w:r>
    </w:p>
    <w:p>
      <w:pPr>
        <w:jc w:val="center"/>
        <w:rPr>
          <w:rFonts w:hint="eastAsia" w:eastAsia="宋体"/>
          <w:kern w:val="0"/>
          <w:lang w:eastAsia="zh-CN"/>
        </w:rPr>
      </w:pPr>
      <w:r>
        <w:rPr>
          <w:rFonts w:hint="eastAsia"/>
          <w:kern w:val="0"/>
        </w:rPr>
        <w:t>表</w:t>
      </w:r>
      <w:r>
        <w:rPr>
          <w:rFonts w:hint="eastAsia"/>
          <w:kern w:val="0"/>
          <w:lang w:val="en-US" w:eastAsia="zh-CN"/>
        </w:rPr>
        <w:t>6</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盐酸（1+19）加入量/mL</w:t>
            </w:r>
          </w:p>
        </w:tc>
        <w:tc>
          <w:tcPr>
            <w:tcW w:w="2463" w:type="dxa"/>
            <w:shd w:val="clear" w:color="auto" w:fill="auto"/>
            <w:noWrap w:val="0"/>
            <w:vAlign w:val="top"/>
          </w:tcPr>
          <w:p>
            <w:pPr>
              <w:jc w:val="center"/>
              <w:rPr>
                <w:kern w:val="0"/>
              </w:rPr>
            </w:pPr>
            <w:r>
              <w:rPr>
                <w:kern w:val="0"/>
              </w:rPr>
              <w:t>试剂空白吸光度</w:t>
            </w:r>
          </w:p>
        </w:tc>
        <w:tc>
          <w:tcPr>
            <w:tcW w:w="2464" w:type="dxa"/>
            <w:shd w:val="clear" w:color="auto" w:fill="auto"/>
            <w:noWrap w:val="0"/>
            <w:vAlign w:val="top"/>
          </w:tcPr>
          <w:p>
            <w:pPr>
              <w:jc w:val="center"/>
              <w:rPr>
                <w:kern w:val="0"/>
              </w:rPr>
            </w:pPr>
            <w:r>
              <w:rPr>
                <w:kern w:val="0"/>
              </w:rPr>
              <w:t>吸光度</w:t>
            </w:r>
          </w:p>
        </w:tc>
        <w:tc>
          <w:tcPr>
            <w:tcW w:w="2464" w:type="dxa"/>
            <w:shd w:val="clear" w:color="auto" w:fill="auto"/>
            <w:noWrap w:val="0"/>
            <w:vAlign w:val="top"/>
          </w:tcPr>
          <w:p>
            <w:pPr>
              <w:jc w:val="center"/>
              <w:rPr>
                <w:kern w:val="0"/>
              </w:rPr>
            </w:pPr>
            <w:r>
              <w:rPr>
                <w:kern w:val="0"/>
              </w:rPr>
              <w:t>净吸光度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0</w:t>
            </w:r>
          </w:p>
        </w:tc>
        <w:tc>
          <w:tcPr>
            <w:tcW w:w="2463" w:type="dxa"/>
            <w:shd w:val="clear" w:color="auto" w:fill="auto"/>
            <w:noWrap w:val="0"/>
            <w:vAlign w:val="top"/>
          </w:tcPr>
          <w:p>
            <w:pPr>
              <w:jc w:val="center"/>
              <w:rPr>
                <w:kern w:val="0"/>
              </w:rPr>
            </w:pPr>
            <w:r>
              <w:rPr>
                <w:kern w:val="0"/>
              </w:rPr>
              <w:t>0.006</w:t>
            </w:r>
          </w:p>
        </w:tc>
        <w:tc>
          <w:tcPr>
            <w:tcW w:w="2464" w:type="dxa"/>
            <w:shd w:val="clear" w:color="auto" w:fill="auto"/>
            <w:noWrap w:val="0"/>
            <w:vAlign w:val="top"/>
          </w:tcPr>
          <w:p>
            <w:pPr>
              <w:jc w:val="center"/>
              <w:rPr>
                <w:kern w:val="0"/>
              </w:rPr>
            </w:pPr>
            <w:r>
              <w:rPr>
                <w:kern w:val="0"/>
              </w:rPr>
              <w:t>0.353</w:t>
            </w:r>
          </w:p>
        </w:tc>
        <w:tc>
          <w:tcPr>
            <w:tcW w:w="2464" w:type="dxa"/>
            <w:shd w:val="clear" w:color="auto" w:fill="auto"/>
            <w:noWrap w:val="0"/>
            <w:vAlign w:val="top"/>
          </w:tcPr>
          <w:p>
            <w:pPr>
              <w:jc w:val="center"/>
              <w:rPr>
                <w:kern w:val="0"/>
              </w:rPr>
            </w:pPr>
            <w:r>
              <w:rPr>
                <w:kern w:val="0"/>
              </w:rPr>
              <w:t>0.347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1</w:t>
            </w:r>
          </w:p>
        </w:tc>
        <w:tc>
          <w:tcPr>
            <w:tcW w:w="2463" w:type="dxa"/>
            <w:shd w:val="clear" w:color="auto" w:fill="auto"/>
            <w:noWrap w:val="0"/>
            <w:vAlign w:val="top"/>
          </w:tcPr>
          <w:p>
            <w:pPr>
              <w:jc w:val="center"/>
              <w:rPr>
                <w:kern w:val="0"/>
              </w:rPr>
            </w:pPr>
            <w:r>
              <w:rPr>
                <w:kern w:val="0"/>
              </w:rPr>
              <w:t>0.005</w:t>
            </w:r>
          </w:p>
        </w:tc>
        <w:tc>
          <w:tcPr>
            <w:tcW w:w="2464" w:type="dxa"/>
            <w:shd w:val="clear" w:color="auto" w:fill="auto"/>
            <w:noWrap w:val="0"/>
            <w:vAlign w:val="top"/>
          </w:tcPr>
          <w:p>
            <w:pPr>
              <w:jc w:val="center"/>
              <w:rPr>
                <w:kern w:val="0"/>
              </w:rPr>
            </w:pPr>
            <w:r>
              <w:rPr>
                <w:kern w:val="0"/>
              </w:rPr>
              <w:t>0.381</w:t>
            </w:r>
          </w:p>
        </w:tc>
        <w:tc>
          <w:tcPr>
            <w:tcW w:w="2464" w:type="dxa"/>
            <w:shd w:val="clear" w:color="auto" w:fill="auto"/>
            <w:noWrap w:val="0"/>
            <w:vAlign w:val="top"/>
          </w:tcPr>
          <w:p>
            <w:pPr>
              <w:jc w:val="center"/>
              <w:rPr>
                <w:kern w:val="0"/>
              </w:rPr>
            </w:pPr>
            <w:r>
              <w:rPr>
                <w:kern w:val="0"/>
              </w:rPr>
              <w:t>0.376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2</w:t>
            </w:r>
          </w:p>
        </w:tc>
        <w:tc>
          <w:tcPr>
            <w:tcW w:w="2463" w:type="dxa"/>
            <w:shd w:val="clear" w:color="auto" w:fill="auto"/>
            <w:noWrap w:val="0"/>
            <w:vAlign w:val="top"/>
          </w:tcPr>
          <w:p>
            <w:pPr>
              <w:jc w:val="center"/>
              <w:rPr>
                <w:kern w:val="0"/>
              </w:rPr>
            </w:pPr>
            <w:r>
              <w:rPr>
                <w:kern w:val="0"/>
              </w:rPr>
              <w:t>0.007</w:t>
            </w:r>
          </w:p>
        </w:tc>
        <w:tc>
          <w:tcPr>
            <w:tcW w:w="2464" w:type="dxa"/>
            <w:shd w:val="clear" w:color="auto" w:fill="auto"/>
            <w:noWrap w:val="0"/>
            <w:vAlign w:val="top"/>
          </w:tcPr>
          <w:p>
            <w:pPr>
              <w:jc w:val="center"/>
              <w:rPr>
                <w:kern w:val="0"/>
              </w:rPr>
            </w:pPr>
            <w:r>
              <w:rPr>
                <w:kern w:val="0"/>
              </w:rPr>
              <w:t>0.375</w:t>
            </w:r>
          </w:p>
        </w:tc>
        <w:tc>
          <w:tcPr>
            <w:tcW w:w="2464" w:type="dxa"/>
            <w:shd w:val="clear" w:color="auto" w:fill="auto"/>
            <w:noWrap w:val="0"/>
            <w:vAlign w:val="top"/>
          </w:tcPr>
          <w:p>
            <w:pPr>
              <w:jc w:val="center"/>
              <w:rPr>
                <w:kern w:val="0"/>
              </w:rPr>
            </w:pPr>
            <w:r>
              <w:rPr>
                <w:kern w:val="0"/>
              </w:rPr>
              <w:t>0.368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3</w:t>
            </w:r>
          </w:p>
        </w:tc>
        <w:tc>
          <w:tcPr>
            <w:tcW w:w="2463" w:type="dxa"/>
            <w:shd w:val="clear" w:color="auto" w:fill="auto"/>
            <w:noWrap w:val="0"/>
            <w:vAlign w:val="top"/>
          </w:tcPr>
          <w:p>
            <w:pPr>
              <w:jc w:val="center"/>
              <w:rPr>
                <w:kern w:val="0"/>
              </w:rPr>
            </w:pPr>
            <w:r>
              <w:rPr>
                <w:kern w:val="0"/>
              </w:rPr>
              <w:t>0.010</w:t>
            </w:r>
          </w:p>
        </w:tc>
        <w:tc>
          <w:tcPr>
            <w:tcW w:w="2464" w:type="dxa"/>
            <w:shd w:val="clear" w:color="auto" w:fill="auto"/>
            <w:noWrap w:val="0"/>
            <w:vAlign w:val="top"/>
          </w:tcPr>
          <w:p>
            <w:pPr>
              <w:jc w:val="center"/>
              <w:rPr>
                <w:kern w:val="0"/>
              </w:rPr>
            </w:pPr>
            <w:r>
              <w:rPr>
                <w:kern w:val="0"/>
              </w:rPr>
              <w:t>0.365</w:t>
            </w:r>
          </w:p>
        </w:tc>
        <w:tc>
          <w:tcPr>
            <w:tcW w:w="2464" w:type="dxa"/>
            <w:shd w:val="clear" w:color="auto" w:fill="auto"/>
            <w:noWrap w:val="0"/>
            <w:vAlign w:val="top"/>
          </w:tcPr>
          <w:p>
            <w:pPr>
              <w:jc w:val="center"/>
              <w:rPr>
                <w:kern w:val="0"/>
              </w:rPr>
            </w:pPr>
            <w:r>
              <w:rPr>
                <w:kern w:val="0"/>
              </w:rPr>
              <w:t>0.355</w:t>
            </w:r>
          </w:p>
        </w:tc>
      </w:tr>
    </w:tbl>
    <w:p>
      <w:pPr>
        <w:rPr>
          <w:kern w:val="0"/>
        </w:rPr>
      </w:pPr>
      <w:r>
        <w:rPr>
          <w:kern w:val="0"/>
        </w:rPr>
        <w:t>结论：随着酸度的增加，吸光度呈上升后下降趋势。</w:t>
      </w:r>
      <w:r>
        <w:rPr>
          <w:rFonts w:hint="eastAsia"/>
          <w:kern w:val="0"/>
        </w:rPr>
        <w:t>酸度过小，硫酸钡生成不完全，酸度过大，因酸效应使硫酸钡溶解度增加，导致吸光度降低。</w:t>
      </w:r>
      <w:r>
        <w:rPr>
          <w:kern w:val="0"/>
        </w:rPr>
        <w:t>当盐酸加入量为1mL时，吸光度呈最大值，故试验选择盐酸（1+19）加入量为1mL</w:t>
      </w:r>
      <w:r>
        <w:rPr>
          <w:rFonts w:hint="eastAsia"/>
          <w:kern w:val="0"/>
        </w:rPr>
        <w:t>。</w:t>
      </w:r>
    </w:p>
    <w:p>
      <w:pPr>
        <w:numPr>
          <w:ilvl w:val="0"/>
          <w:numId w:val="0"/>
        </w:numPr>
        <w:ind w:leftChars="0"/>
        <w:rPr>
          <w:rFonts w:hint="eastAsia"/>
          <w:lang w:val="en-US" w:eastAsia="zh-CN"/>
        </w:rPr>
      </w:pPr>
      <w:r>
        <w:rPr>
          <w:rFonts w:hint="eastAsia"/>
          <w:lang w:val="en-US" w:eastAsia="zh-CN"/>
        </w:rPr>
        <w:t>8.沉淀剂加入量的选择</w:t>
      </w:r>
    </w:p>
    <w:p>
      <w:pPr>
        <w:spacing w:line="276" w:lineRule="auto"/>
        <w:ind w:firstLine="420" w:firstLineChars="200"/>
        <w:rPr>
          <w:szCs w:val="21"/>
        </w:rPr>
      </w:pPr>
      <w:r>
        <w:rPr>
          <w:szCs w:val="21"/>
        </w:rPr>
        <w:t>移取2.50mL硫酸根标准溶液（100μg/mL）于25mL比色管中，移取10mL试剂空白溶液，按照方法2.4.2.5测定，同时做试剂空白试验。稳定10min后立即测试。</w:t>
      </w:r>
      <w:r>
        <w:rPr>
          <w:rFonts w:hint="eastAsia"/>
          <w:szCs w:val="21"/>
        </w:rPr>
        <w:t>结果如表</w:t>
      </w:r>
      <w:r>
        <w:rPr>
          <w:rFonts w:hint="eastAsia"/>
          <w:szCs w:val="21"/>
          <w:lang w:val="en-US" w:eastAsia="zh-CN"/>
        </w:rPr>
        <w:t>7</w:t>
      </w:r>
      <w:r>
        <w:rPr>
          <w:rFonts w:hint="eastAsia"/>
          <w:szCs w:val="21"/>
        </w:rPr>
        <w:t>所示。</w:t>
      </w:r>
    </w:p>
    <w:p>
      <w:pPr>
        <w:spacing w:line="276" w:lineRule="auto"/>
        <w:ind w:firstLine="420" w:firstLineChars="200"/>
        <w:jc w:val="center"/>
        <w:rPr>
          <w:rFonts w:hint="eastAsia" w:eastAsia="宋体"/>
          <w:szCs w:val="21"/>
          <w:lang w:eastAsia="zh-CN"/>
        </w:rPr>
      </w:pPr>
      <w:r>
        <w:rPr>
          <w:rFonts w:hint="eastAsia"/>
          <w:szCs w:val="21"/>
        </w:rPr>
        <w:t>表</w:t>
      </w:r>
      <w:r>
        <w:rPr>
          <w:rFonts w:hint="eastAsia"/>
          <w:szCs w:val="21"/>
          <w:lang w:val="en-US" w:eastAsia="zh-CN"/>
        </w:rPr>
        <w:t>7</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氯化钡加入量/mL</w:t>
            </w:r>
          </w:p>
        </w:tc>
        <w:tc>
          <w:tcPr>
            <w:tcW w:w="2463" w:type="dxa"/>
            <w:shd w:val="clear" w:color="auto" w:fill="auto"/>
            <w:noWrap w:val="0"/>
            <w:vAlign w:val="top"/>
          </w:tcPr>
          <w:p>
            <w:pPr>
              <w:jc w:val="center"/>
              <w:rPr>
                <w:kern w:val="0"/>
              </w:rPr>
            </w:pPr>
            <w:r>
              <w:rPr>
                <w:kern w:val="0"/>
              </w:rPr>
              <w:t>试剂空白吸光度</w:t>
            </w:r>
          </w:p>
        </w:tc>
        <w:tc>
          <w:tcPr>
            <w:tcW w:w="2464" w:type="dxa"/>
            <w:shd w:val="clear" w:color="auto" w:fill="auto"/>
            <w:noWrap w:val="0"/>
            <w:vAlign w:val="top"/>
          </w:tcPr>
          <w:p>
            <w:pPr>
              <w:jc w:val="center"/>
              <w:rPr>
                <w:kern w:val="0"/>
              </w:rPr>
            </w:pPr>
            <w:r>
              <w:rPr>
                <w:kern w:val="0"/>
              </w:rPr>
              <w:t>吸光度</w:t>
            </w:r>
          </w:p>
        </w:tc>
        <w:tc>
          <w:tcPr>
            <w:tcW w:w="2464" w:type="dxa"/>
            <w:shd w:val="clear" w:color="auto" w:fill="auto"/>
            <w:noWrap w:val="0"/>
            <w:vAlign w:val="top"/>
          </w:tcPr>
          <w:p>
            <w:pPr>
              <w:jc w:val="center"/>
              <w:rPr>
                <w:kern w:val="0"/>
              </w:rPr>
            </w:pPr>
            <w:r>
              <w:rPr>
                <w:kern w:val="0"/>
              </w:rPr>
              <w:t>净吸光度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1</w:t>
            </w:r>
          </w:p>
        </w:tc>
        <w:tc>
          <w:tcPr>
            <w:tcW w:w="2463" w:type="dxa"/>
            <w:shd w:val="clear" w:color="auto" w:fill="auto"/>
            <w:noWrap w:val="0"/>
            <w:vAlign w:val="top"/>
          </w:tcPr>
          <w:p>
            <w:pPr>
              <w:jc w:val="center"/>
              <w:rPr>
                <w:kern w:val="0"/>
              </w:rPr>
            </w:pPr>
            <w:r>
              <w:rPr>
                <w:kern w:val="0"/>
              </w:rPr>
              <w:t>0.007</w:t>
            </w:r>
          </w:p>
        </w:tc>
        <w:tc>
          <w:tcPr>
            <w:tcW w:w="2464" w:type="dxa"/>
            <w:shd w:val="clear" w:color="auto" w:fill="auto"/>
            <w:noWrap w:val="0"/>
            <w:vAlign w:val="top"/>
          </w:tcPr>
          <w:p>
            <w:pPr>
              <w:jc w:val="center"/>
              <w:rPr>
                <w:kern w:val="0"/>
              </w:rPr>
            </w:pPr>
            <w:r>
              <w:rPr>
                <w:kern w:val="0"/>
              </w:rPr>
              <w:t>0.305</w:t>
            </w:r>
          </w:p>
        </w:tc>
        <w:tc>
          <w:tcPr>
            <w:tcW w:w="2464" w:type="dxa"/>
            <w:shd w:val="clear" w:color="auto" w:fill="auto"/>
            <w:noWrap w:val="0"/>
            <w:vAlign w:val="top"/>
          </w:tcPr>
          <w:p>
            <w:pPr>
              <w:jc w:val="center"/>
              <w:rPr>
                <w:kern w:val="0"/>
              </w:rPr>
            </w:pPr>
            <w:r>
              <w:rPr>
                <w:kern w:val="0"/>
              </w:rPr>
              <w:t>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2</w:t>
            </w:r>
          </w:p>
        </w:tc>
        <w:tc>
          <w:tcPr>
            <w:tcW w:w="2463" w:type="dxa"/>
            <w:shd w:val="clear" w:color="auto" w:fill="auto"/>
            <w:noWrap w:val="0"/>
            <w:vAlign w:val="top"/>
          </w:tcPr>
          <w:p>
            <w:pPr>
              <w:jc w:val="center"/>
              <w:rPr>
                <w:kern w:val="0"/>
              </w:rPr>
            </w:pPr>
            <w:r>
              <w:rPr>
                <w:kern w:val="0"/>
              </w:rPr>
              <w:t>0.010</w:t>
            </w:r>
          </w:p>
        </w:tc>
        <w:tc>
          <w:tcPr>
            <w:tcW w:w="2464" w:type="dxa"/>
            <w:shd w:val="clear" w:color="auto" w:fill="auto"/>
            <w:noWrap w:val="0"/>
            <w:vAlign w:val="top"/>
          </w:tcPr>
          <w:p>
            <w:pPr>
              <w:jc w:val="center"/>
              <w:rPr>
                <w:kern w:val="0"/>
              </w:rPr>
            </w:pPr>
            <w:r>
              <w:rPr>
                <w:kern w:val="0"/>
              </w:rPr>
              <w:t>0.367</w:t>
            </w:r>
          </w:p>
        </w:tc>
        <w:tc>
          <w:tcPr>
            <w:tcW w:w="2464" w:type="dxa"/>
            <w:shd w:val="clear" w:color="auto" w:fill="auto"/>
            <w:noWrap w:val="0"/>
            <w:vAlign w:val="top"/>
          </w:tcPr>
          <w:p>
            <w:pPr>
              <w:jc w:val="center"/>
              <w:rPr>
                <w:kern w:val="0"/>
              </w:rPr>
            </w:pPr>
            <w:r>
              <w:rPr>
                <w:kern w:val="0"/>
              </w:rPr>
              <w:t>0.357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3</w:t>
            </w:r>
          </w:p>
        </w:tc>
        <w:tc>
          <w:tcPr>
            <w:tcW w:w="2463" w:type="dxa"/>
            <w:shd w:val="clear" w:color="auto" w:fill="auto"/>
            <w:noWrap w:val="0"/>
            <w:vAlign w:val="top"/>
          </w:tcPr>
          <w:p>
            <w:pPr>
              <w:jc w:val="center"/>
              <w:rPr>
                <w:kern w:val="0"/>
              </w:rPr>
            </w:pPr>
            <w:r>
              <w:rPr>
                <w:kern w:val="0"/>
              </w:rPr>
              <w:t>0.013</w:t>
            </w:r>
          </w:p>
        </w:tc>
        <w:tc>
          <w:tcPr>
            <w:tcW w:w="2464" w:type="dxa"/>
            <w:shd w:val="clear" w:color="auto" w:fill="auto"/>
            <w:noWrap w:val="0"/>
            <w:vAlign w:val="top"/>
          </w:tcPr>
          <w:p>
            <w:pPr>
              <w:jc w:val="center"/>
              <w:rPr>
                <w:kern w:val="0"/>
              </w:rPr>
            </w:pPr>
            <w:r>
              <w:rPr>
                <w:kern w:val="0"/>
              </w:rPr>
              <w:t>0.385</w:t>
            </w:r>
          </w:p>
        </w:tc>
        <w:tc>
          <w:tcPr>
            <w:tcW w:w="2464" w:type="dxa"/>
            <w:shd w:val="clear" w:color="auto" w:fill="auto"/>
            <w:noWrap w:val="0"/>
            <w:vAlign w:val="top"/>
          </w:tcPr>
          <w:p>
            <w:pPr>
              <w:jc w:val="center"/>
              <w:rPr>
                <w:kern w:val="0"/>
              </w:rPr>
            </w:pPr>
            <w:r>
              <w:rPr>
                <w:kern w:val="0"/>
              </w:rPr>
              <w:t>0.372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4</w:t>
            </w:r>
          </w:p>
        </w:tc>
        <w:tc>
          <w:tcPr>
            <w:tcW w:w="2463" w:type="dxa"/>
            <w:shd w:val="clear" w:color="auto" w:fill="auto"/>
            <w:noWrap w:val="0"/>
            <w:vAlign w:val="top"/>
          </w:tcPr>
          <w:p>
            <w:pPr>
              <w:jc w:val="center"/>
              <w:rPr>
                <w:kern w:val="0"/>
              </w:rPr>
            </w:pPr>
            <w:r>
              <w:rPr>
                <w:kern w:val="0"/>
              </w:rPr>
              <w:t>0.014</w:t>
            </w:r>
          </w:p>
        </w:tc>
        <w:tc>
          <w:tcPr>
            <w:tcW w:w="2464" w:type="dxa"/>
            <w:shd w:val="clear" w:color="auto" w:fill="auto"/>
            <w:noWrap w:val="0"/>
            <w:vAlign w:val="top"/>
          </w:tcPr>
          <w:p>
            <w:pPr>
              <w:jc w:val="center"/>
              <w:rPr>
                <w:kern w:val="0"/>
              </w:rPr>
            </w:pPr>
            <w:r>
              <w:rPr>
                <w:kern w:val="0"/>
              </w:rPr>
              <w:t>0.385</w:t>
            </w:r>
          </w:p>
        </w:tc>
        <w:tc>
          <w:tcPr>
            <w:tcW w:w="2464" w:type="dxa"/>
            <w:shd w:val="clear" w:color="auto" w:fill="auto"/>
            <w:noWrap w:val="0"/>
            <w:vAlign w:val="top"/>
          </w:tcPr>
          <w:p>
            <w:pPr>
              <w:jc w:val="center"/>
              <w:rPr>
                <w:kern w:val="0"/>
              </w:rPr>
            </w:pPr>
            <w:r>
              <w:rPr>
                <w:kern w:val="0"/>
              </w:rPr>
              <w:t>0.371</w:t>
            </w:r>
          </w:p>
        </w:tc>
      </w:tr>
    </w:tbl>
    <w:p>
      <w:pPr>
        <w:spacing w:line="276" w:lineRule="auto"/>
        <w:ind w:firstLine="420" w:firstLineChars="200"/>
        <w:rPr>
          <w:szCs w:val="21"/>
        </w:rPr>
      </w:pPr>
    </w:p>
    <w:p>
      <w:pPr>
        <w:spacing w:line="276" w:lineRule="auto"/>
        <w:rPr>
          <w:color w:val="000000"/>
          <w:szCs w:val="21"/>
        </w:rPr>
      </w:pPr>
      <w:r>
        <w:rPr>
          <w:color w:val="000000"/>
          <w:szCs w:val="21"/>
        </w:rPr>
        <w:t>结论：吸光度随着氯化钡的加入呈上升趋势的，当氯化钡加入量为3mL和4mL时，吸光度趋于平缓，本方法选择氯化钡的加入量为3mL。</w:t>
      </w:r>
    </w:p>
    <w:p>
      <w:pPr>
        <w:numPr>
          <w:ilvl w:val="0"/>
          <w:numId w:val="0"/>
        </w:numPr>
        <w:ind w:leftChars="0"/>
        <w:rPr>
          <w:rFonts w:hint="eastAsia"/>
          <w:lang w:val="en-US" w:eastAsia="zh-CN"/>
        </w:rPr>
      </w:pPr>
      <w:r>
        <w:rPr>
          <w:rFonts w:hint="eastAsia"/>
          <w:lang w:val="en-US" w:eastAsia="zh-CN"/>
        </w:rPr>
        <w:t>9.保温温度和保温时间对测定的影响</w:t>
      </w:r>
    </w:p>
    <w:p>
      <w:pPr>
        <w:spacing w:line="276" w:lineRule="auto"/>
        <w:ind w:firstLine="420" w:firstLineChars="200"/>
        <w:rPr>
          <w:rFonts w:hint="eastAsia"/>
          <w:color w:val="000000"/>
          <w:szCs w:val="21"/>
        </w:rPr>
      </w:pPr>
      <w:r>
        <w:rPr>
          <w:color w:val="000000"/>
          <w:szCs w:val="21"/>
        </w:rPr>
        <w:t>采用不含待测元素试样的样品，</w:t>
      </w:r>
      <w:r>
        <w:rPr>
          <w:rFonts w:hint="eastAsia"/>
          <w:color w:val="000000"/>
          <w:szCs w:val="21"/>
          <w:lang w:val="en-US" w:eastAsia="zh-CN"/>
        </w:rPr>
        <w:t>称取0.50g试样，</w:t>
      </w:r>
      <w:r>
        <w:rPr>
          <w:color w:val="000000"/>
          <w:szCs w:val="21"/>
        </w:rPr>
        <w:t>加入0.50%的硫酸根标液，按照试验方法进行消解后并加入30mL氢氧化钠溶液，按照下表分别在不同温度下保温一定时间，测定并计算加标回收率。</w:t>
      </w:r>
      <w:r>
        <w:rPr>
          <w:rFonts w:hint="eastAsia"/>
          <w:color w:val="000000"/>
          <w:szCs w:val="21"/>
        </w:rPr>
        <w:t>结果如表</w:t>
      </w:r>
      <w:r>
        <w:rPr>
          <w:rFonts w:hint="eastAsia"/>
          <w:color w:val="000000"/>
          <w:szCs w:val="21"/>
          <w:lang w:val="en-US" w:eastAsia="zh-CN"/>
        </w:rPr>
        <w:t>8</w:t>
      </w:r>
      <w:r>
        <w:rPr>
          <w:rFonts w:hint="eastAsia"/>
          <w:color w:val="000000"/>
          <w:szCs w:val="21"/>
        </w:rPr>
        <w:t>所示。</w:t>
      </w:r>
    </w:p>
    <w:p>
      <w:pPr>
        <w:spacing w:line="276" w:lineRule="auto"/>
        <w:ind w:firstLine="420" w:firstLineChars="200"/>
        <w:jc w:val="center"/>
        <w:rPr>
          <w:rFonts w:hint="eastAsia" w:eastAsia="宋体"/>
          <w:color w:val="000000"/>
          <w:szCs w:val="21"/>
          <w:lang w:eastAsia="zh-CN"/>
        </w:rPr>
      </w:pPr>
      <w:r>
        <w:rPr>
          <w:rFonts w:hint="eastAsia"/>
          <w:color w:val="000000"/>
          <w:szCs w:val="21"/>
        </w:rPr>
        <w:t>表</w:t>
      </w:r>
      <w:r>
        <w:rPr>
          <w:rFonts w:hint="eastAsia"/>
          <w:color w:val="000000"/>
          <w:szCs w:val="21"/>
          <w:lang w:val="en-US" w:eastAsia="zh-CN"/>
        </w:rPr>
        <w:t>8</w:t>
      </w:r>
    </w:p>
    <w:tbl>
      <w:tblPr>
        <w:tblStyle w:val="88"/>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1275"/>
        <w:gridCol w:w="993"/>
        <w:gridCol w:w="1134"/>
        <w:gridCol w:w="850"/>
        <w:gridCol w:w="996"/>
        <w:gridCol w:w="818"/>
        <w:gridCol w:w="897"/>
        <w:gridCol w:w="902"/>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008" w:type="dxa"/>
            <w:shd w:val="clear" w:color="auto" w:fill="auto"/>
            <w:noWrap/>
            <w:vAlign w:val="center"/>
          </w:tcPr>
          <w:p>
            <w:pPr>
              <w:spacing w:line="276" w:lineRule="auto"/>
              <w:jc w:val="center"/>
              <w:rPr>
                <w:color w:val="000000"/>
                <w:szCs w:val="21"/>
              </w:rPr>
            </w:pPr>
            <w:r>
              <w:rPr>
                <w:color w:val="000000"/>
                <w:szCs w:val="21"/>
              </w:rPr>
              <w:t>温度</w:t>
            </w:r>
          </w:p>
        </w:tc>
        <w:tc>
          <w:tcPr>
            <w:tcW w:w="1275" w:type="dxa"/>
            <w:shd w:val="clear" w:color="auto" w:fill="auto"/>
            <w:noWrap/>
            <w:vAlign w:val="center"/>
          </w:tcPr>
          <w:p>
            <w:pPr>
              <w:spacing w:line="276" w:lineRule="auto"/>
              <w:jc w:val="center"/>
              <w:rPr>
                <w:color w:val="000000"/>
                <w:szCs w:val="21"/>
              </w:rPr>
            </w:pPr>
            <w:r>
              <w:rPr>
                <w:color w:val="000000"/>
                <w:szCs w:val="21"/>
              </w:rPr>
              <w:t>时间</w:t>
            </w:r>
          </w:p>
        </w:tc>
        <w:tc>
          <w:tcPr>
            <w:tcW w:w="993" w:type="dxa"/>
            <w:shd w:val="clear" w:color="auto" w:fill="auto"/>
            <w:noWrap w:val="0"/>
            <w:vAlign w:val="center"/>
          </w:tcPr>
          <w:p>
            <w:pPr>
              <w:spacing w:line="276" w:lineRule="auto"/>
              <w:jc w:val="center"/>
              <w:rPr>
                <w:color w:val="000000"/>
                <w:szCs w:val="21"/>
              </w:rPr>
            </w:pPr>
            <w:r>
              <w:rPr>
                <w:color w:val="000000"/>
                <w:szCs w:val="21"/>
              </w:rPr>
              <w:t>试剂空白吸光度</w:t>
            </w:r>
          </w:p>
        </w:tc>
        <w:tc>
          <w:tcPr>
            <w:tcW w:w="1134" w:type="dxa"/>
            <w:shd w:val="clear" w:color="auto" w:fill="auto"/>
            <w:noWrap w:val="0"/>
            <w:vAlign w:val="center"/>
          </w:tcPr>
          <w:p>
            <w:pPr>
              <w:spacing w:line="276" w:lineRule="auto"/>
              <w:jc w:val="center"/>
              <w:rPr>
                <w:color w:val="000000"/>
                <w:szCs w:val="21"/>
              </w:rPr>
            </w:pPr>
            <w:r>
              <w:rPr>
                <w:color w:val="000000"/>
                <w:szCs w:val="21"/>
              </w:rPr>
              <w:t>样品加标后吸光度</w:t>
            </w:r>
          </w:p>
        </w:tc>
        <w:tc>
          <w:tcPr>
            <w:tcW w:w="850" w:type="dxa"/>
            <w:shd w:val="clear" w:color="auto" w:fill="auto"/>
            <w:noWrap w:val="0"/>
            <w:vAlign w:val="center"/>
          </w:tcPr>
          <w:p>
            <w:pPr>
              <w:spacing w:line="276" w:lineRule="auto"/>
              <w:jc w:val="center"/>
              <w:rPr>
                <w:color w:val="000000"/>
                <w:szCs w:val="21"/>
              </w:rPr>
            </w:pPr>
            <w:r>
              <w:rPr>
                <w:color w:val="000000"/>
                <w:szCs w:val="21"/>
              </w:rPr>
              <w:t>净吸光度</w:t>
            </w:r>
          </w:p>
        </w:tc>
        <w:tc>
          <w:tcPr>
            <w:tcW w:w="996" w:type="dxa"/>
            <w:shd w:val="clear" w:color="auto" w:fill="auto"/>
            <w:noWrap w:val="0"/>
            <w:vAlign w:val="center"/>
          </w:tcPr>
          <w:p>
            <w:pPr>
              <w:spacing w:line="276" w:lineRule="auto"/>
              <w:jc w:val="center"/>
              <w:rPr>
                <w:color w:val="000000"/>
                <w:szCs w:val="21"/>
              </w:rPr>
            </w:pPr>
            <w:r>
              <w:rPr>
                <w:color w:val="000000"/>
                <w:szCs w:val="21"/>
              </w:rPr>
              <w:t>硫酸根结果%</w:t>
            </w:r>
          </w:p>
        </w:tc>
        <w:tc>
          <w:tcPr>
            <w:tcW w:w="818" w:type="dxa"/>
            <w:shd w:val="clear" w:color="auto" w:fill="auto"/>
            <w:noWrap w:val="0"/>
            <w:vAlign w:val="center"/>
          </w:tcPr>
          <w:p>
            <w:pPr>
              <w:spacing w:line="276" w:lineRule="auto"/>
              <w:jc w:val="center"/>
              <w:rPr>
                <w:color w:val="000000"/>
                <w:szCs w:val="21"/>
              </w:rPr>
            </w:pPr>
            <w:r>
              <w:rPr>
                <w:color w:val="000000"/>
                <w:szCs w:val="21"/>
              </w:rPr>
              <w:t>平均值%</w:t>
            </w:r>
          </w:p>
        </w:tc>
        <w:tc>
          <w:tcPr>
            <w:tcW w:w="897" w:type="dxa"/>
            <w:shd w:val="clear" w:color="auto" w:fill="auto"/>
            <w:noWrap w:val="0"/>
            <w:vAlign w:val="center"/>
          </w:tcPr>
          <w:p>
            <w:pPr>
              <w:spacing w:line="276" w:lineRule="auto"/>
              <w:jc w:val="center"/>
              <w:rPr>
                <w:color w:val="000000"/>
                <w:szCs w:val="21"/>
              </w:rPr>
            </w:pPr>
            <w:r>
              <w:rPr>
                <w:color w:val="000000"/>
                <w:szCs w:val="21"/>
              </w:rPr>
              <w:t>SD%</w:t>
            </w:r>
          </w:p>
        </w:tc>
        <w:tc>
          <w:tcPr>
            <w:tcW w:w="902" w:type="dxa"/>
            <w:shd w:val="clear" w:color="auto" w:fill="auto"/>
            <w:noWrap w:val="0"/>
            <w:vAlign w:val="center"/>
          </w:tcPr>
          <w:p>
            <w:pPr>
              <w:spacing w:line="276" w:lineRule="auto"/>
              <w:jc w:val="center"/>
              <w:rPr>
                <w:color w:val="000000"/>
                <w:szCs w:val="21"/>
              </w:rPr>
            </w:pPr>
            <w:r>
              <w:rPr>
                <w:color w:val="000000"/>
                <w:szCs w:val="21"/>
              </w:rPr>
              <w:t>RSD%</w:t>
            </w:r>
          </w:p>
        </w:tc>
        <w:tc>
          <w:tcPr>
            <w:tcW w:w="888" w:type="dxa"/>
            <w:shd w:val="clear" w:color="auto" w:fill="auto"/>
            <w:noWrap w:val="0"/>
            <w:vAlign w:val="center"/>
          </w:tcPr>
          <w:p>
            <w:pPr>
              <w:spacing w:line="276" w:lineRule="auto"/>
              <w:jc w:val="center"/>
              <w:rPr>
                <w:color w:val="000000"/>
                <w:szCs w:val="21"/>
              </w:rPr>
            </w:pPr>
            <w:r>
              <w:rPr>
                <w:color w:val="000000"/>
                <w:szCs w:val="21"/>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室温</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试液冷却</w:t>
            </w:r>
            <w:r>
              <w:rPr>
                <w:color w:val="000000"/>
                <w:szCs w:val="21"/>
              </w:rPr>
              <w:br w:type="textWrapping"/>
            </w:r>
            <w:r>
              <w:rPr>
                <w:color w:val="000000"/>
                <w:szCs w:val="21"/>
              </w:rPr>
              <w:t>到室温</w:t>
            </w: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0.381</w:t>
            </w:r>
          </w:p>
        </w:tc>
        <w:tc>
          <w:tcPr>
            <w:tcW w:w="850" w:type="dxa"/>
            <w:shd w:val="clear" w:color="auto" w:fill="auto"/>
            <w:noWrap w:val="0"/>
            <w:vAlign w:val="center"/>
          </w:tcPr>
          <w:p>
            <w:pPr>
              <w:spacing w:line="276" w:lineRule="auto"/>
              <w:jc w:val="center"/>
              <w:rPr>
                <w:color w:val="000000"/>
                <w:szCs w:val="21"/>
              </w:rPr>
            </w:pPr>
            <w:r>
              <w:rPr>
                <w:color w:val="000000"/>
                <w:szCs w:val="21"/>
              </w:rPr>
              <w:t>0.373</w:t>
            </w:r>
          </w:p>
        </w:tc>
        <w:tc>
          <w:tcPr>
            <w:tcW w:w="996" w:type="dxa"/>
            <w:shd w:val="clear" w:color="auto" w:fill="auto"/>
            <w:noWrap w:val="0"/>
            <w:vAlign w:val="center"/>
          </w:tcPr>
          <w:p>
            <w:pPr>
              <w:spacing w:line="276" w:lineRule="auto"/>
              <w:jc w:val="center"/>
              <w:rPr>
                <w:color w:val="000000"/>
                <w:szCs w:val="21"/>
              </w:rPr>
            </w:pPr>
            <w:r>
              <w:rPr>
                <w:color w:val="000000"/>
                <w:szCs w:val="21"/>
              </w:rPr>
              <w:t>0.497</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0.496</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0.0056</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1.14</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0.383</w:t>
            </w:r>
          </w:p>
        </w:tc>
        <w:tc>
          <w:tcPr>
            <w:tcW w:w="850" w:type="dxa"/>
            <w:shd w:val="clear" w:color="auto" w:fill="auto"/>
            <w:noWrap w:val="0"/>
            <w:vAlign w:val="center"/>
          </w:tcPr>
          <w:p>
            <w:pPr>
              <w:spacing w:line="276" w:lineRule="auto"/>
              <w:jc w:val="center"/>
              <w:rPr>
                <w:color w:val="000000"/>
                <w:szCs w:val="21"/>
              </w:rPr>
            </w:pPr>
            <w:r>
              <w:rPr>
                <w:color w:val="000000"/>
                <w:szCs w:val="21"/>
              </w:rPr>
              <w:t>0.375</w:t>
            </w:r>
          </w:p>
        </w:tc>
        <w:tc>
          <w:tcPr>
            <w:tcW w:w="996" w:type="dxa"/>
            <w:shd w:val="clear" w:color="auto" w:fill="auto"/>
            <w:noWrap w:val="0"/>
            <w:vAlign w:val="center"/>
          </w:tcPr>
          <w:p>
            <w:pPr>
              <w:spacing w:line="276" w:lineRule="auto"/>
              <w:jc w:val="center"/>
              <w:rPr>
                <w:color w:val="000000"/>
                <w:szCs w:val="21"/>
              </w:rPr>
            </w:pPr>
            <w:r>
              <w:rPr>
                <w:color w:val="000000"/>
                <w:szCs w:val="21"/>
              </w:rPr>
              <w:t>0.500</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0.388</w:t>
            </w:r>
          </w:p>
        </w:tc>
        <w:tc>
          <w:tcPr>
            <w:tcW w:w="850" w:type="dxa"/>
            <w:shd w:val="clear" w:color="auto" w:fill="auto"/>
            <w:noWrap w:val="0"/>
            <w:vAlign w:val="center"/>
          </w:tcPr>
          <w:p>
            <w:pPr>
              <w:spacing w:line="276" w:lineRule="auto"/>
              <w:jc w:val="center"/>
              <w:rPr>
                <w:color w:val="000000"/>
                <w:szCs w:val="21"/>
              </w:rPr>
            </w:pPr>
            <w:r>
              <w:rPr>
                <w:color w:val="000000"/>
                <w:szCs w:val="21"/>
              </w:rPr>
              <w:t>0.380</w:t>
            </w:r>
          </w:p>
        </w:tc>
        <w:tc>
          <w:tcPr>
            <w:tcW w:w="996" w:type="dxa"/>
            <w:shd w:val="clear" w:color="auto" w:fill="auto"/>
            <w:noWrap w:val="0"/>
            <w:vAlign w:val="center"/>
          </w:tcPr>
          <w:p>
            <w:pPr>
              <w:spacing w:line="276" w:lineRule="auto"/>
              <w:jc w:val="center"/>
              <w:rPr>
                <w:color w:val="000000"/>
                <w:szCs w:val="21"/>
              </w:rPr>
            </w:pPr>
            <w:r>
              <w:rPr>
                <w:color w:val="000000"/>
                <w:szCs w:val="21"/>
              </w:rPr>
              <w:t>0.507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0.376</w:t>
            </w:r>
          </w:p>
        </w:tc>
        <w:tc>
          <w:tcPr>
            <w:tcW w:w="850" w:type="dxa"/>
            <w:shd w:val="clear" w:color="auto" w:fill="auto"/>
            <w:noWrap w:val="0"/>
            <w:vAlign w:val="center"/>
          </w:tcPr>
          <w:p>
            <w:pPr>
              <w:spacing w:line="276" w:lineRule="auto"/>
              <w:jc w:val="center"/>
              <w:rPr>
                <w:color w:val="000000"/>
                <w:szCs w:val="21"/>
              </w:rPr>
            </w:pPr>
            <w:r>
              <w:rPr>
                <w:color w:val="000000"/>
                <w:szCs w:val="21"/>
              </w:rPr>
              <w:t>0.368</w:t>
            </w:r>
          </w:p>
        </w:tc>
        <w:tc>
          <w:tcPr>
            <w:tcW w:w="996" w:type="dxa"/>
            <w:shd w:val="clear" w:color="auto" w:fill="auto"/>
            <w:noWrap w:val="0"/>
            <w:vAlign w:val="center"/>
          </w:tcPr>
          <w:p>
            <w:pPr>
              <w:spacing w:line="276" w:lineRule="auto"/>
              <w:jc w:val="center"/>
              <w:rPr>
                <w:color w:val="000000"/>
                <w:szCs w:val="21"/>
              </w:rPr>
            </w:pPr>
            <w:r>
              <w:rPr>
                <w:color w:val="000000"/>
                <w:szCs w:val="21"/>
              </w:rPr>
              <w:t>0.491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40℃</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5min</w:t>
            </w: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0.376</w:t>
            </w:r>
          </w:p>
        </w:tc>
        <w:tc>
          <w:tcPr>
            <w:tcW w:w="996" w:type="dxa"/>
            <w:shd w:val="clear" w:color="auto" w:fill="auto"/>
            <w:noWrap w:val="0"/>
            <w:vAlign w:val="center"/>
          </w:tcPr>
          <w:p>
            <w:pPr>
              <w:spacing w:line="276" w:lineRule="auto"/>
              <w:jc w:val="center"/>
              <w:rPr>
                <w:color w:val="000000"/>
                <w:szCs w:val="21"/>
              </w:rPr>
            </w:pPr>
            <w:r>
              <w:rPr>
                <w:color w:val="000000"/>
                <w:szCs w:val="21"/>
              </w:rPr>
              <w:t>0.501</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0.505</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0.0120</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2.38</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0.396</w:t>
            </w:r>
          </w:p>
        </w:tc>
        <w:tc>
          <w:tcPr>
            <w:tcW w:w="850" w:type="dxa"/>
            <w:shd w:val="clear" w:color="auto" w:fill="auto"/>
            <w:noWrap w:val="0"/>
            <w:vAlign w:val="center"/>
          </w:tcPr>
          <w:p>
            <w:pPr>
              <w:spacing w:line="276" w:lineRule="auto"/>
              <w:jc w:val="center"/>
              <w:rPr>
                <w:color w:val="000000"/>
                <w:szCs w:val="21"/>
              </w:rPr>
            </w:pPr>
            <w:r>
              <w:rPr>
                <w:color w:val="000000"/>
                <w:szCs w:val="21"/>
              </w:rPr>
              <w:t>0.382</w:t>
            </w:r>
          </w:p>
        </w:tc>
        <w:tc>
          <w:tcPr>
            <w:tcW w:w="996" w:type="dxa"/>
            <w:shd w:val="clear" w:color="auto" w:fill="auto"/>
            <w:noWrap w:val="0"/>
            <w:vAlign w:val="center"/>
          </w:tcPr>
          <w:p>
            <w:pPr>
              <w:spacing w:line="276" w:lineRule="auto"/>
              <w:jc w:val="center"/>
              <w:rPr>
                <w:color w:val="000000"/>
                <w:szCs w:val="21"/>
              </w:rPr>
            </w:pPr>
            <w:r>
              <w:rPr>
                <w:color w:val="000000"/>
                <w:szCs w:val="21"/>
              </w:rPr>
              <w:t>0.509</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0.402</w:t>
            </w:r>
          </w:p>
        </w:tc>
        <w:tc>
          <w:tcPr>
            <w:tcW w:w="850" w:type="dxa"/>
            <w:shd w:val="clear" w:color="auto" w:fill="auto"/>
            <w:noWrap w:val="0"/>
            <w:vAlign w:val="center"/>
          </w:tcPr>
          <w:p>
            <w:pPr>
              <w:spacing w:line="276" w:lineRule="auto"/>
              <w:jc w:val="center"/>
              <w:rPr>
                <w:color w:val="000000"/>
                <w:szCs w:val="21"/>
              </w:rPr>
            </w:pPr>
            <w:r>
              <w:rPr>
                <w:color w:val="000000"/>
                <w:szCs w:val="21"/>
              </w:rPr>
              <w:t>0.388</w:t>
            </w:r>
          </w:p>
        </w:tc>
        <w:tc>
          <w:tcPr>
            <w:tcW w:w="996" w:type="dxa"/>
            <w:shd w:val="clear" w:color="auto" w:fill="auto"/>
            <w:noWrap w:val="0"/>
            <w:vAlign w:val="center"/>
          </w:tcPr>
          <w:p>
            <w:pPr>
              <w:spacing w:line="276" w:lineRule="auto"/>
              <w:jc w:val="center"/>
              <w:rPr>
                <w:color w:val="000000"/>
                <w:szCs w:val="21"/>
              </w:rPr>
            </w:pPr>
            <w:r>
              <w:rPr>
                <w:color w:val="000000"/>
                <w:szCs w:val="21"/>
              </w:rPr>
              <w:t>0.517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0.404</w:t>
            </w:r>
          </w:p>
        </w:tc>
        <w:tc>
          <w:tcPr>
            <w:tcW w:w="850" w:type="dxa"/>
            <w:shd w:val="clear" w:color="auto" w:fill="auto"/>
            <w:noWrap w:val="0"/>
            <w:vAlign w:val="center"/>
          </w:tcPr>
          <w:p>
            <w:pPr>
              <w:spacing w:line="276" w:lineRule="auto"/>
              <w:jc w:val="center"/>
              <w:rPr>
                <w:color w:val="000000"/>
                <w:szCs w:val="21"/>
              </w:rPr>
            </w:pPr>
            <w:r>
              <w:rPr>
                <w:color w:val="000000"/>
                <w:szCs w:val="21"/>
              </w:rPr>
              <w:t>0.390</w:t>
            </w:r>
          </w:p>
        </w:tc>
        <w:tc>
          <w:tcPr>
            <w:tcW w:w="996" w:type="dxa"/>
            <w:shd w:val="clear" w:color="auto" w:fill="auto"/>
            <w:noWrap w:val="0"/>
            <w:vAlign w:val="center"/>
          </w:tcPr>
          <w:p>
            <w:pPr>
              <w:spacing w:line="276" w:lineRule="auto"/>
              <w:jc w:val="center"/>
              <w:rPr>
                <w:color w:val="000000"/>
                <w:szCs w:val="21"/>
              </w:rPr>
            </w:pPr>
            <w:r>
              <w:rPr>
                <w:color w:val="000000"/>
                <w:szCs w:val="21"/>
              </w:rPr>
              <w:t>0.520</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0.383</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0.380</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10min</w:t>
            </w: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0.383</w:t>
            </w:r>
          </w:p>
        </w:tc>
        <w:tc>
          <w:tcPr>
            <w:tcW w:w="850" w:type="dxa"/>
            <w:shd w:val="clear" w:color="auto" w:fill="auto"/>
            <w:noWrap w:val="0"/>
            <w:vAlign w:val="center"/>
          </w:tcPr>
          <w:p>
            <w:pPr>
              <w:spacing w:line="276" w:lineRule="auto"/>
              <w:jc w:val="center"/>
              <w:rPr>
                <w:color w:val="000000"/>
                <w:szCs w:val="21"/>
              </w:rPr>
            </w:pPr>
            <w:r>
              <w:rPr>
                <w:color w:val="000000"/>
                <w:szCs w:val="21"/>
              </w:rPr>
              <w:t>0.377</w:t>
            </w:r>
          </w:p>
        </w:tc>
        <w:tc>
          <w:tcPr>
            <w:tcW w:w="996" w:type="dxa"/>
            <w:shd w:val="clear" w:color="auto" w:fill="auto"/>
            <w:noWrap w:val="0"/>
            <w:vAlign w:val="center"/>
          </w:tcPr>
          <w:p>
            <w:pPr>
              <w:spacing w:line="276" w:lineRule="auto"/>
              <w:jc w:val="center"/>
              <w:rPr>
                <w:color w:val="000000"/>
                <w:szCs w:val="21"/>
              </w:rPr>
            </w:pPr>
            <w:r>
              <w:rPr>
                <w:color w:val="000000"/>
                <w:szCs w:val="21"/>
              </w:rPr>
              <w:t>0.503</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0.493</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0.0094</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1.90</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0.387</w:t>
            </w:r>
          </w:p>
        </w:tc>
        <w:tc>
          <w:tcPr>
            <w:tcW w:w="850" w:type="dxa"/>
            <w:shd w:val="clear" w:color="auto" w:fill="auto"/>
            <w:noWrap w:val="0"/>
            <w:vAlign w:val="center"/>
          </w:tcPr>
          <w:p>
            <w:pPr>
              <w:spacing w:line="276" w:lineRule="auto"/>
              <w:jc w:val="center"/>
              <w:rPr>
                <w:color w:val="000000"/>
                <w:szCs w:val="21"/>
              </w:rPr>
            </w:pPr>
            <w:r>
              <w:rPr>
                <w:color w:val="000000"/>
                <w:szCs w:val="21"/>
              </w:rPr>
              <w:t>0.381</w:t>
            </w:r>
          </w:p>
        </w:tc>
        <w:tc>
          <w:tcPr>
            <w:tcW w:w="996" w:type="dxa"/>
            <w:shd w:val="clear" w:color="auto" w:fill="auto"/>
            <w:noWrap w:val="0"/>
            <w:vAlign w:val="center"/>
          </w:tcPr>
          <w:p>
            <w:pPr>
              <w:spacing w:line="276" w:lineRule="auto"/>
              <w:jc w:val="center"/>
              <w:rPr>
                <w:color w:val="000000"/>
                <w:szCs w:val="21"/>
              </w:rPr>
            </w:pPr>
            <w:r>
              <w:rPr>
                <w:color w:val="000000"/>
                <w:szCs w:val="21"/>
              </w:rPr>
              <w:t>0.508</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0.370</w:t>
            </w:r>
          </w:p>
        </w:tc>
        <w:tc>
          <w:tcPr>
            <w:tcW w:w="850" w:type="dxa"/>
            <w:shd w:val="clear" w:color="auto" w:fill="auto"/>
            <w:noWrap w:val="0"/>
            <w:vAlign w:val="center"/>
          </w:tcPr>
          <w:p>
            <w:pPr>
              <w:spacing w:line="276" w:lineRule="auto"/>
              <w:jc w:val="center"/>
              <w:rPr>
                <w:color w:val="000000"/>
                <w:szCs w:val="21"/>
              </w:rPr>
            </w:pPr>
            <w:r>
              <w:rPr>
                <w:color w:val="000000"/>
                <w:szCs w:val="21"/>
              </w:rPr>
              <w:t>0.364</w:t>
            </w:r>
          </w:p>
        </w:tc>
        <w:tc>
          <w:tcPr>
            <w:tcW w:w="996" w:type="dxa"/>
            <w:shd w:val="clear" w:color="auto" w:fill="auto"/>
            <w:noWrap w:val="0"/>
            <w:vAlign w:val="center"/>
          </w:tcPr>
          <w:p>
            <w:pPr>
              <w:spacing w:line="276" w:lineRule="auto"/>
              <w:jc w:val="center"/>
              <w:rPr>
                <w:color w:val="000000"/>
                <w:szCs w:val="21"/>
              </w:rPr>
            </w:pPr>
            <w:r>
              <w:rPr>
                <w:color w:val="000000"/>
                <w:szCs w:val="21"/>
              </w:rPr>
              <w:t>0.485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0.376</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0.367</w:t>
            </w:r>
          </w:p>
        </w:tc>
        <w:tc>
          <w:tcPr>
            <w:tcW w:w="850" w:type="dxa"/>
            <w:shd w:val="clear" w:color="auto" w:fill="auto"/>
            <w:noWrap w:val="0"/>
            <w:vAlign w:val="center"/>
          </w:tcPr>
          <w:p>
            <w:pPr>
              <w:spacing w:line="276" w:lineRule="auto"/>
              <w:jc w:val="center"/>
              <w:rPr>
                <w:color w:val="000000"/>
                <w:szCs w:val="21"/>
              </w:rPr>
            </w:pPr>
            <w:r>
              <w:rPr>
                <w:color w:val="000000"/>
                <w:szCs w:val="21"/>
              </w:rPr>
              <w:t>0.361</w:t>
            </w:r>
          </w:p>
        </w:tc>
        <w:tc>
          <w:tcPr>
            <w:tcW w:w="996" w:type="dxa"/>
            <w:shd w:val="clear" w:color="auto" w:fill="auto"/>
            <w:noWrap w:val="0"/>
            <w:vAlign w:val="center"/>
          </w:tcPr>
          <w:p>
            <w:pPr>
              <w:spacing w:line="276" w:lineRule="auto"/>
              <w:jc w:val="center"/>
              <w:rPr>
                <w:color w:val="000000"/>
                <w:szCs w:val="21"/>
              </w:rPr>
            </w:pPr>
            <w:r>
              <w:rPr>
                <w:color w:val="000000"/>
                <w:szCs w:val="21"/>
              </w:rPr>
              <w:t>0.481</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15min</w:t>
            </w: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0.491</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0.0096</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1.95</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0.383</w:t>
            </w:r>
          </w:p>
        </w:tc>
        <w:tc>
          <w:tcPr>
            <w:tcW w:w="996" w:type="dxa"/>
            <w:shd w:val="clear" w:color="auto" w:fill="auto"/>
            <w:noWrap w:val="0"/>
            <w:vAlign w:val="center"/>
          </w:tcPr>
          <w:p>
            <w:pPr>
              <w:spacing w:line="276" w:lineRule="auto"/>
              <w:jc w:val="center"/>
              <w:rPr>
                <w:color w:val="000000"/>
                <w:szCs w:val="21"/>
              </w:rPr>
            </w:pPr>
            <w:r>
              <w:rPr>
                <w:color w:val="000000"/>
                <w:szCs w:val="21"/>
              </w:rPr>
              <w:t>0.511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0.370</w:t>
            </w:r>
          </w:p>
        </w:tc>
        <w:tc>
          <w:tcPr>
            <w:tcW w:w="850" w:type="dxa"/>
            <w:shd w:val="clear" w:color="auto" w:fill="auto"/>
            <w:noWrap w:val="0"/>
            <w:vAlign w:val="center"/>
          </w:tcPr>
          <w:p>
            <w:pPr>
              <w:spacing w:line="276" w:lineRule="auto"/>
              <w:jc w:val="center"/>
              <w:rPr>
                <w:color w:val="000000"/>
                <w:szCs w:val="21"/>
              </w:rPr>
            </w:pPr>
            <w:r>
              <w:rPr>
                <w:color w:val="000000"/>
                <w:szCs w:val="21"/>
              </w:rPr>
              <w:t>0.363</w:t>
            </w:r>
          </w:p>
        </w:tc>
        <w:tc>
          <w:tcPr>
            <w:tcW w:w="996" w:type="dxa"/>
            <w:shd w:val="clear" w:color="auto" w:fill="auto"/>
            <w:noWrap w:val="0"/>
            <w:vAlign w:val="center"/>
          </w:tcPr>
          <w:p>
            <w:pPr>
              <w:spacing w:line="276" w:lineRule="auto"/>
              <w:jc w:val="center"/>
              <w:rPr>
                <w:color w:val="000000"/>
                <w:szCs w:val="21"/>
              </w:rPr>
            </w:pPr>
            <w:r>
              <w:rPr>
                <w:color w:val="000000"/>
                <w:szCs w:val="21"/>
              </w:rPr>
              <w:t>0.484</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0.368</w:t>
            </w:r>
          </w:p>
        </w:tc>
        <w:tc>
          <w:tcPr>
            <w:tcW w:w="850" w:type="dxa"/>
            <w:shd w:val="clear" w:color="auto" w:fill="auto"/>
            <w:noWrap w:val="0"/>
            <w:vAlign w:val="center"/>
          </w:tcPr>
          <w:p>
            <w:pPr>
              <w:spacing w:line="276" w:lineRule="auto"/>
              <w:jc w:val="center"/>
              <w:rPr>
                <w:color w:val="000000"/>
                <w:szCs w:val="21"/>
              </w:rPr>
            </w:pPr>
            <w:r>
              <w:rPr>
                <w:color w:val="000000"/>
                <w:szCs w:val="21"/>
              </w:rPr>
              <w:t>0.361</w:t>
            </w:r>
          </w:p>
        </w:tc>
        <w:tc>
          <w:tcPr>
            <w:tcW w:w="996" w:type="dxa"/>
            <w:shd w:val="clear" w:color="auto" w:fill="auto"/>
            <w:noWrap w:val="0"/>
            <w:vAlign w:val="center"/>
          </w:tcPr>
          <w:p>
            <w:pPr>
              <w:spacing w:line="276" w:lineRule="auto"/>
              <w:jc w:val="center"/>
              <w:rPr>
                <w:color w:val="000000"/>
                <w:szCs w:val="21"/>
              </w:rPr>
            </w:pPr>
            <w:r>
              <w:rPr>
                <w:color w:val="000000"/>
                <w:szCs w:val="21"/>
              </w:rPr>
              <w:t>0.481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60℃</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5min</w:t>
            </w: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0.500</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0.0061</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1.21</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0.381</w:t>
            </w:r>
          </w:p>
        </w:tc>
        <w:tc>
          <w:tcPr>
            <w:tcW w:w="850" w:type="dxa"/>
            <w:shd w:val="clear" w:color="auto" w:fill="auto"/>
            <w:noWrap w:val="0"/>
            <w:vAlign w:val="center"/>
          </w:tcPr>
          <w:p>
            <w:pPr>
              <w:spacing w:line="276" w:lineRule="auto"/>
              <w:jc w:val="center"/>
              <w:rPr>
                <w:color w:val="000000"/>
                <w:szCs w:val="21"/>
              </w:rPr>
            </w:pPr>
            <w:r>
              <w:rPr>
                <w:color w:val="000000"/>
                <w:szCs w:val="21"/>
              </w:rPr>
              <w:t>0.372</w:t>
            </w:r>
          </w:p>
        </w:tc>
        <w:tc>
          <w:tcPr>
            <w:tcW w:w="996" w:type="dxa"/>
            <w:shd w:val="clear" w:color="auto" w:fill="auto"/>
            <w:noWrap w:val="0"/>
            <w:vAlign w:val="center"/>
          </w:tcPr>
          <w:p>
            <w:pPr>
              <w:spacing w:line="276" w:lineRule="auto"/>
              <w:jc w:val="center"/>
              <w:rPr>
                <w:color w:val="000000"/>
                <w:szCs w:val="21"/>
              </w:rPr>
            </w:pPr>
            <w:r>
              <w:rPr>
                <w:color w:val="000000"/>
                <w:szCs w:val="21"/>
              </w:rPr>
              <w:t>0.496</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0.386</w:t>
            </w:r>
          </w:p>
        </w:tc>
        <w:tc>
          <w:tcPr>
            <w:tcW w:w="850" w:type="dxa"/>
            <w:shd w:val="clear" w:color="auto" w:fill="auto"/>
            <w:noWrap w:val="0"/>
            <w:vAlign w:val="center"/>
          </w:tcPr>
          <w:p>
            <w:pPr>
              <w:spacing w:line="276" w:lineRule="auto"/>
              <w:jc w:val="center"/>
              <w:rPr>
                <w:color w:val="000000"/>
                <w:szCs w:val="21"/>
              </w:rPr>
            </w:pPr>
            <w:r>
              <w:rPr>
                <w:color w:val="000000"/>
                <w:szCs w:val="21"/>
              </w:rPr>
              <w:t>0.377</w:t>
            </w:r>
          </w:p>
        </w:tc>
        <w:tc>
          <w:tcPr>
            <w:tcW w:w="996" w:type="dxa"/>
            <w:shd w:val="clear" w:color="auto" w:fill="auto"/>
            <w:noWrap w:val="0"/>
            <w:vAlign w:val="center"/>
          </w:tcPr>
          <w:p>
            <w:pPr>
              <w:spacing w:line="276" w:lineRule="auto"/>
              <w:jc w:val="center"/>
              <w:rPr>
                <w:color w:val="000000"/>
                <w:szCs w:val="21"/>
              </w:rPr>
            </w:pPr>
            <w:r>
              <w:rPr>
                <w:color w:val="000000"/>
                <w:szCs w:val="21"/>
              </w:rPr>
              <w:t>0.503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0.389</w:t>
            </w:r>
          </w:p>
        </w:tc>
        <w:tc>
          <w:tcPr>
            <w:tcW w:w="850" w:type="dxa"/>
            <w:shd w:val="clear" w:color="auto" w:fill="auto"/>
            <w:noWrap w:val="0"/>
            <w:vAlign w:val="center"/>
          </w:tcPr>
          <w:p>
            <w:pPr>
              <w:spacing w:line="276" w:lineRule="auto"/>
              <w:jc w:val="center"/>
              <w:rPr>
                <w:color w:val="000000"/>
                <w:szCs w:val="21"/>
              </w:rPr>
            </w:pPr>
            <w:r>
              <w:rPr>
                <w:color w:val="000000"/>
                <w:szCs w:val="21"/>
              </w:rPr>
              <w:t>0.380</w:t>
            </w:r>
          </w:p>
        </w:tc>
        <w:tc>
          <w:tcPr>
            <w:tcW w:w="996" w:type="dxa"/>
            <w:shd w:val="clear" w:color="auto" w:fill="auto"/>
            <w:noWrap w:val="0"/>
            <w:vAlign w:val="center"/>
          </w:tcPr>
          <w:p>
            <w:pPr>
              <w:spacing w:line="276" w:lineRule="auto"/>
              <w:jc w:val="center"/>
              <w:rPr>
                <w:color w:val="000000"/>
                <w:szCs w:val="21"/>
              </w:rPr>
            </w:pPr>
            <w:r>
              <w:rPr>
                <w:color w:val="000000"/>
                <w:szCs w:val="21"/>
              </w:rPr>
              <w:t>0.507</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0.381</w:t>
            </w:r>
          </w:p>
        </w:tc>
        <w:tc>
          <w:tcPr>
            <w:tcW w:w="996" w:type="dxa"/>
            <w:shd w:val="clear" w:color="auto" w:fill="auto"/>
            <w:noWrap w:val="0"/>
            <w:vAlign w:val="center"/>
          </w:tcPr>
          <w:p>
            <w:pPr>
              <w:spacing w:line="276" w:lineRule="auto"/>
              <w:jc w:val="center"/>
              <w:rPr>
                <w:color w:val="000000"/>
                <w:szCs w:val="21"/>
              </w:rPr>
            </w:pPr>
            <w:r>
              <w:rPr>
                <w:color w:val="000000"/>
                <w:szCs w:val="21"/>
              </w:rPr>
              <w:t>0.508</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10min</w:t>
            </w: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0.363</w:t>
            </w:r>
          </w:p>
        </w:tc>
        <w:tc>
          <w:tcPr>
            <w:tcW w:w="996" w:type="dxa"/>
            <w:shd w:val="clear" w:color="auto" w:fill="auto"/>
            <w:noWrap w:val="0"/>
            <w:vAlign w:val="center"/>
          </w:tcPr>
          <w:p>
            <w:pPr>
              <w:spacing w:line="276" w:lineRule="auto"/>
              <w:jc w:val="center"/>
              <w:rPr>
                <w:color w:val="000000"/>
                <w:szCs w:val="21"/>
              </w:rPr>
            </w:pPr>
            <w:r>
              <w:rPr>
                <w:color w:val="000000"/>
                <w:szCs w:val="21"/>
              </w:rPr>
              <w:t>0.484</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0.490</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0.0069</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1.41</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0.365</w:t>
            </w:r>
          </w:p>
        </w:tc>
        <w:tc>
          <w:tcPr>
            <w:tcW w:w="996" w:type="dxa"/>
            <w:shd w:val="clear" w:color="auto" w:fill="auto"/>
            <w:noWrap w:val="0"/>
            <w:vAlign w:val="center"/>
          </w:tcPr>
          <w:p>
            <w:pPr>
              <w:spacing w:line="276" w:lineRule="auto"/>
              <w:jc w:val="center"/>
              <w:rPr>
                <w:color w:val="000000"/>
                <w:szCs w:val="21"/>
              </w:rPr>
            </w:pPr>
            <w:r>
              <w:rPr>
                <w:color w:val="000000"/>
                <w:szCs w:val="21"/>
              </w:rPr>
              <w:t>0.487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0.387</w:t>
            </w:r>
          </w:p>
        </w:tc>
        <w:tc>
          <w:tcPr>
            <w:tcW w:w="850" w:type="dxa"/>
            <w:shd w:val="clear" w:color="auto" w:fill="auto"/>
            <w:noWrap w:val="0"/>
            <w:vAlign w:val="center"/>
          </w:tcPr>
          <w:p>
            <w:pPr>
              <w:spacing w:line="276" w:lineRule="auto"/>
              <w:jc w:val="center"/>
              <w:rPr>
                <w:color w:val="000000"/>
                <w:szCs w:val="21"/>
              </w:rPr>
            </w:pPr>
            <w:r>
              <w:rPr>
                <w:color w:val="000000"/>
                <w:szCs w:val="21"/>
              </w:rPr>
              <w:t>0.373</w:t>
            </w:r>
          </w:p>
        </w:tc>
        <w:tc>
          <w:tcPr>
            <w:tcW w:w="996" w:type="dxa"/>
            <w:shd w:val="clear" w:color="auto" w:fill="auto"/>
            <w:noWrap w:val="0"/>
            <w:vAlign w:val="center"/>
          </w:tcPr>
          <w:p>
            <w:pPr>
              <w:spacing w:line="276" w:lineRule="auto"/>
              <w:jc w:val="center"/>
              <w:rPr>
                <w:color w:val="000000"/>
                <w:szCs w:val="21"/>
              </w:rPr>
            </w:pPr>
            <w:r>
              <w:rPr>
                <w:color w:val="000000"/>
                <w:szCs w:val="21"/>
              </w:rPr>
              <w:t>0.497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0.376</w:t>
            </w:r>
          </w:p>
        </w:tc>
        <w:tc>
          <w:tcPr>
            <w:tcW w:w="996" w:type="dxa"/>
            <w:shd w:val="clear" w:color="auto" w:fill="auto"/>
            <w:noWrap w:val="0"/>
            <w:vAlign w:val="center"/>
          </w:tcPr>
          <w:p>
            <w:pPr>
              <w:spacing w:line="276" w:lineRule="auto"/>
              <w:jc w:val="center"/>
              <w:rPr>
                <w:color w:val="000000"/>
                <w:szCs w:val="21"/>
              </w:rPr>
            </w:pPr>
            <w:r>
              <w:rPr>
                <w:color w:val="000000"/>
                <w:szCs w:val="21"/>
              </w:rPr>
              <w:t>0.501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0.380</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0.376</w:t>
            </w:r>
          </w:p>
        </w:tc>
        <w:tc>
          <w:tcPr>
            <w:tcW w:w="850" w:type="dxa"/>
            <w:shd w:val="clear" w:color="auto" w:fill="auto"/>
            <w:noWrap w:val="0"/>
            <w:vAlign w:val="center"/>
          </w:tcPr>
          <w:p>
            <w:pPr>
              <w:spacing w:line="276" w:lineRule="auto"/>
              <w:jc w:val="center"/>
              <w:rPr>
                <w:color w:val="000000"/>
                <w:szCs w:val="21"/>
              </w:rPr>
            </w:pPr>
            <w:r>
              <w:rPr>
                <w:color w:val="000000"/>
                <w:szCs w:val="21"/>
              </w:rPr>
              <w:t>0.362</w:t>
            </w:r>
          </w:p>
        </w:tc>
        <w:tc>
          <w:tcPr>
            <w:tcW w:w="996" w:type="dxa"/>
            <w:shd w:val="clear" w:color="auto" w:fill="auto"/>
            <w:noWrap w:val="0"/>
            <w:vAlign w:val="center"/>
          </w:tcPr>
          <w:p>
            <w:pPr>
              <w:spacing w:line="276" w:lineRule="auto"/>
              <w:jc w:val="center"/>
              <w:rPr>
                <w:color w:val="000000"/>
                <w:szCs w:val="21"/>
              </w:rPr>
            </w:pPr>
            <w:r>
              <w:rPr>
                <w:color w:val="000000"/>
                <w:szCs w:val="21"/>
              </w:rPr>
              <w:t>0.483</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15min</w:t>
            </w: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0.487</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0.0035</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0.72</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0.371</w:t>
            </w:r>
          </w:p>
        </w:tc>
        <w:tc>
          <w:tcPr>
            <w:tcW w:w="850" w:type="dxa"/>
            <w:shd w:val="clear" w:color="auto" w:fill="auto"/>
            <w:noWrap w:val="0"/>
            <w:vAlign w:val="center"/>
          </w:tcPr>
          <w:p>
            <w:pPr>
              <w:spacing w:line="276" w:lineRule="auto"/>
              <w:jc w:val="center"/>
              <w:rPr>
                <w:color w:val="000000"/>
                <w:szCs w:val="21"/>
              </w:rPr>
            </w:pPr>
            <w:r>
              <w:rPr>
                <w:color w:val="000000"/>
                <w:szCs w:val="21"/>
              </w:rPr>
              <w:t>0.364</w:t>
            </w:r>
          </w:p>
        </w:tc>
        <w:tc>
          <w:tcPr>
            <w:tcW w:w="996" w:type="dxa"/>
            <w:shd w:val="clear" w:color="auto" w:fill="auto"/>
            <w:noWrap w:val="0"/>
            <w:vAlign w:val="center"/>
          </w:tcPr>
          <w:p>
            <w:pPr>
              <w:spacing w:line="276" w:lineRule="auto"/>
              <w:jc w:val="center"/>
              <w:rPr>
                <w:color w:val="000000"/>
                <w:szCs w:val="21"/>
              </w:rPr>
            </w:pPr>
            <w:r>
              <w:rPr>
                <w:color w:val="000000"/>
                <w:szCs w:val="21"/>
              </w:rPr>
              <w:t>0.485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0.371</w:t>
            </w:r>
          </w:p>
        </w:tc>
        <w:tc>
          <w:tcPr>
            <w:tcW w:w="850" w:type="dxa"/>
            <w:shd w:val="clear" w:color="auto" w:fill="auto"/>
            <w:noWrap w:val="0"/>
            <w:vAlign w:val="center"/>
          </w:tcPr>
          <w:p>
            <w:pPr>
              <w:spacing w:line="276" w:lineRule="auto"/>
              <w:jc w:val="center"/>
              <w:rPr>
                <w:color w:val="000000"/>
                <w:szCs w:val="21"/>
              </w:rPr>
            </w:pPr>
            <w:r>
              <w:rPr>
                <w:color w:val="000000"/>
                <w:szCs w:val="21"/>
              </w:rPr>
              <w:t>0.364</w:t>
            </w:r>
          </w:p>
        </w:tc>
        <w:tc>
          <w:tcPr>
            <w:tcW w:w="996" w:type="dxa"/>
            <w:shd w:val="clear" w:color="auto" w:fill="auto"/>
            <w:noWrap w:val="0"/>
            <w:vAlign w:val="center"/>
          </w:tcPr>
          <w:p>
            <w:pPr>
              <w:spacing w:line="276" w:lineRule="auto"/>
              <w:jc w:val="center"/>
              <w:rPr>
                <w:color w:val="000000"/>
                <w:szCs w:val="21"/>
              </w:rPr>
            </w:pPr>
            <w:r>
              <w:rPr>
                <w:color w:val="000000"/>
                <w:szCs w:val="21"/>
              </w:rPr>
              <w:t>0.485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0.378</w:t>
            </w:r>
          </w:p>
        </w:tc>
        <w:tc>
          <w:tcPr>
            <w:tcW w:w="850" w:type="dxa"/>
            <w:shd w:val="clear" w:color="auto" w:fill="auto"/>
            <w:noWrap w:val="0"/>
            <w:vAlign w:val="center"/>
          </w:tcPr>
          <w:p>
            <w:pPr>
              <w:spacing w:line="276" w:lineRule="auto"/>
              <w:jc w:val="center"/>
              <w:rPr>
                <w:color w:val="000000"/>
                <w:szCs w:val="21"/>
              </w:rPr>
            </w:pPr>
            <w:r>
              <w:rPr>
                <w:color w:val="000000"/>
                <w:szCs w:val="21"/>
              </w:rPr>
              <w:t>0.371</w:t>
            </w:r>
          </w:p>
        </w:tc>
        <w:tc>
          <w:tcPr>
            <w:tcW w:w="996" w:type="dxa"/>
            <w:shd w:val="clear" w:color="auto" w:fill="auto"/>
            <w:noWrap w:val="0"/>
            <w:vAlign w:val="center"/>
          </w:tcPr>
          <w:p>
            <w:pPr>
              <w:spacing w:line="276" w:lineRule="auto"/>
              <w:jc w:val="center"/>
              <w:rPr>
                <w:color w:val="000000"/>
                <w:szCs w:val="21"/>
              </w:rPr>
            </w:pPr>
            <w:r>
              <w:rPr>
                <w:color w:val="000000"/>
                <w:szCs w:val="21"/>
              </w:rPr>
              <w:t>0.495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0.370</w:t>
            </w:r>
          </w:p>
        </w:tc>
        <w:tc>
          <w:tcPr>
            <w:tcW w:w="850" w:type="dxa"/>
            <w:shd w:val="clear" w:color="auto" w:fill="auto"/>
            <w:noWrap w:val="0"/>
            <w:vAlign w:val="center"/>
          </w:tcPr>
          <w:p>
            <w:pPr>
              <w:spacing w:line="276" w:lineRule="auto"/>
              <w:jc w:val="center"/>
              <w:rPr>
                <w:color w:val="000000"/>
                <w:szCs w:val="21"/>
              </w:rPr>
            </w:pPr>
            <w:r>
              <w:rPr>
                <w:color w:val="000000"/>
                <w:szCs w:val="21"/>
              </w:rPr>
              <w:t>0.363</w:t>
            </w:r>
          </w:p>
        </w:tc>
        <w:tc>
          <w:tcPr>
            <w:tcW w:w="996" w:type="dxa"/>
            <w:shd w:val="clear" w:color="auto" w:fill="auto"/>
            <w:noWrap w:val="0"/>
            <w:vAlign w:val="center"/>
          </w:tcPr>
          <w:p>
            <w:pPr>
              <w:spacing w:line="276" w:lineRule="auto"/>
              <w:jc w:val="center"/>
              <w:rPr>
                <w:color w:val="000000"/>
                <w:szCs w:val="21"/>
              </w:rPr>
            </w:pPr>
            <w:r>
              <w:rPr>
                <w:color w:val="000000"/>
                <w:szCs w:val="21"/>
              </w:rPr>
              <w:t>0.484</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0.372</w:t>
            </w:r>
          </w:p>
        </w:tc>
        <w:tc>
          <w:tcPr>
            <w:tcW w:w="850" w:type="dxa"/>
            <w:shd w:val="clear" w:color="auto" w:fill="auto"/>
            <w:noWrap w:val="0"/>
            <w:vAlign w:val="center"/>
          </w:tcPr>
          <w:p>
            <w:pPr>
              <w:spacing w:line="276" w:lineRule="auto"/>
              <w:jc w:val="center"/>
              <w:rPr>
                <w:color w:val="000000"/>
                <w:szCs w:val="21"/>
              </w:rPr>
            </w:pPr>
            <w:r>
              <w:rPr>
                <w:color w:val="000000"/>
                <w:szCs w:val="21"/>
              </w:rPr>
              <w:t>0.365</w:t>
            </w:r>
          </w:p>
        </w:tc>
        <w:tc>
          <w:tcPr>
            <w:tcW w:w="996" w:type="dxa"/>
            <w:shd w:val="clear" w:color="auto" w:fill="auto"/>
            <w:noWrap w:val="0"/>
            <w:vAlign w:val="center"/>
          </w:tcPr>
          <w:p>
            <w:pPr>
              <w:spacing w:line="276" w:lineRule="auto"/>
              <w:jc w:val="center"/>
              <w:rPr>
                <w:color w:val="000000"/>
                <w:szCs w:val="21"/>
              </w:rPr>
            </w:pPr>
            <w:r>
              <w:rPr>
                <w:color w:val="000000"/>
                <w:szCs w:val="21"/>
              </w:rPr>
              <w:t>0.487</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80℃</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5min</w:t>
            </w: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0.389</w:t>
            </w:r>
          </w:p>
        </w:tc>
        <w:tc>
          <w:tcPr>
            <w:tcW w:w="850" w:type="dxa"/>
            <w:shd w:val="clear" w:color="auto" w:fill="auto"/>
            <w:noWrap w:val="0"/>
            <w:vAlign w:val="center"/>
          </w:tcPr>
          <w:p>
            <w:pPr>
              <w:spacing w:line="276" w:lineRule="auto"/>
              <w:jc w:val="center"/>
              <w:rPr>
                <w:color w:val="000000"/>
                <w:szCs w:val="21"/>
              </w:rPr>
            </w:pPr>
            <w:r>
              <w:rPr>
                <w:color w:val="000000"/>
                <w:szCs w:val="21"/>
              </w:rPr>
              <w:t>0.379</w:t>
            </w:r>
          </w:p>
        </w:tc>
        <w:tc>
          <w:tcPr>
            <w:tcW w:w="996" w:type="dxa"/>
            <w:shd w:val="clear" w:color="auto" w:fill="auto"/>
            <w:noWrap w:val="0"/>
            <w:vAlign w:val="center"/>
          </w:tcPr>
          <w:p>
            <w:pPr>
              <w:spacing w:line="276" w:lineRule="auto"/>
              <w:jc w:val="center"/>
              <w:rPr>
                <w:color w:val="000000"/>
                <w:szCs w:val="21"/>
              </w:rPr>
            </w:pPr>
            <w:r>
              <w:rPr>
                <w:color w:val="000000"/>
                <w:szCs w:val="21"/>
              </w:rPr>
              <w:t>0.505</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0.504</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0.0063</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1.26</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0.392</w:t>
            </w:r>
          </w:p>
        </w:tc>
        <w:tc>
          <w:tcPr>
            <w:tcW w:w="850" w:type="dxa"/>
            <w:shd w:val="clear" w:color="auto" w:fill="auto"/>
            <w:noWrap w:val="0"/>
            <w:vAlign w:val="center"/>
          </w:tcPr>
          <w:p>
            <w:pPr>
              <w:spacing w:line="276" w:lineRule="auto"/>
              <w:jc w:val="center"/>
              <w:rPr>
                <w:color w:val="000000"/>
                <w:szCs w:val="21"/>
              </w:rPr>
            </w:pPr>
            <w:r>
              <w:rPr>
                <w:color w:val="000000"/>
                <w:szCs w:val="21"/>
              </w:rPr>
              <w:t>0.382</w:t>
            </w:r>
          </w:p>
        </w:tc>
        <w:tc>
          <w:tcPr>
            <w:tcW w:w="996" w:type="dxa"/>
            <w:shd w:val="clear" w:color="auto" w:fill="auto"/>
            <w:noWrap w:val="0"/>
            <w:vAlign w:val="center"/>
          </w:tcPr>
          <w:p>
            <w:pPr>
              <w:spacing w:line="276" w:lineRule="auto"/>
              <w:jc w:val="center"/>
              <w:rPr>
                <w:color w:val="000000"/>
                <w:szCs w:val="21"/>
              </w:rPr>
            </w:pPr>
            <w:r>
              <w:rPr>
                <w:color w:val="000000"/>
                <w:szCs w:val="21"/>
              </w:rPr>
              <w:t>0.509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0.380</w:t>
            </w:r>
          </w:p>
        </w:tc>
        <w:tc>
          <w:tcPr>
            <w:tcW w:w="996" w:type="dxa"/>
            <w:shd w:val="clear" w:color="auto" w:fill="auto"/>
            <w:noWrap w:val="0"/>
            <w:vAlign w:val="center"/>
          </w:tcPr>
          <w:p>
            <w:pPr>
              <w:spacing w:line="276" w:lineRule="auto"/>
              <w:jc w:val="center"/>
              <w:rPr>
                <w:color w:val="000000"/>
                <w:szCs w:val="21"/>
              </w:rPr>
            </w:pPr>
            <w:r>
              <w:rPr>
                <w:color w:val="000000"/>
                <w:szCs w:val="21"/>
              </w:rPr>
              <w:t>0.507</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0.393</w:t>
            </w:r>
          </w:p>
        </w:tc>
        <w:tc>
          <w:tcPr>
            <w:tcW w:w="850" w:type="dxa"/>
            <w:shd w:val="clear" w:color="auto" w:fill="auto"/>
            <w:noWrap w:val="0"/>
            <w:vAlign w:val="center"/>
          </w:tcPr>
          <w:p>
            <w:pPr>
              <w:spacing w:line="276" w:lineRule="auto"/>
              <w:jc w:val="center"/>
              <w:rPr>
                <w:color w:val="000000"/>
                <w:szCs w:val="21"/>
              </w:rPr>
            </w:pPr>
            <w:r>
              <w:rPr>
                <w:color w:val="000000"/>
                <w:szCs w:val="21"/>
              </w:rPr>
              <w:t>0.383</w:t>
            </w:r>
          </w:p>
        </w:tc>
        <w:tc>
          <w:tcPr>
            <w:tcW w:w="996" w:type="dxa"/>
            <w:shd w:val="clear" w:color="auto" w:fill="auto"/>
            <w:noWrap w:val="0"/>
            <w:vAlign w:val="center"/>
          </w:tcPr>
          <w:p>
            <w:pPr>
              <w:spacing w:line="276" w:lineRule="auto"/>
              <w:jc w:val="center"/>
              <w:rPr>
                <w:color w:val="000000"/>
                <w:szCs w:val="21"/>
              </w:rPr>
            </w:pPr>
            <w:r>
              <w:rPr>
                <w:color w:val="000000"/>
                <w:szCs w:val="21"/>
              </w:rPr>
              <w:t>0.511</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0.375</w:t>
            </w:r>
          </w:p>
        </w:tc>
        <w:tc>
          <w:tcPr>
            <w:tcW w:w="996" w:type="dxa"/>
            <w:shd w:val="clear" w:color="auto" w:fill="auto"/>
            <w:noWrap w:val="0"/>
            <w:vAlign w:val="center"/>
          </w:tcPr>
          <w:p>
            <w:pPr>
              <w:spacing w:line="276" w:lineRule="auto"/>
              <w:jc w:val="center"/>
              <w:rPr>
                <w:color w:val="000000"/>
                <w:szCs w:val="21"/>
              </w:rPr>
            </w:pPr>
            <w:r>
              <w:rPr>
                <w:color w:val="000000"/>
                <w:szCs w:val="21"/>
              </w:rPr>
              <w:t>0.500</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10min</w:t>
            </w: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0.384</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0.490</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0.0051</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1.05</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0.393</w:t>
            </w:r>
          </w:p>
        </w:tc>
        <w:tc>
          <w:tcPr>
            <w:tcW w:w="850" w:type="dxa"/>
            <w:shd w:val="clear" w:color="auto" w:fill="auto"/>
            <w:noWrap w:val="0"/>
            <w:vAlign w:val="center"/>
          </w:tcPr>
          <w:p>
            <w:pPr>
              <w:spacing w:line="276" w:lineRule="auto"/>
              <w:jc w:val="center"/>
              <w:rPr>
                <w:color w:val="000000"/>
                <w:szCs w:val="21"/>
              </w:rPr>
            </w:pPr>
            <w:r>
              <w:rPr>
                <w:color w:val="000000"/>
                <w:szCs w:val="21"/>
              </w:rPr>
              <w:t>0.375</w:t>
            </w:r>
          </w:p>
        </w:tc>
        <w:tc>
          <w:tcPr>
            <w:tcW w:w="996" w:type="dxa"/>
            <w:shd w:val="clear" w:color="auto" w:fill="auto"/>
            <w:noWrap w:val="0"/>
            <w:vAlign w:val="center"/>
          </w:tcPr>
          <w:p>
            <w:pPr>
              <w:spacing w:line="276" w:lineRule="auto"/>
              <w:jc w:val="center"/>
              <w:rPr>
                <w:color w:val="000000"/>
                <w:szCs w:val="21"/>
              </w:rPr>
            </w:pPr>
            <w:r>
              <w:rPr>
                <w:color w:val="000000"/>
                <w:szCs w:val="21"/>
              </w:rPr>
              <w:t>0.500</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0.380</w:t>
            </w:r>
          </w:p>
        </w:tc>
        <w:tc>
          <w:tcPr>
            <w:tcW w:w="850" w:type="dxa"/>
            <w:shd w:val="clear" w:color="auto" w:fill="auto"/>
            <w:noWrap w:val="0"/>
            <w:vAlign w:val="center"/>
          </w:tcPr>
          <w:p>
            <w:pPr>
              <w:spacing w:line="276" w:lineRule="auto"/>
              <w:jc w:val="center"/>
              <w:rPr>
                <w:color w:val="000000"/>
                <w:szCs w:val="21"/>
              </w:rPr>
            </w:pPr>
            <w:r>
              <w:rPr>
                <w:color w:val="000000"/>
                <w:szCs w:val="21"/>
              </w:rPr>
              <w:t>0.362</w:t>
            </w:r>
          </w:p>
        </w:tc>
        <w:tc>
          <w:tcPr>
            <w:tcW w:w="996" w:type="dxa"/>
            <w:shd w:val="clear" w:color="auto" w:fill="auto"/>
            <w:noWrap w:val="0"/>
            <w:vAlign w:val="center"/>
          </w:tcPr>
          <w:p>
            <w:pPr>
              <w:spacing w:line="276" w:lineRule="auto"/>
              <w:jc w:val="center"/>
              <w:rPr>
                <w:color w:val="000000"/>
                <w:szCs w:val="21"/>
              </w:rPr>
            </w:pPr>
            <w:r>
              <w:rPr>
                <w:color w:val="000000"/>
                <w:szCs w:val="21"/>
              </w:rPr>
              <w:t>0.483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15min</w:t>
            </w: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0.397</w:t>
            </w:r>
          </w:p>
        </w:tc>
        <w:tc>
          <w:tcPr>
            <w:tcW w:w="850" w:type="dxa"/>
            <w:shd w:val="clear" w:color="auto" w:fill="auto"/>
            <w:noWrap w:val="0"/>
            <w:vAlign w:val="center"/>
          </w:tcPr>
          <w:p>
            <w:pPr>
              <w:spacing w:line="276" w:lineRule="auto"/>
              <w:jc w:val="center"/>
              <w:rPr>
                <w:color w:val="000000"/>
                <w:szCs w:val="21"/>
              </w:rPr>
            </w:pPr>
            <w:r>
              <w:rPr>
                <w:color w:val="000000"/>
                <w:szCs w:val="21"/>
              </w:rPr>
              <w:t>0.384</w:t>
            </w:r>
          </w:p>
        </w:tc>
        <w:tc>
          <w:tcPr>
            <w:tcW w:w="996" w:type="dxa"/>
            <w:shd w:val="clear" w:color="auto" w:fill="auto"/>
            <w:noWrap w:val="0"/>
            <w:vAlign w:val="center"/>
          </w:tcPr>
          <w:p>
            <w:pPr>
              <w:spacing w:line="276" w:lineRule="auto"/>
              <w:jc w:val="center"/>
              <w:rPr>
                <w:color w:val="000000"/>
                <w:szCs w:val="21"/>
              </w:rPr>
            </w:pPr>
            <w:r>
              <w:rPr>
                <w:color w:val="000000"/>
                <w:szCs w:val="21"/>
              </w:rPr>
              <w:t>0.512</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0.506</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0.0066</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1.31</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0.397</w:t>
            </w:r>
          </w:p>
        </w:tc>
        <w:tc>
          <w:tcPr>
            <w:tcW w:w="850" w:type="dxa"/>
            <w:shd w:val="clear" w:color="auto" w:fill="auto"/>
            <w:noWrap w:val="0"/>
            <w:vAlign w:val="center"/>
          </w:tcPr>
          <w:p>
            <w:pPr>
              <w:spacing w:line="276" w:lineRule="auto"/>
              <w:jc w:val="center"/>
              <w:rPr>
                <w:color w:val="000000"/>
                <w:szCs w:val="21"/>
              </w:rPr>
            </w:pPr>
            <w:r>
              <w:rPr>
                <w:color w:val="000000"/>
                <w:szCs w:val="21"/>
              </w:rPr>
              <w:t>0.384</w:t>
            </w:r>
          </w:p>
        </w:tc>
        <w:tc>
          <w:tcPr>
            <w:tcW w:w="996" w:type="dxa"/>
            <w:shd w:val="clear" w:color="auto" w:fill="auto"/>
            <w:noWrap w:val="0"/>
            <w:vAlign w:val="center"/>
          </w:tcPr>
          <w:p>
            <w:pPr>
              <w:spacing w:line="276" w:lineRule="auto"/>
              <w:jc w:val="center"/>
              <w:rPr>
                <w:color w:val="000000"/>
                <w:szCs w:val="21"/>
              </w:rPr>
            </w:pPr>
            <w:r>
              <w:rPr>
                <w:color w:val="000000"/>
                <w:szCs w:val="21"/>
              </w:rPr>
              <w:t>0.512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0.389</w:t>
            </w:r>
          </w:p>
        </w:tc>
        <w:tc>
          <w:tcPr>
            <w:tcW w:w="850" w:type="dxa"/>
            <w:shd w:val="clear" w:color="auto" w:fill="auto"/>
            <w:noWrap w:val="0"/>
            <w:vAlign w:val="center"/>
          </w:tcPr>
          <w:p>
            <w:pPr>
              <w:spacing w:line="276" w:lineRule="auto"/>
              <w:jc w:val="center"/>
              <w:rPr>
                <w:color w:val="000000"/>
                <w:szCs w:val="21"/>
              </w:rPr>
            </w:pPr>
            <w:r>
              <w:rPr>
                <w:color w:val="000000"/>
                <w:szCs w:val="21"/>
              </w:rPr>
              <w:t>0.376</w:t>
            </w:r>
          </w:p>
        </w:tc>
        <w:tc>
          <w:tcPr>
            <w:tcW w:w="996" w:type="dxa"/>
            <w:shd w:val="clear" w:color="auto" w:fill="auto"/>
            <w:noWrap w:val="0"/>
            <w:vAlign w:val="center"/>
          </w:tcPr>
          <w:p>
            <w:pPr>
              <w:spacing w:line="276" w:lineRule="auto"/>
              <w:jc w:val="center"/>
              <w:rPr>
                <w:color w:val="000000"/>
                <w:szCs w:val="21"/>
              </w:rPr>
            </w:pPr>
            <w:r>
              <w:rPr>
                <w:color w:val="000000"/>
                <w:szCs w:val="21"/>
              </w:rPr>
              <w:t>0.501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0.397</w:t>
            </w:r>
          </w:p>
        </w:tc>
        <w:tc>
          <w:tcPr>
            <w:tcW w:w="850" w:type="dxa"/>
            <w:shd w:val="clear" w:color="auto" w:fill="auto"/>
            <w:noWrap w:val="0"/>
            <w:vAlign w:val="center"/>
          </w:tcPr>
          <w:p>
            <w:pPr>
              <w:spacing w:line="276" w:lineRule="auto"/>
              <w:jc w:val="center"/>
              <w:rPr>
                <w:color w:val="000000"/>
                <w:szCs w:val="21"/>
              </w:rPr>
            </w:pPr>
            <w:r>
              <w:rPr>
                <w:color w:val="000000"/>
                <w:szCs w:val="21"/>
              </w:rPr>
              <w:t>0.384</w:t>
            </w:r>
          </w:p>
        </w:tc>
        <w:tc>
          <w:tcPr>
            <w:tcW w:w="996" w:type="dxa"/>
            <w:shd w:val="clear" w:color="auto" w:fill="auto"/>
            <w:noWrap w:val="0"/>
            <w:vAlign w:val="center"/>
          </w:tcPr>
          <w:p>
            <w:pPr>
              <w:spacing w:line="276" w:lineRule="auto"/>
              <w:jc w:val="center"/>
              <w:rPr>
                <w:color w:val="000000"/>
                <w:szCs w:val="21"/>
              </w:rPr>
            </w:pPr>
            <w:r>
              <w:rPr>
                <w:color w:val="000000"/>
                <w:szCs w:val="21"/>
              </w:rPr>
              <w:t>0.512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0.384</w:t>
            </w:r>
          </w:p>
        </w:tc>
        <w:tc>
          <w:tcPr>
            <w:tcW w:w="850" w:type="dxa"/>
            <w:shd w:val="clear" w:color="auto" w:fill="auto"/>
            <w:noWrap w:val="0"/>
            <w:vAlign w:val="center"/>
          </w:tcPr>
          <w:p>
            <w:pPr>
              <w:spacing w:line="276" w:lineRule="auto"/>
              <w:jc w:val="center"/>
              <w:rPr>
                <w:color w:val="000000"/>
                <w:szCs w:val="21"/>
              </w:rPr>
            </w:pPr>
            <w:r>
              <w:rPr>
                <w:color w:val="000000"/>
                <w:szCs w:val="21"/>
              </w:rPr>
              <w:t>0.371</w:t>
            </w:r>
          </w:p>
        </w:tc>
        <w:tc>
          <w:tcPr>
            <w:tcW w:w="996" w:type="dxa"/>
            <w:shd w:val="clear" w:color="auto" w:fill="auto"/>
            <w:noWrap w:val="0"/>
            <w:vAlign w:val="center"/>
          </w:tcPr>
          <w:p>
            <w:pPr>
              <w:spacing w:line="276" w:lineRule="auto"/>
              <w:jc w:val="center"/>
              <w:rPr>
                <w:color w:val="000000"/>
                <w:szCs w:val="21"/>
              </w:rPr>
            </w:pPr>
            <w:r>
              <w:rPr>
                <w:color w:val="000000"/>
                <w:szCs w:val="21"/>
              </w:rPr>
              <w:t>0.495</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0.391</w:t>
            </w:r>
          </w:p>
        </w:tc>
        <w:tc>
          <w:tcPr>
            <w:tcW w:w="850" w:type="dxa"/>
            <w:shd w:val="clear" w:color="auto" w:fill="auto"/>
            <w:noWrap w:val="0"/>
            <w:vAlign w:val="center"/>
          </w:tcPr>
          <w:p>
            <w:pPr>
              <w:spacing w:line="276" w:lineRule="auto"/>
              <w:jc w:val="center"/>
              <w:rPr>
                <w:color w:val="000000"/>
                <w:szCs w:val="21"/>
              </w:rPr>
            </w:pPr>
            <w:r>
              <w:rPr>
                <w:color w:val="000000"/>
                <w:szCs w:val="21"/>
              </w:rPr>
              <w:t>0.378</w:t>
            </w:r>
          </w:p>
        </w:tc>
        <w:tc>
          <w:tcPr>
            <w:tcW w:w="996" w:type="dxa"/>
            <w:shd w:val="clear" w:color="auto" w:fill="auto"/>
            <w:noWrap w:val="0"/>
            <w:vAlign w:val="center"/>
          </w:tcPr>
          <w:p>
            <w:pPr>
              <w:spacing w:line="276" w:lineRule="auto"/>
              <w:jc w:val="center"/>
              <w:rPr>
                <w:color w:val="000000"/>
                <w:szCs w:val="21"/>
              </w:rPr>
            </w:pPr>
            <w:r>
              <w:rPr>
                <w:color w:val="000000"/>
                <w:szCs w:val="21"/>
              </w:rPr>
              <w:t>0.504</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bl>
    <w:p>
      <w:pPr>
        <w:spacing w:line="276" w:lineRule="auto"/>
        <w:rPr>
          <w:color w:val="000000"/>
          <w:szCs w:val="21"/>
        </w:rPr>
      </w:pPr>
    </w:p>
    <w:p>
      <w:pPr>
        <w:spacing w:line="276" w:lineRule="auto"/>
        <w:rPr>
          <w:rFonts w:hint="eastAsia"/>
          <w:kern w:val="0"/>
        </w:rPr>
      </w:pPr>
      <w:r>
        <w:rPr>
          <w:color w:val="000000"/>
          <w:szCs w:val="21"/>
        </w:rPr>
        <w:t>结论：从上表可得，在室温~80℃下保温不同时间，硫酸根的回收率在97.47%~101.20%。</w:t>
      </w:r>
      <w:r>
        <w:rPr>
          <w:kern w:val="0"/>
        </w:rPr>
        <w:t>采用F检验检查不同的保温温度和保温时间的精密度无显著性差异，采用t检验检查不同保温温度和保温时间的测量结果无显著性差异。从操作方便性，建议</w:t>
      </w:r>
      <w:r>
        <w:rPr>
          <w:rFonts w:hint="eastAsia"/>
          <w:kern w:val="0"/>
        </w:rPr>
        <w:t>样品</w:t>
      </w:r>
      <w:r>
        <w:rPr>
          <w:kern w:val="0"/>
        </w:rPr>
        <w:t>在室温下进行</w:t>
      </w:r>
      <w:r>
        <w:rPr>
          <w:rFonts w:hint="eastAsia"/>
          <w:kern w:val="0"/>
        </w:rPr>
        <w:t>冷却到室温</w:t>
      </w:r>
      <w:r>
        <w:rPr>
          <w:kern w:val="0"/>
        </w:rPr>
        <w:t>。</w:t>
      </w:r>
    </w:p>
    <w:p>
      <w:pPr>
        <w:numPr>
          <w:ilvl w:val="0"/>
          <w:numId w:val="0"/>
        </w:numPr>
        <w:ind w:leftChars="0"/>
        <w:rPr>
          <w:rFonts w:hint="eastAsia"/>
          <w:lang w:val="en-US" w:eastAsia="zh-CN"/>
        </w:rPr>
      </w:pPr>
      <w:r>
        <w:rPr>
          <w:rFonts w:hint="eastAsia"/>
          <w:lang w:val="en-US" w:eastAsia="zh-CN"/>
        </w:rPr>
        <w:t>10.标准曲线的绘制</w:t>
      </w:r>
    </w:p>
    <w:p>
      <w:pPr>
        <w:spacing w:line="276" w:lineRule="auto"/>
        <w:rPr>
          <w:rFonts w:hint="eastAsia"/>
          <w:color w:val="000000"/>
          <w:szCs w:val="21"/>
        </w:rPr>
      </w:pPr>
      <w:r>
        <w:rPr>
          <w:rFonts w:hint="eastAsia"/>
          <w:color w:val="000000"/>
          <w:szCs w:val="21"/>
        </w:rPr>
        <w:t xml:space="preserve">   按2.4.2.6绘制标准曲线见图1</w:t>
      </w:r>
    </w:p>
    <w:p>
      <w:pPr>
        <w:spacing w:line="276" w:lineRule="auto"/>
        <w:rPr>
          <w:rFonts w:hint="default" w:eastAsia="宋体"/>
          <w:color w:val="000000"/>
          <w:szCs w:val="21"/>
          <w:lang w:val="en-US" w:eastAsia="zh-CN"/>
        </w:rPr>
      </w:pPr>
    </w:p>
    <w:p>
      <w:pPr>
        <w:pStyle w:val="136"/>
        <w:spacing w:line="276" w:lineRule="auto"/>
        <w:ind w:firstLine="1470" w:firstLineChars="700"/>
        <w:rPr>
          <w:rFonts w:hint="eastAsia" w:hAnsi="宋体"/>
          <w:color w:val="000000"/>
          <w:szCs w:val="21"/>
        </w:rPr>
      </w:pPr>
      <w:r>
        <w:object>
          <v:shape id="_x0000_i1025" o:spt="75" type="#_x0000_t75" style="height:215.7pt;width:309.05pt;" o:ole="t" filled="f" o:preferrelative="t" stroked="f" coordsize="21600,21600">
            <v:path/>
            <v:fill on="f" alignshape="1" focussize="0,0"/>
            <v:stroke on="f"/>
            <v:imagedata r:id="rId7" grayscale="f" bilevel="f" o:title=""/>
            <o:lock v:ext="edit" aspectratio="f"/>
            <w10:wrap type="none"/>
            <w10:anchorlock/>
          </v:shape>
          <o:OLEObject Type="Embed" ProgID="Excel.Chart.8" ShapeID="_x0000_i1025" DrawAspect="Content" ObjectID="_1468075725" r:id="rId6">
            <o:LockedField>false</o:LockedField>
          </o:OLEObject>
        </w:object>
      </w:r>
    </w:p>
    <w:p>
      <w:pPr>
        <w:pStyle w:val="136"/>
        <w:spacing w:line="276" w:lineRule="auto"/>
        <w:rPr>
          <w:rFonts w:hint="eastAsia" w:hAnsi="宋体"/>
          <w:color w:val="000000"/>
          <w:szCs w:val="21"/>
        </w:rPr>
      </w:pPr>
    </w:p>
    <w:p>
      <w:pPr>
        <w:pStyle w:val="136"/>
        <w:spacing w:line="276" w:lineRule="auto"/>
        <w:rPr>
          <w:rFonts w:hint="eastAsia" w:hAnsi="宋体"/>
          <w:color w:val="000000"/>
          <w:szCs w:val="21"/>
        </w:rPr>
      </w:pPr>
    </w:p>
    <w:p>
      <w:pPr>
        <w:pStyle w:val="136"/>
        <w:spacing w:line="276" w:lineRule="auto"/>
        <w:rPr>
          <w:rFonts w:hint="eastAsia" w:hAnsi="宋体"/>
          <w:color w:val="000000"/>
          <w:szCs w:val="21"/>
        </w:rPr>
      </w:pPr>
    </w:p>
    <w:p>
      <w:pPr>
        <w:pStyle w:val="264"/>
        <w:ind w:firstLine="420"/>
      </w:pPr>
      <w:r>
        <w:rPr>
          <w:rFonts w:hint="eastAsia"/>
        </w:rPr>
        <w:t>经过多次试验，曲线相关性系数r均大于0.999，能满足分析测定的需要。</w:t>
      </w:r>
    </w:p>
    <w:p>
      <w:pPr>
        <w:numPr>
          <w:ilvl w:val="0"/>
          <w:numId w:val="0"/>
        </w:numPr>
        <w:ind w:leftChars="0"/>
        <w:rPr>
          <w:rFonts w:hint="eastAsia"/>
          <w:lang w:val="en-US" w:eastAsia="zh-CN"/>
        </w:rPr>
      </w:pPr>
      <w:r>
        <w:rPr>
          <w:rFonts w:hint="eastAsia"/>
          <w:lang w:val="en-US" w:eastAsia="zh-CN"/>
        </w:rPr>
        <w:t>11.检出限试验</w:t>
      </w:r>
    </w:p>
    <w:p>
      <w:pPr>
        <w:spacing w:line="324" w:lineRule="auto"/>
        <w:ind w:firstLine="420"/>
        <w:rPr>
          <w:color w:val="000000"/>
          <w:kern w:val="0"/>
          <w:szCs w:val="21"/>
        </w:rPr>
      </w:pPr>
      <w:r>
        <w:rPr>
          <w:color w:val="000000"/>
          <w:kern w:val="0"/>
          <w:szCs w:val="21"/>
        </w:rPr>
        <w:t>根据国际纯粹和应用化学联合会对检出限L的规定：</w:t>
      </w:r>
    </w:p>
    <w:p>
      <w:pPr>
        <w:spacing w:line="324" w:lineRule="auto"/>
        <w:jc w:val="center"/>
        <w:rPr>
          <w:color w:val="000000"/>
          <w:kern w:val="0"/>
          <w:szCs w:val="21"/>
        </w:rPr>
      </w:pPr>
      <w:r>
        <w:rPr>
          <w:color w:val="000000"/>
          <w:kern w:val="0"/>
          <w:szCs w:val="21"/>
        </w:rPr>
        <w:t>L=KS</w:t>
      </w:r>
      <w:r>
        <w:rPr>
          <w:color w:val="000000"/>
          <w:kern w:val="0"/>
          <w:szCs w:val="21"/>
          <w:vertAlign w:val="subscript"/>
        </w:rPr>
        <w:t>b</w:t>
      </w:r>
      <w:r>
        <w:rPr>
          <w:color w:val="000000"/>
          <w:kern w:val="0"/>
          <w:szCs w:val="21"/>
        </w:rPr>
        <w:t>/m</w:t>
      </w:r>
    </w:p>
    <w:p>
      <w:pPr>
        <w:spacing w:line="324" w:lineRule="auto"/>
        <w:jc w:val="center"/>
        <w:rPr>
          <w:color w:val="000000"/>
          <w:kern w:val="0"/>
          <w:szCs w:val="21"/>
        </w:rPr>
      </w:pPr>
      <w:r>
        <w:rPr>
          <w:color w:val="000000"/>
          <w:kern w:val="0"/>
          <w:szCs w:val="21"/>
        </w:rPr>
        <w:t>测定下限=3.3L</w:t>
      </w:r>
    </w:p>
    <w:p>
      <w:pPr>
        <w:spacing w:line="324" w:lineRule="auto"/>
        <w:ind w:firstLine="420"/>
        <w:rPr>
          <w:color w:val="000000"/>
          <w:kern w:val="0"/>
          <w:szCs w:val="21"/>
        </w:rPr>
      </w:pPr>
      <w:r>
        <w:rPr>
          <w:color w:val="000000"/>
          <w:kern w:val="0"/>
          <w:szCs w:val="21"/>
        </w:rPr>
        <w:t>式中：K为90%置信水平确定的系数，3； S</w:t>
      </w:r>
      <w:r>
        <w:rPr>
          <w:color w:val="000000"/>
          <w:kern w:val="0"/>
          <w:szCs w:val="21"/>
          <w:vertAlign w:val="subscript"/>
        </w:rPr>
        <w:t>b</w:t>
      </w:r>
      <w:r>
        <w:rPr>
          <w:color w:val="000000"/>
          <w:kern w:val="0"/>
          <w:szCs w:val="21"/>
        </w:rPr>
        <w:t>为空白多次测得信号的标准偏差；m为方法的灵敏度（校准曲线斜率）。</w:t>
      </w:r>
    </w:p>
    <w:p>
      <w:pPr>
        <w:spacing w:line="324" w:lineRule="auto"/>
        <w:ind w:firstLine="420"/>
        <w:rPr>
          <w:color w:val="000000"/>
          <w:kern w:val="0"/>
          <w:szCs w:val="21"/>
        </w:rPr>
      </w:pPr>
      <w:r>
        <w:rPr>
          <w:color w:val="000000"/>
          <w:kern w:val="0"/>
          <w:szCs w:val="21"/>
        </w:rPr>
        <w:t>按2.6试验方法</w:t>
      </w:r>
      <w:r>
        <w:rPr>
          <w:color w:val="000000"/>
          <w:position w:val="-2"/>
          <w:szCs w:val="21"/>
        </w:rPr>
        <w:t>对基体空白试样称取11份试样，进行平行测定</w:t>
      </w:r>
      <w:r>
        <w:rPr>
          <w:color w:val="000000"/>
          <w:kern w:val="0"/>
          <w:szCs w:val="21"/>
        </w:rPr>
        <w:t>，记录其吸光度并计算其标准偏差S</w:t>
      </w:r>
      <w:r>
        <w:rPr>
          <w:color w:val="000000"/>
          <w:kern w:val="0"/>
          <w:szCs w:val="21"/>
          <w:vertAlign w:val="subscript"/>
        </w:rPr>
        <w:t>b</w:t>
      </w:r>
      <w:r>
        <w:rPr>
          <w:color w:val="000000"/>
          <w:kern w:val="0"/>
          <w:szCs w:val="21"/>
        </w:rPr>
        <w:t>，结果见表</w:t>
      </w:r>
      <w:r>
        <w:rPr>
          <w:rFonts w:hint="eastAsia"/>
          <w:color w:val="000000"/>
          <w:kern w:val="0"/>
          <w:szCs w:val="21"/>
          <w:lang w:val="en-US" w:eastAsia="zh-CN"/>
        </w:rPr>
        <w:t>9</w:t>
      </w:r>
      <w:r>
        <w:rPr>
          <w:color w:val="000000"/>
          <w:kern w:val="0"/>
          <w:szCs w:val="21"/>
        </w:rPr>
        <w:t>。根据结果综合考虑规定方法的测定下限为0.010%</w:t>
      </w:r>
    </w:p>
    <w:p>
      <w:pPr>
        <w:spacing w:line="324" w:lineRule="auto"/>
        <w:ind w:firstLine="420"/>
        <w:jc w:val="center"/>
        <w:rPr>
          <w:rFonts w:hint="eastAsia" w:eastAsia="宋体"/>
          <w:color w:val="000000"/>
          <w:kern w:val="0"/>
          <w:szCs w:val="21"/>
          <w:lang w:eastAsia="zh-CN"/>
        </w:rPr>
      </w:pPr>
      <w:r>
        <w:rPr>
          <w:rFonts w:hint="eastAsia"/>
          <w:color w:val="000000"/>
          <w:kern w:val="0"/>
          <w:szCs w:val="21"/>
        </w:rPr>
        <w:t>表</w:t>
      </w:r>
      <w:r>
        <w:rPr>
          <w:rFonts w:hint="eastAsia"/>
          <w:color w:val="000000"/>
          <w:kern w:val="0"/>
          <w:szCs w:val="21"/>
          <w:lang w:val="en-US" w:eastAsia="zh-CN"/>
        </w:rPr>
        <w:t>9</w:t>
      </w:r>
    </w:p>
    <w:tbl>
      <w:tblPr>
        <w:tblStyle w:val="8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488"/>
        <w:gridCol w:w="1737"/>
        <w:gridCol w:w="1202"/>
        <w:gridCol w:w="11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56" w:type="dxa"/>
            <w:shd w:val="clear" w:color="auto" w:fill="auto"/>
            <w:noWrap w:val="0"/>
            <w:vAlign w:val="top"/>
          </w:tcPr>
          <w:p>
            <w:pPr>
              <w:spacing w:line="324" w:lineRule="auto"/>
              <w:jc w:val="center"/>
              <w:rPr>
                <w:color w:val="000000"/>
                <w:kern w:val="0"/>
                <w:szCs w:val="21"/>
              </w:rPr>
            </w:pPr>
            <w:r>
              <w:rPr>
                <w:color w:val="000000"/>
                <w:kern w:val="0"/>
                <w:szCs w:val="21"/>
              </w:rPr>
              <w:t>基体空白吸光度（A）</w:t>
            </w:r>
          </w:p>
        </w:tc>
        <w:tc>
          <w:tcPr>
            <w:tcW w:w="1488" w:type="dxa"/>
            <w:shd w:val="clear" w:color="auto" w:fill="auto"/>
            <w:noWrap w:val="0"/>
            <w:vAlign w:val="top"/>
          </w:tcPr>
          <w:p>
            <w:pPr>
              <w:spacing w:line="324" w:lineRule="auto"/>
              <w:jc w:val="center"/>
              <w:rPr>
                <w:color w:val="000000"/>
                <w:kern w:val="0"/>
                <w:szCs w:val="21"/>
              </w:rPr>
            </w:pPr>
            <w:r>
              <w:rPr>
                <w:color w:val="000000"/>
                <w:kern w:val="0"/>
                <w:szCs w:val="21"/>
              </w:rPr>
              <w:t>标准偏差S</w:t>
            </w:r>
            <w:r>
              <w:rPr>
                <w:color w:val="000000"/>
                <w:kern w:val="0"/>
                <w:szCs w:val="21"/>
                <w:vertAlign w:val="subscript"/>
              </w:rPr>
              <w:t>b</w:t>
            </w:r>
          </w:p>
        </w:tc>
        <w:tc>
          <w:tcPr>
            <w:tcW w:w="1737" w:type="dxa"/>
            <w:shd w:val="clear" w:color="auto" w:fill="auto"/>
            <w:noWrap w:val="0"/>
            <w:vAlign w:val="top"/>
          </w:tcPr>
          <w:p>
            <w:pPr>
              <w:spacing w:line="324" w:lineRule="auto"/>
              <w:jc w:val="center"/>
              <w:rPr>
                <w:color w:val="000000"/>
                <w:kern w:val="0"/>
                <w:szCs w:val="21"/>
              </w:rPr>
            </w:pPr>
            <w:r>
              <w:rPr>
                <w:color w:val="000000"/>
                <w:kern w:val="0"/>
                <w:szCs w:val="21"/>
              </w:rPr>
              <w:t>校准曲线斜率m</w:t>
            </w:r>
          </w:p>
        </w:tc>
        <w:tc>
          <w:tcPr>
            <w:tcW w:w="1202" w:type="dxa"/>
            <w:shd w:val="clear" w:color="auto" w:fill="auto"/>
            <w:noWrap w:val="0"/>
            <w:vAlign w:val="top"/>
          </w:tcPr>
          <w:p>
            <w:pPr>
              <w:spacing w:line="324" w:lineRule="auto"/>
              <w:jc w:val="center"/>
              <w:rPr>
                <w:color w:val="000000"/>
                <w:kern w:val="0"/>
                <w:szCs w:val="21"/>
              </w:rPr>
            </w:pPr>
            <w:r>
              <w:rPr>
                <w:color w:val="000000"/>
                <w:kern w:val="0"/>
                <w:szCs w:val="21"/>
              </w:rPr>
              <w:t>检出限ug</w:t>
            </w:r>
          </w:p>
        </w:tc>
        <w:tc>
          <w:tcPr>
            <w:tcW w:w="1172" w:type="dxa"/>
            <w:shd w:val="clear" w:color="auto" w:fill="auto"/>
            <w:noWrap w:val="0"/>
            <w:vAlign w:val="top"/>
          </w:tcPr>
          <w:p>
            <w:pPr>
              <w:spacing w:line="324" w:lineRule="auto"/>
              <w:jc w:val="center"/>
              <w:rPr>
                <w:color w:val="000000"/>
                <w:kern w:val="0"/>
                <w:szCs w:val="21"/>
              </w:rPr>
            </w:pPr>
            <w:r>
              <w:rPr>
                <w:color w:val="000000"/>
                <w:kern w:val="0"/>
                <w:szCs w:val="21"/>
              </w:rPr>
              <w:t>检出限%</w:t>
            </w:r>
          </w:p>
        </w:tc>
        <w:tc>
          <w:tcPr>
            <w:tcW w:w="1276" w:type="dxa"/>
            <w:shd w:val="clear" w:color="auto" w:fill="auto"/>
            <w:noWrap w:val="0"/>
            <w:vAlign w:val="top"/>
          </w:tcPr>
          <w:p>
            <w:pPr>
              <w:spacing w:line="324" w:lineRule="auto"/>
              <w:jc w:val="center"/>
              <w:rPr>
                <w:color w:val="000000"/>
                <w:kern w:val="0"/>
                <w:szCs w:val="21"/>
              </w:rPr>
            </w:pPr>
            <w:r>
              <w:rPr>
                <w:color w:val="000000"/>
                <w:kern w:val="0"/>
                <w:szCs w:val="21"/>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56" w:type="dxa"/>
            <w:shd w:val="clear" w:color="auto" w:fill="auto"/>
            <w:noWrap w:val="0"/>
            <w:vAlign w:val="center"/>
          </w:tcPr>
          <w:p>
            <w:pPr>
              <w:spacing w:line="324" w:lineRule="auto"/>
              <w:jc w:val="center"/>
              <w:rPr>
                <w:color w:val="000000"/>
                <w:kern w:val="0"/>
                <w:szCs w:val="21"/>
              </w:rPr>
            </w:pPr>
            <w:r>
              <w:rPr>
                <w:color w:val="000000"/>
                <w:kern w:val="0"/>
                <w:szCs w:val="21"/>
              </w:rPr>
              <w:t>0.011、0.013、0.014、0.015、0.012、0.011、0.017、0.015、0.016、0.018、0.015</w:t>
            </w:r>
          </w:p>
        </w:tc>
        <w:tc>
          <w:tcPr>
            <w:tcW w:w="1488"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2219</w:t>
            </w:r>
          </w:p>
        </w:tc>
        <w:tc>
          <w:tcPr>
            <w:tcW w:w="1737" w:type="dxa"/>
            <w:shd w:val="clear" w:color="auto" w:fill="auto"/>
            <w:noWrap w:val="0"/>
            <w:vAlign w:val="center"/>
          </w:tcPr>
          <w:p>
            <w:pPr>
              <w:spacing w:line="324" w:lineRule="auto"/>
              <w:jc w:val="center"/>
              <w:rPr>
                <w:color w:val="000000"/>
                <w:kern w:val="0"/>
                <w:szCs w:val="21"/>
              </w:rPr>
            </w:pPr>
            <w:r>
              <w:rPr>
                <w:color w:val="000000"/>
                <w:kern w:val="0"/>
                <w:szCs w:val="21"/>
              </w:rPr>
              <w:t>0.0015</w:t>
            </w:r>
          </w:p>
        </w:tc>
        <w:tc>
          <w:tcPr>
            <w:tcW w:w="1202" w:type="dxa"/>
            <w:shd w:val="clear" w:color="auto" w:fill="auto"/>
            <w:noWrap w:val="0"/>
            <w:vAlign w:val="top"/>
          </w:tcPr>
          <w:p>
            <w:pPr>
              <w:spacing w:line="324" w:lineRule="auto"/>
              <w:jc w:val="center"/>
              <w:rPr>
                <w:color w:val="000000"/>
                <w:kern w:val="0"/>
                <w:szCs w:val="21"/>
              </w:rPr>
            </w:pPr>
          </w:p>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4.438</w:t>
            </w:r>
          </w:p>
        </w:tc>
        <w:tc>
          <w:tcPr>
            <w:tcW w:w="1172"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2219</w:t>
            </w:r>
          </w:p>
        </w:tc>
        <w:tc>
          <w:tcPr>
            <w:tcW w:w="1276"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73</w:t>
            </w:r>
          </w:p>
        </w:tc>
      </w:tr>
    </w:tbl>
    <w:p>
      <w:pPr>
        <w:numPr>
          <w:ilvl w:val="0"/>
          <w:numId w:val="0"/>
        </w:numPr>
        <w:ind w:leftChars="0"/>
        <w:rPr>
          <w:rFonts w:hint="eastAsia"/>
          <w:lang w:val="en-US" w:eastAsia="zh-CN"/>
        </w:rPr>
      </w:pPr>
      <w:r>
        <w:rPr>
          <w:rFonts w:hint="eastAsia"/>
          <w:lang w:val="en-US" w:eastAsia="zh-CN"/>
        </w:rPr>
        <w:t>12.准确性试验</w:t>
      </w:r>
    </w:p>
    <w:p>
      <w:pPr>
        <w:ind w:firstLine="420" w:firstLineChars="200"/>
        <w:rPr>
          <w:kern w:val="0"/>
        </w:rPr>
      </w:pPr>
      <w:r>
        <w:rPr>
          <w:kern w:val="0"/>
        </w:rPr>
        <w:t>为了考察方法的准确度，分别在</w:t>
      </w:r>
      <w:r>
        <w:rPr>
          <w:rFonts w:hint="eastAsia"/>
          <w:kern w:val="0"/>
        </w:rPr>
        <w:t>统一样</w:t>
      </w:r>
      <w:r>
        <w:rPr>
          <w:kern w:val="0"/>
        </w:rPr>
        <w:t>1#、2#和3#中加入一定量的硫酸根标准溶液，测定结果见表1</w:t>
      </w:r>
      <w:r>
        <w:rPr>
          <w:rFonts w:hint="eastAsia"/>
          <w:kern w:val="0"/>
          <w:lang w:val="en-US" w:eastAsia="zh-CN"/>
        </w:rPr>
        <w:t>0</w:t>
      </w:r>
      <w:r>
        <w:rPr>
          <w:kern w:val="0"/>
        </w:rPr>
        <w:t>。</w:t>
      </w:r>
    </w:p>
    <w:p>
      <w:pPr>
        <w:ind w:firstLine="420" w:firstLineChars="200"/>
        <w:jc w:val="center"/>
        <w:rPr>
          <w:kern w:val="0"/>
        </w:rPr>
      </w:pPr>
      <w:r>
        <w:rPr>
          <w:kern w:val="0"/>
        </w:rPr>
        <w:t>表1</w:t>
      </w:r>
      <w:r>
        <w:rPr>
          <w:rFonts w:hint="eastAsia"/>
          <w:kern w:val="0"/>
          <w:lang w:val="en-US" w:eastAsia="zh-CN"/>
        </w:rPr>
        <w:t>0</w:t>
      </w:r>
      <w:r>
        <w:rPr>
          <w:kern w:val="0"/>
        </w:rPr>
        <w:t xml:space="preserve">  加标回收试验</w:t>
      </w:r>
    </w:p>
    <w:tbl>
      <w:tblPr>
        <w:tblStyle w:val="88"/>
        <w:tblW w:w="8260" w:type="dxa"/>
        <w:tblInd w:w="701" w:type="dxa"/>
        <w:tblLayout w:type="autofit"/>
        <w:tblCellMar>
          <w:top w:w="0" w:type="dxa"/>
          <w:left w:w="108" w:type="dxa"/>
          <w:bottom w:w="0" w:type="dxa"/>
          <w:right w:w="108" w:type="dxa"/>
        </w:tblCellMar>
      </w:tblPr>
      <w:tblGrid>
        <w:gridCol w:w="1600"/>
        <w:gridCol w:w="1798"/>
        <w:gridCol w:w="1802"/>
        <w:gridCol w:w="1660"/>
        <w:gridCol w:w="1400"/>
      </w:tblGrid>
      <w:tr>
        <w:tblPrEx>
          <w:tblCellMar>
            <w:top w:w="0" w:type="dxa"/>
            <w:left w:w="108" w:type="dxa"/>
            <w:bottom w:w="0" w:type="dxa"/>
            <w:right w:w="108" w:type="dxa"/>
          </w:tblCellMar>
        </w:tblPrEx>
        <w:trPr>
          <w:trHeight w:val="402" w:hRule="atLeast"/>
        </w:trPr>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样品编号</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本底值 %</w:t>
            </w:r>
          </w:p>
        </w:tc>
        <w:tc>
          <w:tcPr>
            <w:tcW w:w="18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加入量%</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测定值%</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回收率%</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统一样1#</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0.0135</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0.015</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0.0293</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105.3</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统一样2#</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0.028</w:t>
            </w:r>
            <w:r>
              <w:rPr>
                <w:rFonts w:hint="eastAsia"/>
                <w:color w:val="000000"/>
                <w:kern w:val="0"/>
                <w:sz w:val="22"/>
              </w:rPr>
              <w:t>5</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0.030</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0.057</w:t>
            </w:r>
            <w:r>
              <w:rPr>
                <w:rFonts w:hint="eastAsia"/>
                <w:color w:val="000000"/>
                <w:kern w:val="0"/>
                <w:sz w:val="22"/>
              </w:rPr>
              <w:t>0</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9</w:t>
            </w:r>
            <w:r>
              <w:rPr>
                <w:rFonts w:hint="eastAsia"/>
                <w:color w:val="000000"/>
                <w:kern w:val="0"/>
                <w:sz w:val="22"/>
              </w:rPr>
              <w:t>5.0</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rPr>
              <w:t>3</w:t>
            </w:r>
            <w:r>
              <w:rPr>
                <w:color w:val="000000"/>
                <w:kern w:val="0"/>
                <w:sz w:val="22"/>
              </w:rPr>
              <w:t>#</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w:t>
            </w:r>
            <w:r>
              <w:rPr>
                <w:rFonts w:hint="eastAsia"/>
                <w:color w:val="000000"/>
                <w:kern w:val="0"/>
                <w:sz w:val="22"/>
              </w:rPr>
              <w:t>0673</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rPr>
              <w:t>0.050</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rPr>
              <w:t>0.1203</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rPr>
              <w:t>106.0</w:t>
            </w:r>
          </w:p>
        </w:tc>
      </w:tr>
    </w:tbl>
    <w:p>
      <w:pPr>
        <w:ind w:firstLine="420" w:firstLineChars="200"/>
      </w:pPr>
      <w:r>
        <w:t>由表</w:t>
      </w:r>
      <w:r>
        <w:rPr>
          <w:rFonts w:hint="eastAsia"/>
          <w:lang w:val="en-US" w:eastAsia="zh-CN"/>
        </w:rPr>
        <w:t>10</w:t>
      </w:r>
      <w:r>
        <w:t>可知，回收率在</w:t>
      </w:r>
      <w:r>
        <w:rPr>
          <w:rFonts w:hint="eastAsia"/>
        </w:rPr>
        <w:t>95.0%~106.0%</w:t>
      </w:r>
      <w:r>
        <w:t>之间，</w:t>
      </w:r>
      <w:r>
        <w:rPr>
          <w:rFonts w:hint="eastAsia"/>
        </w:rPr>
        <w:t>回收率</w:t>
      </w:r>
      <w:r>
        <w:t>结果满意。</w:t>
      </w:r>
    </w:p>
    <w:p>
      <w:pPr>
        <w:numPr>
          <w:ilvl w:val="0"/>
          <w:numId w:val="0"/>
        </w:numPr>
        <w:ind w:leftChars="0"/>
        <w:rPr>
          <w:rFonts w:hint="eastAsia"/>
          <w:lang w:val="en-US" w:eastAsia="zh-CN"/>
        </w:rPr>
      </w:pPr>
      <w:r>
        <w:rPr>
          <w:rFonts w:hint="eastAsia"/>
          <w:lang w:val="en-US" w:eastAsia="zh-CN"/>
        </w:rPr>
        <w:t>13.方法精密度</w:t>
      </w:r>
    </w:p>
    <w:p>
      <w:pPr>
        <w:pStyle w:val="264"/>
        <w:ind w:firstLine="420"/>
      </w:pPr>
      <w:r>
        <w:rPr>
          <w:rFonts w:hint="eastAsia"/>
        </w:rPr>
        <w:t>为了考察本方法的精密度，对1#、2#、3#、</w:t>
      </w:r>
      <w:r>
        <w:rPr>
          <w:rFonts w:hint="eastAsia"/>
          <w:lang w:val="en-US" w:eastAsia="zh-CN"/>
        </w:rPr>
        <w:t>4</w:t>
      </w:r>
      <w:r>
        <w:rPr>
          <w:rFonts w:hint="eastAsia"/>
        </w:rPr>
        <w:t>#</w:t>
      </w:r>
      <w:r>
        <w:rPr>
          <w:rFonts w:hint="eastAsia"/>
          <w:lang w:eastAsia="zh-CN"/>
        </w:rPr>
        <w:t>、</w:t>
      </w:r>
      <w:r>
        <w:rPr>
          <w:rFonts w:hint="eastAsia"/>
          <w:lang w:val="en-US" w:eastAsia="zh-CN"/>
        </w:rPr>
        <w:t>5#</w:t>
      </w:r>
      <w:r>
        <w:rPr>
          <w:rFonts w:hint="eastAsia"/>
        </w:rPr>
        <w:t>统一样品分别进行了11次重复测定，统计平均值和相对标准偏差，结果见数据统计报告。</w:t>
      </w:r>
    </w:p>
    <w:p>
      <w:pPr>
        <w:spacing w:line="220" w:lineRule="exact"/>
        <w:ind w:firstLine="360" w:firstLineChars="200"/>
        <w:jc w:val="center"/>
        <w:rPr>
          <w:rFonts w:ascii="宋体" w:hAnsi="宋体" w:cs="宋体"/>
          <w:sz w:val="18"/>
          <w:szCs w:val="18"/>
        </w:rPr>
      </w:pPr>
      <w:r>
        <w:rPr>
          <w:rFonts w:hint="eastAsia" w:ascii="宋体" w:hAnsi="宋体" w:cs="宋体"/>
          <w:sz w:val="18"/>
          <w:szCs w:val="18"/>
        </w:rPr>
        <w:t xml:space="preserve">                                                                                                                                                        </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试验验证的分析及预期的经济效果</w:t>
      </w:r>
    </w:p>
    <w:p>
      <w:pPr>
        <w:pStyle w:val="120"/>
        <w:numPr>
          <w:ilvl w:val="255"/>
          <w:numId w:val="0"/>
        </w:numPr>
        <w:tabs>
          <w:tab w:val="clear" w:pos="675"/>
        </w:tabs>
        <w:spacing w:before="156" w:beforeLines="50" w:after="156" w:afterLines="50"/>
        <w:jc w:val="left"/>
        <w:rPr>
          <w:rFonts w:ascii="宋体" w:hAnsi="宋体" w:eastAsia="宋体" w:cs="宋体"/>
        </w:rPr>
      </w:pPr>
      <w:r>
        <w:rPr>
          <w:rFonts w:hint="eastAsia" w:ascii="宋体" w:hAnsi="宋体" w:eastAsia="宋体" w:cs="宋体"/>
        </w:rPr>
        <w:t>1.数据汇总处理分析</w:t>
      </w:r>
    </w:p>
    <w:p>
      <w:pPr>
        <w:spacing w:before="156" w:beforeLines="50" w:after="156" w:afterLines="50"/>
        <w:jc w:val="left"/>
        <w:rPr>
          <w:rFonts w:ascii="宋体" w:hAnsi="宋体" w:cs="宋体"/>
        </w:rPr>
      </w:pPr>
      <w:r>
        <w:rPr>
          <w:rFonts w:hint="eastAsia" w:ascii="宋体" w:hAnsi="宋体" w:cs="宋体"/>
        </w:rPr>
        <w:t>1.1原始数据统计和检验</w:t>
      </w:r>
    </w:p>
    <w:p>
      <w:pPr>
        <w:spacing w:before="156" w:beforeLines="50" w:after="156" w:afterLines="50"/>
        <w:ind w:firstLine="420" w:firstLineChars="200"/>
        <w:jc w:val="left"/>
        <w:rPr>
          <w:rFonts w:ascii="宋体" w:hAnsi="宋体" w:cs="宋体"/>
        </w:rPr>
      </w:pPr>
      <w:r>
        <w:rPr>
          <w:rFonts w:hint="eastAsia" w:ascii="宋体" w:hAnsi="宋体" w:cs="宋体"/>
        </w:rPr>
        <w:t>主起草单位对各试验室内数据进行了均值、标准偏差和相对标准偏差的统计，并就各试验室内数据和试验室间均值进行了格拉布斯检验以及实验室间数据等精度检验（柯克伦检验）。试验数据统计和检验结果见数据统计报告（带*数据为离群数据）。</w:t>
      </w:r>
    </w:p>
    <w:p>
      <w:pPr>
        <w:spacing w:before="156" w:beforeLines="50" w:after="156" w:afterLines="50"/>
        <w:jc w:val="left"/>
        <w:rPr>
          <w:rFonts w:ascii="宋体" w:hAnsi="宋体" w:cs="宋体"/>
        </w:rPr>
      </w:pPr>
      <w:r>
        <w:rPr>
          <w:rFonts w:hint="eastAsia" w:ascii="宋体" w:hAnsi="宋体" w:cs="宋体"/>
        </w:rPr>
        <w:t>1.2对于岐离和离群数据的分析</w:t>
      </w:r>
    </w:p>
    <w:p>
      <w:pPr>
        <w:spacing w:before="156" w:beforeLines="50" w:after="156" w:afterLines="50"/>
        <w:ind w:firstLine="420"/>
        <w:jc w:val="left"/>
        <w:rPr>
          <w:rFonts w:cs="宋体"/>
          <w:szCs w:val="21"/>
        </w:rPr>
      </w:pPr>
      <w:r>
        <w:rPr>
          <w:rFonts w:hint="eastAsia" w:cs="宋体"/>
          <w:szCs w:val="21"/>
        </w:rPr>
        <w:t>试验数据取舍在统计学基础上还应符合化学分析特点，对于岐离和离群数据是否留用，试验采取的判断方式：</w:t>
      </w:r>
    </w:p>
    <w:p>
      <w:pPr>
        <w:spacing w:before="156" w:beforeLines="50" w:after="156" w:afterLines="50"/>
        <w:ind w:firstLine="420"/>
        <w:jc w:val="left"/>
        <w:rPr>
          <w:rFonts w:cs="宋体"/>
          <w:szCs w:val="21"/>
        </w:rPr>
      </w:pPr>
      <w:r>
        <w:rPr>
          <w:rFonts w:hint="eastAsia" w:cs="宋体"/>
          <w:szCs w:val="21"/>
        </w:rPr>
        <w:t>参照GB/T 6379.2-2004测量方法与结果的准确度（正确度与精密度）第2部分：确定标准测量方法重复性与再现性的基本方法，先进行柯克伦检验，对于检验为岐离的数据进行保留，对于离群的数据进行剔除。当最大标准差经检验判断为离群值后，将其进行剔除，对剩下的数据再次进行柯克伦检验。再进行格拉布斯检验，对于检验为岐离的数据进行保留，对于离群的数据进行剔除。当最大或最小的平均值经检验为离群值，则将其剔除，对剩下的平均值重复进行检验。</w:t>
      </w:r>
    </w:p>
    <w:p>
      <w:pPr>
        <w:spacing w:before="156" w:beforeLines="50" w:after="156" w:afterLines="50"/>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156" w:afterLines="50"/>
        <w:jc w:val="left"/>
        <w:rPr>
          <w:rFonts w:ascii="宋体" w:hAnsi="宋体" w:cs="宋体"/>
        </w:rPr>
      </w:pPr>
      <w:r>
        <w:rPr>
          <w:rFonts w:hint="eastAsia" w:ascii="宋体" w:hAnsi="宋体" w:cs="宋体"/>
        </w:rPr>
        <w:t>1.3 重复性限和再现性限计算</w:t>
      </w:r>
    </w:p>
    <w:p>
      <w:pPr>
        <w:spacing w:before="156" w:beforeLines="50" w:after="156" w:afterLines="50"/>
        <w:ind w:firstLine="420" w:firstLineChars="200"/>
        <w:jc w:val="left"/>
        <w:rPr>
          <w:rFonts w:ascii="宋体" w:hAnsi="宋体" w:cs="宋体"/>
        </w:rPr>
      </w:pPr>
      <w:r>
        <w:rPr>
          <w:rFonts w:hint="eastAsia" w:ascii="宋体" w:hAnsi="宋体" w:cs="宋体"/>
        </w:rPr>
        <w:t>试验对</w:t>
      </w:r>
      <w:r>
        <w:rPr>
          <w:rFonts w:hint="eastAsia" w:ascii="宋体" w:hAnsi="宋体" w:cs="宋体"/>
          <w:lang w:val="en-US" w:eastAsia="zh-CN"/>
        </w:rPr>
        <w:t>稀土氧化物、离子型稀土矿混合稀土氧化物5</w:t>
      </w:r>
      <w:r>
        <w:rPr>
          <w:rFonts w:hint="eastAsia" w:ascii="宋体" w:hAnsi="宋体" w:cs="宋体"/>
        </w:rPr>
        <w:t>个水平样品所有保留数据进行了重复性限和再现性限计算，计算结果见数据统计报告。</w:t>
      </w:r>
    </w:p>
    <w:p>
      <w:pPr>
        <w:widowControl/>
        <w:wordWrap w:val="0"/>
        <w:adjustRightInd w:val="0"/>
        <w:snapToGrid w:val="0"/>
        <w:spacing w:before="156" w:beforeLines="50" w:after="156" w:afterLines="50" w:line="360" w:lineRule="auto"/>
        <w:rPr>
          <w:rFonts w:ascii="宋体" w:hAnsi="宋体" w:cs="宋体"/>
          <w:kern w:val="0"/>
          <w:szCs w:val="22"/>
        </w:rPr>
      </w:pPr>
      <w:r>
        <w:rPr>
          <w:rFonts w:ascii="宋体" w:hAnsi="宋体" w:cs="宋体"/>
          <w:kern w:val="0"/>
          <w:szCs w:val="22"/>
        </w:rPr>
        <w:t>2.</w:t>
      </w:r>
      <w:r>
        <w:rPr>
          <w:rFonts w:hint="eastAsia" w:ascii="宋体" w:hAnsi="宋体" w:cs="宋体"/>
          <w:kern w:val="0"/>
          <w:szCs w:val="22"/>
        </w:rPr>
        <w:t>预期的经济效果</w:t>
      </w:r>
    </w:p>
    <w:p>
      <w:pPr>
        <w:widowControl/>
        <w:ind w:firstLine="420"/>
        <w:jc w:val="left"/>
        <w:rPr>
          <w:rFonts w:ascii="宋体" w:hAnsi="宋体" w:cs="宋体"/>
          <w:szCs w:val="21"/>
        </w:rPr>
      </w:pPr>
      <w:r>
        <w:rPr>
          <w:rFonts w:hint="eastAsia" w:ascii="宋体" w:hAnsi="宋体" w:cs="宋体"/>
          <w:szCs w:val="21"/>
        </w:rPr>
        <w:t>标准实施后，将应用到整个离子型稀土矿的开采、贸易及回收利用等过程中，应用前景良好，并会产生较好的社会效益和经济效益：</w:t>
      </w:r>
    </w:p>
    <w:p>
      <w:pPr>
        <w:widowControl/>
        <w:ind w:firstLine="420"/>
        <w:jc w:val="left"/>
        <w:rPr>
          <w:rFonts w:ascii="宋体" w:hAnsi="宋体" w:cs="宋体"/>
          <w:szCs w:val="21"/>
        </w:rPr>
      </w:pPr>
      <w:r>
        <w:rPr>
          <w:rFonts w:hint="eastAsia" w:ascii="宋体" w:hAnsi="宋体" w:cs="宋体"/>
          <w:szCs w:val="21"/>
        </w:rPr>
        <w:t>（1）标准的实施将为生产、使用、贸易三方提供最基本的技术依据，在本标准的基础之上使三方达成共识，有利于产品的质量控制和产品升级，使后续使用方高效率、低消耗地使用该产品；</w:t>
      </w:r>
    </w:p>
    <w:p>
      <w:pPr>
        <w:widowControl/>
        <w:ind w:firstLine="420"/>
        <w:jc w:val="left"/>
        <w:rPr>
          <w:rFonts w:ascii="宋体" w:hAnsi="宋体" w:cs="宋体"/>
          <w:szCs w:val="21"/>
        </w:rPr>
      </w:pPr>
      <w:r>
        <w:rPr>
          <w:rFonts w:hint="eastAsia" w:ascii="宋体" w:hAnsi="宋体" w:cs="宋体"/>
          <w:szCs w:val="21"/>
        </w:rPr>
        <w:t>（2）标准的实施为稀土贸易提供仲裁的依据，有利于市场公平交易环境的形成，能够更好地促进市场的规范化。</w:t>
      </w:r>
    </w:p>
    <w:p>
      <w:pPr>
        <w:widowControl/>
        <w:ind w:firstLine="420"/>
        <w:jc w:val="left"/>
        <w:rPr>
          <w:rFonts w:ascii="宋体" w:hAnsi="宋体" w:cs="宋体"/>
          <w:szCs w:val="21"/>
        </w:rPr>
      </w:pPr>
      <w:r>
        <w:rPr>
          <w:rFonts w:hint="eastAsia" w:ascii="宋体" w:hAnsi="宋体" w:cs="宋体"/>
          <w:szCs w:val="21"/>
        </w:rPr>
        <w:t>（3）标准的实施将进一步完善</w:t>
      </w:r>
      <w:r>
        <w:rPr>
          <w:rFonts w:hint="eastAsia" w:ascii="宋体" w:hAnsi="宋体" w:cs="宋体"/>
          <w:szCs w:val="21"/>
          <w:lang w:eastAsia="zh-CN"/>
        </w:rPr>
        <w:t>《</w:t>
      </w:r>
      <w:r>
        <w:rPr>
          <w:rFonts w:hint="eastAsia" w:ascii="宋体" w:hAnsi="宋体" w:cs="宋体"/>
          <w:szCs w:val="21"/>
          <w:lang w:val="en-US" w:eastAsia="zh-CN"/>
        </w:rPr>
        <w:t>稀土金属及其氧化物中非稀土杂质</w:t>
      </w:r>
      <w:r>
        <w:rPr>
          <w:rFonts w:hint="eastAsia" w:ascii="宋体" w:hAnsi="宋体" w:cs="宋体"/>
          <w:szCs w:val="21"/>
        </w:rPr>
        <w:t>化学分析方法</w:t>
      </w:r>
      <w:r>
        <w:rPr>
          <w:rFonts w:hint="eastAsia" w:ascii="宋体" w:hAnsi="宋体" w:cs="宋体"/>
          <w:szCs w:val="21"/>
          <w:lang w:eastAsia="zh-CN"/>
        </w:rPr>
        <w:t>》</w:t>
      </w:r>
      <w:r>
        <w:rPr>
          <w:rFonts w:hint="eastAsia" w:ascii="宋体" w:hAnsi="宋体" w:cs="宋体"/>
          <w:szCs w:val="21"/>
        </w:rPr>
        <w:t>的标准体系，与现行的《</w:t>
      </w:r>
      <w:r>
        <w:rPr>
          <w:rFonts w:hint="eastAsia" w:ascii="宋体" w:hAnsi="宋体" w:cs="宋体"/>
          <w:szCs w:val="21"/>
          <w:lang w:val="en-US" w:eastAsia="zh-CN"/>
        </w:rPr>
        <w:t>稀土金属及其氧化物中非稀土杂质</w:t>
      </w:r>
      <w:r>
        <w:rPr>
          <w:rFonts w:hint="eastAsia" w:ascii="宋体" w:hAnsi="宋体" w:cs="宋体"/>
          <w:szCs w:val="21"/>
        </w:rPr>
        <w:t>化学分析方法》形成一套完整规范的国家标准系列，为推动中国稀土产业的规范有序稳步发展提供技术支撑。</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与国际、国外同类标准技术内容的对比</w:t>
      </w:r>
    </w:p>
    <w:p>
      <w:pPr>
        <w:widowControl/>
        <w:numPr>
          <w:ilvl w:val="255"/>
          <w:numId w:val="0"/>
        </w:numPr>
        <w:spacing w:before="156" w:beforeLines="50" w:after="156" w:afterLines="50"/>
        <w:ind w:firstLine="420" w:firstLineChars="200"/>
        <w:rPr>
          <w:rFonts w:ascii="宋体" w:hAnsi="宋体" w:cs="宋体"/>
        </w:rPr>
      </w:pPr>
      <w:r>
        <w:rPr>
          <w:rFonts w:hint="eastAsia" w:ascii="宋体" w:hAnsi="宋体" w:cs="宋体"/>
        </w:rPr>
        <w:t>国内、国外尚未见</w:t>
      </w:r>
      <w:r>
        <w:rPr>
          <w:rFonts w:hint="eastAsia" w:ascii="宋体" w:hAnsi="宋体" w:cs="宋体"/>
          <w:lang w:val="en-US" w:eastAsia="zh-CN"/>
        </w:rPr>
        <w:t>稀土氧化物及离子型稀土矿混合稀土氧化物中硫酸根含量</w:t>
      </w:r>
      <w:r>
        <w:rPr>
          <w:rFonts w:hint="eastAsia" w:ascii="宋体" w:hAnsi="宋体" w:cs="宋体"/>
        </w:rPr>
        <w:t>的分析方法标准。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采标情况，以及是否合规引用或采用国际国外标准</w:t>
      </w:r>
    </w:p>
    <w:p>
      <w:pPr>
        <w:widowControl/>
        <w:spacing w:before="156" w:beforeLines="50" w:after="156" w:afterLines="50"/>
        <w:ind w:firstLine="420" w:firstLineChars="200"/>
        <w:jc w:val="left"/>
        <w:rPr>
          <w:rFonts w:ascii="宋体" w:hAnsi="宋体" w:cs="宋体"/>
        </w:rPr>
      </w:pPr>
      <w:r>
        <w:rPr>
          <w:rFonts w:hint="eastAsia" w:ascii="宋体" w:hAnsi="宋体" w:cs="宋体"/>
        </w:rPr>
        <w:t>经查，国外无相同类型的标准。本标准未采用（包括等同采用、修改采用及非等效采用）国际标准或国外先进标准。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与有关法律、法规的关系</w:t>
      </w:r>
    </w:p>
    <w:p>
      <w:pPr>
        <w:spacing w:before="156" w:beforeLines="50" w:after="156" w:afterLines="50"/>
        <w:ind w:firstLine="420" w:firstLineChars="200"/>
        <w:jc w:val="left"/>
        <w:rPr>
          <w:rFonts w:ascii="宋体" w:hAnsi="宋体" w:cs="宋体"/>
        </w:rPr>
      </w:pPr>
      <w:r>
        <w:rPr>
          <w:rFonts w:hint="eastAsia" w:hAnsi="宋体"/>
        </w:rPr>
        <w:t>本标准与现行法律、法规和相关标准相协调、无冲突</w:t>
      </w:r>
      <w:r>
        <w:rPr>
          <w:rFonts w:hint="eastAsia" w:ascii="宋体" w:hAnsi="宋体" w:cs="宋体"/>
        </w:rPr>
        <w:t>。</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重大分歧意见的处理和依据</w:t>
      </w:r>
    </w:p>
    <w:p>
      <w:pPr>
        <w:rPr>
          <w:rFonts w:ascii="宋体" w:hAnsi="宋体" w:cs="宋体"/>
          <w:bCs/>
          <w:sz w:val="24"/>
        </w:rPr>
      </w:pPr>
      <w:r>
        <w:rPr>
          <w:rFonts w:hint="eastAsia" w:ascii="宋体" w:hAnsi="宋体" w:cs="宋体"/>
          <w:bCs/>
          <w:sz w:val="24"/>
        </w:rPr>
        <w:tab/>
      </w:r>
      <w:r>
        <w:rPr>
          <w:rFonts w:hint="eastAsia" w:ascii="宋体" w:hAnsi="宋体" w:cs="宋体"/>
          <w:bCs/>
          <w:sz w:val="24"/>
        </w:rPr>
        <w:t>无。</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涉及专利的有关说明</w:t>
      </w:r>
    </w:p>
    <w:p>
      <w:pPr>
        <w:pStyle w:val="121"/>
        <w:tabs>
          <w:tab w:val="center" w:pos="4201"/>
          <w:tab w:val="right" w:leader="dot" w:pos="9298"/>
        </w:tabs>
        <w:ind w:firstLine="420"/>
        <w:rPr>
          <w:rFonts w:cs="宋体"/>
        </w:rPr>
      </w:pPr>
      <w:r>
        <w:rPr>
          <w:rFonts w:hint="eastAsia"/>
        </w:rPr>
        <w:t>本标准不涉及专利问题</w:t>
      </w:r>
      <w:r>
        <w:rPr>
          <w:rFonts w:hint="eastAsia" w:cs="宋体"/>
        </w:rPr>
        <w:t>。</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贯彻国家标准的要求，以及组织措施、技术措施、过渡期和实施日期的建议等措施建议</w:t>
      </w:r>
    </w:p>
    <w:p>
      <w:pPr>
        <w:ind w:firstLine="420" w:firstLineChars="200"/>
        <w:jc w:val="left"/>
        <w:rPr>
          <w:rFonts w:ascii="宋体" w:hAnsi="宋体" w:cs="宋体"/>
          <w:sz w:val="24"/>
        </w:rPr>
      </w:pPr>
      <w:r>
        <w:rPr>
          <w:rFonts w:hint="eastAsia" w:ascii="宋体" w:hAnsi="宋体" w:cs="宋体"/>
        </w:rPr>
        <w:t>本标准实施后</w:t>
      </w:r>
      <w:r>
        <w:rPr>
          <w:rFonts w:hint="eastAsia" w:ascii="宋体" w:hAnsi="宋体" w:cs="宋体"/>
          <w:kern w:val="0"/>
          <w:szCs w:val="20"/>
        </w:rPr>
        <w:t>建议分离企业有以及检测单位积极组织本标准的学习与宣贯，可向企业、公司和科研院校（所）推荐本标准。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其他应当说明的事项</w:t>
      </w:r>
    </w:p>
    <w:p>
      <w:pPr>
        <w:pStyle w:val="121"/>
        <w:ind w:firstLine="420"/>
        <w:jc w:val="left"/>
        <w:rPr>
          <w:rFonts w:cs="宋体"/>
          <w:szCs w:val="21"/>
        </w:rPr>
      </w:pPr>
      <w:r>
        <w:rPr>
          <w:rFonts w:hint="eastAsia" w:cs="宋体"/>
        </w:rPr>
        <w:t>无</w:t>
      </w:r>
    </w:p>
    <w:sectPr>
      <w:footerReference r:id="rId3" w:type="default"/>
      <w:pgSz w:w="11906" w:h="16838"/>
      <w:pgMar w:top="1134" w:right="850" w:bottom="1213" w:left="850"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949B7B"/>
    <w:multiLevelType w:val="singleLevel"/>
    <w:tmpl w:val="00949B7B"/>
    <w:lvl w:ilvl="0" w:tentative="0">
      <w:start w:val="1"/>
      <w:numFmt w:val="decimal"/>
      <w:lvlText w:val="%1."/>
      <w:lvlJc w:val="left"/>
      <w:pPr>
        <w:tabs>
          <w:tab w:val="left" w:pos="312"/>
        </w:tabs>
      </w:pPr>
    </w:lvl>
  </w:abstractNum>
  <w:abstractNum w:abstractNumId="3">
    <w:nsid w:val="3DAA67E8"/>
    <w:multiLevelType w:val="multilevel"/>
    <w:tmpl w:val="3DAA67E8"/>
    <w:lvl w:ilvl="0" w:tentative="0">
      <w:start w:val="2"/>
      <w:numFmt w:val="decimal"/>
      <w:lvlText w:val="%1."/>
      <w:lvlJc w:val="left"/>
      <w:pPr>
        <w:ind w:left="360" w:hanging="360"/>
      </w:pPr>
      <w:rPr>
        <w:rFonts w:hint="default"/>
      </w:rPr>
    </w:lvl>
    <w:lvl w:ilvl="1" w:tentative="0">
      <w:start w:val="4"/>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B623AB"/>
    <w:rsid w:val="00000843"/>
    <w:rsid w:val="000046B0"/>
    <w:rsid w:val="00006A40"/>
    <w:rsid w:val="00010180"/>
    <w:rsid w:val="00012DB2"/>
    <w:rsid w:val="00014853"/>
    <w:rsid w:val="0002096F"/>
    <w:rsid w:val="00022FF0"/>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36E8"/>
    <w:rsid w:val="00333F1C"/>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90EBF"/>
    <w:rsid w:val="00793842"/>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5D21"/>
    <w:rsid w:val="008260E1"/>
    <w:rsid w:val="0082615F"/>
    <w:rsid w:val="00826C6B"/>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75A1"/>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76FA"/>
    <w:rsid w:val="00A97C9F"/>
    <w:rsid w:val="00AA2645"/>
    <w:rsid w:val="00AA265A"/>
    <w:rsid w:val="00AA540B"/>
    <w:rsid w:val="00AB10A7"/>
    <w:rsid w:val="00AB171A"/>
    <w:rsid w:val="00AB3DEB"/>
    <w:rsid w:val="00AB640E"/>
    <w:rsid w:val="00AC1627"/>
    <w:rsid w:val="00AC20AF"/>
    <w:rsid w:val="00AC475D"/>
    <w:rsid w:val="00AC5F01"/>
    <w:rsid w:val="00AC75C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7FC"/>
    <w:rsid w:val="00C44821"/>
    <w:rsid w:val="00C519FD"/>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E767F"/>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B3E"/>
    <w:rsid w:val="00E4003F"/>
    <w:rsid w:val="00E45521"/>
    <w:rsid w:val="00E50610"/>
    <w:rsid w:val="00E50944"/>
    <w:rsid w:val="00E51658"/>
    <w:rsid w:val="00E5171B"/>
    <w:rsid w:val="00E51966"/>
    <w:rsid w:val="00E52C95"/>
    <w:rsid w:val="00E55128"/>
    <w:rsid w:val="00E5542E"/>
    <w:rsid w:val="00E60000"/>
    <w:rsid w:val="00E72C54"/>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595B"/>
    <w:rsid w:val="00FF6D53"/>
    <w:rsid w:val="00FF7B8D"/>
    <w:rsid w:val="011C7FAB"/>
    <w:rsid w:val="01842B3A"/>
    <w:rsid w:val="04913321"/>
    <w:rsid w:val="058C526E"/>
    <w:rsid w:val="060A6EE3"/>
    <w:rsid w:val="06A93FEB"/>
    <w:rsid w:val="06B24EDC"/>
    <w:rsid w:val="073128B1"/>
    <w:rsid w:val="07E93EC3"/>
    <w:rsid w:val="084E1AF7"/>
    <w:rsid w:val="08966833"/>
    <w:rsid w:val="08BC2A1A"/>
    <w:rsid w:val="095F574B"/>
    <w:rsid w:val="0992428F"/>
    <w:rsid w:val="0A031966"/>
    <w:rsid w:val="0AC559ED"/>
    <w:rsid w:val="0AFE3D2C"/>
    <w:rsid w:val="0B6C35CB"/>
    <w:rsid w:val="0BDA4013"/>
    <w:rsid w:val="0C1657D8"/>
    <w:rsid w:val="0C3F7BB0"/>
    <w:rsid w:val="0CA8467D"/>
    <w:rsid w:val="0D320BEF"/>
    <w:rsid w:val="0D4A2684"/>
    <w:rsid w:val="0E975E77"/>
    <w:rsid w:val="0F0E7141"/>
    <w:rsid w:val="0FEA16FB"/>
    <w:rsid w:val="10314F56"/>
    <w:rsid w:val="10656AF9"/>
    <w:rsid w:val="10E30D57"/>
    <w:rsid w:val="113917C7"/>
    <w:rsid w:val="115501D0"/>
    <w:rsid w:val="119757EE"/>
    <w:rsid w:val="11BA6255"/>
    <w:rsid w:val="11E3277B"/>
    <w:rsid w:val="11ED58D9"/>
    <w:rsid w:val="122450F7"/>
    <w:rsid w:val="1241393D"/>
    <w:rsid w:val="12CA41C9"/>
    <w:rsid w:val="138D3E23"/>
    <w:rsid w:val="141B3D7E"/>
    <w:rsid w:val="14DB6602"/>
    <w:rsid w:val="14E76398"/>
    <w:rsid w:val="15C7654C"/>
    <w:rsid w:val="1630041B"/>
    <w:rsid w:val="16472131"/>
    <w:rsid w:val="16856C77"/>
    <w:rsid w:val="17385A95"/>
    <w:rsid w:val="174F2A96"/>
    <w:rsid w:val="1773503E"/>
    <w:rsid w:val="181D3326"/>
    <w:rsid w:val="18D50E27"/>
    <w:rsid w:val="19534EA1"/>
    <w:rsid w:val="1A177C84"/>
    <w:rsid w:val="1A552CDE"/>
    <w:rsid w:val="1BC3459F"/>
    <w:rsid w:val="1D3C79DD"/>
    <w:rsid w:val="1D5A6425"/>
    <w:rsid w:val="1D7F5CBB"/>
    <w:rsid w:val="1E195881"/>
    <w:rsid w:val="1E1C6172"/>
    <w:rsid w:val="1E2124C4"/>
    <w:rsid w:val="1E8E7D9A"/>
    <w:rsid w:val="1EB2514F"/>
    <w:rsid w:val="1EE54E53"/>
    <w:rsid w:val="1F24272B"/>
    <w:rsid w:val="1FAB2A10"/>
    <w:rsid w:val="1FC87D11"/>
    <w:rsid w:val="20A222A4"/>
    <w:rsid w:val="20BE4F05"/>
    <w:rsid w:val="20F51202"/>
    <w:rsid w:val="20FE15E2"/>
    <w:rsid w:val="21011F09"/>
    <w:rsid w:val="213E2CCB"/>
    <w:rsid w:val="2151590B"/>
    <w:rsid w:val="21C92553"/>
    <w:rsid w:val="22114BAB"/>
    <w:rsid w:val="225C561F"/>
    <w:rsid w:val="22A968D1"/>
    <w:rsid w:val="23B94B80"/>
    <w:rsid w:val="23DB68DC"/>
    <w:rsid w:val="24537D32"/>
    <w:rsid w:val="2456413E"/>
    <w:rsid w:val="24BF5EBF"/>
    <w:rsid w:val="24EE1B79"/>
    <w:rsid w:val="24F52A83"/>
    <w:rsid w:val="253C3391"/>
    <w:rsid w:val="254209B4"/>
    <w:rsid w:val="26106EC1"/>
    <w:rsid w:val="26802F3F"/>
    <w:rsid w:val="26817FE1"/>
    <w:rsid w:val="26B25179"/>
    <w:rsid w:val="275D49CF"/>
    <w:rsid w:val="2765311F"/>
    <w:rsid w:val="27694E3C"/>
    <w:rsid w:val="278A3CD8"/>
    <w:rsid w:val="27BC4B60"/>
    <w:rsid w:val="291F738B"/>
    <w:rsid w:val="299652E5"/>
    <w:rsid w:val="2A050C55"/>
    <w:rsid w:val="2A101862"/>
    <w:rsid w:val="2A34570C"/>
    <w:rsid w:val="2A626650"/>
    <w:rsid w:val="2A7C2252"/>
    <w:rsid w:val="2CAD06D8"/>
    <w:rsid w:val="2D170F8C"/>
    <w:rsid w:val="2D4B61E9"/>
    <w:rsid w:val="2E000C64"/>
    <w:rsid w:val="2E0912F8"/>
    <w:rsid w:val="2E0D1473"/>
    <w:rsid w:val="2F182EB9"/>
    <w:rsid w:val="2F8F18E7"/>
    <w:rsid w:val="300C7F94"/>
    <w:rsid w:val="30302EE7"/>
    <w:rsid w:val="305A5EBF"/>
    <w:rsid w:val="31305C6A"/>
    <w:rsid w:val="314D2D73"/>
    <w:rsid w:val="317B6345"/>
    <w:rsid w:val="317F0E37"/>
    <w:rsid w:val="31D76240"/>
    <w:rsid w:val="32E30F09"/>
    <w:rsid w:val="32FB0A45"/>
    <w:rsid w:val="3302144E"/>
    <w:rsid w:val="333C0319"/>
    <w:rsid w:val="334A26CA"/>
    <w:rsid w:val="33697E44"/>
    <w:rsid w:val="3422185A"/>
    <w:rsid w:val="34357460"/>
    <w:rsid w:val="351F5732"/>
    <w:rsid w:val="353C4B7E"/>
    <w:rsid w:val="35BD5166"/>
    <w:rsid w:val="35D80215"/>
    <w:rsid w:val="368E4767"/>
    <w:rsid w:val="36DB29B6"/>
    <w:rsid w:val="37063BC7"/>
    <w:rsid w:val="37F1281B"/>
    <w:rsid w:val="3A19397B"/>
    <w:rsid w:val="3A537A35"/>
    <w:rsid w:val="3AB16EBC"/>
    <w:rsid w:val="3BD7645B"/>
    <w:rsid w:val="3C0A47BB"/>
    <w:rsid w:val="3C575150"/>
    <w:rsid w:val="3C653863"/>
    <w:rsid w:val="3C851D09"/>
    <w:rsid w:val="3CC93B61"/>
    <w:rsid w:val="3D37386F"/>
    <w:rsid w:val="3E7915A6"/>
    <w:rsid w:val="3EEB53F5"/>
    <w:rsid w:val="3F2D206F"/>
    <w:rsid w:val="3FDA6E96"/>
    <w:rsid w:val="40554320"/>
    <w:rsid w:val="41560E63"/>
    <w:rsid w:val="415B2476"/>
    <w:rsid w:val="41E67BB9"/>
    <w:rsid w:val="42023214"/>
    <w:rsid w:val="428C5839"/>
    <w:rsid w:val="429D7011"/>
    <w:rsid w:val="43200C7F"/>
    <w:rsid w:val="43E45962"/>
    <w:rsid w:val="459E2CF6"/>
    <w:rsid w:val="45AD6DFE"/>
    <w:rsid w:val="45B25B50"/>
    <w:rsid w:val="463D0B60"/>
    <w:rsid w:val="46B00F72"/>
    <w:rsid w:val="482F4E62"/>
    <w:rsid w:val="48351379"/>
    <w:rsid w:val="489705DF"/>
    <w:rsid w:val="49316F50"/>
    <w:rsid w:val="4A3C75AB"/>
    <w:rsid w:val="4B9B2F87"/>
    <w:rsid w:val="4C787046"/>
    <w:rsid w:val="4C8476D9"/>
    <w:rsid w:val="4C9E6D4B"/>
    <w:rsid w:val="4CAB5AC9"/>
    <w:rsid w:val="4CCD7FCE"/>
    <w:rsid w:val="4CE0145C"/>
    <w:rsid w:val="4D597AF4"/>
    <w:rsid w:val="4DCD125C"/>
    <w:rsid w:val="4DCE1994"/>
    <w:rsid w:val="4E6B2C81"/>
    <w:rsid w:val="4FC50035"/>
    <w:rsid w:val="5099077D"/>
    <w:rsid w:val="510238DF"/>
    <w:rsid w:val="515063E7"/>
    <w:rsid w:val="5194179F"/>
    <w:rsid w:val="51BD0971"/>
    <w:rsid w:val="51E32A8A"/>
    <w:rsid w:val="523E7463"/>
    <w:rsid w:val="52A124B2"/>
    <w:rsid w:val="52A7651D"/>
    <w:rsid w:val="5392505B"/>
    <w:rsid w:val="53E26336"/>
    <w:rsid w:val="53F818D7"/>
    <w:rsid w:val="5420024B"/>
    <w:rsid w:val="54366A4D"/>
    <w:rsid w:val="54654585"/>
    <w:rsid w:val="549F321B"/>
    <w:rsid w:val="54DD2F24"/>
    <w:rsid w:val="55F30089"/>
    <w:rsid w:val="567F5C63"/>
    <w:rsid w:val="56B031B4"/>
    <w:rsid w:val="56BF726A"/>
    <w:rsid w:val="580D1C5B"/>
    <w:rsid w:val="58A9130C"/>
    <w:rsid w:val="58B87E2E"/>
    <w:rsid w:val="591D7EBC"/>
    <w:rsid w:val="595F3439"/>
    <w:rsid w:val="5993581A"/>
    <w:rsid w:val="599609DF"/>
    <w:rsid w:val="5A9B4926"/>
    <w:rsid w:val="5B9C273D"/>
    <w:rsid w:val="5CD113D9"/>
    <w:rsid w:val="5D0B5419"/>
    <w:rsid w:val="5DC44645"/>
    <w:rsid w:val="5E5575CC"/>
    <w:rsid w:val="5EAF150A"/>
    <w:rsid w:val="5EB752F0"/>
    <w:rsid w:val="5EEC1216"/>
    <w:rsid w:val="5F1C1758"/>
    <w:rsid w:val="5FE9583B"/>
    <w:rsid w:val="6028681C"/>
    <w:rsid w:val="60C25BC2"/>
    <w:rsid w:val="60CD11A8"/>
    <w:rsid w:val="60F00F42"/>
    <w:rsid w:val="61061D24"/>
    <w:rsid w:val="613701CA"/>
    <w:rsid w:val="618E2E12"/>
    <w:rsid w:val="626E2769"/>
    <w:rsid w:val="62AA4B8E"/>
    <w:rsid w:val="635A1338"/>
    <w:rsid w:val="638F38F3"/>
    <w:rsid w:val="63A027AE"/>
    <w:rsid w:val="640C0889"/>
    <w:rsid w:val="64180B9B"/>
    <w:rsid w:val="64D731ED"/>
    <w:rsid w:val="64DF3780"/>
    <w:rsid w:val="659C6720"/>
    <w:rsid w:val="659F008C"/>
    <w:rsid w:val="67EE657E"/>
    <w:rsid w:val="67F537B7"/>
    <w:rsid w:val="684C1DE3"/>
    <w:rsid w:val="68EB247A"/>
    <w:rsid w:val="69C40C04"/>
    <w:rsid w:val="6AD22450"/>
    <w:rsid w:val="6ADC1D19"/>
    <w:rsid w:val="6B7A105E"/>
    <w:rsid w:val="6C14448C"/>
    <w:rsid w:val="6C2219C9"/>
    <w:rsid w:val="6C252B29"/>
    <w:rsid w:val="6C7D4200"/>
    <w:rsid w:val="6CBE12B4"/>
    <w:rsid w:val="6CEB2A7E"/>
    <w:rsid w:val="6D42233D"/>
    <w:rsid w:val="6D6F49D4"/>
    <w:rsid w:val="6D8F236C"/>
    <w:rsid w:val="6DA971B3"/>
    <w:rsid w:val="6DD6793B"/>
    <w:rsid w:val="6E934421"/>
    <w:rsid w:val="6F4D336D"/>
    <w:rsid w:val="6FA431BE"/>
    <w:rsid w:val="6FD00582"/>
    <w:rsid w:val="6FDD1AA3"/>
    <w:rsid w:val="701B20D9"/>
    <w:rsid w:val="70B03A42"/>
    <w:rsid w:val="70E57BE1"/>
    <w:rsid w:val="714A315E"/>
    <w:rsid w:val="72122CF0"/>
    <w:rsid w:val="722A0CD0"/>
    <w:rsid w:val="72AC21C7"/>
    <w:rsid w:val="73114F22"/>
    <w:rsid w:val="73A2461B"/>
    <w:rsid w:val="73AD3C4B"/>
    <w:rsid w:val="747541BC"/>
    <w:rsid w:val="753016E1"/>
    <w:rsid w:val="759A2DF9"/>
    <w:rsid w:val="766A0042"/>
    <w:rsid w:val="76F270DB"/>
    <w:rsid w:val="775972A4"/>
    <w:rsid w:val="778E5270"/>
    <w:rsid w:val="78260ECC"/>
    <w:rsid w:val="784E5CDF"/>
    <w:rsid w:val="78750853"/>
    <w:rsid w:val="78DC13F0"/>
    <w:rsid w:val="79116D1B"/>
    <w:rsid w:val="79E70CA8"/>
    <w:rsid w:val="7AC33ABF"/>
    <w:rsid w:val="7B7801D8"/>
    <w:rsid w:val="7C5F41AB"/>
    <w:rsid w:val="7C8C2CA7"/>
    <w:rsid w:val="7D297FC6"/>
    <w:rsid w:val="7D680906"/>
    <w:rsid w:val="7DAB081D"/>
    <w:rsid w:val="7DC71F22"/>
    <w:rsid w:val="7E1E0092"/>
    <w:rsid w:val="7E523A45"/>
    <w:rsid w:val="7E5C7A06"/>
    <w:rsid w:val="7FA170DF"/>
    <w:rsid w:val="7FA8568A"/>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0"/>
    <w:rPr>
      <w:b/>
      <w:bCs/>
      <w:kern w:val="44"/>
      <w:sz w:val="44"/>
      <w:szCs w:val="44"/>
    </w:rPr>
  </w:style>
  <w:style w:type="character" w:customStyle="1" w:styleId="109">
    <w:name w:val="标题 2 Char"/>
    <w:basedOn w:val="90"/>
    <w:link w:val="4"/>
    <w:qFormat/>
    <w:uiPriority w:val="0"/>
    <w:rPr>
      <w:rFonts w:ascii="Arial" w:hAnsi="Arial" w:eastAsia="黑体"/>
      <w:b/>
      <w:bCs/>
      <w:kern w:val="2"/>
      <w:sz w:val="32"/>
      <w:szCs w:val="32"/>
    </w:rPr>
  </w:style>
  <w:style w:type="character" w:customStyle="1" w:styleId="110">
    <w:name w:val="标题 3 Char"/>
    <w:basedOn w:val="90"/>
    <w:link w:val="5"/>
    <w:qFormat/>
    <w:uiPriority w:val="0"/>
    <w:rPr>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qFormat/>
    <w:uiPriority w:val="0"/>
    <w:rPr>
      <w:kern w:val="2"/>
      <w:sz w:val="21"/>
      <w:szCs w:val="21"/>
    </w:rPr>
  </w:style>
  <w:style w:type="character" w:customStyle="1" w:styleId="123">
    <w:name w:val="页眉 Char"/>
    <w:basedOn w:val="90"/>
    <w:link w:val="57"/>
    <w:qFormat/>
    <w:uiPriority w:val="0"/>
    <w:rPr>
      <w:kern w:val="2"/>
      <w:sz w:val="18"/>
      <w:szCs w:val="24"/>
    </w:rPr>
  </w:style>
  <w:style w:type="character" w:customStyle="1" w:styleId="124">
    <w:name w:val="页脚 Char"/>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Char"/>
    <w:basedOn w:val="90"/>
    <w:link w:val="50"/>
    <w:qFormat/>
    <w:uiPriority w:val="0"/>
    <w:rPr>
      <w:kern w:val="2"/>
      <w:sz w:val="21"/>
      <w:szCs w:val="24"/>
    </w:rPr>
  </w:style>
  <w:style w:type="character" w:customStyle="1" w:styleId="132">
    <w:name w:val="HTML 预设格式 Char"/>
    <w:basedOn w:val="90"/>
    <w:link w:val="80"/>
    <w:qFormat/>
    <w:uiPriority w:val="99"/>
    <w:rPr>
      <w:rFonts w:ascii="宋体" w:hAnsi="宋体" w:cs="宋体"/>
      <w:sz w:val="24"/>
      <w:szCs w:val="24"/>
    </w:rPr>
  </w:style>
  <w:style w:type="character" w:customStyle="1" w:styleId="133">
    <w:name w:val="纯文本 Char"/>
    <w:basedOn w:val="90"/>
    <w:link w:val="45"/>
    <w:qFormat/>
    <w:uiPriority w:val="0"/>
    <w:rPr>
      <w:rFonts w:ascii="宋体" w:hAnsi="Courier New" w:cs="Courier New"/>
      <w:kern w:val="2"/>
      <w:sz w:val="21"/>
      <w:szCs w:val="21"/>
    </w:rPr>
  </w:style>
  <w:style w:type="character" w:customStyle="1" w:styleId="134">
    <w:name w:val="批注主题 Char"/>
    <w:basedOn w:val="122"/>
    <w:link w:val="85"/>
    <w:qFormat/>
    <w:uiPriority w:val="0"/>
    <w:rPr>
      <w:b/>
      <w:bCs/>
      <w:kern w:val="2"/>
      <w:sz w:val="21"/>
      <w:szCs w:val="24"/>
    </w:rPr>
  </w:style>
  <w:style w:type="character" w:customStyle="1" w:styleId="135">
    <w:name w:val="批注框文本 Char"/>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0"/>
    <w:link w:val="2"/>
    <w:qFormat/>
    <w:uiPriority w:val="0"/>
    <w:rPr>
      <w:rFonts w:ascii="Courier New" w:hAnsi="Courier New" w:cs="Courier New"/>
      <w:kern w:val="2"/>
      <w:sz w:val="24"/>
      <w:szCs w:val="24"/>
    </w:rPr>
  </w:style>
  <w:style w:type="character" w:customStyle="1" w:styleId="155">
    <w:name w:val="正文文本 Char"/>
    <w:basedOn w:val="90"/>
    <w:link w:val="34"/>
    <w:qFormat/>
    <w:uiPriority w:val="0"/>
    <w:rPr>
      <w:kern w:val="2"/>
      <w:sz w:val="21"/>
      <w:szCs w:val="24"/>
    </w:rPr>
  </w:style>
  <w:style w:type="character" w:customStyle="1" w:styleId="156">
    <w:name w:val="正文首行缩进 Char"/>
    <w:basedOn w:val="155"/>
    <w:link w:val="86"/>
    <w:qFormat/>
    <w:uiPriority w:val="0"/>
    <w:rPr>
      <w:kern w:val="2"/>
      <w:sz w:val="21"/>
      <w:szCs w:val="24"/>
    </w:rPr>
  </w:style>
  <w:style w:type="character" w:customStyle="1" w:styleId="157">
    <w:name w:val="正文文本缩进 Char"/>
    <w:basedOn w:val="90"/>
    <w:link w:val="35"/>
    <w:qFormat/>
    <w:uiPriority w:val="0"/>
    <w:rPr>
      <w:kern w:val="2"/>
      <w:sz w:val="21"/>
      <w:szCs w:val="24"/>
    </w:rPr>
  </w:style>
  <w:style w:type="character" w:customStyle="1" w:styleId="158">
    <w:name w:val="正文首行缩进 2 Char"/>
    <w:basedOn w:val="157"/>
    <w:link w:val="87"/>
    <w:qFormat/>
    <w:uiPriority w:val="0"/>
    <w:rPr>
      <w:kern w:val="2"/>
      <w:sz w:val="21"/>
      <w:szCs w:val="24"/>
    </w:rPr>
  </w:style>
  <w:style w:type="character" w:customStyle="1" w:styleId="159">
    <w:name w:val="文档结构图 Char"/>
    <w:basedOn w:val="90"/>
    <w:link w:val="26"/>
    <w:qFormat/>
    <w:uiPriority w:val="0"/>
    <w:rPr>
      <w:kern w:val="2"/>
      <w:sz w:val="21"/>
      <w:szCs w:val="24"/>
      <w:shd w:val="clear" w:color="auto" w:fill="000080"/>
    </w:rPr>
  </w:style>
  <w:style w:type="character" w:customStyle="1" w:styleId="160">
    <w:name w:val="正文文本 3 Char"/>
    <w:basedOn w:val="90"/>
    <w:link w:val="31"/>
    <w:qFormat/>
    <w:uiPriority w:val="0"/>
    <w:rPr>
      <w:kern w:val="2"/>
      <w:sz w:val="16"/>
      <w:szCs w:val="16"/>
    </w:rPr>
  </w:style>
  <w:style w:type="character" w:customStyle="1" w:styleId="161">
    <w:name w:val="HTML 地址 Char"/>
    <w:basedOn w:val="90"/>
    <w:link w:val="41"/>
    <w:qFormat/>
    <w:uiPriority w:val="0"/>
    <w:rPr>
      <w:i/>
      <w:iCs/>
      <w:kern w:val="2"/>
      <w:sz w:val="21"/>
      <w:szCs w:val="24"/>
    </w:rPr>
  </w:style>
  <w:style w:type="character" w:customStyle="1" w:styleId="162">
    <w:name w:val="正文文本缩进 3 Char"/>
    <w:basedOn w:val="90"/>
    <w:link w:val="70"/>
    <w:qFormat/>
    <w:uiPriority w:val="0"/>
    <w:rPr>
      <w:kern w:val="2"/>
      <w:sz w:val="16"/>
      <w:szCs w:val="16"/>
    </w:rPr>
  </w:style>
  <w:style w:type="character" w:customStyle="1" w:styleId="163">
    <w:name w:val="电子邮件签名 Char"/>
    <w:basedOn w:val="90"/>
    <w:link w:val="19"/>
    <w:qFormat/>
    <w:uiPriority w:val="0"/>
    <w:rPr>
      <w:kern w:val="2"/>
      <w:sz w:val="21"/>
      <w:szCs w:val="24"/>
    </w:rPr>
  </w:style>
  <w:style w:type="character" w:customStyle="1" w:styleId="164">
    <w:name w:val="签名 Char"/>
    <w:basedOn w:val="90"/>
    <w:link w:val="58"/>
    <w:qFormat/>
    <w:uiPriority w:val="0"/>
    <w:rPr>
      <w:kern w:val="2"/>
      <w:sz w:val="21"/>
      <w:szCs w:val="24"/>
    </w:rPr>
  </w:style>
  <w:style w:type="character" w:customStyle="1" w:styleId="165">
    <w:name w:val="脚注文本 Char"/>
    <w:basedOn w:val="90"/>
    <w:link w:val="67"/>
    <w:qFormat/>
    <w:uiPriority w:val="0"/>
    <w:rPr>
      <w:kern w:val="2"/>
      <w:sz w:val="18"/>
      <w:szCs w:val="18"/>
    </w:rPr>
  </w:style>
  <w:style w:type="character" w:customStyle="1" w:styleId="166">
    <w:name w:val="注释标题 Char"/>
    <w:basedOn w:val="90"/>
    <w:link w:val="16"/>
    <w:qFormat/>
    <w:uiPriority w:val="0"/>
    <w:rPr>
      <w:kern w:val="2"/>
      <w:sz w:val="21"/>
      <w:szCs w:val="24"/>
    </w:rPr>
  </w:style>
  <w:style w:type="character" w:customStyle="1" w:styleId="167">
    <w:name w:val="正文文本 2 Char"/>
    <w:basedOn w:val="90"/>
    <w:link w:val="76"/>
    <w:qFormat/>
    <w:uiPriority w:val="0"/>
    <w:rPr>
      <w:kern w:val="2"/>
      <w:sz w:val="21"/>
      <w:szCs w:val="24"/>
    </w:rPr>
  </w:style>
  <w:style w:type="character" w:customStyle="1" w:styleId="168">
    <w:name w:val="称呼 Char"/>
    <w:basedOn w:val="90"/>
    <w:link w:val="30"/>
    <w:qFormat/>
    <w:uiPriority w:val="0"/>
    <w:rPr>
      <w:kern w:val="2"/>
      <w:sz w:val="21"/>
      <w:szCs w:val="24"/>
    </w:rPr>
  </w:style>
  <w:style w:type="character" w:customStyle="1" w:styleId="169">
    <w:name w:val="尾注文本 Char"/>
    <w:basedOn w:val="90"/>
    <w:link w:val="52"/>
    <w:qFormat/>
    <w:uiPriority w:val="0"/>
    <w:rPr>
      <w:kern w:val="2"/>
      <w:sz w:val="21"/>
      <w:szCs w:val="24"/>
    </w:rPr>
  </w:style>
  <w:style w:type="character" w:customStyle="1" w:styleId="170">
    <w:name w:val="结束语 Char"/>
    <w:basedOn w:val="90"/>
    <w:link w:val="32"/>
    <w:qFormat/>
    <w:uiPriority w:val="0"/>
    <w:rPr>
      <w:kern w:val="2"/>
      <w:sz w:val="21"/>
      <w:szCs w:val="24"/>
    </w:rPr>
  </w:style>
  <w:style w:type="character" w:customStyle="1" w:styleId="171">
    <w:name w:val="正文文本缩进 2 Char"/>
    <w:basedOn w:val="90"/>
    <w:link w:val="51"/>
    <w:qFormat/>
    <w:uiPriority w:val="0"/>
    <w:rPr>
      <w:kern w:val="2"/>
      <w:sz w:val="21"/>
      <w:szCs w:val="24"/>
    </w:rPr>
  </w:style>
  <w:style w:type="character" w:customStyle="1" w:styleId="172">
    <w:name w:val="副标题 Char"/>
    <w:basedOn w:val="90"/>
    <w:link w:val="64"/>
    <w:qFormat/>
    <w:uiPriority w:val="0"/>
    <w:rPr>
      <w:rFonts w:ascii="Arial" w:hAnsi="Arial" w:cs="Arial"/>
      <w:b/>
      <w:bCs/>
      <w:kern w:val="28"/>
      <w:sz w:val="32"/>
      <w:szCs w:val="32"/>
    </w:rPr>
  </w:style>
  <w:style w:type="character" w:customStyle="1" w:styleId="173">
    <w:name w:val="信息标题 Char"/>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91"/>
    <w:basedOn w:val="90"/>
    <w:qFormat/>
    <w:uiPriority w:val="0"/>
    <w:rPr>
      <w:rFonts w:hint="eastAsia" w:ascii="宋体" w:hAnsi="宋体" w:eastAsia="宋体" w:cs="宋体"/>
      <w:b/>
      <w:color w:val="000000"/>
      <w:sz w:val="32"/>
      <w:szCs w:val="32"/>
      <w:u w:val="none"/>
    </w:rPr>
  </w:style>
  <w:style w:type="character" w:customStyle="1" w:styleId="253">
    <w:name w:val="font11"/>
    <w:basedOn w:val="90"/>
    <w:qFormat/>
    <w:uiPriority w:val="0"/>
    <w:rPr>
      <w:rFonts w:hint="default" w:ascii="Times New Roman" w:hAnsi="Times New Roman" w:cs="Times New Roman"/>
      <w:b/>
      <w:color w:val="000000"/>
      <w:sz w:val="32"/>
      <w:szCs w:val="32"/>
      <w:u w:val="none"/>
    </w:rPr>
  </w:style>
  <w:style w:type="character" w:customStyle="1" w:styleId="254">
    <w:name w:val="font71"/>
    <w:basedOn w:val="90"/>
    <w:qFormat/>
    <w:uiPriority w:val="0"/>
    <w:rPr>
      <w:rFonts w:hint="default" w:ascii="Times New Roman" w:hAnsi="Times New Roman" w:cs="Times New Roman"/>
      <w:b/>
      <w:color w:val="000000"/>
      <w:sz w:val="20"/>
      <w:szCs w:val="20"/>
      <w:u w:val="none"/>
    </w:rPr>
  </w:style>
  <w:style w:type="character" w:customStyle="1" w:styleId="255">
    <w:name w:val="font41"/>
    <w:basedOn w:val="90"/>
    <w:qFormat/>
    <w:uiPriority w:val="0"/>
    <w:rPr>
      <w:rFonts w:hint="eastAsia" w:ascii="宋体" w:hAnsi="宋体" w:eastAsia="宋体" w:cs="宋体"/>
      <w:b/>
      <w:color w:val="000000"/>
      <w:sz w:val="20"/>
      <w:szCs w:val="20"/>
      <w:u w:val="none"/>
    </w:rPr>
  </w:style>
  <w:style w:type="character" w:customStyle="1" w:styleId="256">
    <w:name w:val="font51"/>
    <w:basedOn w:val="90"/>
    <w:qFormat/>
    <w:uiPriority w:val="0"/>
    <w:rPr>
      <w:rFonts w:hint="eastAsia" w:ascii="宋体" w:hAnsi="宋体" w:eastAsia="宋体" w:cs="宋体"/>
      <w:color w:val="000000"/>
      <w:sz w:val="20"/>
      <w:szCs w:val="20"/>
      <w:u w:val="none"/>
    </w:rPr>
  </w:style>
  <w:style w:type="character" w:customStyle="1" w:styleId="257">
    <w:name w:val="font21"/>
    <w:basedOn w:val="90"/>
    <w:qFormat/>
    <w:uiPriority w:val="0"/>
    <w:rPr>
      <w:rFonts w:hint="default" w:ascii="Times New Roman" w:hAnsi="Times New Roman" w:cs="Times New Roman"/>
      <w:color w:val="000000"/>
      <w:sz w:val="20"/>
      <w:szCs w:val="20"/>
      <w:u w:val="none"/>
    </w:rPr>
  </w:style>
  <w:style w:type="character" w:customStyle="1" w:styleId="258">
    <w:name w:val="font81"/>
    <w:basedOn w:val="90"/>
    <w:qFormat/>
    <w:uiPriority w:val="0"/>
    <w:rPr>
      <w:rFonts w:hint="eastAsia" w:ascii="宋体" w:hAnsi="宋体" w:eastAsia="宋体" w:cs="宋体"/>
      <w:color w:val="FF0000"/>
      <w:sz w:val="20"/>
      <w:szCs w:val="20"/>
      <w:u w:val="none"/>
    </w:rPr>
  </w:style>
  <w:style w:type="character" w:customStyle="1" w:styleId="259">
    <w:name w:val="font31"/>
    <w:basedOn w:val="90"/>
    <w:qFormat/>
    <w:uiPriority w:val="0"/>
    <w:rPr>
      <w:rFonts w:hint="default" w:ascii="Times New Roman" w:hAnsi="Times New Roman" w:cs="Times New Roman"/>
      <w:color w:val="FF0000"/>
      <w:sz w:val="20"/>
      <w:szCs w:val="20"/>
      <w:u w:val="none"/>
    </w:rPr>
  </w:style>
  <w:style w:type="character" w:customStyle="1" w:styleId="260">
    <w:name w:val="font61"/>
    <w:basedOn w:val="90"/>
    <w:qFormat/>
    <w:uiPriority w:val="0"/>
    <w:rPr>
      <w:rFonts w:hint="default" w:ascii="Times New Roman" w:hAnsi="Times New Roman" w:cs="Times New Roman"/>
      <w:b/>
      <w:color w:val="000000"/>
      <w:sz w:val="20"/>
      <w:szCs w:val="20"/>
      <w:u w:val="none"/>
    </w:rPr>
  </w:style>
  <w:style w:type="character" w:customStyle="1" w:styleId="261">
    <w:name w:val="font01"/>
    <w:basedOn w:val="90"/>
    <w:qFormat/>
    <w:uiPriority w:val="0"/>
    <w:rPr>
      <w:rFonts w:hint="eastAsia" w:ascii="宋体" w:hAnsi="宋体" w:eastAsia="宋体" w:cs="宋体"/>
      <w:color w:val="000000"/>
      <w:sz w:val="22"/>
      <w:szCs w:val="22"/>
      <w:u w:val="none"/>
    </w:rPr>
  </w:style>
  <w:style w:type="paragraph" w:customStyle="1" w:styleId="262">
    <w:name w:val="ENFI正文"/>
    <w:basedOn w:val="1"/>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qFormat/>
    <w:uiPriority w:val="0"/>
    <w:pPr>
      <w:widowControl/>
    </w:pPr>
    <w:rPr>
      <w:rFonts w:ascii="Calibri" w:hAnsi="Calibri" w:cs="宋体"/>
      <w:kern w:val="0"/>
      <w:szCs w:val="21"/>
    </w:rPr>
  </w:style>
  <w:style w:type="paragraph" w:customStyle="1" w:styleId="264">
    <w:name w:val="编制-正文"/>
    <w:basedOn w:val="1"/>
    <w:qFormat/>
    <w:uiPriority w:val="0"/>
    <w:pPr>
      <w:ind w:firstLine="200" w:firstLineChars="200"/>
    </w:pPr>
    <w:rPr>
      <w:rFonts w:cs="宋体"/>
      <w:szCs w:val="21"/>
    </w:rPr>
  </w:style>
  <w:style w:type="paragraph" w:customStyle="1" w:styleId="265">
    <w:name w:val="编制-1."/>
    <w:basedOn w:val="4"/>
    <w:next w:val="264"/>
    <w:qFormat/>
    <w:uiPriority w:val="0"/>
    <w:pPr>
      <w:spacing w:before="50" w:beforeLines="50" w:after="50" w:afterLines="50" w:line="240" w:lineRule="auto"/>
    </w:pPr>
    <w:rPr>
      <w:rFonts w:ascii="Times New Roman" w:hAnsi="Times New Roman" w:cstheme="majorBidi"/>
      <w:b w:val="0"/>
      <w:bCs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FF53-AB87-4126-9E4E-5486893A0C9B}">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15</Pages>
  <Words>11342</Words>
  <Characters>14276</Characters>
  <Lines>96</Lines>
  <Paragraphs>27</Paragraphs>
  <TotalTime>4</TotalTime>
  <ScaleCrop>false</ScaleCrop>
  <LinksUpToDate>false</LinksUpToDate>
  <CharactersWithSpaces>14545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2022-10-20T06:18:00Z</dcterms:created>
  <dc:creator>zljy05</dc:creator>
  <cp:lastModifiedBy>JL03337</cp:lastModifiedBy>
  <cp:lastPrinted>2021-07-09T07:12:00Z</cp:lastPrinted>
  <dcterms:modified xsi:type="dcterms:W3CDTF">2023-09-15T07:11:10Z</dcterms:modified>
  <dc:title>再生锌化学分析方法</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FC89F8C740A644F0AA4E782645708D4D_13</vt:lpwstr>
  </property>
</Properties>
</file>