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4"/>
        <w:rPr>
          <w:rFonts w:ascii="Times New Roman"/>
          <w:sz w:val="26"/>
        </w:rPr>
      </w:pPr>
    </w:p>
    <w:p>
      <w:pPr>
        <w:spacing w:before="32"/>
        <w:ind w:right="95"/>
        <w:jc w:val="center"/>
        <w:rPr>
          <w:rFonts w:ascii="黑体" w:eastAsia="黑体"/>
          <w:b/>
          <w:sz w:val="48"/>
        </w:rPr>
      </w:pPr>
      <w:r>
        <w:rPr>
          <w:rFonts w:hint="eastAsia" w:ascii="黑体" w:eastAsia="黑体"/>
          <w:b/>
          <w:sz w:val="48"/>
        </w:rPr>
        <w:t>《离子型稀土矿原地浸矿水污染控制标准》</w:t>
      </w:r>
    </w:p>
    <w:p>
      <w:pPr>
        <w:pStyle w:val="14"/>
        <w:spacing w:before="7"/>
        <w:rPr>
          <w:rFonts w:ascii="黑体"/>
          <w:b/>
          <w:sz w:val="58"/>
        </w:rPr>
      </w:pPr>
    </w:p>
    <w:p>
      <w:pPr>
        <w:spacing w:line="532" w:lineRule="auto"/>
        <w:ind w:left="3305" w:right="3402"/>
        <w:jc w:val="center"/>
        <w:rPr>
          <w:rFonts w:ascii="黑体" w:eastAsia="黑体"/>
          <w:b/>
          <w:w w:val="95"/>
          <w:sz w:val="48"/>
        </w:rPr>
      </w:pPr>
      <w:r>
        <w:rPr>
          <w:rFonts w:hint="eastAsia" w:ascii="黑体" w:eastAsia="黑体"/>
          <w:b/>
          <w:w w:val="95"/>
          <w:sz w:val="48"/>
        </w:rPr>
        <w:t>（</w:t>
      </w:r>
      <w:r>
        <w:rPr>
          <w:rFonts w:hint="eastAsia" w:ascii="黑体" w:eastAsia="黑体"/>
          <w:b/>
          <w:w w:val="95"/>
          <w:sz w:val="48"/>
          <w:lang w:val="en-US" w:eastAsia="zh-CN"/>
        </w:rPr>
        <w:t>预审</w:t>
      </w:r>
      <w:r>
        <w:rPr>
          <w:rFonts w:hint="eastAsia" w:ascii="黑体" w:eastAsia="黑体"/>
          <w:b/>
          <w:w w:val="95"/>
          <w:sz w:val="48"/>
        </w:rPr>
        <w:t>稿）</w:t>
      </w:r>
    </w:p>
    <w:p>
      <w:pPr>
        <w:spacing w:line="532" w:lineRule="auto"/>
        <w:ind w:left="3305" w:right="3402"/>
        <w:jc w:val="center"/>
        <w:rPr>
          <w:rFonts w:ascii="黑体" w:eastAsia="黑体"/>
          <w:b/>
          <w:sz w:val="48"/>
        </w:rPr>
      </w:pPr>
      <w:r>
        <w:rPr>
          <w:rFonts w:hint="eastAsia" w:ascii="黑体" w:eastAsia="黑体"/>
          <w:b/>
          <w:sz w:val="48"/>
        </w:rPr>
        <w:t>编制说明</w:t>
      </w:r>
    </w:p>
    <w:p>
      <w:pPr>
        <w:pStyle w:val="14"/>
        <w:rPr>
          <w:rFonts w:ascii="黑体"/>
          <w:b/>
          <w:sz w:val="48"/>
        </w:rPr>
      </w:pPr>
    </w:p>
    <w:p>
      <w:pPr>
        <w:pStyle w:val="14"/>
        <w:rPr>
          <w:rFonts w:ascii="黑体"/>
          <w:b/>
          <w:sz w:val="48"/>
        </w:rPr>
      </w:pPr>
    </w:p>
    <w:p>
      <w:pPr>
        <w:pStyle w:val="14"/>
        <w:rPr>
          <w:rFonts w:ascii="黑体"/>
          <w:b/>
          <w:sz w:val="48"/>
        </w:rPr>
      </w:pPr>
    </w:p>
    <w:p>
      <w:pPr>
        <w:pStyle w:val="14"/>
        <w:rPr>
          <w:rFonts w:ascii="黑体"/>
          <w:b/>
          <w:sz w:val="48"/>
        </w:rPr>
      </w:pPr>
    </w:p>
    <w:p>
      <w:pPr>
        <w:pStyle w:val="14"/>
        <w:rPr>
          <w:rFonts w:ascii="黑体"/>
          <w:b/>
          <w:sz w:val="48"/>
        </w:rPr>
      </w:pPr>
    </w:p>
    <w:p>
      <w:pPr>
        <w:pStyle w:val="14"/>
        <w:rPr>
          <w:rFonts w:ascii="黑体"/>
          <w:b/>
          <w:sz w:val="48"/>
        </w:rPr>
      </w:pPr>
    </w:p>
    <w:p>
      <w:pPr>
        <w:pStyle w:val="14"/>
        <w:rPr>
          <w:rFonts w:ascii="黑体"/>
          <w:b/>
          <w:sz w:val="48"/>
        </w:rPr>
      </w:pPr>
    </w:p>
    <w:p>
      <w:pPr>
        <w:pStyle w:val="14"/>
        <w:rPr>
          <w:rFonts w:ascii="黑体"/>
          <w:b/>
          <w:sz w:val="48"/>
        </w:rPr>
      </w:pPr>
    </w:p>
    <w:p>
      <w:pPr>
        <w:pStyle w:val="14"/>
        <w:rPr>
          <w:rFonts w:ascii="黑体"/>
          <w:b/>
          <w:sz w:val="48"/>
        </w:rPr>
      </w:pPr>
    </w:p>
    <w:p>
      <w:pPr>
        <w:pStyle w:val="14"/>
        <w:spacing w:before="9"/>
        <w:rPr>
          <w:rFonts w:ascii="黑体"/>
          <w:b/>
          <w:sz w:val="38"/>
        </w:rPr>
      </w:pPr>
    </w:p>
    <w:p>
      <w:pPr>
        <w:spacing w:line="434" w:lineRule="auto"/>
        <w:ind w:left="3868" w:right="3965" w:firstLine="321"/>
        <w:jc w:val="left"/>
        <w:rPr>
          <w:rFonts w:ascii="仿宋" w:eastAsia="仿宋"/>
          <w:b/>
          <w:spacing w:val="-2"/>
          <w:w w:val="95"/>
          <w:sz w:val="32"/>
        </w:rPr>
        <w:sectPr>
          <w:footerReference r:id="rId3" w:type="default"/>
          <w:pgSz w:w="11910" w:h="16840"/>
          <w:pgMar w:top="1600" w:right="860" w:bottom="280" w:left="960" w:header="720" w:footer="720" w:gutter="0"/>
          <w:cols w:space="720" w:num="1"/>
        </w:sectPr>
      </w:pPr>
      <w:r>
        <w:rPr>
          <w:rFonts w:hint="eastAsia" w:ascii="仿宋" w:eastAsia="仿宋"/>
          <w:b/>
          <w:sz w:val="32"/>
        </w:rPr>
        <w:t xml:space="preserve">标准编制组 </w:t>
      </w:r>
      <w:r>
        <w:rPr>
          <w:rFonts w:hint="eastAsia" w:ascii="仿宋" w:eastAsia="仿宋"/>
          <w:b/>
          <w:spacing w:val="-2"/>
          <w:w w:val="95"/>
          <w:sz w:val="32"/>
        </w:rPr>
        <w:t>二〇二三年七月</w:t>
      </w:r>
    </w:p>
    <w:p>
      <w:pPr>
        <w:spacing w:line="360" w:lineRule="auto"/>
        <w:ind w:firstLine="480" w:firstLineChars="200"/>
        <w:jc w:val="center"/>
        <w:rPr>
          <w:sz w:val="24"/>
          <w:szCs w:val="24"/>
        </w:rPr>
      </w:pPr>
    </w:p>
    <w:p>
      <w:pPr>
        <w:spacing w:line="360" w:lineRule="auto"/>
        <w:ind w:firstLine="640" w:firstLineChars="200"/>
        <w:jc w:val="center"/>
        <w:rPr>
          <w:sz w:val="32"/>
          <w:szCs w:val="24"/>
        </w:rPr>
      </w:pPr>
      <w:r>
        <w:rPr>
          <w:rFonts w:hint="eastAsia"/>
          <w:sz w:val="32"/>
          <w:szCs w:val="24"/>
        </w:rPr>
        <w:t>目录</w:t>
      </w:r>
    </w:p>
    <w:p>
      <w:pPr>
        <w:pStyle w:val="19"/>
        <w:tabs>
          <w:tab w:val="right" w:leader="dot" w:pos="8310"/>
        </w:tabs>
      </w:pPr>
      <w:bookmarkStart w:id="63" w:name="_GoBack"/>
      <w:bookmarkEnd w:id="63"/>
      <w:r>
        <w:rPr>
          <w:rFonts w:ascii="仿宋" w:eastAsia="仿宋"/>
          <w:b/>
          <w:spacing w:val="-2"/>
          <w:w w:val="95"/>
          <w:szCs w:val="21"/>
        </w:rPr>
        <w:fldChar w:fldCharType="begin"/>
      </w:r>
      <w:r>
        <w:rPr>
          <w:rFonts w:ascii="仿宋" w:eastAsia="仿宋"/>
          <w:b/>
          <w:spacing w:val="-2"/>
          <w:w w:val="95"/>
          <w:szCs w:val="21"/>
        </w:rPr>
        <w:instrText xml:space="preserve"> </w:instrText>
      </w:r>
      <w:r>
        <w:rPr>
          <w:rFonts w:hint="eastAsia" w:ascii="仿宋" w:eastAsia="仿宋"/>
          <w:b/>
          <w:spacing w:val="-2"/>
          <w:w w:val="95"/>
          <w:szCs w:val="21"/>
        </w:rPr>
        <w:instrText xml:space="preserve">TOC \o "1-3" \h \z \u</w:instrText>
      </w:r>
      <w:r>
        <w:rPr>
          <w:rFonts w:ascii="仿宋" w:eastAsia="仿宋"/>
          <w:b/>
          <w:spacing w:val="-2"/>
          <w:w w:val="95"/>
          <w:szCs w:val="21"/>
        </w:rPr>
        <w:instrText xml:space="preserve"> </w:instrText>
      </w:r>
      <w:r>
        <w:rPr>
          <w:rFonts w:ascii="仿宋" w:eastAsia="仿宋"/>
          <w:b/>
          <w:spacing w:val="-2"/>
          <w:w w:val="95"/>
          <w:szCs w:val="21"/>
        </w:rPr>
        <w:fldChar w:fldCharType="separate"/>
      </w:r>
      <w:r>
        <w:rPr>
          <w:rFonts w:ascii="仿宋" w:eastAsia="仿宋"/>
          <w:spacing w:val="-2"/>
          <w:w w:val="95"/>
          <w:szCs w:val="21"/>
        </w:rPr>
        <w:fldChar w:fldCharType="begin"/>
      </w:r>
      <w:r>
        <w:rPr>
          <w:rFonts w:ascii="仿宋" w:eastAsia="仿宋"/>
          <w:spacing w:val="-2"/>
          <w:w w:val="95"/>
          <w:szCs w:val="21"/>
        </w:rPr>
        <w:instrText xml:space="preserve"> HYPERLINK \l _Toc29039 </w:instrText>
      </w:r>
      <w:r>
        <w:rPr>
          <w:rFonts w:ascii="仿宋" w:eastAsia="仿宋"/>
          <w:spacing w:val="-2"/>
          <w:w w:val="95"/>
          <w:szCs w:val="21"/>
        </w:rPr>
        <w:fldChar w:fldCharType="separate"/>
      </w:r>
      <w:r>
        <w:rPr>
          <w:rFonts w:hint="eastAsia"/>
        </w:rPr>
        <w:t>1 工作简况</w:t>
      </w:r>
      <w:r>
        <w:tab/>
      </w:r>
      <w:r>
        <w:fldChar w:fldCharType="begin"/>
      </w:r>
      <w:r>
        <w:instrText xml:space="preserve"> PAGEREF _Toc29039 \h </w:instrText>
      </w:r>
      <w:r>
        <w:fldChar w:fldCharType="separate"/>
      </w:r>
      <w:r>
        <w:t>1</w:t>
      </w:r>
      <w:r>
        <w:fldChar w:fldCharType="end"/>
      </w:r>
      <w:r>
        <w:rPr>
          <w:rFonts w:ascii="仿宋" w:eastAsia="仿宋"/>
          <w:spacing w:val="-2"/>
          <w:w w:val="95"/>
          <w:szCs w:val="21"/>
        </w:rPr>
        <w:fldChar w:fldCharType="end"/>
      </w:r>
    </w:p>
    <w:p>
      <w:pPr>
        <w:pStyle w:val="20"/>
        <w:tabs>
          <w:tab w:val="right" w:leader="dot" w:pos="8310"/>
        </w:tabs>
      </w:pPr>
      <w:r>
        <w:rPr>
          <w:rFonts w:ascii="仿宋" w:eastAsia="仿宋"/>
          <w:spacing w:val="-2"/>
          <w:w w:val="95"/>
          <w:szCs w:val="21"/>
        </w:rPr>
        <w:fldChar w:fldCharType="begin"/>
      </w:r>
      <w:r>
        <w:rPr>
          <w:rFonts w:ascii="仿宋" w:eastAsia="仿宋"/>
          <w:spacing w:val="-2"/>
          <w:w w:val="95"/>
          <w:szCs w:val="21"/>
        </w:rPr>
        <w:instrText xml:space="preserve"> HYPERLINK \l _Toc13996 </w:instrText>
      </w:r>
      <w:r>
        <w:rPr>
          <w:rFonts w:ascii="仿宋" w:eastAsia="仿宋"/>
          <w:spacing w:val="-2"/>
          <w:w w:val="95"/>
          <w:szCs w:val="21"/>
        </w:rPr>
        <w:fldChar w:fldCharType="separate"/>
      </w:r>
      <w:r>
        <w:rPr>
          <w:rFonts w:hint="eastAsia"/>
        </w:rPr>
        <w:t>1.1 项目背景和标准编制的意义</w:t>
      </w:r>
      <w:r>
        <w:tab/>
      </w:r>
      <w:r>
        <w:fldChar w:fldCharType="begin"/>
      </w:r>
      <w:r>
        <w:instrText xml:space="preserve"> PAGEREF _Toc13996 \h </w:instrText>
      </w:r>
      <w:r>
        <w:fldChar w:fldCharType="separate"/>
      </w:r>
      <w:r>
        <w:t>1</w:t>
      </w:r>
      <w:r>
        <w:fldChar w:fldCharType="end"/>
      </w:r>
      <w:r>
        <w:rPr>
          <w:rFonts w:ascii="仿宋" w:eastAsia="仿宋"/>
          <w:spacing w:val="-2"/>
          <w:w w:val="95"/>
          <w:szCs w:val="21"/>
        </w:rPr>
        <w:fldChar w:fldCharType="end"/>
      </w:r>
    </w:p>
    <w:p>
      <w:pPr>
        <w:pStyle w:val="15"/>
        <w:tabs>
          <w:tab w:val="right" w:leader="dot" w:pos="8310"/>
        </w:tabs>
      </w:pPr>
      <w:r>
        <w:rPr>
          <w:rFonts w:ascii="仿宋" w:eastAsia="仿宋"/>
          <w:spacing w:val="-2"/>
          <w:w w:val="95"/>
          <w:szCs w:val="21"/>
        </w:rPr>
        <w:fldChar w:fldCharType="begin"/>
      </w:r>
      <w:r>
        <w:rPr>
          <w:rFonts w:ascii="仿宋" w:eastAsia="仿宋"/>
          <w:spacing w:val="-2"/>
          <w:w w:val="95"/>
          <w:szCs w:val="21"/>
        </w:rPr>
        <w:instrText xml:space="preserve"> HYPERLINK \l _Toc18110 </w:instrText>
      </w:r>
      <w:r>
        <w:rPr>
          <w:rFonts w:ascii="仿宋" w:eastAsia="仿宋"/>
          <w:spacing w:val="-2"/>
          <w:w w:val="95"/>
          <w:szCs w:val="21"/>
        </w:rPr>
        <w:fldChar w:fldCharType="separate"/>
      </w:r>
      <w:r>
        <w:rPr>
          <w:rFonts w:hint="eastAsia"/>
          <w:szCs w:val="24"/>
        </w:rPr>
        <w:t xml:space="preserve">1.1.1 </w:t>
      </w:r>
      <w:r>
        <w:rPr>
          <w:rFonts w:hint="eastAsia"/>
        </w:rPr>
        <w:t>项目背景</w:t>
      </w:r>
      <w:r>
        <w:tab/>
      </w:r>
      <w:r>
        <w:fldChar w:fldCharType="begin"/>
      </w:r>
      <w:r>
        <w:instrText xml:space="preserve"> PAGEREF _Toc18110 \h </w:instrText>
      </w:r>
      <w:r>
        <w:fldChar w:fldCharType="separate"/>
      </w:r>
      <w:r>
        <w:t>1</w:t>
      </w:r>
      <w:r>
        <w:fldChar w:fldCharType="end"/>
      </w:r>
      <w:r>
        <w:rPr>
          <w:rFonts w:ascii="仿宋" w:eastAsia="仿宋"/>
          <w:spacing w:val="-2"/>
          <w:w w:val="95"/>
          <w:szCs w:val="21"/>
        </w:rPr>
        <w:fldChar w:fldCharType="end"/>
      </w:r>
    </w:p>
    <w:p>
      <w:pPr>
        <w:pStyle w:val="15"/>
        <w:tabs>
          <w:tab w:val="right" w:leader="dot" w:pos="8310"/>
        </w:tabs>
      </w:pPr>
      <w:r>
        <w:rPr>
          <w:rFonts w:ascii="仿宋" w:eastAsia="仿宋"/>
          <w:spacing w:val="-2"/>
          <w:w w:val="95"/>
          <w:szCs w:val="21"/>
        </w:rPr>
        <w:fldChar w:fldCharType="begin"/>
      </w:r>
      <w:r>
        <w:rPr>
          <w:rFonts w:ascii="仿宋" w:eastAsia="仿宋"/>
          <w:spacing w:val="-2"/>
          <w:w w:val="95"/>
          <w:szCs w:val="21"/>
        </w:rPr>
        <w:instrText xml:space="preserve"> HYPERLINK \l _Toc11992 </w:instrText>
      </w:r>
      <w:r>
        <w:rPr>
          <w:rFonts w:ascii="仿宋" w:eastAsia="仿宋"/>
          <w:spacing w:val="-2"/>
          <w:w w:val="95"/>
          <w:szCs w:val="21"/>
        </w:rPr>
        <w:fldChar w:fldCharType="separate"/>
      </w:r>
      <w:r>
        <w:rPr>
          <w:rFonts w:hint="eastAsia"/>
          <w:szCs w:val="24"/>
        </w:rPr>
        <w:t>1.1.2 标准编制的意义</w:t>
      </w:r>
      <w:r>
        <w:tab/>
      </w:r>
      <w:r>
        <w:fldChar w:fldCharType="begin"/>
      </w:r>
      <w:r>
        <w:instrText xml:space="preserve"> PAGEREF _Toc11992 \h </w:instrText>
      </w:r>
      <w:r>
        <w:fldChar w:fldCharType="separate"/>
      </w:r>
      <w:r>
        <w:t>2</w:t>
      </w:r>
      <w:r>
        <w:fldChar w:fldCharType="end"/>
      </w:r>
      <w:r>
        <w:rPr>
          <w:rFonts w:ascii="仿宋" w:eastAsia="仿宋"/>
          <w:spacing w:val="-2"/>
          <w:w w:val="95"/>
          <w:szCs w:val="21"/>
        </w:rPr>
        <w:fldChar w:fldCharType="end"/>
      </w:r>
    </w:p>
    <w:p>
      <w:pPr>
        <w:pStyle w:val="20"/>
        <w:tabs>
          <w:tab w:val="right" w:leader="dot" w:pos="8310"/>
        </w:tabs>
      </w:pPr>
      <w:r>
        <w:rPr>
          <w:rFonts w:ascii="仿宋" w:eastAsia="仿宋"/>
          <w:spacing w:val="-2"/>
          <w:w w:val="95"/>
          <w:szCs w:val="21"/>
        </w:rPr>
        <w:fldChar w:fldCharType="begin"/>
      </w:r>
      <w:r>
        <w:rPr>
          <w:rFonts w:ascii="仿宋" w:eastAsia="仿宋"/>
          <w:spacing w:val="-2"/>
          <w:w w:val="95"/>
          <w:szCs w:val="21"/>
        </w:rPr>
        <w:instrText xml:space="preserve"> HYPERLINK \l _Toc18054 </w:instrText>
      </w:r>
      <w:r>
        <w:rPr>
          <w:rFonts w:ascii="仿宋" w:eastAsia="仿宋"/>
          <w:spacing w:val="-2"/>
          <w:w w:val="95"/>
          <w:szCs w:val="21"/>
        </w:rPr>
        <w:fldChar w:fldCharType="separate"/>
      </w:r>
      <w:r>
        <w:rPr>
          <w:rFonts w:hint="eastAsia"/>
        </w:rPr>
        <w:t>1.2 任务来源</w:t>
      </w:r>
      <w:r>
        <w:tab/>
      </w:r>
      <w:r>
        <w:fldChar w:fldCharType="begin"/>
      </w:r>
      <w:r>
        <w:instrText xml:space="preserve"> PAGEREF _Toc18054 \h </w:instrText>
      </w:r>
      <w:r>
        <w:fldChar w:fldCharType="separate"/>
      </w:r>
      <w:r>
        <w:t>2</w:t>
      </w:r>
      <w:r>
        <w:fldChar w:fldCharType="end"/>
      </w:r>
      <w:r>
        <w:rPr>
          <w:rFonts w:ascii="仿宋" w:eastAsia="仿宋"/>
          <w:spacing w:val="-2"/>
          <w:w w:val="95"/>
          <w:szCs w:val="21"/>
        </w:rPr>
        <w:fldChar w:fldCharType="end"/>
      </w:r>
    </w:p>
    <w:p>
      <w:pPr>
        <w:pStyle w:val="20"/>
        <w:tabs>
          <w:tab w:val="right" w:leader="dot" w:pos="8310"/>
        </w:tabs>
      </w:pPr>
      <w:r>
        <w:rPr>
          <w:rFonts w:ascii="仿宋" w:eastAsia="仿宋"/>
          <w:spacing w:val="-2"/>
          <w:w w:val="95"/>
          <w:szCs w:val="21"/>
        </w:rPr>
        <w:fldChar w:fldCharType="begin"/>
      </w:r>
      <w:r>
        <w:rPr>
          <w:rFonts w:ascii="仿宋" w:eastAsia="仿宋"/>
          <w:spacing w:val="-2"/>
          <w:w w:val="95"/>
          <w:szCs w:val="21"/>
        </w:rPr>
        <w:instrText xml:space="preserve"> HYPERLINK \l _Toc1209 </w:instrText>
      </w:r>
      <w:r>
        <w:rPr>
          <w:rFonts w:ascii="仿宋" w:eastAsia="仿宋"/>
          <w:spacing w:val="-2"/>
          <w:w w:val="95"/>
          <w:szCs w:val="21"/>
        </w:rPr>
        <w:fldChar w:fldCharType="separate"/>
      </w:r>
      <w:r>
        <w:rPr>
          <w:rFonts w:hint="eastAsia"/>
        </w:rPr>
        <w:t>1.3 编制单位简况</w:t>
      </w:r>
      <w:r>
        <w:tab/>
      </w:r>
      <w:r>
        <w:fldChar w:fldCharType="begin"/>
      </w:r>
      <w:r>
        <w:instrText xml:space="preserve"> PAGEREF _Toc1209 \h </w:instrText>
      </w:r>
      <w:r>
        <w:fldChar w:fldCharType="separate"/>
      </w:r>
      <w:r>
        <w:t>3</w:t>
      </w:r>
      <w:r>
        <w:fldChar w:fldCharType="end"/>
      </w:r>
      <w:r>
        <w:rPr>
          <w:rFonts w:ascii="仿宋" w:eastAsia="仿宋"/>
          <w:spacing w:val="-2"/>
          <w:w w:val="95"/>
          <w:szCs w:val="21"/>
        </w:rPr>
        <w:fldChar w:fldCharType="end"/>
      </w:r>
    </w:p>
    <w:p>
      <w:pPr>
        <w:pStyle w:val="15"/>
        <w:tabs>
          <w:tab w:val="right" w:leader="dot" w:pos="8310"/>
        </w:tabs>
      </w:pPr>
      <w:r>
        <w:rPr>
          <w:rFonts w:ascii="仿宋" w:eastAsia="仿宋"/>
          <w:spacing w:val="-2"/>
          <w:w w:val="95"/>
          <w:szCs w:val="21"/>
        </w:rPr>
        <w:fldChar w:fldCharType="begin"/>
      </w:r>
      <w:r>
        <w:rPr>
          <w:rFonts w:ascii="仿宋" w:eastAsia="仿宋"/>
          <w:spacing w:val="-2"/>
          <w:w w:val="95"/>
          <w:szCs w:val="21"/>
        </w:rPr>
        <w:instrText xml:space="preserve"> HYPERLINK \l _Toc6872 </w:instrText>
      </w:r>
      <w:r>
        <w:rPr>
          <w:rFonts w:ascii="仿宋" w:eastAsia="仿宋"/>
          <w:spacing w:val="-2"/>
          <w:w w:val="95"/>
          <w:szCs w:val="21"/>
        </w:rPr>
        <w:fldChar w:fldCharType="separate"/>
      </w:r>
      <w:r>
        <w:rPr>
          <w:rFonts w:hint="eastAsia"/>
          <w:szCs w:val="24"/>
        </w:rPr>
        <w:t xml:space="preserve">1.3.1 </w:t>
      </w:r>
      <w:r>
        <w:rPr>
          <w:rFonts w:hint="eastAsia"/>
        </w:rPr>
        <w:t>中国恩菲工程技术有限公司</w:t>
      </w:r>
      <w:r>
        <w:tab/>
      </w:r>
      <w:r>
        <w:fldChar w:fldCharType="begin"/>
      </w:r>
      <w:r>
        <w:instrText xml:space="preserve"> PAGEREF _Toc6872 \h </w:instrText>
      </w:r>
      <w:r>
        <w:fldChar w:fldCharType="separate"/>
      </w:r>
      <w:r>
        <w:t>3</w:t>
      </w:r>
      <w:r>
        <w:fldChar w:fldCharType="end"/>
      </w:r>
      <w:r>
        <w:rPr>
          <w:rFonts w:ascii="仿宋" w:eastAsia="仿宋"/>
          <w:spacing w:val="-2"/>
          <w:w w:val="95"/>
          <w:szCs w:val="21"/>
        </w:rPr>
        <w:fldChar w:fldCharType="end"/>
      </w:r>
    </w:p>
    <w:p>
      <w:pPr>
        <w:pStyle w:val="15"/>
        <w:tabs>
          <w:tab w:val="right" w:leader="dot" w:pos="8310"/>
        </w:tabs>
      </w:pPr>
      <w:r>
        <w:rPr>
          <w:rFonts w:ascii="仿宋" w:eastAsia="仿宋"/>
          <w:spacing w:val="-2"/>
          <w:w w:val="95"/>
          <w:szCs w:val="21"/>
        </w:rPr>
        <w:fldChar w:fldCharType="begin"/>
      </w:r>
      <w:r>
        <w:rPr>
          <w:rFonts w:ascii="仿宋" w:eastAsia="仿宋"/>
          <w:spacing w:val="-2"/>
          <w:w w:val="95"/>
          <w:szCs w:val="21"/>
        </w:rPr>
        <w:instrText xml:space="preserve"> HYPERLINK \l _Toc1284 </w:instrText>
      </w:r>
      <w:r>
        <w:rPr>
          <w:rFonts w:ascii="仿宋" w:eastAsia="仿宋"/>
          <w:spacing w:val="-2"/>
          <w:w w:val="95"/>
          <w:szCs w:val="21"/>
        </w:rPr>
        <w:fldChar w:fldCharType="separate"/>
      </w:r>
      <w:r>
        <w:rPr>
          <w:rFonts w:hint="eastAsia"/>
          <w:szCs w:val="24"/>
        </w:rPr>
        <w:t>1.3.2 有研稀土新材料股份有限公司</w:t>
      </w:r>
      <w:r>
        <w:tab/>
      </w:r>
      <w:r>
        <w:fldChar w:fldCharType="begin"/>
      </w:r>
      <w:r>
        <w:instrText xml:space="preserve"> PAGEREF _Toc1284 \h </w:instrText>
      </w:r>
      <w:r>
        <w:fldChar w:fldCharType="separate"/>
      </w:r>
      <w:r>
        <w:t>3</w:t>
      </w:r>
      <w:r>
        <w:fldChar w:fldCharType="end"/>
      </w:r>
      <w:r>
        <w:rPr>
          <w:rFonts w:ascii="仿宋" w:eastAsia="仿宋"/>
          <w:spacing w:val="-2"/>
          <w:w w:val="95"/>
          <w:szCs w:val="21"/>
        </w:rPr>
        <w:fldChar w:fldCharType="end"/>
      </w:r>
    </w:p>
    <w:p>
      <w:pPr>
        <w:pStyle w:val="15"/>
        <w:tabs>
          <w:tab w:val="right" w:leader="dot" w:pos="8310"/>
        </w:tabs>
      </w:pPr>
      <w:r>
        <w:rPr>
          <w:rFonts w:ascii="仿宋" w:eastAsia="仿宋"/>
          <w:spacing w:val="-2"/>
          <w:w w:val="95"/>
          <w:szCs w:val="21"/>
        </w:rPr>
        <w:fldChar w:fldCharType="begin"/>
      </w:r>
      <w:r>
        <w:rPr>
          <w:rFonts w:ascii="仿宋" w:eastAsia="仿宋"/>
          <w:spacing w:val="-2"/>
          <w:w w:val="95"/>
          <w:szCs w:val="21"/>
        </w:rPr>
        <w:instrText xml:space="preserve"> HYPERLINK \l _Toc9431 </w:instrText>
      </w:r>
      <w:r>
        <w:rPr>
          <w:rFonts w:ascii="仿宋" w:eastAsia="仿宋"/>
          <w:spacing w:val="-2"/>
          <w:w w:val="95"/>
          <w:szCs w:val="21"/>
        </w:rPr>
        <w:fldChar w:fldCharType="separate"/>
      </w:r>
      <w:r>
        <w:rPr>
          <w:rFonts w:hint="eastAsia"/>
          <w:szCs w:val="24"/>
        </w:rPr>
        <w:t>1.3.3 生态环境部环境工程评估中心</w:t>
      </w:r>
      <w:r>
        <w:tab/>
      </w:r>
      <w:r>
        <w:fldChar w:fldCharType="begin"/>
      </w:r>
      <w:r>
        <w:instrText xml:space="preserve"> PAGEREF _Toc9431 \h </w:instrText>
      </w:r>
      <w:r>
        <w:fldChar w:fldCharType="separate"/>
      </w:r>
      <w:r>
        <w:t>4</w:t>
      </w:r>
      <w:r>
        <w:fldChar w:fldCharType="end"/>
      </w:r>
      <w:r>
        <w:rPr>
          <w:rFonts w:ascii="仿宋" w:eastAsia="仿宋"/>
          <w:spacing w:val="-2"/>
          <w:w w:val="95"/>
          <w:szCs w:val="21"/>
        </w:rPr>
        <w:fldChar w:fldCharType="end"/>
      </w:r>
    </w:p>
    <w:p>
      <w:pPr>
        <w:pStyle w:val="15"/>
        <w:tabs>
          <w:tab w:val="right" w:leader="dot" w:pos="8310"/>
        </w:tabs>
      </w:pPr>
      <w:r>
        <w:rPr>
          <w:rFonts w:ascii="仿宋" w:eastAsia="仿宋"/>
          <w:spacing w:val="-2"/>
          <w:w w:val="95"/>
          <w:szCs w:val="21"/>
        </w:rPr>
        <w:fldChar w:fldCharType="begin"/>
      </w:r>
      <w:r>
        <w:rPr>
          <w:rFonts w:ascii="仿宋" w:eastAsia="仿宋"/>
          <w:spacing w:val="-2"/>
          <w:w w:val="95"/>
          <w:szCs w:val="21"/>
        </w:rPr>
        <w:instrText xml:space="preserve"> HYPERLINK \l _Toc16009 </w:instrText>
      </w:r>
      <w:r>
        <w:rPr>
          <w:rFonts w:ascii="仿宋" w:eastAsia="仿宋"/>
          <w:spacing w:val="-2"/>
          <w:w w:val="95"/>
          <w:szCs w:val="21"/>
        </w:rPr>
        <w:fldChar w:fldCharType="separate"/>
      </w:r>
      <w:r>
        <w:rPr>
          <w:rFonts w:hint="eastAsia"/>
          <w:szCs w:val="24"/>
        </w:rPr>
        <w:t>1.3.4 中国稀土集团有限公司</w:t>
      </w:r>
      <w:r>
        <w:tab/>
      </w:r>
      <w:r>
        <w:fldChar w:fldCharType="begin"/>
      </w:r>
      <w:r>
        <w:instrText xml:space="preserve"> PAGEREF _Toc16009 \h </w:instrText>
      </w:r>
      <w:r>
        <w:fldChar w:fldCharType="separate"/>
      </w:r>
      <w:r>
        <w:t>4</w:t>
      </w:r>
      <w:r>
        <w:fldChar w:fldCharType="end"/>
      </w:r>
      <w:r>
        <w:rPr>
          <w:rFonts w:ascii="仿宋" w:eastAsia="仿宋"/>
          <w:spacing w:val="-2"/>
          <w:w w:val="95"/>
          <w:szCs w:val="21"/>
        </w:rPr>
        <w:fldChar w:fldCharType="end"/>
      </w:r>
    </w:p>
    <w:p>
      <w:pPr>
        <w:pStyle w:val="15"/>
        <w:tabs>
          <w:tab w:val="right" w:leader="dot" w:pos="8310"/>
        </w:tabs>
      </w:pPr>
      <w:r>
        <w:rPr>
          <w:rFonts w:ascii="仿宋" w:eastAsia="仿宋"/>
          <w:spacing w:val="-2"/>
          <w:w w:val="95"/>
          <w:szCs w:val="21"/>
        </w:rPr>
        <w:fldChar w:fldCharType="begin"/>
      </w:r>
      <w:r>
        <w:rPr>
          <w:rFonts w:ascii="仿宋" w:eastAsia="仿宋"/>
          <w:spacing w:val="-2"/>
          <w:w w:val="95"/>
          <w:szCs w:val="21"/>
        </w:rPr>
        <w:instrText xml:space="preserve"> HYPERLINK \l _Toc2404 </w:instrText>
      </w:r>
      <w:r>
        <w:rPr>
          <w:rFonts w:ascii="仿宋" w:eastAsia="仿宋"/>
          <w:spacing w:val="-2"/>
          <w:w w:val="95"/>
          <w:szCs w:val="21"/>
        </w:rPr>
        <w:fldChar w:fldCharType="separate"/>
      </w:r>
      <w:r>
        <w:rPr>
          <w:rFonts w:hint="eastAsia"/>
          <w:szCs w:val="24"/>
        </w:rPr>
        <w:t>1.3.5 赣州稀土矿业有限公司</w:t>
      </w:r>
      <w:r>
        <w:tab/>
      </w:r>
      <w:r>
        <w:fldChar w:fldCharType="begin"/>
      </w:r>
      <w:r>
        <w:instrText xml:space="preserve"> PAGEREF _Toc2404 \h </w:instrText>
      </w:r>
      <w:r>
        <w:fldChar w:fldCharType="separate"/>
      </w:r>
      <w:r>
        <w:t>4</w:t>
      </w:r>
      <w:r>
        <w:fldChar w:fldCharType="end"/>
      </w:r>
      <w:r>
        <w:rPr>
          <w:rFonts w:ascii="仿宋" w:eastAsia="仿宋"/>
          <w:spacing w:val="-2"/>
          <w:w w:val="95"/>
          <w:szCs w:val="21"/>
        </w:rPr>
        <w:fldChar w:fldCharType="end"/>
      </w:r>
    </w:p>
    <w:p>
      <w:pPr>
        <w:pStyle w:val="15"/>
        <w:tabs>
          <w:tab w:val="right" w:leader="dot" w:pos="8310"/>
        </w:tabs>
      </w:pPr>
      <w:r>
        <w:rPr>
          <w:rFonts w:ascii="仿宋" w:eastAsia="仿宋"/>
          <w:spacing w:val="-2"/>
          <w:w w:val="95"/>
          <w:szCs w:val="21"/>
        </w:rPr>
        <w:fldChar w:fldCharType="begin"/>
      </w:r>
      <w:r>
        <w:rPr>
          <w:rFonts w:ascii="仿宋" w:eastAsia="仿宋"/>
          <w:spacing w:val="-2"/>
          <w:w w:val="95"/>
          <w:szCs w:val="21"/>
        </w:rPr>
        <w:instrText xml:space="preserve"> HYPERLINK \l _Toc5805 </w:instrText>
      </w:r>
      <w:r>
        <w:rPr>
          <w:rFonts w:ascii="仿宋" w:eastAsia="仿宋"/>
          <w:spacing w:val="-2"/>
          <w:w w:val="95"/>
          <w:szCs w:val="21"/>
        </w:rPr>
        <w:fldChar w:fldCharType="separate"/>
      </w:r>
      <w:r>
        <w:rPr>
          <w:rFonts w:hint="eastAsia"/>
          <w:szCs w:val="24"/>
        </w:rPr>
        <w:t>1.3.6 中稀（湖南）稀土开发有限公司</w:t>
      </w:r>
      <w:r>
        <w:tab/>
      </w:r>
      <w:r>
        <w:fldChar w:fldCharType="begin"/>
      </w:r>
      <w:r>
        <w:instrText xml:space="preserve"> PAGEREF _Toc5805 \h </w:instrText>
      </w:r>
      <w:r>
        <w:fldChar w:fldCharType="separate"/>
      </w:r>
      <w:r>
        <w:t>5</w:t>
      </w:r>
      <w:r>
        <w:fldChar w:fldCharType="end"/>
      </w:r>
      <w:r>
        <w:rPr>
          <w:rFonts w:ascii="仿宋" w:eastAsia="仿宋"/>
          <w:spacing w:val="-2"/>
          <w:w w:val="95"/>
          <w:szCs w:val="21"/>
        </w:rPr>
        <w:fldChar w:fldCharType="end"/>
      </w:r>
    </w:p>
    <w:p>
      <w:pPr>
        <w:pStyle w:val="15"/>
        <w:tabs>
          <w:tab w:val="right" w:leader="dot" w:pos="8310"/>
        </w:tabs>
      </w:pPr>
      <w:r>
        <w:rPr>
          <w:rFonts w:ascii="仿宋" w:eastAsia="仿宋"/>
          <w:spacing w:val="-2"/>
          <w:w w:val="95"/>
          <w:szCs w:val="21"/>
        </w:rPr>
        <w:fldChar w:fldCharType="begin"/>
      </w:r>
      <w:r>
        <w:rPr>
          <w:rFonts w:ascii="仿宋" w:eastAsia="仿宋"/>
          <w:spacing w:val="-2"/>
          <w:w w:val="95"/>
          <w:szCs w:val="21"/>
        </w:rPr>
        <w:instrText xml:space="preserve"> HYPERLINK \l _Toc17458 </w:instrText>
      </w:r>
      <w:r>
        <w:rPr>
          <w:rFonts w:ascii="仿宋" w:eastAsia="仿宋"/>
          <w:spacing w:val="-2"/>
          <w:w w:val="95"/>
          <w:szCs w:val="21"/>
        </w:rPr>
        <w:fldChar w:fldCharType="separate"/>
      </w:r>
      <w:r>
        <w:rPr>
          <w:rFonts w:hint="eastAsia"/>
          <w:szCs w:val="24"/>
        </w:rPr>
        <w:t>1.3.7 广晟有色金属股份有限公司</w:t>
      </w:r>
      <w:r>
        <w:tab/>
      </w:r>
      <w:r>
        <w:fldChar w:fldCharType="begin"/>
      </w:r>
      <w:r>
        <w:instrText xml:space="preserve"> PAGEREF _Toc17458 \h </w:instrText>
      </w:r>
      <w:r>
        <w:fldChar w:fldCharType="separate"/>
      </w:r>
      <w:r>
        <w:t>5</w:t>
      </w:r>
      <w:r>
        <w:fldChar w:fldCharType="end"/>
      </w:r>
      <w:r>
        <w:rPr>
          <w:rFonts w:ascii="仿宋" w:eastAsia="仿宋"/>
          <w:spacing w:val="-2"/>
          <w:w w:val="95"/>
          <w:szCs w:val="21"/>
        </w:rPr>
        <w:fldChar w:fldCharType="end"/>
      </w:r>
    </w:p>
    <w:p>
      <w:pPr>
        <w:pStyle w:val="15"/>
        <w:tabs>
          <w:tab w:val="right" w:leader="dot" w:pos="8310"/>
        </w:tabs>
      </w:pPr>
      <w:r>
        <w:rPr>
          <w:rFonts w:ascii="仿宋" w:eastAsia="仿宋"/>
          <w:spacing w:val="-2"/>
          <w:w w:val="95"/>
          <w:szCs w:val="21"/>
        </w:rPr>
        <w:fldChar w:fldCharType="begin"/>
      </w:r>
      <w:r>
        <w:rPr>
          <w:rFonts w:ascii="仿宋" w:eastAsia="仿宋"/>
          <w:spacing w:val="-2"/>
          <w:w w:val="95"/>
          <w:szCs w:val="21"/>
        </w:rPr>
        <w:instrText xml:space="preserve"> HYPERLINK \l _Toc7863 </w:instrText>
      </w:r>
      <w:r>
        <w:rPr>
          <w:rFonts w:ascii="仿宋" w:eastAsia="仿宋"/>
          <w:spacing w:val="-2"/>
          <w:w w:val="95"/>
          <w:szCs w:val="21"/>
        </w:rPr>
        <w:fldChar w:fldCharType="separate"/>
      </w:r>
      <w:r>
        <w:rPr>
          <w:rFonts w:hint="eastAsia"/>
          <w:szCs w:val="24"/>
        </w:rPr>
        <w:t>1.3.8 龙岩市稀土开发有限公司</w:t>
      </w:r>
      <w:r>
        <w:tab/>
      </w:r>
      <w:r>
        <w:fldChar w:fldCharType="begin"/>
      </w:r>
      <w:r>
        <w:instrText xml:space="preserve"> PAGEREF _Toc7863 \h </w:instrText>
      </w:r>
      <w:r>
        <w:fldChar w:fldCharType="separate"/>
      </w:r>
      <w:r>
        <w:t>5</w:t>
      </w:r>
      <w:r>
        <w:fldChar w:fldCharType="end"/>
      </w:r>
      <w:r>
        <w:rPr>
          <w:rFonts w:ascii="仿宋" w:eastAsia="仿宋"/>
          <w:spacing w:val="-2"/>
          <w:w w:val="95"/>
          <w:szCs w:val="21"/>
        </w:rPr>
        <w:fldChar w:fldCharType="end"/>
      </w:r>
    </w:p>
    <w:p>
      <w:pPr>
        <w:pStyle w:val="20"/>
        <w:tabs>
          <w:tab w:val="right" w:leader="dot" w:pos="8310"/>
        </w:tabs>
      </w:pPr>
      <w:r>
        <w:rPr>
          <w:rFonts w:ascii="仿宋" w:eastAsia="仿宋"/>
          <w:spacing w:val="-2"/>
          <w:w w:val="95"/>
          <w:szCs w:val="21"/>
        </w:rPr>
        <w:fldChar w:fldCharType="begin"/>
      </w:r>
      <w:r>
        <w:rPr>
          <w:rFonts w:ascii="仿宋" w:eastAsia="仿宋"/>
          <w:spacing w:val="-2"/>
          <w:w w:val="95"/>
          <w:szCs w:val="21"/>
        </w:rPr>
        <w:instrText xml:space="preserve"> HYPERLINK \l _Toc31839 </w:instrText>
      </w:r>
      <w:r>
        <w:rPr>
          <w:rFonts w:ascii="仿宋" w:eastAsia="仿宋"/>
          <w:spacing w:val="-2"/>
          <w:w w:val="95"/>
          <w:szCs w:val="21"/>
        </w:rPr>
        <w:fldChar w:fldCharType="separate"/>
      </w:r>
      <w:r>
        <w:rPr>
          <w:rFonts w:hint="eastAsia"/>
        </w:rPr>
        <w:t>1.4 主要工作过程</w:t>
      </w:r>
      <w:r>
        <w:tab/>
      </w:r>
      <w:r>
        <w:fldChar w:fldCharType="begin"/>
      </w:r>
      <w:r>
        <w:instrText xml:space="preserve"> PAGEREF _Toc31839 \h </w:instrText>
      </w:r>
      <w:r>
        <w:fldChar w:fldCharType="separate"/>
      </w:r>
      <w:r>
        <w:t>6</w:t>
      </w:r>
      <w:r>
        <w:fldChar w:fldCharType="end"/>
      </w:r>
      <w:r>
        <w:rPr>
          <w:rFonts w:ascii="仿宋" w:eastAsia="仿宋"/>
          <w:spacing w:val="-2"/>
          <w:w w:val="95"/>
          <w:szCs w:val="21"/>
        </w:rPr>
        <w:fldChar w:fldCharType="end"/>
      </w:r>
    </w:p>
    <w:p>
      <w:pPr>
        <w:pStyle w:val="19"/>
        <w:tabs>
          <w:tab w:val="right" w:leader="dot" w:pos="8310"/>
        </w:tabs>
      </w:pPr>
      <w:r>
        <w:rPr>
          <w:rFonts w:ascii="仿宋" w:eastAsia="仿宋"/>
          <w:spacing w:val="-2"/>
          <w:w w:val="95"/>
          <w:szCs w:val="21"/>
        </w:rPr>
        <w:fldChar w:fldCharType="begin"/>
      </w:r>
      <w:r>
        <w:rPr>
          <w:rFonts w:ascii="仿宋" w:eastAsia="仿宋"/>
          <w:spacing w:val="-2"/>
          <w:w w:val="95"/>
          <w:szCs w:val="21"/>
        </w:rPr>
        <w:instrText xml:space="preserve"> HYPERLINK \l _Toc6257 </w:instrText>
      </w:r>
      <w:r>
        <w:rPr>
          <w:rFonts w:ascii="仿宋" w:eastAsia="仿宋"/>
          <w:spacing w:val="-2"/>
          <w:w w:val="95"/>
          <w:szCs w:val="21"/>
        </w:rPr>
        <w:fldChar w:fldCharType="separate"/>
      </w:r>
      <w:r>
        <w:rPr>
          <w:rFonts w:hint="eastAsia"/>
        </w:rPr>
        <w:t>2 行业概况</w:t>
      </w:r>
      <w:r>
        <w:tab/>
      </w:r>
      <w:r>
        <w:fldChar w:fldCharType="begin"/>
      </w:r>
      <w:r>
        <w:instrText xml:space="preserve"> PAGEREF _Toc6257 \h </w:instrText>
      </w:r>
      <w:r>
        <w:fldChar w:fldCharType="separate"/>
      </w:r>
      <w:r>
        <w:t>6</w:t>
      </w:r>
      <w:r>
        <w:fldChar w:fldCharType="end"/>
      </w:r>
      <w:r>
        <w:rPr>
          <w:rFonts w:ascii="仿宋" w:eastAsia="仿宋"/>
          <w:spacing w:val="-2"/>
          <w:w w:val="95"/>
          <w:szCs w:val="21"/>
        </w:rPr>
        <w:fldChar w:fldCharType="end"/>
      </w:r>
    </w:p>
    <w:p>
      <w:pPr>
        <w:pStyle w:val="20"/>
        <w:tabs>
          <w:tab w:val="right" w:leader="dot" w:pos="8310"/>
        </w:tabs>
      </w:pPr>
      <w:r>
        <w:rPr>
          <w:rFonts w:ascii="仿宋" w:eastAsia="仿宋"/>
          <w:spacing w:val="-2"/>
          <w:w w:val="95"/>
          <w:szCs w:val="21"/>
        </w:rPr>
        <w:fldChar w:fldCharType="begin"/>
      </w:r>
      <w:r>
        <w:rPr>
          <w:rFonts w:ascii="仿宋" w:eastAsia="仿宋"/>
          <w:spacing w:val="-2"/>
          <w:w w:val="95"/>
          <w:szCs w:val="21"/>
        </w:rPr>
        <w:instrText xml:space="preserve"> HYPERLINK \l _Toc28429 </w:instrText>
      </w:r>
      <w:r>
        <w:rPr>
          <w:rFonts w:ascii="仿宋" w:eastAsia="仿宋"/>
          <w:spacing w:val="-2"/>
          <w:w w:val="95"/>
          <w:szCs w:val="21"/>
        </w:rPr>
        <w:fldChar w:fldCharType="separate"/>
      </w:r>
      <w:r>
        <w:rPr>
          <w:rFonts w:hint="eastAsia"/>
        </w:rPr>
        <w:t>2.1 行业发展概况</w:t>
      </w:r>
      <w:r>
        <w:tab/>
      </w:r>
      <w:r>
        <w:fldChar w:fldCharType="begin"/>
      </w:r>
      <w:r>
        <w:instrText xml:space="preserve"> PAGEREF _Toc28429 \h </w:instrText>
      </w:r>
      <w:r>
        <w:fldChar w:fldCharType="separate"/>
      </w:r>
      <w:r>
        <w:t>6</w:t>
      </w:r>
      <w:r>
        <w:fldChar w:fldCharType="end"/>
      </w:r>
      <w:r>
        <w:rPr>
          <w:rFonts w:ascii="仿宋" w:eastAsia="仿宋"/>
          <w:spacing w:val="-2"/>
          <w:w w:val="95"/>
          <w:szCs w:val="21"/>
        </w:rPr>
        <w:fldChar w:fldCharType="end"/>
      </w:r>
    </w:p>
    <w:p>
      <w:pPr>
        <w:pStyle w:val="15"/>
        <w:tabs>
          <w:tab w:val="right" w:leader="dot" w:pos="8310"/>
        </w:tabs>
      </w:pPr>
      <w:r>
        <w:rPr>
          <w:rFonts w:ascii="仿宋" w:eastAsia="仿宋"/>
          <w:spacing w:val="-2"/>
          <w:w w:val="95"/>
          <w:szCs w:val="21"/>
        </w:rPr>
        <w:fldChar w:fldCharType="begin"/>
      </w:r>
      <w:r>
        <w:rPr>
          <w:rFonts w:ascii="仿宋" w:eastAsia="仿宋"/>
          <w:spacing w:val="-2"/>
          <w:w w:val="95"/>
          <w:szCs w:val="21"/>
        </w:rPr>
        <w:instrText xml:space="preserve"> HYPERLINK \l _Toc19696 </w:instrText>
      </w:r>
      <w:r>
        <w:rPr>
          <w:rFonts w:ascii="仿宋" w:eastAsia="仿宋"/>
          <w:spacing w:val="-2"/>
          <w:w w:val="95"/>
          <w:szCs w:val="21"/>
        </w:rPr>
        <w:fldChar w:fldCharType="separate"/>
      </w:r>
      <w:r>
        <w:rPr>
          <w:rFonts w:hint="eastAsia"/>
          <w:szCs w:val="24"/>
        </w:rPr>
        <w:t xml:space="preserve">2.1.1 </w:t>
      </w:r>
      <w:r>
        <w:rPr>
          <w:rFonts w:hint="eastAsia"/>
        </w:rPr>
        <w:t>我国稀土行业发展情况</w:t>
      </w:r>
      <w:r>
        <w:tab/>
      </w:r>
      <w:r>
        <w:fldChar w:fldCharType="begin"/>
      </w:r>
      <w:r>
        <w:instrText xml:space="preserve"> PAGEREF _Toc19696 \h </w:instrText>
      </w:r>
      <w:r>
        <w:fldChar w:fldCharType="separate"/>
      </w:r>
      <w:r>
        <w:t>6</w:t>
      </w:r>
      <w:r>
        <w:fldChar w:fldCharType="end"/>
      </w:r>
      <w:r>
        <w:rPr>
          <w:rFonts w:ascii="仿宋" w:eastAsia="仿宋"/>
          <w:spacing w:val="-2"/>
          <w:w w:val="95"/>
          <w:szCs w:val="21"/>
        </w:rPr>
        <w:fldChar w:fldCharType="end"/>
      </w:r>
    </w:p>
    <w:p>
      <w:pPr>
        <w:pStyle w:val="15"/>
        <w:tabs>
          <w:tab w:val="right" w:leader="dot" w:pos="8310"/>
        </w:tabs>
      </w:pPr>
      <w:r>
        <w:rPr>
          <w:rFonts w:ascii="仿宋" w:eastAsia="仿宋"/>
          <w:spacing w:val="-2"/>
          <w:w w:val="95"/>
          <w:szCs w:val="21"/>
        </w:rPr>
        <w:fldChar w:fldCharType="begin"/>
      </w:r>
      <w:r>
        <w:rPr>
          <w:rFonts w:ascii="仿宋" w:eastAsia="仿宋"/>
          <w:spacing w:val="-2"/>
          <w:w w:val="95"/>
          <w:szCs w:val="21"/>
        </w:rPr>
        <w:instrText xml:space="preserve"> HYPERLINK \l _Toc10130 </w:instrText>
      </w:r>
      <w:r>
        <w:rPr>
          <w:rFonts w:ascii="仿宋" w:eastAsia="仿宋"/>
          <w:spacing w:val="-2"/>
          <w:w w:val="95"/>
          <w:szCs w:val="21"/>
        </w:rPr>
        <w:fldChar w:fldCharType="separate"/>
      </w:r>
      <w:r>
        <w:rPr>
          <w:rFonts w:hint="eastAsia"/>
          <w:szCs w:val="24"/>
        </w:rPr>
        <w:t>2.1.2 离子型稀土矿山开发</w:t>
      </w:r>
      <w:r>
        <w:tab/>
      </w:r>
      <w:r>
        <w:fldChar w:fldCharType="begin"/>
      </w:r>
      <w:r>
        <w:instrText xml:space="preserve"> PAGEREF _Toc10130 \h </w:instrText>
      </w:r>
      <w:r>
        <w:fldChar w:fldCharType="separate"/>
      </w:r>
      <w:r>
        <w:t>7</w:t>
      </w:r>
      <w:r>
        <w:fldChar w:fldCharType="end"/>
      </w:r>
      <w:r>
        <w:rPr>
          <w:rFonts w:ascii="仿宋" w:eastAsia="仿宋"/>
          <w:spacing w:val="-2"/>
          <w:w w:val="95"/>
          <w:szCs w:val="21"/>
        </w:rPr>
        <w:fldChar w:fldCharType="end"/>
      </w:r>
    </w:p>
    <w:p>
      <w:pPr>
        <w:pStyle w:val="20"/>
        <w:tabs>
          <w:tab w:val="right" w:leader="dot" w:pos="8310"/>
        </w:tabs>
      </w:pPr>
      <w:r>
        <w:rPr>
          <w:rFonts w:ascii="仿宋" w:eastAsia="仿宋"/>
          <w:spacing w:val="-2"/>
          <w:w w:val="95"/>
          <w:szCs w:val="21"/>
        </w:rPr>
        <w:fldChar w:fldCharType="begin"/>
      </w:r>
      <w:r>
        <w:rPr>
          <w:rFonts w:ascii="仿宋" w:eastAsia="仿宋"/>
          <w:spacing w:val="-2"/>
          <w:w w:val="95"/>
          <w:szCs w:val="21"/>
        </w:rPr>
        <w:instrText xml:space="preserve"> HYPERLINK \l _Toc11903 </w:instrText>
      </w:r>
      <w:r>
        <w:rPr>
          <w:rFonts w:ascii="仿宋" w:eastAsia="仿宋"/>
          <w:spacing w:val="-2"/>
          <w:w w:val="95"/>
          <w:szCs w:val="21"/>
        </w:rPr>
        <w:fldChar w:fldCharType="separate"/>
      </w:r>
      <w:r>
        <w:rPr>
          <w:rFonts w:hint="eastAsia"/>
        </w:rPr>
        <w:t>2.2 离子型稀土矿主要生产工艺及产排污情况</w:t>
      </w:r>
      <w:r>
        <w:tab/>
      </w:r>
      <w:r>
        <w:fldChar w:fldCharType="begin"/>
      </w:r>
      <w:r>
        <w:instrText xml:space="preserve"> PAGEREF _Toc11903 \h </w:instrText>
      </w:r>
      <w:r>
        <w:fldChar w:fldCharType="separate"/>
      </w:r>
      <w:r>
        <w:t>8</w:t>
      </w:r>
      <w:r>
        <w:fldChar w:fldCharType="end"/>
      </w:r>
      <w:r>
        <w:rPr>
          <w:rFonts w:ascii="仿宋" w:eastAsia="仿宋"/>
          <w:spacing w:val="-2"/>
          <w:w w:val="95"/>
          <w:szCs w:val="21"/>
        </w:rPr>
        <w:fldChar w:fldCharType="end"/>
      </w:r>
    </w:p>
    <w:p>
      <w:pPr>
        <w:pStyle w:val="15"/>
        <w:tabs>
          <w:tab w:val="right" w:leader="dot" w:pos="8310"/>
        </w:tabs>
      </w:pPr>
      <w:r>
        <w:rPr>
          <w:rFonts w:ascii="仿宋" w:eastAsia="仿宋"/>
          <w:spacing w:val="-2"/>
          <w:w w:val="95"/>
          <w:szCs w:val="21"/>
        </w:rPr>
        <w:fldChar w:fldCharType="begin"/>
      </w:r>
      <w:r>
        <w:rPr>
          <w:rFonts w:ascii="仿宋" w:eastAsia="仿宋"/>
          <w:spacing w:val="-2"/>
          <w:w w:val="95"/>
          <w:szCs w:val="21"/>
        </w:rPr>
        <w:instrText xml:space="preserve"> HYPERLINK \l _Toc14889 </w:instrText>
      </w:r>
      <w:r>
        <w:rPr>
          <w:rFonts w:ascii="仿宋" w:eastAsia="仿宋"/>
          <w:spacing w:val="-2"/>
          <w:w w:val="95"/>
          <w:szCs w:val="21"/>
        </w:rPr>
        <w:fldChar w:fldCharType="separate"/>
      </w:r>
      <w:r>
        <w:rPr>
          <w:rFonts w:hint="eastAsia"/>
          <w:szCs w:val="24"/>
        </w:rPr>
        <w:t xml:space="preserve">2.2.1 </w:t>
      </w:r>
      <w:r>
        <w:rPr>
          <w:rFonts w:hint="eastAsia"/>
        </w:rPr>
        <w:t>主要生产工艺</w:t>
      </w:r>
      <w:r>
        <w:tab/>
      </w:r>
      <w:r>
        <w:fldChar w:fldCharType="begin"/>
      </w:r>
      <w:r>
        <w:instrText xml:space="preserve"> PAGEREF _Toc14889 \h </w:instrText>
      </w:r>
      <w:r>
        <w:fldChar w:fldCharType="separate"/>
      </w:r>
      <w:r>
        <w:t>8</w:t>
      </w:r>
      <w:r>
        <w:fldChar w:fldCharType="end"/>
      </w:r>
      <w:r>
        <w:rPr>
          <w:rFonts w:ascii="仿宋" w:eastAsia="仿宋"/>
          <w:spacing w:val="-2"/>
          <w:w w:val="95"/>
          <w:szCs w:val="21"/>
        </w:rPr>
        <w:fldChar w:fldCharType="end"/>
      </w:r>
    </w:p>
    <w:p>
      <w:pPr>
        <w:pStyle w:val="15"/>
        <w:tabs>
          <w:tab w:val="right" w:leader="dot" w:pos="8310"/>
        </w:tabs>
      </w:pPr>
      <w:r>
        <w:rPr>
          <w:rFonts w:ascii="仿宋" w:eastAsia="仿宋"/>
          <w:spacing w:val="-2"/>
          <w:w w:val="95"/>
          <w:szCs w:val="21"/>
        </w:rPr>
        <w:fldChar w:fldCharType="begin"/>
      </w:r>
      <w:r>
        <w:rPr>
          <w:rFonts w:ascii="仿宋" w:eastAsia="仿宋"/>
          <w:spacing w:val="-2"/>
          <w:w w:val="95"/>
          <w:szCs w:val="21"/>
        </w:rPr>
        <w:instrText xml:space="preserve"> HYPERLINK \l _Toc18180 </w:instrText>
      </w:r>
      <w:r>
        <w:rPr>
          <w:rFonts w:ascii="仿宋" w:eastAsia="仿宋"/>
          <w:spacing w:val="-2"/>
          <w:w w:val="95"/>
          <w:szCs w:val="21"/>
        </w:rPr>
        <w:fldChar w:fldCharType="separate"/>
      </w:r>
      <w:r>
        <w:rPr>
          <w:rFonts w:hint="eastAsia"/>
          <w:szCs w:val="24"/>
        </w:rPr>
        <w:t xml:space="preserve">2.2.2 </w:t>
      </w:r>
      <w:r>
        <w:rPr>
          <w:rFonts w:hint="eastAsia"/>
        </w:rPr>
        <w:t>产污环节</w:t>
      </w:r>
      <w:r>
        <w:tab/>
      </w:r>
      <w:r>
        <w:fldChar w:fldCharType="begin"/>
      </w:r>
      <w:r>
        <w:instrText xml:space="preserve"> PAGEREF _Toc18180 \h </w:instrText>
      </w:r>
      <w:r>
        <w:fldChar w:fldCharType="separate"/>
      </w:r>
      <w:r>
        <w:t>11</w:t>
      </w:r>
      <w:r>
        <w:fldChar w:fldCharType="end"/>
      </w:r>
      <w:r>
        <w:rPr>
          <w:rFonts w:ascii="仿宋" w:eastAsia="仿宋"/>
          <w:spacing w:val="-2"/>
          <w:w w:val="95"/>
          <w:szCs w:val="21"/>
        </w:rPr>
        <w:fldChar w:fldCharType="end"/>
      </w:r>
    </w:p>
    <w:p>
      <w:pPr>
        <w:pStyle w:val="15"/>
        <w:tabs>
          <w:tab w:val="right" w:leader="dot" w:pos="8310"/>
        </w:tabs>
      </w:pPr>
      <w:r>
        <w:rPr>
          <w:rFonts w:ascii="仿宋" w:eastAsia="仿宋"/>
          <w:spacing w:val="-2"/>
          <w:w w:val="95"/>
          <w:szCs w:val="21"/>
        </w:rPr>
        <w:fldChar w:fldCharType="begin"/>
      </w:r>
      <w:r>
        <w:rPr>
          <w:rFonts w:ascii="仿宋" w:eastAsia="仿宋"/>
          <w:spacing w:val="-2"/>
          <w:w w:val="95"/>
          <w:szCs w:val="21"/>
        </w:rPr>
        <w:instrText xml:space="preserve"> HYPERLINK \l _Toc7516 </w:instrText>
      </w:r>
      <w:r>
        <w:rPr>
          <w:rFonts w:ascii="仿宋" w:eastAsia="仿宋"/>
          <w:spacing w:val="-2"/>
          <w:w w:val="95"/>
          <w:szCs w:val="21"/>
        </w:rPr>
        <w:fldChar w:fldCharType="separate"/>
      </w:r>
      <w:r>
        <w:rPr>
          <w:rFonts w:hint="eastAsia"/>
          <w:szCs w:val="24"/>
        </w:rPr>
        <w:t>2.2.3 污染防治措施</w:t>
      </w:r>
      <w:r>
        <w:tab/>
      </w:r>
      <w:r>
        <w:fldChar w:fldCharType="begin"/>
      </w:r>
      <w:r>
        <w:instrText xml:space="preserve"> PAGEREF _Toc7516 \h </w:instrText>
      </w:r>
      <w:r>
        <w:fldChar w:fldCharType="separate"/>
      </w:r>
      <w:r>
        <w:t>11</w:t>
      </w:r>
      <w:r>
        <w:fldChar w:fldCharType="end"/>
      </w:r>
      <w:r>
        <w:rPr>
          <w:rFonts w:ascii="仿宋" w:eastAsia="仿宋"/>
          <w:spacing w:val="-2"/>
          <w:w w:val="95"/>
          <w:szCs w:val="21"/>
        </w:rPr>
        <w:fldChar w:fldCharType="end"/>
      </w:r>
    </w:p>
    <w:p>
      <w:pPr>
        <w:pStyle w:val="19"/>
        <w:tabs>
          <w:tab w:val="right" w:leader="dot" w:pos="8310"/>
        </w:tabs>
      </w:pPr>
      <w:r>
        <w:rPr>
          <w:rFonts w:ascii="仿宋" w:eastAsia="仿宋"/>
          <w:spacing w:val="-2"/>
          <w:w w:val="95"/>
          <w:szCs w:val="21"/>
        </w:rPr>
        <w:fldChar w:fldCharType="begin"/>
      </w:r>
      <w:r>
        <w:rPr>
          <w:rFonts w:ascii="仿宋" w:eastAsia="仿宋"/>
          <w:spacing w:val="-2"/>
          <w:w w:val="95"/>
          <w:szCs w:val="21"/>
        </w:rPr>
        <w:instrText xml:space="preserve"> HYPERLINK \l _Toc15951 </w:instrText>
      </w:r>
      <w:r>
        <w:rPr>
          <w:rFonts w:ascii="仿宋" w:eastAsia="仿宋"/>
          <w:spacing w:val="-2"/>
          <w:w w:val="95"/>
          <w:szCs w:val="21"/>
        </w:rPr>
        <w:fldChar w:fldCharType="separate"/>
      </w:r>
      <w:r>
        <w:rPr>
          <w:rFonts w:hint="eastAsia"/>
        </w:rPr>
        <w:t>3 编制原则</w:t>
      </w:r>
      <w:r>
        <w:tab/>
      </w:r>
      <w:r>
        <w:fldChar w:fldCharType="begin"/>
      </w:r>
      <w:r>
        <w:instrText xml:space="preserve"> PAGEREF _Toc15951 \h </w:instrText>
      </w:r>
      <w:r>
        <w:fldChar w:fldCharType="separate"/>
      </w:r>
      <w:r>
        <w:t>12</w:t>
      </w:r>
      <w:r>
        <w:fldChar w:fldCharType="end"/>
      </w:r>
      <w:r>
        <w:rPr>
          <w:rFonts w:ascii="仿宋" w:eastAsia="仿宋"/>
          <w:spacing w:val="-2"/>
          <w:w w:val="95"/>
          <w:szCs w:val="21"/>
        </w:rPr>
        <w:fldChar w:fldCharType="end"/>
      </w:r>
    </w:p>
    <w:p>
      <w:pPr>
        <w:pStyle w:val="19"/>
        <w:tabs>
          <w:tab w:val="right" w:leader="dot" w:pos="8310"/>
        </w:tabs>
      </w:pPr>
      <w:r>
        <w:rPr>
          <w:rFonts w:ascii="仿宋" w:eastAsia="仿宋"/>
          <w:spacing w:val="-2"/>
          <w:w w:val="95"/>
          <w:szCs w:val="21"/>
        </w:rPr>
        <w:fldChar w:fldCharType="begin"/>
      </w:r>
      <w:r>
        <w:rPr>
          <w:rFonts w:ascii="仿宋" w:eastAsia="仿宋"/>
          <w:spacing w:val="-2"/>
          <w:w w:val="95"/>
          <w:szCs w:val="21"/>
        </w:rPr>
        <w:instrText xml:space="preserve"> HYPERLINK \l _Toc24435 </w:instrText>
      </w:r>
      <w:r>
        <w:rPr>
          <w:rFonts w:ascii="仿宋" w:eastAsia="仿宋"/>
          <w:spacing w:val="-2"/>
          <w:w w:val="95"/>
          <w:szCs w:val="21"/>
        </w:rPr>
        <w:fldChar w:fldCharType="separate"/>
      </w:r>
      <w:r>
        <w:rPr>
          <w:rFonts w:hint="eastAsia"/>
        </w:rPr>
        <w:t>4 主要技术内容及确定依据</w:t>
      </w:r>
      <w:r>
        <w:tab/>
      </w:r>
      <w:r>
        <w:fldChar w:fldCharType="begin"/>
      </w:r>
      <w:r>
        <w:instrText xml:space="preserve"> PAGEREF _Toc24435 \h </w:instrText>
      </w:r>
      <w:r>
        <w:fldChar w:fldCharType="separate"/>
      </w:r>
      <w:r>
        <w:t>12</w:t>
      </w:r>
      <w:r>
        <w:fldChar w:fldCharType="end"/>
      </w:r>
      <w:r>
        <w:rPr>
          <w:rFonts w:ascii="仿宋" w:eastAsia="仿宋"/>
          <w:spacing w:val="-2"/>
          <w:w w:val="95"/>
          <w:szCs w:val="21"/>
        </w:rPr>
        <w:fldChar w:fldCharType="end"/>
      </w:r>
    </w:p>
    <w:p>
      <w:pPr>
        <w:pStyle w:val="20"/>
        <w:tabs>
          <w:tab w:val="right" w:leader="dot" w:pos="8310"/>
        </w:tabs>
      </w:pPr>
      <w:r>
        <w:rPr>
          <w:rFonts w:ascii="仿宋" w:eastAsia="仿宋"/>
          <w:spacing w:val="-2"/>
          <w:w w:val="95"/>
          <w:szCs w:val="21"/>
        </w:rPr>
        <w:fldChar w:fldCharType="begin"/>
      </w:r>
      <w:r>
        <w:rPr>
          <w:rFonts w:ascii="仿宋" w:eastAsia="仿宋"/>
          <w:spacing w:val="-2"/>
          <w:w w:val="95"/>
          <w:szCs w:val="21"/>
        </w:rPr>
        <w:instrText xml:space="preserve"> HYPERLINK \l _Toc24636 </w:instrText>
      </w:r>
      <w:r>
        <w:rPr>
          <w:rFonts w:ascii="仿宋" w:eastAsia="仿宋"/>
          <w:spacing w:val="-2"/>
          <w:w w:val="95"/>
          <w:szCs w:val="21"/>
        </w:rPr>
        <w:fldChar w:fldCharType="separate"/>
      </w:r>
      <w:r>
        <w:rPr>
          <w:rFonts w:hint="eastAsia"/>
        </w:rPr>
        <w:t>4.1 主要技术内容的确定</w:t>
      </w:r>
      <w:r>
        <w:tab/>
      </w:r>
      <w:r>
        <w:fldChar w:fldCharType="begin"/>
      </w:r>
      <w:r>
        <w:instrText xml:space="preserve"> PAGEREF _Toc24636 \h </w:instrText>
      </w:r>
      <w:r>
        <w:fldChar w:fldCharType="separate"/>
      </w:r>
      <w:r>
        <w:t>12</w:t>
      </w:r>
      <w:r>
        <w:fldChar w:fldCharType="end"/>
      </w:r>
      <w:r>
        <w:rPr>
          <w:rFonts w:ascii="仿宋" w:eastAsia="仿宋"/>
          <w:spacing w:val="-2"/>
          <w:w w:val="95"/>
          <w:szCs w:val="21"/>
        </w:rPr>
        <w:fldChar w:fldCharType="end"/>
      </w:r>
    </w:p>
    <w:p>
      <w:pPr>
        <w:pStyle w:val="15"/>
        <w:tabs>
          <w:tab w:val="right" w:leader="dot" w:pos="8310"/>
        </w:tabs>
      </w:pPr>
      <w:r>
        <w:rPr>
          <w:rFonts w:ascii="仿宋" w:eastAsia="仿宋"/>
          <w:spacing w:val="-2"/>
          <w:w w:val="95"/>
          <w:szCs w:val="21"/>
        </w:rPr>
        <w:fldChar w:fldCharType="begin"/>
      </w:r>
      <w:r>
        <w:rPr>
          <w:rFonts w:ascii="仿宋" w:eastAsia="仿宋"/>
          <w:spacing w:val="-2"/>
          <w:w w:val="95"/>
          <w:szCs w:val="21"/>
        </w:rPr>
        <w:instrText xml:space="preserve"> HYPERLINK \l _Toc8369 </w:instrText>
      </w:r>
      <w:r>
        <w:rPr>
          <w:rFonts w:ascii="仿宋" w:eastAsia="仿宋"/>
          <w:spacing w:val="-2"/>
          <w:w w:val="95"/>
          <w:szCs w:val="21"/>
        </w:rPr>
        <w:fldChar w:fldCharType="separate"/>
      </w:r>
      <w:r>
        <w:rPr>
          <w:rFonts w:hint="eastAsia"/>
          <w:szCs w:val="24"/>
        </w:rPr>
        <w:t xml:space="preserve">4.1.1 </w:t>
      </w:r>
      <w:r>
        <w:rPr>
          <w:rFonts w:hint="eastAsia"/>
        </w:rPr>
        <w:t>标准的适用范围</w:t>
      </w:r>
      <w:r>
        <w:tab/>
      </w:r>
      <w:r>
        <w:fldChar w:fldCharType="begin"/>
      </w:r>
      <w:r>
        <w:instrText xml:space="preserve"> PAGEREF _Toc8369 \h </w:instrText>
      </w:r>
      <w:r>
        <w:fldChar w:fldCharType="separate"/>
      </w:r>
      <w:r>
        <w:t>12</w:t>
      </w:r>
      <w:r>
        <w:fldChar w:fldCharType="end"/>
      </w:r>
      <w:r>
        <w:rPr>
          <w:rFonts w:ascii="仿宋" w:eastAsia="仿宋"/>
          <w:spacing w:val="-2"/>
          <w:w w:val="95"/>
          <w:szCs w:val="21"/>
        </w:rPr>
        <w:fldChar w:fldCharType="end"/>
      </w:r>
    </w:p>
    <w:p>
      <w:pPr>
        <w:pStyle w:val="15"/>
        <w:tabs>
          <w:tab w:val="right" w:leader="dot" w:pos="8310"/>
        </w:tabs>
      </w:pPr>
      <w:r>
        <w:rPr>
          <w:rFonts w:ascii="仿宋" w:eastAsia="仿宋"/>
          <w:spacing w:val="-2"/>
          <w:w w:val="95"/>
          <w:szCs w:val="21"/>
        </w:rPr>
        <w:fldChar w:fldCharType="begin"/>
      </w:r>
      <w:r>
        <w:rPr>
          <w:rFonts w:ascii="仿宋" w:eastAsia="仿宋"/>
          <w:spacing w:val="-2"/>
          <w:w w:val="95"/>
          <w:szCs w:val="21"/>
        </w:rPr>
        <w:instrText xml:space="preserve"> HYPERLINK \l _Toc2193 </w:instrText>
      </w:r>
      <w:r>
        <w:rPr>
          <w:rFonts w:ascii="仿宋" w:eastAsia="仿宋"/>
          <w:spacing w:val="-2"/>
          <w:w w:val="95"/>
          <w:szCs w:val="21"/>
        </w:rPr>
        <w:fldChar w:fldCharType="separate"/>
      </w:r>
      <w:r>
        <w:rPr>
          <w:rFonts w:hint="eastAsia"/>
          <w:szCs w:val="24"/>
        </w:rPr>
        <w:t xml:space="preserve">4.1.2 </w:t>
      </w:r>
      <w:r>
        <w:rPr>
          <w:rFonts w:hint="eastAsia"/>
        </w:rPr>
        <w:t>标准的框架架构</w:t>
      </w:r>
      <w:r>
        <w:tab/>
      </w:r>
      <w:r>
        <w:fldChar w:fldCharType="begin"/>
      </w:r>
      <w:r>
        <w:instrText xml:space="preserve"> PAGEREF _Toc2193 \h </w:instrText>
      </w:r>
      <w:r>
        <w:fldChar w:fldCharType="separate"/>
      </w:r>
      <w:r>
        <w:t>12</w:t>
      </w:r>
      <w:r>
        <w:fldChar w:fldCharType="end"/>
      </w:r>
      <w:r>
        <w:rPr>
          <w:rFonts w:ascii="仿宋" w:eastAsia="仿宋"/>
          <w:spacing w:val="-2"/>
          <w:w w:val="95"/>
          <w:szCs w:val="21"/>
        </w:rPr>
        <w:fldChar w:fldCharType="end"/>
      </w:r>
    </w:p>
    <w:p>
      <w:pPr>
        <w:pStyle w:val="15"/>
        <w:tabs>
          <w:tab w:val="right" w:leader="dot" w:pos="8310"/>
        </w:tabs>
      </w:pPr>
      <w:r>
        <w:rPr>
          <w:rFonts w:ascii="仿宋" w:eastAsia="仿宋"/>
          <w:spacing w:val="-2"/>
          <w:w w:val="95"/>
          <w:szCs w:val="21"/>
        </w:rPr>
        <w:fldChar w:fldCharType="begin"/>
      </w:r>
      <w:r>
        <w:rPr>
          <w:rFonts w:ascii="仿宋" w:eastAsia="仿宋"/>
          <w:spacing w:val="-2"/>
          <w:w w:val="95"/>
          <w:szCs w:val="21"/>
        </w:rPr>
        <w:instrText xml:space="preserve"> HYPERLINK \l _Toc16425 </w:instrText>
      </w:r>
      <w:r>
        <w:rPr>
          <w:rFonts w:ascii="仿宋" w:eastAsia="仿宋"/>
          <w:spacing w:val="-2"/>
          <w:w w:val="95"/>
          <w:szCs w:val="21"/>
        </w:rPr>
        <w:fldChar w:fldCharType="separate"/>
      </w:r>
      <w:r>
        <w:rPr>
          <w:rFonts w:hint="eastAsia"/>
          <w:szCs w:val="24"/>
        </w:rPr>
        <w:t xml:space="preserve">4.1.3 </w:t>
      </w:r>
      <w:r>
        <w:rPr>
          <w:rFonts w:hint="eastAsia"/>
        </w:rPr>
        <w:t>术语和定义</w:t>
      </w:r>
      <w:r>
        <w:tab/>
      </w:r>
      <w:r>
        <w:fldChar w:fldCharType="begin"/>
      </w:r>
      <w:r>
        <w:instrText xml:space="preserve"> PAGEREF _Toc16425 \h </w:instrText>
      </w:r>
      <w:r>
        <w:fldChar w:fldCharType="separate"/>
      </w:r>
      <w:r>
        <w:t>13</w:t>
      </w:r>
      <w:r>
        <w:fldChar w:fldCharType="end"/>
      </w:r>
      <w:r>
        <w:rPr>
          <w:rFonts w:ascii="仿宋" w:eastAsia="仿宋"/>
          <w:spacing w:val="-2"/>
          <w:w w:val="95"/>
          <w:szCs w:val="21"/>
        </w:rPr>
        <w:fldChar w:fldCharType="end"/>
      </w:r>
    </w:p>
    <w:p>
      <w:pPr>
        <w:pStyle w:val="20"/>
        <w:tabs>
          <w:tab w:val="right" w:leader="dot" w:pos="8310"/>
        </w:tabs>
      </w:pPr>
      <w:r>
        <w:rPr>
          <w:rFonts w:ascii="仿宋" w:eastAsia="仿宋"/>
          <w:spacing w:val="-2"/>
          <w:w w:val="95"/>
          <w:szCs w:val="21"/>
        </w:rPr>
        <w:fldChar w:fldCharType="begin"/>
      </w:r>
      <w:r>
        <w:rPr>
          <w:rFonts w:ascii="仿宋" w:eastAsia="仿宋"/>
          <w:spacing w:val="-2"/>
          <w:w w:val="95"/>
          <w:szCs w:val="21"/>
        </w:rPr>
        <w:instrText xml:space="preserve"> HYPERLINK \l _Toc19183 </w:instrText>
      </w:r>
      <w:r>
        <w:rPr>
          <w:rFonts w:ascii="仿宋" w:eastAsia="仿宋"/>
          <w:spacing w:val="-2"/>
          <w:w w:val="95"/>
          <w:szCs w:val="21"/>
        </w:rPr>
        <w:fldChar w:fldCharType="separate"/>
      </w:r>
      <w:r>
        <w:rPr>
          <w:rFonts w:hint="eastAsia"/>
        </w:rPr>
        <w:t>4.2 水污染控制要求中污染物项目和浓度限值的确定</w:t>
      </w:r>
      <w:r>
        <w:tab/>
      </w:r>
      <w:r>
        <w:fldChar w:fldCharType="begin"/>
      </w:r>
      <w:r>
        <w:instrText xml:space="preserve"> PAGEREF _Toc19183 \h </w:instrText>
      </w:r>
      <w:r>
        <w:fldChar w:fldCharType="separate"/>
      </w:r>
      <w:r>
        <w:t>13</w:t>
      </w:r>
      <w:r>
        <w:fldChar w:fldCharType="end"/>
      </w:r>
      <w:r>
        <w:rPr>
          <w:rFonts w:ascii="仿宋" w:eastAsia="仿宋"/>
          <w:spacing w:val="-2"/>
          <w:w w:val="95"/>
          <w:szCs w:val="21"/>
        </w:rPr>
        <w:fldChar w:fldCharType="end"/>
      </w:r>
    </w:p>
    <w:p>
      <w:pPr>
        <w:pStyle w:val="15"/>
        <w:tabs>
          <w:tab w:val="right" w:leader="dot" w:pos="8310"/>
        </w:tabs>
      </w:pPr>
      <w:r>
        <w:rPr>
          <w:rFonts w:ascii="仿宋" w:eastAsia="仿宋"/>
          <w:spacing w:val="-2"/>
          <w:w w:val="95"/>
          <w:szCs w:val="21"/>
        </w:rPr>
        <w:fldChar w:fldCharType="begin"/>
      </w:r>
      <w:r>
        <w:rPr>
          <w:rFonts w:ascii="仿宋" w:eastAsia="仿宋"/>
          <w:spacing w:val="-2"/>
          <w:w w:val="95"/>
          <w:szCs w:val="21"/>
        </w:rPr>
        <w:instrText xml:space="preserve"> HYPERLINK \l _Toc22627 </w:instrText>
      </w:r>
      <w:r>
        <w:rPr>
          <w:rFonts w:ascii="仿宋" w:eastAsia="仿宋"/>
          <w:spacing w:val="-2"/>
          <w:w w:val="95"/>
          <w:szCs w:val="21"/>
        </w:rPr>
        <w:fldChar w:fldCharType="separate"/>
      </w:r>
      <w:r>
        <w:rPr>
          <w:rFonts w:hint="eastAsia"/>
          <w:szCs w:val="24"/>
        </w:rPr>
        <w:t xml:space="preserve">4.2.1 </w:t>
      </w:r>
      <w:r>
        <w:rPr>
          <w:rFonts w:hint="eastAsia"/>
        </w:rPr>
        <w:t>污染物项目的确定</w:t>
      </w:r>
      <w:r>
        <w:tab/>
      </w:r>
      <w:r>
        <w:fldChar w:fldCharType="begin"/>
      </w:r>
      <w:r>
        <w:instrText xml:space="preserve"> PAGEREF _Toc22627 \h </w:instrText>
      </w:r>
      <w:r>
        <w:fldChar w:fldCharType="separate"/>
      </w:r>
      <w:r>
        <w:t>13</w:t>
      </w:r>
      <w:r>
        <w:fldChar w:fldCharType="end"/>
      </w:r>
      <w:r>
        <w:rPr>
          <w:rFonts w:ascii="仿宋" w:eastAsia="仿宋"/>
          <w:spacing w:val="-2"/>
          <w:w w:val="95"/>
          <w:szCs w:val="21"/>
        </w:rPr>
        <w:fldChar w:fldCharType="end"/>
      </w:r>
    </w:p>
    <w:p>
      <w:pPr>
        <w:pStyle w:val="15"/>
        <w:tabs>
          <w:tab w:val="right" w:leader="dot" w:pos="8310"/>
        </w:tabs>
      </w:pPr>
      <w:r>
        <w:rPr>
          <w:rFonts w:ascii="仿宋" w:eastAsia="仿宋"/>
          <w:spacing w:val="-2"/>
          <w:w w:val="95"/>
          <w:szCs w:val="21"/>
        </w:rPr>
        <w:fldChar w:fldCharType="begin"/>
      </w:r>
      <w:r>
        <w:rPr>
          <w:rFonts w:ascii="仿宋" w:eastAsia="仿宋"/>
          <w:spacing w:val="-2"/>
          <w:w w:val="95"/>
          <w:szCs w:val="21"/>
        </w:rPr>
        <w:instrText xml:space="preserve"> HYPERLINK \l _Toc8035 </w:instrText>
      </w:r>
      <w:r>
        <w:rPr>
          <w:rFonts w:ascii="仿宋" w:eastAsia="仿宋"/>
          <w:spacing w:val="-2"/>
          <w:w w:val="95"/>
          <w:szCs w:val="21"/>
        </w:rPr>
        <w:fldChar w:fldCharType="separate"/>
      </w:r>
      <w:r>
        <w:rPr>
          <w:rFonts w:hint="eastAsia"/>
          <w:szCs w:val="24"/>
        </w:rPr>
        <w:t xml:space="preserve">4.2.2 </w:t>
      </w:r>
      <w:r>
        <w:rPr>
          <w:rFonts w:hint="eastAsia"/>
        </w:rPr>
        <w:t>浓度限值的确定</w:t>
      </w:r>
      <w:r>
        <w:tab/>
      </w:r>
      <w:r>
        <w:fldChar w:fldCharType="begin"/>
      </w:r>
      <w:r>
        <w:instrText xml:space="preserve"> PAGEREF _Toc8035 \h </w:instrText>
      </w:r>
      <w:r>
        <w:fldChar w:fldCharType="separate"/>
      </w:r>
      <w:r>
        <w:t>14</w:t>
      </w:r>
      <w:r>
        <w:fldChar w:fldCharType="end"/>
      </w:r>
      <w:r>
        <w:rPr>
          <w:rFonts w:ascii="仿宋" w:eastAsia="仿宋"/>
          <w:spacing w:val="-2"/>
          <w:w w:val="95"/>
          <w:szCs w:val="21"/>
        </w:rPr>
        <w:fldChar w:fldCharType="end"/>
      </w:r>
    </w:p>
    <w:p>
      <w:pPr>
        <w:pStyle w:val="15"/>
        <w:tabs>
          <w:tab w:val="right" w:leader="dot" w:pos="8310"/>
        </w:tabs>
      </w:pPr>
      <w:r>
        <w:rPr>
          <w:rFonts w:ascii="仿宋" w:eastAsia="仿宋"/>
          <w:spacing w:val="-2"/>
          <w:w w:val="95"/>
          <w:szCs w:val="21"/>
        </w:rPr>
        <w:fldChar w:fldCharType="begin"/>
      </w:r>
      <w:r>
        <w:rPr>
          <w:rFonts w:ascii="仿宋" w:eastAsia="仿宋"/>
          <w:spacing w:val="-2"/>
          <w:w w:val="95"/>
          <w:szCs w:val="21"/>
        </w:rPr>
        <w:instrText xml:space="preserve"> HYPERLINK \l _Toc21053 </w:instrText>
      </w:r>
      <w:r>
        <w:rPr>
          <w:rFonts w:ascii="仿宋" w:eastAsia="仿宋"/>
          <w:spacing w:val="-2"/>
          <w:w w:val="95"/>
          <w:szCs w:val="21"/>
        </w:rPr>
        <w:fldChar w:fldCharType="separate"/>
      </w:r>
      <w:r>
        <w:rPr>
          <w:rFonts w:hint="eastAsia"/>
          <w:szCs w:val="24"/>
        </w:rPr>
        <w:t xml:space="preserve">4.2.3 </w:t>
      </w:r>
      <w:r>
        <w:rPr>
          <w:rFonts w:hint="eastAsia"/>
        </w:rPr>
        <w:t>达标分析</w:t>
      </w:r>
      <w:r>
        <w:tab/>
      </w:r>
      <w:r>
        <w:fldChar w:fldCharType="begin"/>
      </w:r>
      <w:r>
        <w:instrText xml:space="preserve"> PAGEREF _Toc21053 \h </w:instrText>
      </w:r>
      <w:r>
        <w:fldChar w:fldCharType="separate"/>
      </w:r>
      <w:r>
        <w:t>16</w:t>
      </w:r>
      <w:r>
        <w:fldChar w:fldCharType="end"/>
      </w:r>
      <w:r>
        <w:rPr>
          <w:rFonts w:ascii="仿宋" w:eastAsia="仿宋"/>
          <w:spacing w:val="-2"/>
          <w:w w:val="95"/>
          <w:szCs w:val="21"/>
        </w:rPr>
        <w:fldChar w:fldCharType="end"/>
      </w:r>
    </w:p>
    <w:p>
      <w:pPr>
        <w:pStyle w:val="15"/>
        <w:tabs>
          <w:tab w:val="right" w:leader="dot" w:pos="8310"/>
        </w:tabs>
      </w:pPr>
      <w:r>
        <w:rPr>
          <w:rFonts w:ascii="仿宋" w:eastAsia="仿宋"/>
          <w:spacing w:val="-2"/>
          <w:w w:val="95"/>
          <w:szCs w:val="21"/>
        </w:rPr>
        <w:fldChar w:fldCharType="begin"/>
      </w:r>
      <w:r>
        <w:rPr>
          <w:rFonts w:ascii="仿宋" w:eastAsia="仿宋"/>
          <w:spacing w:val="-2"/>
          <w:w w:val="95"/>
          <w:szCs w:val="21"/>
        </w:rPr>
        <w:instrText xml:space="preserve"> HYPERLINK \l _Toc24656 </w:instrText>
      </w:r>
      <w:r>
        <w:rPr>
          <w:rFonts w:ascii="仿宋" w:eastAsia="仿宋"/>
          <w:spacing w:val="-2"/>
          <w:w w:val="95"/>
          <w:szCs w:val="21"/>
        </w:rPr>
        <w:fldChar w:fldCharType="separate"/>
      </w:r>
      <w:r>
        <w:rPr>
          <w:rFonts w:hint="eastAsia"/>
          <w:szCs w:val="24"/>
          <w:lang w:val="en-US" w:eastAsia="zh-CN"/>
        </w:rPr>
        <w:t xml:space="preserve">4.2.4 </w:t>
      </w:r>
      <w:r>
        <w:rPr>
          <w:rFonts w:hint="eastAsia"/>
          <w:lang w:val="en-US" w:eastAsia="zh-CN"/>
        </w:rPr>
        <w:t>单位产品基准排水量的确定及制定依据</w:t>
      </w:r>
      <w:r>
        <w:tab/>
      </w:r>
      <w:r>
        <w:fldChar w:fldCharType="begin"/>
      </w:r>
      <w:r>
        <w:instrText xml:space="preserve"> PAGEREF _Toc24656 \h </w:instrText>
      </w:r>
      <w:r>
        <w:fldChar w:fldCharType="separate"/>
      </w:r>
      <w:r>
        <w:t>16</w:t>
      </w:r>
      <w:r>
        <w:fldChar w:fldCharType="end"/>
      </w:r>
      <w:r>
        <w:rPr>
          <w:rFonts w:ascii="仿宋" w:eastAsia="仿宋"/>
          <w:spacing w:val="-2"/>
          <w:w w:val="95"/>
          <w:szCs w:val="21"/>
        </w:rPr>
        <w:fldChar w:fldCharType="end"/>
      </w:r>
    </w:p>
    <w:p>
      <w:pPr>
        <w:pStyle w:val="20"/>
        <w:tabs>
          <w:tab w:val="right" w:leader="dot" w:pos="8310"/>
        </w:tabs>
      </w:pPr>
      <w:r>
        <w:rPr>
          <w:rFonts w:ascii="仿宋" w:eastAsia="仿宋"/>
          <w:spacing w:val="-2"/>
          <w:w w:val="95"/>
          <w:szCs w:val="21"/>
        </w:rPr>
        <w:fldChar w:fldCharType="begin"/>
      </w:r>
      <w:r>
        <w:rPr>
          <w:rFonts w:ascii="仿宋" w:eastAsia="仿宋"/>
          <w:spacing w:val="-2"/>
          <w:w w:val="95"/>
          <w:szCs w:val="21"/>
        </w:rPr>
        <w:instrText xml:space="preserve"> HYPERLINK \l _Toc18336 </w:instrText>
      </w:r>
      <w:r>
        <w:rPr>
          <w:rFonts w:ascii="仿宋" w:eastAsia="仿宋"/>
          <w:spacing w:val="-2"/>
          <w:w w:val="95"/>
          <w:szCs w:val="21"/>
        </w:rPr>
        <w:fldChar w:fldCharType="separate"/>
      </w:r>
      <w:r>
        <w:rPr>
          <w:rFonts w:hint="eastAsia"/>
        </w:rPr>
        <w:t>4.3 水污染物控制措施的确定</w:t>
      </w:r>
      <w:r>
        <w:tab/>
      </w:r>
      <w:r>
        <w:fldChar w:fldCharType="begin"/>
      </w:r>
      <w:r>
        <w:instrText xml:space="preserve"> PAGEREF _Toc18336 \h </w:instrText>
      </w:r>
      <w:r>
        <w:fldChar w:fldCharType="separate"/>
      </w:r>
      <w:r>
        <w:t>16</w:t>
      </w:r>
      <w:r>
        <w:fldChar w:fldCharType="end"/>
      </w:r>
      <w:r>
        <w:rPr>
          <w:rFonts w:ascii="仿宋" w:eastAsia="仿宋"/>
          <w:spacing w:val="-2"/>
          <w:w w:val="95"/>
          <w:szCs w:val="21"/>
        </w:rPr>
        <w:fldChar w:fldCharType="end"/>
      </w:r>
    </w:p>
    <w:p>
      <w:pPr>
        <w:pStyle w:val="15"/>
        <w:tabs>
          <w:tab w:val="right" w:leader="dot" w:pos="8310"/>
        </w:tabs>
      </w:pPr>
      <w:r>
        <w:rPr>
          <w:rFonts w:ascii="仿宋" w:eastAsia="仿宋"/>
          <w:spacing w:val="-2"/>
          <w:w w:val="95"/>
          <w:szCs w:val="21"/>
        </w:rPr>
        <w:fldChar w:fldCharType="begin"/>
      </w:r>
      <w:r>
        <w:rPr>
          <w:rFonts w:ascii="仿宋" w:eastAsia="仿宋"/>
          <w:spacing w:val="-2"/>
          <w:w w:val="95"/>
          <w:szCs w:val="21"/>
        </w:rPr>
        <w:instrText xml:space="preserve"> HYPERLINK \l _Toc3270 </w:instrText>
      </w:r>
      <w:r>
        <w:rPr>
          <w:rFonts w:ascii="仿宋" w:eastAsia="仿宋"/>
          <w:spacing w:val="-2"/>
          <w:w w:val="95"/>
          <w:szCs w:val="21"/>
        </w:rPr>
        <w:fldChar w:fldCharType="separate"/>
      </w:r>
      <w:r>
        <w:rPr>
          <w:rFonts w:hint="eastAsia"/>
          <w:szCs w:val="24"/>
        </w:rPr>
        <w:t xml:space="preserve">4.3.1 </w:t>
      </w:r>
      <w:r>
        <w:rPr>
          <w:rFonts w:hint="eastAsia"/>
        </w:rPr>
        <w:t>水污染控制措施基本要求</w:t>
      </w:r>
      <w:r>
        <w:tab/>
      </w:r>
      <w:r>
        <w:fldChar w:fldCharType="begin"/>
      </w:r>
      <w:r>
        <w:instrText xml:space="preserve"> PAGEREF _Toc3270 \h </w:instrText>
      </w:r>
      <w:r>
        <w:fldChar w:fldCharType="separate"/>
      </w:r>
      <w:r>
        <w:t>18</w:t>
      </w:r>
      <w:r>
        <w:fldChar w:fldCharType="end"/>
      </w:r>
      <w:r>
        <w:rPr>
          <w:rFonts w:ascii="仿宋" w:eastAsia="仿宋"/>
          <w:spacing w:val="-2"/>
          <w:w w:val="95"/>
          <w:szCs w:val="21"/>
        </w:rPr>
        <w:fldChar w:fldCharType="end"/>
      </w:r>
    </w:p>
    <w:p>
      <w:pPr>
        <w:pStyle w:val="15"/>
        <w:tabs>
          <w:tab w:val="right" w:leader="dot" w:pos="8310"/>
        </w:tabs>
      </w:pPr>
      <w:r>
        <w:rPr>
          <w:rFonts w:ascii="仿宋" w:eastAsia="仿宋"/>
          <w:spacing w:val="-2"/>
          <w:w w:val="95"/>
          <w:szCs w:val="21"/>
        </w:rPr>
        <w:fldChar w:fldCharType="begin"/>
      </w:r>
      <w:r>
        <w:rPr>
          <w:rFonts w:ascii="仿宋" w:eastAsia="仿宋"/>
          <w:spacing w:val="-2"/>
          <w:w w:val="95"/>
          <w:szCs w:val="21"/>
        </w:rPr>
        <w:instrText xml:space="preserve"> HYPERLINK \l _Toc31998 </w:instrText>
      </w:r>
      <w:r>
        <w:rPr>
          <w:rFonts w:ascii="仿宋" w:eastAsia="仿宋"/>
          <w:spacing w:val="-2"/>
          <w:w w:val="95"/>
          <w:szCs w:val="21"/>
        </w:rPr>
        <w:fldChar w:fldCharType="separate"/>
      </w:r>
      <w:r>
        <w:rPr>
          <w:rFonts w:hint="eastAsia"/>
          <w:szCs w:val="24"/>
        </w:rPr>
        <w:t xml:space="preserve">4.3.2 </w:t>
      </w:r>
      <w:r>
        <w:rPr>
          <w:rFonts w:hint="eastAsia"/>
        </w:rPr>
        <w:t>水污染源头削减控制措施</w:t>
      </w:r>
      <w:r>
        <w:tab/>
      </w:r>
      <w:r>
        <w:fldChar w:fldCharType="begin"/>
      </w:r>
      <w:r>
        <w:instrText xml:space="preserve"> PAGEREF _Toc31998 \h </w:instrText>
      </w:r>
      <w:r>
        <w:fldChar w:fldCharType="separate"/>
      </w:r>
      <w:r>
        <w:t>19</w:t>
      </w:r>
      <w:r>
        <w:fldChar w:fldCharType="end"/>
      </w:r>
      <w:r>
        <w:rPr>
          <w:rFonts w:ascii="仿宋" w:eastAsia="仿宋"/>
          <w:spacing w:val="-2"/>
          <w:w w:val="95"/>
          <w:szCs w:val="21"/>
        </w:rPr>
        <w:fldChar w:fldCharType="end"/>
      </w:r>
    </w:p>
    <w:p>
      <w:pPr>
        <w:pStyle w:val="15"/>
        <w:tabs>
          <w:tab w:val="right" w:leader="dot" w:pos="8310"/>
        </w:tabs>
      </w:pPr>
      <w:r>
        <w:rPr>
          <w:rFonts w:ascii="仿宋" w:eastAsia="仿宋"/>
          <w:spacing w:val="-2"/>
          <w:w w:val="95"/>
          <w:szCs w:val="21"/>
        </w:rPr>
        <w:fldChar w:fldCharType="begin"/>
      </w:r>
      <w:r>
        <w:rPr>
          <w:rFonts w:ascii="仿宋" w:eastAsia="仿宋"/>
          <w:spacing w:val="-2"/>
          <w:w w:val="95"/>
          <w:szCs w:val="21"/>
        </w:rPr>
        <w:instrText xml:space="preserve"> HYPERLINK \l _Toc6794 </w:instrText>
      </w:r>
      <w:r>
        <w:rPr>
          <w:rFonts w:ascii="仿宋" w:eastAsia="仿宋"/>
          <w:spacing w:val="-2"/>
          <w:w w:val="95"/>
          <w:szCs w:val="21"/>
        </w:rPr>
        <w:fldChar w:fldCharType="separate"/>
      </w:r>
      <w:r>
        <w:rPr>
          <w:rFonts w:hint="eastAsia"/>
          <w:szCs w:val="24"/>
        </w:rPr>
        <w:t xml:space="preserve">4.3.3 </w:t>
      </w:r>
      <w:r>
        <w:rPr>
          <w:rFonts w:hint="eastAsia"/>
        </w:rPr>
        <w:t>水污染过程监管预警措施</w:t>
      </w:r>
      <w:r>
        <w:tab/>
      </w:r>
      <w:r>
        <w:fldChar w:fldCharType="begin"/>
      </w:r>
      <w:r>
        <w:instrText xml:space="preserve"> PAGEREF _Toc6794 \h </w:instrText>
      </w:r>
      <w:r>
        <w:fldChar w:fldCharType="separate"/>
      </w:r>
      <w:r>
        <w:t>21</w:t>
      </w:r>
      <w:r>
        <w:fldChar w:fldCharType="end"/>
      </w:r>
      <w:r>
        <w:rPr>
          <w:rFonts w:ascii="仿宋" w:eastAsia="仿宋"/>
          <w:spacing w:val="-2"/>
          <w:w w:val="95"/>
          <w:szCs w:val="21"/>
        </w:rPr>
        <w:fldChar w:fldCharType="end"/>
      </w:r>
    </w:p>
    <w:p>
      <w:pPr>
        <w:pStyle w:val="15"/>
        <w:tabs>
          <w:tab w:val="right" w:leader="dot" w:pos="8310"/>
        </w:tabs>
      </w:pPr>
      <w:r>
        <w:rPr>
          <w:rFonts w:ascii="仿宋" w:eastAsia="仿宋"/>
          <w:spacing w:val="-2"/>
          <w:w w:val="95"/>
          <w:szCs w:val="21"/>
        </w:rPr>
        <w:fldChar w:fldCharType="begin"/>
      </w:r>
      <w:r>
        <w:rPr>
          <w:rFonts w:ascii="仿宋" w:eastAsia="仿宋"/>
          <w:spacing w:val="-2"/>
          <w:w w:val="95"/>
          <w:szCs w:val="21"/>
        </w:rPr>
        <w:instrText xml:space="preserve"> HYPERLINK \l _Toc12221 </w:instrText>
      </w:r>
      <w:r>
        <w:rPr>
          <w:rFonts w:ascii="仿宋" w:eastAsia="仿宋"/>
          <w:spacing w:val="-2"/>
          <w:w w:val="95"/>
          <w:szCs w:val="21"/>
        </w:rPr>
        <w:fldChar w:fldCharType="separate"/>
      </w:r>
      <w:r>
        <w:rPr>
          <w:rFonts w:hint="eastAsia"/>
          <w:szCs w:val="24"/>
        </w:rPr>
        <w:t xml:space="preserve">4.3.4 </w:t>
      </w:r>
      <w:r>
        <w:rPr>
          <w:rFonts w:hint="eastAsia"/>
        </w:rPr>
        <w:t>水污染末端风险防控措施</w:t>
      </w:r>
      <w:r>
        <w:tab/>
      </w:r>
      <w:r>
        <w:fldChar w:fldCharType="begin"/>
      </w:r>
      <w:r>
        <w:instrText xml:space="preserve"> PAGEREF _Toc12221 \h </w:instrText>
      </w:r>
      <w:r>
        <w:fldChar w:fldCharType="separate"/>
      </w:r>
      <w:r>
        <w:t>21</w:t>
      </w:r>
      <w:r>
        <w:fldChar w:fldCharType="end"/>
      </w:r>
      <w:r>
        <w:rPr>
          <w:rFonts w:ascii="仿宋" w:eastAsia="仿宋"/>
          <w:spacing w:val="-2"/>
          <w:w w:val="95"/>
          <w:szCs w:val="21"/>
        </w:rPr>
        <w:fldChar w:fldCharType="end"/>
      </w:r>
    </w:p>
    <w:p>
      <w:pPr>
        <w:pStyle w:val="20"/>
        <w:tabs>
          <w:tab w:val="right" w:leader="dot" w:pos="8310"/>
        </w:tabs>
      </w:pPr>
      <w:r>
        <w:rPr>
          <w:rFonts w:ascii="仿宋" w:eastAsia="仿宋"/>
          <w:spacing w:val="-2"/>
          <w:w w:val="95"/>
          <w:szCs w:val="21"/>
        </w:rPr>
        <w:fldChar w:fldCharType="begin"/>
      </w:r>
      <w:r>
        <w:rPr>
          <w:rFonts w:ascii="仿宋" w:eastAsia="仿宋"/>
          <w:spacing w:val="-2"/>
          <w:w w:val="95"/>
          <w:szCs w:val="21"/>
        </w:rPr>
        <w:instrText xml:space="preserve"> HYPERLINK \l _Toc15699 </w:instrText>
      </w:r>
      <w:r>
        <w:rPr>
          <w:rFonts w:ascii="仿宋" w:eastAsia="仿宋"/>
          <w:spacing w:val="-2"/>
          <w:w w:val="95"/>
          <w:szCs w:val="21"/>
        </w:rPr>
        <w:fldChar w:fldCharType="separate"/>
      </w:r>
      <w:r>
        <w:rPr>
          <w:rFonts w:hint="eastAsia"/>
        </w:rPr>
        <w:t>4.4 监测要求</w:t>
      </w:r>
      <w:r>
        <w:tab/>
      </w:r>
      <w:r>
        <w:fldChar w:fldCharType="begin"/>
      </w:r>
      <w:r>
        <w:instrText xml:space="preserve"> PAGEREF _Toc15699 \h </w:instrText>
      </w:r>
      <w:r>
        <w:fldChar w:fldCharType="separate"/>
      </w:r>
      <w:r>
        <w:t>22</w:t>
      </w:r>
      <w:r>
        <w:fldChar w:fldCharType="end"/>
      </w:r>
      <w:r>
        <w:rPr>
          <w:rFonts w:ascii="仿宋" w:eastAsia="仿宋"/>
          <w:spacing w:val="-2"/>
          <w:w w:val="95"/>
          <w:szCs w:val="21"/>
        </w:rPr>
        <w:fldChar w:fldCharType="end"/>
      </w:r>
    </w:p>
    <w:p>
      <w:pPr>
        <w:pStyle w:val="19"/>
        <w:tabs>
          <w:tab w:val="right" w:leader="dot" w:pos="8310"/>
        </w:tabs>
      </w:pPr>
      <w:r>
        <w:rPr>
          <w:rFonts w:ascii="仿宋" w:eastAsia="仿宋"/>
          <w:spacing w:val="-2"/>
          <w:w w:val="95"/>
          <w:szCs w:val="21"/>
        </w:rPr>
        <w:fldChar w:fldCharType="begin"/>
      </w:r>
      <w:r>
        <w:rPr>
          <w:rFonts w:ascii="仿宋" w:eastAsia="仿宋"/>
          <w:spacing w:val="-2"/>
          <w:w w:val="95"/>
          <w:szCs w:val="21"/>
        </w:rPr>
        <w:instrText xml:space="preserve"> HYPERLINK \l _Toc10485 </w:instrText>
      </w:r>
      <w:r>
        <w:rPr>
          <w:rFonts w:ascii="仿宋" w:eastAsia="仿宋"/>
          <w:spacing w:val="-2"/>
          <w:w w:val="95"/>
          <w:szCs w:val="21"/>
        </w:rPr>
        <w:fldChar w:fldCharType="separate"/>
      </w:r>
      <w:r>
        <w:rPr>
          <w:rFonts w:hint="eastAsia"/>
        </w:rPr>
        <w:t>5 与现行相关法律、法规、规章及相关标准，特别是强制性标准的协调性</w:t>
      </w:r>
      <w:r>
        <w:tab/>
      </w:r>
      <w:r>
        <w:fldChar w:fldCharType="begin"/>
      </w:r>
      <w:r>
        <w:instrText xml:space="preserve"> PAGEREF _Toc10485 \h </w:instrText>
      </w:r>
      <w:r>
        <w:fldChar w:fldCharType="separate"/>
      </w:r>
      <w:r>
        <w:t>23</w:t>
      </w:r>
      <w:r>
        <w:fldChar w:fldCharType="end"/>
      </w:r>
      <w:r>
        <w:rPr>
          <w:rFonts w:ascii="仿宋" w:eastAsia="仿宋"/>
          <w:spacing w:val="-2"/>
          <w:w w:val="95"/>
          <w:szCs w:val="21"/>
        </w:rPr>
        <w:fldChar w:fldCharType="end"/>
      </w:r>
    </w:p>
    <w:p>
      <w:pPr>
        <w:pStyle w:val="19"/>
        <w:tabs>
          <w:tab w:val="right" w:leader="dot" w:pos="8310"/>
        </w:tabs>
      </w:pPr>
      <w:r>
        <w:rPr>
          <w:rFonts w:ascii="仿宋" w:eastAsia="仿宋"/>
          <w:spacing w:val="-2"/>
          <w:w w:val="95"/>
          <w:szCs w:val="21"/>
        </w:rPr>
        <w:fldChar w:fldCharType="begin"/>
      </w:r>
      <w:r>
        <w:rPr>
          <w:rFonts w:ascii="仿宋" w:eastAsia="仿宋"/>
          <w:spacing w:val="-2"/>
          <w:w w:val="95"/>
          <w:szCs w:val="21"/>
        </w:rPr>
        <w:instrText xml:space="preserve"> HYPERLINK \l _Toc29967 </w:instrText>
      </w:r>
      <w:r>
        <w:rPr>
          <w:rFonts w:ascii="仿宋" w:eastAsia="仿宋"/>
          <w:spacing w:val="-2"/>
          <w:w w:val="95"/>
          <w:szCs w:val="21"/>
        </w:rPr>
        <w:fldChar w:fldCharType="separate"/>
      </w:r>
      <w:r>
        <w:rPr>
          <w:rFonts w:hint="eastAsia"/>
        </w:rPr>
        <w:t>6 标准中涉及的专业或知识产权说明</w:t>
      </w:r>
      <w:r>
        <w:tab/>
      </w:r>
      <w:r>
        <w:fldChar w:fldCharType="begin"/>
      </w:r>
      <w:r>
        <w:instrText xml:space="preserve"> PAGEREF _Toc29967 \h </w:instrText>
      </w:r>
      <w:r>
        <w:fldChar w:fldCharType="separate"/>
      </w:r>
      <w:r>
        <w:t>23</w:t>
      </w:r>
      <w:r>
        <w:fldChar w:fldCharType="end"/>
      </w:r>
      <w:r>
        <w:rPr>
          <w:rFonts w:ascii="仿宋" w:eastAsia="仿宋"/>
          <w:spacing w:val="-2"/>
          <w:w w:val="95"/>
          <w:szCs w:val="21"/>
        </w:rPr>
        <w:fldChar w:fldCharType="end"/>
      </w:r>
    </w:p>
    <w:p>
      <w:pPr>
        <w:pStyle w:val="19"/>
        <w:tabs>
          <w:tab w:val="right" w:leader="dot" w:pos="8310"/>
        </w:tabs>
      </w:pPr>
      <w:r>
        <w:rPr>
          <w:rFonts w:ascii="仿宋" w:eastAsia="仿宋"/>
          <w:spacing w:val="-2"/>
          <w:w w:val="95"/>
          <w:szCs w:val="21"/>
        </w:rPr>
        <w:fldChar w:fldCharType="begin"/>
      </w:r>
      <w:r>
        <w:rPr>
          <w:rFonts w:ascii="仿宋" w:eastAsia="仿宋"/>
          <w:spacing w:val="-2"/>
          <w:w w:val="95"/>
          <w:szCs w:val="21"/>
        </w:rPr>
        <w:instrText xml:space="preserve"> HYPERLINK \l _Toc16177 </w:instrText>
      </w:r>
      <w:r>
        <w:rPr>
          <w:rFonts w:ascii="仿宋" w:eastAsia="仿宋"/>
          <w:spacing w:val="-2"/>
          <w:w w:val="95"/>
          <w:szCs w:val="21"/>
        </w:rPr>
        <w:fldChar w:fldCharType="separate"/>
      </w:r>
      <w:r>
        <w:rPr>
          <w:rFonts w:hint="eastAsia"/>
        </w:rPr>
        <w:t>7 标准作为强制性或推荐性标准的建议</w:t>
      </w:r>
      <w:r>
        <w:tab/>
      </w:r>
      <w:r>
        <w:fldChar w:fldCharType="begin"/>
      </w:r>
      <w:r>
        <w:instrText xml:space="preserve"> PAGEREF _Toc16177 \h </w:instrText>
      </w:r>
      <w:r>
        <w:fldChar w:fldCharType="separate"/>
      </w:r>
      <w:r>
        <w:t>23</w:t>
      </w:r>
      <w:r>
        <w:fldChar w:fldCharType="end"/>
      </w:r>
      <w:r>
        <w:rPr>
          <w:rFonts w:ascii="仿宋" w:eastAsia="仿宋"/>
          <w:spacing w:val="-2"/>
          <w:w w:val="95"/>
          <w:szCs w:val="21"/>
        </w:rPr>
        <w:fldChar w:fldCharType="end"/>
      </w:r>
    </w:p>
    <w:p>
      <w:pPr>
        <w:pStyle w:val="19"/>
        <w:tabs>
          <w:tab w:val="right" w:leader="dot" w:pos="8310"/>
        </w:tabs>
      </w:pPr>
      <w:r>
        <w:rPr>
          <w:rFonts w:ascii="仿宋" w:eastAsia="仿宋"/>
          <w:spacing w:val="-2"/>
          <w:w w:val="95"/>
          <w:szCs w:val="21"/>
        </w:rPr>
        <w:fldChar w:fldCharType="begin"/>
      </w:r>
      <w:r>
        <w:rPr>
          <w:rFonts w:ascii="仿宋" w:eastAsia="仿宋"/>
          <w:spacing w:val="-2"/>
          <w:w w:val="95"/>
          <w:szCs w:val="21"/>
        </w:rPr>
        <w:instrText xml:space="preserve"> HYPERLINK \l _Toc810 </w:instrText>
      </w:r>
      <w:r>
        <w:rPr>
          <w:rFonts w:ascii="仿宋" w:eastAsia="仿宋"/>
          <w:spacing w:val="-2"/>
          <w:w w:val="95"/>
          <w:szCs w:val="21"/>
        </w:rPr>
        <w:fldChar w:fldCharType="separate"/>
      </w:r>
      <w:r>
        <w:rPr>
          <w:rFonts w:hint="eastAsia"/>
        </w:rPr>
        <w:t>8 贯彻标准的要求和措施建议</w:t>
      </w:r>
      <w:r>
        <w:tab/>
      </w:r>
      <w:r>
        <w:fldChar w:fldCharType="begin"/>
      </w:r>
      <w:r>
        <w:instrText xml:space="preserve"> PAGEREF _Toc810 \h </w:instrText>
      </w:r>
      <w:r>
        <w:fldChar w:fldCharType="separate"/>
      </w:r>
      <w:r>
        <w:t>23</w:t>
      </w:r>
      <w:r>
        <w:fldChar w:fldCharType="end"/>
      </w:r>
      <w:r>
        <w:rPr>
          <w:rFonts w:ascii="仿宋" w:eastAsia="仿宋"/>
          <w:spacing w:val="-2"/>
          <w:w w:val="95"/>
          <w:szCs w:val="21"/>
        </w:rPr>
        <w:fldChar w:fldCharType="end"/>
      </w:r>
    </w:p>
    <w:p>
      <w:pPr>
        <w:spacing w:line="434" w:lineRule="auto"/>
        <w:ind w:left="3868" w:right="3965" w:firstLine="321"/>
        <w:jc w:val="left"/>
        <w:rPr>
          <w:rFonts w:ascii="仿宋" w:eastAsia="仿宋"/>
          <w:b/>
          <w:spacing w:val="-2"/>
          <w:w w:val="95"/>
          <w:szCs w:val="21"/>
        </w:rPr>
        <w:sectPr>
          <w:footerReference r:id="rId4" w:type="default"/>
          <w:pgSz w:w="11910" w:h="16840"/>
          <w:pgMar w:top="1440" w:right="1800" w:bottom="1440" w:left="1800" w:header="720" w:footer="720" w:gutter="0"/>
          <w:cols w:space="720" w:num="1"/>
          <w:docGrid w:linePitch="286" w:charSpace="0"/>
        </w:sectPr>
      </w:pPr>
      <w:r>
        <w:rPr>
          <w:rFonts w:ascii="仿宋" w:eastAsia="仿宋"/>
          <w:spacing w:val="-2"/>
          <w:w w:val="95"/>
          <w:szCs w:val="21"/>
        </w:rPr>
        <w:fldChar w:fldCharType="end"/>
      </w:r>
    </w:p>
    <w:p>
      <w:pPr>
        <w:pStyle w:val="2"/>
        <w:rPr>
          <w:sz w:val="32"/>
        </w:rPr>
      </w:pPr>
      <w:bookmarkStart w:id="0" w:name="_Toc29039"/>
      <w:r>
        <w:rPr>
          <w:rFonts w:hint="eastAsia"/>
          <w:sz w:val="32"/>
        </w:rPr>
        <w:t>工作简况</w:t>
      </w:r>
      <w:bookmarkEnd w:id="0"/>
    </w:p>
    <w:p>
      <w:pPr>
        <w:pStyle w:val="3"/>
      </w:pPr>
      <w:bookmarkStart w:id="1" w:name="_Toc13996"/>
      <w:r>
        <w:rPr>
          <w:rFonts w:hint="eastAsia"/>
        </w:rPr>
        <w:t>项目背景和标准编制的意义</w:t>
      </w:r>
      <w:bookmarkEnd w:id="1"/>
    </w:p>
    <w:p>
      <w:pPr>
        <w:pStyle w:val="4"/>
        <w:tabs>
          <w:tab w:val="clear" w:pos="360"/>
        </w:tabs>
      </w:pPr>
      <w:bookmarkStart w:id="2" w:name="_Toc18110"/>
      <w:r>
        <w:rPr>
          <w:rFonts w:hint="eastAsia"/>
        </w:rPr>
        <w:t>项目背景</w:t>
      </w:r>
      <w:bookmarkEnd w:id="2"/>
    </w:p>
    <w:p>
      <w:pPr>
        <w:spacing w:line="360" w:lineRule="auto"/>
        <w:ind w:firstLine="480" w:firstLineChars="200"/>
        <w:rPr>
          <w:sz w:val="24"/>
          <w:szCs w:val="24"/>
        </w:rPr>
      </w:pPr>
      <w:r>
        <w:rPr>
          <w:rFonts w:hint="eastAsia"/>
          <w:sz w:val="24"/>
          <w:szCs w:val="24"/>
        </w:rPr>
        <w:t>我国是世界上稀土资源最丰富的国家，储量和产量均占世界第一位。其中离子吸附型稀土是我国宝贵的、稀缺的、有限而不可再生的战略资源，重稀土元素含量高，是高新技术领域的重要支撑材料。</w:t>
      </w:r>
    </w:p>
    <w:p>
      <w:pPr>
        <w:spacing w:line="360" w:lineRule="auto"/>
        <w:ind w:firstLine="480" w:firstLineChars="200"/>
        <w:rPr>
          <w:sz w:val="24"/>
          <w:szCs w:val="24"/>
        </w:rPr>
      </w:pPr>
      <w:r>
        <w:rPr>
          <w:rFonts w:hint="eastAsia"/>
          <w:sz w:val="24"/>
          <w:szCs w:val="24"/>
        </w:rPr>
        <w:t>离子型稀土矿目前均采用原地浸矿工艺开采，由于矿体底板和水文地质条件的限制，向自然山体中注入浸矿剂所得到的稀土母液无法通过收液系统全部回收，存在少量稀土母液下渗进入地下水，影响地下水环境；并通过地下水和地表水的水力联系，影响地表水环境。在未采取有效污染控制措施的情况下，开采活动很容易造成区域性地下水污染和流域性地表水污染。水环境受到污染后，修复时间长、难度大、成本高。原地浸矿带来的水环境污染问题成为了制约离子型稀土行业发展的最大瓶颈。</w:t>
      </w:r>
    </w:p>
    <w:p>
      <w:pPr>
        <w:spacing w:line="360" w:lineRule="auto"/>
        <w:ind w:firstLine="480" w:firstLineChars="200"/>
        <w:rPr>
          <w:sz w:val="24"/>
          <w:szCs w:val="24"/>
        </w:rPr>
      </w:pPr>
      <w:r>
        <w:rPr>
          <w:rFonts w:hint="eastAsia"/>
          <w:sz w:val="24"/>
          <w:szCs w:val="24"/>
        </w:rPr>
        <w:t>现阶段国内稀土行业污染物排放标准主要有《稀土工业污染物排放标准》GB 26451-2011和《离子型稀土矿山开采水污染物排放标准》DB36</w:t>
      </w:r>
      <w:r>
        <w:rPr>
          <w:sz w:val="24"/>
          <w:szCs w:val="24"/>
        </w:rPr>
        <w:t xml:space="preserve"> </w:t>
      </w:r>
      <w:r>
        <w:rPr>
          <w:rFonts w:hint="eastAsia"/>
          <w:sz w:val="24"/>
          <w:szCs w:val="24"/>
        </w:rPr>
        <w:t>1016-2018。GB 26451的适用范围不包括采用溶液浸矿方式直接从稀土矿床浸出或堆浸获得离子型稀土浸取液的过程；DB36</w:t>
      </w:r>
      <w:r>
        <w:rPr>
          <w:sz w:val="24"/>
          <w:szCs w:val="24"/>
        </w:rPr>
        <w:t xml:space="preserve"> </w:t>
      </w:r>
      <w:r>
        <w:rPr>
          <w:rFonts w:hint="eastAsia"/>
          <w:sz w:val="24"/>
          <w:szCs w:val="24"/>
        </w:rPr>
        <w:t>1016为江西省地方标准，给出了离子型稀土矿山开采企业水污染物排放限值，但没有提出水污染控制措施，没有考虑采用镁盐等为浸矿剂时的污染物相关指标。因此，目前离子型稀土矿原地浸矿所参考和采用的水污染控制标准，存在污染物指标不全、没有结合离子型稀土矿原地浸矿工艺特点对废水无组织排放提出控制措施等问题。为了解决上述问题，现制定离子型稀土矿原地浸矿水污染控制标准，指导开采企业构建水污染防控体系，改善水环境质量，并为环境管理提供更科学依据。</w:t>
      </w:r>
    </w:p>
    <w:p>
      <w:pPr>
        <w:spacing w:line="360" w:lineRule="auto"/>
        <w:ind w:firstLine="480" w:firstLineChars="200"/>
        <w:rPr>
          <w:sz w:val="24"/>
          <w:szCs w:val="24"/>
        </w:rPr>
      </w:pPr>
      <w:r>
        <w:rPr>
          <w:rFonts w:hint="eastAsia"/>
          <w:sz w:val="24"/>
          <w:szCs w:val="24"/>
        </w:rPr>
        <w:t>由中国恩菲工程技术有限公司为课题承担单位、中国南方稀土集团参与的“离子型稀土矿区生态修复与治理技术及环境影响分析”课题（2</w:t>
      </w:r>
      <w:r>
        <w:rPr>
          <w:sz w:val="24"/>
          <w:szCs w:val="24"/>
        </w:rPr>
        <w:t>021YFC2902204</w:t>
      </w:r>
      <w:r>
        <w:rPr>
          <w:rFonts w:hint="eastAsia"/>
          <w:sz w:val="24"/>
          <w:szCs w:val="24"/>
        </w:rPr>
        <w:t>）是国家重点研发计划项目“离子型吸附型稀土矿绿色高效开发关键技术与装备”重要组成部分，离子型稀土矿水污染控制标准研究是该课题的主要研究内容之一。</w:t>
      </w:r>
    </w:p>
    <w:p>
      <w:pPr>
        <w:spacing w:line="360" w:lineRule="auto"/>
        <w:ind w:firstLine="480" w:firstLineChars="200"/>
        <w:rPr>
          <w:sz w:val="24"/>
          <w:szCs w:val="24"/>
        </w:rPr>
      </w:pPr>
      <w:r>
        <w:rPr>
          <w:rFonts w:hint="eastAsia"/>
          <w:sz w:val="24"/>
          <w:szCs w:val="24"/>
        </w:rPr>
        <w:t>因此，标准编制组对我国离子型稀土矿区水污染物排放规律、特征以及水污染控制措施进行研究，根据离子型稀土矿原地浸矿工艺特点、结合离子型稀土矿区的水文地质条件，统筹考虑行业主流生产工艺特征污染因子，开展《离子型稀土矿原地浸矿水污染控制标准》编制工作，科学管控开采活动，保护稀土矿区的水体环境，促进行业健康发展。</w:t>
      </w:r>
    </w:p>
    <w:p>
      <w:pPr>
        <w:pStyle w:val="4"/>
        <w:tabs>
          <w:tab w:val="clear" w:pos="360"/>
        </w:tabs>
        <w:rPr>
          <w:sz w:val="24"/>
          <w:szCs w:val="24"/>
        </w:rPr>
      </w:pPr>
      <w:bookmarkStart w:id="3" w:name="_Toc11992"/>
      <w:r>
        <w:rPr>
          <w:rFonts w:hint="eastAsia"/>
          <w:sz w:val="24"/>
          <w:szCs w:val="24"/>
        </w:rPr>
        <w:t>标准编制的意义</w:t>
      </w:r>
      <w:bookmarkEnd w:id="3"/>
    </w:p>
    <w:p>
      <w:pPr>
        <w:spacing w:line="360" w:lineRule="auto"/>
        <w:ind w:firstLine="480" w:firstLineChars="200"/>
        <w:rPr>
          <w:sz w:val="24"/>
          <w:szCs w:val="24"/>
        </w:rPr>
      </w:pPr>
      <w:r>
        <w:rPr>
          <w:rFonts w:hint="eastAsia"/>
          <w:sz w:val="24"/>
          <w:szCs w:val="24"/>
        </w:rPr>
        <w:t>（1）满足国家及生态环境主管部门的相关需求</w:t>
      </w:r>
    </w:p>
    <w:p>
      <w:pPr>
        <w:spacing w:line="360" w:lineRule="auto"/>
        <w:ind w:firstLine="480" w:firstLineChars="200"/>
        <w:rPr>
          <w:sz w:val="24"/>
          <w:szCs w:val="24"/>
        </w:rPr>
      </w:pPr>
      <w:r>
        <w:rPr>
          <w:rFonts w:hint="eastAsia"/>
          <w:sz w:val="24"/>
          <w:szCs w:val="24"/>
        </w:rPr>
        <w:t>我国尚无行业普遍适用的离子型稀土矿开采水污染控制相关的标准和规范，国外在离子型稀土矿开采方向关注较少，也无相关的标准和规范。通过本标准的制定，可使离子型稀土矿山开采的水污染控制有据可依。同时污染控制标准作为环境技术支撑体系的重要内容之一，可以作为环境影响评价、环保验收等环境管理工作的依据。</w:t>
      </w:r>
    </w:p>
    <w:p>
      <w:pPr>
        <w:spacing w:line="360" w:lineRule="auto"/>
        <w:ind w:firstLine="480" w:firstLineChars="200"/>
        <w:rPr>
          <w:sz w:val="24"/>
          <w:szCs w:val="24"/>
        </w:rPr>
      </w:pPr>
      <w:r>
        <w:rPr>
          <w:rFonts w:hint="eastAsia"/>
          <w:sz w:val="24"/>
          <w:szCs w:val="24"/>
        </w:rPr>
        <w:t>（2）改善区域水环境质量</w:t>
      </w:r>
    </w:p>
    <w:p>
      <w:pPr>
        <w:spacing w:line="360" w:lineRule="auto"/>
        <w:ind w:firstLine="480" w:firstLineChars="200"/>
        <w:rPr>
          <w:sz w:val="24"/>
          <w:szCs w:val="24"/>
        </w:rPr>
      </w:pPr>
      <w:r>
        <w:rPr>
          <w:rFonts w:hint="eastAsia"/>
          <w:sz w:val="24"/>
          <w:szCs w:val="24"/>
        </w:rPr>
        <w:t>原地浸矿工艺对水体环境的影响主要来源于浸矿剂的渗漏，这种影响主要由水文地质条件决定，也与开采企业水污染控制有关。目前，国内部分稀土矿区在历史开采活动中依赖经验，未采取有效的污染控制措施，给矿区及周边水环境造成污染。原地浸矿带来的水环境污染问题成为了制约离子型稀土行业发展的最大瓶颈。本标准提出了离子型稀土矿山开采水污染控制要求和水污染控制措施，指导开采企业构建水污染防控体系，改善区域水环境质量。</w:t>
      </w:r>
    </w:p>
    <w:p>
      <w:pPr>
        <w:spacing w:line="360" w:lineRule="auto"/>
        <w:ind w:firstLine="480" w:firstLineChars="200"/>
        <w:rPr>
          <w:sz w:val="24"/>
          <w:szCs w:val="24"/>
        </w:rPr>
      </w:pPr>
      <w:r>
        <w:rPr>
          <w:rFonts w:hint="eastAsia"/>
          <w:sz w:val="24"/>
          <w:szCs w:val="24"/>
        </w:rPr>
        <w:t>（3）指导建立系统的水污染防控体系，引导行业水污染控制技术进步，推动行业绿色发展。</w:t>
      </w:r>
    </w:p>
    <w:p>
      <w:pPr>
        <w:spacing w:line="360" w:lineRule="auto"/>
        <w:ind w:firstLine="480" w:firstLineChars="200"/>
        <w:rPr>
          <w:sz w:val="24"/>
          <w:szCs w:val="24"/>
        </w:rPr>
      </w:pPr>
      <w:r>
        <w:rPr>
          <w:rFonts w:hint="eastAsia"/>
          <w:sz w:val="24"/>
          <w:szCs w:val="24"/>
        </w:rPr>
        <w:t>本标准提出了离子型稀土矿原地浸矿水污染控制应遵循的原则，指导开采企业根据原地浸矿工艺特点和矿区环境水文地质条件，系统构建水污染防控体系，并提出了水污染控制要求和控制措施，引导行业水污染控制技术进步，推动行业绿色发展。</w:t>
      </w:r>
    </w:p>
    <w:p>
      <w:pPr>
        <w:pStyle w:val="3"/>
      </w:pPr>
      <w:bookmarkStart w:id="4" w:name="_Toc18054"/>
      <w:r>
        <w:rPr>
          <w:rFonts w:hint="eastAsia"/>
        </w:rPr>
        <w:t>任务来源</w:t>
      </w:r>
      <w:bookmarkEnd w:id="4"/>
    </w:p>
    <w:p>
      <w:pPr>
        <w:spacing w:line="360" w:lineRule="auto"/>
        <w:ind w:firstLine="480" w:firstLineChars="200"/>
        <w:rPr>
          <w:sz w:val="24"/>
          <w:szCs w:val="24"/>
        </w:rPr>
      </w:pPr>
      <w:r>
        <w:rPr>
          <w:rFonts w:hint="eastAsia"/>
          <w:sz w:val="24"/>
          <w:szCs w:val="24"/>
        </w:rPr>
        <w:t>中色协科字[</w:t>
      </w:r>
      <w:r>
        <w:rPr>
          <w:sz w:val="24"/>
          <w:szCs w:val="24"/>
        </w:rPr>
        <w:t>2022]17</w:t>
      </w:r>
      <w:r>
        <w:rPr>
          <w:rFonts w:hint="eastAsia"/>
          <w:sz w:val="24"/>
          <w:szCs w:val="24"/>
        </w:rPr>
        <w:t>号文《关于下达2</w:t>
      </w:r>
      <w:r>
        <w:rPr>
          <w:sz w:val="24"/>
          <w:szCs w:val="24"/>
        </w:rPr>
        <w:t>022</w:t>
      </w:r>
      <w:r>
        <w:rPr>
          <w:rFonts w:hint="eastAsia"/>
          <w:sz w:val="24"/>
          <w:szCs w:val="24"/>
        </w:rPr>
        <w:t>年第二批协会标准制修订计划的通知》，正式下达了协会标准《离子型稀土矿原地浸矿水污染控制标准》的制定计划，计划号为2</w:t>
      </w:r>
      <w:r>
        <w:rPr>
          <w:sz w:val="24"/>
          <w:szCs w:val="24"/>
        </w:rPr>
        <w:t>022</w:t>
      </w:r>
      <w:r>
        <w:rPr>
          <w:rFonts w:hint="eastAsia"/>
          <w:sz w:val="24"/>
          <w:szCs w:val="24"/>
        </w:rPr>
        <w:t>-</w:t>
      </w:r>
      <w:r>
        <w:rPr>
          <w:sz w:val="24"/>
          <w:szCs w:val="24"/>
        </w:rPr>
        <w:t>032</w:t>
      </w:r>
      <w:r>
        <w:rPr>
          <w:rFonts w:hint="eastAsia"/>
          <w:sz w:val="24"/>
          <w:szCs w:val="24"/>
        </w:rPr>
        <w:t>-</w:t>
      </w:r>
      <w:r>
        <w:rPr>
          <w:sz w:val="24"/>
          <w:szCs w:val="24"/>
        </w:rPr>
        <w:t xml:space="preserve">T/CNIA </w:t>
      </w:r>
      <w:r>
        <w:rPr>
          <w:rFonts w:hint="eastAsia"/>
          <w:sz w:val="24"/>
          <w:szCs w:val="24"/>
        </w:rPr>
        <w:t>，完成年限为2</w:t>
      </w:r>
      <w:r>
        <w:rPr>
          <w:sz w:val="24"/>
          <w:szCs w:val="24"/>
        </w:rPr>
        <w:t>024</w:t>
      </w:r>
      <w:r>
        <w:rPr>
          <w:rFonts w:hint="eastAsia"/>
          <w:sz w:val="24"/>
          <w:szCs w:val="24"/>
        </w:rPr>
        <w:t>年。</w:t>
      </w:r>
    </w:p>
    <w:p>
      <w:pPr>
        <w:spacing w:line="360" w:lineRule="auto"/>
        <w:ind w:firstLine="480" w:firstLineChars="200"/>
        <w:rPr>
          <w:sz w:val="24"/>
          <w:szCs w:val="24"/>
        </w:rPr>
      </w:pPr>
    </w:p>
    <w:p>
      <w:pPr>
        <w:pStyle w:val="3"/>
      </w:pPr>
      <w:bookmarkStart w:id="5" w:name="_Toc1209"/>
      <w:r>
        <w:rPr>
          <w:rFonts w:hint="eastAsia"/>
        </w:rPr>
        <w:t>编制单位简况</w:t>
      </w:r>
      <w:bookmarkEnd w:id="5"/>
    </w:p>
    <w:p>
      <w:pPr>
        <w:pStyle w:val="4"/>
        <w:tabs>
          <w:tab w:val="clear" w:pos="360"/>
        </w:tabs>
      </w:pPr>
      <w:bookmarkStart w:id="6" w:name="_Toc140915526"/>
      <w:bookmarkStart w:id="7" w:name="_Toc6872"/>
      <w:r>
        <w:rPr>
          <w:rFonts w:hint="eastAsia"/>
        </w:rPr>
        <w:t>中国恩菲工程技术有限公司</w:t>
      </w:r>
      <w:bookmarkEnd w:id="6"/>
      <w:bookmarkEnd w:id="7"/>
    </w:p>
    <w:p>
      <w:pPr>
        <w:spacing w:line="360" w:lineRule="auto"/>
        <w:ind w:firstLine="480" w:firstLineChars="200"/>
        <w:rPr>
          <w:sz w:val="24"/>
          <w:szCs w:val="24"/>
        </w:rPr>
      </w:pPr>
      <w:r>
        <w:rPr>
          <w:rFonts w:hint="eastAsia"/>
          <w:sz w:val="24"/>
          <w:szCs w:val="24"/>
        </w:rPr>
        <w:t>主编单位中国恩菲工程技术有限公司（以下简称中国恩菲）前身是中国有色工程设计研究总院（原北京有色冶金设计研究总院），成立于1953年，现为世界五百强企业中国五矿、中冶集团骨干子企业，是一个以提供工程技术服务为核心业务的科技型企业。</w:t>
      </w:r>
    </w:p>
    <w:p>
      <w:pPr>
        <w:spacing w:line="360" w:lineRule="auto"/>
        <w:ind w:firstLine="480" w:firstLineChars="200"/>
        <w:rPr>
          <w:sz w:val="24"/>
          <w:szCs w:val="24"/>
        </w:rPr>
      </w:pPr>
      <w:r>
        <w:rPr>
          <w:rFonts w:hint="eastAsia"/>
          <w:sz w:val="24"/>
          <w:szCs w:val="24"/>
        </w:rPr>
        <w:t>中国恩菲在南方离子型稀土矿开采环境影响评价、污染防控方面做了大量工作，完成了我国第一个离子型稀土矿山无铵开采环境影响评价，率先开展了浸矿活动对生态环境影响的模拟试验，在赣南、粤北、湘南等多个离子型稀土矿区开展了环境影响分析和评价工作，作为离子型稀土矿山第一个环保管家，对离子型稀土矿水污染防控进行了多元化的探索和研究，在离子型稀土矿山环境保护方面具有丰富的经验。</w:t>
      </w:r>
    </w:p>
    <w:p>
      <w:pPr>
        <w:spacing w:line="360" w:lineRule="auto"/>
        <w:ind w:firstLine="480" w:firstLineChars="200"/>
        <w:rPr>
          <w:sz w:val="24"/>
          <w:szCs w:val="24"/>
        </w:rPr>
      </w:pPr>
      <w:r>
        <w:rPr>
          <w:rFonts w:hint="eastAsia"/>
          <w:sz w:val="24"/>
          <w:szCs w:val="24"/>
        </w:rPr>
        <w:t>中国恩菲牵头编制了《稀土工业污染物排放标准》GB 26451-</w:t>
      </w:r>
      <w:r>
        <w:rPr>
          <w:sz w:val="24"/>
          <w:szCs w:val="24"/>
        </w:rPr>
        <w:t>2011</w:t>
      </w:r>
      <w:r>
        <w:rPr>
          <w:rFonts w:hint="eastAsia"/>
          <w:sz w:val="24"/>
          <w:szCs w:val="24"/>
        </w:rPr>
        <w:t>、《有色金属冶炼业绿色工厂评价导则》YS/T 1403-2020等标准，作为主要编制单位参与了《有色金属工业环境保护工程设计规范》G</w:t>
      </w:r>
      <w:r>
        <w:rPr>
          <w:sz w:val="24"/>
          <w:szCs w:val="24"/>
        </w:rPr>
        <w:t>B 50988-2014</w:t>
      </w:r>
      <w:r>
        <w:rPr>
          <w:rFonts w:hint="eastAsia"/>
          <w:sz w:val="24"/>
          <w:szCs w:val="24"/>
        </w:rPr>
        <w:t>、《稀土行业排污许可证申请与核发技术规范》</w:t>
      </w:r>
      <w:r>
        <w:rPr>
          <w:sz w:val="24"/>
          <w:szCs w:val="24"/>
        </w:rPr>
        <w:t>HJ1125-2020</w:t>
      </w:r>
      <w:r>
        <w:rPr>
          <w:rFonts w:hint="eastAsia"/>
          <w:sz w:val="24"/>
          <w:szCs w:val="24"/>
        </w:rPr>
        <w:t>、《环境影响评价技术导则 稀土矿采选》等标准的编制工作。参与了多项生态环境部等有关稀土行业环境保护的课题研究工作，先后参与了《典型地区稀土矿开发与生产环境风险评估与监督技术研究》环保公益性项目和《典型有色金属工业行业（铜、铅、锌、稀土等）排放标准中污染物项目筛选及排放限值研究》等与环境保护科研课题。</w:t>
      </w:r>
    </w:p>
    <w:p>
      <w:pPr>
        <w:pStyle w:val="4"/>
        <w:tabs>
          <w:tab w:val="clear" w:pos="360"/>
        </w:tabs>
        <w:rPr>
          <w:sz w:val="24"/>
          <w:szCs w:val="24"/>
        </w:rPr>
      </w:pPr>
      <w:bookmarkStart w:id="8" w:name="_Toc1284"/>
      <w:bookmarkStart w:id="9" w:name="_Toc140915527"/>
      <w:r>
        <w:rPr>
          <w:rFonts w:hint="eastAsia"/>
          <w:sz w:val="24"/>
          <w:szCs w:val="24"/>
        </w:rPr>
        <w:t>有研稀土新材料股份有限公司</w:t>
      </w:r>
      <w:bookmarkEnd w:id="8"/>
    </w:p>
    <w:p>
      <w:pPr>
        <w:spacing w:line="360" w:lineRule="auto"/>
        <w:ind w:firstLine="480" w:firstLineChars="200"/>
        <w:rPr>
          <w:rFonts w:hint="eastAsia" w:ascii="Times New Roman" w:hAnsi="Times New Roman" w:cs="Times New Roman"/>
          <w:sz w:val="24"/>
          <w:szCs w:val="24"/>
        </w:rPr>
      </w:pPr>
      <w:r>
        <w:rPr>
          <w:rFonts w:hint="eastAsia" w:ascii="Times New Roman" w:hAnsi="Times New Roman" w:cs="Times New Roman"/>
          <w:sz w:val="24"/>
          <w:szCs w:val="24"/>
        </w:rPr>
        <w:t>有研稀土新材料股份有限公司（简称有研稀土）是2001年由北京有色金属研究总院作为主发起人对“稀土材料国家工程研究中心”进行整体改制而设立的股份公司。</w:t>
      </w:r>
    </w:p>
    <w:p>
      <w:pPr>
        <w:spacing w:line="360" w:lineRule="auto"/>
        <w:ind w:firstLine="480" w:firstLineChars="200"/>
        <w:rPr>
          <w:rFonts w:hint="eastAsia" w:ascii="Times New Roman" w:hAnsi="Times New Roman" w:cs="Times New Roman"/>
          <w:sz w:val="24"/>
          <w:szCs w:val="24"/>
        </w:rPr>
      </w:pPr>
      <w:r>
        <w:rPr>
          <w:rFonts w:hint="eastAsia" w:ascii="Times New Roman" w:hAnsi="Times New Roman" w:cs="Times New Roman"/>
          <w:sz w:val="24"/>
          <w:szCs w:val="24"/>
        </w:rPr>
        <w:t>有研稀土开发了一系列创新性成果，在行业内得到广泛应用，为稀土行业绿色可持续发展提供技术支撑。研发成功离子型稀土原矿绿色高效浸萃一体化新技术、低碳低盐无氨氮分离提纯稀土新工艺。已在3家企业规模化应用，解决困扰行业30多年的含放射性废渣污染难题，镁盐废水及CO2循环利用率＞90%；工序缩短5道；稀土总收率提高8%以上，环境和经济效益显著。该成果涉及的两项核心技术分别于2016年和2017年获得中国有色金属工业协会科学技术一等奖，核心专利获得中国专利优秀奖。被列为稀土行业“十二五”十大突破技术之一，先后入选国家发改委、工信部、科技部、环保部的低碳技术目录、清洁生产技术推广方案等，成为我国稀土工业领域内具有代表性的清洁生产工艺。</w:t>
      </w:r>
    </w:p>
    <w:p>
      <w:pPr>
        <w:spacing w:line="360" w:lineRule="auto"/>
        <w:ind w:firstLine="480" w:firstLineChars="200"/>
        <w:rPr>
          <w:rFonts w:hint="eastAsia" w:ascii="Times New Roman" w:hAnsi="Times New Roman" w:cs="Times New Roman"/>
          <w:sz w:val="24"/>
          <w:szCs w:val="24"/>
        </w:rPr>
      </w:pPr>
      <w:r>
        <w:rPr>
          <w:rFonts w:hint="eastAsia" w:ascii="Times New Roman" w:hAnsi="Times New Roman" w:cs="Times New Roman"/>
          <w:sz w:val="24"/>
          <w:szCs w:val="24"/>
          <w:lang w:val="en-US" w:eastAsia="zh-CN"/>
        </w:rPr>
        <w:t>有</w:t>
      </w:r>
      <w:r>
        <w:rPr>
          <w:rFonts w:hint="eastAsia" w:ascii="Times New Roman" w:hAnsi="Times New Roman" w:cs="Times New Roman"/>
          <w:sz w:val="24"/>
          <w:szCs w:val="24"/>
        </w:rPr>
        <w:t>研稀土新材料股份有限公司作为主要单位制定了《稀土工业污染物排放标准》、《稀土工业污染防治技术政策》等多项行业标准及技术规范。</w:t>
      </w:r>
    </w:p>
    <w:p>
      <w:pPr>
        <w:pStyle w:val="4"/>
        <w:tabs>
          <w:tab w:val="clear" w:pos="360"/>
        </w:tabs>
        <w:rPr>
          <w:sz w:val="24"/>
          <w:szCs w:val="24"/>
        </w:rPr>
      </w:pPr>
      <w:bookmarkStart w:id="10" w:name="_Toc9431"/>
      <w:r>
        <w:rPr>
          <w:rFonts w:hint="eastAsia"/>
          <w:sz w:val="24"/>
          <w:szCs w:val="24"/>
        </w:rPr>
        <w:t>生态环境部环境工程评估中心</w:t>
      </w:r>
      <w:bookmarkEnd w:id="9"/>
      <w:bookmarkEnd w:id="10"/>
    </w:p>
    <w:p>
      <w:pPr>
        <w:spacing w:line="360" w:lineRule="auto"/>
        <w:ind w:firstLine="480" w:firstLineChars="200"/>
        <w:rPr>
          <w:sz w:val="24"/>
          <w:szCs w:val="24"/>
        </w:rPr>
      </w:pPr>
      <w:r>
        <w:rPr>
          <w:rFonts w:hint="eastAsia"/>
          <w:sz w:val="24"/>
          <w:szCs w:val="24"/>
        </w:rPr>
        <w:t>生态环境部环境工程评估中心负责组织对规划、重大开发和建设项目环境影响评价文件的技术审核；开展重大经济政策与规划的环境影响调查研究，以及环境影响评价技术政策研究；承担政策、规划、战略环境影响评价，区域生态环境评价及“三线一单”的制度设计、相关政策与技术规范制修订，以及生态环境准入清单拟订技术支持工作；组织拟订环境影响评价方法与技术导则，开展环境影响评价领域信息及环境影响预测模式的研究；承担排污许可制管理、生态环境保护督察执法相关研究和技术支持工作；开展污染防治相关管理政策和技术研究。</w:t>
      </w:r>
    </w:p>
    <w:p>
      <w:pPr>
        <w:spacing w:line="360" w:lineRule="auto"/>
        <w:ind w:firstLine="480" w:firstLineChars="200"/>
        <w:rPr>
          <w:sz w:val="24"/>
          <w:szCs w:val="24"/>
        </w:rPr>
      </w:pPr>
      <w:r>
        <w:rPr>
          <w:rFonts w:hint="eastAsia"/>
          <w:sz w:val="24"/>
          <w:szCs w:val="24"/>
        </w:rPr>
        <w:t>近年来，承担了国家及省部级项目100余项，获省部级科技奖励20余项，主持完成了50余项国家和省部级标准的制修订研究。在稀土行业污染源头防控方面开展了深入研究，牵头承担了国家重点研发计划“浸矿场地残留浸矿剂高效淋洗材料、技术与装备”项目（2018YFC1801800），主持《环境影响评价技术导则 稀土采矿选矿》《离子型稀土矿地下水污染风险防控技术指南》等标准规范制订研究，为稀土行业生态环境保护提供规范依据和技术支撑。</w:t>
      </w:r>
    </w:p>
    <w:p>
      <w:pPr>
        <w:pStyle w:val="4"/>
        <w:tabs>
          <w:tab w:val="clear" w:pos="360"/>
        </w:tabs>
        <w:rPr>
          <w:sz w:val="24"/>
          <w:szCs w:val="24"/>
        </w:rPr>
      </w:pPr>
      <w:bookmarkStart w:id="11" w:name="_Toc140915528"/>
      <w:bookmarkStart w:id="12" w:name="_Toc16009"/>
      <w:r>
        <w:rPr>
          <w:rFonts w:hint="eastAsia"/>
          <w:sz w:val="24"/>
          <w:szCs w:val="24"/>
        </w:rPr>
        <w:t>中国稀土集团</w:t>
      </w:r>
      <w:bookmarkEnd w:id="11"/>
      <w:r>
        <w:rPr>
          <w:rFonts w:hint="eastAsia"/>
          <w:sz w:val="24"/>
          <w:szCs w:val="24"/>
        </w:rPr>
        <w:t>有限公司</w:t>
      </w:r>
      <w:bookmarkEnd w:id="12"/>
    </w:p>
    <w:p>
      <w:pPr>
        <w:spacing w:line="360" w:lineRule="auto"/>
        <w:ind w:firstLine="480" w:firstLineChars="200"/>
        <w:rPr>
          <w:sz w:val="24"/>
          <w:szCs w:val="24"/>
        </w:rPr>
      </w:pPr>
      <w:r>
        <w:rPr>
          <w:rFonts w:hint="eastAsia"/>
          <w:sz w:val="24"/>
          <w:szCs w:val="24"/>
        </w:rPr>
        <w:t>中国稀土集团有限公司于2021年12月23日在江西省赣州市挂牌成立。中国稀土是在中国铝业集团有限公司、中国五矿集团有限公司、赣州稀土集团有限公司所属稀土资产重组整合的基础上，引入中国钢研科技有限公司、有研科技集团有限公司，按照市场化原则组建的以中重稀土为主的大型稀土集团，中国稀土旗下有中国稀有稀土股份有限公司、五矿稀土集团有限公司、中国南方稀土集团有限公司等三家骨干企业，业务范围涵盖稀土科技研发、勘探开发、冶炼分离、精深加工、下游应用、成套装备、技术咨询服务、进出口及贸易等领域，具备稀土全产业链发展能力。</w:t>
      </w:r>
    </w:p>
    <w:p>
      <w:pPr>
        <w:pStyle w:val="4"/>
        <w:tabs>
          <w:tab w:val="clear" w:pos="360"/>
        </w:tabs>
        <w:rPr>
          <w:sz w:val="24"/>
          <w:szCs w:val="24"/>
        </w:rPr>
      </w:pPr>
      <w:bookmarkStart w:id="13" w:name="_Toc140915529"/>
      <w:bookmarkStart w:id="14" w:name="_Toc2404"/>
      <w:r>
        <w:rPr>
          <w:rFonts w:hint="eastAsia"/>
          <w:sz w:val="24"/>
          <w:szCs w:val="24"/>
        </w:rPr>
        <w:t>赣州稀土矿业有限公司</w:t>
      </w:r>
      <w:bookmarkEnd w:id="13"/>
      <w:bookmarkEnd w:id="14"/>
    </w:p>
    <w:p>
      <w:pPr>
        <w:spacing w:line="360" w:lineRule="auto"/>
        <w:ind w:firstLine="480" w:firstLineChars="200"/>
        <w:rPr>
          <w:sz w:val="24"/>
          <w:szCs w:val="24"/>
        </w:rPr>
      </w:pPr>
      <w:r>
        <w:rPr>
          <w:rFonts w:hint="eastAsia"/>
          <w:sz w:val="24"/>
          <w:szCs w:val="24"/>
        </w:rPr>
        <w:t>赣州稀土矿业有限公司是中国稀土集团的二级直管企业，是按照 “19411”专业化整合方案组建的集团公司资源类区域化公司，统一管理江西区域稀土矿产资源开发和冶炼分离产业。公司拥有45本离子型稀土采矿权证，资源储量排在全国前列，是江西省稀土资源唯一采矿权人，聚焦稀土资源的勘探开发、分离冶炼、精深加工、科技研发、技术咨询服务等业务。在稀土资源县下设定南、龙南等7家分公司负责矿山开采业务管理；直管赣州稀土龙南冶炼分离有限公司、赣州稀土（龙南）有色金属有限公司。公司拥有多项专利和专有技术。近年来，牵头承担了“固废专项”、参与“土壤专项”和“离子型稀土网络协同制造”等国家重点研发计划项目。</w:t>
      </w:r>
    </w:p>
    <w:p>
      <w:pPr>
        <w:pStyle w:val="4"/>
        <w:tabs>
          <w:tab w:val="clear" w:pos="360"/>
        </w:tabs>
        <w:rPr>
          <w:sz w:val="24"/>
          <w:szCs w:val="24"/>
        </w:rPr>
      </w:pPr>
      <w:bookmarkStart w:id="15" w:name="_Toc140915530"/>
      <w:bookmarkStart w:id="16" w:name="_Toc5805"/>
      <w:r>
        <w:rPr>
          <w:rFonts w:hint="eastAsia"/>
          <w:sz w:val="24"/>
          <w:szCs w:val="24"/>
        </w:rPr>
        <w:t>中稀（湖南）稀土开发有限公司</w:t>
      </w:r>
      <w:bookmarkEnd w:id="15"/>
      <w:bookmarkEnd w:id="16"/>
    </w:p>
    <w:p>
      <w:pPr>
        <w:spacing w:line="360" w:lineRule="auto"/>
        <w:ind w:firstLine="480" w:firstLineChars="200"/>
        <w:rPr>
          <w:sz w:val="24"/>
          <w:szCs w:val="24"/>
        </w:rPr>
      </w:pPr>
      <w:r>
        <w:rPr>
          <w:rFonts w:hint="eastAsia"/>
          <w:sz w:val="24"/>
          <w:szCs w:val="24"/>
        </w:rPr>
        <w:t>中稀（湖南）稀土开发有限公司（以下简称“中稀湖南”）是中国稀土集团有限公司的省级区域公司，负责湖南省区域内离子型稀土资源的统一开发、冶炼分离企业的统一管理和稀土产业发展工作。</w:t>
      </w:r>
    </w:p>
    <w:p>
      <w:pPr>
        <w:spacing w:line="360" w:lineRule="auto"/>
        <w:ind w:firstLine="480" w:firstLineChars="200"/>
        <w:rPr>
          <w:sz w:val="24"/>
          <w:szCs w:val="24"/>
        </w:rPr>
      </w:pPr>
      <w:r>
        <w:rPr>
          <w:rFonts w:hint="eastAsia"/>
          <w:sz w:val="24"/>
          <w:szCs w:val="24"/>
        </w:rPr>
        <w:t>中稀湖南拥有湖南省内唯一的一张稀土采矿权证即江华县稀土矿，已建成比较完整的稀土采选、灼烧、冶炼分离全产业链体系。旗下建有稀土精矿产能2000吨/年的江华县稀土矿，是目前国内离子型稀土矿山中装备最先进、自动化智能化程度最高的离子型稀土矿山，还配套建成了产能5000吨/年的绿色高效稀土冶炼分离厂。</w:t>
      </w:r>
    </w:p>
    <w:p>
      <w:pPr>
        <w:pStyle w:val="4"/>
        <w:tabs>
          <w:tab w:val="clear" w:pos="360"/>
        </w:tabs>
        <w:rPr>
          <w:sz w:val="24"/>
          <w:szCs w:val="24"/>
        </w:rPr>
      </w:pPr>
      <w:bookmarkStart w:id="17" w:name="_Toc140915531"/>
      <w:bookmarkStart w:id="18" w:name="_Toc17458"/>
      <w:r>
        <w:rPr>
          <w:rFonts w:hint="eastAsia"/>
          <w:sz w:val="24"/>
          <w:szCs w:val="24"/>
        </w:rPr>
        <w:t>广晟有色金属股份有限公司</w:t>
      </w:r>
      <w:bookmarkEnd w:id="17"/>
      <w:bookmarkEnd w:id="18"/>
    </w:p>
    <w:p>
      <w:pPr>
        <w:spacing w:line="360" w:lineRule="auto"/>
        <w:ind w:firstLine="480" w:firstLineChars="200"/>
        <w:rPr>
          <w:sz w:val="24"/>
          <w:szCs w:val="24"/>
        </w:rPr>
      </w:pPr>
      <w:bookmarkStart w:id="19" w:name="_Hlk140836812"/>
      <w:r>
        <w:rPr>
          <w:rFonts w:hint="eastAsia"/>
          <w:sz w:val="24"/>
          <w:szCs w:val="24"/>
        </w:rPr>
        <w:t>广晟有色金属股份有限公司</w:t>
      </w:r>
      <w:bookmarkEnd w:id="19"/>
      <w:r>
        <w:rPr>
          <w:rFonts w:hint="eastAsia"/>
          <w:sz w:val="24"/>
          <w:szCs w:val="24"/>
        </w:rPr>
        <w:t>（以下简称“广晟有色”）是广东省属国企广晟集团旗下一级企业，广东省稀土产业集团有限公司的主体企业，是目前广东省内唯一稀土资源合法开采企业；控制中重稀土资源量13万吨。目前公司拥有全资、控股企业16家。</w:t>
      </w:r>
    </w:p>
    <w:p>
      <w:pPr>
        <w:spacing w:line="360" w:lineRule="auto"/>
        <w:ind w:firstLine="480" w:firstLineChars="200"/>
        <w:rPr>
          <w:sz w:val="24"/>
          <w:szCs w:val="24"/>
        </w:rPr>
      </w:pPr>
      <w:r>
        <w:rPr>
          <w:rFonts w:hint="eastAsia"/>
          <w:sz w:val="24"/>
          <w:szCs w:val="24"/>
        </w:rPr>
        <w:t>在稀土产业领域，广晟有色拥有广东省内全部3本稀土采矿证，其中2022年已取得全国储量最大的离子型稀土矿山——新丰稀土矿的采矿证；控股4家南方离子吸附型稀土矿冶炼分离厂，参控股多家稀土合金制造、钕铁硼永磁材料生产企业。拥有13家高新技术企业，14个省级研发平台，1个院士工作站。</w:t>
      </w:r>
    </w:p>
    <w:p>
      <w:pPr>
        <w:pStyle w:val="4"/>
        <w:tabs>
          <w:tab w:val="clear" w:pos="360"/>
        </w:tabs>
        <w:rPr>
          <w:sz w:val="24"/>
          <w:szCs w:val="24"/>
        </w:rPr>
      </w:pPr>
      <w:bookmarkStart w:id="20" w:name="_Toc140915532"/>
      <w:bookmarkStart w:id="21" w:name="_Toc7863"/>
      <w:r>
        <w:rPr>
          <w:rFonts w:hint="eastAsia"/>
          <w:sz w:val="24"/>
          <w:szCs w:val="24"/>
        </w:rPr>
        <w:t>龙岩市稀土开发有限公司</w:t>
      </w:r>
      <w:bookmarkEnd w:id="20"/>
      <w:bookmarkEnd w:id="21"/>
    </w:p>
    <w:p>
      <w:pPr>
        <w:spacing w:line="360" w:lineRule="auto"/>
        <w:ind w:firstLine="480" w:firstLineChars="200"/>
        <w:rPr>
          <w:sz w:val="24"/>
          <w:szCs w:val="24"/>
        </w:rPr>
      </w:pPr>
      <w:r>
        <w:rPr>
          <w:rFonts w:hint="eastAsia"/>
          <w:sz w:val="24"/>
          <w:szCs w:val="24"/>
        </w:rPr>
        <w:t>龙岩市稀土开发有限公司（以下简称“龙岩稀土”）成立于2009年9月9日，注册资本5000万元人民币。公司主要业务涵盖稀土原矿开采、稀土贸易、稀土原矿开采技术研发和服务等，是福建省内唯一的稀土矿山开采公司。自成立以来，公司积极参与探索“以发展精深加工为导向，多县产矿、集中分离，利益共享”的稀土资源管理机制，被中共中央办公厅肯定为稀土资源管理的“福建模式”。</w:t>
      </w:r>
    </w:p>
    <w:p>
      <w:pPr>
        <w:spacing w:line="360" w:lineRule="auto"/>
        <w:ind w:firstLine="480" w:firstLineChars="200"/>
        <w:rPr>
          <w:sz w:val="24"/>
          <w:szCs w:val="24"/>
        </w:rPr>
      </w:pPr>
      <w:r>
        <w:rPr>
          <w:rFonts w:hint="eastAsia"/>
          <w:sz w:val="24"/>
          <w:szCs w:val="24"/>
        </w:rPr>
        <w:t>龙岩稀土持续稀土矿山生产技术创新，联合黄小卫院士团队、中国科学院、中国地质科学院、江西理工大学、福建师范大学和南昌大学共同开发了离子型稀土资源绿色高效开采关键技术，并初步升级为离子型稀土资源高效绿色提取的数字驱动一体化技术，该项技术可达国际领先水平。目前，公司已获得多项省部级科学技术奖，为福建省内稀土产业的发展奠定了坚实的基础。</w:t>
      </w:r>
    </w:p>
    <w:p>
      <w:pPr>
        <w:pStyle w:val="3"/>
      </w:pPr>
      <w:bookmarkStart w:id="22" w:name="_Toc31839"/>
      <w:r>
        <w:rPr>
          <w:rFonts w:hint="eastAsia"/>
        </w:rPr>
        <w:t>主要工作过程</w:t>
      </w:r>
      <w:bookmarkEnd w:id="22"/>
    </w:p>
    <w:p>
      <w:pPr>
        <w:spacing w:line="360" w:lineRule="auto"/>
        <w:ind w:firstLine="480" w:firstLineChars="200"/>
        <w:rPr>
          <w:sz w:val="24"/>
          <w:szCs w:val="24"/>
        </w:rPr>
      </w:pPr>
      <w:r>
        <w:rPr>
          <w:rFonts w:hint="eastAsia"/>
          <w:sz w:val="24"/>
          <w:szCs w:val="24"/>
        </w:rPr>
        <w:t>标准计划下达后，主编单位按照全国有色金属标准化委员会和全国稀土标准化技术委员会的要求成立了《离子型稀土矿原地浸矿水污染控制标准》编制组。编制组成员有着丰富的离子型稀土矿山开采、设计和与其相关的环境影响技术评估及审核、环境保护设计和环境影响评价等工作经验。编制组编制了《离子型稀土矿原地浸矿水污染控制标准》大纲，进行了相关标准的调研与分析；针对我国典型离子型稀土矿山进行了现场调研，对其环境影响和污染防治措施进行了分析研究，开展水污染控制要求和水污染控制措施等研究工作。根据调研和研究成果，结合多年的实践经验，完成标准及编制说明的编制工作。</w:t>
      </w:r>
    </w:p>
    <w:p>
      <w:pPr>
        <w:pStyle w:val="2"/>
        <w:rPr>
          <w:sz w:val="32"/>
        </w:rPr>
      </w:pPr>
      <w:bookmarkStart w:id="23" w:name="_Toc6257"/>
      <w:r>
        <w:rPr>
          <w:rFonts w:hint="eastAsia"/>
          <w:sz w:val="32"/>
        </w:rPr>
        <w:t>行业概况</w:t>
      </w:r>
      <w:bookmarkEnd w:id="23"/>
    </w:p>
    <w:p>
      <w:pPr>
        <w:pStyle w:val="3"/>
      </w:pPr>
      <w:bookmarkStart w:id="24" w:name="_Toc28429"/>
      <w:r>
        <w:rPr>
          <w:rFonts w:hint="eastAsia"/>
        </w:rPr>
        <w:t>行业发展概况</w:t>
      </w:r>
      <w:bookmarkEnd w:id="24"/>
    </w:p>
    <w:p>
      <w:pPr>
        <w:pStyle w:val="4"/>
      </w:pPr>
      <w:bookmarkStart w:id="25" w:name="_Toc19696"/>
      <w:r>
        <w:rPr>
          <w:rFonts w:hint="eastAsia"/>
        </w:rPr>
        <w:t>我国稀土行业发展情况</w:t>
      </w:r>
      <w:bookmarkEnd w:id="25"/>
    </w:p>
    <w:p>
      <w:pPr>
        <w:spacing w:line="360" w:lineRule="auto"/>
        <w:ind w:firstLine="480" w:firstLineChars="200"/>
        <w:rPr>
          <w:sz w:val="24"/>
          <w:szCs w:val="24"/>
        </w:rPr>
      </w:pPr>
      <w:r>
        <w:rPr>
          <w:rFonts w:hint="eastAsia"/>
          <w:sz w:val="24"/>
          <w:szCs w:val="24"/>
        </w:rPr>
        <w:t>中国是世界第一大稀土资源国，中国稀土资源不但储量丰富，而且还具有矿种和稀土元素齐全、稀土品位及矿点分布合理等优势。根据美国地质调查局</w:t>
      </w:r>
      <w:r>
        <w:rPr>
          <w:sz w:val="24"/>
          <w:szCs w:val="24"/>
        </w:rPr>
        <w:t>(USGS)</w:t>
      </w:r>
      <w:r>
        <w:rPr>
          <w:rFonts w:hint="eastAsia"/>
          <w:sz w:val="24"/>
          <w:szCs w:val="24"/>
        </w:rPr>
        <w:t>《矿产品概要2</w:t>
      </w:r>
      <w:r>
        <w:rPr>
          <w:sz w:val="24"/>
          <w:szCs w:val="24"/>
        </w:rPr>
        <w:t>020</w:t>
      </w:r>
      <w:r>
        <w:rPr>
          <w:rFonts w:hint="eastAsia"/>
          <w:sz w:val="24"/>
          <w:szCs w:val="24"/>
        </w:rPr>
        <w:t>》报告数据，截止2</w:t>
      </w:r>
      <w:r>
        <w:rPr>
          <w:sz w:val="24"/>
          <w:szCs w:val="24"/>
        </w:rPr>
        <w:t>019</w:t>
      </w:r>
      <w:r>
        <w:rPr>
          <w:rFonts w:hint="eastAsia"/>
          <w:sz w:val="24"/>
          <w:szCs w:val="24"/>
        </w:rPr>
        <w:t>年末，世界稀土资源储量约1</w:t>
      </w:r>
      <w:r>
        <w:rPr>
          <w:sz w:val="24"/>
          <w:szCs w:val="24"/>
        </w:rPr>
        <w:t>.2</w:t>
      </w:r>
      <w:r>
        <w:rPr>
          <w:rFonts w:hint="eastAsia"/>
          <w:sz w:val="24"/>
          <w:szCs w:val="24"/>
        </w:rPr>
        <w:t>亿吨，其中中国稀土资源储量4</w:t>
      </w:r>
      <w:r>
        <w:rPr>
          <w:sz w:val="24"/>
          <w:szCs w:val="24"/>
        </w:rPr>
        <w:t>400</w:t>
      </w:r>
      <w:r>
        <w:rPr>
          <w:rFonts w:hint="eastAsia"/>
          <w:sz w:val="24"/>
          <w:szCs w:val="24"/>
        </w:rPr>
        <w:t>万吨（R</w:t>
      </w:r>
      <w:r>
        <w:rPr>
          <w:sz w:val="24"/>
          <w:szCs w:val="24"/>
        </w:rPr>
        <w:t>EO</w:t>
      </w:r>
      <w:r>
        <w:rPr>
          <w:rFonts w:hint="eastAsia"/>
          <w:sz w:val="24"/>
          <w:szCs w:val="24"/>
        </w:rPr>
        <w:t>），约占世界稀土资源储量的3</w:t>
      </w:r>
      <w:r>
        <w:rPr>
          <w:sz w:val="24"/>
          <w:szCs w:val="24"/>
        </w:rPr>
        <w:t>7</w:t>
      </w:r>
      <w:r>
        <w:rPr>
          <w:rFonts w:hint="eastAsia"/>
          <w:sz w:val="24"/>
          <w:szCs w:val="24"/>
        </w:rPr>
        <w:t>%。2</w:t>
      </w:r>
      <w:r>
        <w:rPr>
          <w:sz w:val="24"/>
          <w:szCs w:val="24"/>
        </w:rPr>
        <w:t>020</w:t>
      </w:r>
      <w:r>
        <w:rPr>
          <w:rFonts w:hint="eastAsia"/>
          <w:sz w:val="24"/>
          <w:szCs w:val="24"/>
        </w:rPr>
        <w:t>年全球稀土矿产量达到2</w:t>
      </w:r>
      <w:r>
        <w:rPr>
          <w:sz w:val="24"/>
          <w:szCs w:val="24"/>
        </w:rPr>
        <w:t>4</w:t>
      </w:r>
      <w:r>
        <w:rPr>
          <w:rFonts w:hint="eastAsia"/>
          <w:sz w:val="24"/>
          <w:szCs w:val="24"/>
        </w:rPr>
        <w:t>万吨（R</w:t>
      </w:r>
      <w:r>
        <w:rPr>
          <w:sz w:val="24"/>
          <w:szCs w:val="24"/>
        </w:rPr>
        <w:t>EO</w:t>
      </w:r>
      <w:r>
        <w:rPr>
          <w:rFonts w:hint="eastAsia"/>
          <w:sz w:val="24"/>
          <w:szCs w:val="24"/>
        </w:rPr>
        <w:t>），我国稀土矿产量为1</w:t>
      </w:r>
      <w:r>
        <w:rPr>
          <w:sz w:val="24"/>
          <w:szCs w:val="24"/>
        </w:rPr>
        <w:t>4</w:t>
      </w:r>
      <w:r>
        <w:rPr>
          <w:rFonts w:hint="eastAsia"/>
          <w:sz w:val="24"/>
          <w:szCs w:val="24"/>
        </w:rPr>
        <w:t>万吨，占全球产量的</w:t>
      </w:r>
      <w:r>
        <w:rPr>
          <w:sz w:val="24"/>
          <w:szCs w:val="24"/>
        </w:rPr>
        <w:t>58.3</w:t>
      </w:r>
      <w:r>
        <w:rPr>
          <w:rFonts w:hint="eastAsia"/>
          <w:sz w:val="24"/>
          <w:szCs w:val="24"/>
        </w:rPr>
        <w:t>%，居全球第一位。</w:t>
      </w:r>
    </w:p>
    <w:p>
      <w:pPr>
        <w:spacing w:line="360" w:lineRule="auto"/>
        <w:ind w:firstLine="480" w:firstLineChars="200"/>
        <w:rPr>
          <w:sz w:val="24"/>
          <w:szCs w:val="24"/>
        </w:rPr>
      </w:pPr>
      <w:r>
        <w:rPr>
          <w:rFonts w:hint="eastAsia"/>
          <w:sz w:val="24"/>
          <w:szCs w:val="24"/>
        </w:rPr>
        <w:t>目前，我国多数稀土企业分布在大型稀土矿山所在地区，以区域稀土资源为中心，中国稀土产业形成了三大基地和南北两大稀土生产体系格局。三大基地分别位于内蒙古包头、四川冕宁和江西赣州为代表的南方七省，其中包头和冕宁地区以轻稀土为主，江西等南方七省以中重稀土为主。</w:t>
      </w:r>
    </w:p>
    <w:p>
      <w:pPr>
        <w:spacing w:line="360" w:lineRule="auto"/>
        <w:ind w:firstLine="480" w:firstLineChars="200"/>
        <w:rPr>
          <w:sz w:val="24"/>
          <w:szCs w:val="24"/>
        </w:rPr>
      </w:pPr>
      <w:r>
        <w:rPr>
          <w:rFonts w:hint="eastAsia"/>
          <w:sz w:val="24"/>
          <w:szCs w:val="24"/>
        </w:rPr>
        <w:t>我国稀土矿有三种矿型，一是混合型稀土矿，主要集中在内蒙古自治区，采用露天开采；二是氟碳铈矿，主要集中在四川省和山东省，采用露天和井下开采：三是离子型稀土矿，主要集中在江西省、福建省、湖南省、广东省、广西壮族自治区、云南省，采用原地浸矿方式开采。为了规范稀土行业管理，保障稀土资源的合理开发利用，促进稀土行业持续健康发展，保护生态环境和资源安全，稀土按照工信部年度计划指标开采。从201</w:t>
      </w:r>
      <w:r>
        <w:rPr>
          <w:sz w:val="24"/>
          <w:szCs w:val="24"/>
        </w:rPr>
        <w:t>6</w:t>
      </w:r>
      <w:r>
        <w:rPr>
          <w:rFonts w:hint="eastAsia"/>
          <w:sz w:val="24"/>
          <w:szCs w:val="24"/>
        </w:rPr>
        <w:t>年到202</w:t>
      </w:r>
      <w:r>
        <w:rPr>
          <w:sz w:val="24"/>
          <w:szCs w:val="24"/>
        </w:rPr>
        <w:t>1</w:t>
      </w:r>
      <w:r>
        <w:rPr>
          <w:rFonts w:hint="eastAsia"/>
          <w:sz w:val="24"/>
          <w:szCs w:val="24"/>
        </w:rPr>
        <w:t>年，三种矿型的开采量均呈上升趋势。</w:t>
      </w:r>
    </w:p>
    <w:p>
      <w:pPr>
        <w:spacing w:line="360" w:lineRule="auto"/>
        <w:ind w:firstLine="480" w:firstLineChars="200"/>
        <w:rPr>
          <w:sz w:val="24"/>
          <w:szCs w:val="24"/>
        </w:rPr>
      </w:pPr>
      <w:r>
        <w:rPr>
          <w:rFonts w:hint="eastAsia"/>
          <w:sz w:val="24"/>
          <w:szCs w:val="24"/>
        </w:rPr>
        <w:t>我国稀土企业从上世纪80年代的300多家，通过多年的市场整合及环保管理，2011 年我国稀土企业有136 家。为贯彻落实 《国务院关于促进稀土行业持续健康发展的若干意见》（国发（2011）12号）和《国务院关于加强环境保护重点工作的意见》（国发（2011）35号)，推动稀土行业持续健康发展，原环境保护部组织开展了稀土企业环保核查工作（《关于开展稀土企业环保核查工作的通知》，环办函（2011) 362号），在2011年11月22日~2013 年 12月26日相继公布了4批共 87家符合环保要求的稀土企业名单。2013 年1月工业和信息化部发布《关于加快推进重点行业企业兼并重组的指导意见》，通过联合、兼并、重组等方式，大力推进资源整合，大幅度减少稀土开采和冶炼分离企业数量，提高产业集中度，基本形成以大型企业为主导的行业格局。稀土集团战略经调整，确定组建六大稀土集团，即：中国五矿集团公司、中国铝业集团公司、中国北方稀土集团、厦门钨业稀土集团、中国南方稀土集团和广东省稀土产业集团，上述 87 家企业大部分纳入六大集团。为进一步提高我国稀土产业集中度，提升稀土资源利用率和掌控力，2</w:t>
      </w:r>
      <w:r>
        <w:rPr>
          <w:sz w:val="24"/>
          <w:szCs w:val="24"/>
        </w:rPr>
        <w:t>021</w:t>
      </w:r>
      <w:r>
        <w:rPr>
          <w:rFonts w:hint="eastAsia"/>
          <w:sz w:val="24"/>
          <w:szCs w:val="24"/>
        </w:rPr>
        <w:t>年1</w:t>
      </w:r>
      <w:r>
        <w:rPr>
          <w:sz w:val="24"/>
          <w:szCs w:val="24"/>
        </w:rPr>
        <w:t>2</w:t>
      </w:r>
      <w:r>
        <w:rPr>
          <w:rFonts w:hint="eastAsia"/>
          <w:sz w:val="24"/>
          <w:szCs w:val="24"/>
        </w:rPr>
        <w:t>月，中国铝业集团有限公司、中国五矿集团有限公司、赣州稀土集团有限公司所属稀土资产重组整合的基础上，引入中国钢研科技有限公司、有研科技集团有限公司，按照市场化原则组建以中重稀土为主的大型稀土集团——中国稀土集团。</w:t>
      </w:r>
    </w:p>
    <w:p>
      <w:pPr>
        <w:pStyle w:val="4"/>
        <w:rPr>
          <w:sz w:val="24"/>
          <w:szCs w:val="24"/>
        </w:rPr>
      </w:pPr>
      <w:bookmarkStart w:id="26" w:name="_Toc10130"/>
      <w:r>
        <w:rPr>
          <w:rFonts w:hint="eastAsia"/>
          <w:sz w:val="24"/>
          <w:szCs w:val="24"/>
        </w:rPr>
        <w:t>离子型稀土矿山开发</w:t>
      </w:r>
      <w:bookmarkEnd w:id="26"/>
      <w:r>
        <w:rPr>
          <w:rFonts w:hint="eastAsia"/>
          <w:sz w:val="24"/>
          <w:szCs w:val="24"/>
        </w:rPr>
        <w:t xml:space="preserve"> </w:t>
      </w:r>
    </w:p>
    <w:p>
      <w:pPr>
        <w:spacing w:line="360" w:lineRule="auto"/>
        <w:ind w:firstLine="480" w:firstLineChars="200"/>
        <w:rPr>
          <w:sz w:val="24"/>
          <w:szCs w:val="24"/>
        </w:rPr>
      </w:pPr>
      <w:r>
        <w:rPr>
          <w:rFonts w:hint="eastAsia"/>
          <w:sz w:val="24"/>
          <w:szCs w:val="24"/>
        </w:rPr>
        <w:t>离子型稀土矿富含稀缺的中重稀土，而中重稀土是新一代电子信息、现代国防军工等高精尖领域不可或缺的关键原材料。我国离子型中重稀土资源储量占全球80%以上，最早被发现并实现大规模开发利用。全球90%以上的中重稀土产品由我国利用离子型稀土矿生产。因此，离子型稀土矿的战略地位极高。</w:t>
      </w:r>
    </w:p>
    <w:p>
      <w:pPr>
        <w:spacing w:line="360" w:lineRule="auto"/>
        <w:ind w:firstLine="480" w:firstLineChars="200"/>
        <w:rPr>
          <w:sz w:val="24"/>
          <w:szCs w:val="24"/>
        </w:rPr>
      </w:pPr>
      <w:r>
        <w:rPr>
          <w:rFonts w:hint="eastAsia"/>
          <w:sz w:val="24"/>
          <w:szCs w:val="24"/>
        </w:rPr>
        <w:t>我国离子型稀土矿资源主要集中在江西省、福建省、湖南省、广东省、广西壮族自治区、云南省，采用原地浸矿方式开采。江西稀土资源主要在赣州，主要集中在龙南、定南、寻乌、信丰、安远、赣县、全南、宁都8个县；目前，龙南和定南的稀土矿山在产。广东省内有3本稀土采矿证，包括2022年已取得采矿证的全国储量最大的离子型稀土矿山新丰稀土矿，目前在产的是平远县仁居稀土矿和大埔县五丰稀土矿。湖南省目前在开采的离子型稀土矿山为江华县稀土矿。广西离子型稀土主要分布在贺州、梧州、玉林和崇左等地，目前在开采的矿山为六汤稀土矿和钟山花山稀土矿。</w:t>
      </w:r>
    </w:p>
    <w:p>
      <w:pPr>
        <w:pStyle w:val="3"/>
      </w:pPr>
      <w:bookmarkStart w:id="27" w:name="_Toc11903"/>
      <w:r>
        <w:rPr>
          <w:rFonts w:hint="eastAsia"/>
        </w:rPr>
        <w:t>离子型稀土矿主要生产工艺及产排污情况</w:t>
      </w:r>
      <w:bookmarkEnd w:id="27"/>
    </w:p>
    <w:p>
      <w:pPr>
        <w:spacing w:line="360" w:lineRule="auto"/>
        <w:ind w:firstLine="480" w:firstLineChars="200"/>
        <w:rPr>
          <w:sz w:val="24"/>
          <w:szCs w:val="24"/>
        </w:rPr>
      </w:pPr>
      <w:r>
        <w:rPr>
          <w:rFonts w:hint="eastAsia"/>
          <w:sz w:val="24"/>
          <w:szCs w:val="24"/>
        </w:rPr>
        <w:t>离子型稀土矿是原生稀土矿物经过长期风化、游离出来的稀土通过离子交换机制以离子吸附状态在黏土矿物上迁移富集而形成的稀土矿床。原地浸矿工艺是目前国家唯一允许的离子型稀土矿开采工艺。国内目前离子型稀土矿生产均采用原地浸矿工艺。</w:t>
      </w:r>
    </w:p>
    <w:p>
      <w:pPr>
        <w:pStyle w:val="4"/>
      </w:pPr>
      <w:bookmarkStart w:id="28" w:name="_Toc14889"/>
      <w:bookmarkStart w:id="29" w:name="_Hlk140821509"/>
      <w:r>
        <w:rPr>
          <w:rFonts w:hint="eastAsia"/>
        </w:rPr>
        <w:t>主要生产工艺</w:t>
      </w:r>
      <w:bookmarkEnd w:id="28"/>
    </w:p>
    <w:bookmarkEnd w:id="29"/>
    <w:p>
      <w:pPr>
        <w:spacing w:line="360" w:lineRule="auto"/>
        <w:ind w:firstLine="480" w:firstLineChars="200"/>
        <w:rPr>
          <w:sz w:val="24"/>
          <w:szCs w:val="24"/>
        </w:rPr>
      </w:pPr>
      <w:r>
        <w:rPr>
          <w:rFonts w:hint="eastAsia"/>
          <w:sz w:val="24"/>
          <w:szCs w:val="24"/>
        </w:rPr>
        <w:t>原地浸矿工艺包括原地浸矿注液、收液和稀土富集。工艺流程见</w:t>
      </w:r>
      <w:r>
        <w:rPr>
          <w:sz w:val="24"/>
          <w:szCs w:val="24"/>
        </w:rPr>
        <w:fldChar w:fldCharType="begin"/>
      </w:r>
      <w:r>
        <w:rPr>
          <w:sz w:val="24"/>
          <w:szCs w:val="24"/>
        </w:rPr>
        <w:instrText xml:space="preserve"> </w:instrText>
      </w:r>
      <w:r>
        <w:rPr>
          <w:rFonts w:hint="eastAsia"/>
          <w:sz w:val="24"/>
          <w:szCs w:val="24"/>
        </w:rPr>
        <w:instrText xml:space="preserve">REF _Ref140917186 \h</w:instrText>
      </w:r>
      <w:r>
        <w:rPr>
          <w:sz w:val="24"/>
          <w:szCs w:val="24"/>
        </w:rPr>
        <w:instrText xml:space="preserve">  \* MERGEFORMAT </w:instrText>
      </w:r>
      <w:r>
        <w:rPr>
          <w:sz w:val="24"/>
          <w:szCs w:val="24"/>
        </w:rPr>
        <w:fldChar w:fldCharType="separate"/>
      </w:r>
      <w:r>
        <w:rPr>
          <w:sz w:val="24"/>
          <w:szCs w:val="24"/>
        </w:rPr>
        <w:t>图 2</w:t>
      </w:r>
      <w:r>
        <w:rPr>
          <w:sz w:val="24"/>
          <w:szCs w:val="24"/>
        </w:rPr>
        <w:noBreakHyphen/>
      </w:r>
      <w:r>
        <w:rPr>
          <w:sz w:val="24"/>
          <w:szCs w:val="24"/>
        </w:rPr>
        <w:t>1</w:t>
      </w:r>
      <w:r>
        <w:rPr>
          <w:sz w:val="24"/>
          <w:szCs w:val="24"/>
        </w:rPr>
        <w:fldChar w:fldCharType="end"/>
      </w:r>
      <w:r>
        <w:rPr>
          <w:rFonts w:hint="eastAsia"/>
          <w:sz w:val="24"/>
          <w:szCs w:val="24"/>
        </w:rPr>
        <w:t>。</w:t>
      </w:r>
    </w:p>
    <w:p>
      <w:pPr>
        <w:spacing w:line="360" w:lineRule="auto"/>
        <w:ind w:firstLine="420" w:firstLineChars="200"/>
        <w:jc w:val="center"/>
        <w:rPr>
          <w:sz w:val="24"/>
          <w:szCs w:val="24"/>
        </w:rPr>
      </w:pPr>
      <w:r>
        <w:object>
          <v:shape id="_x0000_i1025" o:spt="75" alt="" type="#_x0000_t75" style="height:228.8pt;width:221.3pt;" o:ole="t" filled="f" o:preferrelative="t" stroked="f" coordsize="21600,21600">
            <v:path/>
            <v:fill on="f" focussize="0,0"/>
            <v:stroke on="f"/>
            <v:imagedata r:id="rId9" o:title=""/>
            <o:lock v:ext="edit" aspectratio="t"/>
            <w10:wrap type="none"/>
            <w10:anchorlock/>
          </v:shape>
          <o:OLEObject Type="Embed" ProgID="Visio.Drawing.11" ShapeID="_x0000_i1025" DrawAspect="Content" ObjectID="_1468075725" r:id="rId8">
            <o:LockedField>false</o:LockedField>
          </o:OLEObject>
        </w:object>
      </w:r>
    </w:p>
    <w:p>
      <w:pPr>
        <w:pStyle w:val="38"/>
        <w:rPr>
          <w:sz w:val="24"/>
          <w:szCs w:val="24"/>
        </w:rPr>
      </w:pPr>
      <w:bookmarkStart w:id="30" w:name="_Ref140917186"/>
      <w:r>
        <w:t xml:space="preserve">图 </w:t>
      </w:r>
      <w:r>
        <w:fldChar w:fldCharType="begin"/>
      </w:r>
      <w:r>
        <w:instrText xml:space="preserve"> STYLEREF 1 \s </w:instrText>
      </w:r>
      <w:r>
        <w:fldChar w:fldCharType="separate"/>
      </w:r>
      <w:r>
        <w:t>2</w:t>
      </w:r>
      <w:r>
        <w:fldChar w:fldCharType="end"/>
      </w:r>
      <w:r>
        <w:noBreakHyphen/>
      </w:r>
      <w:r>
        <w:fldChar w:fldCharType="begin"/>
      </w:r>
      <w:r>
        <w:instrText xml:space="preserve"> SEQ 图 \* ARABIC \s 1 </w:instrText>
      </w:r>
      <w:r>
        <w:fldChar w:fldCharType="separate"/>
      </w:r>
      <w:r>
        <w:t>1</w:t>
      </w:r>
      <w:r>
        <w:fldChar w:fldCharType="end"/>
      </w:r>
      <w:bookmarkEnd w:id="30"/>
      <w:r>
        <w:t xml:space="preserve">  </w:t>
      </w:r>
      <w:r>
        <w:rPr>
          <w:rFonts w:hint="eastAsia"/>
        </w:rPr>
        <w:t>原地浸矿工艺流程</w:t>
      </w:r>
    </w:p>
    <w:p>
      <w:pPr>
        <w:spacing w:line="360" w:lineRule="auto"/>
        <w:ind w:firstLine="480" w:firstLineChars="200"/>
        <w:rPr>
          <w:rFonts w:hint="eastAsia"/>
          <w:sz w:val="24"/>
          <w:szCs w:val="24"/>
        </w:rPr>
      </w:pPr>
    </w:p>
    <w:p>
      <w:pPr>
        <w:spacing w:line="360" w:lineRule="auto"/>
        <w:ind w:firstLine="480" w:firstLineChars="200"/>
        <w:rPr>
          <w:sz w:val="24"/>
          <w:szCs w:val="24"/>
        </w:rPr>
      </w:pPr>
      <w:r>
        <w:rPr>
          <w:rFonts w:hint="eastAsia"/>
          <w:sz w:val="24"/>
          <w:szCs w:val="24"/>
        </w:rPr>
        <w:t>（1）注液</w:t>
      </w:r>
    </w:p>
    <w:p>
      <w:pPr>
        <w:spacing w:line="360" w:lineRule="auto"/>
        <w:ind w:firstLine="480" w:firstLineChars="200"/>
        <w:rPr>
          <w:sz w:val="24"/>
          <w:szCs w:val="24"/>
        </w:rPr>
      </w:pPr>
      <w:r>
        <w:rPr>
          <w:rFonts w:hint="eastAsia"/>
          <w:sz w:val="24"/>
          <w:szCs w:val="24"/>
        </w:rPr>
        <w:t>利用车间配液池配置浸矿剂溶液，配置高、中、低不同浓度浸矿剂溶液，分别在工艺池体进行存储；再根据稀土矿体分布设计建设注液井工程，浸矿剂溶液输送到高位池，再通过管线输送至采场注液井注入至矿体层；浸矿剂中阳离子与矿物表面的稀土发生离子交换，稀土离子扩散进入溶液生成稀土母液，完成注液过程。江华稀土矿山取消了高位池，浸矿剂溶液通过智能化泵送设备和管线系统，输送至采场注液井注入至矿体层。</w:t>
      </w:r>
    </w:p>
    <w:p>
      <w:pPr>
        <w:spacing w:line="360" w:lineRule="auto"/>
        <w:ind w:firstLine="480" w:firstLineChars="200"/>
        <w:rPr>
          <w:sz w:val="24"/>
          <w:szCs w:val="24"/>
        </w:rPr>
      </w:pPr>
      <w:r>
        <w:rPr>
          <w:rFonts w:hint="eastAsia"/>
          <w:sz w:val="24"/>
          <w:szCs w:val="24"/>
        </w:rPr>
        <w:t>目前生产使用的浸矿剂主要为硫酸铵和硫酸镁。</w:t>
      </w:r>
    </w:p>
    <w:p>
      <w:pPr>
        <w:spacing w:line="360" w:lineRule="auto"/>
        <w:ind w:firstLine="480" w:firstLineChars="200"/>
        <w:rPr>
          <w:sz w:val="24"/>
          <w:szCs w:val="24"/>
        </w:rPr>
      </w:pPr>
      <w:r>
        <w:rPr>
          <w:rFonts w:hint="eastAsia"/>
          <w:sz w:val="24"/>
          <w:szCs w:val="24"/>
        </w:rPr>
        <w:t>（2）收液</w:t>
      </w:r>
    </w:p>
    <w:p>
      <w:pPr>
        <w:spacing w:line="360" w:lineRule="auto"/>
        <w:ind w:firstLine="480" w:firstLineChars="200"/>
        <w:rPr>
          <w:sz w:val="24"/>
          <w:szCs w:val="24"/>
        </w:rPr>
      </w:pPr>
      <w:r>
        <w:rPr>
          <w:rFonts w:hint="eastAsia"/>
          <w:sz w:val="24"/>
          <w:szCs w:val="24"/>
        </w:rPr>
        <w:t>稀土母液一部分通过收液巷道，经巷道口沉砂池后导入集液沟；另一部分利用导流孔自然浸出进入集液沟，最终汇集后导排进入母液中转池；渗漏进入地下的部分母液经环保回收井截留后泵取至母液中转池；最后统一回收至车间母液池，完成收液过程。采场主要有以下两种类型：</w:t>
      </w:r>
    </w:p>
    <w:p>
      <w:pPr>
        <w:pStyle w:val="48"/>
        <w:numPr>
          <w:ilvl w:val="0"/>
          <w:numId w:val="2"/>
        </w:numPr>
        <w:spacing w:line="360" w:lineRule="auto"/>
        <w:ind w:firstLineChars="0"/>
        <w:rPr>
          <w:sz w:val="24"/>
          <w:szCs w:val="24"/>
        </w:rPr>
      </w:pPr>
      <w:r>
        <w:rPr>
          <w:rFonts w:hint="eastAsia"/>
          <w:sz w:val="24"/>
          <w:szCs w:val="24"/>
        </w:rPr>
        <w:t>裸脚式风化壳原地浸矿采场</w:t>
      </w:r>
    </w:p>
    <w:p>
      <w:pPr>
        <w:spacing w:line="360" w:lineRule="auto"/>
        <w:ind w:firstLine="480" w:firstLineChars="200"/>
        <w:rPr>
          <w:sz w:val="24"/>
          <w:szCs w:val="24"/>
        </w:rPr>
      </w:pPr>
      <w:r>
        <w:rPr>
          <w:rFonts w:hint="eastAsia"/>
          <w:sz w:val="24"/>
          <w:szCs w:val="24"/>
        </w:rPr>
        <w:t>裸脚式风化壳面型主要特点为侵蚀基准线出露位置较高，含水层隔水底板深度较浅，其标高高于侵蚀基准面，稀土母液可以顺着隔水底板以泉或散流形式在坡脚处自然流出，因而对于裸脚式风化壳采矿工艺为注液孔浸矿后，使用“导流孔+收液沟为主、环保回收井/沟为辅”的裸脚式原地浸矿采场工艺。</w:t>
      </w:r>
    </w:p>
    <w:p>
      <w:pPr>
        <w:pStyle w:val="48"/>
        <w:numPr>
          <w:ilvl w:val="0"/>
          <w:numId w:val="2"/>
        </w:numPr>
        <w:spacing w:line="360" w:lineRule="auto"/>
        <w:ind w:firstLineChars="0"/>
        <w:rPr>
          <w:sz w:val="24"/>
          <w:szCs w:val="24"/>
        </w:rPr>
      </w:pPr>
      <w:r>
        <w:rPr>
          <w:rFonts w:hint="eastAsia"/>
          <w:sz w:val="24"/>
          <w:szCs w:val="24"/>
        </w:rPr>
        <w:t>全覆式风化壳原地浸矿采场</w:t>
      </w:r>
    </w:p>
    <w:p>
      <w:pPr>
        <w:spacing w:line="360" w:lineRule="auto"/>
        <w:ind w:firstLine="480" w:firstLineChars="200"/>
        <w:rPr>
          <w:sz w:val="28"/>
        </w:rPr>
      </w:pPr>
      <w:r>
        <w:rPr>
          <w:rFonts w:hint="eastAsia"/>
          <w:sz w:val="24"/>
          <w:szCs w:val="24"/>
        </w:rPr>
        <w:t>全覆式风化壳面型主要特点为侵蚀基准线出露位置较低，含水层隔水底板深度相对裸脚式来说较深，因而不能形成天然底板，需要采用人工施工形成人工底板。因而对于全覆式风化壳原地浸矿采场的采矿工艺为注液孔浸矿后，使用“密集导流孔+人工底板收液巷道为主，收液沟+环保回收井/沟为辅”的全覆式原地浸矿采场工艺。</w:t>
      </w:r>
    </w:p>
    <w:p>
      <w:pPr>
        <w:spacing w:line="360" w:lineRule="auto"/>
        <w:ind w:firstLine="480" w:firstLineChars="200"/>
        <w:rPr>
          <w:sz w:val="24"/>
          <w:szCs w:val="24"/>
        </w:rPr>
      </w:pPr>
      <w:r>
        <w:rPr>
          <w:rFonts w:hint="eastAsia"/>
          <w:sz w:val="24"/>
          <w:szCs w:val="24"/>
        </w:rPr>
        <w:t>（3）稀土富集</w:t>
      </w:r>
    </w:p>
    <w:p>
      <w:pPr>
        <w:spacing w:line="360" w:lineRule="auto"/>
        <w:ind w:firstLine="480" w:firstLineChars="200"/>
        <w:rPr>
          <w:sz w:val="24"/>
          <w:szCs w:val="24"/>
        </w:rPr>
      </w:pPr>
      <w:r>
        <w:rPr>
          <w:rFonts w:hint="eastAsia"/>
          <w:sz w:val="24"/>
          <w:szCs w:val="24"/>
        </w:rPr>
        <w:t>①沉淀富集工艺</w:t>
      </w:r>
    </w:p>
    <w:p>
      <w:pPr>
        <w:spacing w:line="360" w:lineRule="auto"/>
        <w:ind w:firstLine="480" w:firstLineChars="200"/>
        <w:rPr>
          <w:sz w:val="24"/>
          <w:szCs w:val="24"/>
        </w:rPr>
      </w:pPr>
      <w:r>
        <w:rPr>
          <w:rFonts w:hint="eastAsia"/>
          <w:sz w:val="24"/>
          <w:szCs w:val="24"/>
        </w:rPr>
        <w:t>离子型稀土矿常规的稀土富集工艺为碳酸氢铵沉淀富集工艺。原地浸矿收液得到的母液（浸出液）在母液处理车间进行处理，用碳酸氢铵进行除杂、沉淀富集得到碳酸稀土产品。工艺流程见</w:t>
      </w:r>
      <w:r>
        <w:rPr>
          <w:sz w:val="24"/>
          <w:szCs w:val="24"/>
        </w:rPr>
        <w:fldChar w:fldCharType="begin"/>
      </w:r>
      <w:r>
        <w:rPr>
          <w:sz w:val="24"/>
          <w:szCs w:val="24"/>
        </w:rPr>
        <w:instrText xml:space="preserve"> </w:instrText>
      </w:r>
      <w:r>
        <w:rPr>
          <w:rFonts w:hint="eastAsia"/>
          <w:sz w:val="24"/>
          <w:szCs w:val="24"/>
        </w:rPr>
        <w:instrText xml:space="preserve">REF _Ref140917232 \h</w:instrText>
      </w:r>
      <w:r>
        <w:rPr>
          <w:sz w:val="24"/>
          <w:szCs w:val="24"/>
        </w:rPr>
        <w:instrText xml:space="preserve">  \* MERGEFORMAT </w:instrText>
      </w:r>
      <w:r>
        <w:rPr>
          <w:sz w:val="24"/>
          <w:szCs w:val="24"/>
        </w:rPr>
        <w:fldChar w:fldCharType="separate"/>
      </w:r>
      <w:r>
        <w:rPr>
          <w:sz w:val="24"/>
          <w:szCs w:val="24"/>
        </w:rPr>
        <w:t>图 2</w:t>
      </w:r>
      <w:r>
        <w:rPr>
          <w:sz w:val="24"/>
          <w:szCs w:val="24"/>
        </w:rPr>
        <w:noBreakHyphen/>
      </w:r>
      <w:r>
        <w:rPr>
          <w:sz w:val="24"/>
          <w:szCs w:val="24"/>
        </w:rPr>
        <w:t>2</w:t>
      </w:r>
      <w:r>
        <w:rPr>
          <w:sz w:val="24"/>
          <w:szCs w:val="24"/>
        </w:rPr>
        <w:fldChar w:fldCharType="end"/>
      </w:r>
      <w:r>
        <w:rPr>
          <w:rFonts w:hint="eastAsia"/>
          <w:sz w:val="24"/>
          <w:szCs w:val="24"/>
        </w:rPr>
        <w:t>。</w:t>
      </w:r>
    </w:p>
    <w:p>
      <w:pPr>
        <w:spacing w:line="360" w:lineRule="auto"/>
        <w:ind w:firstLine="420" w:firstLineChars="200"/>
        <w:jc w:val="center"/>
        <w:rPr>
          <w:sz w:val="24"/>
          <w:szCs w:val="24"/>
        </w:rPr>
      </w:pPr>
      <w:r>
        <w:object>
          <v:shape id="_x0000_i1026" o:spt="75" alt="" type="#_x0000_t75" style="height:246.05pt;width:292pt;" o:ole="t" filled="f" o:preferrelative="t" stroked="f" coordsize="21600,21600">
            <v:path/>
            <v:fill on="f" focussize="0,0"/>
            <v:stroke on="f"/>
            <v:imagedata r:id="rId11" o:title=""/>
            <o:lock v:ext="edit" aspectratio="t"/>
            <w10:wrap type="none"/>
            <w10:anchorlock/>
          </v:shape>
          <o:OLEObject Type="Embed" ProgID="Visio.Drawing.11" ShapeID="_x0000_i1026" DrawAspect="Content" ObjectID="_1468075726" r:id="rId10">
            <o:LockedField>false</o:LockedField>
          </o:OLEObject>
        </w:object>
      </w:r>
    </w:p>
    <w:p>
      <w:pPr>
        <w:pStyle w:val="38"/>
        <w:rPr>
          <w:sz w:val="24"/>
          <w:szCs w:val="24"/>
        </w:rPr>
      </w:pPr>
      <w:bookmarkStart w:id="31" w:name="_Ref140917232"/>
      <w:r>
        <w:t xml:space="preserve">图 </w:t>
      </w:r>
      <w:r>
        <w:fldChar w:fldCharType="begin"/>
      </w:r>
      <w:r>
        <w:instrText xml:space="preserve"> STYLEREF 1 \s </w:instrText>
      </w:r>
      <w:r>
        <w:fldChar w:fldCharType="separate"/>
      </w:r>
      <w:r>
        <w:t>2</w:t>
      </w:r>
      <w:r>
        <w:fldChar w:fldCharType="end"/>
      </w:r>
      <w:r>
        <w:noBreakHyphen/>
      </w:r>
      <w:r>
        <w:fldChar w:fldCharType="begin"/>
      </w:r>
      <w:r>
        <w:instrText xml:space="preserve"> SEQ 图 \* ARABIC \s 1 </w:instrText>
      </w:r>
      <w:r>
        <w:fldChar w:fldCharType="separate"/>
      </w:r>
      <w:r>
        <w:t>2</w:t>
      </w:r>
      <w:r>
        <w:fldChar w:fldCharType="end"/>
      </w:r>
      <w:bookmarkEnd w:id="31"/>
      <w:r>
        <w:t xml:space="preserve"> </w:t>
      </w:r>
      <w:r>
        <w:rPr>
          <w:rFonts w:hint="eastAsia"/>
        </w:rPr>
        <w:t>碳酸氢铵沉淀富集工艺流程</w:t>
      </w:r>
    </w:p>
    <w:p>
      <w:pPr>
        <w:spacing w:line="360" w:lineRule="auto"/>
        <w:ind w:firstLine="480" w:firstLineChars="200"/>
        <w:rPr>
          <w:sz w:val="24"/>
          <w:szCs w:val="24"/>
        </w:rPr>
      </w:pPr>
      <w:r>
        <w:rPr>
          <w:rFonts w:hint="eastAsia"/>
          <w:sz w:val="24"/>
          <w:szCs w:val="24"/>
        </w:rPr>
        <w:t>江华稀土矿山是国内第一家在矿山母液处理车间实现自动化控制的离子型稀土矿山，采用远程启停控制、智能检测等智能化技术，创新了自动化控制配液除杂沉淀离子型稀土矿山系统。其稀土富集工段的工艺流程为：回收至车间的稀土母液，经6级串联搅拌槽除杂后，进入除杂浓密池进行固液分离得到含稀土除杂母液；除杂母液自除杂浓密机自流到6级串联搅拌槽进行产品沉淀，沉淀后的产品浆液进入浓密机进行固液分离得到产品和清液；最后压滤得到稀土碳酸盐产品，清液回用于配置浸矿剂。</w:t>
      </w:r>
    </w:p>
    <w:p>
      <w:pPr>
        <w:spacing w:line="360" w:lineRule="auto"/>
        <w:ind w:firstLine="480" w:firstLineChars="200"/>
        <w:rPr>
          <w:sz w:val="24"/>
          <w:szCs w:val="24"/>
        </w:rPr>
      </w:pPr>
      <w:r>
        <w:rPr>
          <w:rFonts w:hint="eastAsia"/>
          <w:sz w:val="24"/>
          <w:szCs w:val="24"/>
        </w:rPr>
        <w:t>赣州稀土矿山目前采用硫酸镁为浸矿剂，氧化镁进行沉淀富集。其稀土富集工段的工艺流程为：母液经收液系统输送至富集池。在富集池中，加入氧化镁浆液，池中溶液经澄清后，富集后的沉淀物为产品氢氧化稀土及少量杂质。</w:t>
      </w:r>
    </w:p>
    <w:p>
      <w:pPr>
        <w:spacing w:line="360" w:lineRule="auto"/>
        <w:ind w:firstLine="480" w:firstLineChars="200"/>
        <w:rPr>
          <w:sz w:val="24"/>
          <w:szCs w:val="24"/>
        </w:rPr>
      </w:pPr>
      <w:r>
        <w:rPr>
          <w:rFonts w:hint="eastAsia"/>
          <w:sz w:val="24"/>
          <w:szCs w:val="24"/>
        </w:rPr>
        <w:t>部分离子型稀土矿山企业在进行碳酸氢钠沉淀富集工艺相关实验。</w:t>
      </w:r>
    </w:p>
    <w:p>
      <w:pPr>
        <w:spacing w:line="360" w:lineRule="auto"/>
        <w:ind w:firstLine="480" w:firstLineChars="200"/>
        <w:rPr>
          <w:sz w:val="24"/>
          <w:szCs w:val="24"/>
        </w:rPr>
      </w:pPr>
      <w:r>
        <w:rPr>
          <w:rFonts w:hint="eastAsia"/>
          <w:sz w:val="24"/>
          <w:szCs w:val="24"/>
        </w:rPr>
        <w:t>②低浓度稀土离心萃取连续高效富集工艺</w:t>
      </w:r>
    </w:p>
    <w:p>
      <w:pPr>
        <w:spacing w:line="360" w:lineRule="auto"/>
        <w:ind w:firstLine="480" w:firstLineChars="200"/>
        <w:rPr>
          <w:sz w:val="24"/>
          <w:szCs w:val="24"/>
        </w:rPr>
      </w:pPr>
      <w:r>
        <w:rPr>
          <w:rFonts w:hint="eastAsia"/>
          <w:sz w:val="24"/>
          <w:szCs w:val="24"/>
        </w:rPr>
        <w:t>有研稀土和有研集团创新开发出低浓度稀土离心萃取连续高效富集工艺，主要工艺由母液预处理、非平衡离心萃取、反萃、有机相回收和浸矿剂制备等工序组成，从稀土矿浸出母液中生产出氯化稀土产品，萃取的有机相循环利用、萃余液回用于浸矿剂的制备。工艺流程较沉淀法缩短5道工序，稀土收率提高8 个百分点。</w:t>
      </w:r>
    </w:p>
    <w:p>
      <w:pPr>
        <w:pStyle w:val="4"/>
      </w:pPr>
      <w:bookmarkStart w:id="32" w:name="_Toc18180"/>
      <w:r>
        <w:rPr>
          <w:rFonts w:hint="eastAsia"/>
        </w:rPr>
        <w:t>产污环节</w:t>
      </w:r>
      <w:bookmarkEnd w:id="32"/>
    </w:p>
    <w:p>
      <w:pPr>
        <w:spacing w:line="360" w:lineRule="auto"/>
        <w:ind w:firstLine="480" w:firstLineChars="200"/>
        <w:rPr>
          <w:sz w:val="24"/>
          <w:szCs w:val="24"/>
        </w:rPr>
      </w:pPr>
      <w:r>
        <w:rPr>
          <w:rFonts w:hint="eastAsia"/>
          <w:sz w:val="24"/>
          <w:szCs w:val="24"/>
        </w:rPr>
        <w:t>相比已淘汰的堆浸、池浸工艺，原地浸矿工艺最大程度上保护了矿区的生态环境，但是也存在一定的局限性，主要体现在浸矿剂的渗漏对水环境的影响。原地浸矿过程中无法保证全部回收稀土母液，不可避免会有极少部分稀土母液渗漏。矿区水污染源主要为浸矿剂的渗漏，即渗漏尾水，主要以以下几种方式体现：①浸矿剂渗漏到地下水中，离子稀土矿区地下水和地表水联系紧密，渗漏的地下水在某些区域出露于地表；②正在开采的矿块，赋存在土壤中的污染物在丰水期雨水淋溶时，在矿区会形成汇流，淋溶水中含有污染物；③已开采的矿块即使经过清水淋洗，在丰水期雨水淋溶仍会产生含污染物的淋溶水。</w:t>
      </w:r>
    </w:p>
    <w:p>
      <w:pPr>
        <w:pStyle w:val="4"/>
        <w:rPr>
          <w:sz w:val="24"/>
          <w:szCs w:val="24"/>
        </w:rPr>
      </w:pPr>
      <w:bookmarkStart w:id="33" w:name="_Toc7516"/>
      <w:r>
        <w:rPr>
          <w:rFonts w:hint="eastAsia"/>
          <w:sz w:val="24"/>
          <w:szCs w:val="24"/>
        </w:rPr>
        <w:t>污染防治措施</w:t>
      </w:r>
      <w:bookmarkEnd w:id="33"/>
    </w:p>
    <w:p>
      <w:pPr>
        <w:spacing w:line="360" w:lineRule="auto"/>
        <w:ind w:firstLine="480" w:firstLineChars="200"/>
        <w:rPr>
          <w:sz w:val="24"/>
          <w:szCs w:val="24"/>
        </w:rPr>
      </w:pPr>
      <w:r>
        <w:rPr>
          <w:rFonts w:hint="eastAsia"/>
          <w:sz w:val="24"/>
          <w:szCs w:val="24"/>
        </w:rPr>
        <w:t>（1）氨氮废水的处理措施</w:t>
      </w:r>
    </w:p>
    <w:p>
      <w:pPr>
        <w:spacing w:line="360" w:lineRule="auto"/>
        <w:ind w:firstLine="480" w:firstLineChars="200"/>
        <w:rPr>
          <w:sz w:val="24"/>
          <w:szCs w:val="24"/>
        </w:rPr>
      </w:pPr>
      <w:r>
        <w:rPr>
          <w:rFonts w:hint="eastAsia"/>
          <w:sz w:val="24"/>
          <w:szCs w:val="24"/>
        </w:rPr>
        <w:t>铵盐浸矿碳酸氢铵沉淀工艺产生的废水主要是含氨氮废水，氨氮尾水的收集、处理是采用该工艺矿山污染防治的重点。</w:t>
      </w:r>
    </w:p>
    <w:p>
      <w:pPr>
        <w:spacing w:line="360" w:lineRule="auto"/>
        <w:ind w:firstLine="480" w:firstLineChars="200"/>
        <w:rPr>
          <w:sz w:val="24"/>
          <w:szCs w:val="24"/>
        </w:rPr>
      </w:pPr>
      <w:r>
        <w:rPr>
          <w:rFonts w:hint="eastAsia"/>
          <w:sz w:val="24"/>
          <w:szCs w:val="24"/>
        </w:rPr>
        <w:t>离子型稀土矿氨氮废水中污染因子相对单一、污染物浓度存在一定的波动、碳氮比低、可生化性差，其氨氮浓度与矿山的开采强度和水文地质特征关系密切。目前离子型稀土矿山氨氮废水处理工艺有</w:t>
      </w:r>
      <w:bookmarkStart w:id="34" w:name="_Hlk140868965"/>
      <w:r>
        <w:rPr>
          <w:rFonts w:hint="eastAsia"/>
          <w:sz w:val="24"/>
          <w:szCs w:val="24"/>
        </w:rPr>
        <w:t>化学沉淀法、化学氧化法、生物法、膜处理法</w:t>
      </w:r>
      <w:bookmarkEnd w:id="34"/>
      <w:r>
        <w:rPr>
          <w:rFonts w:hint="eastAsia"/>
          <w:sz w:val="24"/>
          <w:szCs w:val="24"/>
        </w:rPr>
        <w:t>、吹脱法及其组合等工艺。</w:t>
      </w:r>
    </w:p>
    <w:p>
      <w:pPr>
        <w:spacing w:line="360" w:lineRule="auto"/>
        <w:ind w:firstLine="480" w:firstLineChars="200"/>
        <w:rPr>
          <w:sz w:val="24"/>
          <w:szCs w:val="24"/>
        </w:rPr>
      </w:pPr>
      <w:r>
        <w:rPr>
          <w:rFonts w:hint="eastAsia"/>
          <w:sz w:val="24"/>
          <w:szCs w:val="24"/>
        </w:rPr>
        <w:t>化学沉淀法，在一定的pH值条件下，通过往废水中投加镁盐和磷酸盐，水中的</w:t>
      </w:r>
      <w:r>
        <w:rPr>
          <w:sz w:val="24"/>
          <w:szCs w:val="24"/>
        </w:rPr>
        <w:t>HPO</w:t>
      </w:r>
      <w:r>
        <w:rPr>
          <w:sz w:val="24"/>
          <w:szCs w:val="24"/>
          <w:vertAlign w:val="subscript"/>
        </w:rPr>
        <w:t>4</w:t>
      </w:r>
      <w:r>
        <w:rPr>
          <w:sz w:val="24"/>
          <w:szCs w:val="24"/>
          <w:vertAlign w:val="superscript"/>
        </w:rPr>
        <w:t>2-</w:t>
      </w:r>
      <w:r>
        <w:rPr>
          <w:rFonts w:hint="eastAsia"/>
          <w:sz w:val="24"/>
          <w:szCs w:val="24"/>
        </w:rPr>
        <w:t>、NH</w:t>
      </w:r>
      <w:r>
        <w:rPr>
          <w:rFonts w:hint="eastAsia"/>
          <w:sz w:val="24"/>
          <w:szCs w:val="24"/>
          <w:vertAlign w:val="subscript"/>
        </w:rPr>
        <w:t>4</w:t>
      </w:r>
      <w:r>
        <w:rPr>
          <w:rFonts w:hint="eastAsia"/>
          <w:sz w:val="24"/>
          <w:szCs w:val="24"/>
          <w:vertAlign w:val="superscript"/>
        </w:rPr>
        <w:t>+</w:t>
      </w:r>
      <w:r>
        <w:rPr>
          <w:rFonts w:hint="eastAsia"/>
          <w:sz w:val="24"/>
          <w:szCs w:val="24"/>
        </w:rPr>
        <w:t>和Mg</w:t>
      </w:r>
      <w:r>
        <w:rPr>
          <w:rFonts w:hint="eastAsia"/>
          <w:sz w:val="24"/>
          <w:szCs w:val="24"/>
          <w:vertAlign w:val="superscript"/>
        </w:rPr>
        <w:t>2+</w:t>
      </w:r>
      <w:r>
        <w:rPr>
          <w:rFonts w:hint="eastAsia"/>
          <w:sz w:val="24"/>
          <w:szCs w:val="24"/>
        </w:rPr>
        <w:t>可以生成磷酸铵镁沉淀，使铵离子从氨氮废水中分离出来。</w:t>
      </w:r>
    </w:p>
    <w:p>
      <w:pPr>
        <w:spacing w:line="360" w:lineRule="auto"/>
        <w:ind w:firstLine="480" w:firstLineChars="200"/>
        <w:rPr>
          <w:sz w:val="24"/>
          <w:szCs w:val="24"/>
        </w:rPr>
      </w:pPr>
      <w:r>
        <w:rPr>
          <w:rFonts w:hint="eastAsia"/>
          <w:sz w:val="24"/>
          <w:szCs w:val="24"/>
        </w:rPr>
        <w:t>化学氧化法，在含氨氮的水中加入次氯酸钠或氯气，次氯酸根离子能够与水中的氨氮反应产生一氯胺（NH</w:t>
      </w:r>
      <w:r>
        <w:rPr>
          <w:rFonts w:hint="eastAsia"/>
          <w:sz w:val="24"/>
          <w:szCs w:val="24"/>
          <w:vertAlign w:val="subscript"/>
        </w:rPr>
        <w:t>2</w:t>
      </w:r>
      <w:r>
        <w:rPr>
          <w:rFonts w:hint="eastAsia"/>
          <w:sz w:val="24"/>
          <w:szCs w:val="24"/>
        </w:rPr>
        <w:t>Cl）、二氯胺（NHCl</w:t>
      </w:r>
      <w:r>
        <w:rPr>
          <w:rFonts w:hint="eastAsia"/>
          <w:sz w:val="24"/>
          <w:szCs w:val="24"/>
          <w:vertAlign w:val="subscript"/>
        </w:rPr>
        <w:t>2</w:t>
      </w:r>
      <w:r>
        <w:rPr>
          <w:rFonts w:hint="eastAsia"/>
          <w:sz w:val="24"/>
          <w:szCs w:val="24"/>
        </w:rPr>
        <w:t>）和三氯胺（NCl</w:t>
      </w:r>
      <w:r>
        <w:rPr>
          <w:rFonts w:hint="eastAsia"/>
          <w:sz w:val="24"/>
          <w:szCs w:val="24"/>
          <w:vertAlign w:val="subscript"/>
        </w:rPr>
        <w:t>3</w:t>
      </w:r>
      <w:r>
        <w:rPr>
          <w:rFonts w:hint="eastAsia"/>
          <w:sz w:val="24"/>
          <w:szCs w:val="24"/>
        </w:rPr>
        <w:t>）。</w:t>
      </w:r>
    </w:p>
    <w:p>
      <w:pPr>
        <w:spacing w:line="360" w:lineRule="auto"/>
        <w:ind w:firstLine="480" w:firstLineChars="200"/>
        <w:rPr>
          <w:sz w:val="24"/>
          <w:szCs w:val="24"/>
        </w:rPr>
      </w:pPr>
      <w:r>
        <w:rPr>
          <w:rFonts w:hint="eastAsia"/>
          <w:sz w:val="24"/>
          <w:szCs w:val="24"/>
        </w:rPr>
        <w:t>生物法，一般包括硝化和反硝化两个阶段，是利用硝化菌和反硝化菌完成的。其中硝化作用包括亚硝化与硝化两个阶段：亚硝化过程是由亚硝酸菌将氨态氮转化为亚硝酸盐，硝化过程是由硝酸菌将亚硝酸盐进一步氧化为硝酸；反硝化主要作用是将硝酸盐或亚硝酸盐还原成气态氮（NO、N</w:t>
      </w:r>
      <w:r>
        <w:rPr>
          <w:rFonts w:hint="eastAsia"/>
          <w:sz w:val="24"/>
          <w:szCs w:val="24"/>
          <w:vertAlign w:val="subscript"/>
        </w:rPr>
        <w:t>2</w:t>
      </w:r>
      <w:r>
        <w:rPr>
          <w:rFonts w:hint="eastAsia"/>
          <w:sz w:val="24"/>
          <w:szCs w:val="24"/>
        </w:rPr>
        <w:t>O、N</w:t>
      </w:r>
      <w:r>
        <w:rPr>
          <w:rFonts w:hint="eastAsia"/>
          <w:sz w:val="24"/>
          <w:szCs w:val="24"/>
          <w:vertAlign w:val="subscript"/>
        </w:rPr>
        <w:t>2</w:t>
      </w:r>
      <w:r>
        <w:rPr>
          <w:rFonts w:hint="eastAsia"/>
          <w:sz w:val="24"/>
          <w:szCs w:val="24"/>
        </w:rPr>
        <w:t>），是在厌氧或缺氧的条件下完成。反硝化阶段需要投加碳源。</w:t>
      </w:r>
    </w:p>
    <w:p>
      <w:pPr>
        <w:spacing w:line="360" w:lineRule="auto"/>
        <w:ind w:firstLine="480" w:firstLineChars="200"/>
        <w:rPr>
          <w:sz w:val="24"/>
          <w:szCs w:val="24"/>
        </w:rPr>
      </w:pPr>
      <w:r>
        <w:rPr>
          <w:rFonts w:hint="eastAsia"/>
          <w:sz w:val="24"/>
          <w:szCs w:val="24"/>
        </w:rPr>
        <w:t>膜处理法是利用特定膜的透过性能对溶液中的某种成分进行选择性分离，可在室温、无相变的条件下进行，主要包括电渗析、反渗透、超滤及渗析等工艺。膜处理法投资较高，但出水水质好，还对氨进行回收。</w:t>
      </w:r>
    </w:p>
    <w:p>
      <w:pPr>
        <w:spacing w:line="360" w:lineRule="auto"/>
        <w:ind w:firstLine="480" w:firstLineChars="200"/>
        <w:rPr>
          <w:sz w:val="24"/>
          <w:szCs w:val="24"/>
        </w:rPr>
      </w:pPr>
      <w:r>
        <w:rPr>
          <w:rFonts w:hint="eastAsia"/>
          <w:sz w:val="24"/>
          <w:szCs w:val="24"/>
        </w:rPr>
        <w:t>吹脱法，主要要基于气液传质的原理，通过调节氨氮废水的pH使NH</w:t>
      </w:r>
      <w:r>
        <w:rPr>
          <w:rFonts w:hint="eastAsia"/>
          <w:sz w:val="24"/>
          <w:szCs w:val="24"/>
          <w:vertAlign w:val="superscript"/>
        </w:rPr>
        <w:t>4+</w:t>
      </w:r>
      <w:r>
        <w:rPr>
          <w:rFonts w:hint="eastAsia"/>
          <w:sz w:val="24"/>
          <w:szCs w:val="24"/>
        </w:rPr>
        <w:t>转化为气态NH</w:t>
      </w:r>
      <w:r>
        <w:rPr>
          <w:rFonts w:hint="eastAsia"/>
          <w:sz w:val="24"/>
          <w:szCs w:val="24"/>
          <w:vertAlign w:val="subscript"/>
        </w:rPr>
        <w:t>3</w:t>
      </w:r>
      <w:r>
        <w:rPr>
          <w:rFonts w:hint="eastAsia"/>
          <w:sz w:val="24"/>
          <w:szCs w:val="24"/>
        </w:rPr>
        <w:t>，然后通过曝气使水中NH</w:t>
      </w:r>
      <w:r>
        <w:rPr>
          <w:rFonts w:hint="eastAsia"/>
          <w:sz w:val="24"/>
          <w:szCs w:val="24"/>
          <w:vertAlign w:val="subscript"/>
        </w:rPr>
        <w:t>3</w:t>
      </w:r>
      <w:r>
        <w:rPr>
          <w:rFonts w:hint="eastAsia"/>
          <w:sz w:val="24"/>
          <w:szCs w:val="24"/>
        </w:rPr>
        <w:t>向大气中转移，以达到去除氨氮的目的。</w:t>
      </w:r>
    </w:p>
    <w:p>
      <w:pPr>
        <w:spacing w:line="360" w:lineRule="auto"/>
        <w:ind w:firstLine="480" w:firstLineChars="200"/>
        <w:rPr>
          <w:sz w:val="24"/>
          <w:szCs w:val="24"/>
        </w:rPr>
      </w:pPr>
      <w:r>
        <w:rPr>
          <w:rFonts w:hint="eastAsia"/>
          <w:sz w:val="24"/>
          <w:szCs w:val="24"/>
        </w:rPr>
        <w:t>（2）其他废水处理</w:t>
      </w:r>
    </w:p>
    <w:p>
      <w:pPr>
        <w:spacing w:line="360" w:lineRule="auto"/>
        <w:ind w:firstLine="480" w:firstLineChars="200"/>
        <w:rPr>
          <w:sz w:val="24"/>
          <w:szCs w:val="24"/>
        </w:rPr>
      </w:pPr>
      <w:r>
        <w:rPr>
          <w:rFonts w:hint="eastAsia"/>
          <w:sz w:val="24"/>
          <w:szCs w:val="24"/>
        </w:rPr>
        <w:t>使用硫酸镁作为浸矿剂的离子型稀土矿山生产企业，需要对废水中的硫酸根和镁进行处理，以满足污染控制标准的要求。目前采用的有钙矾石法，添加适量氧化钙、偏铝酸钠和絮凝剂等试剂去除水中的硫酸根和镁。</w:t>
      </w:r>
    </w:p>
    <w:p>
      <w:pPr>
        <w:pStyle w:val="2"/>
        <w:rPr>
          <w:sz w:val="32"/>
        </w:rPr>
      </w:pPr>
      <w:bookmarkStart w:id="35" w:name="_Toc15951"/>
      <w:r>
        <w:rPr>
          <w:rFonts w:hint="eastAsia"/>
          <w:sz w:val="32"/>
        </w:rPr>
        <w:t>编制原则</w:t>
      </w:r>
      <w:bookmarkEnd w:id="35"/>
    </w:p>
    <w:p>
      <w:pPr>
        <w:spacing w:line="360" w:lineRule="auto"/>
        <w:ind w:firstLine="480" w:firstLineChars="200"/>
        <w:rPr>
          <w:sz w:val="24"/>
          <w:szCs w:val="24"/>
        </w:rPr>
      </w:pPr>
      <w:r>
        <w:rPr>
          <w:rFonts w:hint="eastAsia"/>
          <w:sz w:val="24"/>
          <w:szCs w:val="24"/>
        </w:rPr>
        <w:t>本标准编制的主要原则是：</w:t>
      </w:r>
    </w:p>
    <w:p>
      <w:pPr>
        <w:spacing w:line="360" w:lineRule="auto"/>
        <w:ind w:firstLine="480" w:firstLineChars="200"/>
        <w:rPr>
          <w:sz w:val="24"/>
          <w:szCs w:val="24"/>
        </w:rPr>
      </w:pPr>
      <w:r>
        <w:rPr>
          <w:rFonts w:hint="eastAsia"/>
          <w:sz w:val="24"/>
          <w:szCs w:val="24"/>
        </w:rPr>
        <w:t>（1）科学性。以国家环境保护相关法律、法规、规章、政策和规划为指导，以改善生态环境质量为目标，结合离子型矿山开采工艺特点，制定水污染控制标准。</w:t>
      </w:r>
    </w:p>
    <w:p>
      <w:pPr>
        <w:spacing w:line="360" w:lineRule="auto"/>
        <w:ind w:firstLine="480" w:firstLineChars="200"/>
        <w:rPr>
          <w:sz w:val="24"/>
          <w:szCs w:val="24"/>
        </w:rPr>
      </w:pPr>
      <w:r>
        <w:rPr>
          <w:rFonts w:hint="eastAsia"/>
          <w:sz w:val="24"/>
          <w:szCs w:val="24"/>
        </w:rPr>
        <w:t>（</w:t>
      </w:r>
      <w:r>
        <w:rPr>
          <w:sz w:val="24"/>
          <w:szCs w:val="24"/>
        </w:rPr>
        <w:t>2</w:t>
      </w:r>
      <w:r>
        <w:rPr>
          <w:rFonts w:hint="eastAsia"/>
          <w:sz w:val="24"/>
          <w:szCs w:val="24"/>
        </w:rPr>
        <w:t>）可行性。标准制定过程中，充分调研离子型稀土矿山生产企业水污染控制技术，广泛收集意见和建议，使标准具有可实施性，促进环境质量改善。</w:t>
      </w:r>
    </w:p>
    <w:p>
      <w:pPr>
        <w:spacing w:line="360" w:lineRule="auto"/>
        <w:ind w:firstLine="480" w:firstLineChars="200"/>
        <w:rPr>
          <w:sz w:val="24"/>
          <w:szCs w:val="24"/>
        </w:rPr>
      </w:pPr>
      <w:r>
        <w:rPr>
          <w:rFonts w:hint="eastAsia"/>
          <w:sz w:val="24"/>
          <w:szCs w:val="24"/>
        </w:rPr>
        <w:t>（3）系统性。离子型稀土矿原地浸矿水污染控制应遵循“源头削减控制、过程监管预警、末端风险防控”的原则，促进清洁生产，过程控制，防控风险。</w:t>
      </w:r>
    </w:p>
    <w:p>
      <w:pPr>
        <w:pStyle w:val="2"/>
        <w:rPr>
          <w:sz w:val="32"/>
        </w:rPr>
      </w:pPr>
      <w:bookmarkStart w:id="36" w:name="_Toc24435"/>
      <w:r>
        <w:rPr>
          <w:rFonts w:hint="eastAsia"/>
          <w:sz w:val="32"/>
        </w:rPr>
        <w:t>主要技术内容及确定依据</w:t>
      </w:r>
      <w:bookmarkEnd w:id="36"/>
    </w:p>
    <w:p>
      <w:pPr>
        <w:pStyle w:val="3"/>
      </w:pPr>
      <w:bookmarkStart w:id="37" w:name="_Toc24636"/>
      <w:r>
        <w:rPr>
          <w:rFonts w:hint="eastAsia"/>
        </w:rPr>
        <w:t>主要技术内容的确定</w:t>
      </w:r>
      <w:bookmarkEnd w:id="37"/>
    </w:p>
    <w:p>
      <w:pPr>
        <w:pStyle w:val="4"/>
        <w:tabs>
          <w:tab w:val="clear" w:pos="360"/>
        </w:tabs>
      </w:pPr>
      <w:bookmarkStart w:id="38" w:name="_Toc8369"/>
      <w:r>
        <w:rPr>
          <w:rFonts w:hint="eastAsia"/>
        </w:rPr>
        <w:t>标准的适用范围</w:t>
      </w:r>
      <w:bookmarkEnd w:id="38"/>
    </w:p>
    <w:p>
      <w:pPr>
        <w:spacing w:line="360" w:lineRule="auto"/>
        <w:ind w:firstLine="480" w:firstLineChars="200"/>
        <w:rPr>
          <w:sz w:val="24"/>
          <w:szCs w:val="24"/>
        </w:rPr>
      </w:pPr>
      <w:r>
        <w:rPr>
          <w:rFonts w:hint="eastAsia"/>
          <w:sz w:val="24"/>
          <w:szCs w:val="24"/>
        </w:rPr>
        <w:t>根据《产业结构调整指导目录（2019年本)》，“离子型稀土矿堆浸和池浸工艺”被列为淘汰类项目。因此，本标准适用于采用原地浸矿工艺的离子型稀土矿开采企业水污染控制管理，以及新建、改建和扩建离子型稀土矿山开采建设项目的环境影响评价、环境保护设施设计、竣工环保验收、排污许可证核发及其投产后的水污染控制管理等。</w:t>
      </w:r>
    </w:p>
    <w:p>
      <w:pPr>
        <w:pStyle w:val="4"/>
        <w:tabs>
          <w:tab w:val="clear" w:pos="360"/>
        </w:tabs>
      </w:pPr>
      <w:bookmarkStart w:id="39" w:name="_Toc2193"/>
      <w:r>
        <w:rPr>
          <w:rFonts w:hint="eastAsia"/>
        </w:rPr>
        <w:t>标准的框架架构</w:t>
      </w:r>
      <w:bookmarkEnd w:id="39"/>
    </w:p>
    <w:p>
      <w:pPr>
        <w:spacing w:line="360" w:lineRule="auto"/>
        <w:ind w:firstLine="480" w:firstLineChars="200"/>
        <w:rPr>
          <w:sz w:val="24"/>
          <w:szCs w:val="24"/>
        </w:rPr>
      </w:pPr>
      <w:r>
        <w:rPr>
          <w:rFonts w:hint="eastAsia"/>
          <w:sz w:val="24"/>
          <w:szCs w:val="24"/>
        </w:rPr>
        <w:t>《离子型稀土矿原地浸矿水污染控制标准》包括如下章节：</w:t>
      </w:r>
    </w:p>
    <w:p>
      <w:pPr>
        <w:spacing w:line="360" w:lineRule="auto"/>
        <w:ind w:firstLine="480" w:firstLineChars="200"/>
        <w:rPr>
          <w:sz w:val="24"/>
          <w:szCs w:val="24"/>
        </w:rPr>
      </w:pPr>
      <w:r>
        <w:rPr>
          <w:rFonts w:hint="eastAsia"/>
          <w:sz w:val="24"/>
          <w:szCs w:val="24"/>
        </w:rPr>
        <w:t>前言</w:t>
      </w:r>
    </w:p>
    <w:p>
      <w:pPr>
        <w:spacing w:line="360" w:lineRule="auto"/>
        <w:ind w:firstLine="480" w:firstLineChars="200"/>
        <w:rPr>
          <w:sz w:val="24"/>
          <w:szCs w:val="24"/>
        </w:rPr>
      </w:pPr>
      <w:r>
        <w:rPr>
          <w:rFonts w:hint="eastAsia"/>
          <w:sz w:val="24"/>
          <w:szCs w:val="24"/>
        </w:rPr>
        <w:t>1 适用范围</w:t>
      </w:r>
    </w:p>
    <w:p>
      <w:pPr>
        <w:spacing w:line="360" w:lineRule="auto"/>
        <w:ind w:firstLine="480" w:firstLineChars="200"/>
        <w:rPr>
          <w:sz w:val="24"/>
          <w:szCs w:val="24"/>
        </w:rPr>
      </w:pPr>
      <w:r>
        <w:rPr>
          <w:rFonts w:hint="eastAsia"/>
          <w:sz w:val="24"/>
          <w:szCs w:val="24"/>
        </w:rPr>
        <w:t>2 规范性引用文件</w:t>
      </w:r>
    </w:p>
    <w:p>
      <w:pPr>
        <w:spacing w:line="360" w:lineRule="auto"/>
        <w:ind w:firstLine="480" w:firstLineChars="200"/>
        <w:rPr>
          <w:sz w:val="24"/>
          <w:szCs w:val="24"/>
        </w:rPr>
      </w:pPr>
      <w:r>
        <w:rPr>
          <w:rFonts w:hint="eastAsia"/>
          <w:sz w:val="24"/>
          <w:szCs w:val="24"/>
        </w:rPr>
        <w:t>3 术语和定义</w:t>
      </w:r>
    </w:p>
    <w:p>
      <w:pPr>
        <w:spacing w:line="360" w:lineRule="auto"/>
        <w:ind w:firstLine="480" w:firstLineChars="200"/>
        <w:rPr>
          <w:sz w:val="24"/>
          <w:szCs w:val="24"/>
        </w:rPr>
      </w:pPr>
      <w:r>
        <w:rPr>
          <w:rFonts w:hint="eastAsia"/>
          <w:sz w:val="24"/>
          <w:szCs w:val="24"/>
        </w:rPr>
        <w:t>4 水污染物控制要求</w:t>
      </w:r>
    </w:p>
    <w:p>
      <w:pPr>
        <w:spacing w:line="360" w:lineRule="auto"/>
        <w:ind w:firstLine="480" w:firstLineChars="200"/>
        <w:rPr>
          <w:sz w:val="24"/>
          <w:szCs w:val="24"/>
        </w:rPr>
      </w:pPr>
      <w:r>
        <w:rPr>
          <w:rFonts w:hint="eastAsia"/>
          <w:sz w:val="24"/>
          <w:szCs w:val="24"/>
        </w:rPr>
        <w:t>5 水污染物控制措施</w:t>
      </w:r>
    </w:p>
    <w:p>
      <w:pPr>
        <w:spacing w:line="360" w:lineRule="auto"/>
        <w:ind w:firstLine="480" w:firstLineChars="200"/>
        <w:rPr>
          <w:sz w:val="24"/>
          <w:szCs w:val="24"/>
        </w:rPr>
      </w:pPr>
      <w:r>
        <w:rPr>
          <w:rFonts w:hint="eastAsia"/>
          <w:sz w:val="24"/>
          <w:szCs w:val="24"/>
        </w:rPr>
        <w:t>6 水污染物监测要求</w:t>
      </w:r>
    </w:p>
    <w:p>
      <w:pPr>
        <w:pStyle w:val="4"/>
        <w:tabs>
          <w:tab w:val="clear" w:pos="360"/>
        </w:tabs>
        <w:spacing w:before="0"/>
      </w:pPr>
      <w:bookmarkStart w:id="40" w:name="_Toc16425"/>
      <w:r>
        <w:rPr>
          <w:rFonts w:hint="eastAsia"/>
        </w:rPr>
        <w:t>术语和定义</w:t>
      </w:r>
      <w:bookmarkEnd w:id="40"/>
    </w:p>
    <w:p>
      <w:pPr>
        <w:spacing w:line="360" w:lineRule="auto"/>
        <w:ind w:firstLine="480" w:firstLineChars="200"/>
        <w:rPr>
          <w:rFonts w:hint="eastAsia" w:ascii="Times New Roman" w:hAnsi="Times New Roman" w:cs="Times New Roman"/>
          <w:sz w:val="24"/>
          <w:szCs w:val="24"/>
        </w:rPr>
      </w:pPr>
      <w:r>
        <w:rPr>
          <w:rFonts w:hint="eastAsia" w:ascii="Times New Roman" w:hAnsi="Times New Roman" w:cs="Times New Roman"/>
          <w:sz w:val="24"/>
          <w:szCs w:val="24"/>
        </w:rPr>
        <w:t>为便于理解和应用本标准，在第3章中定义了15个术语。一是包括“稀土”、“离子型稀土矿”、“稀土母液”等离子型稀土矿常用3项术语，来源于《稀土术语》（GB/T 15676-2015）的基础上结合本标准特点稍作修改后给出；二是结合离子型稀土矿采矿选矿过程中污染防控的需要及实践，编制组给出了包括“原地浸矿”、“对照断面”、“污染控制断面”、“管控断面”、“环境质量达标断面”、“环保回收井”、“地下水环境监测井”、“对照监测井”、“污染扩散监测井”、“环境影响跟踪监测井”、“地下水抽提系统”、“地下水环境控制范围”共12项术语和定义。</w:t>
      </w:r>
    </w:p>
    <w:p>
      <w:pPr>
        <w:pStyle w:val="3"/>
      </w:pPr>
      <w:bookmarkStart w:id="41" w:name="_Toc19183"/>
      <w:r>
        <w:rPr>
          <w:rFonts w:hint="eastAsia"/>
        </w:rPr>
        <w:t>水污染控制要求中污染物项目和浓度限值的确定</w:t>
      </w:r>
      <w:bookmarkEnd w:id="41"/>
    </w:p>
    <w:p>
      <w:pPr>
        <w:pStyle w:val="4"/>
        <w:tabs>
          <w:tab w:val="clear" w:pos="360"/>
        </w:tabs>
      </w:pPr>
      <w:bookmarkStart w:id="42" w:name="_Toc22627"/>
      <w:r>
        <w:rPr>
          <w:rFonts w:hint="eastAsia"/>
        </w:rPr>
        <w:t>污染物项目的确定</w:t>
      </w:r>
      <w:bookmarkEnd w:id="42"/>
    </w:p>
    <w:p>
      <w:pPr>
        <w:spacing w:line="360" w:lineRule="auto"/>
        <w:ind w:firstLine="480" w:firstLineChars="200"/>
        <w:rPr>
          <w:rFonts w:hint="eastAsia" w:ascii="Times New Roman" w:hAnsi="Times New Roman" w:cs="Times New Roman"/>
          <w:sz w:val="24"/>
          <w:szCs w:val="24"/>
        </w:rPr>
      </w:pPr>
      <w:r>
        <w:rPr>
          <w:rFonts w:hint="eastAsia" w:ascii="Times New Roman" w:hAnsi="Times New Roman" w:cs="Times New Roman"/>
          <w:sz w:val="24"/>
          <w:szCs w:val="24"/>
        </w:rPr>
        <w:t>《稀土工业污染物排放标准》GB 26451-2011中明确该标准不包括采用溶液浸矿方式直接从稀土矿床浸出或堆浸获得离子型稀土浸取液的过程。因此，离子型稀土矿原地浸矿开采无适应国家水污染物排放标准。2018年前审批的环评及竣工环保验收中，离子型稀土矿采矿项目水污染物控制多参照GB 26451-2011标准执行。2018年，江西省发布《离子型稀土矿山开采水污染物排放标准》DB36 1016-2018，江西省离子型稀土矿采矿项目执行该标准，控制项目和标准值基本与GB 26451-2011保持一致，因江西赣州稀土矿采用硫酸镁浸矿-氧化镁富集工艺，增加了硫酸盐的特征污染指标。</w:t>
      </w:r>
    </w:p>
    <w:p>
      <w:pPr>
        <w:spacing w:line="360" w:lineRule="auto"/>
        <w:ind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本标准水污染控制要求中分别对污水处理设施排放口排放浓度限值、管控断面控制浓度限值及污染监控断面水污染物预警浓度限值提出了不同的要求。污染物项目参照《稀土工业污染物排放标准》GB 26451-2011中的污染物项目确定。与GB 26451相比，减少了总铬和六价铬2项指标，增加了硫酸盐1项指标。</w:t>
      </w:r>
    </w:p>
    <w:p>
      <w:pPr>
        <w:spacing w:line="360" w:lineRule="auto"/>
        <w:ind w:firstLine="480" w:firstLineChars="200"/>
        <w:rPr>
          <w:rFonts w:hint="eastAsia" w:ascii="Times New Roman" w:hAnsi="Times New Roman" w:cs="Times New Roman"/>
          <w:sz w:val="24"/>
          <w:szCs w:val="24"/>
        </w:rPr>
      </w:pPr>
      <w:r>
        <w:rPr>
          <w:rFonts w:hint="eastAsia" w:ascii="Times New Roman" w:hAnsi="Times New Roman" w:cs="Times New Roman"/>
          <w:sz w:val="24"/>
          <w:szCs w:val="24"/>
        </w:rPr>
        <w:t>标准编制组调研走访广西崇左、福建龙岩、江西赣州、广东平远和湖南江华等离子型稀土矿区，收集了各矿区采选工艺技术、产排污环节、环境影响现状等资料。现有离子型稀土矿原地浸矿开采工艺技术路线主要包括：硫酸铵浸矿-碳酸氢氨沉淀、硫酸镁浸矿-碳酸氢钠沉淀、硫酸镁浸矿-氧化镁富集、低浓度稀土离心萃取连续高效富集工艺。</w:t>
      </w:r>
    </w:p>
    <w:p>
      <w:pPr>
        <w:spacing w:line="360" w:lineRule="auto"/>
        <w:ind w:firstLine="480" w:firstLineChars="200"/>
        <w:rPr>
          <w:sz w:val="24"/>
          <w:szCs w:val="24"/>
        </w:rPr>
      </w:pPr>
      <w:r>
        <w:rPr>
          <w:rFonts w:hint="eastAsia"/>
          <w:sz w:val="24"/>
          <w:szCs w:val="24"/>
        </w:rPr>
        <w:t>收集资料显示，总铬、六价铬在渗漏稀土母液以及离子型稀土矿区周边地表水、地下水中均未检出或浓度极低，因此不属于离子型稀土矿原地开采工艺的特征污染因子，在本次标准中未提出控制浓度限值要求。硫酸盐为《稀土工业污染物排放标准》（GB 26451-2011）未提出的控制指标。</w:t>
      </w:r>
    </w:p>
    <w:p>
      <w:pPr>
        <w:spacing w:line="360" w:lineRule="auto"/>
        <w:ind w:firstLine="480" w:firstLineChars="200"/>
        <w:rPr>
          <w:sz w:val="24"/>
          <w:szCs w:val="24"/>
        </w:rPr>
      </w:pPr>
      <w:r>
        <w:rPr>
          <w:sz w:val="24"/>
          <w:szCs w:val="24"/>
        </w:rPr>
        <w:t>最终确定本标准主要污染物控制因子包括</w:t>
      </w:r>
      <w:r>
        <w:rPr>
          <w:rFonts w:hint="eastAsia"/>
          <w:sz w:val="24"/>
          <w:szCs w:val="24"/>
        </w:rPr>
        <w:t>pH、悬浮物、氟化物、石油类、化学需氧量、总磷、总氮、氨氮、硫酸盐、总锌、总镉、总铅、总砷、钍铀总量</w:t>
      </w:r>
      <w:r>
        <w:rPr>
          <w:sz w:val="24"/>
          <w:szCs w:val="24"/>
        </w:rPr>
        <w:t>共1</w:t>
      </w:r>
      <w:r>
        <w:rPr>
          <w:rFonts w:hint="eastAsia"/>
          <w:sz w:val="24"/>
          <w:szCs w:val="24"/>
          <w:lang w:val="en-US" w:eastAsia="zh-CN"/>
        </w:rPr>
        <w:t>4</w:t>
      </w:r>
      <w:r>
        <w:rPr>
          <w:sz w:val="24"/>
          <w:szCs w:val="24"/>
        </w:rPr>
        <w:t>项污染物</w:t>
      </w:r>
      <w:r>
        <w:rPr>
          <w:rFonts w:hint="eastAsia"/>
          <w:sz w:val="24"/>
          <w:szCs w:val="24"/>
        </w:rPr>
        <w:t>项目</w:t>
      </w:r>
      <w:r>
        <w:rPr>
          <w:sz w:val="24"/>
          <w:szCs w:val="24"/>
        </w:rPr>
        <w:t>。</w:t>
      </w:r>
    </w:p>
    <w:p>
      <w:pPr>
        <w:pStyle w:val="4"/>
        <w:tabs>
          <w:tab w:val="clear" w:pos="360"/>
        </w:tabs>
      </w:pPr>
      <w:bookmarkStart w:id="43" w:name="_Toc8035"/>
      <w:r>
        <w:rPr>
          <w:rFonts w:hint="eastAsia"/>
        </w:rPr>
        <w:t>浓度限值的确定</w:t>
      </w:r>
      <w:bookmarkEnd w:id="43"/>
    </w:p>
    <w:p>
      <w:pPr>
        <w:pStyle w:val="5"/>
        <w:rPr>
          <w:rFonts w:hint="eastAsia"/>
        </w:rPr>
      </w:pPr>
      <w:r>
        <w:rPr>
          <w:rFonts w:hint="eastAsia"/>
        </w:rPr>
        <w:t>污水处理设施排放口</w:t>
      </w:r>
      <w:r>
        <w:rPr>
          <w:rFonts w:hint="eastAsia"/>
          <w:lang w:val="en-US" w:eastAsia="zh-CN"/>
        </w:rPr>
        <w:t>水污染物排放浓度限值</w:t>
      </w:r>
    </w:p>
    <w:p>
      <w:pPr>
        <w:spacing w:line="360" w:lineRule="auto"/>
        <w:ind w:firstLine="480" w:firstLineChars="200"/>
        <w:rPr>
          <w:sz w:val="24"/>
          <w:szCs w:val="24"/>
        </w:rPr>
      </w:pPr>
      <w:r>
        <w:rPr>
          <w:rFonts w:hint="eastAsia"/>
          <w:sz w:val="24"/>
          <w:szCs w:val="24"/>
        </w:rPr>
        <w:t>（1）确定原则</w:t>
      </w:r>
    </w:p>
    <w:p>
      <w:pPr>
        <w:spacing w:line="360" w:lineRule="auto"/>
        <w:ind w:firstLine="480" w:firstLineChars="200"/>
        <w:rPr>
          <w:sz w:val="24"/>
          <w:szCs w:val="24"/>
        </w:rPr>
      </w:pPr>
      <w:r>
        <w:rPr>
          <w:rFonts w:hint="eastAsia"/>
          <w:sz w:val="24"/>
          <w:szCs w:val="24"/>
        </w:rPr>
        <w:t>本标准中的污水处理设施排放口水</w:t>
      </w:r>
      <w:r>
        <w:rPr>
          <w:sz w:val="24"/>
          <w:szCs w:val="24"/>
        </w:rPr>
        <w:t>污染物排放浓度限值不高于</w:t>
      </w:r>
      <w:r>
        <w:rPr>
          <w:rFonts w:hint="eastAsia"/>
          <w:sz w:val="24"/>
          <w:szCs w:val="24"/>
        </w:rPr>
        <w:t>《稀土工业污染物排放标准》GB 26451-2011、</w:t>
      </w:r>
      <w:r>
        <w:rPr>
          <w:sz w:val="24"/>
          <w:szCs w:val="24"/>
        </w:rPr>
        <w:t>《污水综合排放标准》GB8978-1996</w:t>
      </w:r>
      <w:r>
        <w:rPr>
          <w:rFonts w:hint="eastAsia"/>
          <w:sz w:val="24"/>
          <w:szCs w:val="24"/>
        </w:rPr>
        <w:t>以及《离子型稀土矿山开采水污染物排放标准》DB36 1016中的水</w:t>
      </w:r>
      <w:r>
        <w:rPr>
          <w:sz w:val="24"/>
          <w:szCs w:val="24"/>
        </w:rPr>
        <w:t>污染物排放限值。污染物</w:t>
      </w:r>
      <w:r>
        <w:rPr>
          <w:rFonts w:hint="eastAsia"/>
          <w:sz w:val="24"/>
          <w:szCs w:val="24"/>
        </w:rPr>
        <w:t>浓度</w:t>
      </w:r>
      <w:r>
        <w:rPr>
          <w:sz w:val="24"/>
          <w:szCs w:val="24"/>
        </w:rPr>
        <w:t>限值，是</w:t>
      </w:r>
      <w:r>
        <w:rPr>
          <w:rFonts w:hint="eastAsia"/>
          <w:sz w:val="24"/>
          <w:szCs w:val="24"/>
        </w:rPr>
        <w:t>以改善生态环境质量为目标、综合考虑经济技术成本确定的</w:t>
      </w:r>
      <w:r>
        <w:rPr>
          <w:sz w:val="24"/>
          <w:szCs w:val="24"/>
        </w:rPr>
        <w:t>。</w:t>
      </w:r>
    </w:p>
    <w:p>
      <w:pPr>
        <w:spacing w:line="360" w:lineRule="auto"/>
        <w:ind w:firstLine="480" w:firstLineChars="200"/>
        <w:rPr>
          <w:sz w:val="24"/>
          <w:szCs w:val="24"/>
        </w:rPr>
      </w:pPr>
      <w:r>
        <w:rPr>
          <w:rFonts w:hint="eastAsia"/>
          <w:sz w:val="24"/>
          <w:szCs w:val="24"/>
        </w:rPr>
        <w:t>（2）制定依据</w:t>
      </w:r>
    </w:p>
    <w:p>
      <w:pPr>
        <w:spacing w:line="360" w:lineRule="auto"/>
        <w:ind w:firstLine="480" w:firstLineChars="200"/>
        <w:rPr>
          <w:b w:val="0"/>
          <w:bCs w:val="0"/>
          <w:sz w:val="24"/>
          <w:szCs w:val="24"/>
        </w:rPr>
      </w:pPr>
      <w:r>
        <w:rPr>
          <w:rFonts w:hint="eastAsia"/>
          <w:b w:val="0"/>
          <w:bCs w:val="0"/>
          <w:sz w:val="24"/>
          <w:szCs w:val="24"/>
        </w:rPr>
        <w:t>①pH（无量纲）、悬浮物（SS）、氟化物（以F计）、石油类、化学需氧量（CODcr）、总磷、总氮、氨氮、总锌、总镉、总铅、总砷、钍铀总量的浓度限值参照《稀土工业污染物排放标准》GB 26451-2011表2新建企业水污染物排放浓度限值确定。</w:t>
      </w:r>
    </w:p>
    <w:p>
      <w:pPr>
        <w:spacing w:line="360" w:lineRule="auto"/>
        <w:ind w:firstLine="480" w:firstLineChars="200"/>
        <w:rPr>
          <w:sz w:val="24"/>
          <w:szCs w:val="18"/>
        </w:rPr>
      </w:pPr>
      <w:r>
        <w:rPr>
          <w:rFonts w:hint="eastAsia" w:ascii="宋体" w:hAnsi="宋体" w:cs="宋体"/>
          <w:b w:val="0"/>
          <w:bCs w:val="0"/>
          <w:sz w:val="24"/>
          <w:highlight w:val="none"/>
        </w:rPr>
        <w:t>②</w:t>
      </w:r>
      <w:r>
        <w:rPr>
          <w:rFonts w:hint="eastAsia"/>
          <w:b w:val="0"/>
          <w:bCs w:val="0"/>
          <w:sz w:val="24"/>
          <w:highlight w:val="none"/>
        </w:rPr>
        <w:t>硫酸盐（以SO</w:t>
      </w:r>
      <w:r>
        <w:rPr>
          <w:rFonts w:hint="eastAsia"/>
          <w:b w:val="0"/>
          <w:bCs w:val="0"/>
          <w:sz w:val="24"/>
          <w:highlight w:val="none"/>
          <w:vertAlign w:val="subscript"/>
        </w:rPr>
        <w:t>4</w:t>
      </w:r>
      <w:r>
        <w:rPr>
          <w:rFonts w:hint="eastAsia"/>
          <w:b w:val="0"/>
          <w:bCs w:val="0"/>
          <w:sz w:val="24"/>
          <w:highlight w:val="none"/>
          <w:vertAlign w:val="superscript"/>
        </w:rPr>
        <w:t>2-</w:t>
      </w:r>
      <w:r>
        <w:rPr>
          <w:rFonts w:hint="eastAsia"/>
          <w:b w:val="0"/>
          <w:bCs w:val="0"/>
          <w:sz w:val="24"/>
          <w:highlight w:val="none"/>
        </w:rPr>
        <w:t>计）：</w:t>
      </w:r>
      <w:r>
        <w:rPr>
          <w:rFonts w:hint="eastAsia" w:asciiTheme="minorEastAsia" w:hAnsiTheme="minorEastAsia" w:eastAsiaTheme="minorEastAsia"/>
          <w:b w:val="0"/>
          <w:bCs w:val="0"/>
          <w:sz w:val="24"/>
          <w:highlight w:val="none"/>
        </w:rPr>
        <w:t>硫酸盐（以SO</w:t>
      </w:r>
      <w:r>
        <w:rPr>
          <w:rFonts w:hint="eastAsia" w:asciiTheme="minorEastAsia" w:hAnsiTheme="minorEastAsia" w:eastAsiaTheme="minorEastAsia"/>
          <w:b w:val="0"/>
          <w:bCs w:val="0"/>
          <w:sz w:val="24"/>
          <w:highlight w:val="none"/>
          <w:vertAlign w:val="subscript"/>
        </w:rPr>
        <w:t>4</w:t>
      </w:r>
      <w:r>
        <w:rPr>
          <w:rFonts w:hint="eastAsia" w:asciiTheme="minorEastAsia" w:hAnsiTheme="minorEastAsia" w:eastAsiaTheme="minorEastAsia"/>
          <w:b w:val="0"/>
          <w:bCs w:val="0"/>
          <w:sz w:val="24"/>
          <w:highlight w:val="none"/>
          <w:vertAlign w:val="superscript"/>
        </w:rPr>
        <w:t>2-</w:t>
      </w:r>
      <w:r>
        <w:rPr>
          <w:rFonts w:hint="eastAsia" w:asciiTheme="minorEastAsia" w:hAnsiTheme="minorEastAsia" w:eastAsiaTheme="minorEastAsia"/>
          <w:b w:val="0"/>
          <w:bCs w:val="0"/>
          <w:sz w:val="24"/>
          <w:highlight w:val="none"/>
        </w:rPr>
        <w:t>计）浓度限值参照《离子型稀土矿山开采水污染物排放标准》DB36</w:t>
      </w:r>
      <w:r>
        <w:rPr>
          <w:rFonts w:hint="eastAsia" w:asciiTheme="minorEastAsia" w:hAnsiTheme="minorEastAsia" w:eastAsiaTheme="minorEastAsia"/>
          <w:b w:val="0"/>
          <w:bCs w:val="0"/>
          <w:sz w:val="24"/>
        </w:rPr>
        <w:t xml:space="preserve"> 1016-2018“表1</w:t>
      </w:r>
      <w:r>
        <w:rPr>
          <w:rFonts w:asciiTheme="minorEastAsia" w:hAnsiTheme="minorEastAsia" w:eastAsiaTheme="minorEastAsia"/>
          <w:b w:val="0"/>
          <w:bCs w:val="0"/>
          <w:sz w:val="24"/>
        </w:rPr>
        <w:t xml:space="preserve"> </w:t>
      </w:r>
      <w:r>
        <w:rPr>
          <w:rFonts w:hint="eastAsia" w:asciiTheme="minorEastAsia" w:hAnsiTheme="minorEastAsia" w:eastAsiaTheme="minorEastAsia"/>
          <w:b w:val="0"/>
          <w:bCs w:val="0"/>
          <w:sz w:val="24"/>
        </w:rPr>
        <w:t>离子型稀土矿山开采企业水污染物排放浓度限值”中的一级排放标准，即800mg/L。</w:t>
      </w:r>
      <w:r>
        <w:rPr>
          <w:rFonts w:hint="eastAsia"/>
          <w:b w:val="0"/>
          <w:bCs w:val="0"/>
          <w:sz w:val="24"/>
          <w:szCs w:val="18"/>
        </w:rPr>
        <w:t>本标准与GB 26451</w:t>
      </w:r>
      <w:r>
        <w:rPr>
          <w:b w:val="0"/>
          <w:bCs w:val="0"/>
          <w:sz w:val="24"/>
          <w:szCs w:val="18"/>
        </w:rPr>
        <w:t xml:space="preserve"> </w:t>
      </w:r>
      <w:r>
        <w:rPr>
          <w:rFonts w:hint="eastAsia"/>
          <w:b w:val="0"/>
          <w:bCs w:val="0"/>
          <w:sz w:val="24"/>
          <w:szCs w:val="18"/>
        </w:rPr>
        <w:t>污染物项目浓度限值对比见</w:t>
      </w:r>
      <w:r>
        <w:rPr>
          <w:b w:val="0"/>
          <w:bCs w:val="0"/>
          <w:sz w:val="24"/>
          <w:szCs w:val="18"/>
        </w:rPr>
        <w:fldChar w:fldCharType="begin"/>
      </w:r>
      <w:r>
        <w:rPr>
          <w:b w:val="0"/>
          <w:bCs w:val="0"/>
          <w:sz w:val="24"/>
          <w:szCs w:val="18"/>
        </w:rPr>
        <w:instrText xml:space="preserve"> </w:instrText>
      </w:r>
      <w:r>
        <w:rPr>
          <w:rFonts w:hint="eastAsia"/>
          <w:b w:val="0"/>
          <w:bCs w:val="0"/>
          <w:sz w:val="24"/>
          <w:szCs w:val="18"/>
        </w:rPr>
        <w:instrText xml:space="preserve">REF _Ref140917946 \h</w:instrText>
      </w:r>
      <w:r>
        <w:rPr>
          <w:b w:val="0"/>
          <w:bCs w:val="0"/>
          <w:sz w:val="24"/>
          <w:szCs w:val="18"/>
        </w:rPr>
        <w:instrText xml:space="preserve">  \* MERGEFORMAT </w:instrText>
      </w:r>
      <w:r>
        <w:rPr>
          <w:b w:val="0"/>
          <w:bCs w:val="0"/>
          <w:sz w:val="24"/>
          <w:szCs w:val="18"/>
        </w:rPr>
        <w:fldChar w:fldCharType="separate"/>
      </w:r>
      <w:r>
        <w:rPr>
          <w:rFonts w:hint="eastAsia"/>
          <w:b w:val="0"/>
          <w:bCs w:val="0"/>
          <w:sz w:val="24"/>
          <w:szCs w:val="18"/>
        </w:rPr>
        <w:t xml:space="preserve">表 </w:t>
      </w:r>
      <w:r>
        <w:rPr>
          <w:b w:val="0"/>
          <w:bCs w:val="0"/>
          <w:sz w:val="24"/>
          <w:szCs w:val="18"/>
        </w:rPr>
        <w:t>4</w:t>
      </w:r>
      <w:r>
        <w:rPr>
          <w:b w:val="0"/>
          <w:bCs w:val="0"/>
          <w:sz w:val="24"/>
          <w:szCs w:val="18"/>
        </w:rPr>
        <w:noBreakHyphen/>
      </w:r>
      <w:r>
        <w:rPr>
          <w:b w:val="0"/>
          <w:bCs w:val="0"/>
          <w:sz w:val="24"/>
          <w:szCs w:val="18"/>
        </w:rPr>
        <w:t>1</w:t>
      </w:r>
      <w:r>
        <w:rPr>
          <w:b w:val="0"/>
          <w:bCs w:val="0"/>
          <w:sz w:val="24"/>
          <w:szCs w:val="18"/>
        </w:rPr>
        <w:fldChar w:fldCharType="end"/>
      </w:r>
      <w:r>
        <w:rPr>
          <w:rFonts w:hint="eastAsia"/>
          <w:b w:val="0"/>
          <w:bCs w:val="0"/>
          <w:sz w:val="24"/>
          <w:szCs w:val="18"/>
        </w:rPr>
        <w:t>。</w:t>
      </w:r>
      <w:r>
        <w:rPr>
          <w:rFonts w:hint="eastAsia"/>
          <w:sz w:val="24"/>
          <w:szCs w:val="18"/>
        </w:rPr>
        <w:t>本标准与GB 26451</w:t>
      </w:r>
      <w:r>
        <w:rPr>
          <w:sz w:val="24"/>
          <w:szCs w:val="18"/>
        </w:rPr>
        <w:t xml:space="preserve"> </w:t>
      </w:r>
      <w:r>
        <w:rPr>
          <w:rFonts w:hint="eastAsia"/>
          <w:sz w:val="24"/>
          <w:szCs w:val="18"/>
        </w:rPr>
        <w:t>污染物项目浓度限值对比见</w:t>
      </w:r>
      <w:r>
        <w:rPr>
          <w:sz w:val="24"/>
          <w:szCs w:val="18"/>
        </w:rPr>
        <w:fldChar w:fldCharType="begin"/>
      </w:r>
      <w:r>
        <w:rPr>
          <w:sz w:val="24"/>
          <w:szCs w:val="18"/>
        </w:rPr>
        <w:instrText xml:space="preserve"> </w:instrText>
      </w:r>
      <w:r>
        <w:rPr>
          <w:rFonts w:hint="eastAsia"/>
          <w:sz w:val="24"/>
          <w:szCs w:val="18"/>
        </w:rPr>
        <w:instrText xml:space="preserve">REF _Ref140917946 \h</w:instrText>
      </w:r>
      <w:r>
        <w:rPr>
          <w:sz w:val="24"/>
          <w:szCs w:val="18"/>
        </w:rPr>
        <w:instrText xml:space="preserve">  \* MERGEFORMAT </w:instrText>
      </w:r>
      <w:r>
        <w:rPr>
          <w:sz w:val="24"/>
          <w:szCs w:val="18"/>
        </w:rPr>
        <w:fldChar w:fldCharType="separate"/>
      </w:r>
      <w:r>
        <w:rPr>
          <w:rFonts w:hint="eastAsia"/>
          <w:sz w:val="24"/>
          <w:szCs w:val="18"/>
        </w:rPr>
        <w:t xml:space="preserve">表 </w:t>
      </w:r>
      <w:r>
        <w:rPr>
          <w:sz w:val="24"/>
          <w:szCs w:val="18"/>
        </w:rPr>
        <w:t>4</w:t>
      </w:r>
      <w:r>
        <w:rPr>
          <w:sz w:val="24"/>
          <w:szCs w:val="18"/>
        </w:rPr>
        <w:noBreakHyphen/>
      </w:r>
      <w:r>
        <w:rPr>
          <w:sz w:val="24"/>
          <w:szCs w:val="18"/>
        </w:rPr>
        <w:t>1</w:t>
      </w:r>
      <w:r>
        <w:rPr>
          <w:sz w:val="24"/>
          <w:szCs w:val="18"/>
        </w:rPr>
        <w:fldChar w:fldCharType="end"/>
      </w:r>
      <w:r>
        <w:rPr>
          <w:rFonts w:hint="eastAsia"/>
          <w:sz w:val="24"/>
          <w:szCs w:val="18"/>
        </w:rPr>
        <w:t>。</w:t>
      </w:r>
    </w:p>
    <w:p>
      <w:pPr>
        <w:pStyle w:val="38"/>
        <w:spacing w:before="0"/>
        <w:rPr>
          <w:sz w:val="24"/>
          <w:szCs w:val="18"/>
        </w:rPr>
      </w:pPr>
      <w:bookmarkStart w:id="44" w:name="_Ref140917946"/>
      <w:r>
        <w:rPr>
          <w:rFonts w:hint="eastAsia"/>
        </w:rPr>
        <w:t xml:space="preserve">表 </w:t>
      </w:r>
      <w:r>
        <w:fldChar w:fldCharType="begin"/>
      </w:r>
      <w:r>
        <w:instrText xml:space="preserve"> </w:instrText>
      </w:r>
      <w:r>
        <w:rPr>
          <w:rFonts w:hint="eastAsia"/>
        </w:rPr>
        <w:instrText xml:space="preserve">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表 \* ARABIC \s 1</w:instrText>
      </w:r>
      <w:r>
        <w:instrText xml:space="preserve"> </w:instrText>
      </w:r>
      <w:r>
        <w:fldChar w:fldCharType="separate"/>
      </w:r>
      <w:r>
        <w:t>1</w:t>
      </w:r>
      <w:r>
        <w:fldChar w:fldCharType="end"/>
      </w:r>
      <w:bookmarkEnd w:id="44"/>
      <w:r>
        <w:rPr>
          <w:rFonts w:hint="eastAsia"/>
          <w:sz w:val="24"/>
          <w:szCs w:val="18"/>
        </w:rPr>
        <w:t xml:space="preserve"> 本标准与GB 26451</w:t>
      </w:r>
      <w:r>
        <w:rPr>
          <w:sz w:val="24"/>
          <w:szCs w:val="18"/>
        </w:rPr>
        <w:t xml:space="preserve"> </w:t>
      </w:r>
      <w:r>
        <w:rPr>
          <w:rFonts w:hint="eastAsia"/>
          <w:sz w:val="24"/>
          <w:szCs w:val="18"/>
        </w:rPr>
        <w:t>污染物项目浓度限值对比（单位：mg/L）</w:t>
      </w:r>
    </w:p>
    <w:tbl>
      <w:tblPr>
        <w:tblStyle w:val="22"/>
        <w:tblW w:w="4998" w:type="pct"/>
        <w:tblInd w:w="0" w:type="dxa"/>
        <w:tblLayout w:type="autofit"/>
        <w:tblCellMar>
          <w:top w:w="0" w:type="dxa"/>
          <w:left w:w="108" w:type="dxa"/>
          <w:bottom w:w="0" w:type="dxa"/>
          <w:right w:w="108" w:type="dxa"/>
        </w:tblCellMar>
      </w:tblPr>
      <w:tblGrid>
        <w:gridCol w:w="2325"/>
        <w:gridCol w:w="1461"/>
        <w:gridCol w:w="4733"/>
      </w:tblGrid>
      <w:tr>
        <w:tblPrEx>
          <w:tblCellMar>
            <w:top w:w="0" w:type="dxa"/>
            <w:left w:w="108" w:type="dxa"/>
            <w:bottom w:w="0" w:type="dxa"/>
            <w:right w:w="108" w:type="dxa"/>
          </w:tblCellMar>
        </w:tblPrEx>
        <w:trPr>
          <w:tblHeader/>
        </w:trPr>
        <w:tc>
          <w:tcPr>
            <w:tcW w:w="1364"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39"/>
              <w:keepNext w:val="0"/>
              <w:keepLines w:val="0"/>
              <w:pageBreakBefore w:val="0"/>
              <w:widowControl/>
              <w:kinsoku/>
              <w:wordWrap/>
              <w:overflowPunct/>
              <w:topLinePunct w:val="0"/>
              <w:autoSpaceDE/>
              <w:autoSpaceDN/>
              <w:bidi w:val="0"/>
              <w:adjustRightInd w:val="0"/>
              <w:snapToGrid w:val="0"/>
              <w:textAlignment w:val="auto"/>
              <w:rPr>
                <w:sz w:val="21"/>
                <w:szCs w:val="21"/>
              </w:rPr>
            </w:pPr>
            <w:r>
              <w:rPr>
                <w:sz w:val="21"/>
                <w:szCs w:val="21"/>
              </w:rPr>
              <w:t>控制污染物</w:t>
            </w:r>
          </w:p>
        </w:tc>
        <w:tc>
          <w:tcPr>
            <w:tcW w:w="857"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39"/>
              <w:keepNext w:val="0"/>
              <w:keepLines w:val="0"/>
              <w:pageBreakBefore w:val="0"/>
              <w:widowControl/>
              <w:kinsoku/>
              <w:wordWrap/>
              <w:overflowPunct/>
              <w:topLinePunct w:val="0"/>
              <w:autoSpaceDE/>
              <w:autoSpaceDN/>
              <w:bidi w:val="0"/>
              <w:adjustRightInd w:val="0"/>
              <w:snapToGrid w:val="0"/>
              <w:textAlignment w:val="auto"/>
              <w:rPr>
                <w:sz w:val="21"/>
                <w:szCs w:val="21"/>
              </w:rPr>
            </w:pPr>
            <w:r>
              <w:rPr>
                <w:rFonts w:hint="eastAsia"/>
                <w:sz w:val="21"/>
                <w:szCs w:val="21"/>
              </w:rPr>
              <w:t>本标准</w:t>
            </w:r>
          </w:p>
        </w:tc>
        <w:tc>
          <w:tcPr>
            <w:tcW w:w="277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9"/>
              <w:keepNext w:val="0"/>
              <w:keepLines w:val="0"/>
              <w:pageBreakBefore w:val="0"/>
              <w:widowControl/>
              <w:kinsoku/>
              <w:wordWrap/>
              <w:overflowPunct/>
              <w:topLinePunct w:val="0"/>
              <w:autoSpaceDE/>
              <w:autoSpaceDN/>
              <w:bidi w:val="0"/>
              <w:adjustRightInd w:val="0"/>
              <w:snapToGrid w:val="0"/>
              <w:textAlignment w:val="auto"/>
              <w:rPr>
                <w:sz w:val="21"/>
                <w:szCs w:val="21"/>
              </w:rPr>
            </w:pPr>
            <w:r>
              <w:rPr>
                <w:rFonts w:hint="eastAsia"/>
                <w:sz w:val="21"/>
                <w:szCs w:val="21"/>
              </w:rPr>
              <w:t>《稀土工业污染物排放标准》GB 26451-2011表 2 新建企业水污染物排放浓度限值直接排放标准</w:t>
            </w:r>
          </w:p>
        </w:tc>
      </w:tr>
      <w:tr>
        <w:tblPrEx>
          <w:tblCellMar>
            <w:top w:w="0" w:type="dxa"/>
            <w:left w:w="108" w:type="dxa"/>
            <w:bottom w:w="0" w:type="dxa"/>
            <w:right w:w="108" w:type="dxa"/>
          </w:tblCellMar>
        </w:tblPrEx>
        <w:tc>
          <w:tcPr>
            <w:tcW w:w="136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9"/>
              <w:keepNext w:val="0"/>
              <w:keepLines w:val="0"/>
              <w:pageBreakBefore w:val="0"/>
              <w:widowControl/>
              <w:kinsoku/>
              <w:wordWrap/>
              <w:overflowPunct/>
              <w:topLinePunct w:val="0"/>
              <w:autoSpaceDE/>
              <w:autoSpaceDN/>
              <w:bidi w:val="0"/>
              <w:adjustRightInd w:val="0"/>
              <w:snapToGrid w:val="0"/>
              <w:textAlignment w:val="auto"/>
              <w:rPr>
                <w:sz w:val="21"/>
                <w:szCs w:val="21"/>
              </w:rPr>
            </w:pPr>
            <w:r>
              <w:rPr>
                <w:sz w:val="21"/>
                <w:szCs w:val="21"/>
              </w:rPr>
              <w:t>pH（无量纲）</w:t>
            </w:r>
          </w:p>
        </w:tc>
        <w:tc>
          <w:tcPr>
            <w:tcW w:w="85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9"/>
              <w:keepNext w:val="0"/>
              <w:keepLines w:val="0"/>
              <w:pageBreakBefore w:val="0"/>
              <w:widowControl/>
              <w:kinsoku/>
              <w:wordWrap/>
              <w:overflowPunct/>
              <w:topLinePunct w:val="0"/>
              <w:autoSpaceDE/>
              <w:autoSpaceDN/>
              <w:bidi w:val="0"/>
              <w:adjustRightInd w:val="0"/>
              <w:snapToGrid w:val="0"/>
              <w:textAlignment w:val="auto"/>
              <w:rPr>
                <w:sz w:val="21"/>
                <w:szCs w:val="21"/>
              </w:rPr>
            </w:pPr>
            <w:r>
              <w:rPr>
                <w:sz w:val="21"/>
                <w:szCs w:val="21"/>
              </w:rPr>
              <w:t>6~9</w:t>
            </w:r>
          </w:p>
        </w:tc>
        <w:tc>
          <w:tcPr>
            <w:tcW w:w="277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9"/>
              <w:keepNext w:val="0"/>
              <w:keepLines w:val="0"/>
              <w:pageBreakBefore w:val="0"/>
              <w:widowControl/>
              <w:kinsoku/>
              <w:wordWrap/>
              <w:overflowPunct/>
              <w:topLinePunct w:val="0"/>
              <w:autoSpaceDE/>
              <w:autoSpaceDN/>
              <w:bidi w:val="0"/>
              <w:adjustRightInd w:val="0"/>
              <w:snapToGrid w:val="0"/>
              <w:textAlignment w:val="auto"/>
              <w:rPr>
                <w:sz w:val="21"/>
                <w:szCs w:val="21"/>
              </w:rPr>
            </w:pPr>
            <w:r>
              <w:rPr>
                <w:sz w:val="21"/>
                <w:szCs w:val="21"/>
              </w:rPr>
              <w:t>6~9</w:t>
            </w:r>
          </w:p>
        </w:tc>
      </w:tr>
      <w:tr>
        <w:tblPrEx>
          <w:tblCellMar>
            <w:top w:w="0" w:type="dxa"/>
            <w:left w:w="108" w:type="dxa"/>
            <w:bottom w:w="0" w:type="dxa"/>
            <w:right w:w="108" w:type="dxa"/>
          </w:tblCellMar>
        </w:tblPrEx>
        <w:trPr>
          <w:trHeight w:val="90" w:hRule="atLeast"/>
        </w:trPr>
        <w:tc>
          <w:tcPr>
            <w:tcW w:w="136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9"/>
              <w:keepNext w:val="0"/>
              <w:keepLines w:val="0"/>
              <w:pageBreakBefore w:val="0"/>
              <w:widowControl/>
              <w:kinsoku/>
              <w:wordWrap/>
              <w:overflowPunct/>
              <w:topLinePunct w:val="0"/>
              <w:autoSpaceDE/>
              <w:autoSpaceDN/>
              <w:bidi w:val="0"/>
              <w:adjustRightInd w:val="0"/>
              <w:snapToGrid w:val="0"/>
              <w:textAlignment w:val="auto"/>
              <w:rPr>
                <w:sz w:val="21"/>
                <w:szCs w:val="21"/>
              </w:rPr>
            </w:pPr>
            <w:r>
              <w:rPr>
                <w:sz w:val="21"/>
                <w:szCs w:val="21"/>
              </w:rPr>
              <w:t>悬浮物（SS）</w:t>
            </w:r>
          </w:p>
        </w:tc>
        <w:tc>
          <w:tcPr>
            <w:tcW w:w="85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9"/>
              <w:keepNext w:val="0"/>
              <w:keepLines w:val="0"/>
              <w:pageBreakBefore w:val="0"/>
              <w:widowControl/>
              <w:kinsoku/>
              <w:wordWrap/>
              <w:overflowPunct/>
              <w:topLinePunct w:val="0"/>
              <w:autoSpaceDE/>
              <w:autoSpaceDN/>
              <w:bidi w:val="0"/>
              <w:adjustRightInd w:val="0"/>
              <w:snapToGrid w:val="0"/>
              <w:textAlignment w:val="auto"/>
              <w:rPr>
                <w:sz w:val="21"/>
                <w:szCs w:val="21"/>
              </w:rPr>
            </w:pPr>
            <w:r>
              <w:rPr>
                <w:sz w:val="21"/>
                <w:szCs w:val="21"/>
              </w:rPr>
              <w:t>50</w:t>
            </w:r>
          </w:p>
        </w:tc>
        <w:tc>
          <w:tcPr>
            <w:tcW w:w="2777"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39"/>
              <w:keepNext w:val="0"/>
              <w:keepLines w:val="0"/>
              <w:pageBreakBefore w:val="0"/>
              <w:widowControl/>
              <w:kinsoku/>
              <w:wordWrap/>
              <w:overflowPunct/>
              <w:topLinePunct w:val="0"/>
              <w:autoSpaceDE/>
              <w:autoSpaceDN/>
              <w:bidi w:val="0"/>
              <w:adjustRightInd w:val="0"/>
              <w:snapToGrid w:val="0"/>
              <w:textAlignment w:val="auto"/>
              <w:rPr>
                <w:sz w:val="21"/>
                <w:szCs w:val="21"/>
              </w:rPr>
            </w:pPr>
            <w:r>
              <w:rPr>
                <w:rFonts w:hint="eastAsia"/>
                <w:sz w:val="21"/>
                <w:szCs w:val="21"/>
              </w:rPr>
              <w:t>50</w:t>
            </w:r>
          </w:p>
        </w:tc>
      </w:tr>
      <w:tr>
        <w:tblPrEx>
          <w:tblCellMar>
            <w:top w:w="0" w:type="dxa"/>
            <w:left w:w="108" w:type="dxa"/>
            <w:bottom w:w="0" w:type="dxa"/>
            <w:right w:w="108" w:type="dxa"/>
          </w:tblCellMar>
        </w:tblPrEx>
        <w:tc>
          <w:tcPr>
            <w:tcW w:w="136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9"/>
              <w:keepNext w:val="0"/>
              <w:keepLines w:val="0"/>
              <w:pageBreakBefore w:val="0"/>
              <w:widowControl/>
              <w:kinsoku/>
              <w:wordWrap/>
              <w:overflowPunct/>
              <w:topLinePunct w:val="0"/>
              <w:autoSpaceDE/>
              <w:autoSpaceDN/>
              <w:bidi w:val="0"/>
              <w:adjustRightInd w:val="0"/>
              <w:snapToGrid w:val="0"/>
              <w:textAlignment w:val="auto"/>
              <w:rPr>
                <w:sz w:val="21"/>
                <w:szCs w:val="21"/>
              </w:rPr>
            </w:pPr>
            <w:r>
              <w:rPr>
                <w:sz w:val="21"/>
                <w:szCs w:val="21"/>
              </w:rPr>
              <w:t>氟化物（以F计）</w:t>
            </w:r>
          </w:p>
        </w:tc>
        <w:tc>
          <w:tcPr>
            <w:tcW w:w="85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9"/>
              <w:keepNext w:val="0"/>
              <w:keepLines w:val="0"/>
              <w:pageBreakBefore w:val="0"/>
              <w:widowControl/>
              <w:kinsoku/>
              <w:wordWrap/>
              <w:overflowPunct/>
              <w:topLinePunct w:val="0"/>
              <w:autoSpaceDE/>
              <w:autoSpaceDN/>
              <w:bidi w:val="0"/>
              <w:adjustRightInd w:val="0"/>
              <w:snapToGrid w:val="0"/>
              <w:textAlignment w:val="auto"/>
              <w:rPr>
                <w:sz w:val="21"/>
                <w:szCs w:val="21"/>
              </w:rPr>
            </w:pPr>
            <w:r>
              <w:rPr>
                <w:sz w:val="21"/>
                <w:szCs w:val="21"/>
              </w:rPr>
              <w:t>8</w:t>
            </w:r>
          </w:p>
        </w:tc>
        <w:tc>
          <w:tcPr>
            <w:tcW w:w="2777"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39"/>
              <w:keepNext w:val="0"/>
              <w:keepLines w:val="0"/>
              <w:pageBreakBefore w:val="0"/>
              <w:widowControl/>
              <w:kinsoku/>
              <w:wordWrap/>
              <w:overflowPunct/>
              <w:topLinePunct w:val="0"/>
              <w:autoSpaceDE/>
              <w:autoSpaceDN/>
              <w:bidi w:val="0"/>
              <w:adjustRightInd w:val="0"/>
              <w:snapToGrid w:val="0"/>
              <w:textAlignment w:val="auto"/>
              <w:rPr>
                <w:sz w:val="21"/>
                <w:szCs w:val="21"/>
              </w:rPr>
            </w:pPr>
            <w:r>
              <w:rPr>
                <w:rFonts w:hint="eastAsia"/>
                <w:sz w:val="21"/>
                <w:szCs w:val="21"/>
              </w:rPr>
              <w:t>8</w:t>
            </w:r>
          </w:p>
        </w:tc>
      </w:tr>
      <w:tr>
        <w:tblPrEx>
          <w:tblCellMar>
            <w:top w:w="0" w:type="dxa"/>
            <w:left w:w="108" w:type="dxa"/>
            <w:bottom w:w="0" w:type="dxa"/>
            <w:right w:w="108" w:type="dxa"/>
          </w:tblCellMar>
        </w:tblPrEx>
        <w:tc>
          <w:tcPr>
            <w:tcW w:w="136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9"/>
              <w:keepNext w:val="0"/>
              <w:keepLines w:val="0"/>
              <w:pageBreakBefore w:val="0"/>
              <w:widowControl/>
              <w:kinsoku/>
              <w:wordWrap/>
              <w:overflowPunct/>
              <w:topLinePunct w:val="0"/>
              <w:autoSpaceDE/>
              <w:autoSpaceDN/>
              <w:bidi w:val="0"/>
              <w:adjustRightInd w:val="0"/>
              <w:snapToGrid w:val="0"/>
              <w:textAlignment w:val="auto"/>
              <w:rPr>
                <w:sz w:val="21"/>
                <w:szCs w:val="21"/>
              </w:rPr>
            </w:pPr>
            <w:r>
              <w:rPr>
                <w:sz w:val="21"/>
                <w:szCs w:val="21"/>
              </w:rPr>
              <w:t>石油类</w:t>
            </w:r>
          </w:p>
        </w:tc>
        <w:tc>
          <w:tcPr>
            <w:tcW w:w="85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9"/>
              <w:keepNext w:val="0"/>
              <w:keepLines w:val="0"/>
              <w:pageBreakBefore w:val="0"/>
              <w:widowControl/>
              <w:kinsoku/>
              <w:wordWrap/>
              <w:overflowPunct/>
              <w:topLinePunct w:val="0"/>
              <w:autoSpaceDE/>
              <w:autoSpaceDN/>
              <w:bidi w:val="0"/>
              <w:adjustRightInd w:val="0"/>
              <w:snapToGrid w:val="0"/>
              <w:textAlignment w:val="auto"/>
              <w:rPr>
                <w:sz w:val="21"/>
                <w:szCs w:val="21"/>
              </w:rPr>
            </w:pPr>
            <w:r>
              <w:rPr>
                <w:sz w:val="21"/>
                <w:szCs w:val="21"/>
              </w:rPr>
              <w:t>4</w:t>
            </w:r>
          </w:p>
        </w:tc>
        <w:tc>
          <w:tcPr>
            <w:tcW w:w="2777"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39"/>
              <w:keepNext w:val="0"/>
              <w:keepLines w:val="0"/>
              <w:pageBreakBefore w:val="0"/>
              <w:widowControl/>
              <w:kinsoku/>
              <w:wordWrap/>
              <w:overflowPunct/>
              <w:topLinePunct w:val="0"/>
              <w:autoSpaceDE/>
              <w:autoSpaceDN/>
              <w:bidi w:val="0"/>
              <w:adjustRightInd w:val="0"/>
              <w:snapToGrid w:val="0"/>
              <w:textAlignment w:val="auto"/>
              <w:rPr>
                <w:sz w:val="21"/>
                <w:szCs w:val="21"/>
              </w:rPr>
            </w:pPr>
            <w:r>
              <w:rPr>
                <w:rFonts w:hint="eastAsia"/>
                <w:sz w:val="21"/>
                <w:szCs w:val="21"/>
              </w:rPr>
              <w:t>4</w:t>
            </w:r>
          </w:p>
        </w:tc>
      </w:tr>
      <w:tr>
        <w:tblPrEx>
          <w:tblCellMar>
            <w:top w:w="0" w:type="dxa"/>
            <w:left w:w="108" w:type="dxa"/>
            <w:bottom w:w="0" w:type="dxa"/>
            <w:right w:w="108" w:type="dxa"/>
          </w:tblCellMar>
        </w:tblPrEx>
        <w:tc>
          <w:tcPr>
            <w:tcW w:w="136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9"/>
              <w:keepNext w:val="0"/>
              <w:keepLines w:val="0"/>
              <w:pageBreakBefore w:val="0"/>
              <w:widowControl/>
              <w:kinsoku/>
              <w:wordWrap/>
              <w:overflowPunct/>
              <w:topLinePunct w:val="0"/>
              <w:autoSpaceDE/>
              <w:autoSpaceDN/>
              <w:bidi w:val="0"/>
              <w:adjustRightInd w:val="0"/>
              <w:snapToGrid w:val="0"/>
              <w:textAlignment w:val="auto"/>
              <w:rPr>
                <w:sz w:val="21"/>
                <w:szCs w:val="21"/>
              </w:rPr>
            </w:pPr>
            <w:r>
              <w:rPr>
                <w:sz w:val="21"/>
                <w:szCs w:val="21"/>
              </w:rPr>
              <w:t>化学需氧量（COD</w:t>
            </w:r>
            <w:r>
              <w:rPr>
                <w:rFonts w:hint="eastAsia"/>
                <w:sz w:val="21"/>
                <w:szCs w:val="21"/>
              </w:rPr>
              <w:t>cr</w:t>
            </w:r>
            <w:r>
              <w:rPr>
                <w:sz w:val="21"/>
                <w:szCs w:val="21"/>
              </w:rPr>
              <w:t>）</w:t>
            </w:r>
          </w:p>
        </w:tc>
        <w:tc>
          <w:tcPr>
            <w:tcW w:w="85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9"/>
              <w:keepNext w:val="0"/>
              <w:keepLines w:val="0"/>
              <w:pageBreakBefore w:val="0"/>
              <w:widowControl/>
              <w:kinsoku/>
              <w:wordWrap/>
              <w:overflowPunct/>
              <w:topLinePunct w:val="0"/>
              <w:autoSpaceDE/>
              <w:autoSpaceDN/>
              <w:bidi w:val="0"/>
              <w:adjustRightInd w:val="0"/>
              <w:snapToGrid w:val="0"/>
              <w:textAlignment w:val="auto"/>
              <w:rPr>
                <w:sz w:val="21"/>
                <w:szCs w:val="21"/>
              </w:rPr>
            </w:pPr>
            <w:r>
              <w:rPr>
                <w:sz w:val="21"/>
                <w:szCs w:val="21"/>
              </w:rPr>
              <w:t>70</w:t>
            </w:r>
          </w:p>
        </w:tc>
        <w:tc>
          <w:tcPr>
            <w:tcW w:w="2777"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39"/>
              <w:keepNext w:val="0"/>
              <w:keepLines w:val="0"/>
              <w:pageBreakBefore w:val="0"/>
              <w:widowControl/>
              <w:kinsoku/>
              <w:wordWrap/>
              <w:overflowPunct/>
              <w:topLinePunct w:val="0"/>
              <w:autoSpaceDE/>
              <w:autoSpaceDN/>
              <w:bidi w:val="0"/>
              <w:adjustRightInd w:val="0"/>
              <w:snapToGrid w:val="0"/>
              <w:textAlignment w:val="auto"/>
              <w:rPr>
                <w:sz w:val="21"/>
                <w:szCs w:val="21"/>
              </w:rPr>
            </w:pPr>
            <w:r>
              <w:rPr>
                <w:rFonts w:hint="eastAsia"/>
                <w:sz w:val="21"/>
                <w:szCs w:val="21"/>
              </w:rPr>
              <w:t>70</w:t>
            </w:r>
          </w:p>
        </w:tc>
      </w:tr>
      <w:tr>
        <w:tblPrEx>
          <w:tblCellMar>
            <w:top w:w="0" w:type="dxa"/>
            <w:left w:w="108" w:type="dxa"/>
            <w:bottom w:w="0" w:type="dxa"/>
            <w:right w:w="108" w:type="dxa"/>
          </w:tblCellMar>
        </w:tblPrEx>
        <w:tc>
          <w:tcPr>
            <w:tcW w:w="136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9"/>
              <w:keepNext w:val="0"/>
              <w:keepLines w:val="0"/>
              <w:pageBreakBefore w:val="0"/>
              <w:widowControl/>
              <w:kinsoku/>
              <w:wordWrap/>
              <w:overflowPunct/>
              <w:topLinePunct w:val="0"/>
              <w:autoSpaceDE/>
              <w:autoSpaceDN/>
              <w:bidi w:val="0"/>
              <w:adjustRightInd w:val="0"/>
              <w:snapToGrid w:val="0"/>
              <w:textAlignment w:val="auto"/>
              <w:rPr>
                <w:sz w:val="21"/>
                <w:szCs w:val="21"/>
              </w:rPr>
            </w:pPr>
            <w:r>
              <w:rPr>
                <w:sz w:val="21"/>
                <w:szCs w:val="21"/>
              </w:rPr>
              <w:t>总磷</w:t>
            </w:r>
          </w:p>
        </w:tc>
        <w:tc>
          <w:tcPr>
            <w:tcW w:w="85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9"/>
              <w:keepNext w:val="0"/>
              <w:keepLines w:val="0"/>
              <w:pageBreakBefore w:val="0"/>
              <w:widowControl/>
              <w:kinsoku/>
              <w:wordWrap/>
              <w:overflowPunct/>
              <w:topLinePunct w:val="0"/>
              <w:autoSpaceDE/>
              <w:autoSpaceDN/>
              <w:bidi w:val="0"/>
              <w:adjustRightInd w:val="0"/>
              <w:snapToGrid w:val="0"/>
              <w:textAlignment w:val="auto"/>
              <w:rPr>
                <w:sz w:val="21"/>
                <w:szCs w:val="21"/>
              </w:rPr>
            </w:pPr>
            <w:r>
              <w:rPr>
                <w:sz w:val="21"/>
                <w:szCs w:val="21"/>
              </w:rPr>
              <w:t>1</w:t>
            </w:r>
          </w:p>
        </w:tc>
        <w:tc>
          <w:tcPr>
            <w:tcW w:w="2777"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39"/>
              <w:keepNext w:val="0"/>
              <w:keepLines w:val="0"/>
              <w:pageBreakBefore w:val="0"/>
              <w:widowControl/>
              <w:kinsoku/>
              <w:wordWrap/>
              <w:overflowPunct/>
              <w:topLinePunct w:val="0"/>
              <w:autoSpaceDE/>
              <w:autoSpaceDN/>
              <w:bidi w:val="0"/>
              <w:adjustRightInd w:val="0"/>
              <w:snapToGrid w:val="0"/>
              <w:textAlignment w:val="auto"/>
              <w:rPr>
                <w:sz w:val="21"/>
                <w:szCs w:val="21"/>
              </w:rPr>
            </w:pPr>
            <w:r>
              <w:rPr>
                <w:rFonts w:hint="eastAsia"/>
                <w:sz w:val="21"/>
                <w:szCs w:val="21"/>
              </w:rPr>
              <w:t>1</w:t>
            </w:r>
          </w:p>
        </w:tc>
      </w:tr>
      <w:tr>
        <w:tblPrEx>
          <w:tblCellMar>
            <w:top w:w="0" w:type="dxa"/>
            <w:left w:w="108" w:type="dxa"/>
            <w:bottom w:w="0" w:type="dxa"/>
            <w:right w:w="108" w:type="dxa"/>
          </w:tblCellMar>
        </w:tblPrEx>
        <w:tc>
          <w:tcPr>
            <w:tcW w:w="136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9"/>
              <w:keepNext w:val="0"/>
              <w:keepLines w:val="0"/>
              <w:pageBreakBefore w:val="0"/>
              <w:widowControl/>
              <w:kinsoku/>
              <w:wordWrap/>
              <w:overflowPunct/>
              <w:topLinePunct w:val="0"/>
              <w:autoSpaceDE/>
              <w:autoSpaceDN/>
              <w:bidi w:val="0"/>
              <w:adjustRightInd w:val="0"/>
              <w:snapToGrid w:val="0"/>
              <w:textAlignment w:val="auto"/>
              <w:rPr>
                <w:sz w:val="21"/>
                <w:szCs w:val="21"/>
              </w:rPr>
            </w:pPr>
            <w:r>
              <w:rPr>
                <w:sz w:val="21"/>
                <w:szCs w:val="21"/>
              </w:rPr>
              <w:t>总氮</w:t>
            </w:r>
          </w:p>
        </w:tc>
        <w:tc>
          <w:tcPr>
            <w:tcW w:w="85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9"/>
              <w:keepNext w:val="0"/>
              <w:keepLines w:val="0"/>
              <w:pageBreakBefore w:val="0"/>
              <w:widowControl/>
              <w:kinsoku/>
              <w:wordWrap/>
              <w:overflowPunct/>
              <w:topLinePunct w:val="0"/>
              <w:autoSpaceDE/>
              <w:autoSpaceDN/>
              <w:bidi w:val="0"/>
              <w:adjustRightInd w:val="0"/>
              <w:snapToGrid w:val="0"/>
              <w:textAlignment w:val="auto"/>
              <w:rPr>
                <w:sz w:val="21"/>
                <w:szCs w:val="21"/>
              </w:rPr>
            </w:pPr>
            <w:r>
              <w:rPr>
                <w:sz w:val="21"/>
                <w:szCs w:val="21"/>
              </w:rPr>
              <w:t>30</w:t>
            </w:r>
          </w:p>
        </w:tc>
        <w:tc>
          <w:tcPr>
            <w:tcW w:w="2777"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39"/>
              <w:keepNext w:val="0"/>
              <w:keepLines w:val="0"/>
              <w:pageBreakBefore w:val="0"/>
              <w:widowControl/>
              <w:kinsoku/>
              <w:wordWrap/>
              <w:overflowPunct/>
              <w:topLinePunct w:val="0"/>
              <w:autoSpaceDE/>
              <w:autoSpaceDN/>
              <w:bidi w:val="0"/>
              <w:adjustRightInd w:val="0"/>
              <w:snapToGrid w:val="0"/>
              <w:textAlignment w:val="auto"/>
              <w:rPr>
                <w:sz w:val="21"/>
                <w:szCs w:val="21"/>
              </w:rPr>
            </w:pPr>
            <w:r>
              <w:rPr>
                <w:rFonts w:hint="eastAsia"/>
                <w:sz w:val="21"/>
                <w:szCs w:val="21"/>
              </w:rPr>
              <w:t>30</w:t>
            </w:r>
          </w:p>
        </w:tc>
      </w:tr>
      <w:tr>
        <w:tblPrEx>
          <w:tblCellMar>
            <w:top w:w="0" w:type="dxa"/>
            <w:left w:w="108" w:type="dxa"/>
            <w:bottom w:w="0" w:type="dxa"/>
            <w:right w:w="108" w:type="dxa"/>
          </w:tblCellMar>
        </w:tblPrEx>
        <w:tc>
          <w:tcPr>
            <w:tcW w:w="136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9"/>
              <w:keepNext w:val="0"/>
              <w:keepLines w:val="0"/>
              <w:pageBreakBefore w:val="0"/>
              <w:widowControl/>
              <w:kinsoku/>
              <w:wordWrap/>
              <w:overflowPunct/>
              <w:topLinePunct w:val="0"/>
              <w:autoSpaceDE/>
              <w:autoSpaceDN/>
              <w:bidi w:val="0"/>
              <w:adjustRightInd w:val="0"/>
              <w:snapToGrid w:val="0"/>
              <w:textAlignment w:val="auto"/>
              <w:rPr>
                <w:sz w:val="21"/>
                <w:szCs w:val="21"/>
              </w:rPr>
            </w:pPr>
            <w:r>
              <w:rPr>
                <w:sz w:val="21"/>
                <w:szCs w:val="21"/>
              </w:rPr>
              <w:t>氨氮</w:t>
            </w:r>
          </w:p>
        </w:tc>
        <w:tc>
          <w:tcPr>
            <w:tcW w:w="85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9"/>
              <w:keepNext w:val="0"/>
              <w:keepLines w:val="0"/>
              <w:pageBreakBefore w:val="0"/>
              <w:widowControl/>
              <w:kinsoku/>
              <w:wordWrap/>
              <w:overflowPunct/>
              <w:topLinePunct w:val="0"/>
              <w:autoSpaceDE/>
              <w:autoSpaceDN/>
              <w:bidi w:val="0"/>
              <w:adjustRightInd w:val="0"/>
              <w:snapToGrid w:val="0"/>
              <w:textAlignment w:val="auto"/>
              <w:rPr>
                <w:rFonts w:hint="default" w:eastAsia="仿宋_GB2312"/>
                <w:sz w:val="21"/>
                <w:szCs w:val="21"/>
                <w:lang w:val="en-US" w:eastAsia="zh-CN"/>
              </w:rPr>
            </w:pPr>
            <w:r>
              <w:rPr>
                <w:rFonts w:hint="eastAsia"/>
                <w:sz w:val="21"/>
                <w:szCs w:val="21"/>
                <w:lang w:val="en-US" w:eastAsia="zh-CN"/>
              </w:rPr>
              <w:t>10</w:t>
            </w:r>
          </w:p>
        </w:tc>
        <w:tc>
          <w:tcPr>
            <w:tcW w:w="2777"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39"/>
              <w:keepNext w:val="0"/>
              <w:keepLines w:val="0"/>
              <w:pageBreakBefore w:val="0"/>
              <w:widowControl/>
              <w:kinsoku/>
              <w:wordWrap/>
              <w:overflowPunct/>
              <w:topLinePunct w:val="0"/>
              <w:autoSpaceDE/>
              <w:autoSpaceDN/>
              <w:bidi w:val="0"/>
              <w:adjustRightInd w:val="0"/>
              <w:snapToGrid w:val="0"/>
              <w:textAlignment w:val="auto"/>
              <w:rPr>
                <w:sz w:val="21"/>
                <w:szCs w:val="21"/>
              </w:rPr>
            </w:pPr>
            <w:r>
              <w:rPr>
                <w:rFonts w:hint="eastAsia"/>
                <w:sz w:val="21"/>
                <w:szCs w:val="21"/>
              </w:rPr>
              <w:t>15</w:t>
            </w:r>
          </w:p>
        </w:tc>
      </w:tr>
      <w:tr>
        <w:tblPrEx>
          <w:tblCellMar>
            <w:top w:w="0" w:type="dxa"/>
            <w:left w:w="108" w:type="dxa"/>
            <w:bottom w:w="0" w:type="dxa"/>
            <w:right w:w="108" w:type="dxa"/>
          </w:tblCellMar>
        </w:tblPrEx>
        <w:tc>
          <w:tcPr>
            <w:tcW w:w="136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9"/>
              <w:keepNext w:val="0"/>
              <w:keepLines w:val="0"/>
              <w:pageBreakBefore w:val="0"/>
              <w:widowControl/>
              <w:kinsoku/>
              <w:wordWrap/>
              <w:overflowPunct/>
              <w:topLinePunct w:val="0"/>
              <w:autoSpaceDE/>
              <w:autoSpaceDN/>
              <w:bidi w:val="0"/>
              <w:adjustRightInd w:val="0"/>
              <w:snapToGrid w:val="0"/>
              <w:jc w:val="both"/>
              <w:textAlignment w:val="auto"/>
              <w:rPr>
                <w:sz w:val="21"/>
                <w:szCs w:val="21"/>
              </w:rPr>
            </w:pPr>
            <w:r>
              <w:rPr>
                <w:sz w:val="21"/>
                <w:szCs w:val="21"/>
              </w:rPr>
              <w:t>硫酸盐（以SO</w:t>
            </w:r>
            <w:r>
              <w:rPr>
                <w:sz w:val="21"/>
                <w:szCs w:val="21"/>
                <w:vertAlign w:val="subscript"/>
              </w:rPr>
              <w:t>4</w:t>
            </w:r>
            <w:r>
              <w:rPr>
                <w:sz w:val="21"/>
                <w:szCs w:val="21"/>
                <w:vertAlign w:val="superscript"/>
              </w:rPr>
              <w:t>2-</w:t>
            </w:r>
            <w:r>
              <w:rPr>
                <w:sz w:val="21"/>
                <w:szCs w:val="21"/>
              </w:rPr>
              <w:t>计）</w:t>
            </w:r>
          </w:p>
        </w:tc>
        <w:tc>
          <w:tcPr>
            <w:tcW w:w="85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9"/>
              <w:keepNext w:val="0"/>
              <w:keepLines w:val="0"/>
              <w:pageBreakBefore w:val="0"/>
              <w:widowControl/>
              <w:kinsoku/>
              <w:wordWrap/>
              <w:overflowPunct/>
              <w:topLinePunct w:val="0"/>
              <w:autoSpaceDE/>
              <w:autoSpaceDN/>
              <w:bidi w:val="0"/>
              <w:adjustRightInd w:val="0"/>
              <w:snapToGrid w:val="0"/>
              <w:textAlignment w:val="auto"/>
              <w:rPr>
                <w:sz w:val="21"/>
                <w:szCs w:val="21"/>
              </w:rPr>
            </w:pPr>
            <w:r>
              <w:rPr>
                <w:sz w:val="21"/>
                <w:szCs w:val="21"/>
              </w:rPr>
              <w:t>800</w:t>
            </w:r>
          </w:p>
        </w:tc>
        <w:tc>
          <w:tcPr>
            <w:tcW w:w="2777"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39"/>
              <w:keepNext w:val="0"/>
              <w:keepLines w:val="0"/>
              <w:pageBreakBefore w:val="0"/>
              <w:widowControl/>
              <w:kinsoku/>
              <w:wordWrap/>
              <w:overflowPunct/>
              <w:topLinePunct w:val="0"/>
              <w:autoSpaceDE/>
              <w:autoSpaceDN/>
              <w:bidi w:val="0"/>
              <w:adjustRightInd w:val="0"/>
              <w:snapToGrid w:val="0"/>
              <w:textAlignment w:val="auto"/>
              <w:rPr>
                <w:sz w:val="21"/>
                <w:szCs w:val="21"/>
              </w:rPr>
            </w:pPr>
            <w:r>
              <w:rPr>
                <w:rFonts w:hint="eastAsia"/>
                <w:sz w:val="21"/>
                <w:szCs w:val="21"/>
              </w:rPr>
              <w:t>/</w:t>
            </w:r>
          </w:p>
        </w:tc>
      </w:tr>
      <w:tr>
        <w:tblPrEx>
          <w:tblCellMar>
            <w:top w:w="0" w:type="dxa"/>
            <w:left w:w="108" w:type="dxa"/>
            <w:bottom w:w="0" w:type="dxa"/>
            <w:right w:w="108" w:type="dxa"/>
          </w:tblCellMar>
        </w:tblPrEx>
        <w:tc>
          <w:tcPr>
            <w:tcW w:w="1364" w:type="pct"/>
            <w:tcBorders>
              <w:top w:val="single" w:color="auto" w:sz="4" w:space="0"/>
              <w:left w:val="single" w:color="auto" w:sz="4" w:space="0"/>
              <w:bottom w:val="single" w:color="auto" w:sz="4" w:space="0"/>
              <w:right w:val="single" w:color="auto" w:sz="4" w:space="0"/>
            </w:tcBorders>
            <w:shd w:val="clear" w:color="auto" w:fill="auto"/>
          </w:tcPr>
          <w:p>
            <w:pPr>
              <w:pStyle w:val="39"/>
              <w:keepNext w:val="0"/>
              <w:keepLines w:val="0"/>
              <w:pageBreakBefore w:val="0"/>
              <w:widowControl/>
              <w:kinsoku/>
              <w:wordWrap/>
              <w:overflowPunct/>
              <w:topLinePunct w:val="0"/>
              <w:autoSpaceDE/>
              <w:autoSpaceDN/>
              <w:bidi w:val="0"/>
              <w:adjustRightInd w:val="0"/>
              <w:snapToGrid w:val="0"/>
              <w:textAlignment w:val="auto"/>
              <w:rPr>
                <w:sz w:val="21"/>
                <w:szCs w:val="21"/>
              </w:rPr>
            </w:pPr>
            <w:r>
              <w:rPr>
                <w:sz w:val="21"/>
                <w:szCs w:val="21"/>
              </w:rPr>
              <w:t>总锌</w:t>
            </w:r>
          </w:p>
        </w:tc>
        <w:tc>
          <w:tcPr>
            <w:tcW w:w="85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9"/>
              <w:keepNext w:val="0"/>
              <w:keepLines w:val="0"/>
              <w:pageBreakBefore w:val="0"/>
              <w:widowControl/>
              <w:kinsoku/>
              <w:wordWrap/>
              <w:overflowPunct/>
              <w:topLinePunct w:val="0"/>
              <w:autoSpaceDE/>
              <w:autoSpaceDN/>
              <w:bidi w:val="0"/>
              <w:adjustRightInd w:val="0"/>
              <w:snapToGrid w:val="0"/>
              <w:textAlignment w:val="auto"/>
              <w:rPr>
                <w:sz w:val="21"/>
                <w:szCs w:val="21"/>
              </w:rPr>
            </w:pPr>
            <w:r>
              <w:rPr>
                <w:sz w:val="21"/>
                <w:szCs w:val="21"/>
              </w:rPr>
              <w:t>1</w:t>
            </w:r>
          </w:p>
        </w:tc>
        <w:tc>
          <w:tcPr>
            <w:tcW w:w="2777"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39"/>
              <w:keepNext w:val="0"/>
              <w:keepLines w:val="0"/>
              <w:pageBreakBefore w:val="0"/>
              <w:widowControl/>
              <w:kinsoku/>
              <w:wordWrap/>
              <w:overflowPunct/>
              <w:topLinePunct w:val="0"/>
              <w:autoSpaceDE/>
              <w:autoSpaceDN/>
              <w:bidi w:val="0"/>
              <w:adjustRightInd w:val="0"/>
              <w:snapToGrid w:val="0"/>
              <w:textAlignment w:val="auto"/>
              <w:rPr>
                <w:sz w:val="21"/>
                <w:szCs w:val="21"/>
              </w:rPr>
            </w:pPr>
            <w:r>
              <w:rPr>
                <w:rFonts w:hint="eastAsia"/>
                <w:sz w:val="21"/>
                <w:szCs w:val="21"/>
              </w:rPr>
              <w:t>1</w:t>
            </w:r>
          </w:p>
        </w:tc>
      </w:tr>
      <w:tr>
        <w:tblPrEx>
          <w:tblCellMar>
            <w:top w:w="0" w:type="dxa"/>
            <w:left w:w="108" w:type="dxa"/>
            <w:bottom w:w="0" w:type="dxa"/>
            <w:right w:w="108" w:type="dxa"/>
          </w:tblCellMar>
        </w:tblPrEx>
        <w:tc>
          <w:tcPr>
            <w:tcW w:w="1364" w:type="pct"/>
            <w:tcBorders>
              <w:top w:val="single" w:color="auto" w:sz="4" w:space="0"/>
              <w:left w:val="single" w:color="auto" w:sz="4" w:space="0"/>
              <w:bottom w:val="single" w:color="auto" w:sz="4" w:space="0"/>
              <w:right w:val="single" w:color="auto" w:sz="4" w:space="0"/>
            </w:tcBorders>
            <w:shd w:val="clear" w:color="auto" w:fill="auto"/>
          </w:tcPr>
          <w:p>
            <w:pPr>
              <w:pStyle w:val="39"/>
              <w:keepNext w:val="0"/>
              <w:keepLines w:val="0"/>
              <w:pageBreakBefore w:val="0"/>
              <w:widowControl/>
              <w:kinsoku/>
              <w:wordWrap/>
              <w:overflowPunct/>
              <w:topLinePunct w:val="0"/>
              <w:autoSpaceDE/>
              <w:autoSpaceDN/>
              <w:bidi w:val="0"/>
              <w:adjustRightInd w:val="0"/>
              <w:snapToGrid w:val="0"/>
              <w:textAlignment w:val="auto"/>
              <w:rPr>
                <w:sz w:val="21"/>
                <w:szCs w:val="21"/>
              </w:rPr>
            </w:pPr>
            <w:r>
              <w:rPr>
                <w:sz w:val="21"/>
                <w:szCs w:val="21"/>
              </w:rPr>
              <w:t>总镉</w:t>
            </w:r>
          </w:p>
        </w:tc>
        <w:tc>
          <w:tcPr>
            <w:tcW w:w="85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9"/>
              <w:keepNext w:val="0"/>
              <w:keepLines w:val="0"/>
              <w:pageBreakBefore w:val="0"/>
              <w:widowControl/>
              <w:kinsoku/>
              <w:wordWrap/>
              <w:overflowPunct/>
              <w:topLinePunct w:val="0"/>
              <w:autoSpaceDE/>
              <w:autoSpaceDN/>
              <w:bidi w:val="0"/>
              <w:adjustRightInd w:val="0"/>
              <w:snapToGrid w:val="0"/>
              <w:textAlignment w:val="auto"/>
              <w:rPr>
                <w:sz w:val="21"/>
                <w:szCs w:val="21"/>
              </w:rPr>
            </w:pPr>
            <w:r>
              <w:rPr>
                <w:sz w:val="21"/>
                <w:szCs w:val="21"/>
              </w:rPr>
              <w:t>0.05</w:t>
            </w:r>
          </w:p>
        </w:tc>
        <w:tc>
          <w:tcPr>
            <w:tcW w:w="2777"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39"/>
              <w:keepNext w:val="0"/>
              <w:keepLines w:val="0"/>
              <w:pageBreakBefore w:val="0"/>
              <w:widowControl/>
              <w:kinsoku/>
              <w:wordWrap/>
              <w:overflowPunct/>
              <w:topLinePunct w:val="0"/>
              <w:autoSpaceDE/>
              <w:autoSpaceDN/>
              <w:bidi w:val="0"/>
              <w:adjustRightInd w:val="0"/>
              <w:snapToGrid w:val="0"/>
              <w:textAlignment w:val="auto"/>
              <w:rPr>
                <w:sz w:val="21"/>
                <w:szCs w:val="21"/>
              </w:rPr>
            </w:pPr>
            <w:r>
              <w:rPr>
                <w:rFonts w:hint="eastAsia"/>
                <w:sz w:val="21"/>
                <w:szCs w:val="21"/>
              </w:rPr>
              <w:t>0.05</w:t>
            </w:r>
          </w:p>
        </w:tc>
      </w:tr>
      <w:tr>
        <w:tblPrEx>
          <w:tblCellMar>
            <w:top w:w="0" w:type="dxa"/>
            <w:left w:w="108" w:type="dxa"/>
            <w:bottom w:w="0" w:type="dxa"/>
            <w:right w:w="108" w:type="dxa"/>
          </w:tblCellMar>
        </w:tblPrEx>
        <w:tc>
          <w:tcPr>
            <w:tcW w:w="1364" w:type="pct"/>
            <w:tcBorders>
              <w:top w:val="single" w:color="auto" w:sz="4" w:space="0"/>
              <w:left w:val="single" w:color="auto" w:sz="4" w:space="0"/>
              <w:bottom w:val="single" w:color="auto" w:sz="4" w:space="0"/>
              <w:right w:val="single" w:color="auto" w:sz="4" w:space="0"/>
            </w:tcBorders>
            <w:shd w:val="clear" w:color="auto" w:fill="auto"/>
          </w:tcPr>
          <w:p>
            <w:pPr>
              <w:pStyle w:val="39"/>
              <w:keepNext w:val="0"/>
              <w:keepLines w:val="0"/>
              <w:pageBreakBefore w:val="0"/>
              <w:widowControl/>
              <w:kinsoku/>
              <w:wordWrap/>
              <w:overflowPunct/>
              <w:topLinePunct w:val="0"/>
              <w:autoSpaceDE/>
              <w:autoSpaceDN/>
              <w:bidi w:val="0"/>
              <w:adjustRightInd w:val="0"/>
              <w:snapToGrid w:val="0"/>
              <w:textAlignment w:val="auto"/>
              <w:rPr>
                <w:sz w:val="21"/>
                <w:szCs w:val="21"/>
              </w:rPr>
            </w:pPr>
            <w:r>
              <w:rPr>
                <w:sz w:val="21"/>
                <w:szCs w:val="21"/>
              </w:rPr>
              <w:t>总铅</w:t>
            </w:r>
          </w:p>
        </w:tc>
        <w:tc>
          <w:tcPr>
            <w:tcW w:w="85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9"/>
              <w:keepNext w:val="0"/>
              <w:keepLines w:val="0"/>
              <w:pageBreakBefore w:val="0"/>
              <w:widowControl/>
              <w:kinsoku/>
              <w:wordWrap/>
              <w:overflowPunct/>
              <w:topLinePunct w:val="0"/>
              <w:autoSpaceDE/>
              <w:autoSpaceDN/>
              <w:bidi w:val="0"/>
              <w:adjustRightInd w:val="0"/>
              <w:snapToGrid w:val="0"/>
              <w:textAlignment w:val="auto"/>
              <w:rPr>
                <w:sz w:val="21"/>
                <w:szCs w:val="21"/>
              </w:rPr>
            </w:pPr>
            <w:r>
              <w:rPr>
                <w:sz w:val="21"/>
                <w:szCs w:val="21"/>
              </w:rPr>
              <w:t>0.2</w:t>
            </w:r>
          </w:p>
        </w:tc>
        <w:tc>
          <w:tcPr>
            <w:tcW w:w="2777"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39"/>
              <w:keepNext w:val="0"/>
              <w:keepLines w:val="0"/>
              <w:pageBreakBefore w:val="0"/>
              <w:widowControl/>
              <w:kinsoku/>
              <w:wordWrap/>
              <w:overflowPunct/>
              <w:topLinePunct w:val="0"/>
              <w:autoSpaceDE/>
              <w:autoSpaceDN/>
              <w:bidi w:val="0"/>
              <w:adjustRightInd w:val="0"/>
              <w:snapToGrid w:val="0"/>
              <w:textAlignment w:val="auto"/>
              <w:rPr>
                <w:sz w:val="21"/>
                <w:szCs w:val="21"/>
              </w:rPr>
            </w:pPr>
            <w:r>
              <w:rPr>
                <w:rFonts w:hint="eastAsia"/>
                <w:sz w:val="21"/>
                <w:szCs w:val="21"/>
              </w:rPr>
              <w:t>0.2</w:t>
            </w:r>
          </w:p>
        </w:tc>
      </w:tr>
      <w:tr>
        <w:tblPrEx>
          <w:tblCellMar>
            <w:top w:w="0" w:type="dxa"/>
            <w:left w:w="108" w:type="dxa"/>
            <w:bottom w:w="0" w:type="dxa"/>
            <w:right w:w="108" w:type="dxa"/>
          </w:tblCellMar>
        </w:tblPrEx>
        <w:tc>
          <w:tcPr>
            <w:tcW w:w="1364" w:type="pct"/>
            <w:tcBorders>
              <w:top w:val="single" w:color="auto" w:sz="4" w:space="0"/>
              <w:left w:val="single" w:color="auto" w:sz="4" w:space="0"/>
              <w:bottom w:val="single" w:color="auto" w:sz="4" w:space="0"/>
              <w:right w:val="single" w:color="auto" w:sz="4" w:space="0"/>
            </w:tcBorders>
            <w:shd w:val="clear" w:color="auto" w:fill="auto"/>
          </w:tcPr>
          <w:p>
            <w:pPr>
              <w:pStyle w:val="39"/>
              <w:keepNext w:val="0"/>
              <w:keepLines w:val="0"/>
              <w:pageBreakBefore w:val="0"/>
              <w:widowControl/>
              <w:kinsoku/>
              <w:wordWrap/>
              <w:overflowPunct/>
              <w:topLinePunct w:val="0"/>
              <w:autoSpaceDE/>
              <w:autoSpaceDN/>
              <w:bidi w:val="0"/>
              <w:adjustRightInd w:val="0"/>
              <w:snapToGrid w:val="0"/>
              <w:textAlignment w:val="auto"/>
              <w:rPr>
                <w:sz w:val="21"/>
                <w:szCs w:val="21"/>
              </w:rPr>
            </w:pPr>
            <w:r>
              <w:rPr>
                <w:sz w:val="21"/>
                <w:szCs w:val="21"/>
              </w:rPr>
              <w:t>总砷</w:t>
            </w:r>
          </w:p>
        </w:tc>
        <w:tc>
          <w:tcPr>
            <w:tcW w:w="85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9"/>
              <w:keepNext w:val="0"/>
              <w:keepLines w:val="0"/>
              <w:pageBreakBefore w:val="0"/>
              <w:widowControl/>
              <w:kinsoku/>
              <w:wordWrap/>
              <w:overflowPunct/>
              <w:topLinePunct w:val="0"/>
              <w:autoSpaceDE/>
              <w:autoSpaceDN/>
              <w:bidi w:val="0"/>
              <w:adjustRightInd w:val="0"/>
              <w:snapToGrid w:val="0"/>
              <w:textAlignment w:val="auto"/>
              <w:rPr>
                <w:sz w:val="21"/>
                <w:szCs w:val="21"/>
              </w:rPr>
            </w:pPr>
            <w:r>
              <w:rPr>
                <w:sz w:val="21"/>
                <w:szCs w:val="21"/>
              </w:rPr>
              <w:t>0.1</w:t>
            </w:r>
          </w:p>
        </w:tc>
        <w:tc>
          <w:tcPr>
            <w:tcW w:w="2777"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39"/>
              <w:keepNext w:val="0"/>
              <w:keepLines w:val="0"/>
              <w:pageBreakBefore w:val="0"/>
              <w:widowControl/>
              <w:kinsoku/>
              <w:wordWrap/>
              <w:overflowPunct/>
              <w:topLinePunct w:val="0"/>
              <w:autoSpaceDE/>
              <w:autoSpaceDN/>
              <w:bidi w:val="0"/>
              <w:adjustRightInd w:val="0"/>
              <w:snapToGrid w:val="0"/>
              <w:textAlignment w:val="auto"/>
              <w:rPr>
                <w:sz w:val="21"/>
                <w:szCs w:val="21"/>
              </w:rPr>
            </w:pPr>
            <w:r>
              <w:rPr>
                <w:rFonts w:hint="eastAsia"/>
                <w:sz w:val="21"/>
                <w:szCs w:val="21"/>
              </w:rPr>
              <w:t>0.1</w:t>
            </w:r>
          </w:p>
        </w:tc>
      </w:tr>
      <w:tr>
        <w:tblPrEx>
          <w:tblCellMar>
            <w:top w:w="0" w:type="dxa"/>
            <w:left w:w="108" w:type="dxa"/>
            <w:bottom w:w="0" w:type="dxa"/>
            <w:right w:w="108" w:type="dxa"/>
          </w:tblCellMar>
        </w:tblPrEx>
        <w:tc>
          <w:tcPr>
            <w:tcW w:w="1364" w:type="pct"/>
            <w:tcBorders>
              <w:top w:val="single" w:color="auto" w:sz="4" w:space="0"/>
              <w:left w:val="single" w:color="auto" w:sz="4" w:space="0"/>
              <w:bottom w:val="single" w:color="auto" w:sz="4" w:space="0"/>
              <w:right w:val="single" w:color="auto" w:sz="4" w:space="0"/>
            </w:tcBorders>
            <w:shd w:val="clear" w:color="auto" w:fill="auto"/>
          </w:tcPr>
          <w:p>
            <w:pPr>
              <w:pStyle w:val="39"/>
              <w:keepNext w:val="0"/>
              <w:keepLines w:val="0"/>
              <w:pageBreakBefore w:val="0"/>
              <w:widowControl/>
              <w:kinsoku/>
              <w:wordWrap/>
              <w:overflowPunct/>
              <w:topLinePunct w:val="0"/>
              <w:autoSpaceDE/>
              <w:autoSpaceDN/>
              <w:bidi w:val="0"/>
              <w:adjustRightInd w:val="0"/>
              <w:snapToGrid w:val="0"/>
              <w:textAlignment w:val="auto"/>
              <w:rPr>
                <w:sz w:val="21"/>
                <w:szCs w:val="21"/>
              </w:rPr>
            </w:pPr>
            <w:r>
              <w:rPr>
                <w:sz w:val="21"/>
                <w:szCs w:val="21"/>
              </w:rPr>
              <w:t>钍、铀总量</w:t>
            </w:r>
          </w:p>
        </w:tc>
        <w:tc>
          <w:tcPr>
            <w:tcW w:w="85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9"/>
              <w:keepNext w:val="0"/>
              <w:keepLines w:val="0"/>
              <w:pageBreakBefore w:val="0"/>
              <w:widowControl/>
              <w:kinsoku/>
              <w:wordWrap/>
              <w:overflowPunct/>
              <w:topLinePunct w:val="0"/>
              <w:autoSpaceDE/>
              <w:autoSpaceDN/>
              <w:bidi w:val="0"/>
              <w:adjustRightInd w:val="0"/>
              <w:snapToGrid w:val="0"/>
              <w:textAlignment w:val="auto"/>
              <w:rPr>
                <w:sz w:val="21"/>
                <w:szCs w:val="21"/>
              </w:rPr>
            </w:pPr>
            <w:r>
              <w:rPr>
                <w:sz w:val="21"/>
                <w:szCs w:val="21"/>
              </w:rPr>
              <w:t>0.1</w:t>
            </w:r>
          </w:p>
        </w:tc>
        <w:tc>
          <w:tcPr>
            <w:tcW w:w="2777"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39"/>
              <w:keepNext w:val="0"/>
              <w:keepLines w:val="0"/>
              <w:pageBreakBefore w:val="0"/>
              <w:widowControl/>
              <w:kinsoku/>
              <w:wordWrap/>
              <w:overflowPunct/>
              <w:topLinePunct w:val="0"/>
              <w:autoSpaceDE/>
              <w:autoSpaceDN/>
              <w:bidi w:val="0"/>
              <w:adjustRightInd w:val="0"/>
              <w:snapToGrid w:val="0"/>
              <w:textAlignment w:val="auto"/>
              <w:rPr>
                <w:sz w:val="21"/>
                <w:szCs w:val="21"/>
              </w:rPr>
            </w:pPr>
            <w:r>
              <w:rPr>
                <w:rFonts w:hint="eastAsia"/>
                <w:sz w:val="21"/>
                <w:szCs w:val="21"/>
              </w:rPr>
              <w:t>0.1</w:t>
            </w:r>
          </w:p>
        </w:tc>
      </w:tr>
    </w:tbl>
    <w:p>
      <w:pPr>
        <w:pStyle w:val="5"/>
        <w:rPr>
          <w:rFonts w:hint="eastAsia" w:ascii="Times New Roman" w:hAnsi="Times New Roman" w:cs="Times New Roman"/>
        </w:rPr>
      </w:pPr>
      <w:r>
        <w:rPr>
          <w:rFonts w:hint="eastAsia" w:ascii="Times New Roman" w:hAnsi="Times New Roman" w:cs="Times New Roman"/>
          <w:lang w:val="en-US" w:eastAsia="zh-CN"/>
        </w:rPr>
        <w:t>管控断面水污染物控制浓度限值</w:t>
      </w:r>
    </w:p>
    <w:p>
      <w:pPr>
        <w:spacing w:line="360" w:lineRule="auto"/>
        <w:ind w:firstLine="480" w:firstLineChars="200"/>
        <w:rPr>
          <w:sz w:val="24"/>
          <w:szCs w:val="24"/>
        </w:rPr>
      </w:pPr>
      <w:r>
        <w:rPr>
          <w:rFonts w:hint="eastAsia"/>
          <w:sz w:val="24"/>
          <w:szCs w:val="24"/>
        </w:rPr>
        <w:t>本标准中的管控断面水污染物控制浓度限值</w:t>
      </w:r>
      <w:r>
        <w:rPr>
          <w:rFonts w:hint="eastAsia"/>
          <w:sz w:val="24"/>
          <w:szCs w:val="24"/>
          <w:lang w:val="en-US" w:eastAsia="zh-CN"/>
        </w:rPr>
        <w:t>中特征因子氨氮、氟化物（背景值高矿山）不高于《地表水环境质量标准》GB3838-2002表1地表水环境质量标准基本项目标准限值Ⅲ类水质标准限值的2倍；硫酸盐不高于《地表水环境质量标准》GB3838-2002表2集中式生活饮用水地表水源地补充项目标准限值的2倍；其余因子不高于《地表水环境质量标准》GB3838-2002表1地表水环境质量标准基本项目标准限值Ⅲ类水质标准限值。</w:t>
      </w:r>
      <w:r>
        <w:rPr>
          <w:sz w:val="24"/>
          <w:szCs w:val="24"/>
        </w:rPr>
        <w:t>污染物</w:t>
      </w:r>
      <w:r>
        <w:rPr>
          <w:rFonts w:hint="eastAsia"/>
          <w:sz w:val="24"/>
          <w:szCs w:val="24"/>
          <w:lang w:val="en-US" w:eastAsia="zh-CN"/>
        </w:rPr>
        <w:t>控制</w:t>
      </w:r>
      <w:r>
        <w:rPr>
          <w:rFonts w:hint="eastAsia"/>
          <w:sz w:val="24"/>
          <w:szCs w:val="24"/>
        </w:rPr>
        <w:t>浓度</w:t>
      </w:r>
      <w:r>
        <w:rPr>
          <w:sz w:val="24"/>
          <w:szCs w:val="24"/>
        </w:rPr>
        <w:t>限值，是</w:t>
      </w:r>
      <w:r>
        <w:rPr>
          <w:rFonts w:hint="eastAsia"/>
          <w:sz w:val="24"/>
          <w:szCs w:val="24"/>
        </w:rPr>
        <w:t>以改善生态环境质量为目标、综合考虑经济技术成本确定的</w:t>
      </w:r>
      <w:r>
        <w:rPr>
          <w:sz w:val="24"/>
          <w:szCs w:val="24"/>
        </w:rPr>
        <w:t>。</w:t>
      </w:r>
      <w:r>
        <w:rPr>
          <w:rFonts w:hint="eastAsia"/>
          <w:sz w:val="24"/>
          <w:szCs w:val="18"/>
        </w:rPr>
        <w:t>本标准与</w:t>
      </w:r>
      <w:r>
        <w:rPr>
          <w:rFonts w:hint="eastAsia"/>
          <w:sz w:val="24"/>
          <w:szCs w:val="24"/>
          <w:lang w:val="en-US" w:eastAsia="zh-CN"/>
        </w:rPr>
        <w:t>GB3838</w:t>
      </w:r>
      <w:r>
        <w:rPr>
          <w:sz w:val="24"/>
          <w:szCs w:val="18"/>
        </w:rPr>
        <w:t xml:space="preserve"> </w:t>
      </w:r>
      <w:r>
        <w:rPr>
          <w:rFonts w:hint="eastAsia"/>
          <w:sz w:val="24"/>
          <w:szCs w:val="18"/>
        </w:rPr>
        <w:t>污染物项目浓度限</w:t>
      </w:r>
      <w:r>
        <w:rPr>
          <w:rFonts w:hint="eastAsia"/>
          <w:sz w:val="24"/>
          <w:szCs w:val="24"/>
        </w:rPr>
        <w:t>值对比见</w:t>
      </w:r>
      <w:r>
        <w:rPr>
          <w:rFonts w:hint="eastAsia"/>
          <w:sz w:val="24"/>
          <w:szCs w:val="24"/>
        </w:rPr>
        <w:fldChar w:fldCharType="begin"/>
      </w:r>
      <w:r>
        <w:rPr>
          <w:rFonts w:hint="eastAsia"/>
          <w:sz w:val="24"/>
          <w:szCs w:val="24"/>
        </w:rPr>
        <w:instrText xml:space="preserve"> REF _Ref4724 \h </w:instrText>
      </w:r>
      <w:r>
        <w:rPr>
          <w:rFonts w:hint="eastAsia"/>
          <w:sz w:val="24"/>
          <w:szCs w:val="24"/>
        </w:rPr>
        <w:fldChar w:fldCharType="separate"/>
      </w:r>
      <w:r>
        <w:rPr>
          <w:rFonts w:hint="eastAsia"/>
          <w:sz w:val="24"/>
          <w:szCs w:val="24"/>
        </w:rPr>
        <w:t xml:space="preserve">表 </w:t>
      </w:r>
      <w:r>
        <w:rPr>
          <w:rFonts w:hint="eastAsia"/>
          <w:sz w:val="24"/>
          <w:szCs w:val="24"/>
        </w:rPr>
        <w:fldChar w:fldCharType="begin"/>
      </w:r>
      <w:r>
        <w:rPr>
          <w:rFonts w:hint="eastAsia"/>
          <w:sz w:val="24"/>
          <w:szCs w:val="24"/>
        </w:rPr>
        <w:instrText xml:space="preserve"> STYLEREF 1 \s </w:instrText>
      </w:r>
      <w:r>
        <w:rPr>
          <w:rFonts w:hint="eastAsia"/>
          <w:sz w:val="24"/>
          <w:szCs w:val="24"/>
        </w:rPr>
        <w:fldChar w:fldCharType="separate"/>
      </w:r>
      <w:r>
        <w:rPr>
          <w:rFonts w:hint="eastAsia"/>
          <w:sz w:val="24"/>
          <w:szCs w:val="24"/>
        </w:rPr>
        <w:t>4</w:t>
      </w:r>
      <w:r>
        <w:rPr>
          <w:rFonts w:hint="eastAsia"/>
          <w:sz w:val="24"/>
          <w:szCs w:val="24"/>
        </w:rPr>
        <w:fldChar w:fldCharType="end"/>
      </w:r>
      <w:r>
        <w:rPr>
          <w:rFonts w:hint="eastAsia"/>
          <w:sz w:val="24"/>
          <w:szCs w:val="24"/>
        </w:rPr>
        <w:noBreakHyphen/>
      </w:r>
      <w:r>
        <w:rPr>
          <w:rFonts w:hint="eastAsia"/>
          <w:sz w:val="24"/>
          <w:szCs w:val="24"/>
        </w:rPr>
        <w:t>2</w:t>
      </w:r>
      <w:r>
        <w:rPr>
          <w:rFonts w:hint="eastAsia"/>
          <w:sz w:val="24"/>
          <w:szCs w:val="24"/>
        </w:rPr>
        <w:fldChar w:fldCharType="end"/>
      </w:r>
      <w:r>
        <w:rPr>
          <w:rFonts w:hint="eastAsia"/>
          <w:sz w:val="24"/>
          <w:szCs w:val="18"/>
        </w:rPr>
        <w:t>。</w:t>
      </w:r>
    </w:p>
    <w:p>
      <w:pPr>
        <w:pStyle w:val="38"/>
        <w:spacing w:before="0"/>
        <w:rPr>
          <w:sz w:val="24"/>
          <w:szCs w:val="18"/>
        </w:rPr>
      </w:pPr>
      <w:bookmarkStart w:id="45" w:name="_Ref4724"/>
      <w:r>
        <w:rPr>
          <w:rFonts w:hint="eastAsia"/>
        </w:rPr>
        <w:t xml:space="preserve">表 </w:t>
      </w:r>
      <w:r>
        <w:fldChar w:fldCharType="begin"/>
      </w:r>
      <w:r>
        <w:instrText xml:space="preserve"> </w:instrText>
      </w:r>
      <w:r>
        <w:rPr>
          <w:rFonts w:hint="eastAsia"/>
        </w:rPr>
        <w:instrText xml:space="preserve">STYLEREF 1 \s</w:instrText>
      </w:r>
      <w:r>
        <w:instrText xml:space="preserve"> </w:instrText>
      </w:r>
      <w:r>
        <w:fldChar w:fldCharType="separate"/>
      </w:r>
      <w:r>
        <w:rPr>
          <w:rFonts w:hint="eastAsia"/>
        </w:rPr>
        <w:t>4</w:t>
      </w:r>
      <w:r>
        <w:fldChar w:fldCharType="end"/>
      </w:r>
      <w:r>
        <w:noBreakHyphen/>
      </w:r>
      <w:r>
        <w:fldChar w:fldCharType="begin"/>
      </w:r>
      <w:r>
        <w:instrText xml:space="preserve"> </w:instrText>
      </w:r>
      <w:r>
        <w:rPr>
          <w:rFonts w:hint="eastAsia"/>
        </w:rPr>
        <w:instrText xml:space="preserve">SEQ 表 \* ARABIC \s 1</w:instrText>
      </w:r>
      <w:r>
        <w:instrText xml:space="preserve"> </w:instrText>
      </w:r>
      <w:r>
        <w:fldChar w:fldCharType="separate"/>
      </w:r>
      <w:r>
        <w:rPr>
          <w:rFonts w:hint="eastAsia"/>
        </w:rPr>
        <w:t>2</w:t>
      </w:r>
      <w:r>
        <w:fldChar w:fldCharType="end"/>
      </w:r>
      <w:bookmarkEnd w:id="45"/>
      <w:r>
        <w:rPr>
          <w:rFonts w:hint="eastAsia"/>
          <w:sz w:val="24"/>
          <w:szCs w:val="18"/>
        </w:rPr>
        <w:t xml:space="preserve"> 本标准与</w:t>
      </w:r>
      <w:r>
        <w:rPr>
          <w:rFonts w:hint="eastAsia"/>
          <w:sz w:val="24"/>
          <w:szCs w:val="24"/>
          <w:lang w:val="en-US" w:eastAsia="zh-CN"/>
        </w:rPr>
        <w:t>GB3838</w:t>
      </w:r>
      <w:r>
        <w:rPr>
          <w:sz w:val="24"/>
          <w:szCs w:val="18"/>
        </w:rPr>
        <w:t xml:space="preserve"> </w:t>
      </w:r>
      <w:r>
        <w:rPr>
          <w:rFonts w:hint="eastAsia"/>
          <w:sz w:val="24"/>
          <w:szCs w:val="18"/>
        </w:rPr>
        <w:t>污染物项目浓度限值对比（单位：mg/L）</w:t>
      </w:r>
    </w:p>
    <w:tbl>
      <w:tblPr>
        <w:tblStyle w:val="22"/>
        <w:tblW w:w="4998" w:type="pct"/>
        <w:tblInd w:w="0" w:type="dxa"/>
        <w:tblLayout w:type="autofit"/>
        <w:tblCellMar>
          <w:top w:w="0" w:type="dxa"/>
          <w:left w:w="108" w:type="dxa"/>
          <w:bottom w:w="0" w:type="dxa"/>
          <w:right w:w="108" w:type="dxa"/>
        </w:tblCellMar>
      </w:tblPr>
      <w:tblGrid>
        <w:gridCol w:w="2320"/>
        <w:gridCol w:w="1244"/>
        <w:gridCol w:w="4955"/>
      </w:tblGrid>
      <w:tr>
        <w:tblPrEx>
          <w:tblCellMar>
            <w:top w:w="0" w:type="dxa"/>
            <w:left w:w="108" w:type="dxa"/>
            <w:bottom w:w="0" w:type="dxa"/>
            <w:right w:w="108" w:type="dxa"/>
          </w:tblCellMar>
        </w:tblPrEx>
        <w:trPr>
          <w:trHeight w:val="0" w:hRule="atLeast"/>
        </w:trPr>
        <w:tc>
          <w:tcPr>
            <w:tcW w:w="1362"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39"/>
              <w:keepNext w:val="0"/>
              <w:keepLines w:val="0"/>
              <w:pageBreakBefore w:val="0"/>
              <w:widowControl/>
              <w:kinsoku/>
              <w:wordWrap/>
              <w:overflowPunct/>
              <w:topLinePunct w:val="0"/>
              <w:autoSpaceDE/>
              <w:autoSpaceDN/>
              <w:bidi w:val="0"/>
              <w:adjustRightInd w:val="0"/>
              <w:snapToGrid w:val="0"/>
              <w:spacing w:line="240" w:lineRule="auto"/>
              <w:textAlignment w:val="auto"/>
              <w:rPr>
                <w:sz w:val="21"/>
                <w:szCs w:val="21"/>
              </w:rPr>
            </w:pPr>
            <w:r>
              <w:rPr>
                <w:sz w:val="21"/>
                <w:szCs w:val="21"/>
              </w:rPr>
              <w:t>控制污染物</w:t>
            </w:r>
          </w:p>
        </w:tc>
        <w:tc>
          <w:tcPr>
            <w:tcW w:w="730"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39"/>
              <w:keepNext w:val="0"/>
              <w:keepLines w:val="0"/>
              <w:pageBreakBefore w:val="0"/>
              <w:widowControl/>
              <w:kinsoku/>
              <w:wordWrap/>
              <w:overflowPunct/>
              <w:topLinePunct w:val="0"/>
              <w:autoSpaceDE/>
              <w:autoSpaceDN/>
              <w:bidi w:val="0"/>
              <w:adjustRightInd w:val="0"/>
              <w:snapToGrid w:val="0"/>
              <w:spacing w:line="240" w:lineRule="auto"/>
              <w:textAlignment w:val="auto"/>
              <w:rPr>
                <w:sz w:val="21"/>
                <w:szCs w:val="21"/>
              </w:rPr>
            </w:pPr>
            <w:r>
              <w:rPr>
                <w:rFonts w:hint="eastAsia"/>
                <w:sz w:val="21"/>
                <w:szCs w:val="21"/>
              </w:rPr>
              <w:t>本标准</w:t>
            </w:r>
          </w:p>
        </w:tc>
        <w:tc>
          <w:tcPr>
            <w:tcW w:w="290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9"/>
              <w:keepNext w:val="0"/>
              <w:keepLines w:val="0"/>
              <w:pageBreakBefore w:val="0"/>
              <w:widowControl/>
              <w:kinsoku/>
              <w:wordWrap/>
              <w:overflowPunct/>
              <w:topLinePunct w:val="0"/>
              <w:autoSpaceDE/>
              <w:autoSpaceDN/>
              <w:bidi w:val="0"/>
              <w:adjustRightInd w:val="0"/>
              <w:snapToGrid w:val="0"/>
              <w:spacing w:line="240" w:lineRule="auto"/>
              <w:textAlignment w:val="auto"/>
              <w:rPr>
                <w:sz w:val="21"/>
                <w:szCs w:val="21"/>
              </w:rPr>
            </w:pPr>
            <w:r>
              <w:rPr>
                <w:rFonts w:hint="eastAsia"/>
                <w:sz w:val="21"/>
                <w:szCs w:val="21"/>
                <w:lang w:val="en-US" w:eastAsia="zh-CN"/>
              </w:rPr>
              <w:t>《地表水环境质量标准》GB3838-2002Ⅲ类水质标准</w:t>
            </w:r>
          </w:p>
        </w:tc>
      </w:tr>
      <w:tr>
        <w:tblPrEx>
          <w:tblCellMar>
            <w:top w:w="0" w:type="dxa"/>
            <w:left w:w="108" w:type="dxa"/>
            <w:bottom w:w="0" w:type="dxa"/>
            <w:right w:w="108" w:type="dxa"/>
          </w:tblCellMar>
        </w:tblPrEx>
        <w:trPr>
          <w:trHeight w:val="90" w:hRule="atLeast"/>
        </w:trPr>
        <w:tc>
          <w:tcPr>
            <w:tcW w:w="136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1"/>
              <w:keepNext w:val="0"/>
              <w:keepLines w:val="0"/>
              <w:pageBreakBefore w:val="0"/>
              <w:widowControl/>
              <w:kinsoku/>
              <w:wordWrap/>
              <w:overflowPunct/>
              <w:topLinePunct w:val="0"/>
              <w:autoSpaceDE/>
              <w:autoSpaceDN/>
              <w:bidi w:val="0"/>
              <w:adjustRightInd w:val="0"/>
              <w:snapToGrid w:val="0"/>
              <w:spacing w:beforeLines="0" w:afterLines="0" w:line="240" w:lineRule="auto"/>
              <w:ind w:firstLine="0" w:firstLineChars="0"/>
              <w:jc w:val="center"/>
              <w:textAlignment w:val="auto"/>
              <w:rPr>
                <w:sz w:val="21"/>
                <w:szCs w:val="21"/>
              </w:rPr>
            </w:pPr>
            <w:r>
              <w:rPr>
                <w:sz w:val="21"/>
                <w:szCs w:val="21"/>
              </w:rPr>
              <w:t>pH</w:t>
            </w:r>
            <w:r>
              <w:rPr>
                <w:rFonts w:hint="eastAsia"/>
                <w:sz w:val="21"/>
                <w:szCs w:val="21"/>
              </w:rPr>
              <w:t>（无量纲）</w:t>
            </w:r>
          </w:p>
        </w:tc>
        <w:tc>
          <w:tcPr>
            <w:tcW w:w="730" w:type="pct"/>
            <w:tcBorders>
              <w:top w:val="single" w:color="auto" w:sz="4" w:space="0"/>
              <w:left w:val="single" w:color="auto" w:sz="4" w:space="0"/>
              <w:bottom w:val="single" w:color="auto" w:sz="4" w:space="0"/>
              <w:right w:val="single" w:color="auto" w:sz="4" w:space="0"/>
            </w:tcBorders>
            <w:shd w:val="clear" w:color="auto" w:fill="auto"/>
            <w:vAlign w:val="top"/>
          </w:tcPr>
          <w:p>
            <w:pPr>
              <w:pStyle w:val="51"/>
              <w:keepNext w:val="0"/>
              <w:keepLines w:val="0"/>
              <w:pageBreakBefore w:val="0"/>
              <w:widowControl/>
              <w:kinsoku/>
              <w:wordWrap/>
              <w:overflowPunct/>
              <w:topLinePunct w:val="0"/>
              <w:autoSpaceDE/>
              <w:autoSpaceDN/>
              <w:bidi w:val="0"/>
              <w:adjustRightInd w:val="0"/>
              <w:snapToGrid w:val="0"/>
              <w:spacing w:beforeLines="0" w:afterLines="0" w:line="240" w:lineRule="auto"/>
              <w:ind w:firstLine="0" w:firstLineChars="0"/>
              <w:jc w:val="center"/>
              <w:textAlignment w:val="auto"/>
              <w:rPr>
                <w:sz w:val="21"/>
                <w:szCs w:val="21"/>
              </w:rPr>
            </w:pPr>
            <w:r>
              <w:rPr>
                <w:sz w:val="21"/>
                <w:szCs w:val="21"/>
              </w:rPr>
              <w:t>6~9</w:t>
            </w:r>
          </w:p>
        </w:tc>
        <w:tc>
          <w:tcPr>
            <w:tcW w:w="2907" w:type="pct"/>
            <w:tcBorders>
              <w:top w:val="single" w:color="auto" w:sz="4" w:space="0"/>
              <w:left w:val="single" w:color="auto" w:sz="4" w:space="0"/>
              <w:bottom w:val="single" w:color="auto" w:sz="4" w:space="0"/>
              <w:right w:val="single" w:color="auto" w:sz="4" w:space="0"/>
            </w:tcBorders>
            <w:shd w:val="clear" w:color="auto" w:fill="auto"/>
            <w:vAlign w:val="top"/>
          </w:tcPr>
          <w:p>
            <w:pPr>
              <w:pStyle w:val="51"/>
              <w:keepNext w:val="0"/>
              <w:keepLines w:val="0"/>
              <w:pageBreakBefore w:val="0"/>
              <w:widowControl/>
              <w:kinsoku/>
              <w:wordWrap/>
              <w:overflowPunct/>
              <w:topLinePunct w:val="0"/>
              <w:autoSpaceDE/>
              <w:autoSpaceDN/>
              <w:bidi w:val="0"/>
              <w:adjustRightInd w:val="0"/>
              <w:snapToGrid w:val="0"/>
              <w:spacing w:beforeLines="0" w:afterLines="0" w:line="240" w:lineRule="auto"/>
              <w:ind w:firstLine="0" w:firstLineChars="0"/>
              <w:jc w:val="center"/>
              <w:textAlignment w:val="auto"/>
              <w:rPr>
                <w:rFonts w:ascii="Times New Roman" w:hAnsi="Times New Roman" w:eastAsia="宋体" w:cs="Times New Roman"/>
                <w:bCs/>
                <w:kern w:val="2"/>
                <w:sz w:val="21"/>
                <w:szCs w:val="21"/>
                <w:lang w:val="en-US" w:eastAsia="zh-CN" w:bidi="ar-SA"/>
              </w:rPr>
            </w:pPr>
            <w:r>
              <w:rPr>
                <w:sz w:val="21"/>
                <w:szCs w:val="21"/>
              </w:rPr>
              <w:t>6~9</w:t>
            </w:r>
          </w:p>
        </w:tc>
      </w:tr>
      <w:tr>
        <w:tblPrEx>
          <w:tblCellMar>
            <w:top w:w="0" w:type="dxa"/>
            <w:left w:w="108" w:type="dxa"/>
            <w:bottom w:w="0" w:type="dxa"/>
            <w:right w:w="108" w:type="dxa"/>
          </w:tblCellMar>
        </w:tblPrEx>
        <w:trPr>
          <w:trHeight w:val="0" w:hRule="atLeast"/>
        </w:trPr>
        <w:tc>
          <w:tcPr>
            <w:tcW w:w="136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1"/>
              <w:keepNext w:val="0"/>
              <w:keepLines w:val="0"/>
              <w:pageBreakBefore w:val="0"/>
              <w:widowControl/>
              <w:kinsoku/>
              <w:wordWrap/>
              <w:overflowPunct/>
              <w:topLinePunct w:val="0"/>
              <w:autoSpaceDE/>
              <w:autoSpaceDN/>
              <w:bidi w:val="0"/>
              <w:adjustRightInd w:val="0"/>
              <w:snapToGrid w:val="0"/>
              <w:spacing w:beforeLines="0" w:afterLines="0" w:line="240" w:lineRule="auto"/>
              <w:ind w:firstLine="0" w:firstLineChars="0"/>
              <w:jc w:val="center"/>
              <w:textAlignment w:val="auto"/>
              <w:rPr>
                <w:sz w:val="21"/>
                <w:szCs w:val="21"/>
              </w:rPr>
            </w:pPr>
            <w:r>
              <w:rPr>
                <w:rFonts w:hint="eastAsia"/>
                <w:sz w:val="21"/>
                <w:szCs w:val="21"/>
              </w:rPr>
              <w:t>氟化物（以F计）</w:t>
            </w:r>
          </w:p>
        </w:tc>
        <w:tc>
          <w:tcPr>
            <w:tcW w:w="730" w:type="pct"/>
            <w:tcBorders>
              <w:top w:val="single" w:color="auto" w:sz="4" w:space="0"/>
              <w:left w:val="single" w:color="auto" w:sz="4" w:space="0"/>
              <w:bottom w:val="single" w:color="auto" w:sz="4" w:space="0"/>
              <w:right w:val="single" w:color="auto" w:sz="4" w:space="0"/>
            </w:tcBorders>
            <w:shd w:val="clear" w:color="auto" w:fill="auto"/>
            <w:vAlign w:val="top"/>
          </w:tcPr>
          <w:p>
            <w:pPr>
              <w:pStyle w:val="51"/>
              <w:keepNext w:val="0"/>
              <w:keepLines w:val="0"/>
              <w:pageBreakBefore w:val="0"/>
              <w:widowControl/>
              <w:kinsoku/>
              <w:wordWrap/>
              <w:overflowPunct/>
              <w:topLinePunct w:val="0"/>
              <w:autoSpaceDE/>
              <w:autoSpaceDN/>
              <w:bidi w:val="0"/>
              <w:adjustRightInd w:val="0"/>
              <w:snapToGrid w:val="0"/>
              <w:spacing w:beforeLines="0" w:afterLines="0" w:line="240" w:lineRule="auto"/>
              <w:ind w:firstLine="0" w:firstLineChars="0"/>
              <w:jc w:val="center"/>
              <w:textAlignment w:val="auto"/>
              <w:rPr>
                <w:sz w:val="21"/>
                <w:szCs w:val="21"/>
              </w:rPr>
            </w:pPr>
            <w:r>
              <w:rPr>
                <w:rFonts w:hint="eastAsia"/>
                <w:sz w:val="21"/>
                <w:szCs w:val="21"/>
                <w:lang w:val="en-US" w:eastAsia="zh-CN"/>
              </w:rPr>
              <w:t>1</w:t>
            </w:r>
            <w:r>
              <w:rPr>
                <w:rFonts w:hint="eastAsia"/>
                <w:sz w:val="21"/>
                <w:szCs w:val="21"/>
                <w:vertAlign w:val="superscript"/>
                <w:lang w:val="en-US" w:eastAsia="zh-CN"/>
              </w:rPr>
              <w:t>a</w:t>
            </w:r>
            <w:r>
              <w:rPr>
                <w:rFonts w:hint="eastAsia"/>
                <w:sz w:val="21"/>
                <w:szCs w:val="21"/>
                <w:lang w:val="en-US" w:eastAsia="zh-CN"/>
              </w:rPr>
              <w:t>（2</w:t>
            </w:r>
            <w:r>
              <w:rPr>
                <w:rFonts w:hint="eastAsia"/>
                <w:sz w:val="21"/>
                <w:szCs w:val="21"/>
                <w:vertAlign w:val="superscript"/>
                <w:lang w:val="en-US" w:eastAsia="zh-CN"/>
              </w:rPr>
              <w:t>b</w:t>
            </w:r>
            <w:r>
              <w:rPr>
                <w:rFonts w:hint="eastAsia"/>
                <w:sz w:val="21"/>
                <w:szCs w:val="21"/>
                <w:lang w:val="en-US" w:eastAsia="zh-CN"/>
              </w:rPr>
              <w:t>）</w:t>
            </w:r>
          </w:p>
        </w:tc>
        <w:tc>
          <w:tcPr>
            <w:tcW w:w="2907" w:type="pct"/>
            <w:tcBorders>
              <w:top w:val="single" w:color="auto" w:sz="4" w:space="0"/>
              <w:left w:val="single" w:color="auto" w:sz="4" w:space="0"/>
              <w:bottom w:val="single" w:color="auto" w:sz="4" w:space="0"/>
              <w:right w:val="single" w:color="auto" w:sz="4" w:space="0"/>
            </w:tcBorders>
            <w:shd w:val="clear" w:color="auto" w:fill="auto"/>
            <w:noWrap/>
            <w:vAlign w:val="top"/>
          </w:tcPr>
          <w:p>
            <w:pPr>
              <w:pStyle w:val="51"/>
              <w:keepNext w:val="0"/>
              <w:keepLines w:val="0"/>
              <w:pageBreakBefore w:val="0"/>
              <w:widowControl/>
              <w:kinsoku/>
              <w:wordWrap/>
              <w:overflowPunct/>
              <w:topLinePunct w:val="0"/>
              <w:autoSpaceDE/>
              <w:autoSpaceDN/>
              <w:bidi w:val="0"/>
              <w:adjustRightInd w:val="0"/>
              <w:snapToGrid w:val="0"/>
              <w:spacing w:beforeLines="0" w:afterLines="0" w:line="240" w:lineRule="auto"/>
              <w:ind w:firstLine="0" w:firstLineChars="0"/>
              <w:jc w:val="center"/>
              <w:textAlignment w:val="auto"/>
              <w:rPr>
                <w:rFonts w:ascii="Times New Roman" w:hAnsi="Times New Roman" w:eastAsia="宋体" w:cs="Times New Roman"/>
                <w:bCs/>
                <w:kern w:val="2"/>
                <w:sz w:val="21"/>
                <w:szCs w:val="21"/>
                <w:lang w:val="en-US" w:eastAsia="zh-CN" w:bidi="ar-SA"/>
              </w:rPr>
            </w:pPr>
            <w:r>
              <w:rPr>
                <w:rFonts w:hint="eastAsia"/>
                <w:sz w:val="21"/>
                <w:szCs w:val="21"/>
                <w:lang w:val="en-US" w:eastAsia="zh-CN"/>
              </w:rPr>
              <w:t>1</w:t>
            </w:r>
          </w:p>
        </w:tc>
      </w:tr>
      <w:tr>
        <w:tblPrEx>
          <w:tblCellMar>
            <w:top w:w="0" w:type="dxa"/>
            <w:left w:w="108" w:type="dxa"/>
            <w:bottom w:w="0" w:type="dxa"/>
            <w:right w:w="108" w:type="dxa"/>
          </w:tblCellMar>
        </w:tblPrEx>
        <w:trPr>
          <w:trHeight w:val="0" w:hRule="atLeast"/>
        </w:trPr>
        <w:tc>
          <w:tcPr>
            <w:tcW w:w="136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1"/>
              <w:keepNext w:val="0"/>
              <w:keepLines w:val="0"/>
              <w:pageBreakBefore w:val="0"/>
              <w:widowControl/>
              <w:kinsoku/>
              <w:wordWrap/>
              <w:overflowPunct/>
              <w:topLinePunct w:val="0"/>
              <w:autoSpaceDE/>
              <w:autoSpaceDN/>
              <w:bidi w:val="0"/>
              <w:adjustRightInd w:val="0"/>
              <w:snapToGrid w:val="0"/>
              <w:spacing w:beforeLines="0" w:afterLines="0" w:line="240" w:lineRule="auto"/>
              <w:ind w:firstLine="0" w:firstLineChars="0"/>
              <w:jc w:val="center"/>
              <w:textAlignment w:val="auto"/>
              <w:rPr>
                <w:sz w:val="21"/>
                <w:szCs w:val="21"/>
              </w:rPr>
            </w:pPr>
            <w:r>
              <w:rPr>
                <w:rFonts w:hint="eastAsia"/>
                <w:sz w:val="21"/>
                <w:szCs w:val="21"/>
              </w:rPr>
              <w:t>石油类</w:t>
            </w:r>
          </w:p>
        </w:tc>
        <w:tc>
          <w:tcPr>
            <w:tcW w:w="730" w:type="pct"/>
            <w:tcBorders>
              <w:top w:val="single" w:color="auto" w:sz="4" w:space="0"/>
              <w:left w:val="single" w:color="auto" w:sz="4" w:space="0"/>
              <w:bottom w:val="single" w:color="auto" w:sz="4" w:space="0"/>
              <w:right w:val="single" w:color="auto" w:sz="4" w:space="0"/>
            </w:tcBorders>
            <w:shd w:val="clear" w:color="auto" w:fill="auto"/>
            <w:vAlign w:val="top"/>
          </w:tcPr>
          <w:p>
            <w:pPr>
              <w:pStyle w:val="51"/>
              <w:keepNext w:val="0"/>
              <w:keepLines w:val="0"/>
              <w:pageBreakBefore w:val="0"/>
              <w:widowControl/>
              <w:kinsoku/>
              <w:wordWrap/>
              <w:overflowPunct/>
              <w:topLinePunct w:val="0"/>
              <w:autoSpaceDE/>
              <w:autoSpaceDN/>
              <w:bidi w:val="0"/>
              <w:adjustRightInd w:val="0"/>
              <w:snapToGrid w:val="0"/>
              <w:spacing w:beforeLines="0" w:afterLines="0" w:line="240" w:lineRule="auto"/>
              <w:ind w:firstLine="0" w:firstLineChars="0"/>
              <w:jc w:val="center"/>
              <w:textAlignment w:val="auto"/>
              <w:rPr>
                <w:sz w:val="21"/>
                <w:szCs w:val="21"/>
              </w:rPr>
            </w:pPr>
            <w:r>
              <w:rPr>
                <w:rFonts w:hint="eastAsia"/>
                <w:sz w:val="21"/>
                <w:szCs w:val="21"/>
                <w:lang w:val="en-US" w:eastAsia="zh-CN"/>
              </w:rPr>
              <w:t>0.05</w:t>
            </w:r>
          </w:p>
        </w:tc>
        <w:tc>
          <w:tcPr>
            <w:tcW w:w="2907" w:type="pct"/>
            <w:tcBorders>
              <w:top w:val="single" w:color="auto" w:sz="4" w:space="0"/>
              <w:left w:val="single" w:color="auto" w:sz="4" w:space="0"/>
              <w:bottom w:val="single" w:color="auto" w:sz="4" w:space="0"/>
              <w:right w:val="single" w:color="auto" w:sz="4" w:space="0"/>
            </w:tcBorders>
            <w:shd w:val="clear" w:color="auto" w:fill="auto"/>
            <w:noWrap/>
            <w:vAlign w:val="top"/>
          </w:tcPr>
          <w:p>
            <w:pPr>
              <w:pStyle w:val="51"/>
              <w:keepNext w:val="0"/>
              <w:keepLines w:val="0"/>
              <w:pageBreakBefore w:val="0"/>
              <w:widowControl/>
              <w:kinsoku/>
              <w:wordWrap/>
              <w:overflowPunct/>
              <w:topLinePunct w:val="0"/>
              <w:autoSpaceDE/>
              <w:autoSpaceDN/>
              <w:bidi w:val="0"/>
              <w:adjustRightInd w:val="0"/>
              <w:snapToGrid w:val="0"/>
              <w:spacing w:beforeLines="0" w:afterLines="0" w:line="240" w:lineRule="auto"/>
              <w:ind w:firstLine="0" w:firstLineChars="0"/>
              <w:jc w:val="center"/>
              <w:textAlignment w:val="auto"/>
              <w:rPr>
                <w:rFonts w:ascii="Times New Roman" w:hAnsi="Times New Roman" w:eastAsia="宋体" w:cs="Times New Roman"/>
                <w:bCs/>
                <w:kern w:val="2"/>
                <w:sz w:val="21"/>
                <w:szCs w:val="21"/>
                <w:lang w:val="en-US" w:eastAsia="zh-CN" w:bidi="ar-SA"/>
              </w:rPr>
            </w:pPr>
            <w:r>
              <w:rPr>
                <w:rFonts w:hint="eastAsia"/>
                <w:sz w:val="21"/>
                <w:szCs w:val="21"/>
                <w:lang w:val="en-US" w:eastAsia="zh-CN"/>
              </w:rPr>
              <w:t>0.05</w:t>
            </w:r>
          </w:p>
        </w:tc>
      </w:tr>
      <w:tr>
        <w:tblPrEx>
          <w:tblCellMar>
            <w:top w:w="0" w:type="dxa"/>
            <w:left w:w="108" w:type="dxa"/>
            <w:bottom w:w="0" w:type="dxa"/>
            <w:right w:w="108" w:type="dxa"/>
          </w:tblCellMar>
        </w:tblPrEx>
        <w:trPr>
          <w:trHeight w:val="0" w:hRule="atLeast"/>
        </w:trPr>
        <w:tc>
          <w:tcPr>
            <w:tcW w:w="136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1"/>
              <w:keepNext w:val="0"/>
              <w:keepLines w:val="0"/>
              <w:pageBreakBefore w:val="0"/>
              <w:widowControl/>
              <w:kinsoku/>
              <w:wordWrap/>
              <w:overflowPunct/>
              <w:topLinePunct w:val="0"/>
              <w:autoSpaceDE/>
              <w:autoSpaceDN/>
              <w:bidi w:val="0"/>
              <w:adjustRightInd w:val="0"/>
              <w:snapToGrid w:val="0"/>
              <w:spacing w:beforeLines="0" w:afterLines="0" w:line="240" w:lineRule="auto"/>
              <w:ind w:firstLine="0" w:firstLineChars="0"/>
              <w:jc w:val="center"/>
              <w:textAlignment w:val="auto"/>
              <w:rPr>
                <w:sz w:val="21"/>
                <w:szCs w:val="21"/>
              </w:rPr>
            </w:pPr>
            <w:r>
              <w:rPr>
                <w:rFonts w:hint="eastAsia"/>
                <w:sz w:val="21"/>
                <w:szCs w:val="21"/>
              </w:rPr>
              <w:t>化学需氧量（C</w:t>
            </w:r>
            <w:r>
              <w:rPr>
                <w:sz w:val="21"/>
                <w:szCs w:val="21"/>
              </w:rPr>
              <w:t>OD</w:t>
            </w:r>
            <w:r>
              <w:rPr>
                <w:rFonts w:hint="eastAsia"/>
                <w:sz w:val="21"/>
                <w:szCs w:val="21"/>
                <w:lang w:val="en-US" w:eastAsia="zh-CN"/>
              </w:rPr>
              <w:t>cr</w:t>
            </w:r>
            <w:r>
              <w:rPr>
                <w:rFonts w:hint="eastAsia"/>
                <w:sz w:val="21"/>
                <w:szCs w:val="21"/>
              </w:rPr>
              <w:t>）</w:t>
            </w:r>
          </w:p>
        </w:tc>
        <w:tc>
          <w:tcPr>
            <w:tcW w:w="730" w:type="pct"/>
            <w:tcBorders>
              <w:top w:val="single" w:color="auto" w:sz="4" w:space="0"/>
              <w:left w:val="single" w:color="auto" w:sz="4" w:space="0"/>
              <w:bottom w:val="single" w:color="auto" w:sz="4" w:space="0"/>
              <w:right w:val="single" w:color="auto" w:sz="4" w:space="0"/>
            </w:tcBorders>
            <w:shd w:val="clear" w:color="auto" w:fill="auto"/>
            <w:vAlign w:val="top"/>
          </w:tcPr>
          <w:p>
            <w:pPr>
              <w:pStyle w:val="51"/>
              <w:keepNext w:val="0"/>
              <w:keepLines w:val="0"/>
              <w:pageBreakBefore w:val="0"/>
              <w:widowControl/>
              <w:kinsoku/>
              <w:wordWrap/>
              <w:overflowPunct/>
              <w:topLinePunct w:val="0"/>
              <w:autoSpaceDE/>
              <w:autoSpaceDN/>
              <w:bidi w:val="0"/>
              <w:adjustRightInd w:val="0"/>
              <w:snapToGrid w:val="0"/>
              <w:spacing w:beforeLines="0" w:afterLines="0" w:line="240" w:lineRule="auto"/>
              <w:ind w:firstLine="0" w:firstLineChars="0"/>
              <w:jc w:val="center"/>
              <w:textAlignment w:val="auto"/>
              <w:rPr>
                <w:sz w:val="21"/>
                <w:szCs w:val="21"/>
              </w:rPr>
            </w:pPr>
            <w:r>
              <w:rPr>
                <w:rFonts w:hint="eastAsia"/>
                <w:sz w:val="21"/>
                <w:szCs w:val="21"/>
                <w:lang w:val="en-US" w:eastAsia="zh-CN"/>
              </w:rPr>
              <w:t>20</w:t>
            </w:r>
          </w:p>
        </w:tc>
        <w:tc>
          <w:tcPr>
            <w:tcW w:w="2907" w:type="pct"/>
            <w:tcBorders>
              <w:top w:val="single" w:color="auto" w:sz="4" w:space="0"/>
              <w:left w:val="single" w:color="auto" w:sz="4" w:space="0"/>
              <w:bottom w:val="single" w:color="auto" w:sz="4" w:space="0"/>
              <w:right w:val="single" w:color="auto" w:sz="4" w:space="0"/>
            </w:tcBorders>
            <w:shd w:val="clear" w:color="auto" w:fill="auto"/>
            <w:noWrap/>
            <w:vAlign w:val="top"/>
          </w:tcPr>
          <w:p>
            <w:pPr>
              <w:pStyle w:val="51"/>
              <w:keepNext w:val="0"/>
              <w:keepLines w:val="0"/>
              <w:pageBreakBefore w:val="0"/>
              <w:widowControl/>
              <w:kinsoku/>
              <w:wordWrap/>
              <w:overflowPunct/>
              <w:topLinePunct w:val="0"/>
              <w:autoSpaceDE/>
              <w:autoSpaceDN/>
              <w:bidi w:val="0"/>
              <w:adjustRightInd w:val="0"/>
              <w:snapToGrid w:val="0"/>
              <w:spacing w:beforeLines="0" w:afterLines="0" w:line="240" w:lineRule="auto"/>
              <w:ind w:firstLine="0" w:firstLineChars="0"/>
              <w:jc w:val="center"/>
              <w:textAlignment w:val="auto"/>
              <w:rPr>
                <w:rFonts w:ascii="Times New Roman" w:hAnsi="Times New Roman" w:eastAsia="宋体" w:cs="Times New Roman"/>
                <w:bCs/>
                <w:kern w:val="2"/>
                <w:sz w:val="21"/>
                <w:szCs w:val="21"/>
                <w:lang w:val="en-US" w:eastAsia="zh-CN" w:bidi="ar-SA"/>
              </w:rPr>
            </w:pPr>
            <w:r>
              <w:rPr>
                <w:rFonts w:hint="eastAsia"/>
                <w:sz w:val="21"/>
                <w:szCs w:val="21"/>
                <w:lang w:val="en-US" w:eastAsia="zh-CN"/>
              </w:rPr>
              <w:t>20</w:t>
            </w:r>
          </w:p>
        </w:tc>
      </w:tr>
      <w:tr>
        <w:tblPrEx>
          <w:tblCellMar>
            <w:top w:w="0" w:type="dxa"/>
            <w:left w:w="108" w:type="dxa"/>
            <w:bottom w:w="0" w:type="dxa"/>
            <w:right w:w="108" w:type="dxa"/>
          </w:tblCellMar>
        </w:tblPrEx>
        <w:trPr>
          <w:trHeight w:val="0" w:hRule="atLeast"/>
        </w:trPr>
        <w:tc>
          <w:tcPr>
            <w:tcW w:w="136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1"/>
              <w:keepNext w:val="0"/>
              <w:keepLines w:val="0"/>
              <w:pageBreakBefore w:val="0"/>
              <w:widowControl/>
              <w:kinsoku/>
              <w:wordWrap/>
              <w:overflowPunct/>
              <w:topLinePunct w:val="0"/>
              <w:autoSpaceDE/>
              <w:autoSpaceDN/>
              <w:bidi w:val="0"/>
              <w:adjustRightInd w:val="0"/>
              <w:snapToGrid w:val="0"/>
              <w:spacing w:beforeLines="0" w:afterLines="0" w:line="240" w:lineRule="auto"/>
              <w:ind w:firstLine="0" w:firstLineChars="0"/>
              <w:jc w:val="center"/>
              <w:textAlignment w:val="auto"/>
              <w:rPr>
                <w:sz w:val="21"/>
                <w:szCs w:val="21"/>
              </w:rPr>
            </w:pPr>
            <w:r>
              <w:rPr>
                <w:rFonts w:hint="eastAsia"/>
                <w:sz w:val="21"/>
                <w:szCs w:val="21"/>
              </w:rPr>
              <w:t>总磷</w:t>
            </w:r>
          </w:p>
        </w:tc>
        <w:tc>
          <w:tcPr>
            <w:tcW w:w="730" w:type="pct"/>
            <w:tcBorders>
              <w:top w:val="single" w:color="auto" w:sz="4" w:space="0"/>
              <w:left w:val="single" w:color="auto" w:sz="4" w:space="0"/>
              <w:bottom w:val="single" w:color="auto" w:sz="4" w:space="0"/>
              <w:right w:val="single" w:color="auto" w:sz="4" w:space="0"/>
            </w:tcBorders>
            <w:shd w:val="clear" w:color="auto" w:fill="auto"/>
            <w:vAlign w:val="top"/>
          </w:tcPr>
          <w:p>
            <w:pPr>
              <w:pStyle w:val="51"/>
              <w:keepNext w:val="0"/>
              <w:keepLines w:val="0"/>
              <w:pageBreakBefore w:val="0"/>
              <w:widowControl/>
              <w:kinsoku/>
              <w:wordWrap/>
              <w:overflowPunct/>
              <w:topLinePunct w:val="0"/>
              <w:autoSpaceDE/>
              <w:autoSpaceDN/>
              <w:bidi w:val="0"/>
              <w:adjustRightInd w:val="0"/>
              <w:snapToGrid w:val="0"/>
              <w:spacing w:beforeLines="0" w:afterLines="0" w:line="240" w:lineRule="auto"/>
              <w:ind w:firstLine="0" w:firstLineChars="0"/>
              <w:jc w:val="center"/>
              <w:textAlignment w:val="auto"/>
              <w:rPr>
                <w:sz w:val="21"/>
                <w:szCs w:val="21"/>
              </w:rPr>
            </w:pPr>
            <w:r>
              <w:rPr>
                <w:rFonts w:hint="eastAsia"/>
                <w:sz w:val="21"/>
                <w:szCs w:val="21"/>
                <w:lang w:val="en-US" w:eastAsia="zh-CN"/>
              </w:rPr>
              <w:t>0.2</w:t>
            </w:r>
          </w:p>
        </w:tc>
        <w:tc>
          <w:tcPr>
            <w:tcW w:w="2907" w:type="pct"/>
            <w:tcBorders>
              <w:top w:val="single" w:color="auto" w:sz="4" w:space="0"/>
              <w:left w:val="single" w:color="auto" w:sz="4" w:space="0"/>
              <w:bottom w:val="single" w:color="auto" w:sz="4" w:space="0"/>
              <w:right w:val="single" w:color="auto" w:sz="4" w:space="0"/>
            </w:tcBorders>
            <w:shd w:val="clear" w:color="auto" w:fill="auto"/>
            <w:noWrap/>
            <w:vAlign w:val="top"/>
          </w:tcPr>
          <w:p>
            <w:pPr>
              <w:pStyle w:val="51"/>
              <w:keepNext w:val="0"/>
              <w:keepLines w:val="0"/>
              <w:pageBreakBefore w:val="0"/>
              <w:widowControl/>
              <w:kinsoku/>
              <w:wordWrap/>
              <w:overflowPunct/>
              <w:topLinePunct w:val="0"/>
              <w:autoSpaceDE/>
              <w:autoSpaceDN/>
              <w:bidi w:val="0"/>
              <w:adjustRightInd w:val="0"/>
              <w:snapToGrid w:val="0"/>
              <w:spacing w:beforeLines="0" w:afterLines="0" w:line="240" w:lineRule="auto"/>
              <w:ind w:firstLine="0" w:firstLineChars="0"/>
              <w:jc w:val="center"/>
              <w:textAlignment w:val="auto"/>
              <w:rPr>
                <w:rFonts w:ascii="Times New Roman" w:hAnsi="Times New Roman" w:eastAsia="宋体" w:cs="Times New Roman"/>
                <w:bCs/>
                <w:kern w:val="2"/>
                <w:sz w:val="21"/>
                <w:szCs w:val="21"/>
                <w:lang w:val="en-US" w:eastAsia="zh-CN" w:bidi="ar-SA"/>
              </w:rPr>
            </w:pPr>
            <w:r>
              <w:rPr>
                <w:rFonts w:hint="eastAsia"/>
                <w:sz w:val="21"/>
                <w:szCs w:val="21"/>
                <w:lang w:val="en-US" w:eastAsia="zh-CN"/>
              </w:rPr>
              <w:t>0.2</w:t>
            </w:r>
          </w:p>
        </w:tc>
      </w:tr>
      <w:tr>
        <w:tblPrEx>
          <w:tblCellMar>
            <w:top w:w="0" w:type="dxa"/>
            <w:left w:w="108" w:type="dxa"/>
            <w:bottom w:w="0" w:type="dxa"/>
            <w:right w:w="108" w:type="dxa"/>
          </w:tblCellMar>
        </w:tblPrEx>
        <w:trPr>
          <w:trHeight w:val="0" w:hRule="atLeast"/>
        </w:trPr>
        <w:tc>
          <w:tcPr>
            <w:tcW w:w="136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1"/>
              <w:keepNext w:val="0"/>
              <w:keepLines w:val="0"/>
              <w:pageBreakBefore w:val="0"/>
              <w:widowControl/>
              <w:kinsoku/>
              <w:wordWrap/>
              <w:overflowPunct/>
              <w:topLinePunct w:val="0"/>
              <w:autoSpaceDE/>
              <w:autoSpaceDN/>
              <w:bidi w:val="0"/>
              <w:adjustRightInd w:val="0"/>
              <w:snapToGrid w:val="0"/>
              <w:spacing w:beforeLines="0" w:afterLines="0" w:line="240" w:lineRule="auto"/>
              <w:ind w:firstLine="0" w:firstLineChars="0"/>
              <w:jc w:val="center"/>
              <w:textAlignment w:val="auto"/>
              <w:rPr>
                <w:sz w:val="21"/>
                <w:szCs w:val="21"/>
              </w:rPr>
            </w:pPr>
            <w:r>
              <w:rPr>
                <w:rFonts w:hint="eastAsia"/>
                <w:sz w:val="21"/>
                <w:szCs w:val="21"/>
              </w:rPr>
              <w:t>氨氮</w:t>
            </w:r>
          </w:p>
        </w:tc>
        <w:tc>
          <w:tcPr>
            <w:tcW w:w="730" w:type="pct"/>
            <w:tcBorders>
              <w:top w:val="single" w:color="auto" w:sz="4" w:space="0"/>
              <w:left w:val="single" w:color="auto" w:sz="4" w:space="0"/>
              <w:bottom w:val="single" w:color="auto" w:sz="4" w:space="0"/>
              <w:right w:val="single" w:color="auto" w:sz="4" w:space="0"/>
            </w:tcBorders>
            <w:shd w:val="clear" w:color="auto" w:fill="auto"/>
            <w:vAlign w:val="top"/>
          </w:tcPr>
          <w:p>
            <w:pPr>
              <w:pStyle w:val="51"/>
              <w:keepNext w:val="0"/>
              <w:keepLines w:val="0"/>
              <w:pageBreakBefore w:val="0"/>
              <w:widowControl/>
              <w:kinsoku/>
              <w:wordWrap/>
              <w:overflowPunct/>
              <w:topLinePunct w:val="0"/>
              <w:autoSpaceDE/>
              <w:autoSpaceDN/>
              <w:bidi w:val="0"/>
              <w:adjustRightInd w:val="0"/>
              <w:snapToGrid w:val="0"/>
              <w:spacing w:beforeLines="0" w:afterLines="0" w:line="240" w:lineRule="auto"/>
              <w:ind w:firstLine="0" w:firstLineChars="0"/>
              <w:jc w:val="center"/>
              <w:textAlignment w:val="auto"/>
              <w:rPr>
                <w:sz w:val="21"/>
                <w:szCs w:val="21"/>
              </w:rPr>
            </w:pPr>
            <w:r>
              <w:rPr>
                <w:rFonts w:hint="eastAsia"/>
                <w:sz w:val="21"/>
                <w:szCs w:val="21"/>
                <w:lang w:val="en-US" w:eastAsia="zh-CN"/>
              </w:rPr>
              <w:t>2</w:t>
            </w:r>
          </w:p>
        </w:tc>
        <w:tc>
          <w:tcPr>
            <w:tcW w:w="2907" w:type="pct"/>
            <w:tcBorders>
              <w:top w:val="single" w:color="auto" w:sz="4" w:space="0"/>
              <w:left w:val="single" w:color="auto" w:sz="4" w:space="0"/>
              <w:bottom w:val="single" w:color="auto" w:sz="4" w:space="0"/>
              <w:right w:val="single" w:color="auto" w:sz="4" w:space="0"/>
            </w:tcBorders>
            <w:shd w:val="clear" w:color="auto" w:fill="auto"/>
            <w:noWrap/>
            <w:vAlign w:val="top"/>
          </w:tcPr>
          <w:p>
            <w:pPr>
              <w:pStyle w:val="51"/>
              <w:keepNext w:val="0"/>
              <w:keepLines w:val="0"/>
              <w:pageBreakBefore w:val="0"/>
              <w:widowControl/>
              <w:kinsoku/>
              <w:wordWrap/>
              <w:overflowPunct/>
              <w:topLinePunct w:val="0"/>
              <w:autoSpaceDE/>
              <w:autoSpaceDN/>
              <w:bidi w:val="0"/>
              <w:adjustRightInd w:val="0"/>
              <w:snapToGrid w:val="0"/>
              <w:spacing w:beforeLines="0" w:afterLines="0" w:line="240" w:lineRule="auto"/>
              <w:ind w:firstLine="0" w:firstLineChars="0"/>
              <w:jc w:val="center"/>
              <w:textAlignment w:val="auto"/>
              <w:rPr>
                <w:rFonts w:ascii="Times New Roman" w:hAnsi="Times New Roman" w:eastAsia="宋体" w:cs="Times New Roman"/>
                <w:bCs/>
                <w:kern w:val="2"/>
                <w:sz w:val="21"/>
                <w:szCs w:val="21"/>
                <w:lang w:val="en-US" w:eastAsia="zh-CN" w:bidi="ar-SA"/>
              </w:rPr>
            </w:pPr>
            <w:r>
              <w:rPr>
                <w:rFonts w:hint="eastAsia"/>
                <w:sz w:val="21"/>
                <w:szCs w:val="21"/>
                <w:lang w:val="en-US" w:eastAsia="zh-CN"/>
              </w:rPr>
              <w:t>1</w:t>
            </w:r>
          </w:p>
        </w:tc>
      </w:tr>
      <w:tr>
        <w:tblPrEx>
          <w:tblCellMar>
            <w:top w:w="0" w:type="dxa"/>
            <w:left w:w="108" w:type="dxa"/>
            <w:bottom w:w="0" w:type="dxa"/>
            <w:right w:w="108" w:type="dxa"/>
          </w:tblCellMar>
        </w:tblPrEx>
        <w:trPr>
          <w:trHeight w:val="0" w:hRule="atLeast"/>
        </w:trPr>
        <w:tc>
          <w:tcPr>
            <w:tcW w:w="136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1"/>
              <w:keepNext w:val="0"/>
              <w:keepLines w:val="0"/>
              <w:pageBreakBefore w:val="0"/>
              <w:widowControl/>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eastAsia" w:eastAsia="宋体"/>
                <w:sz w:val="21"/>
                <w:szCs w:val="21"/>
                <w:lang w:val="en-US" w:eastAsia="zh-CN"/>
              </w:rPr>
            </w:pPr>
            <w:r>
              <w:rPr>
                <w:rFonts w:hint="eastAsia"/>
                <w:sz w:val="21"/>
                <w:szCs w:val="21"/>
              </w:rPr>
              <w:t>硫酸盐（以</w:t>
            </w:r>
            <w:r>
              <w:rPr>
                <w:sz w:val="21"/>
                <w:szCs w:val="21"/>
              </w:rPr>
              <w:t>SO</w:t>
            </w:r>
            <w:r>
              <w:rPr>
                <w:sz w:val="21"/>
                <w:szCs w:val="21"/>
                <w:vertAlign w:val="subscript"/>
              </w:rPr>
              <w:t>4</w:t>
            </w:r>
            <w:r>
              <w:rPr>
                <w:sz w:val="21"/>
                <w:szCs w:val="21"/>
                <w:vertAlign w:val="superscript"/>
              </w:rPr>
              <w:t>2-</w:t>
            </w:r>
            <w:r>
              <w:rPr>
                <w:rFonts w:hint="eastAsia"/>
                <w:sz w:val="21"/>
                <w:szCs w:val="21"/>
              </w:rPr>
              <w:t>计）</w:t>
            </w:r>
          </w:p>
        </w:tc>
        <w:tc>
          <w:tcPr>
            <w:tcW w:w="730" w:type="pct"/>
            <w:tcBorders>
              <w:top w:val="single" w:color="auto" w:sz="4" w:space="0"/>
              <w:left w:val="single" w:color="auto" w:sz="4" w:space="0"/>
              <w:bottom w:val="single" w:color="auto" w:sz="4" w:space="0"/>
              <w:right w:val="single" w:color="auto" w:sz="4" w:space="0"/>
            </w:tcBorders>
            <w:shd w:val="clear" w:color="auto" w:fill="auto"/>
            <w:vAlign w:val="top"/>
          </w:tcPr>
          <w:p>
            <w:pPr>
              <w:pStyle w:val="51"/>
              <w:keepNext w:val="0"/>
              <w:keepLines w:val="0"/>
              <w:pageBreakBefore w:val="0"/>
              <w:widowControl/>
              <w:kinsoku/>
              <w:wordWrap/>
              <w:overflowPunct/>
              <w:topLinePunct w:val="0"/>
              <w:autoSpaceDE/>
              <w:autoSpaceDN/>
              <w:bidi w:val="0"/>
              <w:adjustRightInd w:val="0"/>
              <w:snapToGrid w:val="0"/>
              <w:spacing w:beforeLines="0" w:afterLines="0" w:line="240" w:lineRule="auto"/>
              <w:ind w:firstLine="0" w:firstLineChars="0"/>
              <w:jc w:val="center"/>
              <w:textAlignment w:val="auto"/>
              <w:rPr>
                <w:sz w:val="21"/>
                <w:szCs w:val="21"/>
              </w:rPr>
            </w:pPr>
            <w:r>
              <w:rPr>
                <w:rFonts w:hint="eastAsia"/>
                <w:sz w:val="21"/>
                <w:szCs w:val="21"/>
                <w:lang w:val="en-US" w:eastAsia="zh-CN"/>
              </w:rPr>
              <w:t>500</w:t>
            </w:r>
          </w:p>
        </w:tc>
        <w:tc>
          <w:tcPr>
            <w:tcW w:w="2907" w:type="pct"/>
            <w:tcBorders>
              <w:top w:val="single" w:color="auto" w:sz="4" w:space="0"/>
              <w:left w:val="single" w:color="auto" w:sz="4" w:space="0"/>
              <w:bottom w:val="single" w:color="auto" w:sz="4" w:space="0"/>
              <w:right w:val="single" w:color="auto" w:sz="4" w:space="0"/>
            </w:tcBorders>
            <w:shd w:val="clear" w:color="auto" w:fill="auto"/>
            <w:noWrap/>
            <w:vAlign w:val="top"/>
          </w:tcPr>
          <w:p>
            <w:pPr>
              <w:pStyle w:val="51"/>
              <w:keepNext w:val="0"/>
              <w:keepLines w:val="0"/>
              <w:pageBreakBefore w:val="0"/>
              <w:widowControl/>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bCs/>
                <w:kern w:val="2"/>
                <w:sz w:val="21"/>
                <w:szCs w:val="21"/>
                <w:lang w:val="en-US" w:eastAsia="zh-CN" w:bidi="ar-SA"/>
              </w:rPr>
            </w:pPr>
            <w:r>
              <w:rPr>
                <w:rFonts w:hint="eastAsia"/>
                <w:sz w:val="21"/>
                <w:szCs w:val="21"/>
                <w:lang w:val="en-US" w:eastAsia="zh-CN"/>
              </w:rPr>
              <w:t>250</w:t>
            </w:r>
            <w:r>
              <w:rPr>
                <w:rFonts w:hint="eastAsia"/>
                <w:sz w:val="21"/>
                <w:szCs w:val="21"/>
                <w:vertAlign w:val="superscript"/>
                <w:lang w:val="en-US" w:eastAsia="zh-CN"/>
              </w:rPr>
              <w:t>c</w:t>
            </w:r>
          </w:p>
        </w:tc>
      </w:tr>
      <w:tr>
        <w:tblPrEx>
          <w:tblCellMar>
            <w:top w:w="0" w:type="dxa"/>
            <w:left w:w="108" w:type="dxa"/>
            <w:bottom w:w="0" w:type="dxa"/>
            <w:right w:w="108" w:type="dxa"/>
          </w:tblCellMar>
        </w:tblPrEx>
        <w:trPr>
          <w:trHeight w:val="0" w:hRule="atLeast"/>
        </w:trPr>
        <w:tc>
          <w:tcPr>
            <w:tcW w:w="1362" w:type="pct"/>
            <w:tcBorders>
              <w:top w:val="single" w:color="auto" w:sz="4" w:space="0"/>
              <w:left w:val="single" w:color="auto" w:sz="4" w:space="0"/>
              <w:bottom w:val="single" w:color="auto" w:sz="4" w:space="0"/>
              <w:right w:val="single" w:color="auto" w:sz="4" w:space="0"/>
            </w:tcBorders>
            <w:shd w:val="clear" w:color="auto" w:fill="auto"/>
            <w:vAlign w:val="top"/>
          </w:tcPr>
          <w:p>
            <w:pPr>
              <w:pStyle w:val="51"/>
              <w:keepNext w:val="0"/>
              <w:keepLines w:val="0"/>
              <w:pageBreakBefore w:val="0"/>
              <w:widowControl/>
              <w:kinsoku/>
              <w:wordWrap/>
              <w:overflowPunct/>
              <w:topLinePunct w:val="0"/>
              <w:autoSpaceDE/>
              <w:autoSpaceDN/>
              <w:bidi w:val="0"/>
              <w:adjustRightInd w:val="0"/>
              <w:snapToGrid w:val="0"/>
              <w:spacing w:beforeLines="0" w:afterLines="0" w:line="240" w:lineRule="auto"/>
              <w:ind w:firstLine="0" w:firstLineChars="0"/>
              <w:jc w:val="center"/>
              <w:textAlignment w:val="auto"/>
              <w:rPr>
                <w:sz w:val="21"/>
                <w:szCs w:val="21"/>
                <w:highlight w:val="yellow"/>
              </w:rPr>
            </w:pPr>
            <w:r>
              <w:rPr>
                <w:rFonts w:hint="eastAsia"/>
                <w:sz w:val="21"/>
                <w:szCs w:val="21"/>
              </w:rPr>
              <w:t>总锌</w:t>
            </w:r>
          </w:p>
        </w:tc>
        <w:tc>
          <w:tcPr>
            <w:tcW w:w="730" w:type="pct"/>
            <w:tcBorders>
              <w:top w:val="single" w:color="auto" w:sz="4" w:space="0"/>
              <w:left w:val="single" w:color="auto" w:sz="4" w:space="0"/>
              <w:bottom w:val="single" w:color="auto" w:sz="4" w:space="0"/>
              <w:right w:val="single" w:color="auto" w:sz="4" w:space="0"/>
            </w:tcBorders>
            <w:shd w:val="clear" w:color="auto" w:fill="auto"/>
            <w:vAlign w:val="top"/>
          </w:tcPr>
          <w:p>
            <w:pPr>
              <w:pStyle w:val="51"/>
              <w:keepNext w:val="0"/>
              <w:keepLines w:val="0"/>
              <w:pageBreakBefore w:val="0"/>
              <w:widowControl/>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eastAsia="仿宋_GB2312"/>
                <w:sz w:val="21"/>
                <w:szCs w:val="21"/>
                <w:highlight w:val="yellow"/>
                <w:lang w:val="en-US" w:eastAsia="zh-CN"/>
              </w:rPr>
            </w:pPr>
            <w:r>
              <w:rPr>
                <w:rFonts w:hint="eastAsia"/>
                <w:sz w:val="21"/>
                <w:szCs w:val="21"/>
                <w:lang w:val="en-US" w:eastAsia="zh-CN"/>
              </w:rPr>
              <w:t>1.0</w:t>
            </w:r>
          </w:p>
        </w:tc>
        <w:tc>
          <w:tcPr>
            <w:tcW w:w="2907" w:type="pct"/>
            <w:tcBorders>
              <w:top w:val="single" w:color="auto" w:sz="4" w:space="0"/>
              <w:left w:val="single" w:color="auto" w:sz="4" w:space="0"/>
              <w:bottom w:val="single" w:color="auto" w:sz="4" w:space="0"/>
              <w:right w:val="single" w:color="auto" w:sz="4" w:space="0"/>
            </w:tcBorders>
            <w:shd w:val="clear" w:color="auto" w:fill="auto"/>
            <w:noWrap/>
            <w:vAlign w:val="top"/>
          </w:tcPr>
          <w:p>
            <w:pPr>
              <w:pStyle w:val="51"/>
              <w:keepNext w:val="0"/>
              <w:keepLines w:val="0"/>
              <w:pageBreakBefore w:val="0"/>
              <w:widowControl/>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仿宋_GB2312" w:cs="Times New Roman"/>
                <w:bCs/>
                <w:kern w:val="2"/>
                <w:sz w:val="21"/>
                <w:szCs w:val="21"/>
                <w:highlight w:val="yellow"/>
                <w:lang w:val="en-US" w:eastAsia="zh-CN" w:bidi="ar-SA"/>
              </w:rPr>
            </w:pPr>
            <w:r>
              <w:rPr>
                <w:rFonts w:hint="eastAsia"/>
                <w:sz w:val="21"/>
                <w:szCs w:val="21"/>
                <w:lang w:val="en-US" w:eastAsia="zh-CN"/>
              </w:rPr>
              <w:t>1.0</w:t>
            </w:r>
          </w:p>
        </w:tc>
      </w:tr>
      <w:tr>
        <w:tblPrEx>
          <w:tblCellMar>
            <w:top w:w="0" w:type="dxa"/>
            <w:left w:w="108" w:type="dxa"/>
            <w:bottom w:w="0" w:type="dxa"/>
            <w:right w:w="108" w:type="dxa"/>
          </w:tblCellMar>
        </w:tblPrEx>
        <w:trPr>
          <w:trHeight w:val="0" w:hRule="atLeast"/>
        </w:trPr>
        <w:tc>
          <w:tcPr>
            <w:tcW w:w="1362" w:type="pct"/>
            <w:tcBorders>
              <w:top w:val="single" w:color="auto" w:sz="4" w:space="0"/>
              <w:left w:val="single" w:color="auto" w:sz="4" w:space="0"/>
              <w:bottom w:val="single" w:color="auto" w:sz="4" w:space="0"/>
              <w:right w:val="single" w:color="auto" w:sz="4" w:space="0"/>
            </w:tcBorders>
            <w:shd w:val="clear" w:color="auto" w:fill="auto"/>
            <w:vAlign w:val="top"/>
          </w:tcPr>
          <w:p>
            <w:pPr>
              <w:pStyle w:val="51"/>
              <w:keepNext w:val="0"/>
              <w:keepLines w:val="0"/>
              <w:pageBreakBefore w:val="0"/>
              <w:widowControl/>
              <w:kinsoku/>
              <w:wordWrap/>
              <w:overflowPunct/>
              <w:topLinePunct w:val="0"/>
              <w:autoSpaceDE/>
              <w:autoSpaceDN/>
              <w:bidi w:val="0"/>
              <w:adjustRightInd w:val="0"/>
              <w:snapToGrid w:val="0"/>
              <w:spacing w:beforeLines="0" w:afterLines="0" w:line="240" w:lineRule="auto"/>
              <w:ind w:firstLine="0" w:firstLineChars="0"/>
              <w:jc w:val="center"/>
              <w:textAlignment w:val="auto"/>
              <w:rPr>
                <w:sz w:val="21"/>
                <w:szCs w:val="21"/>
              </w:rPr>
            </w:pPr>
            <w:r>
              <w:rPr>
                <w:rFonts w:hint="eastAsia"/>
                <w:sz w:val="21"/>
                <w:szCs w:val="21"/>
              </w:rPr>
              <w:t>总镉</w:t>
            </w:r>
          </w:p>
        </w:tc>
        <w:tc>
          <w:tcPr>
            <w:tcW w:w="730" w:type="pct"/>
            <w:tcBorders>
              <w:top w:val="single" w:color="auto" w:sz="4" w:space="0"/>
              <w:left w:val="single" w:color="auto" w:sz="4" w:space="0"/>
              <w:bottom w:val="single" w:color="auto" w:sz="4" w:space="0"/>
              <w:right w:val="single" w:color="auto" w:sz="4" w:space="0"/>
            </w:tcBorders>
            <w:shd w:val="clear" w:color="auto" w:fill="auto"/>
            <w:vAlign w:val="top"/>
          </w:tcPr>
          <w:p>
            <w:pPr>
              <w:pStyle w:val="51"/>
              <w:keepNext w:val="0"/>
              <w:keepLines w:val="0"/>
              <w:pageBreakBefore w:val="0"/>
              <w:widowControl/>
              <w:kinsoku/>
              <w:wordWrap/>
              <w:overflowPunct/>
              <w:topLinePunct w:val="0"/>
              <w:autoSpaceDE/>
              <w:autoSpaceDN/>
              <w:bidi w:val="0"/>
              <w:adjustRightInd w:val="0"/>
              <w:snapToGrid w:val="0"/>
              <w:spacing w:beforeLines="0" w:afterLines="0" w:line="240" w:lineRule="auto"/>
              <w:ind w:firstLine="0" w:firstLineChars="0"/>
              <w:jc w:val="center"/>
              <w:textAlignment w:val="auto"/>
              <w:rPr>
                <w:sz w:val="21"/>
                <w:szCs w:val="21"/>
              </w:rPr>
            </w:pPr>
            <w:r>
              <w:rPr>
                <w:rFonts w:hint="eastAsia"/>
                <w:sz w:val="21"/>
                <w:szCs w:val="21"/>
              </w:rPr>
              <w:t>0.0</w:t>
            </w:r>
            <w:r>
              <w:rPr>
                <w:rFonts w:hint="eastAsia"/>
                <w:sz w:val="21"/>
                <w:szCs w:val="21"/>
                <w:lang w:val="en-US" w:eastAsia="zh-CN"/>
              </w:rPr>
              <w:t>0</w:t>
            </w:r>
            <w:r>
              <w:rPr>
                <w:rFonts w:hint="eastAsia"/>
                <w:sz w:val="21"/>
                <w:szCs w:val="21"/>
              </w:rPr>
              <w:t>5</w:t>
            </w:r>
          </w:p>
        </w:tc>
        <w:tc>
          <w:tcPr>
            <w:tcW w:w="2907" w:type="pct"/>
            <w:tcBorders>
              <w:top w:val="single" w:color="auto" w:sz="4" w:space="0"/>
              <w:left w:val="single" w:color="auto" w:sz="4" w:space="0"/>
              <w:bottom w:val="single" w:color="auto" w:sz="4" w:space="0"/>
              <w:right w:val="single" w:color="auto" w:sz="4" w:space="0"/>
            </w:tcBorders>
            <w:shd w:val="clear" w:color="auto" w:fill="auto"/>
            <w:noWrap/>
            <w:vAlign w:val="top"/>
          </w:tcPr>
          <w:p>
            <w:pPr>
              <w:pStyle w:val="51"/>
              <w:keepNext w:val="0"/>
              <w:keepLines w:val="0"/>
              <w:pageBreakBefore w:val="0"/>
              <w:widowControl/>
              <w:kinsoku/>
              <w:wordWrap/>
              <w:overflowPunct/>
              <w:topLinePunct w:val="0"/>
              <w:autoSpaceDE/>
              <w:autoSpaceDN/>
              <w:bidi w:val="0"/>
              <w:adjustRightInd w:val="0"/>
              <w:snapToGrid w:val="0"/>
              <w:spacing w:beforeLines="0" w:afterLines="0" w:line="240" w:lineRule="auto"/>
              <w:ind w:firstLine="0" w:firstLineChars="0"/>
              <w:jc w:val="center"/>
              <w:textAlignment w:val="auto"/>
              <w:rPr>
                <w:rFonts w:ascii="Times New Roman" w:hAnsi="Times New Roman" w:eastAsia="宋体" w:cs="Times New Roman"/>
                <w:bCs/>
                <w:kern w:val="2"/>
                <w:sz w:val="21"/>
                <w:szCs w:val="21"/>
                <w:lang w:val="en-US" w:eastAsia="zh-CN" w:bidi="ar-SA"/>
              </w:rPr>
            </w:pPr>
            <w:r>
              <w:rPr>
                <w:rFonts w:hint="eastAsia"/>
                <w:sz w:val="21"/>
                <w:szCs w:val="21"/>
              </w:rPr>
              <w:t>0.0</w:t>
            </w:r>
            <w:r>
              <w:rPr>
                <w:rFonts w:hint="eastAsia"/>
                <w:sz w:val="21"/>
                <w:szCs w:val="21"/>
                <w:lang w:val="en-US" w:eastAsia="zh-CN"/>
              </w:rPr>
              <w:t>0</w:t>
            </w:r>
            <w:r>
              <w:rPr>
                <w:rFonts w:hint="eastAsia"/>
                <w:sz w:val="21"/>
                <w:szCs w:val="21"/>
              </w:rPr>
              <w:t>5</w:t>
            </w:r>
          </w:p>
        </w:tc>
      </w:tr>
      <w:tr>
        <w:tblPrEx>
          <w:tblCellMar>
            <w:top w:w="0" w:type="dxa"/>
            <w:left w:w="108" w:type="dxa"/>
            <w:bottom w:w="0" w:type="dxa"/>
            <w:right w:w="108" w:type="dxa"/>
          </w:tblCellMar>
        </w:tblPrEx>
        <w:trPr>
          <w:trHeight w:val="0" w:hRule="atLeast"/>
        </w:trPr>
        <w:tc>
          <w:tcPr>
            <w:tcW w:w="1362" w:type="pct"/>
            <w:tcBorders>
              <w:top w:val="single" w:color="auto" w:sz="4" w:space="0"/>
              <w:left w:val="single" w:color="auto" w:sz="4" w:space="0"/>
              <w:bottom w:val="single" w:color="auto" w:sz="4" w:space="0"/>
              <w:right w:val="single" w:color="auto" w:sz="4" w:space="0"/>
            </w:tcBorders>
            <w:shd w:val="clear" w:color="auto" w:fill="auto"/>
            <w:vAlign w:val="top"/>
          </w:tcPr>
          <w:p>
            <w:pPr>
              <w:pStyle w:val="51"/>
              <w:keepNext w:val="0"/>
              <w:keepLines w:val="0"/>
              <w:pageBreakBefore w:val="0"/>
              <w:widowControl/>
              <w:kinsoku/>
              <w:wordWrap/>
              <w:overflowPunct/>
              <w:topLinePunct w:val="0"/>
              <w:autoSpaceDE/>
              <w:autoSpaceDN/>
              <w:bidi w:val="0"/>
              <w:adjustRightInd w:val="0"/>
              <w:snapToGrid w:val="0"/>
              <w:spacing w:beforeLines="0" w:afterLines="0" w:line="240" w:lineRule="auto"/>
              <w:ind w:firstLine="0" w:firstLineChars="0"/>
              <w:jc w:val="center"/>
              <w:textAlignment w:val="auto"/>
              <w:rPr>
                <w:sz w:val="21"/>
                <w:szCs w:val="21"/>
              </w:rPr>
            </w:pPr>
            <w:r>
              <w:rPr>
                <w:rFonts w:hint="eastAsia"/>
                <w:sz w:val="21"/>
                <w:szCs w:val="21"/>
              </w:rPr>
              <w:t>总铅</w:t>
            </w:r>
          </w:p>
        </w:tc>
        <w:tc>
          <w:tcPr>
            <w:tcW w:w="730" w:type="pct"/>
            <w:tcBorders>
              <w:top w:val="single" w:color="auto" w:sz="4" w:space="0"/>
              <w:left w:val="single" w:color="auto" w:sz="4" w:space="0"/>
              <w:bottom w:val="single" w:color="auto" w:sz="4" w:space="0"/>
              <w:right w:val="single" w:color="auto" w:sz="4" w:space="0"/>
            </w:tcBorders>
            <w:shd w:val="clear" w:color="auto" w:fill="auto"/>
            <w:vAlign w:val="top"/>
          </w:tcPr>
          <w:p>
            <w:pPr>
              <w:pStyle w:val="51"/>
              <w:keepNext w:val="0"/>
              <w:keepLines w:val="0"/>
              <w:pageBreakBefore w:val="0"/>
              <w:widowControl/>
              <w:kinsoku/>
              <w:wordWrap/>
              <w:overflowPunct/>
              <w:topLinePunct w:val="0"/>
              <w:autoSpaceDE/>
              <w:autoSpaceDN/>
              <w:bidi w:val="0"/>
              <w:adjustRightInd w:val="0"/>
              <w:snapToGrid w:val="0"/>
              <w:spacing w:beforeLines="0" w:afterLines="0" w:line="240" w:lineRule="auto"/>
              <w:ind w:firstLine="0" w:firstLineChars="0"/>
              <w:jc w:val="center"/>
              <w:textAlignment w:val="auto"/>
              <w:rPr>
                <w:sz w:val="21"/>
                <w:szCs w:val="21"/>
              </w:rPr>
            </w:pPr>
            <w:r>
              <w:rPr>
                <w:rFonts w:hint="eastAsia"/>
                <w:sz w:val="21"/>
                <w:szCs w:val="21"/>
              </w:rPr>
              <w:t>0.</w:t>
            </w:r>
            <w:r>
              <w:rPr>
                <w:rFonts w:hint="eastAsia"/>
                <w:sz w:val="21"/>
                <w:szCs w:val="21"/>
                <w:lang w:val="en-US" w:eastAsia="zh-CN"/>
              </w:rPr>
              <w:t>05</w:t>
            </w:r>
          </w:p>
        </w:tc>
        <w:tc>
          <w:tcPr>
            <w:tcW w:w="2907" w:type="pct"/>
            <w:tcBorders>
              <w:top w:val="single" w:color="auto" w:sz="4" w:space="0"/>
              <w:left w:val="single" w:color="auto" w:sz="4" w:space="0"/>
              <w:bottom w:val="single" w:color="auto" w:sz="4" w:space="0"/>
              <w:right w:val="single" w:color="auto" w:sz="4" w:space="0"/>
            </w:tcBorders>
            <w:shd w:val="clear" w:color="auto" w:fill="auto"/>
            <w:noWrap/>
            <w:vAlign w:val="top"/>
          </w:tcPr>
          <w:p>
            <w:pPr>
              <w:pStyle w:val="51"/>
              <w:keepNext w:val="0"/>
              <w:keepLines w:val="0"/>
              <w:pageBreakBefore w:val="0"/>
              <w:widowControl/>
              <w:kinsoku/>
              <w:wordWrap/>
              <w:overflowPunct/>
              <w:topLinePunct w:val="0"/>
              <w:autoSpaceDE/>
              <w:autoSpaceDN/>
              <w:bidi w:val="0"/>
              <w:adjustRightInd w:val="0"/>
              <w:snapToGrid w:val="0"/>
              <w:spacing w:beforeLines="0" w:afterLines="0" w:line="240" w:lineRule="auto"/>
              <w:ind w:firstLine="0" w:firstLineChars="0"/>
              <w:jc w:val="center"/>
              <w:textAlignment w:val="auto"/>
              <w:rPr>
                <w:rFonts w:ascii="Times New Roman" w:hAnsi="Times New Roman" w:eastAsia="宋体" w:cs="Times New Roman"/>
                <w:bCs/>
                <w:kern w:val="2"/>
                <w:sz w:val="21"/>
                <w:szCs w:val="21"/>
                <w:lang w:val="en-US" w:eastAsia="zh-CN" w:bidi="ar-SA"/>
              </w:rPr>
            </w:pPr>
            <w:r>
              <w:rPr>
                <w:rFonts w:hint="eastAsia"/>
                <w:sz w:val="21"/>
                <w:szCs w:val="21"/>
              </w:rPr>
              <w:t>0.</w:t>
            </w:r>
            <w:r>
              <w:rPr>
                <w:rFonts w:hint="eastAsia"/>
                <w:sz w:val="21"/>
                <w:szCs w:val="21"/>
                <w:lang w:val="en-US" w:eastAsia="zh-CN"/>
              </w:rPr>
              <w:t>05</w:t>
            </w:r>
          </w:p>
        </w:tc>
      </w:tr>
      <w:tr>
        <w:tblPrEx>
          <w:tblCellMar>
            <w:top w:w="0" w:type="dxa"/>
            <w:left w:w="108" w:type="dxa"/>
            <w:bottom w:w="0" w:type="dxa"/>
            <w:right w:w="108" w:type="dxa"/>
          </w:tblCellMar>
        </w:tblPrEx>
        <w:trPr>
          <w:trHeight w:val="0" w:hRule="atLeast"/>
        </w:trPr>
        <w:tc>
          <w:tcPr>
            <w:tcW w:w="1362" w:type="pct"/>
            <w:tcBorders>
              <w:top w:val="single" w:color="auto" w:sz="4" w:space="0"/>
              <w:left w:val="single" w:color="auto" w:sz="4" w:space="0"/>
              <w:bottom w:val="single" w:color="auto" w:sz="4" w:space="0"/>
              <w:right w:val="single" w:color="auto" w:sz="4" w:space="0"/>
            </w:tcBorders>
            <w:shd w:val="clear" w:color="auto" w:fill="auto"/>
            <w:vAlign w:val="top"/>
          </w:tcPr>
          <w:p>
            <w:pPr>
              <w:pStyle w:val="51"/>
              <w:keepNext w:val="0"/>
              <w:keepLines w:val="0"/>
              <w:pageBreakBefore w:val="0"/>
              <w:widowControl/>
              <w:kinsoku/>
              <w:wordWrap/>
              <w:overflowPunct/>
              <w:topLinePunct w:val="0"/>
              <w:autoSpaceDE/>
              <w:autoSpaceDN/>
              <w:bidi w:val="0"/>
              <w:adjustRightInd w:val="0"/>
              <w:snapToGrid w:val="0"/>
              <w:spacing w:beforeLines="0" w:afterLines="0" w:line="240" w:lineRule="auto"/>
              <w:ind w:firstLine="0" w:firstLineChars="0"/>
              <w:jc w:val="center"/>
              <w:textAlignment w:val="auto"/>
              <w:rPr>
                <w:sz w:val="21"/>
                <w:szCs w:val="21"/>
              </w:rPr>
            </w:pPr>
            <w:r>
              <w:rPr>
                <w:rFonts w:hint="eastAsia"/>
                <w:sz w:val="21"/>
                <w:szCs w:val="21"/>
              </w:rPr>
              <w:t>总砷</w:t>
            </w:r>
          </w:p>
        </w:tc>
        <w:tc>
          <w:tcPr>
            <w:tcW w:w="730" w:type="pct"/>
            <w:tcBorders>
              <w:top w:val="single" w:color="auto" w:sz="4" w:space="0"/>
              <w:left w:val="single" w:color="auto" w:sz="4" w:space="0"/>
              <w:bottom w:val="single" w:color="auto" w:sz="4" w:space="0"/>
              <w:right w:val="single" w:color="auto" w:sz="4" w:space="0"/>
            </w:tcBorders>
            <w:shd w:val="clear" w:color="auto" w:fill="auto"/>
            <w:vAlign w:val="top"/>
          </w:tcPr>
          <w:p>
            <w:pPr>
              <w:pStyle w:val="51"/>
              <w:keepNext w:val="0"/>
              <w:keepLines w:val="0"/>
              <w:pageBreakBefore w:val="0"/>
              <w:widowControl/>
              <w:kinsoku/>
              <w:wordWrap/>
              <w:overflowPunct/>
              <w:topLinePunct w:val="0"/>
              <w:autoSpaceDE/>
              <w:autoSpaceDN/>
              <w:bidi w:val="0"/>
              <w:adjustRightInd w:val="0"/>
              <w:snapToGrid w:val="0"/>
              <w:spacing w:beforeLines="0" w:afterLines="0" w:line="240" w:lineRule="auto"/>
              <w:ind w:firstLine="0" w:firstLineChars="0"/>
              <w:jc w:val="center"/>
              <w:textAlignment w:val="auto"/>
              <w:rPr>
                <w:sz w:val="21"/>
                <w:szCs w:val="21"/>
              </w:rPr>
            </w:pPr>
            <w:r>
              <w:rPr>
                <w:rFonts w:hint="eastAsia"/>
                <w:sz w:val="21"/>
                <w:szCs w:val="21"/>
              </w:rPr>
              <w:t>0.</w:t>
            </w:r>
            <w:r>
              <w:rPr>
                <w:rFonts w:hint="eastAsia"/>
                <w:sz w:val="21"/>
                <w:szCs w:val="21"/>
                <w:lang w:val="en-US" w:eastAsia="zh-CN"/>
              </w:rPr>
              <w:t>05</w:t>
            </w:r>
          </w:p>
        </w:tc>
        <w:tc>
          <w:tcPr>
            <w:tcW w:w="2907" w:type="pct"/>
            <w:tcBorders>
              <w:top w:val="single" w:color="auto" w:sz="4" w:space="0"/>
              <w:left w:val="single" w:color="auto" w:sz="4" w:space="0"/>
              <w:bottom w:val="single" w:color="auto" w:sz="4" w:space="0"/>
              <w:right w:val="single" w:color="auto" w:sz="4" w:space="0"/>
            </w:tcBorders>
            <w:shd w:val="clear" w:color="auto" w:fill="auto"/>
            <w:noWrap/>
            <w:vAlign w:val="top"/>
          </w:tcPr>
          <w:p>
            <w:pPr>
              <w:pStyle w:val="51"/>
              <w:keepNext w:val="0"/>
              <w:keepLines w:val="0"/>
              <w:pageBreakBefore w:val="0"/>
              <w:widowControl/>
              <w:kinsoku/>
              <w:wordWrap/>
              <w:overflowPunct/>
              <w:topLinePunct w:val="0"/>
              <w:autoSpaceDE/>
              <w:autoSpaceDN/>
              <w:bidi w:val="0"/>
              <w:adjustRightInd w:val="0"/>
              <w:snapToGrid w:val="0"/>
              <w:spacing w:beforeLines="0" w:afterLines="0" w:line="240" w:lineRule="auto"/>
              <w:ind w:firstLine="0" w:firstLineChars="0"/>
              <w:jc w:val="center"/>
              <w:textAlignment w:val="auto"/>
              <w:rPr>
                <w:rFonts w:ascii="Times New Roman" w:hAnsi="Times New Roman" w:eastAsia="宋体" w:cs="Times New Roman"/>
                <w:bCs/>
                <w:kern w:val="2"/>
                <w:sz w:val="21"/>
                <w:szCs w:val="21"/>
                <w:lang w:val="en-US" w:eastAsia="zh-CN" w:bidi="ar-SA"/>
              </w:rPr>
            </w:pPr>
            <w:r>
              <w:rPr>
                <w:rFonts w:hint="eastAsia"/>
                <w:sz w:val="21"/>
                <w:szCs w:val="21"/>
              </w:rPr>
              <w:t>0.</w:t>
            </w:r>
            <w:r>
              <w:rPr>
                <w:rFonts w:hint="eastAsia"/>
                <w:sz w:val="21"/>
                <w:szCs w:val="21"/>
                <w:lang w:val="en-US" w:eastAsia="zh-CN"/>
              </w:rPr>
              <w:t>05</w:t>
            </w:r>
          </w:p>
        </w:tc>
      </w:tr>
      <w:tr>
        <w:tblPrEx>
          <w:tblCellMar>
            <w:top w:w="0" w:type="dxa"/>
            <w:left w:w="108" w:type="dxa"/>
            <w:bottom w:w="0" w:type="dxa"/>
            <w:right w:w="108" w:type="dxa"/>
          </w:tblCellMar>
        </w:tblPrEx>
        <w:trPr>
          <w:trHeight w:val="0" w:hRule="atLeast"/>
        </w:trPr>
        <w:tc>
          <w:tcPr>
            <w:tcW w:w="5000" w:type="pct"/>
            <w:gridSpan w:val="3"/>
            <w:tcBorders>
              <w:top w:val="single" w:color="auto" w:sz="4" w:space="0"/>
              <w:left w:val="single" w:color="auto" w:sz="4" w:space="0"/>
              <w:bottom w:val="single" w:color="auto" w:sz="4" w:space="0"/>
              <w:right w:val="single" w:color="auto" w:sz="4" w:space="0"/>
            </w:tcBorders>
            <w:shd w:val="clear" w:color="auto" w:fill="auto"/>
            <w:vAlign w:val="top"/>
          </w:tcPr>
          <w:p>
            <w:pPr>
              <w:pStyle w:val="51"/>
              <w:keepNext w:val="0"/>
              <w:keepLines w:val="0"/>
              <w:pageBreakBefore w:val="0"/>
              <w:widowControl/>
              <w:kinsoku/>
              <w:wordWrap/>
              <w:overflowPunct/>
              <w:topLinePunct w:val="0"/>
              <w:autoSpaceDE/>
              <w:autoSpaceDN/>
              <w:bidi w:val="0"/>
              <w:adjustRightInd w:val="0"/>
              <w:snapToGrid w:val="0"/>
              <w:spacing w:beforeLines="0" w:afterLines="0" w:line="240" w:lineRule="auto"/>
              <w:ind w:firstLine="0" w:firstLineChars="0"/>
              <w:jc w:val="both"/>
              <w:textAlignment w:val="auto"/>
              <w:rPr>
                <w:rFonts w:hint="eastAsia"/>
                <w:sz w:val="21"/>
                <w:szCs w:val="21"/>
                <w:lang w:val="en-US" w:eastAsia="zh-CN"/>
              </w:rPr>
            </w:pPr>
            <w:r>
              <w:rPr>
                <w:rFonts w:hint="eastAsia"/>
                <w:sz w:val="21"/>
                <w:szCs w:val="21"/>
                <w:lang w:val="en-US" w:eastAsia="zh-CN"/>
              </w:rPr>
              <w:t>注：</w:t>
            </w:r>
          </w:p>
          <w:p>
            <w:pPr>
              <w:pStyle w:val="51"/>
              <w:keepNext w:val="0"/>
              <w:keepLines w:val="0"/>
              <w:pageBreakBefore w:val="0"/>
              <w:widowControl/>
              <w:kinsoku/>
              <w:wordWrap/>
              <w:overflowPunct/>
              <w:topLinePunct w:val="0"/>
              <w:autoSpaceDE/>
              <w:autoSpaceDN/>
              <w:bidi w:val="0"/>
              <w:adjustRightInd w:val="0"/>
              <w:snapToGrid w:val="0"/>
              <w:spacing w:beforeLines="0" w:afterLines="0" w:line="240" w:lineRule="auto"/>
              <w:ind w:firstLine="0" w:firstLineChars="0"/>
              <w:jc w:val="both"/>
              <w:textAlignment w:val="auto"/>
              <w:rPr>
                <w:rFonts w:hint="eastAsia"/>
                <w:sz w:val="21"/>
                <w:szCs w:val="21"/>
              </w:rPr>
            </w:pPr>
            <w:r>
              <w:rPr>
                <w:sz w:val="21"/>
                <w:szCs w:val="21"/>
                <w:vertAlign w:val="superscript"/>
              </w:rPr>
              <w:t>a</w:t>
            </w:r>
            <w:r>
              <w:rPr>
                <w:rFonts w:hint="eastAsia"/>
                <w:sz w:val="21"/>
                <w:szCs w:val="21"/>
              </w:rPr>
              <w:t>适用于对照断面氟化物浓度＜1mg/L的矿山；</w:t>
            </w:r>
          </w:p>
          <w:p>
            <w:pPr>
              <w:pStyle w:val="51"/>
              <w:keepNext w:val="0"/>
              <w:keepLines w:val="0"/>
              <w:pageBreakBefore w:val="0"/>
              <w:widowControl/>
              <w:kinsoku/>
              <w:wordWrap/>
              <w:overflowPunct/>
              <w:topLinePunct w:val="0"/>
              <w:autoSpaceDE/>
              <w:autoSpaceDN/>
              <w:bidi w:val="0"/>
              <w:adjustRightInd w:val="0"/>
              <w:snapToGrid w:val="0"/>
              <w:spacing w:beforeLines="0" w:afterLines="0" w:line="240" w:lineRule="auto"/>
              <w:ind w:firstLine="0" w:firstLineChars="0"/>
              <w:jc w:val="both"/>
              <w:textAlignment w:val="auto"/>
              <w:rPr>
                <w:rFonts w:hint="eastAsia"/>
                <w:sz w:val="21"/>
                <w:szCs w:val="21"/>
                <w:lang w:eastAsia="zh-CN"/>
              </w:rPr>
            </w:pPr>
            <w:r>
              <w:rPr>
                <w:rFonts w:hint="eastAsia"/>
                <w:sz w:val="21"/>
                <w:szCs w:val="21"/>
                <w:vertAlign w:val="superscript"/>
              </w:rPr>
              <w:t>b</w:t>
            </w:r>
            <w:r>
              <w:rPr>
                <w:rFonts w:hint="eastAsia"/>
                <w:sz w:val="21"/>
                <w:szCs w:val="21"/>
              </w:rPr>
              <w:t>适用于对照断面氟化物浓度≥1mg/L的矿山</w:t>
            </w:r>
            <w:r>
              <w:rPr>
                <w:rFonts w:hint="eastAsia"/>
                <w:sz w:val="21"/>
                <w:szCs w:val="21"/>
                <w:lang w:eastAsia="zh-CN"/>
              </w:rPr>
              <w:t>；</w:t>
            </w:r>
          </w:p>
          <w:p>
            <w:pPr>
              <w:pStyle w:val="51"/>
              <w:keepNext w:val="0"/>
              <w:keepLines w:val="0"/>
              <w:pageBreakBefore w:val="0"/>
              <w:widowControl/>
              <w:kinsoku/>
              <w:wordWrap/>
              <w:overflowPunct/>
              <w:topLinePunct w:val="0"/>
              <w:autoSpaceDE/>
              <w:autoSpaceDN/>
              <w:bidi w:val="0"/>
              <w:adjustRightInd w:val="0"/>
              <w:snapToGrid w:val="0"/>
              <w:spacing w:beforeLines="0" w:afterLines="0" w:line="240" w:lineRule="auto"/>
              <w:ind w:firstLine="0" w:firstLineChars="0"/>
              <w:jc w:val="both"/>
              <w:textAlignment w:val="auto"/>
              <w:rPr>
                <w:rFonts w:hint="default"/>
                <w:sz w:val="21"/>
                <w:szCs w:val="21"/>
                <w:lang w:val="en-US" w:eastAsia="zh-CN"/>
              </w:rPr>
            </w:pPr>
            <w:r>
              <w:rPr>
                <w:rFonts w:hint="eastAsia"/>
                <w:sz w:val="21"/>
                <w:szCs w:val="21"/>
                <w:vertAlign w:val="superscript"/>
                <w:lang w:val="en-US" w:eastAsia="zh-CN"/>
              </w:rPr>
              <w:t>c</w:t>
            </w:r>
            <w:r>
              <w:rPr>
                <w:rFonts w:hint="eastAsia"/>
                <w:sz w:val="21"/>
                <w:szCs w:val="21"/>
                <w:lang w:val="en-US" w:eastAsia="zh-CN"/>
              </w:rPr>
              <w:t>硫酸盐浓度限值来源为《地表水环境质量标准》GB3838-2002表2集中式生活饮用水地表水源地补充项目标准限值。</w:t>
            </w:r>
          </w:p>
        </w:tc>
      </w:tr>
    </w:tbl>
    <w:p>
      <w:pPr>
        <w:pStyle w:val="5"/>
        <w:rPr>
          <w:rFonts w:hint="eastAsia" w:ascii="Times New Roman" w:hAnsi="Times New Roman" w:cs="Times New Roman"/>
          <w:lang w:val="en-US" w:eastAsia="zh-CN"/>
        </w:rPr>
      </w:pPr>
      <w:r>
        <w:rPr>
          <w:rFonts w:hint="eastAsia" w:ascii="Times New Roman" w:hAnsi="Times New Roman" w:cs="Times New Roman"/>
          <w:lang w:val="en-US" w:eastAsia="zh-CN"/>
        </w:rPr>
        <w:t>污染监控断面水污染物预警浓度限值</w:t>
      </w:r>
    </w:p>
    <w:p>
      <w:pPr>
        <w:spacing w:line="360" w:lineRule="auto"/>
        <w:ind w:firstLine="480" w:firstLineChars="200"/>
        <w:rPr>
          <w:rFonts w:hint="eastAsia"/>
          <w:sz w:val="24"/>
          <w:szCs w:val="24"/>
          <w:lang w:val="en-US" w:eastAsia="zh-CN"/>
        </w:rPr>
      </w:pPr>
      <w:r>
        <w:rPr>
          <w:rFonts w:hint="eastAsia"/>
          <w:sz w:val="24"/>
          <w:szCs w:val="24"/>
          <w:lang w:val="en-US" w:eastAsia="zh-CN"/>
        </w:rPr>
        <w:t>因离子型稀土矿区原地浸矿工艺特点，为确保管控断面满足水污染控制要求，本标准要求矿山开采企业在矿区内设置若干污染监控断面（每个开采矿块下游100m地表水断面、下游200m地表水断面），并对应设置预警值，超过预警值应及时启动末端风险防控措施，并减少生产规模，确保管控断面满足水污染控制要求。</w:t>
      </w:r>
    </w:p>
    <w:p>
      <w:pPr>
        <w:spacing w:line="360" w:lineRule="auto"/>
        <w:ind w:firstLine="480" w:firstLineChars="200"/>
        <w:rPr>
          <w:rFonts w:hint="default"/>
          <w:sz w:val="24"/>
          <w:szCs w:val="24"/>
          <w:lang w:val="en-US" w:eastAsia="zh-CN"/>
        </w:rPr>
      </w:pPr>
      <w:r>
        <w:rPr>
          <w:rFonts w:hint="eastAsia"/>
          <w:sz w:val="24"/>
          <w:szCs w:val="24"/>
          <w:lang w:val="en-US" w:eastAsia="zh-CN"/>
        </w:rPr>
        <w:t>主要设定氨氮和硫酸盐作为水污染物预警因子。开采矿块下游100米地表水污染监控断面预警浓度值设定为氨氮30mg/L、硫酸盐800mg/L；开采矿块下游200米地表水污染监控断面预警浓度值设定为氨氮10mg/L、硫酸盐500mg/L。</w:t>
      </w:r>
    </w:p>
    <w:p>
      <w:pPr>
        <w:pStyle w:val="4"/>
        <w:tabs>
          <w:tab w:val="clear" w:pos="360"/>
        </w:tabs>
      </w:pPr>
      <w:bookmarkStart w:id="46" w:name="_Toc14196"/>
      <w:bookmarkStart w:id="47" w:name="_Toc21053"/>
      <w:r>
        <w:rPr>
          <w:rFonts w:hint="eastAsia"/>
        </w:rPr>
        <w:t>达标分析</w:t>
      </w:r>
      <w:bookmarkEnd w:id="46"/>
      <w:bookmarkEnd w:id="47"/>
    </w:p>
    <w:p>
      <w:pPr>
        <w:spacing w:line="360" w:lineRule="auto"/>
        <w:ind w:firstLine="480" w:firstLineChars="200"/>
        <w:rPr>
          <w:rFonts w:hint="eastAsia"/>
          <w:color w:val="auto"/>
          <w:sz w:val="24"/>
          <w:szCs w:val="24"/>
        </w:rPr>
      </w:pPr>
      <w:r>
        <w:rPr>
          <w:rFonts w:hint="eastAsia"/>
          <w:color w:val="auto"/>
          <w:sz w:val="24"/>
          <w:szCs w:val="24"/>
        </w:rPr>
        <w:t>本标准所涉及的水污染物采用化学沉淀法、化学氧化法、生物法、膜处理法、等处理措施可有效去除。对离子型稀土生产企业污染治理状况的调研结果表明，采取本标准提出水污染控制措施，因地制宜的系统构建矿区水污染防控体系，离子型稀土矿山开采</w:t>
      </w:r>
      <w:r>
        <w:rPr>
          <w:rFonts w:hint="eastAsia"/>
          <w:color w:val="auto"/>
          <w:sz w:val="24"/>
          <w:szCs w:val="24"/>
          <w:lang w:val="en-US" w:eastAsia="zh-CN"/>
        </w:rPr>
        <w:t>企业</w:t>
      </w:r>
      <w:r>
        <w:rPr>
          <w:rFonts w:hint="eastAsia"/>
          <w:color w:val="auto"/>
          <w:sz w:val="24"/>
          <w:szCs w:val="24"/>
        </w:rPr>
        <w:t>污水处理设施排放口的水质可满足</w:t>
      </w:r>
      <w:r>
        <w:rPr>
          <w:rFonts w:hint="eastAsia"/>
          <w:color w:val="auto"/>
          <w:sz w:val="24"/>
          <w:szCs w:val="24"/>
          <w:lang w:val="en-US" w:eastAsia="zh-CN"/>
        </w:rPr>
        <w:t>排放</w:t>
      </w:r>
      <w:r>
        <w:rPr>
          <w:rFonts w:hint="eastAsia"/>
          <w:color w:val="auto"/>
          <w:sz w:val="24"/>
          <w:szCs w:val="24"/>
        </w:rPr>
        <w:t>要求。</w:t>
      </w:r>
    </w:p>
    <w:p>
      <w:pPr>
        <w:spacing w:line="360" w:lineRule="auto"/>
        <w:ind w:firstLine="480" w:firstLineChars="200"/>
        <w:rPr>
          <w:rFonts w:hint="default"/>
          <w:color w:val="auto"/>
          <w:sz w:val="24"/>
          <w:szCs w:val="24"/>
          <w:lang w:val="en-US" w:eastAsia="zh-CN"/>
        </w:rPr>
      </w:pPr>
      <w:r>
        <w:rPr>
          <w:rFonts w:hint="eastAsia" w:eastAsia="宋体"/>
          <w:color w:val="auto"/>
          <w:sz w:val="24"/>
          <w:szCs w:val="24"/>
          <w:lang w:val="en-US" w:eastAsia="zh-CN"/>
        </w:rPr>
        <w:t>对离子型稀土生产企业污染治理状况的调研结果表明，</w:t>
      </w:r>
      <w:r>
        <w:rPr>
          <w:rFonts w:hint="eastAsia"/>
          <w:color w:val="auto"/>
          <w:sz w:val="24"/>
          <w:szCs w:val="24"/>
          <w:lang w:val="en-US" w:eastAsia="zh-CN"/>
        </w:rPr>
        <w:t>管控断面氨氮超标较为严重，硫酸根、氟化物、铅、镉和石油类在部分断面超标。通过本标准的实施，促进绿色清洁生产工艺的推广及淘汰环境敏感地区生产工艺、污染治理技术落后的离子型稀土生产企业。</w:t>
      </w:r>
    </w:p>
    <w:p>
      <w:pPr>
        <w:pStyle w:val="4"/>
        <w:tabs>
          <w:tab w:val="clear" w:pos="360"/>
        </w:tabs>
        <w:rPr>
          <w:rFonts w:hint="eastAsia"/>
          <w:lang w:val="en-US" w:eastAsia="zh-CN"/>
        </w:rPr>
      </w:pPr>
      <w:bookmarkStart w:id="48" w:name="_Toc25987"/>
      <w:bookmarkStart w:id="49" w:name="_Toc24656"/>
      <w:r>
        <w:rPr>
          <w:rFonts w:hint="eastAsia"/>
          <w:lang w:val="en-US" w:eastAsia="zh-CN"/>
        </w:rPr>
        <w:t>单位产品基准排水量的确定及制定依据</w:t>
      </w:r>
      <w:bookmarkEnd w:id="48"/>
      <w:bookmarkEnd w:id="49"/>
    </w:p>
    <w:p>
      <w:pPr>
        <w:spacing w:line="360" w:lineRule="auto"/>
        <w:ind w:firstLine="480" w:firstLineChars="200"/>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目前赣州定南、赣州龙南矿区</w:t>
      </w:r>
      <w:r>
        <w:rPr>
          <w:rFonts w:hint="eastAsia" w:cs="Times New Roman"/>
          <w:color w:val="auto"/>
          <w:sz w:val="24"/>
          <w:szCs w:val="24"/>
          <w:lang w:val="en-US" w:eastAsia="zh-CN"/>
        </w:rPr>
        <w:t>废水处理设施</w:t>
      </w:r>
      <w:r>
        <w:rPr>
          <w:rFonts w:hint="eastAsia" w:ascii="Times New Roman" w:hAnsi="Times New Roman" w:cs="Times New Roman"/>
          <w:color w:val="auto"/>
          <w:sz w:val="24"/>
          <w:szCs w:val="24"/>
          <w:lang w:val="en-US" w:eastAsia="zh-CN"/>
        </w:rPr>
        <w:t>主要处理历史遗留矿区产生的废水，属于流域治理措施，因此在本标准中明确单位基准排水量不适用于采取流域治理措施的污水处理设施排放口。</w:t>
      </w:r>
    </w:p>
    <w:p>
      <w:pPr>
        <w:spacing w:line="360" w:lineRule="auto"/>
        <w:ind w:firstLine="480" w:firstLineChars="200"/>
        <w:rPr>
          <w:rFonts w:hint="default" w:ascii="Times New Roman" w:hAnsi="Times New Roman"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离子型稀土矿废水包含采场</w:t>
      </w:r>
      <w:r>
        <w:rPr>
          <w:rFonts w:hint="eastAsia" w:cs="Times New Roman"/>
          <w:color w:val="auto"/>
          <w:sz w:val="24"/>
          <w:szCs w:val="24"/>
          <w:lang w:val="en-US" w:eastAsia="zh-CN"/>
        </w:rPr>
        <w:t>生产尾水、</w:t>
      </w:r>
      <w:r>
        <w:rPr>
          <w:rFonts w:hint="default" w:ascii="Times New Roman" w:hAnsi="Times New Roman" w:eastAsia="宋体" w:cs="Times New Roman"/>
          <w:color w:val="auto"/>
          <w:sz w:val="24"/>
          <w:szCs w:val="24"/>
          <w:lang w:val="en-US" w:eastAsia="zh-CN"/>
        </w:rPr>
        <w:t>渗漏废水和采场残留浸矿剂淋溶废水。</w:t>
      </w:r>
      <w:r>
        <w:rPr>
          <w:rFonts w:hint="eastAsia" w:ascii="Times New Roman" w:hAnsi="Times New Roman" w:cs="Times New Roman"/>
          <w:color w:val="auto"/>
          <w:sz w:val="24"/>
          <w:szCs w:val="24"/>
          <w:lang w:val="en-US" w:eastAsia="zh-CN"/>
        </w:rPr>
        <w:t>根据收集目前在产离子型稀土矿原地浸矿工艺项目水平衡表明，正常在无降雨的情况下，</w:t>
      </w:r>
      <w:r>
        <w:rPr>
          <w:rFonts w:hint="eastAsia" w:cs="Times New Roman"/>
          <w:color w:val="auto"/>
          <w:sz w:val="24"/>
          <w:szCs w:val="24"/>
          <w:lang w:val="en-US" w:eastAsia="zh-CN"/>
        </w:rPr>
        <w:t>企业</w:t>
      </w:r>
      <w:r>
        <w:rPr>
          <w:rFonts w:hint="eastAsia" w:ascii="Times New Roman" w:hAnsi="Times New Roman" w:cs="Times New Roman"/>
          <w:color w:val="auto"/>
          <w:sz w:val="24"/>
          <w:szCs w:val="24"/>
          <w:lang w:val="en-US" w:eastAsia="zh-CN"/>
        </w:rPr>
        <w:t>收液量小于注液量，废水经处理后全部回用不外排</w:t>
      </w:r>
      <w:r>
        <w:rPr>
          <w:rFonts w:hint="eastAsia" w:cs="Times New Roman"/>
          <w:color w:val="auto"/>
          <w:sz w:val="24"/>
          <w:szCs w:val="24"/>
          <w:lang w:val="en-US" w:eastAsia="zh-CN"/>
        </w:rPr>
        <w:t>，还需要补充部分新水</w:t>
      </w:r>
      <w:r>
        <w:rPr>
          <w:rFonts w:hint="eastAsia" w:ascii="Times New Roman" w:hAnsi="Times New Roman" w:cs="Times New Roman"/>
          <w:color w:val="auto"/>
          <w:sz w:val="24"/>
          <w:szCs w:val="24"/>
          <w:lang w:val="en-US" w:eastAsia="zh-CN"/>
        </w:rPr>
        <w:t>。</w:t>
      </w:r>
      <w:r>
        <w:rPr>
          <w:rFonts w:hint="eastAsia" w:cs="Times New Roman"/>
          <w:color w:val="auto"/>
          <w:sz w:val="24"/>
          <w:szCs w:val="24"/>
          <w:lang w:val="en-US" w:eastAsia="zh-CN"/>
        </w:rPr>
        <w:t>在降雨情况下，虽设置了避水沟、排水沟等措施，仍有部分雨水进入生产系统，导致降雨期出现收液量大于注液量的情况，目前江华稀土矿区统计降雨期日收液量约比注液量高</w:t>
      </w:r>
      <w:r>
        <w:rPr>
          <w:rFonts w:hint="eastAsia" w:ascii="Times New Roman" w:hAnsi="Times New Roman" w:cs="Times New Roman"/>
          <w:color w:val="auto"/>
          <w:sz w:val="24"/>
          <w:szCs w:val="24"/>
          <w:lang w:val="en-US" w:eastAsia="zh-CN"/>
        </w:rPr>
        <w:t>1500-1800m³/d</w:t>
      </w:r>
      <w:r>
        <w:rPr>
          <w:rFonts w:hint="eastAsia" w:cs="Times New Roman"/>
          <w:color w:val="auto"/>
          <w:sz w:val="24"/>
          <w:szCs w:val="24"/>
          <w:lang w:val="en-US" w:eastAsia="zh-CN"/>
        </w:rPr>
        <w:t>，多出的水量须经生化法污水处理设施处理后达标排放</w:t>
      </w:r>
      <w:r>
        <w:rPr>
          <w:rFonts w:hint="eastAsia" w:ascii="Times New Roman" w:hAnsi="Times New Roman" w:cs="Times New Roman"/>
          <w:color w:val="auto"/>
          <w:sz w:val="24"/>
          <w:szCs w:val="24"/>
          <w:lang w:val="en-US" w:eastAsia="zh-CN"/>
        </w:rPr>
        <w:t>，全年降雨60天计算，全年生产2000tREO，折算约排放45~54m³/d</w:t>
      </w:r>
      <w:r>
        <w:rPr>
          <w:rFonts w:hint="eastAsia" w:cs="Times New Roman"/>
          <w:color w:val="auto"/>
          <w:sz w:val="24"/>
          <w:szCs w:val="24"/>
          <w:lang w:val="en-US" w:eastAsia="zh-CN"/>
        </w:rPr>
        <w:t>，因此，本标准</w:t>
      </w:r>
      <w:r>
        <w:rPr>
          <w:rFonts w:hint="eastAsia" w:ascii="Times New Roman" w:hAnsi="Times New Roman" w:cs="Times New Roman"/>
          <w:color w:val="auto"/>
          <w:sz w:val="24"/>
          <w:szCs w:val="24"/>
          <w:lang w:val="en-US" w:eastAsia="zh-CN"/>
        </w:rPr>
        <w:t>结合矿山生产实际，定为60</w:t>
      </w:r>
      <w:r>
        <w:rPr>
          <w:rFonts w:hint="eastAsia" w:ascii="Times New Roman" w:hAnsi="Times New Roman" w:eastAsia="宋体" w:cs="Times New Roman"/>
          <w:color w:val="auto"/>
          <w:sz w:val="24"/>
          <w:szCs w:val="24"/>
          <w:lang w:val="en-US" w:eastAsia="zh-CN"/>
        </w:rPr>
        <w:t>吨/吨-</w:t>
      </w:r>
      <w:r>
        <w:rPr>
          <w:rFonts w:hint="eastAsia" w:ascii="Times New Roman" w:hAnsi="Times New Roman" w:cs="Times New Roman"/>
          <w:color w:val="auto"/>
          <w:sz w:val="24"/>
          <w:szCs w:val="24"/>
          <w:lang w:val="en-US" w:eastAsia="zh-CN"/>
        </w:rPr>
        <w:t>REO。</w:t>
      </w:r>
    </w:p>
    <w:p>
      <w:pPr>
        <w:pStyle w:val="3"/>
      </w:pPr>
      <w:bookmarkStart w:id="50" w:name="_Toc18336"/>
      <w:r>
        <w:rPr>
          <w:rFonts w:hint="eastAsia"/>
        </w:rPr>
        <w:t>水污染物控制措施的确定</w:t>
      </w:r>
      <w:bookmarkEnd w:id="50"/>
    </w:p>
    <w:p>
      <w:pPr>
        <w:spacing w:line="360" w:lineRule="auto"/>
        <w:ind w:firstLine="480" w:firstLineChars="200"/>
        <w:rPr>
          <w:sz w:val="24"/>
          <w:szCs w:val="24"/>
        </w:rPr>
      </w:pPr>
      <w:r>
        <w:rPr>
          <w:rFonts w:hint="eastAsia"/>
          <w:sz w:val="24"/>
          <w:szCs w:val="24"/>
        </w:rPr>
        <w:t>我国南方离子型稀土矿的赋存和开采方式与其他矿体有很大的差别，离子型稀土赋存分散，点多面广，厚度不大，品位较低。原地浸矿采场的施工、浸矿、收液时间较短，一般每个采场的生产周期大约1年。离子型稀土矿原地浸矿开采对环境的影响主要为地下水和地表水环境，主要原因是采场浸矿稀土母液和浸矿剂等受水文地质条件限制难以完全回收，通过矿层下部底板裂隙等优势通道渗漏进入下游地下水体，并随着地下水迁移，矿区地下水与地表水水力联系密切，因此，原地浸矿开采工艺对地下水和地表水环境存在一定的污染风险。</w:t>
      </w:r>
    </w:p>
    <w:p>
      <w:pPr>
        <w:spacing w:line="360" w:lineRule="auto"/>
        <w:ind w:firstLine="480" w:firstLineChars="200"/>
        <w:rPr>
          <w:sz w:val="24"/>
          <w:szCs w:val="24"/>
        </w:rPr>
      </w:pPr>
      <w:r>
        <w:rPr>
          <w:rFonts w:hint="eastAsia"/>
          <w:sz w:val="24"/>
          <w:szCs w:val="24"/>
        </w:rPr>
        <w:t>离子型稀土矿水污染防控措施的最终目标是恢复矿区内地表水地下水的环境功能和使用功能，但受原地浸矿开采工艺特点等客观条件的限制，将风险管控作为阶段性目标是必要的，通过采取水污染风险管控措施，控制矿区内水污染扩散，阻断矿区外水污染暴露途径，防止对矿区一定范围外的水环境产生影响，这也符合目前《污染地块地下水修复和风险管控技术导则》（HJ 25.6-2019）中水污染防控的总体思路。</w:t>
      </w:r>
    </w:p>
    <w:p>
      <w:pPr>
        <w:spacing w:line="360" w:lineRule="auto"/>
        <w:ind w:firstLine="480" w:firstLineChars="200"/>
        <w:rPr>
          <w:sz w:val="24"/>
          <w:szCs w:val="24"/>
        </w:rPr>
      </w:pPr>
      <w:r>
        <w:rPr>
          <w:rFonts w:hint="eastAsia"/>
          <w:sz w:val="24"/>
          <w:szCs w:val="24"/>
        </w:rPr>
        <w:t>整体而言，离子型稀土矿原地浸矿开采涉及水环境范围大、影响远，单独的环保措施难以形成联防联控的作用。编制组通过广泛调研赣州稀土矿业有限公司龙南和定南稀土矿、中稀（湖南）稀土开发有限公司江华稀土矿、广晟有色金属股份有限公司平远华企稀土矿山等典型在产离子型稀土矿现有水污染防控措施，并结合国内主流咨询设计、水污染处理和矿山生态修复等各领域相关单位多年在离子型稀土矿开展的设计、环评和污染防治工程经验，系统构建了以“源头消减控制、过程管控预警、末端风险应急”为核心的水污染防控体系（</w:t>
      </w:r>
      <w:r>
        <w:rPr>
          <w:sz w:val="24"/>
          <w:szCs w:val="24"/>
        </w:rPr>
        <w:fldChar w:fldCharType="begin"/>
      </w:r>
      <w:r>
        <w:rPr>
          <w:sz w:val="24"/>
          <w:szCs w:val="24"/>
        </w:rPr>
        <w:instrText xml:space="preserve"> </w:instrText>
      </w:r>
      <w:r>
        <w:rPr>
          <w:rFonts w:hint="eastAsia"/>
          <w:sz w:val="24"/>
          <w:szCs w:val="24"/>
        </w:rPr>
        <w:instrText xml:space="preserve">REF _Ref140838284 \h</w:instrText>
      </w:r>
      <w:r>
        <w:rPr>
          <w:sz w:val="24"/>
          <w:szCs w:val="24"/>
        </w:rPr>
        <w:instrText xml:space="preserve">  \* MERGEFORMAT </w:instrText>
      </w:r>
      <w:r>
        <w:rPr>
          <w:sz w:val="24"/>
          <w:szCs w:val="24"/>
        </w:rPr>
        <w:fldChar w:fldCharType="separate"/>
      </w:r>
      <w:r>
        <w:rPr>
          <w:sz w:val="24"/>
          <w:szCs w:val="24"/>
        </w:rPr>
        <w:t>图 4</w:t>
      </w:r>
      <w:r>
        <w:rPr>
          <w:sz w:val="24"/>
          <w:szCs w:val="24"/>
        </w:rPr>
        <w:noBreakHyphen/>
      </w:r>
      <w:r>
        <w:rPr>
          <w:sz w:val="24"/>
          <w:szCs w:val="24"/>
        </w:rPr>
        <w:t>1</w:t>
      </w:r>
      <w:r>
        <w:rPr>
          <w:sz w:val="24"/>
          <w:szCs w:val="24"/>
        </w:rPr>
        <w:fldChar w:fldCharType="end"/>
      </w:r>
      <w:r>
        <w:rPr>
          <w:rFonts w:hint="eastAsia"/>
          <w:sz w:val="24"/>
          <w:szCs w:val="24"/>
        </w:rPr>
        <w:t>），并在多个矿山企业进行实践应用，取得了较好的水污染防控效果。</w:t>
      </w:r>
    </w:p>
    <w:p>
      <w:pPr>
        <w:spacing w:line="360" w:lineRule="auto"/>
        <w:ind w:firstLine="480" w:firstLineChars="200"/>
        <w:rPr>
          <w:sz w:val="24"/>
          <w:szCs w:val="24"/>
        </w:rPr>
      </w:pPr>
      <w:r>
        <w:rPr>
          <w:rFonts w:hint="eastAsia"/>
          <w:sz w:val="24"/>
          <w:szCs w:val="24"/>
        </w:rPr>
        <w:t>基于上述工作，本项标准给出了离子型稀土矿原地浸矿水污染控制措施的基本要求，以及在源头削减控制、过程监管预警和末端风险防控等方面具体措施。</w:t>
      </w:r>
    </w:p>
    <w:p>
      <w:pPr>
        <w:pStyle w:val="14"/>
      </w:pPr>
      <w:r>
        <w:drawing>
          <wp:inline distT="0" distB="0" distL="0" distR="0">
            <wp:extent cx="4895850" cy="585851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897175" cy="5860573"/>
                    </a:xfrm>
                    <a:prstGeom prst="rect">
                      <a:avLst/>
                    </a:prstGeom>
                    <a:noFill/>
                    <a:ln>
                      <a:noFill/>
                    </a:ln>
                  </pic:spPr>
                </pic:pic>
              </a:graphicData>
            </a:graphic>
          </wp:inline>
        </w:drawing>
      </w:r>
    </w:p>
    <w:p>
      <w:pPr>
        <w:pStyle w:val="38"/>
      </w:pPr>
      <w:bookmarkStart w:id="51" w:name="_Ref140838284"/>
      <w:r>
        <w:t xml:space="preserve">图 </w:t>
      </w:r>
      <w:r>
        <w:fldChar w:fldCharType="begin"/>
      </w:r>
      <w:r>
        <w:instrText xml:space="preserve"> STYLEREF 1 \s </w:instrText>
      </w:r>
      <w:r>
        <w:fldChar w:fldCharType="separate"/>
      </w:r>
      <w:r>
        <w:t>4</w:t>
      </w:r>
      <w:r>
        <w:fldChar w:fldCharType="end"/>
      </w:r>
      <w:r>
        <w:noBreakHyphen/>
      </w:r>
      <w:r>
        <w:fldChar w:fldCharType="begin"/>
      </w:r>
      <w:r>
        <w:instrText xml:space="preserve"> SEQ 图 \* ARABIC \s 1 </w:instrText>
      </w:r>
      <w:r>
        <w:fldChar w:fldCharType="separate"/>
      </w:r>
      <w:r>
        <w:t>1</w:t>
      </w:r>
      <w:r>
        <w:fldChar w:fldCharType="end"/>
      </w:r>
      <w:bookmarkEnd w:id="51"/>
      <w:r>
        <w:t xml:space="preserve">  </w:t>
      </w:r>
      <w:r>
        <w:rPr>
          <w:rFonts w:hint="eastAsia"/>
        </w:rPr>
        <w:t>离子型稀土矿原地浸矿水污染控制措施体系</w:t>
      </w:r>
    </w:p>
    <w:p>
      <w:pPr>
        <w:pStyle w:val="4"/>
        <w:tabs>
          <w:tab w:val="clear" w:pos="360"/>
        </w:tabs>
      </w:pPr>
      <w:bookmarkStart w:id="52" w:name="_Toc3270"/>
      <w:r>
        <w:rPr>
          <w:rFonts w:hint="eastAsia"/>
        </w:rPr>
        <w:t>水污染控制措施基本要求</w:t>
      </w:r>
      <w:bookmarkEnd w:id="52"/>
    </w:p>
    <w:p>
      <w:pPr>
        <w:spacing w:line="360" w:lineRule="auto"/>
        <w:ind w:firstLine="480" w:firstLineChars="200"/>
        <w:rPr>
          <w:rFonts w:asciiTheme="minorEastAsia" w:hAnsiTheme="minorEastAsia" w:eastAsiaTheme="minorEastAsia"/>
          <w:sz w:val="24"/>
        </w:rPr>
      </w:pPr>
      <w:r>
        <w:rPr>
          <w:rFonts w:hint="eastAsia"/>
          <w:sz w:val="24"/>
          <w:szCs w:val="24"/>
        </w:rPr>
        <w:t>本标准根据现有技术水平和主流水污染防控原则方法，结合离子型稀土矿水污染控制的实践经验，给出了离子型稀土矿原地浸矿水污染控制应遵循的原则和路径，结合矿区实际环境水文地质条件，系统构建适用于各自矿区的水污染防控体系。同时，对原地浸矿开采区选址、规划浸采范围和顺序、控制浸采强度等方面给出了原则性的要求。并要求离子型稀土矿开采企业在开采过程中进行精细化环境管理和水污染防控，采取有效措施减少水污染渗漏扩散，提高水资源循环利用水平，确保水环境管控断面达到相应的排放控制限值和水环境质量达标断面满足环境质量要求。</w:t>
      </w:r>
    </w:p>
    <w:p>
      <w:pPr>
        <w:pStyle w:val="4"/>
        <w:tabs>
          <w:tab w:val="clear" w:pos="360"/>
        </w:tabs>
        <w:rPr>
          <w:rFonts w:hint="eastAsia"/>
        </w:rPr>
      </w:pPr>
      <w:bookmarkStart w:id="53" w:name="_Toc31998"/>
      <w:r>
        <w:rPr>
          <w:rFonts w:hint="eastAsia"/>
        </w:rPr>
        <w:t>水污染源头削减控制措施</w:t>
      </w:r>
      <w:bookmarkEnd w:id="53"/>
    </w:p>
    <w:p>
      <w:pPr>
        <w:spacing w:line="360" w:lineRule="auto"/>
        <w:ind w:firstLine="480" w:firstLineChars="200"/>
        <w:rPr>
          <w:sz w:val="24"/>
          <w:szCs w:val="24"/>
        </w:rPr>
      </w:pPr>
      <w:r>
        <w:rPr>
          <w:rFonts w:hint="eastAsia"/>
          <w:sz w:val="24"/>
          <w:szCs w:val="24"/>
        </w:rPr>
        <w:t>针对源头削减控制措施，本标准提出了浸采区清污分流和稀土母液处理车间雨污分流措施。即在浸采区收液系统的上方设置内部避水沟，将山体地表径流收集进入避水沟；在收液沟外部设置排水沟，将雨水和山泉水收集入排水沟；或将收液沟外侧壁设置高于地面20-30cm，防止外侧雨水进入收液沟。上述措施均可以防止山体的清水径流汇入母液收集系统与稀土母液混合。对稀土母液处理车间设置溢流导排设施，防止因工艺池体液体溢流造成水环境污染，根据车间整体的坡度和布局设置雨水导排设施，防止雨水进入工艺池体或者造成水土流失。</w:t>
      </w:r>
    </w:p>
    <w:p>
      <w:pPr>
        <w:spacing w:line="360" w:lineRule="auto"/>
        <w:ind w:firstLine="480" w:firstLineChars="200"/>
        <w:rPr>
          <w:sz w:val="24"/>
          <w:szCs w:val="24"/>
        </w:rPr>
      </w:pPr>
      <w:r>
        <w:rPr>
          <w:rFonts w:hint="eastAsia"/>
          <w:sz w:val="24"/>
          <w:szCs w:val="24"/>
        </w:rPr>
        <w:t>针对稀土母液和受污染水体渗漏污染地下水，本标准提出应进行地下水分区防渗。即根据场地水文地质条件和包气带防污性能，结合工程建设设计标准和《环境影响评价技术导则 地下水环境》HJ 610-2016的分区防渗要求，可将整个场地分为重点防渗区、一般防渗区和简单防渗区。离子型稀土矿采场收液系统（集液巷道、收液沟、集液池等）一般为临时性工程，且为了利于收液需开挖至基岩底板，因此收液系统天然底板通常渗透性较差且易于污染控制，按照一般防渗要求进行防渗即可。对于沟谷第四系覆盖层较厚的特殊地区可按重点防渗区要求进行防渗。对于车间工艺池体（母液池、除杂池、沉淀池、产品池、配液池、污水池等）、硫酸储罐区和污泥暂存区等需要长期连续使用的设施应按重点防渗区要求进行防渗，具体见</w:t>
      </w:r>
      <w:r>
        <w:rPr>
          <w:sz w:val="24"/>
          <w:szCs w:val="24"/>
        </w:rPr>
        <w:fldChar w:fldCharType="begin"/>
      </w:r>
      <w:r>
        <w:rPr>
          <w:sz w:val="24"/>
          <w:szCs w:val="24"/>
        </w:rPr>
        <w:instrText xml:space="preserve"> </w:instrText>
      </w:r>
      <w:r>
        <w:rPr>
          <w:rFonts w:hint="eastAsia"/>
          <w:sz w:val="24"/>
          <w:szCs w:val="24"/>
        </w:rPr>
        <w:instrText xml:space="preserve">REF _Ref140838402 \h</w:instrText>
      </w:r>
      <w:r>
        <w:rPr>
          <w:sz w:val="24"/>
          <w:szCs w:val="24"/>
        </w:rPr>
        <w:instrText xml:space="preserve">  \* MERGEFORMAT </w:instrText>
      </w:r>
      <w:r>
        <w:rPr>
          <w:sz w:val="24"/>
          <w:szCs w:val="24"/>
        </w:rPr>
        <w:fldChar w:fldCharType="separate"/>
      </w:r>
      <w:r>
        <w:rPr>
          <w:rFonts w:hint="eastAsia"/>
          <w:sz w:val="24"/>
          <w:szCs w:val="24"/>
        </w:rPr>
        <w:t xml:space="preserve">表 </w:t>
      </w:r>
      <w:r>
        <w:rPr>
          <w:sz w:val="24"/>
          <w:szCs w:val="24"/>
        </w:rPr>
        <w:t>4</w:t>
      </w:r>
      <w:r>
        <w:rPr>
          <w:sz w:val="24"/>
          <w:szCs w:val="24"/>
        </w:rPr>
        <w:noBreakHyphen/>
      </w:r>
      <w:r>
        <w:rPr>
          <w:sz w:val="24"/>
          <w:szCs w:val="24"/>
        </w:rPr>
        <w:t>2</w:t>
      </w:r>
      <w:r>
        <w:rPr>
          <w:sz w:val="24"/>
          <w:szCs w:val="24"/>
        </w:rPr>
        <w:fldChar w:fldCharType="end"/>
      </w:r>
      <w:r>
        <w:rPr>
          <w:rFonts w:hint="eastAsia"/>
          <w:sz w:val="24"/>
          <w:szCs w:val="24"/>
        </w:rPr>
        <w:t>和</w:t>
      </w:r>
      <w:r>
        <w:rPr>
          <w:sz w:val="24"/>
          <w:szCs w:val="24"/>
        </w:rPr>
        <w:fldChar w:fldCharType="begin"/>
      </w:r>
      <w:r>
        <w:rPr>
          <w:sz w:val="24"/>
          <w:szCs w:val="24"/>
        </w:rPr>
        <w:instrText xml:space="preserve"> </w:instrText>
      </w:r>
      <w:r>
        <w:rPr>
          <w:rFonts w:hint="eastAsia"/>
          <w:sz w:val="24"/>
          <w:szCs w:val="24"/>
        </w:rPr>
        <w:instrText xml:space="preserve">REF _Ref140838410 \h</w:instrText>
      </w:r>
      <w:r>
        <w:rPr>
          <w:sz w:val="24"/>
          <w:szCs w:val="24"/>
        </w:rPr>
        <w:instrText xml:space="preserve">  \* MERGEFORMAT </w:instrText>
      </w:r>
      <w:r>
        <w:rPr>
          <w:sz w:val="24"/>
          <w:szCs w:val="24"/>
        </w:rPr>
        <w:fldChar w:fldCharType="separate"/>
      </w:r>
      <w:r>
        <w:rPr>
          <w:sz w:val="24"/>
          <w:szCs w:val="24"/>
        </w:rPr>
        <w:t>表 4</w:t>
      </w:r>
      <w:r>
        <w:rPr>
          <w:sz w:val="24"/>
          <w:szCs w:val="24"/>
        </w:rPr>
        <w:noBreakHyphen/>
      </w:r>
      <w:r>
        <w:rPr>
          <w:sz w:val="24"/>
          <w:szCs w:val="24"/>
        </w:rPr>
        <w:t>3</w:t>
      </w:r>
      <w:r>
        <w:rPr>
          <w:sz w:val="24"/>
          <w:szCs w:val="24"/>
        </w:rPr>
        <w:fldChar w:fldCharType="end"/>
      </w:r>
      <w:r>
        <w:rPr>
          <w:rFonts w:hint="eastAsia"/>
          <w:sz w:val="24"/>
          <w:szCs w:val="24"/>
        </w:rPr>
        <w:t>。</w:t>
      </w:r>
    </w:p>
    <w:p>
      <w:pPr>
        <w:pStyle w:val="38"/>
      </w:pPr>
      <w:bookmarkStart w:id="54" w:name="_Ref140838402"/>
      <w:r>
        <w:rPr>
          <w:rFonts w:hint="eastAsia"/>
        </w:rPr>
        <w:t xml:space="preserve">表 </w:t>
      </w:r>
      <w:r>
        <w:fldChar w:fldCharType="begin"/>
      </w:r>
      <w:r>
        <w:instrText xml:space="preserve"> </w:instrText>
      </w:r>
      <w:r>
        <w:rPr>
          <w:rFonts w:hint="eastAsia"/>
        </w:rPr>
        <w:instrText xml:space="preserve">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表 \* ARABIC \s 1</w:instrText>
      </w:r>
      <w:r>
        <w:instrText xml:space="preserve"> </w:instrText>
      </w:r>
      <w:r>
        <w:fldChar w:fldCharType="separate"/>
      </w:r>
      <w:r>
        <w:t>2</w:t>
      </w:r>
      <w:r>
        <w:fldChar w:fldCharType="end"/>
      </w:r>
      <w:bookmarkEnd w:id="54"/>
      <w:r>
        <w:t xml:space="preserve"> </w:t>
      </w:r>
      <w:r>
        <w:rPr>
          <w:rFonts w:hint="eastAsia"/>
        </w:rPr>
        <w:t>地下水污染防渗分区判别依据</w:t>
      </w:r>
    </w:p>
    <w:tbl>
      <w:tblPr>
        <w:tblStyle w:val="22"/>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1559"/>
        <w:gridCol w:w="1276"/>
        <w:gridCol w:w="1559"/>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trPr>
        <w:tc>
          <w:tcPr>
            <w:tcW w:w="851" w:type="dxa"/>
            <w:shd w:val="clear" w:color="auto" w:fill="FFFFFF"/>
            <w:vAlign w:val="bottom"/>
          </w:tcPr>
          <w:p>
            <w:pPr>
              <w:pStyle w:val="39"/>
              <w:rPr>
                <w:rFonts w:eastAsia="Times New Roman"/>
                <w:sz w:val="21"/>
                <w:szCs w:val="16"/>
              </w:rPr>
            </w:pPr>
            <w:r>
              <w:rPr>
                <w:rFonts w:hint="eastAsia"/>
                <w:sz w:val="21"/>
                <w:szCs w:val="16"/>
                <w:lang w:val="zh-TW" w:eastAsia="zh-TW"/>
              </w:rPr>
              <w:t>防渗分</w:t>
            </w:r>
          </w:p>
          <w:p>
            <w:pPr>
              <w:pStyle w:val="39"/>
              <w:rPr>
                <w:rFonts w:eastAsia="Times New Roman"/>
                <w:sz w:val="21"/>
                <w:szCs w:val="16"/>
              </w:rPr>
            </w:pPr>
            <w:r>
              <w:rPr>
                <w:rFonts w:hint="eastAsia"/>
                <w:sz w:val="21"/>
                <w:szCs w:val="16"/>
                <w:lang w:val="zh-TW" w:eastAsia="zh-TW"/>
              </w:rPr>
              <w:t>区</w:t>
            </w:r>
          </w:p>
        </w:tc>
        <w:tc>
          <w:tcPr>
            <w:tcW w:w="1559" w:type="dxa"/>
            <w:shd w:val="clear" w:color="auto" w:fill="FFFFFF"/>
            <w:vAlign w:val="bottom"/>
          </w:tcPr>
          <w:p>
            <w:pPr>
              <w:pStyle w:val="39"/>
              <w:rPr>
                <w:rFonts w:eastAsia="Times New Roman"/>
                <w:sz w:val="21"/>
                <w:szCs w:val="16"/>
              </w:rPr>
            </w:pPr>
            <w:r>
              <w:rPr>
                <w:rFonts w:hint="eastAsia"/>
                <w:sz w:val="21"/>
                <w:szCs w:val="16"/>
                <w:lang w:val="zh-TW" w:eastAsia="zh-TW"/>
              </w:rPr>
              <w:t>天然包气带防污性能</w:t>
            </w:r>
          </w:p>
        </w:tc>
        <w:tc>
          <w:tcPr>
            <w:tcW w:w="1276" w:type="dxa"/>
            <w:shd w:val="clear" w:color="auto" w:fill="FFFFFF"/>
            <w:vAlign w:val="bottom"/>
          </w:tcPr>
          <w:p>
            <w:pPr>
              <w:pStyle w:val="39"/>
              <w:rPr>
                <w:rFonts w:eastAsia="Times New Roman"/>
                <w:sz w:val="21"/>
                <w:szCs w:val="16"/>
              </w:rPr>
            </w:pPr>
            <w:r>
              <w:rPr>
                <w:rFonts w:hint="eastAsia"/>
                <w:sz w:val="21"/>
                <w:szCs w:val="16"/>
                <w:lang w:val="zh-TW" w:eastAsia="zh-TW"/>
              </w:rPr>
              <w:t>污染控制难易程度</w:t>
            </w:r>
          </w:p>
        </w:tc>
        <w:tc>
          <w:tcPr>
            <w:tcW w:w="1559" w:type="dxa"/>
            <w:shd w:val="clear" w:color="auto" w:fill="FFFFFF"/>
            <w:vAlign w:val="center"/>
          </w:tcPr>
          <w:p>
            <w:pPr>
              <w:pStyle w:val="39"/>
              <w:rPr>
                <w:rFonts w:eastAsia="Times New Roman"/>
                <w:sz w:val="21"/>
                <w:szCs w:val="16"/>
              </w:rPr>
            </w:pPr>
            <w:r>
              <w:rPr>
                <w:rFonts w:hint="eastAsia"/>
                <w:sz w:val="21"/>
                <w:szCs w:val="16"/>
                <w:lang w:val="zh-TW" w:eastAsia="zh-TW"/>
              </w:rPr>
              <w:t>污染物类型</w:t>
            </w:r>
          </w:p>
        </w:tc>
        <w:tc>
          <w:tcPr>
            <w:tcW w:w="2977" w:type="dxa"/>
            <w:shd w:val="clear" w:color="auto" w:fill="FFFFFF"/>
            <w:vAlign w:val="center"/>
          </w:tcPr>
          <w:p>
            <w:pPr>
              <w:pStyle w:val="39"/>
              <w:rPr>
                <w:rFonts w:eastAsia="Times New Roman"/>
                <w:sz w:val="21"/>
                <w:szCs w:val="16"/>
              </w:rPr>
            </w:pPr>
            <w:r>
              <w:rPr>
                <w:rFonts w:hint="eastAsia"/>
                <w:sz w:val="21"/>
                <w:szCs w:val="16"/>
                <w:lang w:val="zh-TW" w:eastAsia="zh-TW"/>
              </w:rPr>
              <w:t>防渗技术要求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trPr>
        <w:tc>
          <w:tcPr>
            <w:tcW w:w="851" w:type="dxa"/>
            <w:vMerge w:val="restart"/>
            <w:shd w:val="clear" w:color="auto" w:fill="FFFFFF"/>
            <w:vAlign w:val="center"/>
          </w:tcPr>
          <w:p>
            <w:pPr>
              <w:pStyle w:val="39"/>
              <w:rPr>
                <w:rFonts w:eastAsia="Times New Roman"/>
                <w:sz w:val="21"/>
                <w:szCs w:val="16"/>
              </w:rPr>
            </w:pPr>
            <w:r>
              <w:rPr>
                <w:rFonts w:hint="eastAsia"/>
                <w:sz w:val="21"/>
                <w:szCs w:val="16"/>
                <w:lang w:val="zh-TW" w:eastAsia="zh-TW"/>
              </w:rPr>
              <w:t>重点防</w:t>
            </w:r>
          </w:p>
          <w:p>
            <w:pPr>
              <w:pStyle w:val="39"/>
              <w:rPr>
                <w:rFonts w:eastAsia="Times New Roman"/>
                <w:sz w:val="21"/>
                <w:szCs w:val="16"/>
              </w:rPr>
            </w:pPr>
            <w:r>
              <w:rPr>
                <w:rFonts w:hint="eastAsia"/>
                <w:sz w:val="21"/>
                <w:szCs w:val="16"/>
                <w:lang w:val="zh-TW" w:eastAsia="zh-TW"/>
              </w:rPr>
              <w:t>渗区</w:t>
            </w:r>
          </w:p>
        </w:tc>
        <w:tc>
          <w:tcPr>
            <w:tcW w:w="1559" w:type="dxa"/>
            <w:shd w:val="clear" w:color="auto" w:fill="FFFFFF"/>
            <w:vAlign w:val="bottom"/>
          </w:tcPr>
          <w:p>
            <w:pPr>
              <w:pStyle w:val="39"/>
              <w:rPr>
                <w:rFonts w:eastAsia="Times New Roman"/>
                <w:sz w:val="21"/>
                <w:szCs w:val="16"/>
              </w:rPr>
            </w:pPr>
            <w:r>
              <w:rPr>
                <w:rFonts w:hint="eastAsia"/>
                <w:sz w:val="21"/>
                <w:szCs w:val="16"/>
                <w:lang w:val="zh-TW" w:eastAsia="zh-TW"/>
              </w:rPr>
              <w:t>强</w:t>
            </w:r>
          </w:p>
        </w:tc>
        <w:tc>
          <w:tcPr>
            <w:tcW w:w="1276" w:type="dxa"/>
            <w:shd w:val="clear" w:color="auto" w:fill="FFFFFF"/>
            <w:vAlign w:val="bottom"/>
          </w:tcPr>
          <w:p>
            <w:pPr>
              <w:pStyle w:val="39"/>
              <w:rPr>
                <w:rFonts w:eastAsia="Times New Roman"/>
                <w:sz w:val="21"/>
                <w:szCs w:val="16"/>
              </w:rPr>
            </w:pPr>
            <w:r>
              <w:rPr>
                <w:rFonts w:hint="eastAsia"/>
                <w:sz w:val="21"/>
                <w:szCs w:val="16"/>
                <w:lang w:val="zh-TW" w:eastAsia="zh-TW"/>
              </w:rPr>
              <w:t>难</w:t>
            </w:r>
          </w:p>
        </w:tc>
        <w:tc>
          <w:tcPr>
            <w:tcW w:w="1559" w:type="dxa"/>
            <w:vMerge w:val="restart"/>
            <w:shd w:val="clear" w:color="auto" w:fill="FFFFFF"/>
            <w:vAlign w:val="center"/>
          </w:tcPr>
          <w:p>
            <w:pPr>
              <w:pStyle w:val="39"/>
              <w:rPr>
                <w:rFonts w:eastAsia="Times New Roman"/>
                <w:sz w:val="21"/>
                <w:szCs w:val="16"/>
              </w:rPr>
            </w:pPr>
            <w:r>
              <w:rPr>
                <w:rFonts w:hint="eastAsia"/>
                <w:sz w:val="21"/>
                <w:szCs w:val="16"/>
                <w:lang w:val="zh-TW" w:eastAsia="zh-TW"/>
              </w:rPr>
              <w:t>重金属、持久性有机物污染物</w:t>
            </w:r>
          </w:p>
        </w:tc>
        <w:tc>
          <w:tcPr>
            <w:tcW w:w="2977" w:type="dxa"/>
            <w:vMerge w:val="restart"/>
            <w:shd w:val="clear" w:color="auto" w:fill="FFFFFF"/>
            <w:vAlign w:val="center"/>
          </w:tcPr>
          <w:p>
            <w:pPr>
              <w:pStyle w:val="39"/>
              <w:rPr>
                <w:rFonts w:eastAsia="Times New Roman"/>
                <w:sz w:val="21"/>
                <w:szCs w:val="16"/>
              </w:rPr>
            </w:pPr>
            <w:r>
              <w:rPr>
                <w:sz w:val="21"/>
                <w:szCs w:val="16"/>
              </w:rPr>
              <w:t>等效黏土防渗层Mb≥6.0m，渗透系数K≤1.0×10</w:t>
            </w:r>
            <w:r>
              <w:rPr>
                <w:sz w:val="21"/>
                <w:szCs w:val="16"/>
                <w:vertAlign w:val="superscript"/>
              </w:rPr>
              <w:t>-7</w:t>
            </w:r>
            <w:r>
              <w:rPr>
                <w:sz w:val="21"/>
                <w:szCs w:val="16"/>
              </w:rPr>
              <w:t>cm/s；或参照GB18598执行。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trPr>
        <w:tc>
          <w:tcPr>
            <w:tcW w:w="851" w:type="dxa"/>
            <w:vMerge w:val="continue"/>
            <w:shd w:val="clear" w:color="auto" w:fill="FFFFFF"/>
            <w:vAlign w:val="center"/>
          </w:tcPr>
          <w:p>
            <w:pPr>
              <w:pStyle w:val="39"/>
              <w:rPr>
                <w:rFonts w:eastAsia="Times New Roman"/>
                <w:sz w:val="21"/>
                <w:szCs w:val="16"/>
              </w:rPr>
            </w:pPr>
          </w:p>
        </w:tc>
        <w:tc>
          <w:tcPr>
            <w:tcW w:w="1559" w:type="dxa"/>
            <w:shd w:val="clear" w:color="auto" w:fill="FFFFFF"/>
          </w:tcPr>
          <w:p>
            <w:pPr>
              <w:pStyle w:val="39"/>
              <w:rPr>
                <w:rFonts w:eastAsia="Times New Roman"/>
                <w:sz w:val="21"/>
                <w:szCs w:val="16"/>
              </w:rPr>
            </w:pPr>
            <w:r>
              <w:rPr>
                <w:rFonts w:hint="eastAsia"/>
                <w:sz w:val="21"/>
                <w:szCs w:val="16"/>
                <w:lang w:val="zh-TW" w:eastAsia="zh-TW"/>
              </w:rPr>
              <w:t>中</w:t>
            </w:r>
            <w:r>
              <w:rPr>
                <w:sz w:val="21"/>
                <w:szCs w:val="16"/>
                <w:lang w:val="zh-TW" w:eastAsia="zh-TW"/>
              </w:rPr>
              <w:t>-</w:t>
            </w:r>
            <w:r>
              <w:rPr>
                <w:rFonts w:hint="eastAsia"/>
                <w:sz w:val="21"/>
                <w:szCs w:val="16"/>
                <w:lang w:val="zh-TW" w:eastAsia="zh-TW"/>
              </w:rPr>
              <w:t>强</w:t>
            </w:r>
          </w:p>
        </w:tc>
        <w:tc>
          <w:tcPr>
            <w:tcW w:w="1276" w:type="dxa"/>
            <w:shd w:val="clear" w:color="auto" w:fill="FFFFFF"/>
          </w:tcPr>
          <w:p>
            <w:pPr>
              <w:pStyle w:val="39"/>
              <w:rPr>
                <w:rFonts w:eastAsia="Times New Roman"/>
                <w:sz w:val="21"/>
                <w:szCs w:val="16"/>
              </w:rPr>
            </w:pPr>
            <w:r>
              <w:rPr>
                <w:rFonts w:hint="eastAsia"/>
                <w:sz w:val="21"/>
                <w:szCs w:val="16"/>
                <w:lang w:val="zh-TW" w:eastAsia="zh-TW"/>
              </w:rPr>
              <w:t>难</w:t>
            </w:r>
          </w:p>
        </w:tc>
        <w:tc>
          <w:tcPr>
            <w:tcW w:w="1559" w:type="dxa"/>
            <w:vMerge w:val="continue"/>
            <w:shd w:val="clear" w:color="auto" w:fill="FFFFFF"/>
            <w:vAlign w:val="center"/>
          </w:tcPr>
          <w:p>
            <w:pPr>
              <w:pStyle w:val="39"/>
              <w:rPr>
                <w:rFonts w:eastAsia="Times New Roman"/>
                <w:sz w:val="21"/>
                <w:szCs w:val="16"/>
              </w:rPr>
            </w:pPr>
          </w:p>
        </w:tc>
        <w:tc>
          <w:tcPr>
            <w:tcW w:w="2977" w:type="dxa"/>
            <w:vMerge w:val="continue"/>
            <w:shd w:val="clear" w:color="auto" w:fill="FFFFFF"/>
            <w:vAlign w:val="center"/>
          </w:tcPr>
          <w:p>
            <w:pPr>
              <w:pStyle w:val="39"/>
              <w:rPr>
                <w:rFonts w:eastAsia="Times New Roman"/>
                <w:sz w:val="21"/>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5" w:hRule="atLeast"/>
        </w:trPr>
        <w:tc>
          <w:tcPr>
            <w:tcW w:w="851" w:type="dxa"/>
            <w:vMerge w:val="continue"/>
            <w:shd w:val="clear" w:color="auto" w:fill="FFFFFF"/>
            <w:vAlign w:val="center"/>
          </w:tcPr>
          <w:p>
            <w:pPr>
              <w:pStyle w:val="39"/>
              <w:rPr>
                <w:rFonts w:eastAsia="Times New Roman"/>
                <w:sz w:val="21"/>
                <w:szCs w:val="16"/>
              </w:rPr>
            </w:pPr>
          </w:p>
        </w:tc>
        <w:tc>
          <w:tcPr>
            <w:tcW w:w="1559" w:type="dxa"/>
            <w:shd w:val="clear" w:color="auto" w:fill="auto"/>
            <w:vAlign w:val="center"/>
          </w:tcPr>
          <w:p>
            <w:pPr>
              <w:pStyle w:val="39"/>
              <w:rPr>
                <w:rFonts w:eastAsia="Times New Roman"/>
                <w:sz w:val="21"/>
                <w:szCs w:val="16"/>
              </w:rPr>
            </w:pPr>
            <w:r>
              <w:rPr>
                <w:rFonts w:hint="eastAsia"/>
                <w:sz w:val="21"/>
                <w:szCs w:val="16"/>
                <w:lang w:val="zh-TW" w:eastAsia="zh-TW"/>
              </w:rPr>
              <w:t>弱</w:t>
            </w:r>
          </w:p>
        </w:tc>
        <w:tc>
          <w:tcPr>
            <w:tcW w:w="1276" w:type="dxa"/>
            <w:shd w:val="clear" w:color="auto" w:fill="auto"/>
            <w:vAlign w:val="center"/>
          </w:tcPr>
          <w:p>
            <w:pPr>
              <w:pStyle w:val="39"/>
              <w:rPr>
                <w:rFonts w:eastAsia="Times New Roman"/>
                <w:sz w:val="21"/>
                <w:szCs w:val="16"/>
              </w:rPr>
            </w:pPr>
            <w:r>
              <w:rPr>
                <w:rFonts w:hint="eastAsia"/>
                <w:sz w:val="21"/>
                <w:szCs w:val="16"/>
                <w:lang w:val="zh-TW" w:eastAsia="zh-TW"/>
              </w:rPr>
              <w:t>易</w:t>
            </w:r>
          </w:p>
        </w:tc>
        <w:tc>
          <w:tcPr>
            <w:tcW w:w="1559" w:type="dxa"/>
            <w:vMerge w:val="continue"/>
            <w:shd w:val="clear" w:color="auto" w:fill="FFFFFF"/>
            <w:vAlign w:val="center"/>
          </w:tcPr>
          <w:p>
            <w:pPr>
              <w:pStyle w:val="39"/>
              <w:rPr>
                <w:rFonts w:eastAsia="Times New Roman"/>
                <w:sz w:val="21"/>
                <w:szCs w:val="16"/>
              </w:rPr>
            </w:pPr>
          </w:p>
        </w:tc>
        <w:tc>
          <w:tcPr>
            <w:tcW w:w="2977" w:type="dxa"/>
            <w:vMerge w:val="continue"/>
            <w:shd w:val="clear" w:color="auto" w:fill="FFFFFF"/>
            <w:vAlign w:val="center"/>
          </w:tcPr>
          <w:p>
            <w:pPr>
              <w:pStyle w:val="39"/>
              <w:rPr>
                <w:rFonts w:eastAsia="Times New Roman"/>
                <w:sz w:val="21"/>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trPr>
        <w:tc>
          <w:tcPr>
            <w:tcW w:w="851" w:type="dxa"/>
            <w:vMerge w:val="restart"/>
            <w:shd w:val="clear" w:color="auto" w:fill="FFFFFF"/>
            <w:vAlign w:val="center"/>
          </w:tcPr>
          <w:p>
            <w:pPr>
              <w:pStyle w:val="39"/>
              <w:rPr>
                <w:rFonts w:eastAsia="Times New Roman"/>
                <w:bCs/>
                <w:sz w:val="21"/>
                <w:szCs w:val="16"/>
              </w:rPr>
            </w:pPr>
            <w:r>
              <w:rPr>
                <w:rFonts w:hint="eastAsia"/>
                <w:bCs/>
                <w:sz w:val="21"/>
                <w:szCs w:val="16"/>
                <w:lang w:val="zh-TW" w:eastAsia="zh-TW"/>
              </w:rPr>
              <w:t>一般防</w:t>
            </w:r>
          </w:p>
          <w:p>
            <w:pPr>
              <w:pStyle w:val="39"/>
              <w:rPr>
                <w:rFonts w:eastAsia="Times New Roman"/>
                <w:sz w:val="21"/>
                <w:szCs w:val="16"/>
              </w:rPr>
            </w:pPr>
            <w:r>
              <w:rPr>
                <w:rFonts w:hint="eastAsia"/>
                <w:bCs/>
                <w:sz w:val="21"/>
                <w:szCs w:val="16"/>
                <w:lang w:val="zh-TW" w:eastAsia="zh-TW"/>
              </w:rPr>
              <w:t>渗区</w:t>
            </w:r>
          </w:p>
        </w:tc>
        <w:tc>
          <w:tcPr>
            <w:tcW w:w="1559" w:type="dxa"/>
            <w:shd w:val="clear" w:color="auto" w:fill="auto"/>
            <w:vAlign w:val="center"/>
          </w:tcPr>
          <w:p>
            <w:pPr>
              <w:pStyle w:val="39"/>
              <w:rPr>
                <w:rFonts w:eastAsia="Times New Roman"/>
                <w:sz w:val="21"/>
                <w:szCs w:val="16"/>
              </w:rPr>
            </w:pPr>
            <w:r>
              <w:rPr>
                <w:rFonts w:hint="eastAsia"/>
                <w:sz w:val="21"/>
                <w:szCs w:val="16"/>
                <w:lang w:val="zh-TW" w:eastAsia="zh-TW"/>
              </w:rPr>
              <w:t>弱</w:t>
            </w:r>
          </w:p>
        </w:tc>
        <w:tc>
          <w:tcPr>
            <w:tcW w:w="1276" w:type="dxa"/>
            <w:shd w:val="clear" w:color="auto" w:fill="auto"/>
            <w:vAlign w:val="center"/>
          </w:tcPr>
          <w:p>
            <w:pPr>
              <w:pStyle w:val="39"/>
              <w:rPr>
                <w:rFonts w:eastAsia="Times New Roman"/>
                <w:sz w:val="21"/>
                <w:szCs w:val="16"/>
              </w:rPr>
            </w:pPr>
            <w:r>
              <w:rPr>
                <w:rFonts w:hint="eastAsia"/>
                <w:sz w:val="21"/>
                <w:szCs w:val="16"/>
                <w:lang w:val="zh-TW" w:eastAsia="zh-TW"/>
              </w:rPr>
              <w:t>易-难</w:t>
            </w:r>
          </w:p>
        </w:tc>
        <w:tc>
          <w:tcPr>
            <w:tcW w:w="1559" w:type="dxa"/>
            <w:vMerge w:val="restart"/>
            <w:shd w:val="clear" w:color="auto" w:fill="FFFFFF"/>
            <w:vAlign w:val="center"/>
          </w:tcPr>
          <w:p>
            <w:pPr>
              <w:pStyle w:val="39"/>
              <w:rPr>
                <w:rFonts w:eastAsia="Times New Roman"/>
                <w:sz w:val="21"/>
                <w:szCs w:val="16"/>
              </w:rPr>
            </w:pPr>
            <w:r>
              <w:rPr>
                <w:rFonts w:hint="eastAsia"/>
                <w:sz w:val="21"/>
                <w:szCs w:val="16"/>
                <w:lang w:val="zh-TW" w:eastAsia="zh-TW"/>
              </w:rPr>
              <w:t>其他类型</w:t>
            </w:r>
          </w:p>
        </w:tc>
        <w:tc>
          <w:tcPr>
            <w:tcW w:w="2977" w:type="dxa"/>
            <w:vMerge w:val="restart"/>
            <w:shd w:val="clear" w:color="auto" w:fill="FFFFFF"/>
            <w:vAlign w:val="center"/>
          </w:tcPr>
          <w:p>
            <w:pPr>
              <w:pStyle w:val="39"/>
              <w:rPr>
                <w:rFonts w:eastAsia="Times New Roman"/>
                <w:sz w:val="21"/>
                <w:szCs w:val="16"/>
              </w:rPr>
            </w:pPr>
            <w:r>
              <w:rPr>
                <w:sz w:val="21"/>
                <w:szCs w:val="16"/>
              </w:rPr>
              <w:t>等效黏土防渗层Mb≥1.5m，K≤1×10</w:t>
            </w:r>
            <w:r>
              <w:rPr>
                <w:sz w:val="21"/>
                <w:szCs w:val="16"/>
                <w:vertAlign w:val="superscript"/>
              </w:rPr>
              <w:t>-7</w:t>
            </w:r>
            <w:r>
              <w:rPr>
                <w:sz w:val="21"/>
                <w:szCs w:val="16"/>
              </w:rPr>
              <w:t>cm/s；或参照GB16889执行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trPr>
        <w:tc>
          <w:tcPr>
            <w:tcW w:w="851" w:type="dxa"/>
            <w:vMerge w:val="continue"/>
            <w:shd w:val="clear" w:color="auto" w:fill="FFFFFF"/>
            <w:vAlign w:val="center"/>
          </w:tcPr>
          <w:p>
            <w:pPr>
              <w:pStyle w:val="39"/>
              <w:rPr>
                <w:rFonts w:eastAsia="Times New Roman"/>
                <w:sz w:val="21"/>
                <w:szCs w:val="16"/>
              </w:rPr>
            </w:pPr>
          </w:p>
        </w:tc>
        <w:tc>
          <w:tcPr>
            <w:tcW w:w="1559" w:type="dxa"/>
            <w:shd w:val="clear" w:color="auto" w:fill="FFFFFF"/>
          </w:tcPr>
          <w:p>
            <w:pPr>
              <w:pStyle w:val="39"/>
              <w:rPr>
                <w:rFonts w:eastAsia="Times New Roman"/>
                <w:sz w:val="21"/>
                <w:szCs w:val="16"/>
              </w:rPr>
            </w:pPr>
            <w:r>
              <w:rPr>
                <w:rFonts w:hint="eastAsia"/>
                <w:sz w:val="21"/>
                <w:szCs w:val="16"/>
                <w:lang w:val="zh-TW" w:eastAsia="zh-TW"/>
              </w:rPr>
              <w:t>中</w:t>
            </w:r>
            <w:r>
              <w:rPr>
                <w:sz w:val="21"/>
                <w:szCs w:val="16"/>
                <w:lang w:val="zh-TW" w:eastAsia="zh-TW"/>
              </w:rPr>
              <w:t>-</w:t>
            </w:r>
            <w:r>
              <w:rPr>
                <w:rFonts w:hint="eastAsia"/>
                <w:sz w:val="21"/>
                <w:szCs w:val="16"/>
                <w:lang w:val="zh-TW" w:eastAsia="zh-TW"/>
              </w:rPr>
              <w:t>强</w:t>
            </w:r>
          </w:p>
        </w:tc>
        <w:tc>
          <w:tcPr>
            <w:tcW w:w="1276" w:type="dxa"/>
            <w:shd w:val="clear" w:color="auto" w:fill="FFFFFF"/>
          </w:tcPr>
          <w:p>
            <w:pPr>
              <w:pStyle w:val="39"/>
              <w:rPr>
                <w:rFonts w:eastAsia="Times New Roman"/>
                <w:sz w:val="21"/>
                <w:szCs w:val="16"/>
              </w:rPr>
            </w:pPr>
            <w:r>
              <w:rPr>
                <w:rFonts w:hint="eastAsia"/>
                <w:sz w:val="21"/>
                <w:szCs w:val="16"/>
                <w:lang w:val="zh-TW" w:eastAsia="zh-TW"/>
              </w:rPr>
              <w:t>难</w:t>
            </w:r>
          </w:p>
        </w:tc>
        <w:tc>
          <w:tcPr>
            <w:tcW w:w="1559" w:type="dxa"/>
            <w:vMerge w:val="continue"/>
            <w:shd w:val="clear" w:color="auto" w:fill="FFFFFF"/>
            <w:vAlign w:val="center"/>
          </w:tcPr>
          <w:p>
            <w:pPr>
              <w:pStyle w:val="39"/>
              <w:rPr>
                <w:rFonts w:eastAsia="Times New Roman"/>
                <w:sz w:val="21"/>
                <w:szCs w:val="16"/>
              </w:rPr>
            </w:pPr>
          </w:p>
        </w:tc>
        <w:tc>
          <w:tcPr>
            <w:tcW w:w="2977" w:type="dxa"/>
            <w:vMerge w:val="continue"/>
            <w:shd w:val="clear" w:color="auto" w:fill="FFFFFF"/>
            <w:vAlign w:val="center"/>
          </w:tcPr>
          <w:p>
            <w:pPr>
              <w:pStyle w:val="39"/>
              <w:rPr>
                <w:rFonts w:eastAsia="Times New Roman"/>
                <w:sz w:val="21"/>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5" w:hRule="atLeast"/>
        </w:trPr>
        <w:tc>
          <w:tcPr>
            <w:tcW w:w="851" w:type="dxa"/>
            <w:vMerge w:val="continue"/>
            <w:shd w:val="clear" w:color="auto" w:fill="FFFFFF"/>
            <w:vAlign w:val="center"/>
          </w:tcPr>
          <w:p>
            <w:pPr>
              <w:pStyle w:val="39"/>
              <w:rPr>
                <w:rFonts w:eastAsia="Times New Roman"/>
                <w:sz w:val="21"/>
                <w:szCs w:val="16"/>
              </w:rPr>
            </w:pPr>
          </w:p>
        </w:tc>
        <w:tc>
          <w:tcPr>
            <w:tcW w:w="1559" w:type="dxa"/>
            <w:shd w:val="clear" w:color="auto" w:fill="FFFFFF"/>
            <w:vAlign w:val="bottom"/>
          </w:tcPr>
          <w:p>
            <w:pPr>
              <w:pStyle w:val="39"/>
              <w:rPr>
                <w:rFonts w:eastAsia="Times New Roman"/>
                <w:bCs/>
                <w:sz w:val="21"/>
                <w:szCs w:val="16"/>
              </w:rPr>
            </w:pPr>
            <w:r>
              <w:rPr>
                <w:rFonts w:hint="eastAsia"/>
                <w:bCs/>
                <w:sz w:val="21"/>
                <w:szCs w:val="16"/>
                <w:lang w:val="zh-TW" w:eastAsia="zh-TW"/>
              </w:rPr>
              <w:t>中</w:t>
            </w:r>
          </w:p>
        </w:tc>
        <w:tc>
          <w:tcPr>
            <w:tcW w:w="1276" w:type="dxa"/>
            <w:shd w:val="clear" w:color="auto" w:fill="FFFFFF"/>
            <w:vAlign w:val="bottom"/>
          </w:tcPr>
          <w:p>
            <w:pPr>
              <w:pStyle w:val="39"/>
              <w:rPr>
                <w:rFonts w:eastAsia="Times New Roman"/>
                <w:bCs/>
                <w:sz w:val="21"/>
                <w:szCs w:val="16"/>
              </w:rPr>
            </w:pPr>
            <w:r>
              <w:rPr>
                <w:rFonts w:hint="eastAsia"/>
                <w:bCs/>
                <w:sz w:val="21"/>
                <w:szCs w:val="16"/>
                <w:lang w:val="zh-TW" w:eastAsia="zh-TW"/>
              </w:rPr>
              <w:t>易</w:t>
            </w:r>
          </w:p>
        </w:tc>
        <w:tc>
          <w:tcPr>
            <w:tcW w:w="1559" w:type="dxa"/>
            <w:vMerge w:val="restart"/>
            <w:shd w:val="clear" w:color="auto" w:fill="FFFFFF"/>
          </w:tcPr>
          <w:p>
            <w:pPr>
              <w:pStyle w:val="39"/>
              <w:rPr>
                <w:rFonts w:eastAsia="Times New Roman"/>
                <w:bCs/>
                <w:sz w:val="21"/>
                <w:szCs w:val="16"/>
              </w:rPr>
            </w:pPr>
            <w:r>
              <w:rPr>
                <w:rFonts w:hint="eastAsia"/>
                <w:bCs/>
                <w:sz w:val="21"/>
                <w:szCs w:val="16"/>
                <w:lang w:val="zh-TW" w:eastAsia="zh-TW"/>
              </w:rPr>
              <w:t>重金属、持久性有机物污染物</w:t>
            </w:r>
          </w:p>
        </w:tc>
        <w:tc>
          <w:tcPr>
            <w:tcW w:w="2977" w:type="dxa"/>
            <w:vMerge w:val="continue"/>
            <w:shd w:val="clear" w:color="auto" w:fill="FFFFFF"/>
            <w:vAlign w:val="center"/>
          </w:tcPr>
          <w:p>
            <w:pPr>
              <w:pStyle w:val="39"/>
              <w:rPr>
                <w:rFonts w:eastAsia="Times New Roman"/>
                <w:sz w:val="21"/>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trPr>
        <w:tc>
          <w:tcPr>
            <w:tcW w:w="851" w:type="dxa"/>
            <w:vMerge w:val="continue"/>
            <w:shd w:val="clear" w:color="auto" w:fill="FFFFFF"/>
            <w:vAlign w:val="center"/>
          </w:tcPr>
          <w:p>
            <w:pPr>
              <w:pStyle w:val="39"/>
              <w:rPr>
                <w:rFonts w:eastAsia="Times New Roman"/>
                <w:sz w:val="21"/>
                <w:szCs w:val="16"/>
              </w:rPr>
            </w:pPr>
          </w:p>
        </w:tc>
        <w:tc>
          <w:tcPr>
            <w:tcW w:w="1559" w:type="dxa"/>
            <w:shd w:val="clear" w:color="auto" w:fill="FFFFFF"/>
            <w:vAlign w:val="bottom"/>
          </w:tcPr>
          <w:p>
            <w:pPr>
              <w:pStyle w:val="39"/>
              <w:rPr>
                <w:rFonts w:eastAsia="Times New Roman"/>
                <w:b/>
                <w:bCs/>
                <w:sz w:val="21"/>
                <w:szCs w:val="16"/>
              </w:rPr>
            </w:pPr>
            <w:r>
              <w:rPr>
                <w:rFonts w:hint="eastAsia"/>
                <w:b/>
                <w:bCs/>
                <w:sz w:val="21"/>
                <w:szCs w:val="16"/>
                <w:lang w:val="zh-TW" w:eastAsia="zh-TW"/>
              </w:rPr>
              <w:t>强</w:t>
            </w:r>
          </w:p>
        </w:tc>
        <w:tc>
          <w:tcPr>
            <w:tcW w:w="1276" w:type="dxa"/>
            <w:shd w:val="clear" w:color="auto" w:fill="FFFFFF"/>
            <w:vAlign w:val="bottom"/>
          </w:tcPr>
          <w:p>
            <w:pPr>
              <w:pStyle w:val="39"/>
              <w:rPr>
                <w:rFonts w:eastAsia="Times New Roman"/>
                <w:b/>
                <w:bCs/>
                <w:sz w:val="21"/>
                <w:szCs w:val="16"/>
              </w:rPr>
            </w:pPr>
            <w:r>
              <w:rPr>
                <w:rFonts w:hint="eastAsia"/>
                <w:b/>
                <w:bCs/>
                <w:sz w:val="21"/>
                <w:szCs w:val="16"/>
                <w:lang w:val="zh-TW" w:eastAsia="zh-TW"/>
              </w:rPr>
              <w:t>易</w:t>
            </w:r>
          </w:p>
        </w:tc>
        <w:tc>
          <w:tcPr>
            <w:tcW w:w="1559" w:type="dxa"/>
            <w:vMerge w:val="continue"/>
            <w:shd w:val="clear" w:color="auto" w:fill="FFFFFF"/>
          </w:tcPr>
          <w:p>
            <w:pPr>
              <w:pStyle w:val="39"/>
              <w:rPr>
                <w:rFonts w:eastAsia="Times New Roman"/>
                <w:sz w:val="21"/>
                <w:szCs w:val="16"/>
              </w:rPr>
            </w:pPr>
          </w:p>
        </w:tc>
        <w:tc>
          <w:tcPr>
            <w:tcW w:w="2977" w:type="dxa"/>
            <w:vMerge w:val="continue"/>
            <w:shd w:val="clear" w:color="auto" w:fill="FFFFFF"/>
            <w:vAlign w:val="center"/>
          </w:tcPr>
          <w:p>
            <w:pPr>
              <w:pStyle w:val="39"/>
              <w:rPr>
                <w:rFonts w:eastAsia="Times New Roman"/>
                <w:sz w:val="21"/>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trPr>
        <w:tc>
          <w:tcPr>
            <w:tcW w:w="851" w:type="dxa"/>
            <w:shd w:val="clear" w:color="auto" w:fill="FFFFFF"/>
          </w:tcPr>
          <w:p>
            <w:pPr>
              <w:pStyle w:val="39"/>
              <w:rPr>
                <w:rFonts w:eastAsia="Times New Roman"/>
                <w:sz w:val="21"/>
                <w:szCs w:val="16"/>
              </w:rPr>
            </w:pPr>
            <w:r>
              <w:rPr>
                <w:rFonts w:hint="eastAsia"/>
                <w:sz w:val="21"/>
                <w:szCs w:val="16"/>
                <w:lang w:val="zh-TW" w:eastAsia="zh-TW"/>
              </w:rPr>
              <w:t>简单防</w:t>
            </w:r>
          </w:p>
          <w:p>
            <w:pPr>
              <w:pStyle w:val="39"/>
              <w:rPr>
                <w:rFonts w:eastAsia="Times New Roman"/>
                <w:sz w:val="21"/>
                <w:szCs w:val="16"/>
              </w:rPr>
            </w:pPr>
            <w:r>
              <w:rPr>
                <w:rFonts w:hint="eastAsia"/>
                <w:sz w:val="21"/>
                <w:szCs w:val="16"/>
                <w:lang w:val="zh-TW" w:eastAsia="zh-TW"/>
              </w:rPr>
              <w:t>渗区</w:t>
            </w:r>
          </w:p>
        </w:tc>
        <w:tc>
          <w:tcPr>
            <w:tcW w:w="1559" w:type="dxa"/>
            <w:shd w:val="clear" w:color="auto" w:fill="FFFFFF"/>
            <w:vAlign w:val="center"/>
          </w:tcPr>
          <w:p>
            <w:pPr>
              <w:pStyle w:val="39"/>
              <w:rPr>
                <w:rFonts w:eastAsia="Times New Roman"/>
                <w:sz w:val="21"/>
                <w:szCs w:val="16"/>
              </w:rPr>
            </w:pPr>
            <w:r>
              <w:rPr>
                <w:rFonts w:hint="eastAsia"/>
                <w:sz w:val="21"/>
                <w:szCs w:val="16"/>
                <w:lang w:val="zh-TW" w:eastAsia="zh-TW"/>
              </w:rPr>
              <w:t>中</w:t>
            </w:r>
            <w:r>
              <w:rPr>
                <w:sz w:val="21"/>
                <w:szCs w:val="16"/>
                <w:lang w:val="zh-TW" w:eastAsia="zh-TW"/>
              </w:rPr>
              <w:t>-</w:t>
            </w:r>
            <w:r>
              <w:rPr>
                <w:rFonts w:hint="eastAsia"/>
                <w:sz w:val="21"/>
                <w:szCs w:val="16"/>
                <w:lang w:val="zh-TW" w:eastAsia="zh-TW"/>
              </w:rPr>
              <w:t>强</w:t>
            </w:r>
          </w:p>
        </w:tc>
        <w:tc>
          <w:tcPr>
            <w:tcW w:w="1276" w:type="dxa"/>
            <w:shd w:val="clear" w:color="auto" w:fill="FFFFFF"/>
            <w:vAlign w:val="center"/>
          </w:tcPr>
          <w:p>
            <w:pPr>
              <w:pStyle w:val="39"/>
              <w:rPr>
                <w:rFonts w:eastAsia="Times New Roman"/>
                <w:sz w:val="21"/>
                <w:szCs w:val="16"/>
              </w:rPr>
            </w:pPr>
            <w:r>
              <w:rPr>
                <w:rFonts w:hint="eastAsia"/>
                <w:sz w:val="21"/>
                <w:szCs w:val="16"/>
                <w:lang w:val="zh-TW" w:eastAsia="zh-TW"/>
              </w:rPr>
              <w:t>易</w:t>
            </w:r>
          </w:p>
        </w:tc>
        <w:tc>
          <w:tcPr>
            <w:tcW w:w="1559" w:type="dxa"/>
            <w:shd w:val="clear" w:color="auto" w:fill="FFFFFF"/>
            <w:vAlign w:val="center"/>
          </w:tcPr>
          <w:p>
            <w:pPr>
              <w:pStyle w:val="39"/>
              <w:rPr>
                <w:rFonts w:eastAsia="Times New Roman"/>
                <w:sz w:val="21"/>
                <w:szCs w:val="16"/>
              </w:rPr>
            </w:pPr>
            <w:r>
              <w:rPr>
                <w:rFonts w:hint="eastAsia"/>
                <w:sz w:val="21"/>
                <w:szCs w:val="16"/>
                <w:lang w:val="zh-TW" w:eastAsia="zh-TW"/>
              </w:rPr>
              <w:t>其他类型</w:t>
            </w:r>
          </w:p>
        </w:tc>
        <w:tc>
          <w:tcPr>
            <w:tcW w:w="2977" w:type="dxa"/>
            <w:shd w:val="clear" w:color="auto" w:fill="FFFFFF"/>
            <w:vAlign w:val="center"/>
          </w:tcPr>
          <w:p>
            <w:pPr>
              <w:pStyle w:val="39"/>
              <w:rPr>
                <w:rFonts w:eastAsia="Times New Roman"/>
                <w:sz w:val="21"/>
                <w:szCs w:val="16"/>
              </w:rPr>
            </w:pPr>
            <w:r>
              <w:rPr>
                <w:rFonts w:hint="eastAsia"/>
                <w:sz w:val="21"/>
                <w:szCs w:val="16"/>
                <w:lang w:val="zh-TW" w:eastAsia="zh-TW"/>
              </w:rPr>
              <w:t>一般地面硬化</w:t>
            </w:r>
          </w:p>
        </w:tc>
      </w:tr>
    </w:tbl>
    <w:p>
      <w:pPr>
        <w:pStyle w:val="38"/>
        <w:sectPr>
          <w:footerReference r:id="rId5" w:type="default"/>
          <w:pgSz w:w="11906" w:h="16838"/>
          <w:pgMar w:top="1440" w:right="1800" w:bottom="1440" w:left="1800" w:header="851" w:footer="992" w:gutter="0"/>
          <w:pgNumType w:fmt="decimal" w:start="1"/>
          <w:cols w:space="425" w:num="1"/>
          <w:docGrid w:type="lines" w:linePitch="312" w:charSpace="0"/>
        </w:sectPr>
      </w:pPr>
      <w:bookmarkStart w:id="55" w:name="_Ref140838410"/>
    </w:p>
    <w:p>
      <w:pPr>
        <w:pStyle w:val="38"/>
      </w:pPr>
      <w:r>
        <w:t xml:space="preserve">表 </w:t>
      </w:r>
      <w:r>
        <w:fldChar w:fldCharType="begin"/>
      </w:r>
      <w:r>
        <w:instrText xml:space="preserve"> STYLEREF 1 \s </w:instrText>
      </w:r>
      <w:r>
        <w:fldChar w:fldCharType="separate"/>
      </w:r>
      <w:r>
        <w:t>4</w:t>
      </w:r>
      <w:r>
        <w:fldChar w:fldCharType="end"/>
      </w:r>
      <w:r>
        <w:noBreakHyphen/>
      </w:r>
      <w:r>
        <w:fldChar w:fldCharType="begin"/>
      </w:r>
      <w:r>
        <w:instrText xml:space="preserve"> SEQ 表 \* ARABIC \s 1 </w:instrText>
      </w:r>
      <w:r>
        <w:fldChar w:fldCharType="separate"/>
      </w:r>
      <w:r>
        <w:t>3</w:t>
      </w:r>
      <w:r>
        <w:fldChar w:fldCharType="end"/>
      </w:r>
      <w:bookmarkEnd w:id="55"/>
      <w:r>
        <w:t xml:space="preserve"> </w:t>
      </w:r>
      <w:r>
        <w:rPr>
          <w:rFonts w:hint="eastAsia"/>
        </w:rPr>
        <w:t>地下水污染分区防渗及要求</w:t>
      </w:r>
    </w:p>
    <w:tbl>
      <w:tblPr>
        <w:tblStyle w:val="2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884"/>
        <w:gridCol w:w="3815"/>
        <w:gridCol w:w="2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10" w:type="dxa"/>
            <w:shd w:val="clear" w:color="auto" w:fill="auto"/>
            <w:noWrap/>
            <w:vAlign w:val="center"/>
          </w:tcPr>
          <w:p>
            <w:pPr>
              <w:pStyle w:val="49"/>
              <w:rPr>
                <w:color w:val="auto"/>
              </w:rPr>
            </w:pPr>
            <w:r>
              <w:rPr>
                <w:color w:val="auto"/>
              </w:rPr>
              <w:t>序号</w:t>
            </w:r>
          </w:p>
        </w:tc>
        <w:tc>
          <w:tcPr>
            <w:tcW w:w="884" w:type="dxa"/>
            <w:shd w:val="clear" w:color="auto" w:fill="auto"/>
            <w:noWrap/>
            <w:vAlign w:val="center"/>
          </w:tcPr>
          <w:p>
            <w:pPr>
              <w:pStyle w:val="49"/>
              <w:rPr>
                <w:color w:val="auto"/>
              </w:rPr>
            </w:pPr>
            <w:r>
              <w:rPr>
                <w:color w:val="auto"/>
              </w:rPr>
              <w:t>防渗</w:t>
            </w:r>
          </w:p>
          <w:p>
            <w:pPr>
              <w:pStyle w:val="49"/>
              <w:rPr>
                <w:color w:val="auto"/>
              </w:rPr>
            </w:pPr>
            <w:r>
              <w:rPr>
                <w:color w:val="auto"/>
              </w:rPr>
              <w:t>分区</w:t>
            </w:r>
          </w:p>
        </w:tc>
        <w:tc>
          <w:tcPr>
            <w:tcW w:w="3815" w:type="dxa"/>
            <w:shd w:val="clear" w:color="auto" w:fill="auto"/>
            <w:noWrap/>
            <w:vAlign w:val="center"/>
          </w:tcPr>
          <w:p>
            <w:pPr>
              <w:pStyle w:val="49"/>
              <w:rPr>
                <w:color w:val="auto"/>
              </w:rPr>
            </w:pPr>
            <w:r>
              <w:rPr>
                <w:color w:val="auto"/>
              </w:rPr>
              <w:t>建（构）筑物</w:t>
            </w:r>
          </w:p>
        </w:tc>
        <w:tc>
          <w:tcPr>
            <w:tcW w:w="2987" w:type="dxa"/>
            <w:shd w:val="clear" w:color="auto" w:fill="auto"/>
            <w:noWrap/>
            <w:vAlign w:val="center"/>
          </w:tcPr>
          <w:p>
            <w:pPr>
              <w:pStyle w:val="49"/>
              <w:rPr>
                <w:color w:val="auto"/>
              </w:rPr>
            </w:pPr>
            <w:r>
              <w:rPr>
                <w:color w:val="auto"/>
              </w:rPr>
              <w:t>防渗要求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610" w:type="dxa"/>
            <w:vMerge w:val="restart"/>
            <w:shd w:val="clear" w:color="auto" w:fill="auto"/>
            <w:noWrap/>
            <w:vAlign w:val="center"/>
          </w:tcPr>
          <w:p>
            <w:pPr>
              <w:pStyle w:val="49"/>
              <w:rPr>
                <w:color w:val="auto"/>
              </w:rPr>
            </w:pPr>
            <w:r>
              <w:rPr>
                <w:color w:val="auto"/>
              </w:rPr>
              <w:t>1</w:t>
            </w:r>
          </w:p>
        </w:tc>
        <w:tc>
          <w:tcPr>
            <w:tcW w:w="884" w:type="dxa"/>
            <w:vMerge w:val="restart"/>
            <w:shd w:val="clear" w:color="auto" w:fill="auto"/>
            <w:vAlign w:val="center"/>
          </w:tcPr>
          <w:p>
            <w:pPr>
              <w:pStyle w:val="49"/>
              <w:rPr>
                <w:color w:val="auto"/>
              </w:rPr>
            </w:pPr>
            <w:r>
              <w:rPr>
                <w:color w:val="auto"/>
              </w:rPr>
              <w:t>重点防渗区</w:t>
            </w:r>
          </w:p>
        </w:tc>
        <w:tc>
          <w:tcPr>
            <w:tcW w:w="3815" w:type="dxa"/>
            <w:shd w:val="clear" w:color="auto" w:fill="auto"/>
            <w:noWrap/>
            <w:vAlign w:val="center"/>
          </w:tcPr>
          <w:p>
            <w:pPr>
              <w:pStyle w:val="49"/>
              <w:rPr>
                <w:color w:val="auto"/>
              </w:rPr>
            </w:pPr>
            <w:r>
              <w:rPr>
                <w:rFonts w:hint="eastAsia"/>
                <w:color w:val="auto"/>
              </w:rPr>
              <w:t>母液处理车间和废水处理站工艺池体</w:t>
            </w:r>
          </w:p>
        </w:tc>
        <w:tc>
          <w:tcPr>
            <w:tcW w:w="2987" w:type="dxa"/>
            <w:vMerge w:val="restart"/>
            <w:shd w:val="clear" w:color="auto" w:fill="auto"/>
            <w:vAlign w:val="center"/>
          </w:tcPr>
          <w:p>
            <w:pPr>
              <w:pStyle w:val="49"/>
              <w:rPr>
                <w:color w:val="auto"/>
              </w:rPr>
            </w:pPr>
            <w:r>
              <w:rPr>
                <w:color w:val="auto"/>
              </w:rPr>
              <w:t>等效黏土防渗层Mb≥6.0m，防渗层结构渗透系数K≤1.0×10</w:t>
            </w:r>
            <w:r>
              <w:rPr>
                <w:color w:val="auto"/>
                <w:vertAlign w:val="superscript"/>
              </w:rPr>
              <w:t>-7</w:t>
            </w:r>
            <w:r>
              <w:rPr>
                <w:color w:val="auto"/>
              </w:rPr>
              <w:t>cm/s；或参照GB 18598执行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10" w:type="dxa"/>
            <w:vMerge w:val="continue"/>
            <w:shd w:val="clear" w:color="auto" w:fill="auto"/>
            <w:noWrap/>
            <w:vAlign w:val="center"/>
          </w:tcPr>
          <w:p>
            <w:pPr>
              <w:pStyle w:val="49"/>
              <w:rPr>
                <w:color w:val="auto"/>
              </w:rPr>
            </w:pPr>
          </w:p>
        </w:tc>
        <w:tc>
          <w:tcPr>
            <w:tcW w:w="884" w:type="dxa"/>
            <w:vMerge w:val="continue"/>
            <w:vAlign w:val="center"/>
          </w:tcPr>
          <w:p>
            <w:pPr>
              <w:pStyle w:val="49"/>
              <w:rPr>
                <w:color w:val="auto"/>
              </w:rPr>
            </w:pPr>
          </w:p>
        </w:tc>
        <w:tc>
          <w:tcPr>
            <w:tcW w:w="3815" w:type="dxa"/>
            <w:shd w:val="clear" w:color="auto" w:fill="auto"/>
            <w:noWrap/>
            <w:vAlign w:val="center"/>
          </w:tcPr>
          <w:p>
            <w:pPr>
              <w:pStyle w:val="49"/>
              <w:rPr>
                <w:color w:val="auto"/>
              </w:rPr>
            </w:pPr>
            <w:r>
              <w:rPr>
                <w:color w:val="auto"/>
              </w:rPr>
              <w:t>硫酸储罐、污泥暂存间</w:t>
            </w:r>
          </w:p>
        </w:tc>
        <w:tc>
          <w:tcPr>
            <w:tcW w:w="2987" w:type="dxa"/>
            <w:vMerge w:val="continue"/>
            <w:vAlign w:val="center"/>
          </w:tcPr>
          <w:p>
            <w:pPr>
              <w:pStyle w:val="4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610" w:type="dxa"/>
            <w:vMerge w:val="restart"/>
            <w:shd w:val="clear" w:color="auto" w:fill="auto"/>
            <w:noWrap/>
            <w:vAlign w:val="center"/>
          </w:tcPr>
          <w:p>
            <w:pPr>
              <w:pStyle w:val="49"/>
              <w:rPr>
                <w:color w:val="auto"/>
              </w:rPr>
            </w:pPr>
            <w:r>
              <w:rPr>
                <w:color w:val="auto"/>
              </w:rPr>
              <w:t>2</w:t>
            </w:r>
          </w:p>
        </w:tc>
        <w:tc>
          <w:tcPr>
            <w:tcW w:w="884" w:type="dxa"/>
            <w:vMerge w:val="restart"/>
            <w:shd w:val="clear" w:color="auto" w:fill="auto"/>
            <w:noWrap/>
            <w:vAlign w:val="center"/>
          </w:tcPr>
          <w:p>
            <w:pPr>
              <w:pStyle w:val="49"/>
              <w:rPr>
                <w:color w:val="auto"/>
              </w:rPr>
            </w:pPr>
            <w:r>
              <w:rPr>
                <w:color w:val="auto"/>
              </w:rPr>
              <w:t>一般防渗区</w:t>
            </w:r>
          </w:p>
        </w:tc>
        <w:tc>
          <w:tcPr>
            <w:tcW w:w="3815" w:type="dxa"/>
            <w:shd w:val="clear" w:color="auto" w:fill="auto"/>
            <w:noWrap/>
            <w:vAlign w:val="center"/>
          </w:tcPr>
          <w:p>
            <w:pPr>
              <w:pStyle w:val="49"/>
              <w:rPr>
                <w:color w:val="auto"/>
              </w:rPr>
            </w:pPr>
            <w:r>
              <w:rPr>
                <w:rFonts w:hint="eastAsia"/>
                <w:color w:val="auto"/>
              </w:rPr>
              <w:t>收液巷道、集液沟、</w:t>
            </w:r>
            <w:r>
              <w:rPr>
                <w:color w:val="auto"/>
              </w:rPr>
              <w:t>避水沟</w:t>
            </w:r>
            <w:r>
              <w:rPr>
                <w:rFonts w:hint="eastAsia"/>
                <w:color w:val="auto"/>
              </w:rPr>
              <w:t>、排水沟、应急池、截渗坝</w:t>
            </w:r>
          </w:p>
        </w:tc>
        <w:tc>
          <w:tcPr>
            <w:tcW w:w="2987" w:type="dxa"/>
            <w:vMerge w:val="restart"/>
            <w:shd w:val="clear" w:color="auto" w:fill="auto"/>
            <w:vAlign w:val="center"/>
          </w:tcPr>
          <w:p>
            <w:pPr>
              <w:pStyle w:val="49"/>
              <w:rPr>
                <w:color w:val="auto"/>
              </w:rPr>
            </w:pPr>
            <w:r>
              <w:rPr>
                <w:color w:val="auto"/>
              </w:rPr>
              <w:t>等效黏土防渗层Mb≥1.5m，防渗层结构渗透系数K≤1.0×10</w:t>
            </w:r>
            <w:r>
              <w:rPr>
                <w:color w:val="auto"/>
                <w:vertAlign w:val="superscript"/>
              </w:rPr>
              <w:t>-7</w:t>
            </w:r>
            <w:r>
              <w:rPr>
                <w:color w:val="auto"/>
              </w:rPr>
              <w:t>cm/s；或参照GB 16889执行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610" w:type="dxa"/>
            <w:vMerge w:val="continue"/>
            <w:shd w:val="clear" w:color="auto" w:fill="auto"/>
            <w:noWrap/>
            <w:vAlign w:val="center"/>
          </w:tcPr>
          <w:p>
            <w:pPr>
              <w:pStyle w:val="49"/>
              <w:rPr>
                <w:color w:val="auto"/>
              </w:rPr>
            </w:pPr>
          </w:p>
        </w:tc>
        <w:tc>
          <w:tcPr>
            <w:tcW w:w="884" w:type="dxa"/>
            <w:vMerge w:val="continue"/>
            <w:shd w:val="clear" w:color="auto" w:fill="auto"/>
            <w:noWrap/>
            <w:vAlign w:val="center"/>
          </w:tcPr>
          <w:p>
            <w:pPr>
              <w:pStyle w:val="49"/>
              <w:rPr>
                <w:color w:val="auto"/>
              </w:rPr>
            </w:pPr>
          </w:p>
        </w:tc>
        <w:tc>
          <w:tcPr>
            <w:tcW w:w="3815" w:type="dxa"/>
            <w:shd w:val="clear" w:color="auto" w:fill="auto"/>
            <w:noWrap/>
            <w:vAlign w:val="center"/>
          </w:tcPr>
          <w:p>
            <w:pPr>
              <w:pStyle w:val="49"/>
              <w:rPr>
                <w:color w:val="auto"/>
              </w:rPr>
            </w:pPr>
            <w:r>
              <w:rPr>
                <w:color w:val="auto"/>
              </w:rPr>
              <w:t>产品仓库</w:t>
            </w:r>
            <w:r>
              <w:rPr>
                <w:rFonts w:hint="eastAsia"/>
                <w:color w:val="auto"/>
              </w:rPr>
              <w:t>和</w:t>
            </w:r>
            <w:r>
              <w:rPr>
                <w:color w:val="auto"/>
              </w:rPr>
              <w:t>物料仓库</w:t>
            </w:r>
          </w:p>
        </w:tc>
        <w:tc>
          <w:tcPr>
            <w:tcW w:w="2987" w:type="dxa"/>
            <w:vMerge w:val="continue"/>
            <w:shd w:val="clear" w:color="auto" w:fill="auto"/>
            <w:vAlign w:val="center"/>
          </w:tcPr>
          <w:p>
            <w:pPr>
              <w:pStyle w:val="4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610" w:type="dxa"/>
            <w:shd w:val="clear" w:color="auto" w:fill="auto"/>
            <w:noWrap/>
            <w:vAlign w:val="center"/>
          </w:tcPr>
          <w:p>
            <w:pPr>
              <w:pStyle w:val="49"/>
              <w:rPr>
                <w:color w:val="auto"/>
              </w:rPr>
            </w:pPr>
            <w:r>
              <w:rPr>
                <w:color w:val="auto"/>
              </w:rPr>
              <w:t>3</w:t>
            </w:r>
          </w:p>
        </w:tc>
        <w:tc>
          <w:tcPr>
            <w:tcW w:w="884" w:type="dxa"/>
            <w:shd w:val="clear" w:color="auto" w:fill="auto"/>
            <w:noWrap/>
            <w:vAlign w:val="center"/>
          </w:tcPr>
          <w:p>
            <w:pPr>
              <w:pStyle w:val="49"/>
              <w:rPr>
                <w:color w:val="auto"/>
              </w:rPr>
            </w:pPr>
            <w:r>
              <w:rPr>
                <w:color w:val="auto"/>
              </w:rPr>
              <w:t>简单防渗区</w:t>
            </w:r>
          </w:p>
        </w:tc>
        <w:tc>
          <w:tcPr>
            <w:tcW w:w="3815" w:type="dxa"/>
            <w:shd w:val="clear" w:color="auto" w:fill="auto"/>
            <w:noWrap/>
            <w:vAlign w:val="center"/>
          </w:tcPr>
          <w:p>
            <w:pPr>
              <w:pStyle w:val="49"/>
              <w:rPr>
                <w:color w:val="auto"/>
              </w:rPr>
            </w:pPr>
            <w:r>
              <w:rPr>
                <w:color w:val="auto"/>
              </w:rPr>
              <w:t>富集站道路、办公区域</w:t>
            </w:r>
          </w:p>
        </w:tc>
        <w:tc>
          <w:tcPr>
            <w:tcW w:w="2987" w:type="dxa"/>
            <w:shd w:val="clear" w:color="auto" w:fill="auto"/>
            <w:vAlign w:val="center"/>
          </w:tcPr>
          <w:p>
            <w:pPr>
              <w:pStyle w:val="49"/>
              <w:rPr>
                <w:color w:val="auto"/>
              </w:rPr>
            </w:pPr>
            <w:r>
              <w:rPr>
                <w:color w:val="auto"/>
              </w:rPr>
              <w:t>一般地面硬化</w:t>
            </w:r>
          </w:p>
        </w:tc>
      </w:tr>
    </w:tbl>
    <w:p>
      <w:pPr>
        <w:spacing w:line="360" w:lineRule="auto"/>
        <w:ind w:firstLine="480" w:firstLineChars="200"/>
        <w:rPr>
          <w:sz w:val="24"/>
          <w:szCs w:val="24"/>
        </w:rPr>
      </w:pPr>
      <w:r>
        <w:rPr>
          <w:rFonts w:hint="eastAsia"/>
          <w:sz w:val="24"/>
          <w:szCs w:val="24"/>
        </w:rPr>
        <w:t>离子型稀土矿原地浸矿采场是发生稀土母液和浸矿剂渗漏的重要区域，应对注液和收液系统的各设施逐一做好防渗处理，防渗的做法根据其结构和实际功能有所差异，施工技术参照《渠道防渗工程技术规范》GB/T 50600-2010，也可以通过铺设防渗篷布实现防渗功能。对于母液处理车间，需要进行防渗处理的是各类工艺池体，可以充分利用车间所在场地花岗岩基岩底板合理设置各工艺池体，并通过裂隙封堵和铺设防渗篷布达到防渗要求。根据防渗篷布防渗效果的实验测试，篷布平均厚度为0.47mm，纵向撕破强力96.6N，横向撕破强力127.6N，垂直渗透系数小于7.47×10</w:t>
      </w:r>
      <w:r>
        <w:rPr>
          <w:rFonts w:hint="eastAsia"/>
          <w:sz w:val="24"/>
          <w:szCs w:val="24"/>
          <w:vertAlign w:val="superscript"/>
        </w:rPr>
        <w:t>-13</w:t>
      </w:r>
      <w:r>
        <w:rPr>
          <w:rFonts w:hint="eastAsia"/>
          <w:sz w:val="24"/>
          <w:szCs w:val="24"/>
        </w:rPr>
        <w:t>cm/s，耐静水压0.5MPa，具有一定的机械强度和良好的防渗性能，试验过程中未出现防渗篷布撕裂和渗漏现象，效果良好，满足环保要求。</w:t>
      </w:r>
    </w:p>
    <w:p>
      <w:pPr>
        <w:spacing w:line="360" w:lineRule="auto"/>
        <w:ind w:firstLine="480" w:firstLineChars="200"/>
        <w:rPr>
          <w:sz w:val="24"/>
          <w:szCs w:val="24"/>
        </w:rPr>
      </w:pPr>
      <w:r>
        <w:rPr>
          <w:rFonts w:hint="eastAsia"/>
          <w:sz w:val="24"/>
          <w:szCs w:val="24"/>
        </w:rPr>
        <w:t>本标准提出离子型稀土矿生产企业应配置浸矿剂注入量和稀土母液回收量的计量装置和设施，根据稀土母液回收情况合理控制浸矿剂注液强度，在保障稀土开采回采率的基础上，从源头上尽可能减少浸矿剂的使用量。</w:t>
      </w:r>
    </w:p>
    <w:p>
      <w:pPr>
        <w:spacing w:line="360" w:lineRule="auto"/>
        <w:ind w:firstLine="480" w:firstLineChars="200"/>
        <w:rPr>
          <w:sz w:val="24"/>
          <w:szCs w:val="24"/>
        </w:rPr>
      </w:pPr>
      <w:r>
        <w:rPr>
          <w:rFonts w:hint="eastAsia"/>
          <w:sz w:val="24"/>
          <w:szCs w:val="24"/>
        </w:rPr>
        <w:t>本标准提出原地浸矿开采结束后应利用现有注液和收液系统对浸采区进行清水淋洗，收集的淋洗尾水回用到下一矿块配制浸矿剂，或利用污水处理站处理达标后排放。根据赣州稀土无氨新工艺试验项目环境影响评估结果，通过清水淋洗措施，可有效降低尾水中特征因子硫酸盐、镁离子和铅的浓度，其中硫酸盐浓度由5</w:t>
      </w:r>
      <w:r>
        <w:rPr>
          <w:sz w:val="24"/>
          <w:szCs w:val="24"/>
        </w:rPr>
        <w:t>437mg/L</w:t>
      </w:r>
      <w:r>
        <w:rPr>
          <w:rFonts w:hint="eastAsia"/>
          <w:sz w:val="24"/>
          <w:szCs w:val="24"/>
        </w:rPr>
        <w:t>降低至5</w:t>
      </w:r>
      <w:r>
        <w:rPr>
          <w:sz w:val="24"/>
          <w:szCs w:val="24"/>
        </w:rPr>
        <w:t>14mg/L</w:t>
      </w:r>
      <w:r>
        <w:rPr>
          <w:rFonts w:hint="eastAsia"/>
          <w:sz w:val="24"/>
          <w:szCs w:val="24"/>
        </w:rPr>
        <w:t>，镁离子浓度由8</w:t>
      </w:r>
      <w:r>
        <w:rPr>
          <w:sz w:val="24"/>
          <w:szCs w:val="24"/>
        </w:rPr>
        <w:t>23mg/L</w:t>
      </w:r>
      <w:r>
        <w:rPr>
          <w:rFonts w:hint="eastAsia"/>
          <w:sz w:val="24"/>
          <w:szCs w:val="24"/>
        </w:rPr>
        <w:t>降低至</w:t>
      </w:r>
      <w:r>
        <w:rPr>
          <w:sz w:val="24"/>
          <w:szCs w:val="24"/>
        </w:rPr>
        <w:t>78</w:t>
      </w:r>
      <w:r>
        <w:rPr>
          <w:rFonts w:hint="eastAsia"/>
          <w:sz w:val="24"/>
          <w:szCs w:val="24"/>
        </w:rPr>
        <w:t>mg/</w:t>
      </w:r>
      <w:r>
        <w:rPr>
          <w:sz w:val="24"/>
          <w:szCs w:val="24"/>
        </w:rPr>
        <w:t>L</w:t>
      </w:r>
      <w:r>
        <w:rPr>
          <w:rFonts w:hint="eastAsia"/>
          <w:sz w:val="24"/>
          <w:szCs w:val="24"/>
        </w:rPr>
        <w:t>，铅浓度由1</w:t>
      </w:r>
      <w:r>
        <w:rPr>
          <w:sz w:val="24"/>
          <w:szCs w:val="24"/>
        </w:rPr>
        <w:t>.14mg/L</w:t>
      </w:r>
      <w:r>
        <w:rPr>
          <w:rFonts w:hint="eastAsia"/>
          <w:sz w:val="24"/>
          <w:szCs w:val="24"/>
        </w:rPr>
        <w:t>降低至0</w:t>
      </w:r>
      <w:r>
        <w:rPr>
          <w:sz w:val="24"/>
          <w:szCs w:val="24"/>
        </w:rPr>
        <w:t>.2mg</w:t>
      </w:r>
      <w:r>
        <w:rPr>
          <w:rFonts w:hint="eastAsia"/>
          <w:sz w:val="24"/>
          <w:szCs w:val="24"/>
        </w:rPr>
        <w:t>/L，尾水硫酸盐和总铅均满足水污染控制标准限值要求。</w:t>
      </w:r>
    </w:p>
    <w:p>
      <w:pPr>
        <w:spacing w:line="360" w:lineRule="auto"/>
        <w:ind w:firstLine="480" w:firstLineChars="200"/>
      </w:pPr>
      <w:r>
        <w:rPr>
          <w:rFonts w:hint="eastAsia"/>
          <w:sz w:val="24"/>
          <w:szCs w:val="24"/>
        </w:rPr>
        <w:t>上述源头削减控制措施在赣州稀土试验项目和其他同类离子型稀土开采项目中均得到有效应用，措施有效且可行</w:t>
      </w:r>
      <w:r>
        <w:rPr>
          <w:rFonts w:hint="eastAsia" w:asciiTheme="minorEastAsia" w:hAnsiTheme="minorEastAsia" w:eastAsiaTheme="minorEastAsia"/>
          <w:sz w:val="24"/>
        </w:rPr>
        <w:t>。</w:t>
      </w:r>
    </w:p>
    <w:p>
      <w:pPr>
        <w:pStyle w:val="4"/>
        <w:tabs>
          <w:tab w:val="clear" w:pos="360"/>
        </w:tabs>
      </w:pPr>
      <w:bookmarkStart w:id="56" w:name="_Toc6794"/>
      <w:r>
        <w:rPr>
          <w:rFonts w:hint="eastAsia"/>
        </w:rPr>
        <w:t>水污染过程监管预警措施</w:t>
      </w:r>
      <w:bookmarkEnd w:id="56"/>
    </w:p>
    <w:p>
      <w:pPr>
        <w:spacing w:line="360" w:lineRule="auto"/>
        <w:ind w:firstLine="480" w:firstLineChars="200"/>
        <w:rPr>
          <w:sz w:val="24"/>
          <w:szCs w:val="24"/>
        </w:rPr>
      </w:pPr>
      <w:r>
        <w:rPr>
          <w:rFonts w:hint="eastAsia"/>
          <w:sz w:val="24"/>
          <w:szCs w:val="24"/>
        </w:rPr>
        <w:t>本标准提出离子型稀土矿开采企业应建立地表水环境和地下水环境动态监控体系。其中地表水环境监测断面包括地表水对照监测断面、污染控制断面、矿界管控监测断面和环境质量达标监测断面。地下水环境监测井包括对照监测井、污染扩散监测井、环境影响跟踪监测井等。根据离子型稀土矿浸采区分布、地形条件、水系特征、地表水与地下水补排关系、环境敏感目标、水环境功能和达标控制断面位置等合理布设地表水环境监测断面和地下水监测井。按照H</w:t>
      </w:r>
      <w:r>
        <w:rPr>
          <w:sz w:val="24"/>
          <w:szCs w:val="24"/>
        </w:rPr>
        <w:t>J91.2</w:t>
      </w:r>
      <w:r>
        <w:rPr>
          <w:rFonts w:hint="eastAsia"/>
          <w:sz w:val="24"/>
          <w:szCs w:val="24"/>
        </w:rPr>
        <w:t>地表水环境质量监测技术规范和H</w:t>
      </w:r>
      <w:r>
        <w:rPr>
          <w:sz w:val="24"/>
          <w:szCs w:val="24"/>
        </w:rPr>
        <w:t>J164</w:t>
      </w:r>
      <w:r>
        <w:rPr>
          <w:rFonts w:hint="eastAsia"/>
          <w:sz w:val="24"/>
          <w:szCs w:val="24"/>
        </w:rPr>
        <w:t>地下水环境监测技术规范要求进行环境质量动态监测，通过分析水质变化情况和水污染排放控制要求进行生产管理和污染防控。</w:t>
      </w:r>
    </w:p>
    <w:p>
      <w:pPr>
        <w:spacing w:line="360" w:lineRule="auto"/>
        <w:ind w:firstLine="480" w:firstLineChars="200"/>
        <w:rPr>
          <w:sz w:val="24"/>
          <w:szCs w:val="24"/>
        </w:rPr>
      </w:pPr>
      <w:r>
        <w:rPr>
          <w:rFonts w:hint="eastAsia"/>
          <w:sz w:val="24"/>
          <w:szCs w:val="24"/>
        </w:rPr>
        <w:t>本标准提出离子型稀土矿开采企业宜建立水环境分区分质管理体系，按照稀土浓度和特征污染物浓度划分为母液、高浓度尾水、低浓度尾水和清水区，根据水质类型分别进行回收利用或尾水处理。同时，建议构建稀土矿区水环境监测和台账管理制度，落实专人负责。由于离子型稀土矿区地表水和地下水环境动态监控体系对矿区的污染防控具有重要的意义，鼓励采用水环境自动监测设施和智慧环保管理系统平台，提高水环境数字化智能化管控能力。</w:t>
      </w:r>
    </w:p>
    <w:p>
      <w:pPr>
        <w:pStyle w:val="4"/>
        <w:tabs>
          <w:tab w:val="clear" w:pos="360"/>
        </w:tabs>
      </w:pPr>
      <w:bookmarkStart w:id="57" w:name="_Toc12221"/>
      <w:r>
        <w:rPr>
          <w:rFonts w:hint="eastAsia"/>
        </w:rPr>
        <w:t>水污染末端风险防控措施</w:t>
      </w:r>
      <w:bookmarkEnd w:id="57"/>
    </w:p>
    <w:p>
      <w:pPr>
        <w:spacing w:line="360" w:lineRule="auto"/>
        <w:ind w:firstLine="480" w:firstLineChars="200"/>
        <w:rPr>
          <w:sz w:val="24"/>
          <w:szCs w:val="24"/>
        </w:rPr>
      </w:pPr>
      <w:r>
        <w:rPr>
          <w:rFonts w:hint="eastAsia"/>
          <w:sz w:val="24"/>
          <w:szCs w:val="24"/>
        </w:rPr>
        <w:t>本标准提出水污染末端风险防控措施主要包括在浸采矿块和母液处理车间下游设置应急池、在注液矿块所在沟谷设置截水坝、在浸采区收液系统外侧设置环保回收井、在矿块小流域垭口处设置地下水抽提系统、在矿区内配套建设相当规模的污水处理设施等，并给出了相应的要求。</w:t>
      </w:r>
    </w:p>
    <w:p>
      <w:pPr>
        <w:spacing w:line="360" w:lineRule="auto"/>
        <w:ind w:firstLine="480" w:firstLineChars="200"/>
        <w:rPr>
          <w:sz w:val="24"/>
          <w:szCs w:val="24"/>
        </w:rPr>
      </w:pPr>
      <w:r>
        <w:rPr>
          <w:rFonts w:hint="eastAsia"/>
          <w:sz w:val="24"/>
          <w:szCs w:val="24"/>
        </w:rPr>
        <w:t>其中，应急池主要收集和暂存事故状态下泄漏的稀土母液和尾水；截渗坝主要用于拦截矿块附近受污染溪流地表水体，通过启用拦截坝将超标水体抽回至污水处理站处理或回用配液工段；环保回收井主要利用水力截获原理回收浸采区未进入收液系统渗漏流失的稀土母液和浸矿剂，通常在集液沟外侧地势低洼处按一定间距进行布设；污水处理设施主要用于将渗漏尾水、受污染地表水和地下水、浸采区淋洗阶段尾水的处理，处理后的尾水优先进行生产回用，向外环境排放的应符合相应的水污染排放控制要求。</w:t>
      </w:r>
    </w:p>
    <w:p>
      <w:pPr>
        <w:spacing w:line="360" w:lineRule="auto"/>
        <w:ind w:firstLine="480" w:firstLineChars="200"/>
        <w:rPr>
          <w:sz w:val="24"/>
          <w:szCs w:val="24"/>
        </w:rPr>
      </w:pPr>
      <w:r>
        <w:rPr>
          <w:rFonts w:hint="eastAsia"/>
          <w:sz w:val="24"/>
          <w:szCs w:val="24"/>
        </w:rPr>
        <w:t>地下水抽提系统包括上下游地下水监测井和地下水抽提井，当上游监测井发现地下水水质恶化且接近地下水风险管控目标时，启动地下水抽提井进行抽水，形成局部地下水漏斗区，利用水力截获将受污染的地下水从含水层中抽取到地面加以处理。地下水抽提系统布设原则：</w:t>
      </w:r>
    </w:p>
    <w:p>
      <w:pPr>
        <w:spacing w:line="360" w:lineRule="auto"/>
        <w:ind w:firstLine="480" w:firstLineChars="200"/>
        <w:rPr>
          <w:sz w:val="24"/>
          <w:szCs w:val="24"/>
        </w:rPr>
      </w:pPr>
      <w:r>
        <w:rPr>
          <w:rFonts w:hint="eastAsia"/>
          <w:sz w:val="24"/>
          <w:szCs w:val="24"/>
        </w:rPr>
        <w:t>①环境保护敏感点及地下水使用功能。通常在稀土矿区外部敏感点有地下水使用功能的区域之前设置地下水抽提系统，避免对使用的地下水环境产生影响；</w:t>
      </w:r>
    </w:p>
    <w:p>
      <w:pPr>
        <w:spacing w:line="360" w:lineRule="auto"/>
        <w:ind w:firstLine="480" w:firstLineChars="200"/>
        <w:rPr>
          <w:sz w:val="24"/>
          <w:szCs w:val="24"/>
        </w:rPr>
      </w:pPr>
      <w:r>
        <w:rPr>
          <w:rFonts w:hint="eastAsia"/>
          <w:sz w:val="24"/>
          <w:szCs w:val="24"/>
        </w:rPr>
        <w:t>②水文地质条件。由于矿区内和矿区外小范围内地下水均补给地表水体，此范围内设置地下水抽提系统意义不大，应在出矿区后地表水补给第四系松散岩类孔隙水的地段设置地下水抽提系统，才能进一步阻止地下水的迁移途径；</w:t>
      </w:r>
    </w:p>
    <w:p>
      <w:pPr>
        <w:spacing w:line="360" w:lineRule="auto"/>
        <w:ind w:firstLine="480" w:firstLineChars="200"/>
        <w:rPr>
          <w:sz w:val="24"/>
          <w:szCs w:val="24"/>
        </w:rPr>
      </w:pPr>
      <w:r>
        <w:rPr>
          <w:rFonts w:hint="eastAsia"/>
          <w:sz w:val="24"/>
          <w:szCs w:val="24"/>
        </w:rPr>
        <w:t>③地表水系交汇情况。综合考虑矿区外溪流交汇情况，若存在矿区内溪流与另一支流在矿区外交汇，那么地下水抽提系统应布置在交汇口下游合适地段；</w:t>
      </w:r>
    </w:p>
    <w:p>
      <w:pPr>
        <w:spacing w:line="360" w:lineRule="auto"/>
        <w:ind w:firstLine="480" w:firstLineChars="200"/>
      </w:pPr>
      <w:r>
        <w:rPr>
          <w:rFonts w:hint="eastAsia"/>
          <w:sz w:val="24"/>
          <w:szCs w:val="24"/>
        </w:rPr>
        <w:t>④地形条件及地下水截获难易程度。稀土矿区山脉错综复杂，应根据矿区外山体走向来确定地下水截获工作的难易程度，若出矿区一定范围山体走向逐渐合拢，且存在明显第四系，可在龙口设置地下水抽提系统，确保受影响地下水被进一步完全截获，从而提高地下水抽提系统的最大使用功能。</w:t>
      </w:r>
    </w:p>
    <w:p>
      <w:pPr>
        <w:pStyle w:val="3"/>
        <w:spacing w:before="0"/>
      </w:pPr>
      <w:bookmarkStart w:id="58" w:name="_Toc15699"/>
      <w:r>
        <w:rPr>
          <w:rFonts w:hint="eastAsia"/>
        </w:rPr>
        <w:t>监测要求</w:t>
      </w:r>
      <w:bookmarkEnd w:id="58"/>
    </w:p>
    <w:p>
      <w:pPr>
        <w:spacing w:line="360" w:lineRule="auto"/>
        <w:ind w:firstLine="480" w:firstLineChars="200"/>
        <w:rPr>
          <w:sz w:val="24"/>
          <w:szCs w:val="24"/>
        </w:rPr>
      </w:pPr>
      <w:r>
        <w:rPr>
          <w:rFonts w:hint="eastAsia"/>
          <w:sz w:val="24"/>
          <w:szCs w:val="24"/>
        </w:rPr>
        <w:t>本标准控制污染物的采样频次和时间，根据离子型稀土矿原地浸矿工艺特点，考虑离子型稀土矿山原地浸矿开采过程中非点源污染，对地表水、地下水提出监测频次要求。矿山开采期，地表水对照监测断面水质监测频次不少于1次/季度；在开采矿块周边地表水设置若干污染监控断面，水质监测频次不少于1次/周；管控断面和地表水环境质量达标断面水质监测频次不少于1次/月。矿山开采期，地下水对照监测井水质监测频次不少于2次/年，丰枯水期至少各1次；地下水污染扩散监测井水质监测频次不少于1次/月；地下水环境影响跟踪监测井水质监测频次不少于1次/季度。注液结束后，根据尾水收集及水质监测结果变化情况可逐步减少监测频次。</w:t>
      </w:r>
    </w:p>
    <w:p>
      <w:pPr>
        <w:spacing w:line="360" w:lineRule="auto"/>
        <w:ind w:firstLine="480" w:firstLineChars="200"/>
      </w:pPr>
      <w:r>
        <w:rPr>
          <w:sz w:val="24"/>
          <w:szCs w:val="24"/>
        </w:rPr>
        <w:t>本标准所列各控制污染物的测定方法，国家及行业均己颁布相应的标准，详见标准文本的表</w:t>
      </w:r>
      <w:r>
        <w:rPr>
          <w:rFonts w:hint="eastAsia"/>
          <w:sz w:val="24"/>
          <w:szCs w:val="24"/>
          <w:lang w:val="en-US" w:eastAsia="zh-CN"/>
        </w:rPr>
        <w:t>4</w:t>
      </w:r>
      <w:r>
        <w:rPr>
          <w:rFonts w:hint="eastAsia"/>
          <w:sz w:val="24"/>
          <w:szCs w:val="24"/>
        </w:rPr>
        <w:t>。</w:t>
      </w:r>
    </w:p>
    <w:p>
      <w:pPr>
        <w:pStyle w:val="2"/>
        <w:rPr>
          <w:sz w:val="32"/>
        </w:rPr>
      </w:pPr>
      <w:bookmarkStart w:id="59" w:name="_Toc10485"/>
      <w:r>
        <w:rPr>
          <w:rFonts w:hint="eastAsia"/>
          <w:sz w:val="32"/>
        </w:rPr>
        <w:t>与现行相关法律、法规、规章及相关标准，特别是强制性标准的协调性</w:t>
      </w:r>
      <w:bookmarkEnd w:id="59"/>
    </w:p>
    <w:p>
      <w:pPr>
        <w:spacing w:before="156" w:beforeLines="50" w:line="360" w:lineRule="auto"/>
        <w:ind w:firstLine="480" w:firstLineChars="200"/>
        <w:rPr>
          <w:sz w:val="24"/>
          <w:szCs w:val="24"/>
        </w:rPr>
      </w:pPr>
      <w:r>
        <w:rPr>
          <w:rFonts w:hint="eastAsia"/>
          <w:sz w:val="24"/>
          <w:szCs w:val="24"/>
        </w:rPr>
        <w:t>本标准（预审稿）符合现行法律、法规、规章及相关标准。</w:t>
      </w:r>
    </w:p>
    <w:p>
      <w:pPr>
        <w:pStyle w:val="2"/>
        <w:spacing w:before="156" w:beforeLines="50"/>
        <w:rPr>
          <w:sz w:val="32"/>
        </w:rPr>
      </w:pPr>
      <w:bookmarkStart w:id="60" w:name="_Toc29967"/>
      <w:r>
        <w:rPr>
          <w:rFonts w:hint="eastAsia"/>
          <w:sz w:val="32"/>
        </w:rPr>
        <w:t>标准中涉及的专业或知识产权说明</w:t>
      </w:r>
      <w:bookmarkEnd w:id="60"/>
    </w:p>
    <w:p>
      <w:pPr>
        <w:spacing w:before="156" w:beforeLines="50" w:after="100" w:afterAutospacing="1" w:line="360" w:lineRule="auto"/>
        <w:ind w:firstLine="480" w:firstLineChars="200"/>
        <w:rPr>
          <w:sz w:val="24"/>
          <w:szCs w:val="24"/>
        </w:rPr>
      </w:pPr>
      <w:r>
        <w:rPr>
          <w:rFonts w:hint="eastAsia"/>
          <w:sz w:val="24"/>
          <w:szCs w:val="24"/>
        </w:rPr>
        <w:t>本标准制定过程中未检索到专利和知识产权问题。</w:t>
      </w:r>
    </w:p>
    <w:p>
      <w:pPr>
        <w:pStyle w:val="2"/>
        <w:rPr>
          <w:sz w:val="32"/>
        </w:rPr>
      </w:pPr>
      <w:bookmarkStart w:id="61" w:name="_Toc16177"/>
      <w:r>
        <w:rPr>
          <w:rFonts w:hint="eastAsia"/>
          <w:sz w:val="32"/>
        </w:rPr>
        <w:t>标准作为强制性或推荐性标准的建议</w:t>
      </w:r>
      <w:bookmarkEnd w:id="61"/>
    </w:p>
    <w:p>
      <w:pPr>
        <w:spacing w:before="156" w:beforeLines="50" w:after="100" w:afterAutospacing="1" w:line="360" w:lineRule="auto"/>
        <w:ind w:firstLine="480" w:firstLineChars="200"/>
        <w:rPr>
          <w:sz w:val="24"/>
          <w:szCs w:val="24"/>
        </w:rPr>
      </w:pPr>
      <w:r>
        <w:rPr>
          <w:rFonts w:hint="eastAsia"/>
          <w:sz w:val="24"/>
          <w:szCs w:val="24"/>
        </w:rPr>
        <w:t>建议该标准作为强制性标准。</w:t>
      </w:r>
    </w:p>
    <w:p>
      <w:pPr>
        <w:pStyle w:val="2"/>
        <w:rPr>
          <w:sz w:val="32"/>
        </w:rPr>
      </w:pPr>
      <w:bookmarkStart w:id="62" w:name="_Toc810"/>
      <w:r>
        <w:rPr>
          <w:rFonts w:hint="eastAsia"/>
          <w:sz w:val="32"/>
        </w:rPr>
        <w:t>贯彻标准的要求和措施建议</w:t>
      </w:r>
      <w:bookmarkEnd w:id="62"/>
    </w:p>
    <w:p>
      <w:pPr>
        <w:spacing w:before="156" w:beforeLines="50" w:line="360" w:lineRule="auto"/>
        <w:ind w:firstLine="480" w:firstLineChars="200"/>
        <w:rPr>
          <w:rFonts w:hint="eastAsia"/>
          <w:sz w:val="24"/>
          <w:szCs w:val="24"/>
        </w:rPr>
        <w:sectPr>
          <w:pgSz w:w="11906" w:h="16838"/>
          <w:pgMar w:top="1440" w:right="1800" w:bottom="1440" w:left="1800" w:header="851" w:footer="992" w:gutter="0"/>
          <w:pgNumType w:fmt="decimal"/>
          <w:cols w:space="425" w:num="1"/>
          <w:docGrid w:type="lines" w:linePitch="312" w:charSpace="0"/>
        </w:sectPr>
      </w:pPr>
      <w:r>
        <w:rPr>
          <w:rFonts w:hint="eastAsia"/>
          <w:sz w:val="24"/>
          <w:szCs w:val="24"/>
        </w:rPr>
        <w:t>本标准规定了采用原地浸矿工艺的离子型稀土矿开采水污染控制要求和控制措施，建议用于采用原地浸矿工艺的离子型稀土矿开采企业水污染控制管理，建设项目的环境影响评价、环境保护设施设计、竣工环保验收、排污许可证核发及其投产后的水污染控制管理等。</w:t>
      </w:r>
    </w:p>
    <w:p>
      <w:pPr>
        <w:jc w:val="center"/>
        <w:rPr>
          <w:rFonts w:hint="eastAsia"/>
          <w:sz w:val="24"/>
          <w:szCs w:val="24"/>
          <w:lang w:val="en-US" w:eastAsia="zh-CN"/>
        </w:rPr>
      </w:pPr>
      <w:r>
        <w:rPr>
          <w:rFonts w:hint="eastAsia"/>
          <w:sz w:val="24"/>
          <w:szCs w:val="24"/>
          <w:lang w:val="en-US" w:eastAsia="zh-CN"/>
        </w:rPr>
        <w:drawing>
          <wp:inline distT="0" distB="0" distL="114300" distR="114300">
            <wp:extent cx="6320155" cy="4731385"/>
            <wp:effectExtent l="0" t="0" r="4445" b="12065"/>
            <wp:docPr id="5" name="图片 5" descr="4e5a2697197dc16ef34668e26cd83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4e5a2697197dc16ef34668e26cd83aa"/>
                    <pic:cNvPicPr>
                      <a:picLocks noChangeAspect="1"/>
                    </pic:cNvPicPr>
                  </pic:nvPicPr>
                  <pic:blipFill>
                    <a:blip r:embed="rId13"/>
                    <a:stretch>
                      <a:fillRect/>
                    </a:stretch>
                  </pic:blipFill>
                  <pic:spPr>
                    <a:xfrm>
                      <a:off x="0" y="0"/>
                      <a:ext cx="6320155" cy="4731385"/>
                    </a:xfrm>
                    <a:prstGeom prst="rect">
                      <a:avLst/>
                    </a:prstGeom>
                  </pic:spPr>
                </pic:pic>
              </a:graphicData>
            </a:graphic>
          </wp:inline>
        </w:drawing>
      </w:r>
    </w:p>
    <w:p>
      <w:pPr>
        <w:spacing w:line="360" w:lineRule="auto"/>
        <w:ind w:firstLine="480" w:firstLineChars="200"/>
        <w:jc w:val="center"/>
        <w:rPr>
          <w:rFonts w:hint="eastAsia"/>
          <w:sz w:val="24"/>
          <w:szCs w:val="24"/>
          <w:lang w:val="en-US" w:eastAsia="zh-CN"/>
        </w:rPr>
        <w:sectPr>
          <w:pgSz w:w="16838" w:h="11906" w:orient="landscape"/>
          <w:pgMar w:top="1800" w:right="1440" w:bottom="1800" w:left="1440" w:header="851" w:footer="992" w:gutter="0"/>
          <w:pgNumType w:fmt="decimal"/>
          <w:cols w:space="425" w:num="1"/>
          <w:docGrid w:type="lines" w:linePitch="312" w:charSpace="0"/>
        </w:sectPr>
      </w:pPr>
      <w:r>
        <w:rPr>
          <w:rFonts w:hint="eastAsia"/>
          <w:sz w:val="24"/>
          <w:szCs w:val="24"/>
          <w:lang w:val="en-US" w:eastAsia="zh-CN"/>
        </w:rPr>
        <w:t>附图1 地表水监测断面示意图</w:t>
      </w:r>
    </w:p>
    <w:p>
      <w:pPr>
        <w:spacing w:line="360" w:lineRule="auto"/>
        <w:ind w:firstLine="480" w:firstLineChars="200"/>
        <w:jc w:val="center"/>
        <w:rPr>
          <w:rFonts w:hint="eastAsia"/>
          <w:sz w:val="24"/>
          <w:szCs w:val="24"/>
          <w:lang w:val="en-US" w:eastAsia="zh-CN"/>
        </w:rPr>
      </w:pPr>
      <w:r>
        <w:rPr>
          <w:rFonts w:hint="eastAsia"/>
          <w:sz w:val="24"/>
          <w:szCs w:val="24"/>
          <w:lang w:val="en-US" w:eastAsia="zh-CN"/>
        </w:rPr>
        <w:drawing>
          <wp:inline distT="0" distB="0" distL="114300" distR="114300">
            <wp:extent cx="4962525" cy="6264910"/>
            <wp:effectExtent l="0" t="0" r="9525" b="2540"/>
            <wp:docPr id="2" name="图片 2" descr="13ce95f02b76515d730a6f246fa5e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3ce95f02b76515d730a6f246fa5ea3"/>
                    <pic:cNvPicPr>
                      <a:picLocks noChangeAspect="1"/>
                    </pic:cNvPicPr>
                  </pic:nvPicPr>
                  <pic:blipFill>
                    <a:blip r:embed="rId14"/>
                    <a:stretch>
                      <a:fillRect/>
                    </a:stretch>
                  </pic:blipFill>
                  <pic:spPr>
                    <a:xfrm>
                      <a:off x="0" y="0"/>
                      <a:ext cx="4962525" cy="6264910"/>
                    </a:xfrm>
                    <a:prstGeom prst="rect">
                      <a:avLst/>
                    </a:prstGeom>
                  </pic:spPr>
                </pic:pic>
              </a:graphicData>
            </a:graphic>
          </wp:inline>
        </w:drawing>
      </w:r>
    </w:p>
    <w:p>
      <w:pPr>
        <w:spacing w:line="360" w:lineRule="auto"/>
        <w:ind w:firstLine="480" w:firstLineChars="200"/>
        <w:jc w:val="center"/>
        <w:rPr>
          <w:rFonts w:hint="eastAsia"/>
          <w:sz w:val="24"/>
          <w:szCs w:val="24"/>
          <w:lang w:val="en-US" w:eastAsia="zh-CN"/>
        </w:rPr>
      </w:pPr>
      <w:r>
        <w:rPr>
          <w:rFonts w:hint="eastAsia"/>
          <w:sz w:val="24"/>
          <w:szCs w:val="24"/>
          <w:lang w:val="en-US" w:eastAsia="zh-CN"/>
        </w:rPr>
        <w:t>附图2 典型矿山一地下水监测井和地下水环境控制范围设置示意图</w:t>
      </w:r>
    </w:p>
    <w:p>
      <w:pPr>
        <w:spacing w:line="360" w:lineRule="auto"/>
        <w:ind w:firstLine="480" w:firstLineChars="200"/>
        <w:jc w:val="center"/>
        <w:rPr>
          <w:rFonts w:hint="eastAsia"/>
          <w:sz w:val="24"/>
          <w:szCs w:val="24"/>
          <w:lang w:val="en-US" w:eastAsia="zh-CN"/>
        </w:rPr>
      </w:pPr>
      <w:r>
        <w:rPr>
          <w:rFonts w:hint="eastAsia"/>
          <w:sz w:val="24"/>
          <w:szCs w:val="24"/>
          <w:lang w:val="en-US" w:eastAsia="zh-CN"/>
        </w:rPr>
        <w:drawing>
          <wp:inline distT="0" distB="0" distL="114300" distR="114300">
            <wp:extent cx="5276215" cy="6285230"/>
            <wp:effectExtent l="0" t="0" r="635" b="1270"/>
            <wp:docPr id="3" name="图片 3" descr="d47880667c8c35160a2e68c51cb6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47880667c8c35160a2e68c51cb6177"/>
                    <pic:cNvPicPr>
                      <a:picLocks noChangeAspect="1"/>
                    </pic:cNvPicPr>
                  </pic:nvPicPr>
                  <pic:blipFill>
                    <a:blip r:embed="rId15"/>
                    <a:stretch>
                      <a:fillRect/>
                    </a:stretch>
                  </pic:blipFill>
                  <pic:spPr>
                    <a:xfrm>
                      <a:off x="0" y="0"/>
                      <a:ext cx="5276215" cy="6285230"/>
                    </a:xfrm>
                    <a:prstGeom prst="rect">
                      <a:avLst/>
                    </a:prstGeom>
                  </pic:spPr>
                </pic:pic>
              </a:graphicData>
            </a:graphic>
          </wp:inline>
        </w:drawing>
      </w:r>
    </w:p>
    <w:p>
      <w:pPr>
        <w:spacing w:line="360" w:lineRule="auto"/>
        <w:ind w:firstLine="480" w:firstLineChars="200"/>
        <w:jc w:val="center"/>
        <w:rPr>
          <w:sz w:val="24"/>
          <w:szCs w:val="24"/>
        </w:rPr>
      </w:pPr>
      <w:r>
        <w:rPr>
          <w:rFonts w:hint="eastAsia"/>
          <w:sz w:val="24"/>
          <w:szCs w:val="24"/>
          <w:lang w:val="en-US" w:eastAsia="zh-CN"/>
        </w:rPr>
        <w:t>附图3 典型矿山二地下水监测井和地下水环境控制范围设置示意图</w:t>
      </w:r>
    </w:p>
    <w:sectPr>
      <w:footerReference r:id="rId6"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lear" w:pos="4153"/>
      </w:tabs>
      <w:jc w:val="center"/>
    </w:pPr>
  </w:p>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lear" w:pos="4153"/>
      </w:tabs>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3</w:t>
                    </w:r>
                    <w:r>
                      <w:fldChar w:fldCharType="end"/>
                    </w:r>
                  </w:p>
                </w:txbxContent>
              </v:textbox>
            </v:shape>
          </w:pict>
        </mc:Fallback>
      </mc:AlternateContent>
    </w:r>
  </w:p>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39263831"/>
                            <w:docPartObj>
                              <w:docPartGallery w:val="autotext"/>
                            </w:docPartObj>
                          </w:sdtPr>
                          <w:sdtContent>
                            <w:p>
                              <w:pPr>
                                <w:pStyle w:val="17"/>
                                <w:jc w:val="center"/>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sdt>
                    <w:sdtPr>
                      <w:id w:val="439263831"/>
                      <w:docPartObj>
                        <w:docPartGallery w:val="autotext"/>
                      </w:docPartObj>
                    </w:sdtPr>
                    <w:sdtContent>
                      <w:p>
                        <w:pPr>
                          <w:pStyle w:val="17"/>
                          <w:jc w:val="center"/>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p>
    <w:pPr>
      <w:pStyle w:val="1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7A33AA"/>
    <w:multiLevelType w:val="multilevel"/>
    <w:tmpl w:val="2A7A33AA"/>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5CCE0375"/>
    <w:multiLevelType w:val="multilevel"/>
    <w:tmpl w:val="5CCE0375"/>
    <w:lvl w:ilvl="0" w:tentative="0">
      <w:start w:val="1"/>
      <w:numFmt w:val="decimal"/>
      <w:pStyle w:val="2"/>
      <w:lvlText w:val="%1"/>
      <w:lvlJc w:val="left"/>
      <w:pPr>
        <w:tabs>
          <w:tab w:val="left" w:pos="360"/>
        </w:tabs>
        <w:ind w:left="0" w:firstLine="0"/>
      </w:pPr>
      <w:rPr>
        <w:rFonts w:hint="eastAsia"/>
      </w:rPr>
    </w:lvl>
    <w:lvl w:ilvl="1" w:tentative="0">
      <w:start w:val="1"/>
      <w:numFmt w:val="decimal"/>
      <w:pStyle w:val="3"/>
      <w:lvlText w:val="%1.%2"/>
      <w:lvlJc w:val="left"/>
      <w:pPr>
        <w:tabs>
          <w:tab w:val="left" w:pos="720"/>
        </w:tabs>
        <w:ind w:left="0" w:firstLine="0"/>
      </w:pPr>
      <w:rPr>
        <w:rFonts w:hint="eastAsia"/>
      </w:rPr>
    </w:lvl>
    <w:lvl w:ilvl="2" w:tentative="0">
      <w:start w:val="1"/>
      <w:numFmt w:val="decimal"/>
      <w:pStyle w:val="4"/>
      <w:lvlText w:val="%1.%2.%3"/>
      <w:lvlJc w:val="left"/>
      <w:pPr>
        <w:tabs>
          <w:tab w:val="left" w:pos="720"/>
        </w:tabs>
        <w:ind w:left="720" w:hanging="720"/>
      </w:pPr>
      <w:rPr>
        <w:rFonts w:hint="eastAsia"/>
        <w:sz w:val="24"/>
        <w:szCs w:val="24"/>
      </w:rPr>
    </w:lvl>
    <w:lvl w:ilvl="3" w:tentative="0">
      <w:start w:val="1"/>
      <w:numFmt w:val="decimal"/>
      <w:pStyle w:val="5"/>
      <w:lvlText w:val="%1.%2.%3.%4"/>
      <w:lvlJc w:val="left"/>
      <w:pPr>
        <w:tabs>
          <w:tab w:val="left" w:pos="864"/>
        </w:tabs>
        <w:ind w:left="864" w:hanging="864"/>
      </w:pPr>
      <w:rPr>
        <w:rFonts w:hint="eastAsia"/>
      </w:rPr>
    </w:lvl>
    <w:lvl w:ilvl="4" w:tentative="0">
      <w:start w:val="1"/>
      <w:numFmt w:val="decimal"/>
      <w:pStyle w:val="6"/>
      <w:lvlText w:val="%1.%2.%3.%4.%5"/>
      <w:lvlJc w:val="left"/>
      <w:pPr>
        <w:tabs>
          <w:tab w:val="left" w:pos="1008"/>
        </w:tabs>
        <w:ind w:left="1008" w:hanging="1008"/>
      </w:pPr>
      <w:rPr>
        <w:rFonts w:hint="eastAsia"/>
      </w:rPr>
    </w:lvl>
    <w:lvl w:ilvl="5" w:tentative="0">
      <w:start w:val="1"/>
      <w:numFmt w:val="decimal"/>
      <w:pStyle w:val="7"/>
      <w:lvlText w:val="%1.%2.%3.%4.%5.%6"/>
      <w:lvlJc w:val="left"/>
      <w:pPr>
        <w:tabs>
          <w:tab w:val="left" w:pos="1152"/>
        </w:tabs>
        <w:ind w:left="1152" w:hanging="1152"/>
      </w:pPr>
      <w:rPr>
        <w:rFonts w:hint="eastAsia"/>
      </w:rPr>
    </w:lvl>
    <w:lvl w:ilvl="6" w:tentative="0">
      <w:start w:val="1"/>
      <w:numFmt w:val="decimal"/>
      <w:pStyle w:val="8"/>
      <w:lvlText w:val="%1.%2.%3.%4.%5.%6.%7"/>
      <w:lvlJc w:val="left"/>
      <w:pPr>
        <w:tabs>
          <w:tab w:val="left" w:pos="1296"/>
        </w:tabs>
        <w:ind w:left="1296" w:hanging="1296"/>
      </w:pPr>
      <w:rPr>
        <w:rFonts w:hint="eastAsia"/>
      </w:rPr>
    </w:lvl>
    <w:lvl w:ilvl="7" w:tentative="0">
      <w:start w:val="1"/>
      <w:numFmt w:val="decimal"/>
      <w:pStyle w:val="9"/>
      <w:lvlText w:val="%1.%2.%3.%4.%5.%6.%7.%8"/>
      <w:lvlJc w:val="left"/>
      <w:pPr>
        <w:tabs>
          <w:tab w:val="left" w:pos="1440"/>
        </w:tabs>
        <w:ind w:left="1440" w:hanging="1440"/>
      </w:pPr>
      <w:rPr>
        <w:rFonts w:hint="eastAsia"/>
      </w:rPr>
    </w:lvl>
    <w:lvl w:ilvl="8" w:tentative="0">
      <w:start w:val="1"/>
      <w:numFmt w:val="decimal"/>
      <w:pStyle w:val="10"/>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RlMTU4N2FiN2Y3YWQ2MTJjMWYzMDNkZGYzZTgyYjgifQ=="/>
  </w:docVars>
  <w:rsids>
    <w:rsidRoot w:val="745542B7"/>
    <w:rsid w:val="00000D1A"/>
    <w:rsid w:val="00014DC0"/>
    <w:rsid w:val="000242E9"/>
    <w:rsid w:val="000252A2"/>
    <w:rsid w:val="000260B7"/>
    <w:rsid w:val="0002689A"/>
    <w:rsid w:val="00030989"/>
    <w:rsid w:val="000323E6"/>
    <w:rsid w:val="00032942"/>
    <w:rsid w:val="00040210"/>
    <w:rsid w:val="000440B8"/>
    <w:rsid w:val="00044E2D"/>
    <w:rsid w:val="000451C5"/>
    <w:rsid w:val="00051A25"/>
    <w:rsid w:val="00064840"/>
    <w:rsid w:val="00064CCE"/>
    <w:rsid w:val="00071860"/>
    <w:rsid w:val="00072177"/>
    <w:rsid w:val="000748B0"/>
    <w:rsid w:val="000759BB"/>
    <w:rsid w:val="00091E7C"/>
    <w:rsid w:val="000929E2"/>
    <w:rsid w:val="0009494A"/>
    <w:rsid w:val="00097762"/>
    <w:rsid w:val="00097B19"/>
    <w:rsid w:val="000A08CB"/>
    <w:rsid w:val="000A2958"/>
    <w:rsid w:val="000A3D0D"/>
    <w:rsid w:val="000A5DD8"/>
    <w:rsid w:val="000B0916"/>
    <w:rsid w:val="000B40A3"/>
    <w:rsid w:val="000B4D29"/>
    <w:rsid w:val="000B5FF9"/>
    <w:rsid w:val="000B7525"/>
    <w:rsid w:val="000C3C6A"/>
    <w:rsid w:val="000C3DC4"/>
    <w:rsid w:val="000F1742"/>
    <w:rsid w:val="000F6A32"/>
    <w:rsid w:val="000F6ADF"/>
    <w:rsid w:val="000F7ACB"/>
    <w:rsid w:val="00100DD5"/>
    <w:rsid w:val="00106792"/>
    <w:rsid w:val="00107D0D"/>
    <w:rsid w:val="001129E5"/>
    <w:rsid w:val="00113181"/>
    <w:rsid w:val="00113ECB"/>
    <w:rsid w:val="001153B9"/>
    <w:rsid w:val="00117F3B"/>
    <w:rsid w:val="0012275D"/>
    <w:rsid w:val="0012566B"/>
    <w:rsid w:val="00126E78"/>
    <w:rsid w:val="0013004E"/>
    <w:rsid w:val="0013137B"/>
    <w:rsid w:val="00137D65"/>
    <w:rsid w:val="00143974"/>
    <w:rsid w:val="00151D70"/>
    <w:rsid w:val="00157E17"/>
    <w:rsid w:val="001646DA"/>
    <w:rsid w:val="001655F6"/>
    <w:rsid w:val="00166ED3"/>
    <w:rsid w:val="001704D7"/>
    <w:rsid w:val="0017408A"/>
    <w:rsid w:val="001836A8"/>
    <w:rsid w:val="0019535E"/>
    <w:rsid w:val="00196714"/>
    <w:rsid w:val="001A2059"/>
    <w:rsid w:val="001A2551"/>
    <w:rsid w:val="001A3E50"/>
    <w:rsid w:val="001A7434"/>
    <w:rsid w:val="001B625C"/>
    <w:rsid w:val="001C19BC"/>
    <w:rsid w:val="001C4BC2"/>
    <w:rsid w:val="001C7F2F"/>
    <w:rsid w:val="001D16C6"/>
    <w:rsid w:val="001D22AE"/>
    <w:rsid w:val="001D2B86"/>
    <w:rsid w:val="001D6A1D"/>
    <w:rsid w:val="001D7D92"/>
    <w:rsid w:val="001E05D3"/>
    <w:rsid w:val="001E138F"/>
    <w:rsid w:val="001E298A"/>
    <w:rsid w:val="001E3B81"/>
    <w:rsid w:val="001E41B4"/>
    <w:rsid w:val="001F20DF"/>
    <w:rsid w:val="001F2300"/>
    <w:rsid w:val="002032C8"/>
    <w:rsid w:val="002056FA"/>
    <w:rsid w:val="00216177"/>
    <w:rsid w:val="00216D7C"/>
    <w:rsid w:val="00216F62"/>
    <w:rsid w:val="0022025D"/>
    <w:rsid w:val="002212FF"/>
    <w:rsid w:val="00222A22"/>
    <w:rsid w:val="00222B85"/>
    <w:rsid w:val="002268A0"/>
    <w:rsid w:val="00232EAE"/>
    <w:rsid w:val="00233A49"/>
    <w:rsid w:val="00235E20"/>
    <w:rsid w:val="0024135E"/>
    <w:rsid w:val="00243EB6"/>
    <w:rsid w:val="002460BF"/>
    <w:rsid w:val="00255B0D"/>
    <w:rsid w:val="00261270"/>
    <w:rsid w:val="00261A29"/>
    <w:rsid w:val="00262250"/>
    <w:rsid w:val="00262476"/>
    <w:rsid w:val="00262D68"/>
    <w:rsid w:val="00263A5D"/>
    <w:rsid w:val="002646E2"/>
    <w:rsid w:val="002663BE"/>
    <w:rsid w:val="002708EA"/>
    <w:rsid w:val="002726B1"/>
    <w:rsid w:val="00281975"/>
    <w:rsid w:val="002819E9"/>
    <w:rsid w:val="00284F87"/>
    <w:rsid w:val="002863BA"/>
    <w:rsid w:val="002873B6"/>
    <w:rsid w:val="002A603F"/>
    <w:rsid w:val="002B1D32"/>
    <w:rsid w:val="002B427C"/>
    <w:rsid w:val="002B5E46"/>
    <w:rsid w:val="002C0D45"/>
    <w:rsid w:val="002C1C8F"/>
    <w:rsid w:val="002C2634"/>
    <w:rsid w:val="002C5D1C"/>
    <w:rsid w:val="002D1356"/>
    <w:rsid w:val="002D3740"/>
    <w:rsid w:val="002D5C21"/>
    <w:rsid w:val="002D6545"/>
    <w:rsid w:val="002D6BF8"/>
    <w:rsid w:val="002D7081"/>
    <w:rsid w:val="002D7FB7"/>
    <w:rsid w:val="002E2BD3"/>
    <w:rsid w:val="002F3DDB"/>
    <w:rsid w:val="002F40CC"/>
    <w:rsid w:val="002F4A5F"/>
    <w:rsid w:val="002F69D0"/>
    <w:rsid w:val="00300315"/>
    <w:rsid w:val="00301193"/>
    <w:rsid w:val="00302ADD"/>
    <w:rsid w:val="00304301"/>
    <w:rsid w:val="00305994"/>
    <w:rsid w:val="00305F23"/>
    <w:rsid w:val="00306720"/>
    <w:rsid w:val="00315832"/>
    <w:rsid w:val="00317BF5"/>
    <w:rsid w:val="0032258B"/>
    <w:rsid w:val="00323395"/>
    <w:rsid w:val="00325727"/>
    <w:rsid w:val="00333E18"/>
    <w:rsid w:val="00334932"/>
    <w:rsid w:val="003361C4"/>
    <w:rsid w:val="00341460"/>
    <w:rsid w:val="00351426"/>
    <w:rsid w:val="00353E7D"/>
    <w:rsid w:val="0035417D"/>
    <w:rsid w:val="00363684"/>
    <w:rsid w:val="00363760"/>
    <w:rsid w:val="00364536"/>
    <w:rsid w:val="00374EC3"/>
    <w:rsid w:val="003750E5"/>
    <w:rsid w:val="00377422"/>
    <w:rsid w:val="00377C89"/>
    <w:rsid w:val="003830F6"/>
    <w:rsid w:val="00385D00"/>
    <w:rsid w:val="003964EB"/>
    <w:rsid w:val="003A2E3A"/>
    <w:rsid w:val="003A5A8C"/>
    <w:rsid w:val="003A6D6E"/>
    <w:rsid w:val="003B30A8"/>
    <w:rsid w:val="003B63BE"/>
    <w:rsid w:val="003B67C3"/>
    <w:rsid w:val="003C0B5B"/>
    <w:rsid w:val="003C2C8E"/>
    <w:rsid w:val="003C4B19"/>
    <w:rsid w:val="003D1F82"/>
    <w:rsid w:val="003D2EDA"/>
    <w:rsid w:val="003D71C8"/>
    <w:rsid w:val="003E6C3D"/>
    <w:rsid w:val="003E727D"/>
    <w:rsid w:val="003E7B60"/>
    <w:rsid w:val="003F034F"/>
    <w:rsid w:val="003F6896"/>
    <w:rsid w:val="00400339"/>
    <w:rsid w:val="00402DB3"/>
    <w:rsid w:val="00403B7C"/>
    <w:rsid w:val="00410473"/>
    <w:rsid w:val="004104ED"/>
    <w:rsid w:val="00412C34"/>
    <w:rsid w:val="00412C3B"/>
    <w:rsid w:val="004131B6"/>
    <w:rsid w:val="0041352D"/>
    <w:rsid w:val="004150C2"/>
    <w:rsid w:val="00415FB7"/>
    <w:rsid w:val="004161D4"/>
    <w:rsid w:val="00416439"/>
    <w:rsid w:val="004220F1"/>
    <w:rsid w:val="00431393"/>
    <w:rsid w:val="00431411"/>
    <w:rsid w:val="0043144B"/>
    <w:rsid w:val="00434942"/>
    <w:rsid w:val="00435E76"/>
    <w:rsid w:val="00437F40"/>
    <w:rsid w:val="0044207C"/>
    <w:rsid w:val="00443767"/>
    <w:rsid w:val="004449F1"/>
    <w:rsid w:val="00445567"/>
    <w:rsid w:val="00446596"/>
    <w:rsid w:val="00451D8D"/>
    <w:rsid w:val="00453E98"/>
    <w:rsid w:val="00455706"/>
    <w:rsid w:val="004564A3"/>
    <w:rsid w:val="00462D87"/>
    <w:rsid w:val="0046365E"/>
    <w:rsid w:val="00467304"/>
    <w:rsid w:val="00470346"/>
    <w:rsid w:val="00470ECD"/>
    <w:rsid w:val="00475F0D"/>
    <w:rsid w:val="00480588"/>
    <w:rsid w:val="0048510B"/>
    <w:rsid w:val="00487492"/>
    <w:rsid w:val="00490521"/>
    <w:rsid w:val="00492CCA"/>
    <w:rsid w:val="00495A6B"/>
    <w:rsid w:val="004A5F17"/>
    <w:rsid w:val="004A723C"/>
    <w:rsid w:val="004B27F0"/>
    <w:rsid w:val="004B3145"/>
    <w:rsid w:val="004B7CDE"/>
    <w:rsid w:val="004C4E58"/>
    <w:rsid w:val="004C5E81"/>
    <w:rsid w:val="004D332C"/>
    <w:rsid w:val="004D5801"/>
    <w:rsid w:val="004D741C"/>
    <w:rsid w:val="004E19F9"/>
    <w:rsid w:val="004E33E8"/>
    <w:rsid w:val="004F0B39"/>
    <w:rsid w:val="004F1231"/>
    <w:rsid w:val="005041D6"/>
    <w:rsid w:val="00514233"/>
    <w:rsid w:val="005159F9"/>
    <w:rsid w:val="00516A76"/>
    <w:rsid w:val="00517A5E"/>
    <w:rsid w:val="00520F62"/>
    <w:rsid w:val="005254B5"/>
    <w:rsid w:val="00530578"/>
    <w:rsid w:val="00531D89"/>
    <w:rsid w:val="00534D52"/>
    <w:rsid w:val="005409D7"/>
    <w:rsid w:val="005415BE"/>
    <w:rsid w:val="00542FC1"/>
    <w:rsid w:val="00547AFF"/>
    <w:rsid w:val="00547F1D"/>
    <w:rsid w:val="00555BBB"/>
    <w:rsid w:val="00560147"/>
    <w:rsid w:val="005617C3"/>
    <w:rsid w:val="00562902"/>
    <w:rsid w:val="00563A6F"/>
    <w:rsid w:val="0057009E"/>
    <w:rsid w:val="005712BB"/>
    <w:rsid w:val="005713EF"/>
    <w:rsid w:val="005804C8"/>
    <w:rsid w:val="00581A01"/>
    <w:rsid w:val="005847DE"/>
    <w:rsid w:val="00590AD4"/>
    <w:rsid w:val="005952D4"/>
    <w:rsid w:val="0059628E"/>
    <w:rsid w:val="00596E85"/>
    <w:rsid w:val="005A1EBA"/>
    <w:rsid w:val="005A306D"/>
    <w:rsid w:val="005A716E"/>
    <w:rsid w:val="005A7829"/>
    <w:rsid w:val="005A7E9E"/>
    <w:rsid w:val="005B309E"/>
    <w:rsid w:val="005B6C4E"/>
    <w:rsid w:val="005C2416"/>
    <w:rsid w:val="005C27AD"/>
    <w:rsid w:val="005C4A92"/>
    <w:rsid w:val="005C5716"/>
    <w:rsid w:val="005D17C8"/>
    <w:rsid w:val="005E32BD"/>
    <w:rsid w:val="005E4022"/>
    <w:rsid w:val="005F3810"/>
    <w:rsid w:val="0060083A"/>
    <w:rsid w:val="00613C97"/>
    <w:rsid w:val="00614D0A"/>
    <w:rsid w:val="00615035"/>
    <w:rsid w:val="006211E0"/>
    <w:rsid w:val="006328FC"/>
    <w:rsid w:val="00637DF8"/>
    <w:rsid w:val="0064125D"/>
    <w:rsid w:val="00641A1A"/>
    <w:rsid w:val="00642594"/>
    <w:rsid w:val="0064476C"/>
    <w:rsid w:val="006456AF"/>
    <w:rsid w:val="006472C2"/>
    <w:rsid w:val="00651BB1"/>
    <w:rsid w:val="00652BE8"/>
    <w:rsid w:val="006714E7"/>
    <w:rsid w:val="00672FBD"/>
    <w:rsid w:val="006746AA"/>
    <w:rsid w:val="006752CC"/>
    <w:rsid w:val="0068135E"/>
    <w:rsid w:val="00683EE1"/>
    <w:rsid w:val="006877E8"/>
    <w:rsid w:val="006917E6"/>
    <w:rsid w:val="00691FAE"/>
    <w:rsid w:val="00692E23"/>
    <w:rsid w:val="00695F92"/>
    <w:rsid w:val="006A181E"/>
    <w:rsid w:val="006A2180"/>
    <w:rsid w:val="006A2357"/>
    <w:rsid w:val="006B0AC5"/>
    <w:rsid w:val="006B12A4"/>
    <w:rsid w:val="006B39A4"/>
    <w:rsid w:val="006B3A32"/>
    <w:rsid w:val="006B74A0"/>
    <w:rsid w:val="006B7C38"/>
    <w:rsid w:val="006C02CE"/>
    <w:rsid w:val="006C0449"/>
    <w:rsid w:val="006C230D"/>
    <w:rsid w:val="006C31CD"/>
    <w:rsid w:val="006C4049"/>
    <w:rsid w:val="006D2AED"/>
    <w:rsid w:val="006E051B"/>
    <w:rsid w:val="006E068D"/>
    <w:rsid w:val="006E2598"/>
    <w:rsid w:val="006E43A3"/>
    <w:rsid w:val="006E4D46"/>
    <w:rsid w:val="006F1CBB"/>
    <w:rsid w:val="006F3E8E"/>
    <w:rsid w:val="006F4FB0"/>
    <w:rsid w:val="00710F83"/>
    <w:rsid w:val="00711F8D"/>
    <w:rsid w:val="00714876"/>
    <w:rsid w:val="0071558C"/>
    <w:rsid w:val="00716AF9"/>
    <w:rsid w:val="00721933"/>
    <w:rsid w:val="00723EBE"/>
    <w:rsid w:val="00733524"/>
    <w:rsid w:val="007344D2"/>
    <w:rsid w:val="00734588"/>
    <w:rsid w:val="00735E95"/>
    <w:rsid w:val="00737531"/>
    <w:rsid w:val="00742A8B"/>
    <w:rsid w:val="00744B10"/>
    <w:rsid w:val="00745A3E"/>
    <w:rsid w:val="0074721D"/>
    <w:rsid w:val="00750DBE"/>
    <w:rsid w:val="007544E3"/>
    <w:rsid w:val="007574EC"/>
    <w:rsid w:val="00764484"/>
    <w:rsid w:val="00764844"/>
    <w:rsid w:val="007648D8"/>
    <w:rsid w:val="00764A49"/>
    <w:rsid w:val="0077536E"/>
    <w:rsid w:val="00781B57"/>
    <w:rsid w:val="007930FD"/>
    <w:rsid w:val="007A1152"/>
    <w:rsid w:val="007A4071"/>
    <w:rsid w:val="007A6CC2"/>
    <w:rsid w:val="007B2CD4"/>
    <w:rsid w:val="007B3316"/>
    <w:rsid w:val="007B35CC"/>
    <w:rsid w:val="007B4975"/>
    <w:rsid w:val="007B71A4"/>
    <w:rsid w:val="007C11DA"/>
    <w:rsid w:val="007C1565"/>
    <w:rsid w:val="007C3987"/>
    <w:rsid w:val="007C65CE"/>
    <w:rsid w:val="007C6E47"/>
    <w:rsid w:val="007D44D0"/>
    <w:rsid w:val="007E18D3"/>
    <w:rsid w:val="007E1C0B"/>
    <w:rsid w:val="007F7FC6"/>
    <w:rsid w:val="0080297F"/>
    <w:rsid w:val="00803E61"/>
    <w:rsid w:val="008048E4"/>
    <w:rsid w:val="008049D3"/>
    <w:rsid w:val="00804B7F"/>
    <w:rsid w:val="008062CA"/>
    <w:rsid w:val="00811D2B"/>
    <w:rsid w:val="008159E8"/>
    <w:rsid w:val="0082064C"/>
    <w:rsid w:val="00826103"/>
    <w:rsid w:val="008267E1"/>
    <w:rsid w:val="00836DC5"/>
    <w:rsid w:val="00841561"/>
    <w:rsid w:val="0084434D"/>
    <w:rsid w:val="008560B7"/>
    <w:rsid w:val="00857F7E"/>
    <w:rsid w:val="0086011B"/>
    <w:rsid w:val="00863F3D"/>
    <w:rsid w:val="00872554"/>
    <w:rsid w:val="00872849"/>
    <w:rsid w:val="00874A88"/>
    <w:rsid w:val="00874C42"/>
    <w:rsid w:val="0087686C"/>
    <w:rsid w:val="00882D89"/>
    <w:rsid w:val="008912E9"/>
    <w:rsid w:val="00894910"/>
    <w:rsid w:val="008A3B27"/>
    <w:rsid w:val="008B0CD0"/>
    <w:rsid w:val="008B52F0"/>
    <w:rsid w:val="008D07D3"/>
    <w:rsid w:val="008D6746"/>
    <w:rsid w:val="008D79B2"/>
    <w:rsid w:val="008E1586"/>
    <w:rsid w:val="008F1E6D"/>
    <w:rsid w:val="008F2B79"/>
    <w:rsid w:val="008F6B29"/>
    <w:rsid w:val="008F7DDC"/>
    <w:rsid w:val="009016D5"/>
    <w:rsid w:val="00905AFD"/>
    <w:rsid w:val="00907865"/>
    <w:rsid w:val="00910A62"/>
    <w:rsid w:val="00912518"/>
    <w:rsid w:val="00916DEF"/>
    <w:rsid w:val="00920824"/>
    <w:rsid w:val="009274A8"/>
    <w:rsid w:val="00931349"/>
    <w:rsid w:val="009336F0"/>
    <w:rsid w:val="00934CAC"/>
    <w:rsid w:val="009373EA"/>
    <w:rsid w:val="00946E18"/>
    <w:rsid w:val="00952228"/>
    <w:rsid w:val="00953D29"/>
    <w:rsid w:val="00955925"/>
    <w:rsid w:val="00955E67"/>
    <w:rsid w:val="00960521"/>
    <w:rsid w:val="00962138"/>
    <w:rsid w:val="009645AF"/>
    <w:rsid w:val="00975D63"/>
    <w:rsid w:val="00981B2E"/>
    <w:rsid w:val="009829AF"/>
    <w:rsid w:val="00982D94"/>
    <w:rsid w:val="009866E2"/>
    <w:rsid w:val="00986BAF"/>
    <w:rsid w:val="00992DCB"/>
    <w:rsid w:val="00993484"/>
    <w:rsid w:val="009968B8"/>
    <w:rsid w:val="00996F7D"/>
    <w:rsid w:val="009A0E0F"/>
    <w:rsid w:val="009A16FE"/>
    <w:rsid w:val="009A39E9"/>
    <w:rsid w:val="009A6F42"/>
    <w:rsid w:val="009B1D0E"/>
    <w:rsid w:val="009C08BE"/>
    <w:rsid w:val="009C346C"/>
    <w:rsid w:val="009C3B1E"/>
    <w:rsid w:val="009C5811"/>
    <w:rsid w:val="009C62B3"/>
    <w:rsid w:val="009C6909"/>
    <w:rsid w:val="009D1B59"/>
    <w:rsid w:val="009D4BDC"/>
    <w:rsid w:val="009E3837"/>
    <w:rsid w:val="009E525D"/>
    <w:rsid w:val="009F6048"/>
    <w:rsid w:val="00A006BC"/>
    <w:rsid w:val="00A01BE6"/>
    <w:rsid w:val="00A052F2"/>
    <w:rsid w:val="00A058A5"/>
    <w:rsid w:val="00A073CF"/>
    <w:rsid w:val="00A101FE"/>
    <w:rsid w:val="00A115EA"/>
    <w:rsid w:val="00A12872"/>
    <w:rsid w:val="00A1566B"/>
    <w:rsid w:val="00A227B6"/>
    <w:rsid w:val="00A24B03"/>
    <w:rsid w:val="00A26D40"/>
    <w:rsid w:val="00A3605B"/>
    <w:rsid w:val="00A3622D"/>
    <w:rsid w:val="00A3635B"/>
    <w:rsid w:val="00A44E16"/>
    <w:rsid w:val="00A52565"/>
    <w:rsid w:val="00A56218"/>
    <w:rsid w:val="00A56BB7"/>
    <w:rsid w:val="00A65808"/>
    <w:rsid w:val="00A705AF"/>
    <w:rsid w:val="00A82122"/>
    <w:rsid w:val="00A86E8F"/>
    <w:rsid w:val="00AA0E05"/>
    <w:rsid w:val="00AA19BD"/>
    <w:rsid w:val="00AA5A9E"/>
    <w:rsid w:val="00AA6CBC"/>
    <w:rsid w:val="00AB23C3"/>
    <w:rsid w:val="00AB3278"/>
    <w:rsid w:val="00AB3A9F"/>
    <w:rsid w:val="00AB778F"/>
    <w:rsid w:val="00AC10CE"/>
    <w:rsid w:val="00AC44A9"/>
    <w:rsid w:val="00AD1F15"/>
    <w:rsid w:val="00AD2A1D"/>
    <w:rsid w:val="00AD5D2E"/>
    <w:rsid w:val="00AD6439"/>
    <w:rsid w:val="00AD6466"/>
    <w:rsid w:val="00AD6DAF"/>
    <w:rsid w:val="00AD7D7D"/>
    <w:rsid w:val="00AE1D88"/>
    <w:rsid w:val="00AE5459"/>
    <w:rsid w:val="00AE7EED"/>
    <w:rsid w:val="00AF2464"/>
    <w:rsid w:val="00AF3180"/>
    <w:rsid w:val="00B04736"/>
    <w:rsid w:val="00B07946"/>
    <w:rsid w:val="00B1019E"/>
    <w:rsid w:val="00B1120C"/>
    <w:rsid w:val="00B12840"/>
    <w:rsid w:val="00B2077A"/>
    <w:rsid w:val="00B20BE0"/>
    <w:rsid w:val="00B224B5"/>
    <w:rsid w:val="00B313DA"/>
    <w:rsid w:val="00B31E45"/>
    <w:rsid w:val="00B32C7D"/>
    <w:rsid w:val="00B363E8"/>
    <w:rsid w:val="00B370C9"/>
    <w:rsid w:val="00B434CE"/>
    <w:rsid w:val="00B45D44"/>
    <w:rsid w:val="00B501CA"/>
    <w:rsid w:val="00B511EC"/>
    <w:rsid w:val="00B550EE"/>
    <w:rsid w:val="00B57B62"/>
    <w:rsid w:val="00B61B58"/>
    <w:rsid w:val="00B61B8D"/>
    <w:rsid w:val="00B625E4"/>
    <w:rsid w:val="00B6486A"/>
    <w:rsid w:val="00B709E5"/>
    <w:rsid w:val="00B74146"/>
    <w:rsid w:val="00B82E8D"/>
    <w:rsid w:val="00B85892"/>
    <w:rsid w:val="00B92A7C"/>
    <w:rsid w:val="00B96313"/>
    <w:rsid w:val="00B967F6"/>
    <w:rsid w:val="00BA1C33"/>
    <w:rsid w:val="00BA5CE9"/>
    <w:rsid w:val="00BA7869"/>
    <w:rsid w:val="00BB2302"/>
    <w:rsid w:val="00BB2574"/>
    <w:rsid w:val="00BB2B45"/>
    <w:rsid w:val="00BB37B2"/>
    <w:rsid w:val="00BB3CA8"/>
    <w:rsid w:val="00BB5052"/>
    <w:rsid w:val="00BB6B4D"/>
    <w:rsid w:val="00BC29B0"/>
    <w:rsid w:val="00BC5BFF"/>
    <w:rsid w:val="00BC767A"/>
    <w:rsid w:val="00BD0FA2"/>
    <w:rsid w:val="00BD5B68"/>
    <w:rsid w:val="00BE0AFB"/>
    <w:rsid w:val="00BE0F68"/>
    <w:rsid w:val="00BF0DD2"/>
    <w:rsid w:val="00BF6D4C"/>
    <w:rsid w:val="00C00EF1"/>
    <w:rsid w:val="00C11441"/>
    <w:rsid w:val="00C1570F"/>
    <w:rsid w:val="00C24473"/>
    <w:rsid w:val="00C32371"/>
    <w:rsid w:val="00C32ECC"/>
    <w:rsid w:val="00C35205"/>
    <w:rsid w:val="00C36710"/>
    <w:rsid w:val="00C37D3E"/>
    <w:rsid w:val="00C42675"/>
    <w:rsid w:val="00C466B8"/>
    <w:rsid w:val="00C4692B"/>
    <w:rsid w:val="00C47B32"/>
    <w:rsid w:val="00C51972"/>
    <w:rsid w:val="00C53B31"/>
    <w:rsid w:val="00C569C2"/>
    <w:rsid w:val="00C56E04"/>
    <w:rsid w:val="00C5726A"/>
    <w:rsid w:val="00C630B7"/>
    <w:rsid w:val="00C657CD"/>
    <w:rsid w:val="00C66CFE"/>
    <w:rsid w:val="00C714D8"/>
    <w:rsid w:val="00C71802"/>
    <w:rsid w:val="00C725DE"/>
    <w:rsid w:val="00C74FEF"/>
    <w:rsid w:val="00C77B25"/>
    <w:rsid w:val="00C83F46"/>
    <w:rsid w:val="00C87758"/>
    <w:rsid w:val="00C93B2E"/>
    <w:rsid w:val="00C940B0"/>
    <w:rsid w:val="00CA6216"/>
    <w:rsid w:val="00CB0673"/>
    <w:rsid w:val="00CB06E8"/>
    <w:rsid w:val="00CB50C4"/>
    <w:rsid w:val="00CB652B"/>
    <w:rsid w:val="00CB6F44"/>
    <w:rsid w:val="00CC01CA"/>
    <w:rsid w:val="00CC43D7"/>
    <w:rsid w:val="00CD0178"/>
    <w:rsid w:val="00CD0AA9"/>
    <w:rsid w:val="00CD0E3A"/>
    <w:rsid w:val="00CD0EA6"/>
    <w:rsid w:val="00CD2653"/>
    <w:rsid w:val="00CD2967"/>
    <w:rsid w:val="00CD46FB"/>
    <w:rsid w:val="00CD5F6C"/>
    <w:rsid w:val="00CD6A34"/>
    <w:rsid w:val="00CE0403"/>
    <w:rsid w:val="00CE0DA2"/>
    <w:rsid w:val="00CE23FA"/>
    <w:rsid w:val="00CE5DB4"/>
    <w:rsid w:val="00CF21F1"/>
    <w:rsid w:val="00CF7BF2"/>
    <w:rsid w:val="00D04A3A"/>
    <w:rsid w:val="00D05882"/>
    <w:rsid w:val="00D06B2C"/>
    <w:rsid w:val="00D12B88"/>
    <w:rsid w:val="00D152B9"/>
    <w:rsid w:val="00D2268C"/>
    <w:rsid w:val="00D2505A"/>
    <w:rsid w:val="00D3218C"/>
    <w:rsid w:val="00D33BFB"/>
    <w:rsid w:val="00D33D2E"/>
    <w:rsid w:val="00D3406B"/>
    <w:rsid w:val="00D42227"/>
    <w:rsid w:val="00D50A4F"/>
    <w:rsid w:val="00D50CCC"/>
    <w:rsid w:val="00D51D12"/>
    <w:rsid w:val="00D53C6E"/>
    <w:rsid w:val="00D54843"/>
    <w:rsid w:val="00D56361"/>
    <w:rsid w:val="00D57AC3"/>
    <w:rsid w:val="00D60876"/>
    <w:rsid w:val="00D621AD"/>
    <w:rsid w:val="00D6372B"/>
    <w:rsid w:val="00D71255"/>
    <w:rsid w:val="00D757B7"/>
    <w:rsid w:val="00D76B3B"/>
    <w:rsid w:val="00D8184B"/>
    <w:rsid w:val="00D82FC7"/>
    <w:rsid w:val="00D84852"/>
    <w:rsid w:val="00D92AFC"/>
    <w:rsid w:val="00DA2086"/>
    <w:rsid w:val="00DA5333"/>
    <w:rsid w:val="00DB5147"/>
    <w:rsid w:val="00DB7A90"/>
    <w:rsid w:val="00DC467F"/>
    <w:rsid w:val="00DC7600"/>
    <w:rsid w:val="00DD0ADF"/>
    <w:rsid w:val="00DD4D5D"/>
    <w:rsid w:val="00DD6C55"/>
    <w:rsid w:val="00DE06A1"/>
    <w:rsid w:val="00DE1137"/>
    <w:rsid w:val="00DE2840"/>
    <w:rsid w:val="00DE2C7B"/>
    <w:rsid w:val="00DE5AE3"/>
    <w:rsid w:val="00E006C1"/>
    <w:rsid w:val="00E0301D"/>
    <w:rsid w:val="00E03865"/>
    <w:rsid w:val="00E057FA"/>
    <w:rsid w:val="00E062A0"/>
    <w:rsid w:val="00E1152E"/>
    <w:rsid w:val="00E15366"/>
    <w:rsid w:val="00E17043"/>
    <w:rsid w:val="00E22D9E"/>
    <w:rsid w:val="00E2438F"/>
    <w:rsid w:val="00E3219A"/>
    <w:rsid w:val="00E3450B"/>
    <w:rsid w:val="00E34989"/>
    <w:rsid w:val="00E4796F"/>
    <w:rsid w:val="00E47B0D"/>
    <w:rsid w:val="00E5223A"/>
    <w:rsid w:val="00E52CB3"/>
    <w:rsid w:val="00E52DFF"/>
    <w:rsid w:val="00E52F31"/>
    <w:rsid w:val="00E60C47"/>
    <w:rsid w:val="00E63E0E"/>
    <w:rsid w:val="00E65EF9"/>
    <w:rsid w:val="00E7303C"/>
    <w:rsid w:val="00E751FC"/>
    <w:rsid w:val="00E816BF"/>
    <w:rsid w:val="00E81AFE"/>
    <w:rsid w:val="00E87BA7"/>
    <w:rsid w:val="00E9389A"/>
    <w:rsid w:val="00E9444C"/>
    <w:rsid w:val="00E97517"/>
    <w:rsid w:val="00EA0A7C"/>
    <w:rsid w:val="00EA24BB"/>
    <w:rsid w:val="00EA4091"/>
    <w:rsid w:val="00EA5F15"/>
    <w:rsid w:val="00EB062A"/>
    <w:rsid w:val="00EB11FA"/>
    <w:rsid w:val="00EB1319"/>
    <w:rsid w:val="00EB36AF"/>
    <w:rsid w:val="00EB7CE2"/>
    <w:rsid w:val="00EC4399"/>
    <w:rsid w:val="00EC7C49"/>
    <w:rsid w:val="00ED08C0"/>
    <w:rsid w:val="00ED18FE"/>
    <w:rsid w:val="00ED236D"/>
    <w:rsid w:val="00ED7722"/>
    <w:rsid w:val="00EE51DC"/>
    <w:rsid w:val="00EE5263"/>
    <w:rsid w:val="00EF0178"/>
    <w:rsid w:val="00F001B3"/>
    <w:rsid w:val="00F0146E"/>
    <w:rsid w:val="00F0220B"/>
    <w:rsid w:val="00F0763F"/>
    <w:rsid w:val="00F10A65"/>
    <w:rsid w:val="00F213E1"/>
    <w:rsid w:val="00F219C3"/>
    <w:rsid w:val="00F2490F"/>
    <w:rsid w:val="00F32001"/>
    <w:rsid w:val="00F352D1"/>
    <w:rsid w:val="00F418C0"/>
    <w:rsid w:val="00F4442E"/>
    <w:rsid w:val="00F44D7B"/>
    <w:rsid w:val="00F44FCB"/>
    <w:rsid w:val="00F53E9E"/>
    <w:rsid w:val="00F53FB4"/>
    <w:rsid w:val="00F551A2"/>
    <w:rsid w:val="00F57206"/>
    <w:rsid w:val="00F613D1"/>
    <w:rsid w:val="00F61CBC"/>
    <w:rsid w:val="00F62882"/>
    <w:rsid w:val="00F640CE"/>
    <w:rsid w:val="00F66F63"/>
    <w:rsid w:val="00F7244B"/>
    <w:rsid w:val="00F74766"/>
    <w:rsid w:val="00FA02F7"/>
    <w:rsid w:val="00FA6054"/>
    <w:rsid w:val="00FA6F64"/>
    <w:rsid w:val="00FB244B"/>
    <w:rsid w:val="00FB3EE4"/>
    <w:rsid w:val="00FB40D9"/>
    <w:rsid w:val="00FB63B2"/>
    <w:rsid w:val="00FC14A7"/>
    <w:rsid w:val="00FD1724"/>
    <w:rsid w:val="00FD3E3B"/>
    <w:rsid w:val="00FD51F7"/>
    <w:rsid w:val="00FE0D0A"/>
    <w:rsid w:val="00FE2E2D"/>
    <w:rsid w:val="00FE4F54"/>
    <w:rsid w:val="00FE6A18"/>
    <w:rsid w:val="00FF5F7B"/>
    <w:rsid w:val="03EF1940"/>
    <w:rsid w:val="08AD7121"/>
    <w:rsid w:val="102C7498"/>
    <w:rsid w:val="13C20EF5"/>
    <w:rsid w:val="13F60B9E"/>
    <w:rsid w:val="14D317E3"/>
    <w:rsid w:val="1A78055F"/>
    <w:rsid w:val="1C5A563D"/>
    <w:rsid w:val="1F0F614F"/>
    <w:rsid w:val="2A1A518F"/>
    <w:rsid w:val="2C832427"/>
    <w:rsid w:val="2F9A6F3F"/>
    <w:rsid w:val="34B92F17"/>
    <w:rsid w:val="34C71A6F"/>
    <w:rsid w:val="34F52A80"/>
    <w:rsid w:val="35D8424F"/>
    <w:rsid w:val="35E06155"/>
    <w:rsid w:val="37FF3128"/>
    <w:rsid w:val="38B92017"/>
    <w:rsid w:val="38F86602"/>
    <w:rsid w:val="3AA90D16"/>
    <w:rsid w:val="3AD362AF"/>
    <w:rsid w:val="532753A2"/>
    <w:rsid w:val="53443420"/>
    <w:rsid w:val="56B878BD"/>
    <w:rsid w:val="574373D6"/>
    <w:rsid w:val="57D82C38"/>
    <w:rsid w:val="59B365F9"/>
    <w:rsid w:val="5F1C2834"/>
    <w:rsid w:val="65D74EB5"/>
    <w:rsid w:val="698354B5"/>
    <w:rsid w:val="69A944A8"/>
    <w:rsid w:val="6E170854"/>
    <w:rsid w:val="717209D9"/>
    <w:rsid w:val="73685BF0"/>
    <w:rsid w:val="745542B7"/>
    <w:rsid w:val="78E614CF"/>
    <w:rsid w:val="7A5E5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7"/>
    <w:qFormat/>
    <w:uiPriority w:val="0"/>
    <w:pPr>
      <w:keepNext/>
      <w:keepLines/>
      <w:numPr>
        <w:ilvl w:val="0"/>
        <w:numId w:val="1"/>
      </w:numPr>
      <w:adjustRightInd w:val="0"/>
      <w:snapToGrid w:val="0"/>
      <w:spacing w:line="240" w:lineRule="atLeast"/>
      <w:outlineLvl w:val="0"/>
    </w:pPr>
    <w:rPr>
      <w:rFonts w:eastAsia="仿宋_GB2312"/>
      <w:b/>
      <w:caps/>
      <w:snapToGrid w:val="0"/>
      <w:kern w:val="0"/>
      <w:sz w:val="36"/>
    </w:rPr>
  </w:style>
  <w:style w:type="paragraph" w:styleId="3">
    <w:name w:val="heading 2"/>
    <w:basedOn w:val="1"/>
    <w:next w:val="1"/>
    <w:link w:val="28"/>
    <w:qFormat/>
    <w:uiPriority w:val="0"/>
    <w:pPr>
      <w:keepNext/>
      <w:keepLines/>
      <w:widowControl/>
      <w:numPr>
        <w:ilvl w:val="1"/>
        <w:numId w:val="1"/>
      </w:numPr>
      <w:snapToGrid w:val="0"/>
      <w:spacing w:before="120" w:line="240" w:lineRule="atLeast"/>
      <w:outlineLvl w:val="1"/>
    </w:pPr>
    <w:rPr>
      <w:rFonts w:eastAsia="仿宋_GB2312"/>
      <w:b/>
      <w:kern w:val="0"/>
      <w:sz w:val="32"/>
    </w:rPr>
  </w:style>
  <w:style w:type="paragraph" w:styleId="4">
    <w:name w:val="heading 3"/>
    <w:basedOn w:val="1"/>
    <w:next w:val="1"/>
    <w:link w:val="29"/>
    <w:qFormat/>
    <w:uiPriority w:val="0"/>
    <w:pPr>
      <w:keepNext/>
      <w:keepLines/>
      <w:widowControl/>
      <w:numPr>
        <w:ilvl w:val="2"/>
        <w:numId w:val="1"/>
      </w:numPr>
      <w:tabs>
        <w:tab w:val="left" w:pos="360"/>
        <w:tab w:val="left" w:pos="1287"/>
      </w:tabs>
      <w:adjustRightInd w:val="0"/>
      <w:snapToGrid w:val="0"/>
      <w:spacing w:before="120" w:line="240" w:lineRule="atLeast"/>
      <w:outlineLvl w:val="2"/>
    </w:pPr>
    <w:rPr>
      <w:rFonts w:eastAsia="仿宋_GB2312"/>
      <w:b/>
      <w:snapToGrid w:val="0"/>
      <w:kern w:val="0"/>
      <w:sz w:val="28"/>
    </w:rPr>
  </w:style>
  <w:style w:type="paragraph" w:styleId="5">
    <w:name w:val="heading 4"/>
    <w:basedOn w:val="1"/>
    <w:next w:val="1"/>
    <w:link w:val="26"/>
    <w:qFormat/>
    <w:uiPriority w:val="0"/>
    <w:pPr>
      <w:keepNext/>
      <w:keepLines/>
      <w:widowControl/>
      <w:numPr>
        <w:ilvl w:val="3"/>
        <w:numId w:val="1"/>
      </w:numPr>
      <w:snapToGrid w:val="0"/>
      <w:spacing w:line="500" w:lineRule="exact"/>
      <w:outlineLvl w:val="3"/>
    </w:pPr>
    <w:rPr>
      <w:rFonts w:eastAsia="仿宋_GB2312"/>
      <w:kern w:val="0"/>
      <w:sz w:val="28"/>
    </w:rPr>
  </w:style>
  <w:style w:type="paragraph" w:styleId="6">
    <w:name w:val="heading 5"/>
    <w:basedOn w:val="1"/>
    <w:next w:val="1"/>
    <w:link w:val="30"/>
    <w:qFormat/>
    <w:uiPriority w:val="0"/>
    <w:pPr>
      <w:keepNext/>
      <w:keepLines/>
      <w:widowControl/>
      <w:numPr>
        <w:ilvl w:val="4"/>
        <w:numId w:val="1"/>
      </w:numPr>
      <w:spacing w:before="280" w:after="290" w:line="376" w:lineRule="auto"/>
      <w:jc w:val="left"/>
      <w:outlineLvl w:val="4"/>
    </w:pPr>
    <w:rPr>
      <w:b/>
      <w:kern w:val="0"/>
      <w:sz w:val="28"/>
    </w:rPr>
  </w:style>
  <w:style w:type="paragraph" w:styleId="7">
    <w:name w:val="heading 6"/>
    <w:basedOn w:val="1"/>
    <w:next w:val="1"/>
    <w:link w:val="31"/>
    <w:qFormat/>
    <w:uiPriority w:val="0"/>
    <w:pPr>
      <w:keepNext/>
      <w:keepLines/>
      <w:widowControl/>
      <w:numPr>
        <w:ilvl w:val="5"/>
        <w:numId w:val="1"/>
      </w:numPr>
      <w:spacing w:before="240" w:after="64" w:line="320" w:lineRule="auto"/>
      <w:jc w:val="left"/>
      <w:outlineLvl w:val="5"/>
    </w:pPr>
    <w:rPr>
      <w:rFonts w:ascii="Arial" w:hAnsi="Arial" w:eastAsia="黑体"/>
      <w:b/>
      <w:kern w:val="0"/>
      <w:sz w:val="24"/>
    </w:rPr>
  </w:style>
  <w:style w:type="paragraph" w:styleId="8">
    <w:name w:val="heading 7"/>
    <w:basedOn w:val="1"/>
    <w:next w:val="1"/>
    <w:link w:val="32"/>
    <w:qFormat/>
    <w:uiPriority w:val="0"/>
    <w:pPr>
      <w:keepNext/>
      <w:keepLines/>
      <w:widowControl/>
      <w:numPr>
        <w:ilvl w:val="6"/>
        <w:numId w:val="1"/>
      </w:numPr>
      <w:spacing w:before="240" w:after="64" w:line="320" w:lineRule="auto"/>
      <w:jc w:val="left"/>
      <w:outlineLvl w:val="6"/>
    </w:pPr>
    <w:rPr>
      <w:b/>
      <w:kern w:val="0"/>
      <w:sz w:val="24"/>
    </w:rPr>
  </w:style>
  <w:style w:type="paragraph" w:styleId="9">
    <w:name w:val="heading 8"/>
    <w:basedOn w:val="1"/>
    <w:next w:val="1"/>
    <w:link w:val="33"/>
    <w:qFormat/>
    <w:uiPriority w:val="0"/>
    <w:pPr>
      <w:keepNext/>
      <w:keepLines/>
      <w:widowControl/>
      <w:numPr>
        <w:ilvl w:val="7"/>
        <w:numId w:val="1"/>
      </w:numPr>
      <w:spacing w:before="240" w:after="64" w:line="320" w:lineRule="auto"/>
      <w:jc w:val="left"/>
      <w:outlineLvl w:val="7"/>
    </w:pPr>
    <w:rPr>
      <w:rFonts w:ascii="Arial" w:hAnsi="Arial" w:eastAsia="黑体"/>
      <w:kern w:val="0"/>
      <w:sz w:val="24"/>
    </w:rPr>
  </w:style>
  <w:style w:type="paragraph" w:styleId="10">
    <w:name w:val="heading 9"/>
    <w:basedOn w:val="1"/>
    <w:next w:val="1"/>
    <w:link w:val="34"/>
    <w:qFormat/>
    <w:uiPriority w:val="0"/>
    <w:pPr>
      <w:keepNext/>
      <w:keepLines/>
      <w:widowControl/>
      <w:numPr>
        <w:ilvl w:val="8"/>
        <w:numId w:val="1"/>
      </w:numPr>
      <w:spacing w:before="240" w:after="64" w:line="320" w:lineRule="auto"/>
      <w:jc w:val="left"/>
      <w:outlineLvl w:val="8"/>
    </w:pPr>
    <w:rPr>
      <w:rFonts w:ascii="Arial" w:hAnsi="Arial" w:eastAsia="黑体"/>
      <w:kern w:val="0"/>
    </w:rPr>
  </w:style>
  <w:style w:type="character" w:default="1" w:styleId="23">
    <w:name w:val="Default Paragraph Font"/>
    <w:semiHidden/>
    <w:unhideWhenUsed/>
    <w:qFormat/>
    <w:uiPriority w:val="1"/>
  </w:style>
  <w:style w:type="table" w:default="1" w:styleId="22">
    <w:name w:val="Normal Table"/>
    <w:semiHidden/>
    <w:unhideWhenUsed/>
    <w:uiPriority w:val="99"/>
    <w:tblPr>
      <w:tblCellMar>
        <w:top w:w="0" w:type="dxa"/>
        <w:left w:w="108" w:type="dxa"/>
        <w:bottom w:w="0" w:type="dxa"/>
        <w:right w:w="108" w:type="dxa"/>
      </w:tblCellMar>
    </w:tblPr>
  </w:style>
  <w:style w:type="paragraph" w:styleId="11">
    <w:name w:val="caption"/>
    <w:basedOn w:val="1"/>
    <w:next w:val="1"/>
    <w:link w:val="35"/>
    <w:qFormat/>
    <w:uiPriority w:val="0"/>
    <w:rPr>
      <w:rFonts w:ascii="Arial" w:hAnsi="Arial" w:eastAsia="黑体" w:cs="Arial"/>
      <w:sz w:val="20"/>
    </w:rPr>
  </w:style>
  <w:style w:type="paragraph" w:styleId="12">
    <w:name w:val="Document Map"/>
    <w:basedOn w:val="1"/>
    <w:link w:val="44"/>
    <w:semiHidden/>
    <w:unhideWhenUsed/>
    <w:qFormat/>
    <w:uiPriority w:val="99"/>
    <w:rPr>
      <w:rFonts w:ascii="宋体"/>
      <w:sz w:val="18"/>
      <w:szCs w:val="18"/>
    </w:rPr>
  </w:style>
  <w:style w:type="paragraph" w:styleId="13">
    <w:name w:val="annotation text"/>
    <w:basedOn w:val="1"/>
    <w:link w:val="45"/>
    <w:semiHidden/>
    <w:unhideWhenUsed/>
    <w:qFormat/>
    <w:uiPriority w:val="99"/>
    <w:pPr>
      <w:jc w:val="left"/>
    </w:pPr>
  </w:style>
  <w:style w:type="paragraph" w:styleId="14">
    <w:name w:val="Body Text"/>
    <w:basedOn w:val="1"/>
    <w:qFormat/>
    <w:uiPriority w:val="1"/>
    <w:rPr>
      <w:rFonts w:ascii="宋体" w:hAnsi="宋体" w:cs="宋体"/>
      <w:szCs w:val="21"/>
    </w:rPr>
  </w:style>
  <w:style w:type="paragraph" w:styleId="15">
    <w:name w:val="toc 3"/>
    <w:basedOn w:val="1"/>
    <w:next w:val="1"/>
    <w:unhideWhenUsed/>
    <w:qFormat/>
    <w:uiPriority w:val="39"/>
    <w:pPr>
      <w:ind w:left="840" w:leftChars="400"/>
    </w:pPr>
  </w:style>
  <w:style w:type="paragraph" w:styleId="16">
    <w:name w:val="Balloon Text"/>
    <w:basedOn w:val="1"/>
    <w:link w:val="46"/>
    <w:semiHidden/>
    <w:unhideWhenUsed/>
    <w:qFormat/>
    <w:uiPriority w:val="99"/>
    <w:rPr>
      <w:sz w:val="18"/>
      <w:szCs w:val="18"/>
    </w:rPr>
  </w:style>
  <w:style w:type="paragraph" w:styleId="17">
    <w:name w:val="footer"/>
    <w:basedOn w:val="1"/>
    <w:link w:val="42"/>
    <w:unhideWhenUsed/>
    <w:qFormat/>
    <w:uiPriority w:val="99"/>
    <w:pPr>
      <w:tabs>
        <w:tab w:val="center" w:pos="4153"/>
        <w:tab w:val="right" w:pos="8306"/>
      </w:tabs>
      <w:snapToGrid w:val="0"/>
      <w:jc w:val="left"/>
    </w:pPr>
    <w:rPr>
      <w:sz w:val="18"/>
      <w:szCs w:val="18"/>
    </w:rPr>
  </w:style>
  <w:style w:type="paragraph" w:styleId="18">
    <w:name w:val="header"/>
    <w:basedOn w:val="1"/>
    <w:link w:val="41"/>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style>
  <w:style w:type="paragraph" w:styleId="20">
    <w:name w:val="toc 2"/>
    <w:basedOn w:val="1"/>
    <w:next w:val="1"/>
    <w:unhideWhenUsed/>
    <w:qFormat/>
    <w:uiPriority w:val="39"/>
    <w:pPr>
      <w:ind w:left="420" w:leftChars="200"/>
    </w:pPr>
  </w:style>
  <w:style w:type="paragraph" w:styleId="21">
    <w:name w:val="annotation subject"/>
    <w:basedOn w:val="13"/>
    <w:next w:val="13"/>
    <w:link w:val="47"/>
    <w:semiHidden/>
    <w:unhideWhenUsed/>
    <w:qFormat/>
    <w:uiPriority w:val="99"/>
    <w:rPr>
      <w:b/>
      <w:bCs/>
    </w:rPr>
  </w:style>
  <w:style w:type="character" w:styleId="24">
    <w:name w:val="Hyperlink"/>
    <w:basedOn w:val="23"/>
    <w:unhideWhenUsed/>
    <w:qFormat/>
    <w:uiPriority w:val="99"/>
    <w:rPr>
      <w:color w:val="0000FF" w:themeColor="hyperlink"/>
      <w:u w:val="single"/>
      <w14:textFill>
        <w14:solidFill>
          <w14:schemeClr w14:val="hlink"/>
        </w14:solidFill>
      </w14:textFill>
    </w:rPr>
  </w:style>
  <w:style w:type="character" w:styleId="25">
    <w:name w:val="annotation reference"/>
    <w:basedOn w:val="23"/>
    <w:semiHidden/>
    <w:unhideWhenUsed/>
    <w:qFormat/>
    <w:uiPriority w:val="99"/>
    <w:rPr>
      <w:sz w:val="21"/>
      <w:szCs w:val="21"/>
    </w:rPr>
  </w:style>
  <w:style w:type="character" w:customStyle="1" w:styleId="26">
    <w:name w:val="标题 4 字符"/>
    <w:basedOn w:val="23"/>
    <w:link w:val="5"/>
    <w:qFormat/>
    <w:uiPriority w:val="0"/>
    <w:rPr>
      <w:rFonts w:eastAsia="仿宋_GB2312"/>
      <w:sz w:val="28"/>
    </w:rPr>
  </w:style>
  <w:style w:type="character" w:customStyle="1" w:styleId="27">
    <w:name w:val="标题 1 字符"/>
    <w:basedOn w:val="23"/>
    <w:link w:val="2"/>
    <w:qFormat/>
    <w:uiPriority w:val="0"/>
    <w:rPr>
      <w:rFonts w:eastAsia="仿宋_GB2312"/>
      <w:b/>
      <w:caps/>
      <w:snapToGrid w:val="0"/>
      <w:sz w:val="36"/>
    </w:rPr>
  </w:style>
  <w:style w:type="character" w:customStyle="1" w:styleId="28">
    <w:name w:val="标题 2 字符"/>
    <w:basedOn w:val="23"/>
    <w:link w:val="3"/>
    <w:qFormat/>
    <w:uiPriority w:val="0"/>
    <w:rPr>
      <w:rFonts w:eastAsia="仿宋_GB2312"/>
      <w:b/>
      <w:sz w:val="32"/>
    </w:rPr>
  </w:style>
  <w:style w:type="character" w:customStyle="1" w:styleId="29">
    <w:name w:val="标题 3 字符"/>
    <w:basedOn w:val="23"/>
    <w:link w:val="4"/>
    <w:qFormat/>
    <w:uiPriority w:val="0"/>
    <w:rPr>
      <w:rFonts w:eastAsia="仿宋_GB2312"/>
      <w:b/>
      <w:snapToGrid w:val="0"/>
      <w:sz w:val="28"/>
    </w:rPr>
  </w:style>
  <w:style w:type="character" w:customStyle="1" w:styleId="30">
    <w:name w:val="标题 5 字符"/>
    <w:basedOn w:val="23"/>
    <w:link w:val="6"/>
    <w:qFormat/>
    <w:uiPriority w:val="0"/>
    <w:rPr>
      <w:b/>
      <w:sz w:val="28"/>
    </w:rPr>
  </w:style>
  <w:style w:type="character" w:customStyle="1" w:styleId="31">
    <w:name w:val="标题 6 字符"/>
    <w:basedOn w:val="23"/>
    <w:link w:val="7"/>
    <w:qFormat/>
    <w:uiPriority w:val="0"/>
    <w:rPr>
      <w:rFonts w:ascii="Arial" w:hAnsi="Arial" w:eastAsia="黑体"/>
      <w:b/>
      <w:sz w:val="24"/>
    </w:rPr>
  </w:style>
  <w:style w:type="character" w:customStyle="1" w:styleId="32">
    <w:name w:val="标题 7 字符"/>
    <w:basedOn w:val="23"/>
    <w:link w:val="8"/>
    <w:qFormat/>
    <w:uiPriority w:val="0"/>
    <w:rPr>
      <w:b/>
      <w:sz w:val="24"/>
    </w:rPr>
  </w:style>
  <w:style w:type="character" w:customStyle="1" w:styleId="33">
    <w:name w:val="标题 8 字符"/>
    <w:basedOn w:val="23"/>
    <w:link w:val="9"/>
    <w:qFormat/>
    <w:uiPriority w:val="0"/>
    <w:rPr>
      <w:rFonts w:ascii="Arial" w:hAnsi="Arial" w:eastAsia="黑体"/>
      <w:sz w:val="24"/>
    </w:rPr>
  </w:style>
  <w:style w:type="character" w:customStyle="1" w:styleId="34">
    <w:name w:val="标题 9 字符"/>
    <w:basedOn w:val="23"/>
    <w:link w:val="10"/>
    <w:qFormat/>
    <w:uiPriority w:val="0"/>
    <w:rPr>
      <w:rFonts w:ascii="Arial" w:hAnsi="Arial" w:eastAsia="黑体"/>
      <w:sz w:val="21"/>
    </w:rPr>
  </w:style>
  <w:style w:type="character" w:customStyle="1" w:styleId="35">
    <w:name w:val="题注 字符"/>
    <w:basedOn w:val="23"/>
    <w:link w:val="11"/>
    <w:qFormat/>
    <w:uiPriority w:val="0"/>
    <w:rPr>
      <w:rFonts w:ascii="Arial" w:hAnsi="Arial" w:eastAsia="黑体" w:cs="Arial"/>
      <w:kern w:val="2"/>
    </w:rPr>
  </w:style>
  <w:style w:type="paragraph" w:customStyle="1" w:styleId="36">
    <w:name w:val="ENFI正文"/>
    <w:basedOn w:val="1"/>
    <w:link w:val="37"/>
    <w:qFormat/>
    <w:uiPriority w:val="0"/>
    <w:pPr>
      <w:adjustRightInd w:val="0"/>
      <w:snapToGrid w:val="0"/>
      <w:spacing w:line="500" w:lineRule="exact"/>
      <w:ind w:firstLine="567"/>
    </w:pPr>
    <w:rPr>
      <w:rFonts w:eastAsia="仿宋_GB2312"/>
      <w:snapToGrid w:val="0"/>
      <w:color w:val="000000"/>
      <w:kern w:val="0"/>
      <w:sz w:val="28"/>
    </w:rPr>
  </w:style>
  <w:style w:type="character" w:customStyle="1" w:styleId="37">
    <w:name w:val="ENFI正文 Char Char"/>
    <w:basedOn w:val="23"/>
    <w:link w:val="36"/>
    <w:qFormat/>
    <w:uiPriority w:val="0"/>
    <w:rPr>
      <w:rFonts w:eastAsia="仿宋_GB2312"/>
      <w:snapToGrid w:val="0"/>
      <w:color w:val="000000"/>
      <w:sz w:val="28"/>
    </w:rPr>
  </w:style>
  <w:style w:type="paragraph" w:customStyle="1" w:styleId="38">
    <w:name w:val="ENFI图表标题"/>
    <w:basedOn w:val="1"/>
    <w:link w:val="43"/>
    <w:qFormat/>
    <w:uiPriority w:val="0"/>
    <w:pPr>
      <w:widowControl/>
      <w:adjustRightInd w:val="0"/>
      <w:snapToGrid w:val="0"/>
      <w:spacing w:before="120" w:line="240" w:lineRule="atLeast"/>
      <w:jc w:val="center"/>
    </w:pPr>
    <w:rPr>
      <w:rFonts w:eastAsia="仿宋_GB2312"/>
      <w:b/>
      <w:kern w:val="0"/>
      <w:sz w:val="28"/>
    </w:rPr>
  </w:style>
  <w:style w:type="paragraph" w:customStyle="1" w:styleId="39">
    <w:name w:val="ENFI表体"/>
    <w:basedOn w:val="1"/>
    <w:link w:val="40"/>
    <w:qFormat/>
    <w:uiPriority w:val="0"/>
    <w:pPr>
      <w:widowControl/>
      <w:adjustRightInd w:val="0"/>
      <w:snapToGrid w:val="0"/>
      <w:spacing w:line="240" w:lineRule="atLeast"/>
      <w:jc w:val="center"/>
    </w:pPr>
    <w:rPr>
      <w:rFonts w:eastAsia="仿宋_GB2312"/>
      <w:kern w:val="0"/>
      <w:sz w:val="24"/>
    </w:rPr>
  </w:style>
  <w:style w:type="character" w:customStyle="1" w:styleId="40">
    <w:name w:val="ENFI表体 Char Char"/>
    <w:basedOn w:val="23"/>
    <w:link w:val="39"/>
    <w:qFormat/>
    <w:uiPriority w:val="0"/>
    <w:rPr>
      <w:rFonts w:eastAsia="仿宋_GB2312"/>
      <w:sz w:val="24"/>
    </w:rPr>
  </w:style>
  <w:style w:type="character" w:customStyle="1" w:styleId="41">
    <w:name w:val="页眉 字符"/>
    <w:basedOn w:val="23"/>
    <w:link w:val="18"/>
    <w:qFormat/>
    <w:uiPriority w:val="99"/>
    <w:rPr>
      <w:kern w:val="2"/>
      <w:sz w:val="18"/>
      <w:szCs w:val="18"/>
    </w:rPr>
  </w:style>
  <w:style w:type="character" w:customStyle="1" w:styleId="42">
    <w:name w:val="页脚 字符"/>
    <w:basedOn w:val="23"/>
    <w:link w:val="17"/>
    <w:qFormat/>
    <w:uiPriority w:val="99"/>
    <w:rPr>
      <w:kern w:val="2"/>
      <w:sz w:val="18"/>
      <w:szCs w:val="18"/>
    </w:rPr>
  </w:style>
  <w:style w:type="character" w:customStyle="1" w:styleId="43">
    <w:name w:val="ENFI图表标题 Char"/>
    <w:basedOn w:val="23"/>
    <w:link w:val="38"/>
    <w:qFormat/>
    <w:uiPriority w:val="0"/>
    <w:rPr>
      <w:rFonts w:eastAsia="仿宋_GB2312"/>
      <w:b/>
      <w:sz w:val="28"/>
    </w:rPr>
  </w:style>
  <w:style w:type="character" w:customStyle="1" w:styleId="44">
    <w:name w:val="文档结构图 字符"/>
    <w:basedOn w:val="23"/>
    <w:link w:val="12"/>
    <w:semiHidden/>
    <w:qFormat/>
    <w:uiPriority w:val="99"/>
    <w:rPr>
      <w:rFonts w:ascii="宋体"/>
      <w:kern w:val="2"/>
      <w:sz w:val="18"/>
      <w:szCs w:val="18"/>
    </w:rPr>
  </w:style>
  <w:style w:type="character" w:customStyle="1" w:styleId="45">
    <w:name w:val="批注文字 字符"/>
    <w:basedOn w:val="23"/>
    <w:link w:val="13"/>
    <w:semiHidden/>
    <w:qFormat/>
    <w:uiPriority w:val="99"/>
    <w:rPr>
      <w:kern w:val="2"/>
      <w:sz w:val="21"/>
    </w:rPr>
  </w:style>
  <w:style w:type="character" w:customStyle="1" w:styleId="46">
    <w:name w:val="批注框文本 字符"/>
    <w:basedOn w:val="23"/>
    <w:link w:val="16"/>
    <w:semiHidden/>
    <w:qFormat/>
    <w:uiPriority w:val="99"/>
    <w:rPr>
      <w:kern w:val="2"/>
      <w:sz w:val="18"/>
      <w:szCs w:val="18"/>
    </w:rPr>
  </w:style>
  <w:style w:type="character" w:customStyle="1" w:styleId="47">
    <w:name w:val="批注主题 字符"/>
    <w:basedOn w:val="45"/>
    <w:link w:val="21"/>
    <w:semiHidden/>
    <w:qFormat/>
    <w:uiPriority w:val="99"/>
    <w:rPr>
      <w:b/>
      <w:bCs/>
      <w:kern w:val="2"/>
      <w:sz w:val="21"/>
    </w:rPr>
  </w:style>
  <w:style w:type="paragraph" w:styleId="48">
    <w:name w:val="List Paragraph"/>
    <w:basedOn w:val="1"/>
    <w:qFormat/>
    <w:uiPriority w:val="99"/>
    <w:pPr>
      <w:ind w:firstLine="420" w:firstLineChars="200"/>
    </w:pPr>
  </w:style>
  <w:style w:type="paragraph" w:customStyle="1" w:styleId="49">
    <w:name w:val="ENFI表体格式"/>
    <w:basedOn w:val="1"/>
    <w:qFormat/>
    <w:uiPriority w:val="0"/>
    <w:pPr>
      <w:widowControl/>
      <w:adjustRightInd w:val="0"/>
      <w:snapToGrid w:val="0"/>
      <w:jc w:val="center"/>
    </w:pPr>
    <w:rPr>
      <w:rFonts w:eastAsia="仿宋_GB2312"/>
      <w:color w:val="FF0000"/>
      <w:kern w:val="0"/>
    </w:rPr>
  </w:style>
  <w:style w:type="paragraph" w:customStyle="1" w:styleId="50">
    <w:name w:val="TOC Heading"/>
    <w:basedOn w:val="2"/>
    <w:next w:val="1"/>
    <w:unhideWhenUsed/>
    <w:qFormat/>
    <w:uiPriority w:val="39"/>
    <w:pPr>
      <w:widowControl/>
      <w:numPr>
        <w:numId w:val="0"/>
      </w:numPr>
      <w:adjustRightInd/>
      <w:snapToGrid/>
      <w:spacing w:before="240" w:line="259" w:lineRule="auto"/>
      <w:jc w:val="left"/>
      <w:outlineLvl w:val="9"/>
    </w:pPr>
    <w:rPr>
      <w:rFonts w:asciiTheme="majorHAnsi" w:hAnsiTheme="majorHAnsi" w:eastAsiaTheme="majorEastAsia" w:cstheme="majorBidi"/>
      <w:b w:val="0"/>
      <w:caps w:val="0"/>
      <w:snapToGrid/>
      <w:color w:val="376092" w:themeColor="accent1" w:themeShade="BF"/>
      <w:sz w:val="32"/>
      <w:szCs w:val="32"/>
    </w:rPr>
  </w:style>
  <w:style w:type="paragraph" w:customStyle="1" w:styleId="51">
    <w:name w:val="标准条文"/>
    <w:qFormat/>
    <w:uiPriority w:val="0"/>
    <w:pPr>
      <w:spacing w:beforeLines="20" w:afterLines="20"/>
      <w:ind w:firstLine="200" w:firstLineChars="200"/>
    </w:pPr>
    <w:rPr>
      <w:rFonts w:ascii="Times New Roman" w:hAnsi="Times New Roman" w:eastAsia="宋体" w:cs="Times New Roman"/>
      <w:bCs/>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6.jpeg"/><Relationship Id="rId14" Type="http://schemas.openxmlformats.org/officeDocument/2006/relationships/image" Target="media/image5.jpeg"/><Relationship Id="rId13" Type="http://schemas.openxmlformats.org/officeDocument/2006/relationships/image" Target="media/image4.png"/><Relationship Id="rId12" Type="http://schemas.openxmlformats.org/officeDocument/2006/relationships/image" Target="media/image3.jpeg"/><Relationship Id="rId11" Type="http://schemas.openxmlformats.org/officeDocument/2006/relationships/image" Target="media/image2.emf"/><Relationship Id="rId10" Type="http://schemas.openxmlformats.org/officeDocument/2006/relationships/oleObject" Target="embeddings/oleObject2.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4037;&#20316;&#25991;&#20214;&#22841;\2023&#24180;\06%20&#31163;&#23376;&#22411;&#30719;&#23665;&#27745;&#26579;&#29289;&#25490;&#25918;&#26631;&#20934;\&#27169;&#26495;.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52EF5B-96BE-4C07-A2A2-9768C8BC33DE}">
  <ds:schemaRefs/>
</ds:datastoreItem>
</file>

<file path=docProps/app.xml><?xml version="1.0" encoding="utf-8"?>
<Properties xmlns="http://schemas.openxmlformats.org/officeDocument/2006/extended-properties" xmlns:vt="http://schemas.openxmlformats.org/officeDocument/2006/docPropsVTypes">
  <Template>模板</Template>
  <Pages>28</Pages>
  <Words>17074</Words>
  <Characters>18176</Characters>
  <Lines>141</Lines>
  <Paragraphs>39</Paragraphs>
  <TotalTime>0</TotalTime>
  <ScaleCrop>false</ScaleCrop>
  <LinksUpToDate>false</LinksUpToDate>
  <CharactersWithSpaces>19055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2023-07-22T14:01:00Z</dcterms:created>
  <dc:creator>刘兆毅</dc:creator>
  <cp:lastModifiedBy>刘兆毅</cp:lastModifiedBy>
  <dcterms:modified xsi:type="dcterms:W3CDTF">2023-09-19T02:47:07Z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59264E46A9D6454CB429B061A3FF43FE_11</vt:lpwstr>
  </property>
</Properties>
</file>