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rPr>
          <w:color w:val="000000"/>
        </w:rPr>
      </w:pPr>
      <w:bookmarkStart w:id="0" w:name="SectionMark0"/>
      <w:r>
        <w:rPr>
          <w:color w:val="000000"/>
        </w:rPr>
        <mc:AlternateContent>
          <mc:Choice Requires="wps">
            <w:drawing>
              <wp:anchor distT="0" distB="0" distL="114300" distR="114300" simplePos="0" relativeHeight="251668480" behindDoc="0" locked="1" layoutInCell="0" allowOverlap="1">
                <wp:simplePos x="0" y="0"/>
                <wp:positionH relativeFrom="margin">
                  <wp:posOffset>919480</wp:posOffset>
                </wp:positionH>
                <wp:positionV relativeFrom="margin">
                  <wp:posOffset>9006205</wp:posOffset>
                </wp:positionV>
                <wp:extent cx="3736975" cy="342265"/>
                <wp:effectExtent l="0" t="0" r="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3736975" cy="342265"/>
                        </a:xfrm>
                        <a:prstGeom prst="rect">
                          <a:avLst/>
                        </a:prstGeom>
                        <a:solidFill>
                          <a:srgbClr val="FFFFFF"/>
                        </a:solidFill>
                        <a:ln>
                          <a:noFill/>
                        </a:ln>
                        <a:effectLst/>
                      </wps:spPr>
                      <wps:txbx>
                        <w:txbxContent>
                          <w:p>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pPr>
                              <w:pStyle w:val="47"/>
                              <w:ind w:firstLine="0" w:firstLineChars="0"/>
                              <w:jc w:val="distribute"/>
                              <w:rPr>
                                <w:b/>
                                <w:spacing w:val="20"/>
                                <w:w w:val="135"/>
                                <w:sz w:val="28"/>
                                <w:szCs w:val="28"/>
                              </w:rPr>
                            </w:pPr>
                          </w:p>
                          <w:p>
                            <w:pPr>
                              <w:pStyle w:val="47"/>
                              <w:ind w:firstLine="560"/>
                              <w:jc w:val="distribute"/>
                              <w:rPr>
                                <w:sz w:val="28"/>
                                <w:szCs w:val="28"/>
                              </w:rPr>
                            </w:pPr>
                          </w:p>
                          <w:p>
                            <w:pPr>
                              <w:pStyle w:val="47"/>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2.4pt;margin-top:709.15pt;height:26.95pt;width:294.25pt;mso-position-horizontal-relative:margin;mso-position-vertical-relative:margin;z-index:251668480;mso-width-relative:page;mso-height-relative:page;" fillcolor="#FFFFFF" filled="t" stroked="f" coordsize="21600,21600" o:allowincell="f" o:gfxdata="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RWva9oAAAANAQAA&#10;DwAAAAAAAAABACAAAAAiAAAAZHJzL2Rvd25yZXYueG1sUEsBAhQAFAAAAAgAh07iQK5t7JcXAgAA&#10;OgQAAA4AAAAAAAAAAQAgAAAAKQEAAGRycy9lMm9Eb2MueG1sUEsFBgAAAAAGAAYAWQEAALIFAAAA&#10;AA==&#10;">
                <v:fill on="t" focussize="0,0"/>
                <v:stroke on="f"/>
                <v:imagedata o:title=""/>
                <o:lock v:ext="edit" aspectratio="f"/>
                <v:textbox inset="0mm,0mm,0mm,0mm">
                  <w:txbxContent>
                    <w:p>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pPr>
                        <w:pStyle w:val="47"/>
                        <w:ind w:firstLine="0" w:firstLineChars="0"/>
                        <w:jc w:val="distribute"/>
                        <w:rPr>
                          <w:b/>
                          <w:spacing w:val="20"/>
                          <w:w w:val="135"/>
                          <w:sz w:val="28"/>
                          <w:szCs w:val="28"/>
                        </w:rPr>
                      </w:pPr>
                    </w:p>
                    <w:p>
                      <w:pPr>
                        <w:pStyle w:val="47"/>
                        <w:ind w:firstLine="560"/>
                        <w:jc w:val="distribute"/>
                        <w:rPr>
                          <w:sz w:val="28"/>
                          <w:szCs w:val="28"/>
                        </w:rPr>
                      </w:pPr>
                    </w:p>
                    <w:p>
                      <w:pPr>
                        <w:pStyle w:val="47"/>
                        <w:ind w:firstLine="560"/>
                        <w:jc w:val="distribute"/>
                        <w:rPr>
                          <w:sz w:val="28"/>
                          <w:szCs w:val="28"/>
                        </w:rPr>
                      </w:pPr>
                    </w:p>
                  </w:txbxContent>
                </v:textbox>
                <w10:anchorlock/>
              </v:shape>
            </w:pict>
          </mc:Fallback>
        </mc:AlternateContent>
      </w:r>
      <w:r>
        <w:rPr>
          <w:color w:val="000000"/>
        </w:rPr>
        <w:drawing>
          <wp:anchor distT="0" distB="0" distL="114300" distR="114300" simplePos="0" relativeHeight="251667456"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64384" behindDoc="0" locked="1" layoutInCell="0" allowOverlap="1">
                <wp:simplePos x="0" y="0"/>
                <wp:positionH relativeFrom="margin">
                  <wp:posOffset>913130</wp:posOffset>
                </wp:positionH>
                <wp:positionV relativeFrom="margin">
                  <wp:posOffset>9273540</wp:posOffset>
                </wp:positionV>
                <wp:extent cx="3743960" cy="347345"/>
                <wp:effectExtent l="0" t="0" r="8890" b="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3743960" cy="347345"/>
                        </a:xfrm>
                        <a:prstGeom prst="rect">
                          <a:avLst/>
                        </a:prstGeom>
                        <a:solidFill>
                          <a:srgbClr val="FFFFFF"/>
                        </a:solidFill>
                        <a:ln>
                          <a:noFill/>
                        </a:ln>
                        <a:effectLst/>
                      </wps:spPr>
                      <wps:txbx>
                        <w:txbxContent>
                          <w:p>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pPr>
                              <w:pStyle w:val="71"/>
                              <w:jc w:val="distribute"/>
                              <w:rPr>
                                <w:rFonts w:ascii="Times New Roman" w:eastAsia="黑体"/>
                                <w:b w:val="0"/>
                                <w:spacing w:val="0"/>
                                <w:w w:val="100"/>
                                <w:sz w:val="32"/>
                                <w:szCs w:val="32"/>
                              </w:rPr>
                            </w:pPr>
                          </w:p>
                          <w:p>
                            <w:pPr>
                              <w:pStyle w:val="47"/>
                              <w:ind w:firstLine="420"/>
                              <w:jc w:val="distribute"/>
                            </w:pPr>
                          </w:p>
                          <w:p>
                            <w:pPr>
                              <w:pStyle w:val="47"/>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1.9pt;margin-top:730.2pt;height:27.35pt;width:294.8pt;mso-position-horizontal-relative:margin;mso-position-vertical-relative:margin;z-index:251664384;mso-width-relative:page;mso-height-relative:page;" fillcolor="#FFFFFF" filled="t" stroked="f" coordsize="21600,21600" o:allowincell="f" o:gfxdata="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GtXZAAAADQEAAA8A&#10;AAAAAAAAAQAgAAAAIgAAAGRycy9kb3ducmV2LnhtbFBLAQIUABQAAAAIAIdO4kAHHhzsFgIAADoE&#10;AAAOAAAAAAAAAAEAIAAAACgBAABkcnMvZTJvRG9jLnhtbFBLBQYAAAAABgAGAFkBAACwBQAAAAA=&#10;">
                <v:fill on="t" focussize="0,0"/>
                <v:stroke on="f"/>
                <v:imagedata o:title=""/>
                <o:lock v:ext="edit" aspectratio="f"/>
                <v:textbox inset="0mm,0mm,0mm,0mm">
                  <w:txbxContent>
                    <w:p>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pPr>
                        <w:pStyle w:val="71"/>
                        <w:jc w:val="distribute"/>
                        <w:rPr>
                          <w:rFonts w:ascii="Times New Roman" w:eastAsia="黑体"/>
                          <w:b w:val="0"/>
                          <w:spacing w:val="0"/>
                          <w:w w:val="100"/>
                          <w:sz w:val="32"/>
                          <w:szCs w:val="32"/>
                        </w:rPr>
                      </w:pPr>
                    </w:p>
                    <w:p>
                      <w:pPr>
                        <w:pStyle w:val="47"/>
                        <w:ind w:firstLine="420"/>
                        <w:jc w:val="distribute"/>
                      </w:pPr>
                    </w:p>
                    <w:p>
                      <w:pPr>
                        <w:pStyle w:val="47"/>
                        <w:ind w:firstLine="420"/>
                        <w:jc w:val="distribute"/>
                      </w:pP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1"/>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3.95pt;height:24.6pt;width:159pt;mso-position-horizontal-relative:margin;mso-position-vertical-relative:margin;z-index:251663360;mso-width-relative:page;mso-height-relative:page;" fillcolor="#FFFFFF" filled="t" stroked="f" coordsize="21600,21600" o:gfxdata="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Mhj9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pPr>
                        <w:pStyle w:val="61"/>
                      </w:pPr>
                      <w:r>
                        <w:rPr>
                          <w:rFonts w:hint="eastAsia"/>
                        </w:rPr>
                        <w:t>20</w:t>
                      </w:r>
                      <w:r>
                        <w:t>2</w:t>
                      </w:r>
                      <w:r>
                        <w:rPr>
                          <w:rFonts w:hint="eastAsia"/>
                          <w:color w:val="000000"/>
                        </w:rPr>
                        <w:t>X-XX-XX</w:t>
                      </w: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2"/>
                              <w:rPr>
                                <w:color w:val="000000"/>
                              </w:rPr>
                            </w:pPr>
                            <w:r>
                              <w:rPr>
                                <w:rFonts w:hint="eastAsia"/>
                              </w:rPr>
                              <w:t>20</w:t>
                            </w:r>
                            <w:r>
                              <w:rPr>
                                <w:color w:val="000000"/>
                              </w:rPr>
                              <w:t>2</w:t>
                            </w:r>
                            <w:r>
                              <w:rPr>
                                <w:rFonts w:hint="eastAsia"/>
                                <w:color w:val="000000"/>
                              </w:rPr>
                              <w:t>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62336;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LQ9u1gAAAAoBAAAPAAAAAAAAAAEAIAAA&#10;ACIAAABkcnMvZG93bnJldi54bWxQSwECFAAUAAAACACHTuJAWtG4Qg4CAAAsBAAADgAAAAAAAAAB&#10;ACAAAAAlAQAAZHJzL2Uyb0RvYy54bWxQSwUGAAAAAAYABgBZAQAApQUAAAAA&#10;">
                <v:fill on="t" focussize="0,0"/>
                <v:stroke on="f"/>
                <v:imagedata o:title=""/>
                <o:lock v:ext="edit" aspectratio="f"/>
                <v:textbox inset="0mm,0mm,0mm,0mm">
                  <w:txbxContent>
                    <w:p>
                      <w:pPr>
                        <w:pStyle w:val="62"/>
                        <w:rPr>
                          <w:color w:val="000000"/>
                        </w:rPr>
                      </w:pPr>
                      <w:r>
                        <w:rPr>
                          <w:rFonts w:hint="eastAsia"/>
                        </w:rPr>
                        <w:t>20</w:t>
                      </w:r>
                      <w:r>
                        <w:rPr>
                          <w:color w:val="000000"/>
                        </w:rPr>
                        <w:t>2</w:t>
                      </w:r>
                      <w:r>
                        <w:rPr>
                          <w:rFonts w:hint="eastAsia"/>
                          <w:color w:val="000000"/>
                        </w:rPr>
                        <w:t>X-XX-XX发布</w:t>
                      </w: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0" allowOverlap="1">
                <wp:simplePos x="0" y="0"/>
                <wp:positionH relativeFrom="margin">
                  <wp:posOffset>-33020</wp:posOffset>
                </wp:positionH>
                <wp:positionV relativeFrom="margin">
                  <wp:posOffset>3223895</wp:posOffset>
                </wp:positionV>
                <wp:extent cx="6121400" cy="4232910"/>
                <wp:effectExtent l="0" t="0" r="12700" b="1524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4232910"/>
                        </a:xfrm>
                        <a:prstGeom prst="rect">
                          <a:avLst/>
                        </a:prstGeom>
                        <a:solidFill>
                          <a:srgbClr val="FFFFFF"/>
                        </a:solidFill>
                        <a:ln>
                          <a:noFill/>
                        </a:ln>
                      </wps:spPr>
                      <wps:txbx>
                        <w:txbxContent>
                          <w:p>
                            <w:pPr>
                              <w:pStyle w:val="95"/>
                              <w:spacing w:before="0" w:line="770" w:lineRule="exact"/>
                              <w:rPr>
                                <w:rFonts w:ascii="黑体" w:hAnsi="宋体" w:eastAsia="黑体"/>
                                <w:sz w:val="52"/>
                                <w:szCs w:val="52"/>
                              </w:rPr>
                            </w:pPr>
                            <w:r>
                              <w:rPr>
                                <w:rFonts w:hint="eastAsia" w:ascii="黑体" w:hAnsi="宋体" w:eastAsia="黑体"/>
                                <w:sz w:val="52"/>
                                <w:szCs w:val="52"/>
                              </w:rPr>
                              <w:t>离子型稀土矿混合稀土氧化物</w:t>
                            </w:r>
                          </w:p>
                          <w:p>
                            <w:pPr>
                              <w:pStyle w:val="95"/>
                              <w:spacing w:before="0" w:line="770" w:lineRule="exact"/>
                              <w:rPr>
                                <w:rFonts w:hint="eastAsia" w:eastAsia="黑体"/>
                                <w:color w:val="FF0000"/>
                                <w:sz w:val="52"/>
                                <w:szCs w:val="52"/>
                              </w:rPr>
                            </w:pPr>
                            <w:r>
                              <w:rPr>
                                <w:rFonts w:hint="eastAsia" w:ascii="黑体" w:hAnsi="宋体" w:eastAsia="黑体"/>
                                <w:sz w:val="52"/>
                                <w:szCs w:val="52"/>
                              </w:rPr>
                              <w:t>化学分析方法</w:t>
                            </w:r>
                            <w:r>
                              <w:rPr>
                                <w:rFonts w:hint="eastAsia" w:eastAsia="黑体"/>
                                <w:color w:val="FF0000"/>
                                <w:sz w:val="52"/>
                                <w:szCs w:val="52"/>
                              </w:rPr>
                              <w:t>　</w:t>
                            </w:r>
                          </w:p>
                          <w:p>
                            <w:pPr>
                              <w:pStyle w:val="95"/>
                              <w:spacing w:before="0" w:line="770" w:lineRule="exact"/>
                              <w:rPr>
                                <w:rFonts w:hint="eastAsia" w:ascii="黑体" w:hAnsi="宋体" w:eastAsia="黑体"/>
                                <w:sz w:val="52"/>
                                <w:szCs w:val="52"/>
                                <w:lang w:val="en-US" w:eastAsia="zh-CN"/>
                              </w:rPr>
                            </w:pPr>
                            <w:r>
                              <w:rPr>
                                <w:rFonts w:hint="eastAsia" w:ascii="黑体" w:hAnsi="宋体" w:eastAsia="黑体"/>
                                <w:sz w:val="52"/>
                                <w:szCs w:val="52"/>
                              </w:rPr>
                              <w:t>第4部分：三氧化二铁含量的测定</w:t>
                            </w:r>
                            <w:r>
                              <w:rPr>
                                <w:rFonts w:hint="eastAsia" w:ascii="黑体" w:hAnsi="宋体" w:eastAsia="黑体"/>
                                <w:sz w:val="52"/>
                                <w:szCs w:val="52"/>
                                <w:lang w:val="en-US" w:eastAsia="zh-CN"/>
                              </w:rPr>
                              <w:t xml:space="preserve">  </w:t>
                            </w:r>
                          </w:p>
                          <w:p>
                            <w:pPr>
                              <w:pStyle w:val="95"/>
                              <w:spacing w:before="0" w:line="770" w:lineRule="exact"/>
                              <w:rPr>
                                <w:rFonts w:hint="default" w:eastAsia="黑体"/>
                                <w:color w:val="FF0000"/>
                                <w:sz w:val="52"/>
                                <w:szCs w:val="52"/>
                                <w:lang w:val="en-US" w:eastAsia="zh-CN"/>
                              </w:rPr>
                            </w:pPr>
                            <w:r>
                              <w:rPr>
                                <w:rFonts w:hint="eastAsia" w:ascii="黑体" w:hAnsi="宋体" w:eastAsia="黑体"/>
                                <w:sz w:val="52"/>
                                <w:szCs w:val="52"/>
                                <w:lang w:val="en-US" w:eastAsia="zh-CN"/>
                              </w:rPr>
                              <w:t>电感耦合等离子体发射光谱法</w:t>
                            </w:r>
                          </w:p>
                          <w:p>
                            <w:pPr>
                              <w:pStyle w:val="82"/>
                              <w:shd w:val="clear" w:color="auto" w:fill="FFFFFF"/>
                              <w:spacing w:before="567" w:beforeAutospacing="0" w:after="0" w:line="330" w:lineRule="exact"/>
                              <w:ind w:firstLine="567"/>
                              <w:jc w:val="cente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Chemical analysis methods of mixed rare earth oxide of ion-absorption</w:t>
                            </w:r>
                          </w:p>
                          <w:p>
                            <w:pPr>
                              <w:pStyle w:val="82"/>
                              <w:shd w:val="clear" w:color="auto" w:fill="FFFFFF"/>
                              <w:spacing w:before="0" w:beforeAutospacing="0" w:after="0" w:line="330" w:lineRule="exact"/>
                              <w:ind w:firstLine="567"/>
                              <w:jc w:val="cente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rare earth ore—</w:t>
                            </w:r>
                          </w:p>
                          <w:p>
                            <w:pPr>
                              <w:pStyle w:val="82"/>
                              <w:shd w:val="clear" w:color="auto" w:fill="FFFFFF"/>
                              <w:spacing w:before="0" w:beforeAutospacing="0" w:after="0" w:line="330" w:lineRule="exact"/>
                              <w:ind w:firstLine="567"/>
                              <w:jc w:val="center"/>
                              <w:rPr>
                                <w:rFonts w:hint="default" w:ascii="Times New Roman" w:hAnsi="Times New Roman" w:eastAsia="黑体" w:cs="Times New Roman"/>
                                <w:color w:val="auto"/>
                                <w:sz w:val="28"/>
                                <w:lang w:val="en-US" w:eastAsia="zh-CN"/>
                              </w:rPr>
                            </w:pPr>
                            <w:r>
                              <w:rPr>
                                <w:rFonts w:hint="default" w:ascii="Times New Roman" w:hAnsi="Times New Roman" w:eastAsia="黑体" w:cs="Times New Roman"/>
                                <w:color w:val="auto"/>
                                <w:sz w:val="28"/>
                              </w:rPr>
                              <w:t>Part 4：Determination of iron trioxide content—</w:t>
                            </w:r>
                            <w:r>
                              <w:rPr>
                                <w:rFonts w:hint="default" w:ascii="Times New Roman" w:hAnsi="Times New Roman" w:eastAsia="黑体" w:cs="Times New Roman"/>
                                <w:color w:val="auto"/>
                                <w:sz w:val="28"/>
                                <w:lang w:val="en-US" w:eastAsia="zh-CN"/>
                              </w:rPr>
                              <w:t>Inductively coupled plasma atomic emission spectrometry</w:t>
                            </w:r>
                          </w:p>
                          <w:p>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p>
                          <w:p>
                            <w:pPr>
                              <w:pStyle w:val="95"/>
                            </w:pPr>
                            <w:r>
                              <w:rPr>
                                <w:rFonts w:hint="eastAsia"/>
                              </w:rPr>
                              <w:t>(</w:t>
                            </w:r>
                            <w:r>
                              <w:rPr>
                                <w:rFonts w:hint="eastAsia"/>
                                <w:lang w:val="en-US" w:eastAsia="zh-CN"/>
                              </w:rPr>
                              <w:t>送审稿</w:t>
                            </w:r>
                            <w:r>
                              <w:rPr>
                                <w:rFonts w:hint="eastAsia"/>
                              </w:rPr>
                              <w:t>)</w:t>
                            </w:r>
                          </w:p>
                          <w:p>
                            <w:pPr>
                              <w:pStyle w:val="75"/>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6pt;margin-top:253.85pt;height:333.3pt;width:482pt;mso-position-horizontal-relative:margin;mso-position-vertical-relative:margin;z-index:251661312;mso-width-relative:page;mso-height-relative:page;" fillcolor="#FFFFFF" filled="t" stroked="f" coordsize="21600,21600" o:allowincell="f" o:gfxdata="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749F2gAAAAsBAAAPAAAAAAAA&#10;AAEAIAAAACIAAABkcnMvZG93bnJldi54bWxQSwECFAAUAAAACACHTuJAgSoyfxACAAAtBAAADgAA&#10;AAAAAAABACAAAAApAQAAZHJzL2Uyb0RvYy54bWxQSwUGAAAAAAYABgBZAQAAqwUAAAAA&#10;">
                <v:fill on="t" focussize="0,0"/>
                <v:stroke on="f"/>
                <v:imagedata o:title=""/>
                <o:lock v:ext="edit" aspectratio="f"/>
                <v:textbox inset="0mm,0mm,0mm,0mm">
                  <w:txbxContent>
                    <w:p>
                      <w:pPr>
                        <w:pStyle w:val="95"/>
                        <w:spacing w:before="0" w:line="770" w:lineRule="exact"/>
                        <w:rPr>
                          <w:rFonts w:ascii="黑体" w:hAnsi="宋体" w:eastAsia="黑体"/>
                          <w:sz w:val="52"/>
                          <w:szCs w:val="52"/>
                        </w:rPr>
                      </w:pPr>
                      <w:r>
                        <w:rPr>
                          <w:rFonts w:hint="eastAsia" w:ascii="黑体" w:hAnsi="宋体" w:eastAsia="黑体"/>
                          <w:sz w:val="52"/>
                          <w:szCs w:val="52"/>
                        </w:rPr>
                        <w:t>离子型稀土矿混合稀土氧化物</w:t>
                      </w:r>
                    </w:p>
                    <w:p>
                      <w:pPr>
                        <w:pStyle w:val="95"/>
                        <w:spacing w:before="0" w:line="770" w:lineRule="exact"/>
                        <w:rPr>
                          <w:rFonts w:hint="eastAsia" w:eastAsia="黑体"/>
                          <w:color w:val="FF0000"/>
                          <w:sz w:val="52"/>
                          <w:szCs w:val="52"/>
                        </w:rPr>
                      </w:pPr>
                      <w:r>
                        <w:rPr>
                          <w:rFonts w:hint="eastAsia" w:ascii="黑体" w:hAnsi="宋体" w:eastAsia="黑体"/>
                          <w:sz w:val="52"/>
                          <w:szCs w:val="52"/>
                        </w:rPr>
                        <w:t>化学分析方法</w:t>
                      </w:r>
                      <w:r>
                        <w:rPr>
                          <w:rFonts w:hint="eastAsia" w:eastAsia="黑体"/>
                          <w:color w:val="FF0000"/>
                          <w:sz w:val="52"/>
                          <w:szCs w:val="52"/>
                        </w:rPr>
                        <w:t>　</w:t>
                      </w:r>
                    </w:p>
                    <w:p>
                      <w:pPr>
                        <w:pStyle w:val="95"/>
                        <w:spacing w:before="0" w:line="770" w:lineRule="exact"/>
                        <w:rPr>
                          <w:rFonts w:hint="eastAsia" w:ascii="黑体" w:hAnsi="宋体" w:eastAsia="黑体"/>
                          <w:sz w:val="52"/>
                          <w:szCs w:val="52"/>
                          <w:lang w:val="en-US" w:eastAsia="zh-CN"/>
                        </w:rPr>
                      </w:pPr>
                      <w:r>
                        <w:rPr>
                          <w:rFonts w:hint="eastAsia" w:ascii="黑体" w:hAnsi="宋体" w:eastAsia="黑体"/>
                          <w:sz w:val="52"/>
                          <w:szCs w:val="52"/>
                        </w:rPr>
                        <w:t>第4部分：三氧化二铁含量的测定</w:t>
                      </w:r>
                      <w:r>
                        <w:rPr>
                          <w:rFonts w:hint="eastAsia" w:ascii="黑体" w:hAnsi="宋体" w:eastAsia="黑体"/>
                          <w:sz w:val="52"/>
                          <w:szCs w:val="52"/>
                          <w:lang w:val="en-US" w:eastAsia="zh-CN"/>
                        </w:rPr>
                        <w:t xml:space="preserve">  </w:t>
                      </w:r>
                    </w:p>
                    <w:p>
                      <w:pPr>
                        <w:pStyle w:val="95"/>
                        <w:spacing w:before="0" w:line="770" w:lineRule="exact"/>
                        <w:rPr>
                          <w:rFonts w:hint="default" w:eastAsia="黑体"/>
                          <w:color w:val="FF0000"/>
                          <w:sz w:val="52"/>
                          <w:szCs w:val="52"/>
                          <w:lang w:val="en-US" w:eastAsia="zh-CN"/>
                        </w:rPr>
                      </w:pPr>
                      <w:r>
                        <w:rPr>
                          <w:rFonts w:hint="eastAsia" w:ascii="黑体" w:hAnsi="宋体" w:eastAsia="黑体"/>
                          <w:sz w:val="52"/>
                          <w:szCs w:val="52"/>
                          <w:lang w:val="en-US" w:eastAsia="zh-CN"/>
                        </w:rPr>
                        <w:t>电感耦合等离子体发射光谱法</w:t>
                      </w:r>
                    </w:p>
                    <w:p>
                      <w:pPr>
                        <w:pStyle w:val="82"/>
                        <w:shd w:val="clear" w:color="auto" w:fill="FFFFFF"/>
                        <w:spacing w:before="567" w:beforeAutospacing="0" w:after="0" w:line="330" w:lineRule="exact"/>
                        <w:ind w:firstLine="567"/>
                        <w:jc w:val="cente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Chemical analysis methods of mixed rare earth oxide of ion-absorption</w:t>
                      </w:r>
                    </w:p>
                    <w:p>
                      <w:pPr>
                        <w:pStyle w:val="82"/>
                        <w:shd w:val="clear" w:color="auto" w:fill="FFFFFF"/>
                        <w:spacing w:before="0" w:beforeAutospacing="0" w:after="0" w:line="330" w:lineRule="exact"/>
                        <w:ind w:firstLine="567"/>
                        <w:jc w:val="cente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rare earth ore—</w:t>
                      </w:r>
                    </w:p>
                    <w:p>
                      <w:pPr>
                        <w:pStyle w:val="82"/>
                        <w:shd w:val="clear" w:color="auto" w:fill="FFFFFF"/>
                        <w:spacing w:before="0" w:beforeAutospacing="0" w:after="0" w:line="330" w:lineRule="exact"/>
                        <w:ind w:firstLine="567"/>
                        <w:jc w:val="center"/>
                        <w:rPr>
                          <w:rFonts w:hint="default" w:ascii="Times New Roman" w:hAnsi="Times New Roman" w:eastAsia="黑体" w:cs="Times New Roman"/>
                          <w:color w:val="auto"/>
                          <w:sz w:val="28"/>
                          <w:lang w:val="en-US" w:eastAsia="zh-CN"/>
                        </w:rPr>
                      </w:pPr>
                      <w:r>
                        <w:rPr>
                          <w:rFonts w:hint="default" w:ascii="Times New Roman" w:hAnsi="Times New Roman" w:eastAsia="黑体" w:cs="Times New Roman"/>
                          <w:color w:val="auto"/>
                          <w:sz w:val="28"/>
                        </w:rPr>
                        <w:t>Part 4：Determination of iron trioxide content—</w:t>
                      </w:r>
                      <w:r>
                        <w:rPr>
                          <w:rFonts w:hint="default" w:ascii="Times New Roman" w:hAnsi="Times New Roman" w:eastAsia="黑体" w:cs="Times New Roman"/>
                          <w:color w:val="auto"/>
                          <w:sz w:val="28"/>
                          <w:lang w:val="en-US" w:eastAsia="zh-CN"/>
                        </w:rPr>
                        <w:t>Inductively coupled plasma atomic emission spectrometry</w:t>
                      </w:r>
                    </w:p>
                    <w:p>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p>
                    <w:p>
                      <w:pPr>
                        <w:pStyle w:val="95"/>
                      </w:pPr>
                      <w:r>
                        <w:rPr>
                          <w:rFonts w:hint="eastAsia"/>
                        </w:rPr>
                        <w:t>(</w:t>
                      </w:r>
                      <w:r>
                        <w:rPr>
                          <w:rFonts w:hint="eastAsia"/>
                          <w:lang w:val="en-US" w:eastAsia="zh-CN"/>
                        </w:rPr>
                        <w:t>送审稿</w:t>
                      </w:r>
                      <w:r>
                        <w:rPr>
                          <w:rFonts w:hint="eastAsia"/>
                        </w:rPr>
                        <w:t>)</w:t>
                      </w:r>
                    </w:p>
                    <w:p>
                      <w:pPr>
                        <w:pStyle w:val="75"/>
                        <w:jc w:val="both"/>
                      </w:pP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pPr>
                              <w:pStyle w:val="103"/>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0288;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pPr>
                        <w:pStyle w:val="103"/>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pPr>
                              <w:pStyle w:val="98"/>
                              <w:rPr>
                                <w:rFonts w:hint="eastAsia" w:ascii="黑体" w:hAnsi="黑体" w:eastAsia="黑体" w:cs="黑体"/>
                              </w:rPr>
                            </w:pPr>
                            <w:r>
                              <w:rPr>
                                <w:rFonts w:hint="eastAsia" w:ascii="黑体" w:hAnsi="黑体" w:eastAsia="黑体" w:cs="黑体"/>
                              </w:rPr>
                              <w:t>ICS 77.120.99</w:t>
                            </w:r>
                          </w:p>
                          <w:p>
                            <w:pPr>
                              <w:pStyle w:val="98"/>
                              <w:rPr>
                                <w:rFonts w:hint="eastAsia" w:ascii="黑体" w:hAnsi="黑体" w:eastAsia="黑体" w:cs="黑体"/>
                              </w:rPr>
                            </w:pPr>
                            <w:r>
                              <w:rPr>
                                <w:rFonts w:hint="eastAsia" w:ascii="黑体" w:hAnsi="黑体" w:eastAsia="黑体" w:cs="黑体"/>
                              </w:rPr>
                              <w:t>CCS H 14</w:t>
                            </w:r>
                          </w:p>
                          <w:p>
                            <w:pPr>
                              <w:pStyle w:val="98"/>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9264;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rUZ4dUAAAAHAQAADwAAAAAAAAABACAAAAAi&#10;AAAAZHJzL2Rvd25yZXYueG1sUEsBAhQAFAAAAAgAh07iQMAlzqgNAgAAKwQAAA4AAAAAAAAAAQAg&#10;AAAAJAEAAGRycy9lMm9Eb2MueG1sUEsFBgAAAAAGAAYAWQEAAKMFAAAAAA==&#10;">
                <v:fill on="t" focussize="0,0"/>
                <v:stroke on="f"/>
                <v:imagedata o:title=""/>
                <o:lock v:ext="edit" aspectratio="f"/>
                <v:textbox inset="0mm,0mm,0mm,0mm">
                  <w:txbxContent>
                    <w:p>
                      <w:pPr>
                        <w:pStyle w:val="98"/>
                        <w:rPr>
                          <w:rFonts w:hint="eastAsia" w:ascii="黑体" w:hAnsi="黑体" w:eastAsia="黑体" w:cs="黑体"/>
                        </w:rPr>
                      </w:pPr>
                      <w:r>
                        <w:rPr>
                          <w:rFonts w:hint="eastAsia" w:ascii="黑体" w:hAnsi="黑体" w:eastAsia="黑体" w:cs="黑体"/>
                        </w:rPr>
                        <w:t>ICS 77.120.99</w:t>
                      </w:r>
                    </w:p>
                    <w:p>
                      <w:pPr>
                        <w:pStyle w:val="98"/>
                        <w:rPr>
                          <w:rFonts w:hint="eastAsia" w:ascii="黑体" w:hAnsi="黑体" w:eastAsia="黑体" w:cs="黑体"/>
                        </w:rPr>
                      </w:pPr>
                      <w:r>
                        <w:rPr>
                          <w:rFonts w:hint="eastAsia" w:ascii="黑体" w:hAnsi="黑体" w:eastAsia="黑体" w:cs="黑体"/>
                        </w:rPr>
                        <w:t>CCS H 14</w:t>
                      </w:r>
                    </w:p>
                    <w:p>
                      <w:pPr>
                        <w:pStyle w:val="98"/>
                      </w:pPr>
                    </w:p>
                  </w:txbxContent>
                </v:textbox>
                <w10:anchorlock/>
              </v:shape>
            </w:pict>
          </mc:Fallback>
        </mc:AlternateContent>
      </w:r>
    </w:p>
    <w:p>
      <w:pPr>
        <w:rPr>
          <w:color w:val="000000"/>
        </w:rPr>
      </w:pPr>
      <w:r>
        <w:rPr>
          <w:rFonts w:hint="eastAsia"/>
          <w:color w:val="000000"/>
        </w:rPr>
        <w:t>CCSc</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670528" behindDoc="0" locked="0" layoutInCell="1" allowOverlap="1">
                <wp:simplePos x="0" y="0"/>
                <wp:positionH relativeFrom="margin">
                  <wp:posOffset>269240</wp:posOffset>
                </wp:positionH>
                <wp:positionV relativeFrom="paragraph">
                  <wp:posOffset>60325</wp:posOffset>
                </wp:positionV>
                <wp:extent cx="5716905" cy="486410"/>
                <wp:effectExtent l="0" t="0" r="0" b="889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pPr>
                              <w:spacing w:line="280" w:lineRule="exact"/>
                              <w:jc w:val="right"/>
                            </w:pPr>
                            <w:r>
                              <w:rPr>
                                <w:rFonts w:ascii="黑体" w:hAnsi="黑体" w:eastAsia="黑体"/>
                                <w:sz w:val="28"/>
                              </w:rPr>
                              <w:t>GB/T</w:t>
                            </w:r>
                            <w:r>
                              <w:rPr>
                                <w:rFonts w:hint="eastAsia" w:ascii="黑体" w:hAnsi="黑体" w:eastAsia="黑体"/>
                                <w:sz w:val="28"/>
                                <w:lang w:val="en-US" w:eastAsia="zh-CN"/>
                              </w:rPr>
                              <w:t xml:space="preserve"> </w:t>
                            </w:r>
                            <w:r>
                              <w:rPr>
                                <w:rFonts w:ascii="黑体" w:hAnsi="黑体" w:eastAsia="黑体"/>
                                <w:sz w:val="28"/>
                              </w:rPr>
                              <w:t>18882.</w:t>
                            </w:r>
                            <w:r>
                              <w:rPr>
                                <w:rFonts w:hint="eastAsia" w:ascii="黑体" w:hAnsi="黑体" w:eastAsia="黑体"/>
                                <w:sz w:val="28"/>
                              </w:rPr>
                              <w:t>4</w:t>
                            </w:r>
                            <w:r>
                              <w:rPr>
                                <w:rFonts w:ascii="黑体" w:hAnsi="黑体" w:eastAsia="黑体"/>
                                <w:sz w:val="28"/>
                              </w:rPr>
                              <w:t>—202X</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pt;margin-top:4.75pt;height:38.3pt;width:450.15pt;mso-position-horizontal-relative:margin;z-index:251670528;mso-width-relative:page;mso-height-relative:page;" filled="f" stroked="f" coordsize="21600,21600" o:gfxdata="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XO39UAAAAHAQAADwAA&#10;AAAAAAABACAAAAAiAAAAZHJzL2Rvd25yZXYueG1sUEsBAhQAFAAAAAgAh07iQElO530ZAgAAFwQA&#10;AA4AAAAAAAAAAQAgAAAAJAEAAGRycy9lMm9Eb2MueG1sUEsFBgAAAAAGAAYAWQEAAK8FAAAAAA==&#10;">
                <v:fill on="f" focussize="0,0"/>
                <v:stroke on="f"/>
                <v:imagedata o:title=""/>
                <o:lock v:ext="edit" aspectratio="f"/>
                <v:textbox>
                  <w:txbxContent>
                    <w:p>
                      <w:pPr>
                        <w:spacing w:line="280" w:lineRule="exact"/>
                        <w:jc w:val="right"/>
                      </w:pPr>
                      <w:r>
                        <w:rPr>
                          <w:rFonts w:ascii="黑体" w:hAnsi="黑体" w:eastAsia="黑体"/>
                          <w:sz w:val="28"/>
                        </w:rPr>
                        <w:t>GB/T</w:t>
                      </w:r>
                      <w:r>
                        <w:rPr>
                          <w:rFonts w:hint="eastAsia" w:ascii="黑体" w:hAnsi="黑体" w:eastAsia="黑体"/>
                          <w:sz w:val="28"/>
                          <w:lang w:val="en-US" w:eastAsia="zh-CN"/>
                        </w:rPr>
                        <w:t xml:space="preserve"> </w:t>
                      </w:r>
                      <w:r>
                        <w:rPr>
                          <w:rFonts w:ascii="黑体" w:hAnsi="黑体" w:eastAsia="黑体"/>
                          <w:sz w:val="28"/>
                        </w:rPr>
                        <w:t>18882.</w:t>
                      </w:r>
                      <w:r>
                        <w:rPr>
                          <w:rFonts w:hint="eastAsia" w:ascii="黑体" w:hAnsi="黑体" w:eastAsia="黑体"/>
                          <w:sz w:val="28"/>
                        </w:rPr>
                        <w:t>4</w:t>
                      </w:r>
                      <w:r>
                        <w:rPr>
                          <w:rFonts w:ascii="黑体" w:hAnsi="黑体" w:eastAsia="黑体"/>
                          <w:sz w:val="28"/>
                        </w:rPr>
                        <w:t>—202X</w:t>
                      </w:r>
                    </w:p>
                  </w:txbxContent>
                </v:textbox>
              </v:shape>
            </w:pict>
          </mc:Fallback>
        </mc:AlternateContent>
      </w:r>
    </w:p>
    <w:p>
      <w:pPr>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916"/>
        </w:tabs>
        <w:jc w:val="left"/>
        <w:rPr>
          <w:color w:val="000000"/>
        </w:rPr>
      </w:pPr>
      <w:r>
        <w:rPr>
          <w:color w:val="00000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345.2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color w:val="000000"/>
        </w:rPr>
        <w:tab/>
      </w: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r>
        <w:rPr>
          <w:color w:val="000000"/>
        </w:rPr>
        <mc:AlternateContent>
          <mc:Choice Requires="wps">
            <w:drawing>
              <wp:anchor distT="0" distB="0" distL="114300" distR="114300" simplePos="0" relativeHeight="251669504" behindDoc="0" locked="0" layoutInCell="1" allowOverlap="1">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solidFill>
                          <a:srgbClr val="FFFFFF"/>
                        </a:solidFill>
                        <a:ln w="9525">
                          <a:solidFill>
                            <a:srgbClr val="FFFFFF"/>
                          </a:solidFill>
                          <a:miter lim="800000"/>
                        </a:ln>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73.15pt;margin-top:96.15pt;height:37.1pt;width:48.95pt;z-index:251669504;mso-width-relative:page;mso-height-relative:page;" fillcolor="#FFFFFF" filled="t" stroked="t" coordsize="21600,21600" o:gfxdata="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DLVi2QAAAAsBAAAPAAAAAAAAAAEAIAAAACIAAABk&#10;cnMvZG93bnJldi54bWxQSwECFAAUAAAACACHTuJAQIkv8z4CAACIBAAADgAAAAAAAAABACAAAAAo&#10;AQAAZHJzL2Uyb0RvYy54bWxQSwUGAAAAAAYABgBZAQAA2AUAAAAA&#10;">
                <v:fill on="t"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p>
    <w:bookmarkEnd w:id="0"/>
    <w:p>
      <w:pPr>
        <w:pStyle w:val="73"/>
        <w:numPr>
          <w:ilvl w:val="0"/>
          <w:numId w:val="0"/>
        </w:numPr>
        <w:spacing w:before="156" w:beforeAutospacing="0" w:after="680"/>
        <w:rPr>
          <w:color w:val="000000"/>
        </w:rPr>
      </w:pPr>
      <w:bookmarkStart w:id="1" w:name="SectionMark2"/>
      <w:r>
        <w:rPr>
          <w:rFonts w:hint="eastAsia"/>
          <w:color w:val="000000"/>
        </w:rPr>
        <w:t>前   言</w:t>
      </w:r>
    </w:p>
    <w:bookmarkEnd w:id="1"/>
    <w:p>
      <w:pPr>
        <w:ind w:firstLine="420"/>
        <w:rPr>
          <w:rFonts w:ascii="宋体" w:hAnsi="宋体"/>
        </w:rPr>
      </w:pPr>
      <w:bookmarkStart w:id="2" w:name="SectionMark4"/>
      <w:r>
        <w:rPr>
          <w:rFonts w:hint="eastAsia" w:ascii="宋体" w:hAnsi="宋体"/>
        </w:rPr>
        <w:t>本文件按照</w:t>
      </w:r>
      <w:r>
        <w:rPr>
          <w:rFonts w:ascii="宋体" w:hAnsi="宋体"/>
        </w:rPr>
        <w:t>GB/T</w:t>
      </w:r>
      <w:r>
        <w:rPr>
          <w:rFonts w:hAnsi="宋体"/>
        </w:rPr>
        <w:t> </w:t>
      </w:r>
      <w:r>
        <w:rPr>
          <w:rFonts w:ascii="宋体" w:hAnsi="宋体"/>
        </w:rPr>
        <w:t>1.1-20</w:t>
      </w:r>
      <w:r>
        <w:rPr>
          <w:rFonts w:hint="eastAsia" w:ascii="宋体" w:hAnsi="宋体"/>
        </w:rPr>
        <w:t>20《标准化工作导则</w:t>
      </w:r>
      <w:r>
        <w:t> </w:t>
      </w:r>
      <w:r>
        <w:rPr>
          <w:rFonts w:hint="eastAsia" w:ascii="宋体" w:hAnsi="宋体"/>
        </w:rPr>
        <w:t>第1部分：标准化文件的结构和起草规则》的规定起草。</w:t>
      </w:r>
    </w:p>
    <w:p>
      <w:pPr>
        <w:ind w:firstLine="420"/>
        <w:rPr>
          <w:rFonts w:asciiTheme="minorEastAsia" w:hAnsiTheme="minorEastAsia" w:eastAsiaTheme="minorEastAsia"/>
        </w:rPr>
      </w:pPr>
      <w:r>
        <w:rPr>
          <w:rFonts w:hint="eastAsia" w:ascii="宋体" w:hAnsi="宋体"/>
        </w:rPr>
        <w:t>本</w:t>
      </w:r>
      <w:r>
        <w:rPr>
          <w:rFonts w:ascii="宋体" w:hAnsi="宋体"/>
        </w:rPr>
        <w:t>文件是</w:t>
      </w:r>
      <w:r>
        <w:rPr>
          <w:rFonts w:asciiTheme="minorEastAsia" w:hAnsiTheme="minorEastAsia" w:eastAsiaTheme="minorEastAsia"/>
        </w:rPr>
        <w:t>GB/T</w:t>
      </w:r>
      <w:r>
        <w:rPr>
          <w:rFonts w:hAnsi="宋体"/>
        </w:rPr>
        <w:t> </w:t>
      </w:r>
      <w:r>
        <w:rPr>
          <w:rFonts w:asciiTheme="minorEastAsia" w:hAnsiTheme="minorEastAsia" w:eastAsiaTheme="minorEastAsia"/>
        </w:rPr>
        <w:t>18882《离子型稀土矿混合稀土氧化物化学分析方法》</w:t>
      </w:r>
      <w:r>
        <w:rPr>
          <w:rFonts w:hint="eastAsia" w:asciiTheme="minorEastAsia" w:hAnsiTheme="minorEastAsia" w:eastAsiaTheme="minorEastAsia"/>
        </w:rPr>
        <w:t>的</w:t>
      </w:r>
      <w:r>
        <w:rPr>
          <w:rFonts w:asciiTheme="minorEastAsia" w:hAnsiTheme="minorEastAsia" w:eastAsiaTheme="minorEastAsia"/>
        </w:rPr>
        <w:t>第</w:t>
      </w:r>
      <w:r>
        <w:rPr>
          <w:rFonts w:hint="eastAsia" w:asciiTheme="minorEastAsia" w:hAnsiTheme="minorEastAsia" w:eastAsiaTheme="minorEastAsia"/>
        </w:rPr>
        <w:t>4部分</w:t>
      </w:r>
      <w:r>
        <w:rPr>
          <w:rFonts w:asciiTheme="minorEastAsia" w:hAnsiTheme="minorEastAsia" w:eastAsiaTheme="minorEastAsia"/>
        </w:rPr>
        <w:t>。GB/T</w:t>
      </w:r>
      <w:r>
        <w:rPr>
          <w:rFonts w:hAnsi="宋体"/>
        </w:rPr>
        <w:t> </w:t>
      </w:r>
      <w:r>
        <w:rPr>
          <w:rFonts w:asciiTheme="minorEastAsia" w:hAnsiTheme="minorEastAsia" w:eastAsiaTheme="minorEastAsia"/>
        </w:rPr>
        <w:t>18882</w:t>
      </w:r>
      <w:r>
        <w:rPr>
          <w:rFonts w:hint="eastAsia" w:asciiTheme="minorEastAsia" w:hAnsiTheme="minorEastAsia" w:eastAsiaTheme="minorEastAsia"/>
        </w:rPr>
        <w:t>已经</w:t>
      </w:r>
      <w:r>
        <w:rPr>
          <w:rFonts w:asciiTheme="minorEastAsia" w:hAnsiTheme="minorEastAsia" w:eastAsiaTheme="minorEastAsia"/>
        </w:rPr>
        <w:t>发布了以下部分：</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第1部分：十五个稀土元素氧化物配分量的测定；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第2部分：三氧化二铝量的测定；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第3部分：二氧化硅含量的测定</w:t>
      </w:r>
      <w:r>
        <w:rPr>
          <w:rFonts w:hint="eastAsia" w:asciiTheme="minorEastAsia" w:hAnsiTheme="minorEastAsia" w:eastAsiaTheme="minorEastAsia"/>
          <w:color w:val="000000"/>
        </w:rPr>
        <w:t>；</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4</w:t>
      </w:r>
      <w:r>
        <w:rPr>
          <w:rFonts w:asciiTheme="minorEastAsia" w:hAnsiTheme="minorEastAsia" w:eastAsiaTheme="minorEastAsia"/>
          <w:color w:val="000000"/>
        </w:rPr>
        <w:t>部分：</w:t>
      </w:r>
      <w:r>
        <w:rPr>
          <w:rFonts w:hint="eastAsia" w:asciiTheme="minorEastAsia" w:hAnsiTheme="minorEastAsia" w:eastAsiaTheme="minorEastAsia"/>
          <w:color w:val="000000"/>
        </w:rPr>
        <w:t>三</w:t>
      </w:r>
      <w:r>
        <w:rPr>
          <w:rFonts w:asciiTheme="minorEastAsia" w:hAnsiTheme="minorEastAsia" w:eastAsiaTheme="minorEastAsia"/>
          <w:color w:val="000000"/>
        </w:rPr>
        <w:t>氧化</w:t>
      </w:r>
      <w:r>
        <w:rPr>
          <w:rFonts w:hint="eastAsia" w:asciiTheme="minorEastAsia" w:hAnsiTheme="minorEastAsia" w:eastAsiaTheme="minorEastAsia"/>
          <w:color w:val="000000"/>
        </w:rPr>
        <w:t>二铁</w:t>
      </w:r>
      <w:r>
        <w:rPr>
          <w:rFonts w:asciiTheme="minorEastAsia" w:hAnsiTheme="minorEastAsia" w:eastAsiaTheme="minorEastAsia"/>
          <w:color w:val="000000"/>
        </w:rPr>
        <w:t>含量的测定</w:t>
      </w:r>
      <w:r>
        <w:rPr>
          <w:rFonts w:hint="eastAsia" w:asciiTheme="minorEastAsia" w:hAnsiTheme="minorEastAsia" w:eastAsiaTheme="minorEastAsia"/>
          <w:color w:val="000000"/>
          <w:lang w:val="en-US" w:eastAsia="zh-CN"/>
        </w:rPr>
        <w:t xml:space="preserve"> 电感耦合等离子体发射光谱法</w:t>
      </w:r>
      <w:r>
        <w:rPr>
          <w:rFonts w:asciiTheme="minorEastAsia" w:hAnsiTheme="minorEastAsia" w:eastAsiaTheme="minorEastAsia"/>
          <w:color w:val="000000"/>
        </w:rPr>
        <w:t>。</w:t>
      </w:r>
    </w:p>
    <w:p>
      <w:pPr>
        <w:ind w:firstLine="420"/>
        <w:rPr>
          <w:rFonts w:asciiTheme="minorEastAsia" w:hAnsiTheme="minorEastAsia" w:eastAsiaTheme="minorEastAsia"/>
        </w:rPr>
      </w:pPr>
      <w:r>
        <w:rPr>
          <w:rFonts w:hint="eastAsia" w:asciiTheme="minorEastAsia" w:hAnsiTheme="minorEastAsia" w:eastAsiaTheme="minorEastAsia"/>
        </w:rPr>
        <w:t>请注意本文件的某些内容可能涉及专利。本文件的发布机构不承担识别专利的责任。</w:t>
      </w:r>
    </w:p>
    <w:p>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由全国稀土标准化技术委员会（SAC/TC 229）提出</w:t>
      </w:r>
      <w:r>
        <w:rPr>
          <w:rFonts w:hint="eastAsia" w:asciiTheme="minorEastAsia" w:hAnsiTheme="minorEastAsia" w:eastAsiaTheme="minorEastAsia"/>
        </w:rPr>
        <w:t>并</w:t>
      </w:r>
      <w:r>
        <w:rPr>
          <w:rFonts w:asciiTheme="minorEastAsia" w:hAnsiTheme="minorEastAsia" w:eastAsiaTheme="minorEastAsia"/>
        </w:rPr>
        <w:t>归口</w:t>
      </w:r>
      <w:r>
        <w:rPr>
          <w:rFonts w:hint="eastAsia" w:asciiTheme="minorEastAsia" w:hAnsiTheme="minorEastAsia" w:eastAsiaTheme="minorEastAsia"/>
        </w:rPr>
        <w:t>。</w:t>
      </w:r>
    </w:p>
    <w:p>
      <w:pPr>
        <w:ind w:firstLine="420"/>
        <w:rPr>
          <w:rFonts w:hint="eastAsia" w:asciiTheme="minorEastAsia" w:hAnsiTheme="minorEastAsia" w:eastAsiaTheme="minorEastAsia"/>
          <w:lang w:val="en-US" w:eastAsia="zh-CN"/>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起草单位：</w:t>
      </w:r>
      <w:r>
        <w:rPr>
          <w:rFonts w:hint="eastAsia" w:asciiTheme="minorEastAsia" w:hAnsiTheme="minorEastAsia" w:eastAsiaTheme="minorEastAsia"/>
        </w:rPr>
        <w:t>福建省长汀金龙稀土有限公司、虔东稀土集团股份有限公司、赣州有色冶金研究所有限公司、国瑞科创稀土功能材料（赣州）有限公司</w:t>
      </w:r>
      <w:r>
        <w:rPr>
          <w:rFonts w:hint="eastAsia" w:asciiTheme="minorEastAsia" w:hAnsiTheme="minorEastAsia" w:eastAsiaTheme="minorEastAsia"/>
          <w:lang w:eastAsia="zh-CN"/>
        </w:rPr>
        <w:t>、</w:t>
      </w:r>
      <w:r>
        <w:rPr>
          <w:rFonts w:hint="eastAsia" w:asciiTheme="minorEastAsia" w:hAnsiTheme="minorEastAsia" w:eastAsiaTheme="minorEastAsia"/>
        </w:rPr>
        <w:t>国合通用测试评价认证股份公司、中国北方稀土（集团）高科技股份有限公司、江西理工大学</w:t>
      </w:r>
      <w:r>
        <w:rPr>
          <w:rFonts w:hint="eastAsia" w:asciiTheme="minorEastAsia" w:hAnsiTheme="minorEastAsia" w:eastAsiaTheme="minorEastAsia"/>
          <w:lang w:eastAsia="zh-CN"/>
        </w:rPr>
        <w:t>、</w:t>
      </w:r>
      <w:r>
        <w:rPr>
          <w:rFonts w:hint="eastAsia" w:asciiTheme="minorEastAsia" w:hAnsiTheme="minorEastAsia" w:eastAsiaTheme="minorEastAsia"/>
        </w:rPr>
        <w:t>赣州稀土友利科技开发有限公司</w:t>
      </w:r>
      <w:r>
        <w:rPr>
          <w:rFonts w:hint="eastAsia" w:asciiTheme="minorEastAsia" w:hAnsiTheme="minorEastAsia" w:eastAsiaTheme="minorEastAsia"/>
          <w:lang w:eastAsia="zh-CN"/>
        </w:rPr>
        <w:t>。</w:t>
      </w:r>
    </w:p>
    <w:p>
      <w:pPr>
        <w:ind w:firstLine="420"/>
        <w:rPr>
          <w:rFonts w:hint="default" w:asciiTheme="minorEastAsia" w:hAnsiTheme="minorEastAsia" w:eastAsiaTheme="minorEastAsia"/>
          <w:lang w:val="en-US" w:eastAsia="zh-CN"/>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主要起草人：</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王金凤、王宝华、黄荣兴、温斌、曾雪花、江媛、赖旺、王伟生、刘鹏宇、李淑萍、刘和连、胡巍钟、张春兰、刘为振、杨复光、孙浩然、叶信宇。</w:t>
      </w: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73"/>
        <w:numPr>
          <w:ilvl w:val="0"/>
          <w:numId w:val="0"/>
        </w:numPr>
        <w:shd w:val="clear" w:color="FFFFFF" w:fill="FFFFFF"/>
        <w:spacing w:before="156" w:beforeAutospacing="0" w:after="680"/>
        <w:rPr>
          <w:rFonts w:hint="eastAsia"/>
          <w:color w:val="000000"/>
          <w:lang w:val="en-US" w:eastAsia="zh-CN"/>
        </w:rPr>
      </w:pPr>
    </w:p>
    <w:p>
      <w:pPr>
        <w:pStyle w:val="73"/>
        <w:numPr>
          <w:ilvl w:val="0"/>
          <w:numId w:val="0"/>
        </w:numPr>
        <w:shd w:val="clear" w:color="FFFFFF" w:fill="FFFFFF"/>
        <w:spacing w:before="156" w:beforeAutospacing="0" w:after="680"/>
        <w:rPr>
          <w:rFonts w:hint="eastAsia" w:asciiTheme="minorEastAsia" w:hAnsiTheme="minorEastAsia" w:eastAsiaTheme="minorEastAsia"/>
        </w:rPr>
      </w:pPr>
      <w:r>
        <w:rPr>
          <w:rFonts w:hint="eastAsia"/>
          <w:color w:val="000000"/>
          <w:lang w:val="en-US" w:eastAsia="zh-CN"/>
        </w:rPr>
        <w:t>引  言</w:t>
      </w:r>
    </w:p>
    <w:p>
      <w:pPr>
        <w:ind w:firstLine="420"/>
        <w:rPr>
          <w:rFonts w:hint="eastAsia"/>
        </w:rPr>
      </w:pPr>
      <w:r>
        <w:rPr>
          <w:rFonts w:hint="eastAsia"/>
        </w:rPr>
        <w:t>离子型稀土矿是我国特有的优势矿产，离子型稀土资源富含中、重稀土元素，是技术产业发展中不可或缺的必要战略资源，是发光材料、高性能磁性材料、激光材料、磁致冷材料、光导纤维、陶瓷材料、磁致伸缩材料的主要成分，在有色金属中添加中、重稀土可以制成高性能有色金属、有色金属合成材料。我国开发南方离子型稀土资源已有三十余年的历史，离子型稀土的生产和应用快速发展，从矿山提取、冶炼到应用形成了较完整的工业生产体系。GB/T</w:t>
      </w:r>
      <w:r>
        <w:rPr>
          <w:rFonts w:hAnsi="宋体"/>
        </w:rPr>
        <w:t> </w:t>
      </w:r>
      <w:r>
        <w:t>18882</w:t>
      </w:r>
      <w:r>
        <w:rPr>
          <w:rFonts w:hint="eastAsia"/>
        </w:rPr>
        <w:t>旨在通过实验研究建立一套完整、切实可行、且适应于离子</w:t>
      </w:r>
      <w:r>
        <w:t>型稀土</w:t>
      </w:r>
      <w:r>
        <w:rPr>
          <w:rFonts w:hint="eastAsia"/>
        </w:rPr>
        <w:t>矿混合</w:t>
      </w:r>
      <w:r>
        <w:t>稀土氧化物</w:t>
      </w:r>
      <w:r>
        <w:rPr>
          <w:rFonts w:hint="eastAsia"/>
        </w:rPr>
        <w:t>产品生产和贸易需求的化学成分分析的方法标准。</w:t>
      </w:r>
    </w:p>
    <w:p>
      <w:pPr>
        <w:ind w:firstLine="420"/>
      </w:pPr>
      <w:r>
        <w:rPr>
          <w:rFonts w:hint="eastAsia"/>
          <w:lang w:val="en-US" w:eastAsia="zh-CN"/>
        </w:rPr>
        <w:t>根据检测对象和检测手段的不同</w:t>
      </w:r>
      <w:r>
        <w:rPr>
          <w:rFonts w:hint="eastAsia"/>
        </w:rPr>
        <w:t>，GB/T</w:t>
      </w:r>
      <w:r>
        <w:rPr>
          <w:rFonts w:hAnsi="宋体"/>
        </w:rPr>
        <w:t> </w:t>
      </w:r>
      <w:r>
        <w:t>18882</w:t>
      </w:r>
      <w:r>
        <w:rPr>
          <w:rFonts w:hint="eastAsia"/>
        </w:rPr>
        <w:t>拟由</w:t>
      </w:r>
      <w:r>
        <w:rPr>
          <w:rFonts w:hint="eastAsia"/>
          <w:lang w:val="en-US" w:eastAsia="zh-CN"/>
        </w:rPr>
        <w:t>4</w:t>
      </w:r>
      <w:r>
        <w:rPr>
          <w:rFonts w:hint="eastAsia"/>
        </w:rPr>
        <w:t>个部分组成。</w:t>
      </w:r>
    </w:p>
    <w:p>
      <w:pPr>
        <w:ind w:firstLine="420"/>
        <w:rPr>
          <w:rFonts w:asciiTheme="minorEastAsia" w:hAnsiTheme="minorEastAsia" w:eastAsiaTheme="minorEastAsia"/>
        </w:rPr>
      </w:pPr>
      <w:r>
        <w:rPr>
          <w:rFonts w:asciiTheme="minorEastAsia" w:hAnsiTheme="minorEastAsia" w:eastAsiaTheme="minorEastAsia"/>
        </w:rPr>
        <w:t>——第1部分：十五个稀土元素氧化物配分量的测定；</w:t>
      </w:r>
    </w:p>
    <w:p>
      <w:pPr>
        <w:ind w:firstLine="420"/>
        <w:rPr>
          <w:rFonts w:asciiTheme="minorEastAsia" w:hAnsiTheme="minorEastAsia" w:eastAsiaTheme="minorEastAsia"/>
        </w:rPr>
      </w:pPr>
      <w:r>
        <w:rPr>
          <w:rFonts w:asciiTheme="minorEastAsia" w:hAnsiTheme="minorEastAsia" w:eastAsiaTheme="minorEastAsia"/>
        </w:rPr>
        <w:t>——第2部分：三氧化二铝量的测定；</w:t>
      </w:r>
    </w:p>
    <w:p>
      <w:pPr>
        <w:ind w:firstLine="420"/>
        <w:rPr>
          <w:rFonts w:hint="eastAsia" w:asciiTheme="minorEastAsia" w:hAnsiTheme="minorEastAsia" w:eastAsiaTheme="minorEastAsia"/>
          <w:lang w:eastAsia="zh-CN"/>
        </w:rPr>
      </w:pPr>
      <w:r>
        <w:rPr>
          <w:rFonts w:asciiTheme="minorEastAsia" w:hAnsiTheme="minorEastAsia" w:eastAsiaTheme="minorEastAsia"/>
        </w:rPr>
        <w:t>——第3部分：二氧化硅含量的测定</w:t>
      </w:r>
      <w:r>
        <w:rPr>
          <w:rFonts w:hint="eastAsia" w:asciiTheme="minorEastAsia" w:hAnsiTheme="minorEastAsia" w:eastAsiaTheme="minorEastAsia"/>
          <w:lang w:eastAsia="zh-CN"/>
        </w:rPr>
        <w:t>；</w:t>
      </w:r>
    </w:p>
    <w:p>
      <w:pPr>
        <w:ind w:firstLine="420"/>
        <w:rPr>
          <w:rFonts w:hint="eastAsia"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lang w:val="en-US" w:eastAsia="zh-CN"/>
        </w:rPr>
        <w:t>4</w:t>
      </w:r>
      <w:r>
        <w:rPr>
          <w:rFonts w:asciiTheme="minorEastAsia" w:hAnsiTheme="minorEastAsia" w:eastAsiaTheme="minorEastAsia"/>
        </w:rPr>
        <w:t>部分：</w:t>
      </w:r>
      <w:r>
        <w:rPr>
          <w:rFonts w:hint="eastAsia" w:asciiTheme="minorEastAsia" w:hAnsiTheme="minorEastAsia" w:eastAsiaTheme="minorEastAsia"/>
          <w:lang w:val="en-US" w:eastAsia="zh-CN"/>
        </w:rPr>
        <w:t>三氧化二铁</w:t>
      </w:r>
      <w:r>
        <w:rPr>
          <w:rFonts w:asciiTheme="minorEastAsia" w:hAnsiTheme="minorEastAsia" w:eastAsiaTheme="minorEastAsia"/>
        </w:rPr>
        <w:t>含量的测定</w:t>
      </w:r>
      <w:r>
        <w:rPr>
          <w:rFonts w:hint="eastAsia" w:asciiTheme="minorEastAsia" w:hAnsiTheme="minorEastAsia" w:eastAsiaTheme="minorEastAsia"/>
          <w:lang w:val="en-US" w:eastAsia="zh-CN"/>
        </w:rPr>
        <w:t xml:space="preserve">  电感耦合等离子体发射光谱法</w:t>
      </w:r>
      <w:r>
        <w:rPr>
          <w:rFonts w:hint="eastAsia" w:asciiTheme="minorEastAsia" w:hAnsiTheme="minorEastAsia" w:eastAsiaTheme="minorEastAsia"/>
        </w:rPr>
        <w:t>。</w:t>
      </w:r>
    </w:p>
    <w:p>
      <w:pPr>
        <w:spacing w:line="360" w:lineRule="exact"/>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上述各个部分标准通过明确适用范围、规范试剂、材料、试验设备和步骤，并经多家实验室反复的试验和验证给出精密度数据，</w:t>
      </w:r>
      <w:r>
        <w:rPr>
          <w:rFonts w:hint="eastAsia" w:ascii="宋体" w:hAnsi="宋体" w:cs="宋体"/>
          <w:szCs w:val="21"/>
        </w:rPr>
        <w:t>为</w:t>
      </w:r>
      <w:r>
        <w:rPr>
          <w:rFonts w:hint="eastAsia" w:ascii="宋体" w:hAnsi="宋体" w:cs="宋体"/>
          <w:szCs w:val="21"/>
          <w:lang w:val="en-US" w:eastAsia="zh-CN"/>
        </w:rPr>
        <w:t>离子型稀土矿</w:t>
      </w:r>
      <w:r>
        <w:rPr>
          <w:rFonts w:hint="eastAsia" w:ascii="宋体" w:hAnsi="宋体" w:cs="宋体"/>
          <w:szCs w:val="21"/>
        </w:rPr>
        <w:t>品质核查建立严谨、规范的标准化工作基础。</w:t>
      </w:r>
    </w:p>
    <w:p>
      <w:pPr>
        <w:pStyle w:val="47"/>
        <w:ind w:firstLine="420" w:firstLineChars="0"/>
        <w:rPr>
          <w:rFonts w:asciiTheme="minorEastAsia" w:hAnsiTheme="minorEastAsia" w:eastAsiaTheme="minorEastAsia"/>
        </w:rPr>
      </w:pPr>
      <w:r>
        <w:rPr>
          <w:rFonts w:hint="eastAsia" w:asciiTheme="minorEastAsia" w:hAnsiTheme="minorEastAsia" w:eastAsiaTheme="minorEastAsia"/>
        </w:rPr>
        <w:t>本文件</w:t>
      </w:r>
      <w:r>
        <w:rPr>
          <w:rFonts w:hint="eastAsia" w:asciiTheme="minorEastAsia" w:hAnsiTheme="minorEastAsia" w:eastAsiaTheme="minorEastAsia"/>
          <w:lang w:val="en-US" w:eastAsia="zh-CN"/>
        </w:rPr>
        <w:t>采用电感耦合等离子体发射光谱法（ICP-OES），通过近似基体匹配的方式，实现对离子型稀土矿混合稀土氧化物、碳酸盐、草酸盐和氯化稀土料液中三氧化二铁含量的测定。在条件试验中考虑了</w:t>
      </w:r>
      <w:r>
        <w:rPr>
          <w:rFonts w:hint="eastAsia" w:asciiTheme="minorEastAsia" w:hAnsiTheme="minorEastAsia" w:eastAsiaTheme="minorEastAsia"/>
        </w:rPr>
        <w:t>样品均匀性、样品消解酸选择</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谱线的选择、</w:t>
      </w:r>
      <w:r>
        <w:rPr>
          <w:rFonts w:hint="eastAsia" w:asciiTheme="minorEastAsia" w:hAnsiTheme="minorEastAsia" w:eastAsiaTheme="minorEastAsia"/>
        </w:rPr>
        <w:t>共存离子的干扰情况</w:t>
      </w:r>
      <w:r>
        <w:rPr>
          <w:rFonts w:hint="eastAsia" w:asciiTheme="minorEastAsia" w:hAnsiTheme="minorEastAsia" w:eastAsiaTheme="minorEastAsia"/>
          <w:lang w:val="en-US" w:eastAsia="zh-CN"/>
        </w:rPr>
        <w:t>及基体配分的变化对测定的影响等</w:t>
      </w:r>
      <w:r>
        <w:rPr>
          <w:rFonts w:hint="eastAsia" w:asciiTheme="minorEastAsia" w:hAnsiTheme="minorEastAsia" w:eastAsiaTheme="minorEastAsia"/>
        </w:rPr>
        <w:t>，</w:t>
      </w:r>
      <w:r>
        <w:rPr>
          <w:rFonts w:hint="eastAsia" w:asciiTheme="minorEastAsia" w:hAnsiTheme="minorEastAsia" w:eastAsiaTheme="minorEastAsia"/>
          <w:lang w:val="en-US" w:eastAsia="zh-CN"/>
        </w:rPr>
        <w:t>试验</w:t>
      </w:r>
      <w:r>
        <w:rPr>
          <w:rFonts w:hint="eastAsia" w:asciiTheme="minorEastAsia" w:hAnsiTheme="minorEastAsia" w:eastAsiaTheme="minorEastAsia"/>
        </w:rPr>
        <w:t>确定了测定三氧化二铁含量的最佳条件，该方法具有操作简便、精密度和准确度高等优点。</w:t>
      </w:r>
    </w:p>
    <w:p>
      <w:pPr>
        <w:pStyle w:val="47"/>
        <w:ind w:firstLine="420" w:firstLineChars="0"/>
        <w:rPr>
          <w:rFonts w:hint="default" w:asciiTheme="minorEastAsia" w:hAnsiTheme="minorEastAsia" w:eastAsiaTheme="minorEastAsia"/>
          <w:lang w:val="en-US" w:eastAsia="zh-CN"/>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pgNumType w:fmt="upperRoman" w:start="1"/>
          <w:cols w:space="425" w:num="1"/>
          <w:titlePg/>
          <w:docGrid w:type="lines" w:linePitch="312" w:charSpace="0"/>
        </w:sectPr>
      </w:pPr>
      <w:r>
        <w:rPr>
          <w:rFonts w:hint="eastAsia" w:asciiTheme="minorEastAsia" w:hAnsiTheme="minorEastAsia" w:eastAsiaTheme="minorEastAsia"/>
        </w:rPr>
        <w:t>本文件</w:t>
      </w:r>
      <w:r>
        <w:rPr>
          <w:rFonts w:hint="eastAsia" w:asciiTheme="minorEastAsia" w:hAnsiTheme="minorEastAsia" w:eastAsiaTheme="minorEastAsia"/>
          <w:lang w:val="en-US" w:eastAsia="zh-CN"/>
        </w:rPr>
        <w:t>的精密度数据是在2023年，由8家实验室对6个不同三氧化二铁含量水平样品进行协同试验确定的，</w:t>
      </w:r>
      <w:r>
        <w:rPr>
          <w:rFonts w:hint="eastAsia" w:asciiTheme="minorEastAsia" w:hAnsiTheme="minorEastAsia" w:eastAsiaTheme="minorEastAsia"/>
        </w:rPr>
        <w:t>共同试验数据按GB/T 6379.2《测量方法与结果的准确度（正确度与精密度）第2部分：确定标准测量方法重复性与再现性的基本方法》</w:t>
      </w:r>
      <w:bookmarkStart w:id="3" w:name="_GoBack"/>
      <w:bookmarkEnd w:id="3"/>
      <w:r>
        <w:rPr>
          <w:rFonts w:hint="eastAsia" w:asciiTheme="minorEastAsia" w:hAnsiTheme="minorEastAsia" w:eastAsiaTheme="minorEastAsia"/>
        </w:rPr>
        <w:t>进</w:t>
      </w:r>
      <w:r>
        <w:rPr>
          <w:rFonts w:hint="eastAsia" w:asciiTheme="minorEastAsia" w:hAnsiTheme="minorEastAsia" w:eastAsiaTheme="minorEastAsia"/>
          <w:lang w:val="en-US" w:eastAsia="zh-CN"/>
        </w:rPr>
        <w:t>行统计分析。</w:t>
      </w:r>
    </w:p>
    <w:p>
      <w:pPr>
        <w:pStyle w:val="108"/>
        <w:keepNext w:val="0"/>
        <w:keepLines w:val="0"/>
        <w:pageBreakBefore w:val="0"/>
        <w:widowControl/>
        <w:kinsoku/>
        <w:wordWrap/>
        <w:overflowPunct/>
        <w:topLinePunct w:val="0"/>
        <w:autoSpaceDE/>
        <w:autoSpaceDN/>
        <w:bidi w:val="0"/>
        <w:adjustRightInd/>
        <w:snapToGrid/>
        <w:spacing w:before="851" w:after="0"/>
        <w:jc w:val="center"/>
        <w:textAlignment w:val="auto"/>
        <w:rPr>
          <w:rFonts w:ascii="Times New Roman"/>
        </w:rPr>
      </w:pPr>
      <w:r>
        <w:rPr>
          <w:rFonts w:ascii="Times New Roman"/>
        </w:rPr>
        <w:t>离子型稀土矿混合稀土氧化物化学分析方法</w:t>
      </w:r>
    </w:p>
    <w:p>
      <w:pPr>
        <w:pStyle w:val="108"/>
        <w:keepNext w:val="0"/>
        <w:keepLines w:val="0"/>
        <w:pageBreakBefore w:val="0"/>
        <w:widowControl/>
        <w:kinsoku/>
        <w:wordWrap/>
        <w:overflowPunct/>
        <w:topLinePunct w:val="0"/>
        <w:autoSpaceDE/>
        <w:autoSpaceDN/>
        <w:bidi w:val="0"/>
        <w:adjustRightInd/>
        <w:snapToGrid/>
        <w:spacing w:before="0" w:after="0" w:afterAutospacing="0"/>
        <w:jc w:val="center"/>
        <w:textAlignment w:val="auto"/>
        <w:rPr>
          <w:rFonts w:ascii="Times New Roman"/>
        </w:rPr>
      </w:pPr>
      <w:r>
        <w:rPr>
          <w:rFonts w:ascii="Times New Roman"/>
        </w:rPr>
        <w:t>第4部分：</w:t>
      </w:r>
      <w:r>
        <w:rPr>
          <w:rFonts w:hint="eastAsia" w:ascii="Times New Roman"/>
        </w:rPr>
        <w:t>三氧化二铁含</w:t>
      </w:r>
      <w:r>
        <w:rPr>
          <w:rFonts w:ascii="Times New Roman"/>
        </w:rPr>
        <w:t>量的测定</w:t>
      </w:r>
    </w:p>
    <w:p>
      <w:pPr>
        <w:pStyle w:val="108"/>
        <w:keepNext w:val="0"/>
        <w:keepLines w:val="0"/>
        <w:pageBreakBefore w:val="0"/>
        <w:widowControl/>
        <w:kinsoku/>
        <w:wordWrap/>
        <w:overflowPunct/>
        <w:topLinePunct w:val="0"/>
        <w:autoSpaceDE/>
        <w:autoSpaceDN/>
        <w:bidi w:val="0"/>
        <w:adjustRightInd/>
        <w:snapToGrid/>
        <w:spacing w:before="0" w:beforeAutospacing="0" w:after="680"/>
        <w:jc w:val="center"/>
        <w:textAlignment w:val="auto"/>
      </w:pPr>
      <w:r>
        <w:rPr>
          <w:rFonts w:hint="eastAsia" w:ascii="Times New Roman"/>
          <w:lang w:val="en-US" w:eastAsia="zh-CN"/>
        </w:rPr>
        <w:t>电感耦合等离子体发射光谱法</w:t>
      </w:r>
    </w:p>
    <w:p>
      <w:pPr>
        <w:pStyle w:val="74"/>
        <w:numPr>
          <w:ilvl w:val="0"/>
          <w:numId w:val="11"/>
        </w:numPr>
        <w:tabs>
          <w:tab w:val="left" w:pos="112"/>
          <w:tab w:val="clear" w:pos="360"/>
        </w:tabs>
        <w:spacing w:before="312" w:beforeLines="100" w:after="312" w:afterLines="100"/>
        <w:ind w:left="357" w:hanging="357"/>
        <w:rPr>
          <w:rFonts w:ascii="Times New Roman"/>
          <w:color w:val="000000"/>
        </w:rPr>
      </w:pPr>
      <w:r>
        <w:rPr>
          <w:rFonts w:ascii="Times New Roman"/>
          <w:color w:val="FF0000"/>
        </w:rPr>
        <w:t>　</w:t>
      </w:r>
      <w:r>
        <w:rPr>
          <w:rFonts w:ascii="Times New Roman"/>
          <w:color w:val="000000"/>
        </w:rPr>
        <w:t>范围</w:t>
      </w:r>
    </w:p>
    <w:p>
      <w:pPr>
        <w:pStyle w:val="47"/>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本文件描述了离子型稀土矿混合稀土氧化物、碳酸盐</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草酸盐中</w:t>
      </w:r>
      <w:r>
        <w:rPr>
          <w:rFonts w:hint="eastAsia" w:asciiTheme="minorEastAsia" w:hAnsiTheme="minorEastAsia" w:eastAsiaTheme="minorEastAsia"/>
          <w:color w:val="000000"/>
          <w:szCs w:val="21"/>
        </w:rPr>
        <w:t>三氧化二铁含</w:t>
      </w:r>
      <w:r>
        <w:rPr>
          <w:rFonts w:asciiTheme="minorEastAsia" w:hAnsiTheme="minorEastAsia" w:eastAsiaTheme="minorEastAsia"/>
          <w:color w:val="000000"/>
          <w:szCs w:val="21"/>
        </w:rPr>
        <w:t>量的测定方法。</w:t>
      </w:r>
    </w:p>
    <w:p>
      <w:pPr>
        <w:pStyle w:val="47"/>
        <w:ind w:firstLine="420"/>
        <w:rPr>
          <w:rFonts w:hAnsi="宋体"/>
          <w:color w:val="FF0000"/>
        </w:rPr>
      </w:pPr>
      <w:r>
        <w:rPr>
          <w:rFonts w:asciiTheme="minorEastAsia" w:hAnsiTheme="minorEastAsia" w:eastAsiaTheme="minorEastAsia"/>
          <w:color w:val="000000"/>
          <w:szCs w:val="21"/>
        </w:rPr>
        <w:t>本部分适用于离子型稀土矿混合稀土氧化物、碳酸盐</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草酸盐中</w:t>
      </w:r>
      <w:r>
        <w:rPr>
          <w:rFonts w:hint="eastAsia" w:asciiTheme="minorEastAsia" w:hAnsiTheme="minorEastAsia" w:eastAsiaTheme="minorEastAsia"/>
          <w:color w:val="000000"/>
          <w:szCs w:val="21"/>
        </w:rPr>
        <w:t>三氧化二铁含量</w:t>
      </w:r>
      <w:r>
        <w:rPr>
          <w:rFonts w:asciiTheme="minorEastAsia" w:hAnsiTheme="minorEastAsia" w:eastAsiaTheme="minorEastAsia"/>
          <w:color w:val="000000"/>
          <w:szCs w:val="21"/>
        </w:rPr>
        <w:t>的测定。测定范围（</w:t>
      </w:r>
      <w:r>
        <w:rPr>
          <w:rFonts w:hint="eastAsia" w:asciiTheme="minorEastAsia" w:hAnsiTheme="minorEastAsia" w:eastAsiaTheme="minorEastAsia"/>
          <w:color w:val="000000"/>
          <w:szCs w:val="21"/>
        </w:rPr>
        <w:t>质量分数）</w:t>
      </w:r>
      <w:r>
        <w:rPr>
          <w:rFonts w:asciiTheme="minorEastAsia" w:hAnsiTheme="minorEastAsia" w:eastAsiaTheme="minorEastAsia"/>
          <w:szCs w:val="21"/>
        </w:rPr>
        <w:t>：</w:t>
      </w:r>
      <w:r>
        <w:rPr>
          <w:rFonts w:hint="default" w:ascii="Times New Roman" w:hAnsi="Times New Roman" w:cs="Times New Roman" w:eastAsiaTheme="minorEastAsia"/>
          <w:szCs w:val="21"/>
        </w:rPr>
        <w:t>0.010%～</w:t>
      </w:r>
      <w:r>
        <w:rPr>
          <w:rFonts w:hint="default" w:ascii="Times New Roman" w:hAnsi="Times New Roman" w:cs="Times New Roman" w:eastAsiaTheme="minorEastAsia"/>
          <w:szCs w:val="21"/>
          <w:lang w:val="en-US" w:eastAsia="zh-CN"/>
        </w:rPr>
        <w:t>1.80</w:t>
      </w:r>
      <w:r>
        <w:rPr>
          <w:rFonts w:hint="default" w:ascii="Times New Roman" w:hAnsi="Times New Roman" w:cs="Times New Roman" w:eastAsiaTheme="minorEastAsia"/>
          <w:szCs w:val="21"/>
        </w:rPr>
        <w:t>%。</w:t>
      </w:r>
      <w:r>
        <w:rPr>
          <w:rFonts w:hAnsi="宋体"/>
          <w:color w:val="FF0000"/>
        </w:rPr>
        <w:t xml:space="preserve"> </w:t>
      </w:r>
    </w:p>
    <w:p>
      <w:pPr>
        <w:pStyle w:val="74"/>
        <w:numPr>
          <w:ilvl w:val="0"/>
          <w:numId w:val="11"/>
        </w:numPr>
        <w:tabs>
          <w:tab w:val="left" w:pos="112"/>
          <w:tab w:val="clear" w:pos="360"/>
        </w:tabs>
        <w:spacing w:before="312" w:beforeLines="100" w:after="312" w:afterLines="100"/>
        <w:ind w:left="357" w:hanging="357" w:hangingChars="170"/>
        <w:rPr>
          <w:rFonts w:ascii="Times New Roman"/>
        </w:rPr>
      </w:pPr>
      <w:r>
        <w:rPr>
          <w:rFonts w:ascii="Times New Roman"/>
          <w:color w:val="FF0000"/>
        </w:rPr>
        <w:t>　</w:t>
      </w:r>
      <w:r>
        <w:rPr>
          <w:rFonts w:hint="eastAsia" w:ascii="Times New Roman"/>
        </w:rPr>
        <w:t>规范性引用文件</w:t>
      </w:r>
    </w:p>
    <w:p>
      <w:pPr>
        <w:pStyle w:val="47"/>
        <w:keepNext w:val="0"/>
        <w:keepLines w:val="0"/>
        <w:pageBreakBefore w:val="0"/>
        <w:widowControl/>
        <w:kinsoku/>
        <w:wordWrap/>
        <w:overflowPunct/>
        <w:topLinePunct w:val="0"/>
        <w:autoSpaceDE w:val="0"/>
        <w:autoSpaceDN w:val="0"/>
        <w:bidi w:val="0"/>
        <w:adjustRightInd/>
        <w:snapToGrid/>
        <w:ind w:firstLine="420"/>
        <w:textAlignment w:val="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7"/>
        <w:ind w:firstLine="420"/>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w:t>
      </w:r>
      <w:r>
        <w:rPr>
          <w:rFonts w:hint="default" w:ascii="Times New Roman" w:hAnsi="Times New Roman" w:cs="Times New Roman"/>
          <w:color w:val="FF0000"/>
        </w:rPr>
        <w:t> </w:t>
      </w:r>
      <w:r>
        <w:rPr>
          <w:rFonts w:hint="default" w:ascii="Times New Roman" w:hAnsi="Times New Roman" w:cs="Times New Roman" w:eastAsiaTheme="minorEastAsia"/>
          <w:color w:val="000000"/>
          <w:szCs w:val="21"/>
        </w:rPr>
        <w:t>6682　分析实验室用水规格和试验方法</w:t>
      </w:r>
    </w:p>
    <w:p>
      <w:pPr>
        <w:pStyle w:val="47"/>
        <w:ind w:firstLine="420"/>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w:t>
      </w:r>
      <w:r>
        <w:rPr>
          <w:rFonts w:hint="default" w:ascii="Times New Roman" w:hAnsi="Times New Roman" w:cs="Times New Roman"/>
          <w:color w:val="FF0000"/>
        </w:rPr>
        <w:t> </w:t>
      </w:r>
      <w:r>
        <w:rPr>
          <w:rFonts w:hint="default" w:ascii="Times New Roman" w:hAnsi="Times New Roman" w:cs="Times New Roman" w:eastAsiaTheme="minorEastAsia"/>
          <w:color w:val="000000"/>
          <w:szCs w:val="21"/>
        </w:rPr>
        <w:t>8170　数值修约规则与极限数值的表示和判定</w:t>
      </w:r>
    </w:p>
    <w:p>
      <w:pPr>
        <w:pStyle w:val="47"/>
        <w:ind w:firstLine="420"/>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lang w:val="en-US" w:eastAsia="zh-CN"/>
        </w:rPr>
        <w:t>JJG 768  发射光谱仪  检定规程</w:t>
      </w:r>
    </w:p>
    <w:p>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术语和定义</w:t>
      </w:r>
    </w:p>
    <w:p>
      <w:pPr>
        <w:pStyle w:val="47"/>
        <w:spacing w:line="400" w:lineRule="exact"/>
        <w:ind w:firstLine="420"/>
        <w:rPr>
          <w:rFonts w:ascii="Times New Roman"/>
          <w:szCs w:val="21"/>
        </w:rPr>
      </w:pPr>
      <w:r>
        <w:rPr>
          <w:rFonts w:hint="eastAsia" w:ascii="Times New Roman"/>
          <w:szCs w:val="21"/>
        </w:rPr>
        <w:t>本文件没有需要界定的术语和定义。</w:t>
      </w:r>
    </w:p>
    <w:p>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方法提要</w:t>
      </w:r>
    </w:p>
    <w:p>
      <w:pPr>
        <w:pStyle w:val="4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Times New Roman"/>
          <w:szCs w:val="21"/>
        </w:rPr>
      </w:pPr>
      <w:r>
        <w:rPr>
          <w:rFonts w:ascii="Times New Roman"/>
          <w:szCs w:val="21"/>
        </w:rPr>
        <w:t>试样经</w:t>
      </w:r>
      <w:r>
        <w:rPr>
          <w:rFonts w:hint="eastAsia" w:ascii="Times New Roman"/>
          <w:szCs w:val="21"/>
        </w:rPr>
        <w:t>盐</w:t>
      </w:r>
      <w:r>
        <w:rPr>
          <w:rFonts w:ascii="Times New Roman"/>
          <w:szCs w:val="21"/>
        </w:rPr>
        <w:t>酸、氢氟酸分解，高氯酸冒尽烟后，用盐酸溶解至清亮，采用近似基体匹配法</w:t>
      </w:r>
      <w:r>
        <w:rPr>
          <w:rFonts w:hint="eastAsia" w:ascii="Times New Roman"/>
          <w:szCs w:val="21"/>
          <w:lang w:val="en-US" w:eastAsia="zh-CN"/>
        </w:rPr>
        <w:t>校正基体对测定的影响</w:t>
      </w:r>
      <w:r>
        <w:rPr>
          <w:rFonts w:ascii="Times New Roman"/>
          <w:szCs w:val="21"/>
        </w:rPr>
        <w:t>，直接以氩等离子体光源激发，进行光谱测定。</w:t>
      </w:r>
    </w:p>
    <w:p>
      <w:pPr>
        <w:pStyle w:val="74"/>
        <w:numPr>
          <w:ilvl w:val="0"/>
          <w:numId w:val="0"/>
        </w:numPr>
        <w:spacing w:before="312" w:beforeLines="100" w:after="312" w:afterLines="100"/>
        <w:rPr>
          <w:rFonts w:ascii="Times New Roman"/>
          <w:color w:val="000000"/>
        </w:rPr>
      </w:pPr>
      <w:r>
        <w:rPr>
          <w:rFonts w:hint="eastAsia" w:ascii="黑体" w:hAnsi="黑体" w:eastAsia="黑体" w:cs="黑体"/>
          <w:color w:val="000000"/>
        </w:rPr>
        <w:t>5</w:t>
      </w:r>
      <w:r>
        <w:rPr>
          <w:rFonts w:ascii="Times New Roman"/>
          <w:color w:val="FF0000"/>
        </w:rPr>
        <w:t>　</w:t>
      </w:r>
      <w:r>
        <w:rPr>
          <w:rFonts w:ascii="Times New Roman"/>
          <w:color w:val="000000"/>
        </w:rPr>
        <w:t>试剂和材料</w:t>
      </w:r>
    </w:p>
    <w:bookmarkEnd w:id="2"/>
    <w:p>
      <w:pPr>
        <w:pStyle w:val="47"/>
        <w:ind w:firstLine="420"/>
        <w:rPr>
          <w:rFonts w:ascii="Times New Roman"/>
          <w:color w:val="000000"/>
        </w:rPr>
      </w:pPr>
      <w:r>
        <w:rPr>
          <w:rFonts w:ascii="Times New Roman"/>
          <w:bCs/>
          <w:kern w:val="2"/>
          <w:szCs w:val="24"/>
        </w:rPr>
        <w:t>除非另有说明，在分析中仅使用确认为</w:t>
      </w:r>
      <w:r>
        <w:rPr>
          <w:rFonts w:hint="eastAsia" w:ascii="Times New Roman"/>
          <w:bCs/>
          <w:kern w:val="2"/>
          <w:szCs w:val="24"/>
        </w:rPr>
        <w:t>分析</w:t>
      </w:r>
      <w:r>
        <w:rPr>
          <w:rFonts w:ascii="Times New Roman"/>
          <w:bCs/>
          <w:kern w:val="2"/>
          <w:szCs w:val="24"/>
        </w:rPr>
        <w:t>纯及以上试剂和</w:t>
      </w:r>
      <w:r>
        <w:rPr>
          <w:rFonts w:hint="eastAsia" w:ascii="Times New Roman"/>
          <w:bCs/>
          <w:kern w:val="2"/>
          <w:szCs w:val="24"/>
        </w:rPr>
        <w:t>符合实验室GB/T</w:t>
      </w:r>
      <w:r>
        <w:rPr>
          <w:rFonts w:hint="eastAsia" w:ascii="Times New Roman"/>
          <w:bCs/>
          <w:kern w:val="2"/>
          <w:szCs w:val="24"/>
          <w:lang w:val="en-US" w:eastAsia="zh-CN"/>
        </w:rPr>
        <w:t xml:space="preserve"> </w:t>
      </w:r>
      <w:r>
        <w:rPr>
          <w:rFonts w:hint="eastAsia" w:ascii="Times New Roman"/>
          <w:bCs/>
          <w:kern w:val="2"/>
          <w:szCs w:val="24"/>
        </w:rPr>
        <w:t>6682规定的三级水</w:t>
      </w:r>
      <w:r>
        <w:rPr>
          <w:rFonts w:ascii="Times New Roman"/>
          <w:bCs/>
          <w:kern w:val="2"/>
          <w:szCs w:val="24"/>
        </w:rPr>
        <w:t>。</w:t>
      </w:r>
      <w:r>
        <w:rPr>
          <w:rFonts w:hint="eastAsia" w:ascii="Times New Roman"/>
          <w:bCs/>
          <w:kern w:val="2"/>
          <w:szCs w:val="24"/>
        </w:rPr>
        <w:t>优先使用有证标准溶液。</w:t>
      </w:r>
    </w:p>
    <w:p>
      <w:pPr>
        <w:rPr>
          <w:rFonts w:hint="eastAsia" w:eastAsia="宋体" w:asciiTheme="minorEastAsia" w:hAnsiTheme="minorEastAsia"/>
          <w:color w:val="000000"/>
          <w:lang w:val="en-US" w:eastAsia="zh-CN"/>
        </w:rPr>
      </w:pPr>
      <w:r>
        <w:rPr>
          <w:rFonts w:ascii="黑体" w:hAnsi="黑体" w:eastAsia="黑体"/>
          <w:color w:val="000000"/>
        </w:rPr>
        <w:t>5.1</w:t>
      </w:r>
      <w:r>
        <w:rPr>
          <w:rFonts w:asciiTheme="minorEastAsia" w:hAnsiTheme="minorEastAsia" w:eastAsiaTheme="minorEastAsia"/>
          <w:color w:val="FF0000"/>
        </w:rPr>
        <w:t>　</w:t>
      </w:r>
      <w:r>
        <w:rPr>
          <w:rFonts w:asciiTheme="minorEastAsia" w:hAnsiTheme="minorEastAsia" w:eastAsiaTheme="minorEastAsia"/>
          <w:color w:val="000000"/>
        </w:rPr>
        <w:t>过氧化氢</w:t>
      </w:r>
      <w:r>
        <w:rPr>
          <w:rFonts w:hint="eastAsia" w:ascii="宋体" w:hAnsi="宋体" w:cs="宋体"/>
          <w:szCs w:val="21"/>
        </w:rPr>
        <w:t>[</w:t>
      </w:r>
      <w:r>
        <w:rPr>
          <w:rFonts w:hint="eastAsia" w:ascii="宋体" w:hAnsi="宋体" w:cs="宋体"/>
          <w:i/>
          <w:color w:val="000000"/>
          <w:szCs w:val="21"/>
        </w:rPr>
        <w:t>ω</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2</w:t>
      </w:r>
      <w:r>
        <w:rPr>
          <w:rFonts w:hint="default" w:ascii="Times New Roman" w:hAnsi="Times New Roman" w:cs="Times New Roman"/>
        </w:rPr>
        <w:t>）≥</w:t>
      </w:r>
      <w:r>
        <w:rPr>
          <w:rFonts w:hint="default" w:ascii="Times New Roman" w:hAnsi="Times New Roman" w:cs="Times New Roman"/>
          <w:szCs w:val="21"/>
        </w:rPr>
        <w:t>30%</w:t>
      </w:r>
      <w:r>
        <w:rPr>
          <w:rFonts w:hint="eastAsia" w:ascii="宋体" w:hAnsi="宋体" w:cs="宋体"/>
          <w:szCs w:val="21"/>
        </w:rPr>
        <w:t>]</w:t>
      </w:r>
      <w:r>
        <w:rPr>
          <w:rFonts w:hint="eastAsia" w:ascii="宋体" w:hAnsi="宋体" w:cs="宋体"/>
          <w:szCs w:val="21"/>
          <w:lang w:eastAsia="zh-CN"/>
        </w:rPr>
        <w:t>。</w:t>
      </w:r>
    </w:p>
    <w:p>
      <w:pPr>
        <w:rPr>
          <w:rFonts w:asciiTheme="minorEastAsia" w:hAnsiTheme="minorEastAsia" w:eastAsiaTheme="minorEastAsia"/>
          <w:color w:val="000000"/>
        </w:rPr>
      </w:pPr>
      <w:r>
        <w:rPr>
          <w:rFonts w:ascii="黑体" w:hAnsi="黑体" w:eastAsia="黑体"/>
          <w:color w:val="000000"/>
        </w:rPr>
        <w:t>5.2</w:t>
      </w:r>
      <w:r>
        <w:rPr>
          <w:rFonts w:hint="eastAsia" w:asciiTheme="minorEastAsia" w:hAnsiTheme="minorEastAsia" w:eastAsiaTheme="minorEastAsia"/>
          <w:color w:val="000000"/>
        </w:rPr>
        <w:t xml:space="preserve">  氢氟酸</w:t>
      </w:r>
      <w:r>
        <w:rPr>
          <w:rFonts w:asciiTheme="minorEastAsia" w:hAnsiTheme="minorEastAsia" w:eastAsiaTheme="minorEastAsia"/>
        </w:rPr>
        <w:t>（</w:t>
      </w:r>
      <w:r>
        <w:rPr>
          <w:rFonts w:hint="default" w:ascii="Times New Roman" w:hAnsi="Times New Roman" w:cs="Times New Roman" w:eastAsiaTheme="minorEastAsia"/>
          <w:i/>
          <w:color w:val="000000" w:themeColor="text1"/>
          <w14:textFill>
            <w14:solidFill>
              <w14:schemeClr w14:val="tx1"/>
            </w14:solidFill>
          </w14:textFill>
        </w:rPr>
        <w:t>ρ=</w:t>
      </w:r>
      <w:r>
        <w:rPr>
          <w:rFonts w:hint="default" w:ascii="Times New Roman" w:hAnsi="Times New Roman" w:cs="Times New Roman" w:eastAsiaTheme="minorEastAsia"/>
        </w:rPr>
        <w:t>1.13</w:t>
      </w:r>
      <w:r>
        <w:rPr>
          <w:rFonts w:hint="default" w:ascii="Times New Roman" w:hAnsi="Times New Roman" w:cs="Times New Roman"/>
          <w:color w:val="FF0000"/>
        </w:rPr>
        <w:t> </w:t>
      </w:r>
      <w:r>
        <w:rPr>
          <w:rFonts w:hint="default" w:ascii="Times New Roman" w:hAnsi="Times New Roman" w:cs="Times New Roman" w:eastAsiaTheme="minorEastAsia"/>
        </w:rPr>
        <w:t>g/mL</w:t>
      </w:r>
      <w:r>
        <w:rPr>
          <w:rFonts w:asciiTheme="minorEastAsia" w:hAnsiTheme="minorEastAsia" w:eastAsiaTheme="minorEastAsia"/>
        </w:rPr>
        <w:t>）</w:t>
      </w:r>
      <w:r>
        <w:rPr>
          <w:rFonts w:hint="eastAsia" w:asciiTheme="minorEastAsia" w:hAnsiTheme="minorEastAsia" w:eastAsiaTheme="minorEastAsia"/>
          <w:lang w:eastAsia="zh-CN"/>
        </w:rPr>
        <w:t>。</w:t>
      </w:r>
      <w:r>
        <w:rPr>
          <w:rFonts w:asciiTheme="minorEastAsia" w:hAnsiTheme="minorEastAsia" w:eastAsiaTheme="minorEastAsia"/>
          <w:color w:val="FF0000"/>
        </w:rPr>
        <w:t>　</w:t>
      </w:r>
      <w:r>
        <w:rPr>
          <w:rFonts w:asciiTheme="minorEastAsia" w:hAnsiTheme="minorEastAsia" w:eastAsiaTheme="minorEastAsia"/>
          <w:color w:val="000000"/>
        </w:rPr>
        <w:t xml:space="preserve"> </w:t>
      </w:r>
    </w:p>
    <w:p>
      <w:pPr>
        <w:rPr>
          <w:rFonts w:hint="eastAsia" w:asciiTheme="minorEastAsia" w:hAnsiTheme="minorEastAsia" w:eastAsiaTheme="minorEastAsia"/>
          <w:color w:val="000000"/>
          <w:lang w:eastAsia="zh-CN"/>
        </w:rPr>
      </w:pPr>
      <w:r>
        <w:rPr>
          <w:rFonts w:ascii="黑体" w:hAnsi="黑体" w:eastAsia="黑体"/>
          <w:color w:val="000000"/>
        </w:rPr>
        <w:t>5.3</w:t>
      </w:r>
      <w:r>
        <w:rPr>
          <w:rFonts w:asciiTheme="minorEastAsia" w:hAnsiTheme="minorEastAsia" w:eastAsiaTheme="minorEastAsia"/>
          <w:color w:val="FF0000"/>
        </w:rPr>
        <w:t>　</w:t>
      </w:r>
      <w:r>
        <w:rPr>
          <w:rFonts w:hint="eastAsia" w:asciiTheme="minorEastAsia" w:hAnsiTheme="minorEastAsia" w:eastAsiaTheme="minorEastAsia"/>
          <w:color w:val="000000"/>
        </w:rPr>
        <w:t>高氯酸</w:t>
      </w:r>
      <w:r>
        <w:rPr>
          <w:rFonts w:asciiTheme="minorEastAsia" w:hAnsiTheme="minorEastAsia" w:eastAsiaTheme="minorEastAsia"/>
        </w:rPr>
        <w:t>（</w:t>
      </w:r>
      <w:r>
        <w:rPr>
          <w:rFonts w:hint="default" w:ascii="Times New Roman" w:hAnsi="Times New Roman" w:cs="Times New Roman" w:eastAsiaTheme="minorEastAsia"/>
          <w:i/>
          <w:color w:val="000000" w:themeColor="text1"/>
          <w14:textFill>
            <w14:solidFill>
              <w14:schemeClr w14:val="tx1"/>
            </w14:solidFill>
          </w14:textFill>
        </w:rPr>
        <w:t>ρ=</w:t>
      </w:r>
      <w:r>
        <w:rPr>
          <w:rFonts w:hint="default" w:ascii="Times New Roman" w:hAnsi="Times New Roman" w:cs="Times New Roman" w:eastAsiaTheme="minorEastAsia"/>
        </w:rPr>
        <w:t>1.67</w:t>
      </w:r>
      <w:r>
        <w:rPr>
          <w:rFonts w:hint="eastAsia" w:cs="Times New Roman" w:eastAsiaTheme="minorEastAsia"/>
          <w:lang w:val="en-US" w:eastAsia="zh-CN"/>
        </w:rPr>
        <w:t xml:space="preserve"> </w:t>
      </w:r>
      <w:r>
        <w:rPr>
          <w:rFonts w:hint="default" w:ascii="Times New Roman" w:hAnsi="Times New Roman" w:cs="Times New Roman" w:eastAsiaTheme="minorEastAsia"/>
        </w:rPr>
        <w:t>g/mL</w:t>
      </w:r>
      <w:r>
        <w:rPr>
          <w:rFonts w:asciiTheme="minorEastAsia" w:hAnsiTheme="minorEastAsia" w:eastAsiaTheme="minorEastAsia"/>
        </w:rPr>
        <w:t>）</w:t>
      </w:r>
      <w:r>
        <w:rPr>
          <w:rFonts w:hint="eastAsia" w:asciiTheme="minorEastAsia" w:hAnsiTheme="minorEastAsia" w:eastAsiaTheme="minorEastAsia"/>
          <w:lang w:eastAsia="zh-CN"/>
        </w:rPr>
        <w:t>。</w:t>
      </w:r>
    </w:p>
    <w:p>
      <w:pPr>
        <w:rPr>
          <w:rFonts w:hint="eastAsia" w:asciiTheme="minorEastAsia" w:hAnsiTheme="minorEastAsia" w:eastAsiaTheme="minorEastAsia"/>
          <w:lang w:eastAsia="zh-CN"/>
        </w:rPr>
      </w:pPr>
      <w:r>
        <w:rPr>
          <w:rFonts w:ascii="黑体" w:hAnsi="黑体" w:eastAsia="黑体"/>
          <w:color w:val="000000"/>
        </w:rPr>
        <w:t>5.4</w:t>
      </w:r>
      <w:r>
        <w:rPr>
          <w:rFonts w:asciiTheme="minorEastAsia" w:hAnsiTheme="minorEastAsia" w:eastAsiaTheme="minorEastAsia"/>
          <w:color w:val="FF0000"/>
        </w:rPr>
        <w:t>　</w:t>
      </w:r>
      <w:r>
        <w:rPr>
          <w:rFonts w:hint="eastAsia" w:asciiTheme="minorEastAsia" w:hAnsiTheme="minorEastAsia" w:eastAsiaTheme="minorEastAsia"/>
          <w:color w:val="000000"/>
        </w:rPr>
        <w:t>硝</w:t>
      </w:r>
      <w:r>
        <w:rPr>
          <w:rFonts w:asciiTheme="minorEastAsia" w:hAnsiTheme="minorEastAsia" w:eastAsiaTheme="minorEastAsia"/>
          <w:color w:val="000000"/>
        </w:rPr>
        <w:t>酸</w:t>
      </w:r>
      <w:r>
        <w:rPr>
          <w:rFonts w:asciiTheme="minorEastAsia" w:hAnsiTheme="minorEastAsia" w:eastAsiaTheme="minorEastAsia"/>
        </w:rPr>
        <w:t>（</w:t>
      </w:r>
      <w:r>
        <w:rPr>
          <w:rFonts w:hint="default" w:ascii="Times New Roman" w:hAnsi="Times New Roman" w:cs="Times New Roman" w:eastAsiaTheme="minorEastAsia"/>
          <w:i/>
          <w:color w:val="000000" w:themeColor="text1"/>
          <w14:textFill>
            <w14:solidFill>
              <w14:schemeClr w14:val="tx1"/>
            </w14:solidFill>
          </w14:textFill>
        </w:rPr>
        <w:t>ρ=</w:t>
      </w:r>
      <w:r>
        <w:rPr>
          <w:rFonts w:hint="default" w:ascii="Times New Roman" w:hAnsi="Times New Roman" w:cs="Times New Roman" w:eastAsiaTheme="minorEastAsia"/>
        </w:rPr>
        <w:t>1.42</w:t>
      </w:r>
      <w:r>
        <w:rPr>
          <w:rFonts w:hint="eastAsia" w:cs="Times New Roman" w:eastAsiaTheme="minorEastAsia"/>
          <w:lang w:val="en-US" w:eastAsia="zh-CN"/>
        </w:rPr>
        <w:t xml:space="preserve"> </w:t>
      </w:r>
      <w:r>
        <w:rPr>
          <w:rFonts w:hint="default" w:ascii="Times New Roman" w:hAnsi="Times New Roman" w:cs="Times New Roman" w:eastAsiaTheme="minorEastAsia"/>
        </w:rPr>
        <w:t>g/mL</w:t>
      </w:r>
      <w:r>
        <w:rPr>
          <w:rFonts w:asciiTheme="minorEastAsia" w:hAnsiTheme="minorEastAsia" w:eastAsiaTheme="minorEastAsia"/>
        </w:rPr>
        <w:t>）</w:t>
      </w:r>
      <w:r>
        <w:rPr>
          <w:rFonts w:hint="eastAsia" w:asciiTheme="minorEastAsia" w:hAnsiTheme="minorEastAsia" w:eastAsiaTheme="minorEastAsia"/>
          <w:lang w:eastAsia="zh-CN"/>
        </w:rPr>
        <w:t>。</w:t>
      </w:r>
    </w:p>
    <w:p>
      <w:pPr>
        <w:rPr>
          <w:rFonts w:hint="eastAsia" w:asciiTheme="minorEastAsia" w:hAnsiTheme="minorEastAsia" w:eastAsiaTheme="minorEastAsia"/>
          <w:color w:val="000000"/>
          <w:lang w:eastAsia="zh-CN"/>
        </w:rPr>
      </w:pPr>
      <w:r>
        <w:rPr>
          <w:rFonts w:hint="eastAsia" w:ascii="黑体" w:hAnsi="黑体" w:eastAsia="黑体"/>
        </w:rPr>
        <w:t>5.5</w:t>
      </w:r>
      <w:r>
        <w:rPr>
          <w:rFonts w:hint="eastAsia" w:asciiTheme="minorEastAsia" w:hAnsiTheme="minorEastAsia" w:eastAsiaTheme="minorEastAsia"/>
        </w:rPr>
        <w:t xml:space="preserve">  盐酸（</w:t>
      </w:r>
      <w:r>
        <w:rPr>
          <w:rFonts w:hint="default" w:ascii="Times New Roman" w:hAnsi="Times New Roman" w:cs="Times New Roman" w:eastAsiaTheme="minorEastAsia"/>
        </w:rPr>
        <w:t>1+1</w:t>
      </w:r>
      <w:r>
        <w:rPr>
          <w:rFonts w:hint="eastAsia" w:asciiTheme="minorEastAsia" w:hAnsiTheme="minorEastAsia" w:eastAsiaTheme="minorEastAsia"/>
        </w:rPr>
        <w:t>）</w:t>
      </w:r>
      <w:r>
        <w:rPr>
          <w:rFonts w:hint="eastAsia" w:asciiTheme="minorEastAsia" w:hAnsiTheme="minorEastAsia" w:eastAsiaTheme="minorEastAsia"/>
          <w:lang w:eastAsia="zh-CN"/>
        </w:rPr>
        <w:t>。</w:t>
      </w:r>
    </w:p>
    <w:p>
      <w:pPr>
        <w:rPr>
          <w:rFonts w:hint="default" w:ascii="Times New Roman" w:hAnsi="Times New Roman" w:cs="Times New Roman"/>
          <w:szCs w:val="21"/>
        </w:rPr>
      </w:pPr>
      <w:r>
        <w:rPr>
          <w:rFonts w:ascii="黑体" w:hAnsi="黑体" w:eastAsia="黑体"/>
        </w:rPr>
        <w:t>5.6　</w:t>
      </w:r>
      <w:r>
        <w:t>三氧化二铁标准贮存溶液：准确</w:t>
      </w:r>
      <w:r>
        <w:rPr>
          <w:szCs w:val="21"/>
        </w:rPr>
        <w:t>称取</w:t>
      </w:r>
      <w:r>
        <w:rPr>
          <w:rFonts w:hint="default" w:ascii="Times New Roman" w:hAnsi="Times New Roman" w:cs="Times New Roman"/>
          <w:szCs w:val="21"/>
        </w:rPr>
        <w:t>1.000</w:t>
      </w:r>
      <w:r>
        <w:rPr>
          <w:rFonts w:hint="default" w:ascii="Times New Roman" w:hAnsi="Times New Roman" w:cs="Times New Roman"/>
          <w:color w:val="000000"/>
        </w:rPr>
        <w:t> </w:t>
      </w:r>
      <w:r>
        <w:rPr>
          <w:rFonts w:hint="default" w:ascii="Times New Roman" w:hAnsi="Times New Roman" w:cs="Times New Roman"/>
          <w:szCs w:val="21"/>
        </w:rPr>
        <w:t>0 g经105</w:t>
      </w:r>
      <w:r>
        <w:rPr>
          <w:rFonts w:hint="default" w:ascii="Times New Roman" w:hAnsi="Times New Roman" w:cs="Times New Roman"/>
          <w:color w:val="000000"/>
        </w:rPr>
        <w:t xml:space="preserve"> </w:t>
      </w:r>
      <w:r>
        <w:rPr>
          <w:rFonts w:hint="default" w:ascii="Times New Roman" w:hAnsi="Times New Roman" w:cs="Times New Roman"/>
          <w:szCs w:val="21"/>
        </w:rPr>
        <w:t>℃</w:t>
      </w:r>
      <w:r>
        <w:rPr>
          <w:rFonts w:hint="eastAsia" w:ascii="宋体" w:hAnsi="宋体" w:cs="宋体"/>
          <w:szCs w:val="21"/>
        </w:rPr>
        <w:t>干燥至恒重的</w:t>
      </w:r>
      <w:r>
        <w:rPr>
          <w:szCs w:val="21"/>
        </w:rPr>
        <w:t>三氧化二铁</w:t>
      </w:r>
      <w:r>
        <w:rPr>
          <w:rFonts w:hint="eastAsia" w:ascii="宋体" w:hAnsi="宋体"/>
          <w:szCs w:val="21"/>
        </w:rPr>
        <w:t>［</w:t>
      </w:r>
      <w:r>
        <w:rPr>
          <w:rFonts w:hint="eastAsia" w:ascii="宋体" w:hAnsi="宋体" w:cs="宋体"/>
          <w:i/>
          <w:color w:val="000000"/>
          <w:szCs w:val="21"/>
        </w:rPr>
        <w:t>ω</w:t>
      </w:r>
      <w:r>
        <w:rPr>
          <w:szCs w:val="21"/>
        </w:rPr>
        <w:t>（Fe</w:t>
      </w:r>
      <w:r>
        <w:rPr>
          <w:szCs w:val="21"/>
          <w:vertAlign w:val="subscript"/>
        </w:rPr>
        <w:t>2</w:t>
      </w:r>
      <w:r>
        <w:rPr>
          <w:szCs w:val="21"/>
        </w:rPr>
        <w:t>O</w:t>
      </w:r>
      <w:r>
        <w:rPr>
          <w:szCs w:val="21"/>
          <w:vertAlign w:val="subscript"/>
        </w:rPr>
        <w:t>3</w:t>
      </w:r>
      <w:r>
        <w:rPr>
          <w:szCs w:val="21"/>
        </w:rPr>
        <w:t>）</w:t>
      </w:r>
      <w:r>
        <w:rPr>
          <w:rFonts w:hint="default" w:ascii="Times New Roman" w:hAnsi="Times New Roman" w:cs="Times New Roman" w:eastAsiaTheme="majorEastAsia"/>
          <w:szCs w:val="21"/>
        </w:rPr>
        <w:t>≥</w:t>
      </w:r>
      <w:r>
        <w:rPr>
          <w:rFonts w:hint="default" w:ascii="Times New Roman" w:hAnsi="Times New Roman" w:cs="Times New Roman"/>
          <w:szCs w:val="21"/>
        </w:rPr>
        <w:t>99.99%</w:t>
      </w:r>
      <w:r>
        <w:rPr>
          <w:szCs w:val="21"/>
        </w:rPr>
        <w:t>］</w:t>
      </w:r>
      <w:r>
        <w:rPr>
          <w:rFonts w:hint="default" w:ascii="Times New Roman" w:hAnsi="Times New Roman" w:cs="Times New Roman"/>
          <w:szCs w:val="21"/>
        </w:rPr>
        <w:t>于250</w:t>
      </w:r>
      <w:r>
        <w:rPr>
          <w:rFonts w:hint="default" w:ascii="Times New Roman" w:hAnsi="Times New Roman" w:cs="Times New Roman"/>
          <w:color w:val="000000"/>
        </w:rPr>
        <w:t xml:space="preserve"> </w:t>
      </w:r>
      <w:r>
        <w:rPr>
          <w:rFonts w:hint="default" w:ascii="Times New Roman" w:hAnsi="Times New Roman" w:cs="Times New Roman"/>
          <w:szCs w:val="21"/>
        </w:rPr>
        <w:t>mL烧杯中，加20 mL盐酸（5.5），加入5</w:t>
      </w:r>
      <w:r>
        <w:rPr>
          <w:rFonts w:hint="default" w:ascii="Times New Roman" w:hAnsi="Times New Roman" w:cs="Times New Roman"/>
          <w:color w:val="000000"/>
        </w:rPr>
        <w:t> </w:t>
      </w:r>
      <w:r>
        <w:rPr>
          <w:rFonts w:hint="default" w:ascii="Times New Roman" w:hAnsi="Times New Roman" w:cs="Times New Roman"/>
          <w:szCs w:val="21"/>
        </w:rPr>
        <w:t>mL过氧化氢（</w:t>
      </w:r>
      <w:r>
        <w:rPr>
          <w:rFonts w:hint="default" w:ascii="Times New Roman" w:hAnsi="Times New Roman" w:cs="Times New Roman"/>
          <w:szCs w:val="22"/>
        </w:rPr>
        <w:t>5.1</w:t>
      </w:r>
      <w:r>
        <w:rPr>
          <w:rFonts w:hint="default" w:ascii="Times New Roman" w:hAnsi="Times New Roman" w:cs="Times New Roman"/>
          <w:szCs w:val="21"/>
        </w:rPr>
        <w:t>），低温加热分解至清亮，冷却至室温，移入1000</w:t>
      </w:r>
      <w:r>
        <w:rPr>
          <w:rFonts w:hint="default" w:ascii="Times New Roman" w:hAnsi="Times New Roman" w:cs="Times New Roman"/>
          <w:color w:val="000000"/>
        </w:rPr>
        <w:t xml:space="preserve"> </w:t>
      </w:r>
      <w:r>
        <w:rPr>
          <w:rFonts w:hint="default" w:ascii="Times New Roman" w:hAnsi="Times New Roman" w:cs="Times New Roman"/>
          <w:szCs w:val="21"/>
        </w:rPr>
        <w:t>mL容量瓶中用水稀释至刻度，混匀。此溶液1</w:t>
      </w:r>
      <w:r>
        <w:rPr>
          <w:rFonts w:hint="default" w:ascii="Times New Roman" w:hAnsi="Times New Roman" w:cs="Times New Roman"/>
          <w:color w:val="000000"/>
        </w:rPr>
        <w:t> </w:t>
      </w:r>
      <w:r>
        <w:rPr>
          <w:rFonts w:hint="default" w:ascii="Times New Roman" w:hAnsi="Times New Roman" w:cs="Times New Roman"/>
          <w:szCs w:val="21"/>
        </w:rPr>
        <w:t>mL含1</w:t>
      </w:r>
      <w:r>
        <w:rPr>
          <w:rFonts w:hint="default" w:ascii="Times New Roman" w:hAnsi="Times New Roman" w:cs="Times New Roman"/>
          <w:color w:val="000000"/>
        </w:rPr>
        <w:t> </w:t>
      </w:r>
      <w:r>
        <w:rPr>
          <w:rFonts w:hint="default" w:ascii="Times New Roman" w:hAnsi="Times New Roman" w:cs="Times New Roman"/>
          <w:szCs w:val="21"/>
        </w:rPr>
        <w:t>mg三氧化二铁。</w:t>
      </w:r>
    </w:p>
    <w:p>
      <w:pPr>
        <w:rPr>
          <w:rFonts w:hint="default" w:ascii="Times New Roman" w:hAnsi="Times New Roman" w:cs="Times New Roman"/>
          <w:szCs w:val="21"/>
        </w:rPr>
      </w:pPr>
      <w:r>
        <w:rPr>
          <w:rFonts w:ascii="黑体" w:hAnsi="黑体" w:eastAsia="黑体"/>
        </w:rPr>
        <w:t>5.7</w:t>
      </w:r>
      <w:r>
        <w:rPr>
          <w:rFonts w:asciiTheme="minorEastAsia" w:hAnsiTheme="minorEastAsia" w:eastAsiaTheme="minorEastAsia"/>
          <w:color w:val="FF0000"/>
        </w:rPr>
        <w:t>　</w:t>
      </w:r>
      <w:r>
        <w:t>三氧化二铁标准溶液：</w:t>
      </w:r>
      <w:r>
        <w:rPr>
          <w:rFonts w:hint="default" w:ascii="Times New Roman" w:hAnsi="Times New Roman" w:cs="Times New Roman"/>
          <w:szCs w:val="21"/>
        </w:rPr>
        <w:t>移取三氧化二铁标准贮存溶液（</w:t>
      </w:r>
      <w:r>
        <w:rPr>
          <w:rFonts w:hint="default" w:ascii="Times New Roman" w:hAnsi="Times New Roman" w:cs="Times New Roman"/>
          <w:color w:val="000000"/>
          <w:szCs w:val="21"/>
        </w:rPr>
        <w:t>5.6）10.00</w:t>
      </w:r>
      <w:r>
        <w:rPr>
          <w:rFonts w:hint="eastAsia" w:cs="Times New Roman"/>
          <w:color w:val="000000"/>
          <w:szCs w:val="21"/>
          <w:lang w:val="en-US" w:eastAsia="zh-CN"/>
        </w:rPr>
        <w:t xml:space="preserve"> </w:t>
      </w:r>
      <w:r>
        <w:rPr>
          <w:rFonts w:hint="default" w:ascii="Times New Roman" w:hAnsi="Times New Roman" w:cs="Times New Roman"/>
          <w:color w:val="000000"/>
          <w:szCs w:val="21"/>
        </w:rPr>
        <w:t>mL于100</w:t>
      </w:r>
      <w:r>
        <w:rPr>
          <w:rFonts w:hint="default" w:ascii="Times New Roman" w:hAnsi="Times New Roman" w:cs="Times New Roman"/>
          <w:color w:val="000000"/>
        </w:rPr>
        <w:t> </w:t>
      </w:r>
      <w:r>
        <w:rPr>
          <w:rFonts w:hint="default" w:ascii="Times New Roman" w:hAnsi="Times New Roman" w:cs="Times New Roman"/>
          <w:color w:val="000000"/>
          <w:szCs w:val="21"/>
        </w:rPr>
        <w:t>mL容量瓶中，加入10</w:t>
      </w:r>
      <w:r>
        <w:rPr>
          <w:rFonts w:hint="default" w:ascii="Times New Roman" w:hAnsi="Times New Roman" w:cs="Times New Roman"/>
          <w:color w:val="000000"/>
        </w:rPr>
        <w:t> </w:t>
      </w:r>
      <w:r>
        <w:rPr>
          <w:rFonts w:hint="default" w:ascii="Times New Roman" w:hAnsi="Times New Roman" w:cs="Times New Roman"/>
          <w:color w:val="000000"/>
          <w:szCs w:val="21"/>
        </w:rPr>
        <w:t>mL盐酸（5.5）以水稀释至刻度，混匀。此溶液1</w:t>
      </w:r>
      <w:r>
        <w:rPr>
          <w:rFonts w:hint="default" w:ascii="Times New Roman" w:hAnsi="Times New Roman" w:cs="Times New Roman"/>
          <w:color w:val="000000"/>
        </w:rPr>
        <w:t> </w:t>
      </w:r>
      <w:r>
        <w:rPr>
          <w:rFonts w:hint="default" w:ascii="Times New Roman" w:hAnsi="Times New Roman" w:cs="Times New Roman"/>
          <w:color w:val="000000"/>
          <w:szCs w:val="21"/>
        </w:rPr>
        <w:t>mL含</w:t>
      </w:r>
      <w:r>
        <w:rPr>
          <w:rFonts w:hint="default" w:ascii="Times New Roman" w:hAnsi="Times New Roman" w:cs="Times New Roman"/>
          <w:szCs w:val="21"/>
        </w:rPr>
        <w:t>100</w:t>
      </w:r>
      <w:r>
        <w:rPr>
          <w:rFonts w:hint="default" w:ascii="Times New Roman" w:hAnsi="Times New Roman" w:cs="Times New Roman"/>
          <w:color w:val="000000"/>
        </w:rPr>
        <w:t> </w:t>
      </w:r>
      <w:r>
        <w:rPr>
          <w:rFonts w:hint="default" w:ascii="Times New Roman" w:hAnsi="Times New Roman" w:cs="Times New Roman"/>
          <w:szCs w:val="21"/>
        </w:rPr>
        <w:t>μg三氧化二铁。</w:t>
      </w:r>
    </w:p>
    <w:p>
      <w:pPr>
        <w:rPr>
          <w:szCs w:val="21"/>
        </w:rPr>
      </w:pPr>
      <w:r>
        <w:rPr>
          <w:rFonts w:ascii="黑体" w:hAnsi="黑体" w:eastAsia="黑体"/>
        </w:rPr>
        <w:t>5.8</w:t>
      </w:r>
      <w:r>
        <w:rPr>
          <w:rFonts w:asciiTheme="minorEastAsia" w:hAnsiTheme="minorEastAsia" w:eastAsiaTheme="minorEastAsia"/>
          <w:color w:val="FF0000"/>
        </w:rPr>
        <w:t>　</w:t>
      </w:r>
      <w:r>
        <w:rPr>
          <w:szCs w:val="21"/>
        </w:rPr>
        <w:t>混合稀土氧化物标准贮存溶液：按表1称取除氧化铈和氧化铽外的各单一稀土氧化物［</w:t>
      </w:r>
      <w:r>
        <w:rPr>
          <w:rFonts w:hint="eastAsia" w:ascii="宋体" w:hAnsi="宋体" w:cs="宋体"/>
          <w:i/>
          <w:color w:val="000000"/>
          <w:szCs w:val="21"/>
        </w:rPr>
        <w:t>ω</w:t>
      </w:r>
      <w:r>
        <w:rPr>
          <w:szCs w:val="21"/>
        </w:rPr>
        <w:t>（</w:t>
      </w:r>
      <w:r>
        <w:rPr>
          <w:rFonts w:ascii="宋体" w:hAnsi="宋体" w:cs="宋体"/>
          <w:kern w:val="0"/>
          <w:szCs w:val="22"/>
        </w:rPr>
        <w:t>REO</w:t>
      </w:r>
      <w:r>
        <w:rPr>
          <w:szCs w:val="21"/>
        </w:rPr>
        <w:t>）</w:t>
      </w:r>
      <w:r>
        <w:rPr>
          <w:rFonts w:hint="default" w:ascii="Times New Roman" w:hAnsi="Times New Roman" w:cs="Times New Roman"/>
          <w:kern w:val="0"/>
          <w:szCs w:val="22"/>
        </w:rPr>
        <w:t>≥99.5%</w:t>
      </w:r>
      <w:r>
        <w:rPr>
          <w:rFonts w:hint="default" w:ascii="Times New Roman" w:hAnsi="Times New Roman" w:cs="Times New Roman"/>
          <w:szCs w:val="21"/>
        </w:rPr>
        <w:t>，稀土相对纯度≥99.99%，</w:t>
      </w:r>
      <w:r>
        <w:rPr>
          <w:rFonts w:hint="eastAsia" w:ascii="宋体" w:hAnsi="宋体" w:cs="宋体"/>
          <w:i/>
          <w:color w:val="000000"/>
          <w:szCs w:val="21"/>
        </w:rPr>
        <w:t>ω</w:t>
      </w:r>
      <w:r>
        <w:rPr>
          <w:szCs w:val="21"/>
        </w:rPr>
        <w:t>（Fe</w:t>
      </w:r>
      <w:r>
        <w:rPr>
          <w:szCs w:val="21"/>
          <w:vertAlign w:val="subscript"/>
        </w:rPr>
        <w:t>2</w:t>
      </w:r>
      <w:r>
        <w:rPr>
          <w:szCs w:val="21"/>
        </w:rPr>
        <w:t>O</w:t>
      </w:r>
      <w:r>
        <w:rPr>
          <w:szCs w:val="21"/>
          <w:vertAlign w:val="subscript"/>
        </w:rPr>
        <w:t>3</w:t>
      </w:r>
      <w:r>
        <w:rPr>
          <w:szCs w:val="21"/>
        </w:rPr>
        <w:t>）</w:t>
      </w:r>
      <w:r>
        <w:rPr>
          <w:rFonts w:hint="default" w:ascii="Times New Roman" w:hAnsi="Times New Roman" w:cs="Times New Roman"/>
          <w:szCs w:val="21"/>
        </w:rPr>
        <w:t>＜0.00</w:t>
      </w:r>
      <w:r>
        <w:rPr>
          <w:rFonts w:hint="eastAsia" w:cs="Times New Roman"/>
          <w:szCs w:val="21"/>
          <w:lang w:val="en-US" w:eastAsia="zh-CN"/>
        </w:rPr>
        <w:t>0</w:t>
      </w:r>
      <w:r>
        <w:rPr>
          <w:rFonts w:hint="default" w:ascii="Times New Roman" w:hAnsi="Times New Roman" w:cs="Times New Roman"/>
          <w:szCs w:val="21"/>
        </w:rPr>
        <w:t>1%</w:t>
      </w:r>
      <w:r>
        <w:rPr>
          <w:szCs w:val="21"/>
        </w:rPr>
        <w:t>］于</w:t>
      </w:r>
      <w:r>
        <w:rPr>
          <w:rFonts w:hint="eastAsia"/>
          <w:szCs w:val="21"/>
        </w:rPr>
        <w:t>同一300</w:t>
      </w:r>
      <w:r>
        <w:rPr>
          <w:rFonts w:hAnsi="宋体"/>
          <w:color w:val="000000"/>
        </w:rPr>
        <w:t> </w:t>
      </w:r>
      <w:r>
        <w:rPr>
          <w:szCs w:val="21"/>
        </w:rPr>
        <w:t>mL烧杯中，</w:t>
      </w:r>
      <w:r>
        <w:rPr>
          <w:rFonts w:hint="default" w:ascii="Times New Roman" w:hAnsi="Times New Roman" w:cs="Times New Roman"/>
          <w:szCs w:val="21"/>
        </w:rPr>
        <w:t>用少量水润湿、加入80</w:t>
      </w:r>
      <w:r>
        <w:rPr>
          <w:rFonts w:hint="default" w:ascii="Times New Roman" w:hAnsi="Times New Roman" w:cs="Times New Roman"/>
          <w:color w:val="000000"/>
        </w:rPr>
        <w:t> </w:t>
      </w:r>
      <w:r>
        <w:rPr>
          <w:rFonts w:hint="default" w:ascii="Times New Roman" w:hAnsi="Times New Roman" w:cs="Times New Roman"/>
          <w:szCs w:val="21"/>
        </w:rPr>
        <w:t>mL盐酸（5.5），低温加热分解至清亮，取下冷却至室温；按表1称取氧化铈和氧</w:t>
      </w:r>
      <w:r>
        <w:rPr>
          <w:szCs w:val="21"/>
        </w:rPr>
        <w:t>化铽［</w:t>
      </w:r>
      <w:r>
        <w:rPr>
          <w:rFonts w:hint="eastAsia" w:ascii="宋体" w:hAnsi="宋体" w:cs="宋体"/>
          <w:i/>
          <w:color w:val="000000"/>
          <w:szCs w:val="21"/>
        </w:rPr>
        <w:t>ω</w:t>
      </w:r>
      <w:r>
        <w:rPr>
          <w:szCs w:val="21"/>
        </w:rPr>
        <w:t>（</w:t>
      </w:r>
      <w:r>
        <w:rPr>
          <w:rFonts w:ascii="宋体" w:hAnsi="宋体" w:cs="宋体"/>
          <w:kern w:val="0"/>
          <w:szCs w:val="22"/>
        </w:rPr>
        <w:t>REO</w:t>
      </w:r>
      <w:r>
        <w:rPr>
          <w:szCs w:val="21"/>
        </w:rPr>
        <w:t>）≥99.5%，稀土相对纯度≥99.99%，</w:t>
      </w:r>
      <w:r>
        <w:rPr>
          <w:rFonts w:hint="eastAsia" w:ascii="宋体" w:hAnsi="宋体" w:cs="宋体"/>
          <w:i/>
          <w:color w:val="000000"/>
          <w:szCs w:val="21"/>
        </w:rPr>
        <w:t>ω</w:t>
      </w:r>
      <w:r>
        <w:rPr>
          <w:szCs w:val="21"/>
        </w:rPr>
        <w:t>（Fe</w:t>
      </w:r>
      <w:r>
        <w:rPr>
          <w:szCs w:val="21"/>
          <w:vertAlign w:val="subscript"/>
        </w:rPr>
        <w:t>2</w:t>
      </w:r>
      <w:r>
        <w:rPr>
          <w:szCs w:val="21"/>
        </w:rPr>
        <w:t>O</w:t>
      </w:r>
      <w:r>
        <w:rPr>
          <w:szCs w:val="21"/>
          <w:vertAlign w:val="subscript"/>
        </w:rPr>
        <w:t>3</w:t>
      </w:r>
      <w:r>
        <w:rPr>
          <w:szCs w:val="21"/>
        </w:rPr>
        <w:t>）＜0.00</w:t>
      </w:r>
      <w:r>
        <w:rPr>
          <w:rFonts w:hint="eastAsia"/>
          <w:szCs w:val="21"/>
          <w:lang w:val="en-US" w:eastAsia="zh-CN"/>
        </w:rPr>
        <w:t>0</w:t>
      </w:r>
      <w:r>
        <w:rPr>
          <w:szCs w:val="21"/>
        </w:rPr>
        <w:t>1%］于</w:t>
      </w:r>
      <w:r>
        <w:rPr>
          <w:rFonts w:hint="eastAsia"/>
          <w:szCs w:val="21"/>
        </w:rPr>
        <w:t>同一</w:t>
      </w:r>
      <w:r>
        <w:rPr>
          <w:szCs w:val="21"/>
        </w:rPr>
        <w:t>100</w:t>
      </w:r>
      <w:r>
        <w:rPr>
          <w:rFonts w:hAnsi="宋体"/>
          <w:color w:val="000000"/>
        </w:rPr>
        <w:t> </w:t>
      </w:r>
      <w:r>
        <w:rPr>
          <w:szCs w:val="21"/>
        </w:rPr>
        <w:t>mL烧杯中，</w:t>
      </w:r>
      <w:r>
        <w:rPr>
          <w:rFonts w:hint="eastAsia"/>
          <w:szCs w:val="21"/>
        </w:rPr>
        <w:t>用</w:t>
      </w:r>
      <w:r>
        <w:rPr>
          <w:szCs w:val="21"/>
        </w:rPr>
        <w:t>少量水润湿、</w:t>
      </w:r>
      <w:r>
        <w:rPr>
          <w:rFonts w:hint="eastAsia"/>
          <w:szCs w:val="21"/>
        </w:rPr>
        <w:t>加入</w:t>
      </w:r>
      <w:r>
        <w:rPr>
          <w:szCs w:val="21"/>
        </w:rPr>
        <w:t>5</w:t>
      </w:r>
      <w:r>
        <w:rPr>
          <w:rFonts w:hAnsi="宋体"/>
          <w:color w:val="000000"/>
        </w:rPr>
        <w:t> </w:t>
      </w:r>
      <w:r>
        <w:rPr>
          <w:szCs w:val="21"/>
        </w:rPr>
        <w:t>mL硝酸（</w:t>
      </w:r>
      <w:r>
        <w:rPr>
          <w:rFonts w:hint="eastAsia"/>
          <w:szCs w:val="21"/>
        </w:rPr>
        <w:t>5.4</w:t>
      </w:r>
      <w:r>
        <w:rPr>
          <w:szCs w:val="21"/>
        </w:rPr>
        <w:t>）</w:t>
      </w:r>
      <w:r>
        <w:rPr>
          <w:rFonts w:hint="eastAsia"/>
          <w:szCs w:val="21"/>
        </w:rPr>
        <w:t>，加入</w:t>
      </w:r>
      <w:r>
        <w:rPr>
          <w:szCs w:val="21"/>
        </w:rPr>
        <w:t>2</w:t>
      </w:r>
      <w:r>
        <w:rPr>
          <w:rFonts w:hAnsi="宋体"/>
          <w:color w:val="000000"/>
        </w:rPr>
        <w:t> </w:t>
      </w:r>
      <w:r>
        <w:rPr>
          <w:szCs w:val="21"/>
        </w:rPr>
        <w:t>mL过氧化氢（</w:t>
      </w:r>
      <w:r>
        <w:rPr>
          <w:rFonts w:hint="eastAsia"/>
          <w:szCs w:val="21"/>
        </w:rPr>
        <w:t>5.</w:t>
      </w:r>
      <w:r>
        <w:rPr>
          <w:szCs w:val="21"/>
        </w:rPr>
        <w:t>1），低温加热分解至清亮，取下冷却至室温</w:t>
      </w:r>
      <w:r>
        <w:rPr>
          <w:rFonts w:hint="eastAsia"/>
          <w:szCs w:val="21"/>
        </w:rPr>
        <w:t>；将两组溶液</w:t>
      </w:r>
      <w:r>
        <w:rPr>
          <w:szCs w:val="21"/>
        </w:rPr>
        <w:t>移</w:t>
      </w:r>
      <w:r>
        <w:rPr>
          <w:rFonts w:hint="eastAsia"/>
          <w:szCs w:val="21"/>
        </w:rPr>
        <w:t>入同一</w:t>
      </w:r>
      <w:r>
        <w:rPr>
          <w:szCs w:val="21"/>
        </w:rPr>
        <w:t>100</w:t>
      </w:r>
      <w:r>
        <w:rPr>
          <w:rFonts w:hint="eastAsia"/>
          <w:szCs w:val="21"/>
        </w:rPr>
        <w:t>0</w:t>
      </w:r>
      <w:r>
        <w:rPr>
          <w:rFonts w:hAnsi="宋体"/>
          <w:color w:val="000000"/>
        </w:rPr>
        <w:t> </w:t>
      </w:r>
      <w:r>
        <w:rPr>
          <w:szCs w:val="21"/>
        </w:rPr>
        <w:t>mL容量瓶中，用水稀释至刻度，混匀。此标准溶液1</w:t>
      </w:r>
      <w:r>
        <w:rPr>
          <w:rFonts w:hAnsi="宋体"/>
          <w:color w:val="000000"/>
        </w:rPr>
        <w:t> </w:t>
      </w:r>
      <w:r>
        <w:rPr>
          <w:szCs w:val="21"/>
        </w:rPr>
        <w:t>mL含10</w:t>
      </w:r>
      <w:r>
        <w:rPr>
          <w:rFonts w:hAnsi="宋体"/>
          <w:color w:val="000000"/>
        </w:rPr>
        <w:t> </w:t>
      </w:r>
      <w:r>
        <w:rPr>
          <w:szCs w:val="21"/>
        </w:rPr>
        <w:t>mg混合稀土氧化物。</w:t>
      </w:r>
    </w:p>
    <w:p>
      <w:pPr>
        <w:spacing w:before="156" w:beforeLines="50"/>
        <w:jc w:val="center"/>
        <w:rPr>
          <w:rFonts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rPr>
        <w:t xml:space="preserve">  混合稀土氧化物标准贮存溶液称样量</w:t>
      </w:r>
    </w:p>
    <w:p>
      <w:pPr>
        <w:jc w:val="right"/>
        <w:rPr>
          <w:rFonts w:ascii="宋体" w:hAnsi="宋体" w:cs="宋体"/>
          <w:sz w:val="18"/>
          <w:szCs w:val="18"/>
        </w:rPr>
      </w:pPr>
      <w:r>
        <w:rPr>
          <w:rFonts w:hint="eastAsia"/>
          <w:szCs w:val="21"/>
        </w:rPr>
        <w:t xml:space="preserve"> </w:t>
      </w:r>
      <w:r>
        <w:rPr>
          <w:rFonts w:hint="eastAsia" w:ascii="宋体" w:hAnsi="宋体" w:cs="宋体"/>
          <w:sz w:val="18"/>
          <w:szCs w:val="18"/>
        </w:rPr>
        <w:t>单位为毫克</w:t>
      </w:r>
    </w:p>
    <w:tbl>
      <w:tblPr>
        <w:tblStyle w:val="31"/>
        <w:tblW w:w="9428" w:type="dxa"/>
        <w:tblInd w:w="9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8"/>
        <w:gridCol w:w="1058"/>
        <w:gridCol w:w="1059"/>
        <w:gridCol w:w="1058"/>
        <w:gridCol w:w="1058"/>
        <w:gridCol w:w="1059"/>
        <w:gridCol w:w="1058"/>
        <w:gridCol w:w="1058"/>
        <w:gridCol w:w="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105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氧化物</w:t>
            </w:r>
          </w:p>
        </w:tc>
        <w:tc>
          <w:tcPr>
            <w:tcW w:w="1058"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氧化镧</w:t>
            </w:r>
          </w:p>
        </w:tc>
        <w:tc>
          <w:tcPr>
            <w:tcW w:w="1059"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氧化铈</w:t>
            </w:r>
          </w:p>
        </w:tc>
        <w:tc>
          <w:tcPr>
            <w:tcW w:w="1058"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氧化镨</w:t>
            </w:r>
          </w:p>
        </w:tc>
        <w:tc>
          <w:tcPr>
            <w:tcW w:w="1058"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氧化钕</w:t>
            </w:r>
          </w:p>
        </w:tc>
        <w:tc>
          <w:tcPr>
            <w:tcW w:w="1059"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氧化钐</w:t>
            </w:r>
          </w:p>
        </w:tc>
        <w:tc>
          <w:tcPr>
            <w:tcW w:w="1058"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氧化铕 </w:t>
            </w:r>
          </w:p>
        </w:tc>
        <w:tc>
          <w:tcPr>
            <w:tcW w:w="1058"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氧化钆</w:t>
            </w:r>
          </w:p>
        </w:tc>
        <w:tc>
          <w:tcPr>
            <w:tcW w:w="962"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氧化铽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105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称样量</w:t>
            </w:r>
          </w:p>
        </w:tc>
        <w:tc>
          <w:tcPr>
            <w:tcW w:w="105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2000</w:t>
            </w:r>
          </w:p>
        </w:tc>
        <w:tc>
          <w:tcPr>
            <w:tcW w:w="10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300</w:t>
            </w:r>
          </w:p>
        </w:tc>
        <w:tc>
          <w:tcPr>
            <w:tcW w:w="105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105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2000</w:t>
            </w:r>
          </w:p>
        </w:tc>
        <w:tc>
          <w:tcPr>
            <w:tcW w:w="10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105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c>
          <w:tcPr>
            <w:tcW w:w="105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962"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105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氧化物</w:t>
            </w:r>
          </w:p>
        </w:tc>
        <w:tc>
          <w:tcPr>
            <w:tcW w:w="1058"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氧化镝</w:t>
            </w:r>
          </w:p>
        </w:tc>
        <w:tc>
          <w:tcPr>
            <w:tcW w:w="1059"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氧化钬</w:t>
            </w:r>
          </w:p>
        </w:tc>
        <w:tc>
          <w:tcPr>
            <w:tcW w:w="1058"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氧化铒</w:t>
            </w:r>
          </w:p>
        </w:tc>
        <w:tc>
          <w:tcPr>
            <w:tcW w:w="105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氧化铥</w:t>
            </w:r>
            <w:r>
              <w:rPr>
                <w:rFonts w:hint="eastAsia" w:ascii="宋体" w:hAnsi="宋体" w:cs="宋体"/>
                <w:color w:val="000000"/>
                <w:kern w:val="0"/>
                <w:szCs w:val="21"/>
                <w:vertAlign w:val="subscript"/>
              </w:rPr>
              <w:t>3</w:t>
            </w:r>
          </w:p>
        </w:tc>
        <w:tc>
          <w:tcPr>
            <w:tcW w:w="1059"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氧化镱</w:t>
            </w:r>
          </w:p>
        </w:tc>
        <w:tc>
          <w:tcPr>
            <w:tcW w:w="1058"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氧化镥</w:t>
            </w:r>
          </w:p>
        </w:tc>
        <w:tc>
          <w:tcPr>
            <w:tcW w:w="1058"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氧化钇</w:t>
            </w:r>
          </w:p>
        </w:tc>
        <w:tc>
          <w:tcPr>
            <w:tcW w:w="96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105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称样量</w:t>
            </w:r>
          </w:p>
        </w:tc>
        <w:tc>
          <w:tcPr>
            <w:tcW w:w="105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10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w:t>
            </w:r>
          </w:p>
        </w:tc>
        <w:tc>
          <w:tcPr>
            <w:tcW w:w="105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300</w:t>
            </w:r>
          </w:p>
        </w:tc>
        <w:tc>
          <w:tcPr>
            <w:tcW w:w="105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w:t>
            </w:r>
          </w:p>
        </w:tc>
        <w:tc>
          <w:tcPr>
            <w:tcW w:w="10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300</w:t>
            </w:r>
          </w:p>
        </w:tc>
        <w:tc>
          <w:tcPr>
            <w:tcW w:w="105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w:t>
            </w:r>
          </w:p>
        </w:tc>
        <w:tc>
          <w:tcPr>
            <w:tcW w:w="1058"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2750</w:t>
            </w:r>
          </w:p>
        </w:tc>
        <w:tc>
          <w:tcPr>
            <w:tcW w:w="962" w:type="dxa"/>
            <w:shd w:val="clear" w:color="auto" w:fill="auto"/>
            <w:vAlign w:val="center"/>
          </w:tcPr>
          <w:p>
            <w:pPr>
              <w:pStyle w:val="114"/>
              <w:widowControl/>
              <w:numPr>
                <w:ilvl w:val="0"/>
                <w:numId w:val="0"/>
              </w:numPr>
              <w:ind w:leftChars="0"/>
              <w:jc w:val="center"/>
              <w:rPr>
                <w:rFonts w:ascii="宋体" w:hAnsi="宋体" w:cs="宋体"/>
                <w:color w:val="000000"/>
                <w:kern w:val="0"/>
                <w:szCs w:val="21"/>
              </w:rPr>
            </w:pPr>
            <w:r>
              <w:rPr>
                <w:rFonts w:hint="eastAsia" w:ascii="宋体" w:hAnsi="宋体" w:cs="宋体"/>
                <w:color w:val="000000"/>
                <w:kern w:val="0"/>
                <w:szCs w:val="21"/>
                <w:lang w:val="en-US" w:eastAsia="zh-CN"/>
              </w:rPr>
              <w:t xml:space="preserve">10 </w:t>
            </w:r>
            <w:r>
              <w:rPr>
                <w:rFonts w:hint="eastAsia" w:ascii="宋体" w:hAnsi="宋体" w:cs="宋体"/>
                <w:color w:val="000000"/>
                <w:kern w:val="0"/>
                <w:szCs w:val="21"/>
              </w:rPr>
              <w:t>000</w:t>
            </w:r>
          </w:p>
        </w:tc>
      </w:tr>
    </w:tbl>
    <w:p>
      <w:pPr>
        <w:pStyle w:val="74"/>
        <w:numPr>
          <w:ilvl w:val="1"/>
          <w:numId w:val="12"/>
        </w:numPr>
        <w:spacing w:before="0" w:beforeLines="0" w:after="0" w:afterLines="0" w:line="360" w:lineRule="auto"/>
        <w:rPr>
          <w:rFonts w:ascii="宋体" w:hAnsi="宋体" w:eastAsia="宋体" w:cs="宋体"/>
          <w:szCs w:val="21"/>
        </w:rPr>
      </w:pPr>
      <w:r>
        <w:rPr>
          <w:rFonts w:hint="eastAsia" w:ascii="宋体" w:hAnsi="宋体" w:eastAsia="宋体" w:cs="宋体"/>
          <w:szCs w:val="21"/>
        </w:rPr>
        <w:t xml:space="preserve"> 氩气（体积分数</w:t>
      </w:r>
      <w:r>
        <w:rPr>
          <w:rFonts w:hint="default" w:ascii="Times New Roman" w:hAnsi="Times New Roman" w:eastAsia="宋体" w:cs="Times New Roman"/>
          <w:szCs w:val="21"/>
        </w:rPr>
        <w:t>≥99.99%</w:t>
      </w:r>
      <w:r>
        <w:rPr>
          <w:rFonts w:hint="eastAsia" w:ascii="宋体" w:hAnsi="宋体" w:eastAsia="宋体" w:cs="宋体"/>
          <w:szCs w:val="21"/>
        </w:rPr>
        <w:t>）。</w:t>
      </w:r>
    </w:p>
    <w:p>
      <w:pPr>
        <w:pStyle w:val="74"/>
        <w:numPr>
          <w:ilvl w:val="0"/>
          <w:numId w:val="0"/>
        </w:numPr>
        <w:spacing w:before="312" w:beforeLines="100" w:after="312" w:afterLines="100"/>
        <w:rPr>
          <w:rFonts w:ascii="Times New Roman"/>
          <w:color w:val="000000"/>
        </w:rPr>
      </w:pPr>
      <w:r>
        <w:rPr>
          <w:rFonts w:hint="eastAsia" w:ascii="黑体" w:hAnsi="黑体" w:eastAsia="黑体" w:cs="黑体"/>
          <w:color w:val="000000"/>
        </w:rPr>
        <w:t>6</w:t>
      </w:r>
      <w:r>
        <w:rPr>
          <w:rFonts w:ascii="Times New Roman"/>
          <w:color w:val="000000"/>
        </w:rPr>
        <w:t>　仪器</w:t>
      </w:r>
      <w:r>
        <w:rPr>
          <w:rFonts w:hint="eastAsia" w:ascii="Times New Roman"/>
          <w:color w:val="000000"/>
        </w:rPr>
        <w:t>设备</w:t>
      </w:r>
    </w:p>
    <w:p>
      <w:pPr>
        <w:adjustRightInd w:val="0"/>
        <w:snapToGrid w:val="0"/>
        <w:rPr>
          <w:bCs/>
        </w:rPr>
      </w:pPr>
      <w:r>
        <w:rPr>
          <w:rFonts w:hint="eastAsia" w:ascii="黑体" w:hAnsi="黑体" w:eastAsia="黑体" w:cs="黑体"/>
          <w:szCs w:val="22"/>
        </w:rPr>
        <w:t>6.1</w:t>
      </w:r>
      <w:r>
        <w:rPr>
          <w:bCs/>
        </w:rPr>
        <w:t xml:space="preserve"> 电子天平：分度值0.1 mg。</w:t>
      </w:r>
    </w:p>
    <w:p>
      <w:pPr>
        <w:autoSpaceDE w:val="0"/>
        <w:autoSpaceDN w:val="0"/>
        <w:adjustRightInd w:val="0"/>
        <w:snapToGrid w:val="0"/>
        <w:jc w:val="left"/>
        <w:rPr>
          <w:rFonts w:ascii="宋体" w:hAnsi="宋体" w:cs="宋体"/>
          <w:szCs w:val="21"/>
        </w:rPr>
      </w:pPr>
      <w:r>
        <w:rPr>
          <w:rFonts w:hint="eastAsia" w:ascii="黑体" w:hAnsi="黑体" w:eastAsia="黑体" w:cs="黑体"/>
          <w:szCs w:val="22"/>
        </w:rPr>
        <w:t>6.2</w:t>
      </w:r>
      <w:r>
        <w:rPr>
          <w:rFonts w:hint="eastAsia" w:ascii="宋体" w:hAnsi="宋体" w:cs="宋体"/>
          <w:szCs w:val="21"/>
        </w:rPr>
        <w:t xml:space="preserve"> 电感耦合等离子体发射光谱仪。</w:t>
      </w:r>
    </w:p>
    <w:p>
      <w:pPr>
        <w:autoSpaceDE w:val="0"/>
        <w:autoSpaceDN w:val="0"/>
        <w:adjustRightInd w:val="0"/>
        <w:snapToGrid w:val="0"/>
        <w:ind w:firstLine="420" w:firstLineChars="200"/>
        <w:jc w:val="left"/>
        <w:rPr>
          <w:rFonts w:hint="default" w:ascii="宋体" w:hAnsi="宋体" w:eastAsia="宋体" w:cs="宋体"/>
          <w:bCs/>
          <w:highlight w:val="yellow"/>
          <w:lang w:val="en-US" w:eastAsia="zh-CN"/>
        </w:rPr>
      </w:pPr>
      <w:r>
        <w:rPr>
          <w:rFonts w:hint="eastAsia" w:ascii="宋体" w:hAnsi="宋体" w:cs="宋体"/>
          <w:bCs/>
          <w:highlight w:val="none"/>
        </w:rPr>
        <w:t>在仪器正常工作状态下，</w:t>
      </w:r>
      <w:r>
        <w:rPr>
          <w:rFonts w:hint="eastAsia" w:ascii="宋体" w:hAnsi="宋体" w:cs="宋体"/>
          <w:bCs/>
          <w:highlight w:val="none"/>
          <w:lang w:val="en-US" w:eastAsia="zh-CN"/>
        </w:rPr>
        <w:t>满足</w:t>
      </w:r>
      <w:r>
        <w:rPr>
          <w:rFonts w:hint="default" w:ascii="Times New Roman" w:hAnsi="Times New Roman" w:cs="Times New Roman"/>
          <w:bCs/>
          <w:highlight w:val="none"/>
          <w:lang w:val="en-US" w:eastAsia="zh-CN"/>
        </w:rPr>
        <w:t>JJG 768</w:t>
      </w:r>
      <w:r>
        <w:rPr>
          <w:rFonts w:hint="eastAsia" w:ascii="宋体" w:hAnsi="宋体" w:cs="宋体"/>
          <w:bCs/>
          <w:highlight w:val="none"/>
          <w:lang w:val="en-US" w:eastAsia="zh-CN"/>
        </w:rPr>
        <w:t>中要求的技术指标均可使用。</w:t>
      </w:r>
    </w:p>
    <w:p>
      <w:pPr>
        <w:pStyle w:val="74"/>
        <w:numPr>
          <w:ilvl w:val="0"/>
          <w:numId w:val="0"/>
        </w:numPr>
        <w:spacing w:before="312" w:beforeLines="100" w:after="312" w:afterLines="100"/>
        <w:rPr>
          <w:rFonts w:ascii="Times New Roman"/>
          <w:color w:val="000000"/>
        </w:rPr>
      </w:pPr>
      <w:r>
        <w:rPr>
          <w:rFonts w:hint="eastAsia" w:ascii="黑体" w:hAnsi="黑体" w:eastAsia="黑体" w:cs="黑体"/>
          <w:color w:val="000000"/>
        </w:rPr>
        <w:t>7</w:t>
      </w:r>
      <w:r>
        <w:rPr>
          <w:rFonts w:ascii="Times New Roman"/>
          <w:color w:val="000000"/>
        </w:rPr>
        <w:t>　样品</w:t>
      </w:r>
    </w:p>
    <w:p>
      <w:pPr>
        <w:rPr>
          <w:rFonts w:asciiTheme="minorEastAsia" w:hAnsiTheme="minorEastAsia" w:eastAsiaTheme="minorEastAsia"/>
        </w:rPr>
      </w:pPr>
      <w:r>
        <w:rPr>
          <w:rFonts w:ascii="黑体" w:hAnsi="黑体" w:eastAsia="黑体"/>
        </w:rPr>
        <w:t>7.1</w:t>
      </w:r>
      <w:r>
        <w:rPr>
          <w:rFonts w:hint="eastAsia" w:ascii="黑体" w:hAnsi="黑体" w:eastAsia="黑体"/>
        </w:rPr>
        <w:t xml:space="preserve"> </w:t>
      </w:r>
      <w:r>
        <w:rPr>
          <w:rFonts w:hint="eastAsia"/>
        </w:rPr>
        <w:t>离子型稀土矿混合稀土氧化物样品应在105</w:t>
      </w:r>
      <w:r>
        <w:rPr>
          <w:rFonts w:hint="eastAsia"/>
          <w:lang w:val="en-US" w:eastAsia="zh-CN"/>
        </w:rPr>
        <w:t xml:space="preserve"> </w:t>
      </w:r>
      <w:r>
        <w:rPr>
          <w:rFonts w:hint="eastAsia"/>
        </w:rPr>
        <w:t>℃~110</w:t>
      </w:r>
      <w:r>
        <w:rPr>
          <w:rFonts w:hint="eastAsia"/>
          <w:lang w:val="en-US" w:eastAsia="zh-CN"/>
        </w:rPr>
        <w:t xml:space="preserve"> </w:t>
      </w:r>
      <w:r>
        <w:rPr>
          <w:rFonts w:hint="eastAsia"/>
        </w:rPr>
        <w:t>℃烘2</w:t>
      </w:r>
      <w:r>
        <w:rPr>
          <w:rFonts w:hAnsi="宋体"/>
          <w:color w:val="000000"/>
        </w:rPr>
        <w:t> </w:t>
      </w:r>
      <w:r>
        <w:rPr>
          <w:rFonts w:hint="eastAsia"/>
        </w:rPr>
        <w:t>h，置于干燥器中冷却至室温，研磨均匀</w:t>
      </w:r>
      <w:r>
        <w:rPr>
          <w:rFonts w:hint="eastAsia"/>
          <w:lang w:val="en-US" w:eastAsia="zh-CN"/>
        </w:rPr>
        <w:t>并通过0.074 mm筛</w:t>
      </w:r>
      <w:r>
        <w:rPr>
          <w:rFonts w:hint="eastAsia"/>
        </w:rPr>
        <w:t>，立即称量。</w:t>
      </w:r>
    </w:p>
    <w:p>
      <w:pPr>
        <w:pStyle w:val="114"/>
        <w:ind w:firstLine="0" w:firstLineChars="0"/>
      </w:pPr>
      <w:r>
        <w:rPr>
          <w:rFonts w:ascii="黑体" w:hAnsi="黑体" w:eastAsia="黑体"/>
        </w:rPr>
        <w:t>7.2</w:t>
      </w:r>
      <w:r>
        <w:rPr>
          <w:rFonts w:hint="eastAsia" w:asciiTheme="minorEastAsia" w:hAnsiTheme="minorEastAsia" w:eastAsiaTheme="minorEastAsia"/>
        </w:rPr>
        <w:t xml:space="preserve"> </w:t>
      </w:r>
      <w:r>
        <w:rPr>
          <w:rFonts w:hint="eastAsia"/>
        </w:rPr>
        <w:t>离子型稀土矿混合草酸盐、混合稀土碳酸盐样品经950</w:t>
      </w:r>
      <w:r>
        <w:rPr>
          <w:rFonts w:hint="eastAsia"/>
          <w:lang w:val="en-US" w:eastAsia="zh-CN"/>
        </w:rPr>
        <w:t xml:space="preserve"> </w:t>
      </w:r>
      <w:r>
        <w:rPr>
          <w:rFonts w:hint="default" w:ascii="Times New Roman" w:hAnsi="Times New Roman" w:cs="Times New Roman"/>
        </w:rPr>
        <w:t>℃</w:t>
      </w:r>
      <w:r>
        <w:rPr>
          <w:rFonts w:hint="eastAsia"/>
        </w:rPr>
        <w:t>灼烧至恒重后，置于干燥器中冷却至室温，研磨均匀</w:t>
      </w:r>
      <w:r>
        <w:rPr>
          <w:rFonts w:hint="eastAsia"/>
          <w:lang w:val="en-US" w:eastAsia="zh-CN"/>
        </w:rPr>
        <w:t>并通过0.074 mm筛</w:t>
      </w:r>
      <w:r>
        <w:rPr>
          <w:rFonts w:hint="eastAsia"/>
        </w:rPr>
        <w:t>，立即称量。</w:t>
      </w:r>
    </w:p>
    <w:p>
      <w:pPr>
        <w:pStyle w:val="74"/>
        <w:numPr>
          <w:ilvl w:val="0"/>
          <w:numId w:val="0"/>
        </w:numPr>
        <w:spacing w:before="312" w:beforeLines="100" w:after="312" w:afterLines="100"/>
        <w:rPr>
          <w:rFonts w:ascii="Times New Roman"/>
          <w:color w:val="000000"/>
        </w:rPr>
      </w:pPr>
      <w:r>
        <w:rPr>
          <w:rFonts w:hint="eastAsia" w:ascii="黑体" w:hAnsi="黑体" w:eastAsia="黑体" w:cs="黑体"/>
          <w:color w:val="000000"/>
        </w:rPr>
        <w:t>8</w:t>
      </w:r>
      <w:r>
        <w:rPr>
          <w:rFonts w:ascii="Times New Roman"/>
          <w:color w:val="000000"/>
        </w:rPr>
        <w:t>　试验步骤</w:t>
      </w:r>
    </w:p>
    <w:p>
      <w:pPr>
        <w:pStyle w:val="81"/>
        <w:numPr>
          <w:ilvl w:val="0"/>
          <w:numId w:val="0"/>
        </w:numPr>
        <w:spacing w:before="156" w:beforeLines="50" w:after="156" w:afterLines="50"/>
        <w:rPr>
          <w:rFonts w:ascii="Times New Roman"/>
          <w:kern w:val="2"/>
        </w:rPr>
      </w:pPr>
      <w:r>
        <w:rPr>
          <w:rFonts w:hAnsi="黑体"/>
          <w:kern w:val="2"/>
        </w:rPr>
        <w:t>8.1</w:t>
      </w:r>
      <w:r>
        <w:rPr>
          <w:rFonts w:ascii="Times New Roman"/>
          <w:color w:val="FF0000"/>
        </w:rPr>
        <w:t>　</w:t>
      </w:r>
      <w:r>
        <w:rPr>
          <w:rFonts w:ascii="Times New Roman"/>
          <w:kern w:val="2"/>
        </w:rPr>
        <w:t>试料</w:t>
      </w:r>
    </w:p>
    <w:p>
      <w:pPr>
        <w:ind w:firstLine="420" w:firstLineChars="200"/>
        <w:rPr>
          <w:rFonts w:asciiTheme="minorEastAsia" w:hAnsiTheme="minorEastAsia" w:eastAsiaTheme="minorEastAsia"/>
        </w:rPr>
      </w:pPr>
      <w:r>
        <w:rPr>
          <w:rFonts w:hint="eastAsia" w:eastAsiaTheme="minorEastAsia"/>
        </w:rPr>
        <w:t>称取</w:t>
      </w:r>
      <w:r>
        <w:rPr>
          <w:rFonts w:eastAsiaTheme="minorEastAsia"/>
        </w:rPr>
        <w:t>0.25</w:t>
      </w:r>
      <w:r>
        <w:rPr>
          <w:rFonts w:hAnsi="宋体"/>
          <w:color w:val="000000"/>
        </w:rPr>
        <w:t> </w:t>
      </w:r>
      <w:r>
        <w:rPr>
          <w:rFonts w:eastAsiaTheme="minorEastAsia"/>
        </w:rPr>
        <w:t>g</w:t>
      </w:r>
      <w:r>
        <w:rPr>
          <w:rFonts w:hint="eastAsia" w:eastAsiaTheme="minorEastAsia"/>
        </w:rPr>
        <w:t>试样（</w:t>
      </w:r>
      <w:r>
        <w:rPr>
          <w:rFonts w:hint="eastAsia" w:eastAsiaTheme="minorEastAsia"/>
          <w:lang w:val="en-US" w:eastAsia="zh-CN"/>
        </w:rPr>
        <w:t>7.1、7.2</w:t>
      </w:r>
      <w:r>
        <w:rPr>
          <w:rFonts w:hint="eastAsia" w:eastAsiaTheme="minorEastAsia"/>
        </w:rPr>
        <w:t>），精确至</w:t>
      </w:r>
      <w:r>
        <w:rPr>
          <w:rFonts w:eastAsiaTheme="minorEastAsia"/>
        </w:rPr>
        <w:t>0.0001</w:t>
      </w:r>
      <w:r>
        <w:rPr>
          <w:rFonts w:hAnsi="宋体"/>
          <w:color w:val="000000"/>
        </w:rPr>
        <w:t> </w:t>
      </w:r>
      <w:r>
        <w:rPr>
          <w:rFonts w:eastAsiaTheme="minorEastAsia"/>
        </w:rPr>
        <w:t>g</w:t>
      </w:r>
      <w:r>
        <w:rPr>
          <w:rFonts w:hint="eastAsia" w:eastAsiaTheme="minorEastAsia"/>
        </w:rPr>
        <w:t>。</w:t>
      </w:r>
    </w:p>
    <w:p>
      <w:pPr>
        <w:pStyle w:val="81"/>
        <w:numPr>
          <w:ilvl w:val="0"/>
          <w:numId w:val="0"/>
        </w:numPr>
        <w:spacing w:before="156" w:beforeLines="50" w:after="156" w:afterLines="50"/>
        <w:rPr>
          <w:rFonts w:ascii="Times New Roman"/>
          <w:kern w:val="2"/>
        </w:rPr>
      </w:pPr>
      <w:r>
        <w:rPr>
          <w:rFonts w:hAnsi="黑体"/>
          <w:kern w:val="2"/>
        </w:rPr>
        <w:t>8.2</w:t>
      </w:r>
      <w:r>
        <w:rPr>
          <w:rFonts w:ascii="Times New Roman"/>
        </w:rPr>
        <w:t>　</w:t>
      </w:r>
      <w:r>
        <w:rPr>
          <w:rFonts w:ascii="Times New Roman"/>
          <w:kern w:val="2"/>
        </w:rPr>
        <w:t>平行</w:t>
      </w:r>
      <w:r>
        <w:rPr>
          <w:rFonts w:hint="eastAsia" w:ascii="Times New Roman"/>
          <w:kern w:val="2"/>
        </w:rPr>
        <w:t>试验</w:t>
      </w:r>
    </w:p>
    <w:p>
      <w:pPr>
        <w:pStyle w:val="21"/>
        <w:adjustRightInd w:val="0"/>
        <w:snapToGrid w:val="0"/>
        <w:ind w:firstLine="420" w:firstLineChars="200"/>
        <w:rPr>
          <w:rFonts w:ascii="Times New Roman" w:hAnsi="Times New Roman"/>
          <w:szCs w:val="22"/>
        </w:rPr>
      </w:pPr>
      <w:r>
        <w:rPr>
          <w:rFonts w:hint="eastAsia" w:ascii="Times New Roman" w:hAnsi="Times New Roman"/>
          <w:szCs w:val="22"/>
        </w:rPr>
        <w:t>称取两份试样，进行平行测定，取其平均值。</w:t>
      </w:r>
    </w:p>
    <w:p>
      <w:pPr>
        <w:pStyle w:val="81"/>
        <w:numPr>
          <w:ilvl w:val="0"/>
          <w:numId w:val="0"/>
        </w:numPr>
        <w:spacing w:before="156" w:beforeLines="50" w:after="156" w:afterLines="50"/>
        <w:rPr>
          <w:rFonts w:ascii="Times New Roman"/>
          <w:color w:val="000000"/>
          <w:kern w:val="2"/>
        </w:rPr>
      </w:pPr>
      <w:r>
        <w:rPr>
          <w:rFonts w:hAnsi="黑体"/>
          <w:color w:val="000000"/>
          <w:kern w:val="2"/>
        </w:rPr>
        <w:t>8.3</w:t>
      </w:r>
      <w:r>
        <w:rPr>
          <w:rFonts w:ascii="Times New Roman"/>
          <w:color w:val="FF0000"/>
        </w:rPr>
        <w:t>　</w:t>
      </w:r>
      <w:r>
        <w:rPr>
          <w:rFonts w:hint="eastAsia" w:ascii="Times New Roman"/>
          <w:color w:val="000000"/>
          <w:kern w:val="2"/>
        </w:rPr>
        <w:t>空白试验</w:t>
      </w:r>
    </w:p>
    <w:p>
      <w:pPr>
        <w:pStyle w:val="21"/>
        <w:adjustRightInd w:val="0"/>
        <w:snapToGrid w:val="0"/>
        <w:ind w:firstLine="420" w:firstLineChars="200"/>
        <w:rPr>
          <w:rFonts w:ascii="Times New Roman" w:hAnsi="Times New Roman"/>
          <w:szCs w:val="22"/>
        </w:rPr>
      </w:pPr>
      <w:r>
        <w:rPr>
          <w:rFonts w:ascii="Times New Roman" w:hAnsi="Times New Roman"/>
          <w:szCs w:val="22"/>
        </w:rPr>
        <w:t>随同试料做空白试验。</w:t>
      </w:r>
    </w:p>
    <w:p>
      <w:pPr>
        <w:pStyle w:val="81"/>
        <w:numPr>
          <w:ilvl w:val="0"/>
          <w:numId w:val="0"/>
        </w:numPr>
        <w:spacing w:before="156" w:beforeLines="50" w:after="156" w:afterLines="50"/>
        <w:rPr>
          <w:rFonts w:ascii="Times New Roman"/>
          <w:color w:val="000000"/>
          <w:kern w:val="2"/>
        </w:rPr>
      </w:pPr>
      <w:r>
        <w:rPr>
          <w:rFonts w:hAnsi="黑体"/>
          <w:color w:val="000000"/>
          <w:kern w:val="2"/>
        </w:rPr>
        <w:t>8.4</w:t>
      </w:r>
      <w:r>
        <w:rPr>
          <w:rFonts w:ascii="Times New Roman"/>
          <w:color w:val="FF0000"/>
        </w:rPr>
        <w:t>　</w:t>
      </w:r>
      <w:r>
        <w:rPr>
          <w:rFonts w:hint="eastAsia" w:ascii="Times New Roman"/>
          <w:color w:val="000000"/>
          <w:kern w:val="2"/>
        </w:rPr>
        <w:t>分析试液的制备</w:t>
      </w:r>
    </w:p>
    <w:p>
      <w:pPr>
        <w:pStyle w:val="47"/>
        <w:rPr>
          <w:rFonts w:hint="default" w:ascii="Times New Roman" w:hAnsi="Times New Roman" w:cs="Times New Roman"/>
        </w:rPr>
      </w:pPr>
      <w:r>
        <w:rPr>
          <w:rFonts w:hint="default" w:ascii="Times New Roman" w:hAnsi="Times New Roman" w:cs="Times New Roman"/>
        </w:rPr>
        <w:t>将试料（8.1）置于聚四氟乙烯烧杯中，加5</w:t>
      </w:r>
      <w:r>
        <w:rPr>
          <w:rFonts w:hint="default" w:ascii="Times New Roman" w:hAnsi="Times New Roman" w:eastAsia="MS Gothic" w:cs="Times New Roman"/>
          <w:color w:val="000000"/>
        </w:rPr>
        <w:t> </w:t>
      </w:r>
      <w:r>
        <w:rPr>
          <w:rFonts w:hint="default" w:ascii="Times New Roman" w:hAnsi="Times New Roman" w:cs="Times New Roman"/>
        </w:rPr>
        <w:t>mL盐酸（5.5），加入1</w:t>
      </w:r>
      <w:r>
        <w:rPr>
          <w:rFonts w:hint="default" w:ascii="Times New Roman" w:hAnsi="Times New Roman" w:eastAsia="MS Gothic" w:cs="Times New Roman"/>
          <w:color w:val="000000"/>
        </w:rPr>
        <w:t> </w:t>
      </w:r>
      <w:r>
        <w:rPr>
          <w:rFonts w:hint="default" w:ascii="Times New Roman" w:hAnsi="Times New Roman" w:cs="Times New Roman"/>
        </w:rPr>
        <w:t>mL过氧化氢（5.1），低温加热分解3</w:t>
      </w:r>
      <w:r>
        <w:rPr>
          <w:rFonts w:hint="default" w:ascii="Times New Roman" w:hAnsi="Times New Roman" w:eastAsia="MS Gothic" w:cs="Times New Roman"/>
          <w:color w:val="000000"/>
        </w:rPr>
        <w:t> </w:t>
      </w:r>
      <w:r>
        <w:rPr>
          <w:rFonts w:hint="default" w:ascii="Times New Roman" w:hAnsi="Times New Roman" w:cs="Times New Roman"/>
        </w:rPr>
        <w:t>min，加入5</w:t>
      </w:r>
      <w:r>
        <w:rPr>
          <w:rFonts w:hint="default" w:ascii="Times New Roman" w:hAnsi="Times New Roman" w:eastAsia="MS Gothic" w:cs="Times New Roman"/>
          <w:color w:val="000000"/>
        </w:rPr>
        <w:t> </w:t>
      </w:r>
      <w:r>
        <w:rPr>
          <w:rFonts w:hint="default" w:ascii="Times New Roman" w:hAnsi="Times New Roman" w:cs="Times New Roman"/>
        </w:rPr>
        <w:t>mL氢氟酸（5.2）继续分解5</w:t>
      </w:r>
      <w:r>
        <w:rPr>
          <w:rFonts w:hint="default" w:ascii="Times New Roman" w:hAnsi="Times New Roman" w:eastAsia="MS Gothic" w:cs="Times New Roman"/>
          <w:color w:val="000000"/>
        </w:rPr>
        <w:t> </w:t>
      </w:r>
      <w:r>
        <w:rPr>
          <w:rFonts w:hint="default" w:ascii="Times New Roman" w:hAnsi="Times New Roman" w:cs="Times New Roman"/>
        </w:rPr>
        <w:t>min，加入8</w:t>
      </w:r>
      <w:r>
        <w:rPr>
          <w:rFonts w:hint="default" w:ascii="Times New Roman" w:hAnsi="Times New Roman" w:eastAsia="MS Gothic" w:cs="Times New Roman"/>
          <w:color w:val="000000"/>
        </w:rPr>
        <w:t> </w:t>
      </w:r>
      <w:r>
        <w:rPr>
          <w:rFonts w:hint="default" w:ascii="Times New Roman" w:hAnsi="Times New Roman" w:cs="Times New Roman"/>
        </w:rPr>
        <w:t>mL高氯酸（5.3）冒烟并</w:t>
      </w:r>
      <w:r>
        <w:rPr>
          <w:rFonts w:hint="eastAsia" w:ascii="Times New Roman" w:cs="Times New Roman"/>
          <w:lang w:val="en-US" w:eastAsia="zh-CN"/>
        </w:rPr>
        <w:t>蒸至近干</w:t>
      </w:r>
      <w:r>
        <w:rPr>
          <w:rFonts w:hint="default" w:ascii="Times New Roman" w:hAnsi="Times New Roman" w:cs="Times New Roman"/>
        </w:rPr>
        <w:t>，取下稍冷后加入5</w:t>
      </w:r>
      <w:r>
        <w:rPr>
          <w:rFonts w:hint="default" w:ascii="Times New Roman" w:hAnsi="Times New Roman" w:eastAsia="MS Gothic" w:cs="Times New Roman"/>
          <w:color w:val="000000"/>
        </w:rPr>
        <w:t> </w:t>
      </w:r>
      <w:r>
        <w:rPr>
          <w:rFonts w:hint="default" w:ascii="Times New Roman" w:hAnsi="Times New Roman" w:cs="Times New Roman"/>
        </w:rPr>
        <w:t>mL盐酸（5.5），滴加3~5滴过氧化氢（5.1），</w:t>
      </w:r>
      <w:r>
        <w:rPr>
          <w:rFonts w:hint="eastAsia" w:ascii="Times New Roman" w:cs="Times New Roman"/>
          <w:lang w:val="en-US" w:eastAsia="zh-CN"/>
        </w:rPr>
        <w:t>加热溶解至</w:t>
      </w:r>
      <w:r>
        <w:rPr>
          <w:rFonts w:hint="default" w:ascii="Times New Roman" w:hAnsi="Times New Roman" w:cs="Times New Roman"/>
        </w:rPr>
        <w:t>清亮</w:t>
      </w:r>
      <w:r>
        <w:rPr>
          <w:rFonts w:hint="eastAsia" w:ascii="Times New Roman" w:cs="Times New Roman"/>
          <w:lang w:eastAsia="zh-CN"/>
        </w:rPr>
        <w:t>，</w:t>
      </w:r>
      <w:r>
        <w:rPr>
          <w:rFonts w:hint="eastAsia" w:ascii="Times New Roman" w:cs="Times New Roman"/>
          <w:lang w:val="en-US" w:eastAsia="zh-CN"/>
        </w:rPr>
        <w:t>取下冷却至室温，移入</w:t>
      </w:r>
      <w:r>
        <w:rPr>
          <w:rFonts w:hint="default" w:ascii="Times New Roman" w:hAnsi="Times New Roman" w:cs="Times New Roman"/>
        </w:rPr>
        <w:t>250</w:t>
      </w:r>
      <w:r>
        <w:rPr>
          <w:rFonts w:hint="default" w:ascii="Times New Roman" w:hAnsi="Times New Roman" w:eastAsia="MS Gothic" w:cs="Times New Roman"/>
          <w:color w:val="000000"/>
        </w:rPr>
        <w:t> </w:t>
      </w:r>
      <w:r>
        <w:rPr>
          <w:rFonts w:hint="default" w:ascii="Times New Roman" w:hAnsi="Times New Roman" w:cs="Times New Roman"/>
        </w:rPr>
        <w:t>mL容量瓶中，</w:t>
      </w:r>
      <w:r>
        <w:rPr>
          <w:rFonts w:hint="default" w:ascii="Times New Roman" w:hAnsi="Times New Roman" w:cs="Times New Roman" w:eastAsiaTheme="minorEastAsia"/>
          <w:szCs w:val="21"/>
        </w:rPr>
        <w:t>用水稀释至刻度，混匀</w:t>
      </w:r>
      <w:r>
        <w:rPr>
          <w:rFonts w:hint="default" w:ascii="Times New Roman" w:hAnsi="Times New Roman" w:cs="Times New Roman"/>
        </w:rPr>
        <w:t>。</w:t>
      </w:r>
    </w:p>
    <w:p>
      <w:pPr>
        <w:pStyle w:val="47"/>
      </w:pPr>
    </w:p>
    <w:p>
      <w:pPr>
        <w:pStyle w:val="81"/>
        <w:numPr>
          <w:ilvl w:val="0"/>
          <w:numId w:val="0"/>
        </w:numPr>
        <w:spacing w:after="156" w:afterLines="50"/>
        <w:rPr>
          <w:rFonts w:ascii="Times New Roman"/>
          <w:color w:val="000000"/>
          <w:kern w:val="2"/>
        </w:rPr>
      </w:pPr>
      <w:r>
        <w:rPr>
          <w:rFonts w:hAnsi="黑体"/>
          <w:color w:val="000000"/>
          <w:kern w:val="2"/>
        </w:rPr>
        <w:t>8.5</w:t>
      </w:r>
      <w:r>
        <w:rPr>
          <w:rFonts w:ascii="Times New Roman"/>
          <w:color w:val="000000"/>
          <w:kern w:val="2"/>
        </w:rPr>
        <w:t>　</w:t>
      </w:r>
      <w:r>
        <w:rPr>
          <w:rFonts w:hint="eastAsia" w:ascii="Times New Roman"/>
          <w:color w:val="000000"/>
          <w:kern w:val="2"/>
        </w:rPr>
        <w:t>系列</w:t>
      </w:r>
      <w:r>
        <w:rPr>
          <w:rFonts w:hint="eastAsia" w:ascii="Times New Roman"/>
          <w:color w:val="000000"/>
          <w:kern w:val="2"/>
          <w:lang w:val="en-US" w:eastAsia="zh-CN"/>
        </w:rPr>
        <w:t>标准</w:t>
      </w:r>
      <w:r>
        <w:rPr>
          <w:rFonts w:hint="eastAsia" w:ascii="Times New Roman"/>
          <w:color w:val="000000"/>
          <w:kern w:val="2"/>
        </w:rPr>
        <w:t>溶液的配制</w:t>
      </w:r>
    </w:p>
    <w:p>
      <w:pPr>
        <w:pStyle w:val="47"/>
        <w:spacing w:line="360" w:lineRule="auto"/>
        <w:ind w:firstLine="0" w:firstLineChars="0"/>
        <w:rPr>
          <w:rFonts w:asciiTheme="minorEastAsia" w:hAnsiTheme="minorEastAsia" w:eastAsiaTheme="minorEastAsia"/>
        </w:rPr>
      </w:pPr>
      <w:r>
        <w:rPr>
          <w:rFonts w:hint="eastAsia" w:ascii="黑体" w:hAnsi="黑体" w:eastAsia="黑体" w:cs="黑体"/>
        </w:rPr>
        <w:t>8.5.1</w:t>
      </w:r>
      <w:r>
        <w:rPr>
          <w:rFonts w:hint="eastAsia" w:asciiTheme="minorEastAsia" w:hAnsiTheme="minorEastAsia" w:eastAsiaTheme="minorEastAsia"/>
        </w:rPr>
        <w:t xml:space="preserve"> </w:t>
      </w:r>
      <w:r>
        <w:rPr>
          <w:rFonts w:hint="eastAsia" w:ascii="黑体" w:hAnsi="黑体" w:eastAsia="黑体" w:cs="黑体"/>
        </w:rPr>
        <w:t>空白试验用系列标准溶液的配制</w:t>
      </w:r>
    </w:p>
    <w:p>
      <w:pPr>
        <w:pStyle w:val="47"/>
        <w:ind w:firstLine="420"/>
        <w:rPr>
          <w:rFonts w:hint="eastAsia"/>
          <w:szCs w:val="21"/>
          <w:lang w:val="en-US" w:eastAsia="zh-CN"/>
        </w:rPr>
      </w:pPr>
      <w:r>
        <w:rPr>
          <w:rFonts w:hint="default" w:ascii="Times New Roman" w:hAnsi="Times New Roman" w:cs="Times New Roman"/>
        </w:rPr>
        <w:t>按表</w:t>
      </w:r>
      <w:r>
        <w:rPr>
          <w:rFonts w:hint="default" w:ascii="Times New Roman" w:hAnsi="Times New Roman" w:cs="Times New Roman"/>
          <w:lang w:val="en-US" w:eastAsia="zh-CN"/>
        </w:rPr>
        <w:t>2</w:t>
      </w:r>
      <w:r>
        <w:rPr>
          <w:rFonts w:hint="default" w:ascii="Times New Roman" w:hAnsi="Times New Roman" w:cs="Times New Roman"/>
        </w:rPr>
        <w:t>准确移取相应的</w:t>
      </w:r>
      <w:r>
        <w:rPr>
          <w:rFonts w:hint="default" w:ascii="Times New Roman" w:hAnsi="Times New Roman" w:cs="Times New Roman"/>
          <w:szCs w:val="21"/>
        </w:rPr>
        <w:t>三氧化二铁标准溶液（</w:t>
      </w:r>
      <w:r>
        <w:rPr>
          <w:rFonts w:hint="default" w:ascii="Times New Roman" w:hAnsi="Times New Roman" w:cs="Times New Roman"/>
          <w:szCs w:val="21"/>
          <w:lang w:val="en-US" w:eastAsia="zh-CN"/>
        </w:rPr>
        <w:t>5.7</w:t>
      </w:r>
      <w:r>
        <w:rPr>
          <w:rFonts w:hint="default" w:ascii="Times New Roman" w:hAnsi="Times New Roman" w:cs="Times New Roman"/>
          <w:szCs w:val="21"/>
        </w:rPr>
        <w:t>）</w:t>
      </w:r>
      <w:r>
        <w:rPr>
          <w:rFonts w:hint="default" w:ascii="Times New Roman" w:hAnsi="Times New Roman" w:cs="Times New Roman"/>
        </w:rPr>
        <w:t>于4个100mL容量瓶中，</w:t>
      </w:r>
      <w:r>
        <w:rPr>
          <w:rFonts w:hint="default" w:ascii="Times New Roman" w:hAnsi="Times New Roman" w:cs="Times New Roman"/>
          <w:szCs w:val="21"/>
        </w:rPr>
        <w:t>加入</w:t>
      </w:r>
      <w:r>
        <w:rPr>
          <w:rFonts w:hint="default" w:ascii="Times New Roman" w:hAnsi="Times New Roman" w:cs="Times New Roman"/>
          <w:szCs w:val="21"/>
          <w:lang w:val="en-US" w:eastAsia="zh-CN"/>
        </w:rPr>
        <w:t>5</w:t>
      </w:r>
      <w:r>
        <w:rPr>
          <w:rFonts w:hint="eastAsia" w:ascii="Times New Roman" w:cs="Times New Roman"/>
          <w:szCs w:val="21"/>
          <w:lang w:val="en-US" w:eastAsia="zh-CN"/>
        </w:rPr>
        <w:t xml:space="preserve"> </w:t>
      </w:r>
      <w:r>
        <w:rPr>
          <w:rFonts w:hint="default" w:ascii="Times New Roman" w:hAnsi="Times New Roman" w:cs="Times New Roman"/>
          <w:szCs w:val="21"/>
        </w:rPr>
        <w:t>mL盐酸（</w:t>
      </w:r>
      <w:r>
        <w:rPr>
          <w:rFonts w:hint="default" w:ascii="Times New Roman" w:hAnsi="Times New Roman" w:cs="Times New Roman"/>
          <w:szCs w:val="21"/>
          <w:lang w:val="en-US" w:eastAsia="zh-CN"/>
        </w:rPr>
        <w:t>5.5</w:t>
      </w:r>
      <w:r>
        <w:rPr>
          <w:rFonts w:hint="default" w:ascii="Times New Roman" w:hAnsi="Times New Roman" w:cs="Times New Roman"/>
          <w:szCs w:val="21"/>
        </w:rPr>
        <w:t>），用水稀释至刻度，混匀。</w:t>
      </w:r>
      <w:r>
        <w:rPr>
          <w:rFonts w:hint="default" w:ascii="Times New Roman" w:hAnsi="Times New Roman" w:cs="Times New Roman"/>
          <w:kern w:val="2"/>
          <w:szCs w:val="21"/>
        </w:rPr>
        <w:t>此标准系列溶液每1</w:t>
      </w:r>
      <w:r>
        <w:rPr>
          <w:rFonts w:hint="default" w:ascii="Times New Roman" w:hAnsi="Times New Roman" w:cs="Times New Roman"/>
          <w:color w:val="000000"/>
        </w:rPr>
        <w:t> </w:t>
      </w:r>
      <w:r>
        <w:rPr>
          <w:rFonts w:hint="default" w:ascii="Times New Roman" w:hAnsi="Times New Roman" w:cs="Times New Roman"/>
          <w:kern w:val="2"/>
          <w:szCs w:val="21"/>
        </w:rPr>
        <w:t>mL含0</w:t>
      </w:r>
      <w:r>
        <w:rPr>
          <w:rFonts w:hint="default" w:ascii="Times New Roman" w:hAnsi="Times New Roman" w:cs="Times New Roman"/>
          <w:color w:val="000000"/>
        </w:rPr>
        <w:t> </w:t>
      </w:r>
      <w:r>
        <w:rPr>
          <w:rFonts w:hint="default" w:ascii="Times New Roman" w:hAnsi="Times New Roman" w:cs="Times New Roman"/>
          <w:bCs/>
          <w:sz w:val="24"/>
        </w:rPr>
        <w:t>μg</w:t>
      </w:r>
      <w:r>
        <w:rPr>
          <w:rFonts w:hint="default" w:ascii="Times New Roman" w:hAnsi="Times New Roman" w:cs="Times New Roman"/>
          <w:kern w:val="2"/>
          <w:szCs w:val="21"/>
        </w:rPr>
        <w:t>、0.10</w:t>
      </w:r>
      <w:r>
        <w:rPr>
          <w:rFonts w:hint="default" w:ascii="Times New Roman" w:hAnsi="Times New Roman" w:cs="Times New Roman"/>
          <w:color w:val="000000"/>
        </w:rPr>
        <w:t xml:space="preserve"> </w:t>
      </w:r>
      <w:r>
        <w:rPr>
          <w:rFonts w:hint="default" w:ascii="Times New Roman" w:hAnsi="Times New Roman" w:cs="Times New Roman"/>
          <w:bCs/>
          <w:sz w:val="24"/>
        </w:rPr>
        <w:t>μg</w:t>
      </w:r>
      <w:r>
        <w:rPr>
          <w:rFonts w:hint="default" w:ascii="Times New Roman" w:hAnsi="Times New Roman" w:cs="Times New Roman"/>
          <w:kern w:val="2"/>
          <w:szCs w:val="21"/>
        </w:rPr>
        <w:t xml:space="preserve">、0.25 </w:t>
      </w:r>
      <w:r>
        <w:rPr>
          <w:rFonts w:hint="default" w:ascii="Times New Roman" w:hAnsi="Times New Roman" w:cs="Times New Roman"/>
          <w:bCs/>
          <w:sz w:val="24"/>
        </w:rPr>
        <w:t>μg</w:t>
      </w:r>
      <w:r>
        <w:rPr>
          <w:rFonts w:hint="default" w:ascii="Times New Roman" w:hAnsi="Times New Roman" w:cs="Times New Roman"/>
          <w:kern w:val="2"/>
          <w:szCs w:val="21"/>
        </w:rPr>
        <w:t>、0.50</w:t>
      </w:r>
      <w:r>
        <w:rPr>
          <w:rFonts w:hint="default" w:ascii="Times New Roman" w:hAnsi="Times New Roman" w:cs="Times New Roman"/>
          <w:color w:val="000000"/>
        </w:rPr>
        <w:t> </w:t>
      </w:r>
      <w:r>
        <w:rPr>
          <w:rFonts w:hint="default" w:ascii="Times New Roman" w:hAnsi="Times New Roman" w:cs="Times New Roman"/>
          <w:bCs/>
          <w:sz w:val="24"/>
        </w:rPr>
        <w:t>μg</w:t>
      </w:r>
      <w:r>
        <w:rPr>
          <w:rFonts w:hint="default" w:ascii="Times New Roman" w:hAnsi="Times New Roman" w:cs="Times New Roman"/>
          <w:kern w:val="2"/>
          <w:szCs w:val="21"/>
        </w:rPr>
        <w:t>的三氧化二铁。</w:t>
      </w:r>
    </w:p>
    <w:p>
      <w:pPr>
        <w:spacing w:line="400" w:lineRule="exact"/>
        <w:ind w:firstLine="420" w:firstLineChars="200"/>
        <w:jc w:val="center"/>
        <w:rPr>
          <w:rFonts w:hint="eastAsia"/>
          <w:szCs w:val="21"/>
          <w:lang w:val="en-US" w:eastAsia="zh-CN"/>
        </w:rPr>
      </w:pPr>
      <w:r>
        <w:rPr>
          <w:rFonts w:hint="eastAsia" w:ascii="黑体" w:hAnsi="黑体" w:eastAsia="黑体" w:cs="黑体"/>
          <w:szCs w:val="21"/>
          <w:lang w:val="en-US" w:eastAsia="zh-CN"/>
        </w:rPr>
        <w:t>表2  空白试验用系列标准溶液移取体积</w:t>
      </w:r>
    </w:p>
    <w:p>
      <w:pPr>
        <w:spacing w:line="400" w:lineRule="exact"/>
        <w:ind w:firstLine="420" w:firstLineChars="200"/>
        <w:jc w:val="center"/>
        <w:rPr>
          <w:rFonts w:hint="default"/>
          <w:szCs w:val="21"/>
          <w:lang w:val="en-US" w:eastAsia="zh-CN"/>
        </w:rPr>
      </w:pPr>
      <w:r>
        <w:rPr>
          <w:rFonts w:hint="eastAsia"/>
          <w:szCs w:val="21"/>
          <w:lang w:val="en-US" w:eastAsia="zh-CN"/>
        </w:rPr>
        <w:t xml:space="preserve">                                                                            </w:t>
      </w:r>
      <w:r>
        <w:rPr>
          <w:rFonts w:hint="eastAsia"/>
          <w:sz w:val="18"/>
          <w:szCs w:val="18"/>
          <w:lang w:val="en-US" w:eastAsia="zh-CN"/>
        </w:rPr>
        <w:t>单位为毫升</w:t>
      </w:r>
    </w:p>
    <w:tbl>
      <w:tblPr>
        <w:tblStyle w:val="31"/>
        <w:tblW w:w="483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5"/>
        <w:gridCol w:w="6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1347" w:type="pct"/>
            <w:tcBorders>
              <w:top w:val="single" w:color="auto" w:sz="12" w:space="0"/>
              <w:left w:val="single" w:color="auto" w:sz="12" w:space="0"/>
              <w:bottom w:val="single" w:color="auto" w:sz="12" w:space="0"/>
              <w:right w:val="single" w:color="auto" w:sz="4" w:space="0"/>
            </w:tcBorders>
            <w:noWrap w:val="0"/>
            <w:vAlign w:val="center"/>
          </w:tcPr>
          <w:p>
            <w:pPr>
              <w:pStyle w:val="21"/>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标液标号</w:t>
            </w:r>
          </w:p>
        </w:tc>
        <w:tc>
          <w:tcPr>
            <w:tcW w:w="3652" w:type="pct"/>
            <w:tcBorders>
              <w:top w:val="single" w:color="auto" w:sz="12" w:space="0"/>
              <w:left w:val="single" w:color="auto" w:sz="4" w:space="0"/>
              <w:bottom w:val="single" w:color="auto" w:sz="12" w:space="0"/>
              <w:right w:val="single" w:color="auto" w:sz="12" w:space="0"/>
            </w:tcBorders>
            <w:noWrap w:val="0"/>
            <w:vAlign w:val="center"/>
          </w:tcPr>
          <w:p>
            <w:pPr>
              <w:pStyle w:val="21"/>
              <w:adjustRightInd w:val="0"/>
              <w:snapToGrid w:val="0"/>
              <w:ind w:left="210" w:leftChars="100"/>
              <w:jc w:val="center"/>
              <w:rPr>
                <w:rFonts w:hint="eastAsia" w:ascii="宋体" w:hAnsi="宋体" w:eastAsia="宋体" w:cs="宋体"/>
                <w:kern w:val="2"/>
                <w:sz w:val="18"/>
                <w:szCs w:val="18"/>
              </w:rPr>
            </w:pPr>
            <w:r>
              <w:rPr>
                <w:rFonts w:hint="eastAsia" w:ascii="宋体" w:hAnsi="宋体" w:eastAsia="宋体" w:cs="宋体"/>
                <w:kern w:val="2"/>
                <w:sz w:val="18"/>
                <w:szCs w:val="18"/>
              </w:rPr>
              <w:t>三氧化二铁标准溶液（</w:t>
            </w:r>
            <w:r>
              <w:rPr>
                <w:rFonts w:hint="eastAsia" w:ascii="宋体" w:hAnsi="宋体" w:eastAsia="宋体" w:cs="宋体"/>
                <w:kern w:val="2"/>
                <w:sz w:val="18"/>
                <w:szCs w:val="18"/>
                <w:lang w:val="en-US" w:eastAsia="zh-CN"/>
              </w:rPr>
              <w:t>5.7</w:t>
            </w:r>
            <w:r>
              <w:rPr>
                <w:rFonts w:hint="eastAsia" w:ascii="宋体" w:hAnsi="宋体" w:eastAsia="宋体" w:cs="宋体"/>
                <w:kern w:val="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1347" w:type="pct"/>
            <w:tcBorders>
              <w:top w:val="single" w:color="auto" w:sz="12" w:space="0"/>
              <w:left w:val="single" w:color="auto" w:sz="12" w:space="0"/>
              <w:bottom w:val="single" w:color="auto" w:sz="4" w:space="0"/>
              <w:right w:val="single" w:color="auto"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3652" w:type="pct"/>
            <w:tcBorders>
              <w:top w:val="single" w:color="auto" w:sz="12" w:space="0"/>
              <w:left w:val="single" w:color="auto" w:sz="4" w:space="0"/>
              <w:bottom w:val="single" w:color="auto" w:sz="4" w:space="0"/>
              <w:right w:val="single" w:color="auto"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347"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3652"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347"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3652"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347" w:type="pct"/>
            <w:tcBorders>
              <w:top w:val="single" w:color="auto" w:sz="4" w:space="0"/>
              <w:left w:val="single" w:color="auto" w:sz="12" w:space="0"/>
              <w:bottom w:val="single" w:color="auto" w:sz="12" w:space="0"/>
              <w:right w:val="single" w:color="auto"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3652" w:type="pct"/>
            <w:tcBorders>
              <w:top w:val="single" w:color="auto" w:sz="4" w:space="0"/>
              <w:left w:val="single" w:color="auto" w:sz="4" w:space="0"/>
              <w:bottom w:val="single" w:color="auto" w:sz="12" w:space="0"/>
              <w:right w:val="single" w:color="auto"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0.50</w:t>
            </w:r>
          </w:p>
        </w:tc>
      </w:tr>
    </w:tbl>
    <w:p>
      <w:pPr>
        <w:spacing w:line="400" w:lineRule="exact"/>
        <w:rPr>
          <w:rFonts w:hint="default"/>
          <w:szCs w:val="21"/>
          <w:lang w:val="en-US" w:eastAsia="zh-CN"/>
        </w:rPr>
      </w:pPr>
    </w:p>
    <w:p>
      <w:pPr>
        <w:pStyle w:val="47"/>
        <w:spacing w:line="360" w:lineRule="auto"/>
        <w:ind w:firstLine="0" w:firstLineChars="0"/>
        <w:rPr>
          <w:rFonts w:asciiTheme="minorEastAsia" w:hAnsiTheme="minorEastAsia" w:eastAsiaTheme="minorEastAsia"/>
        </w:rPr>
      </w:pPr>
      <w:r>
        <w:rPr>
          <w:rFonts w:hint="eastAsia" w:ascii="黑体" w:hAnsi="黑体" w:eastAsia="黑体" w:cs="黑体"/>
        </w:rPr>
        <w:t>8.5.2</w:t>
      </w:r>
      <w:r>
        <w:rPr>
          <w:rFonts w:hint="eastAsia" w:asciiTheme="minorEastAsia" w:hAnsiTheme="minorEastAsia" w:eastAsiaTheme="minorEastAsia"/>
        </w:rPr>
        <w:t xml:space="preserve"> </w:t>
      </w:r>
      <w:r>
        <w:rPr>
          <w:rFonts w:hint="eastAsia" w:ascii="黑体" w:hAnsi="黑体" w:eastAsia="黑体" w:cs="黑体"/>
        </w:rPr>
        <w:t>分析试验用系列标准溶液的配制</w:t>
      </w:r>
    </w:p>
    <w:p>
      <w:pPr>
        <w:pStyle w:val="47"/>
        <w:ind w:firstLine="420"/>
        <w:rPr>
          <w:rFonts w:hint="default" w:ascii="Times New Roman" w:hAnsi="Times New Roman" w:cs="Times New Roman"/>
          <w:kern w:val="2"/>
          <w:szCs w:val="21"/>
        </w:rPr>
      </w:pPr>
      <w:r>
        <w:rPr>
          <w:rFonts w:hint="default" w:ascii="Times New Roman" w:hAnsi="Times New Roman" w:cs="Times New Roman"/>
        </w:rPr>
        <w:t>按表</w:t>
      </w:r>
      <w:r>
        <w:rPr>
          <w:rFonts w:hint="default" w:ascii="Times New Roman" w:hAnsi="Times New Roman" w:cs="Times New Roman"/>
          <w:lang w:val="en-US" w:eastAsia="zh-CN"/>
        </w:rPr>
        <w:t>3</w:t>
      </w:r>
      <w:r>
        <w:rPr>
          <w:rFonts w:hint="default" w:ascii="Times New Roman" w:hAnsi="Times New Roman" w:cs="Times New Roman"/>
        </w:rPr>
        <w:t>准确移取相应的</w:t>
      </w:r>
      <w:r>
        <w:rPr>
          <w:rFonts w:hint="default" w:ascii="Times New Roman" w:hAnsi="Times New Roman" w:cs="Times New Roman"/>
          <w:szCs w:val="21"/>
        </w:rPr>
        <w:t>混合稀土氧化物标准贮存溶液（</w:t>
      </w:r>
      <w:r>
        <w:rPr>
          <w:rFonts w:hint="default" w:ascii="Times New Roman" w:hAnsi="Times New Roman" w:cs="Times New Roman"/>
          <w:szCs w:val="21"/>
          <w:lang w:val="en-US" w:eastAsia="zh-CN"/>
        </w:rPr>
        <w:t>5.8</w:t>
      </w:r>
      <w:r>
        <w:rPr>
          <w:rFonts w:hint="default" w:ascii="Times New Roman" w:hAnsi="Times New Roman" w:cs="Times New Roman"/>
          <w:szCs w:val="21"/>
        </w:rPr>
        <w:t>）、三氧化二铁标准溶液（</w:t>
      </w:r>
      <w:r>
        <w:rPr>
          <w:rFonts w:hint="default" w:ascii="Times New Roman" w:hAnsi="Times New Roman" w:cs="Times New Roman"/>
          <w:szCs w:val="21"/>
          <w:lang w:val="en-US" w:eastAsia="zh-CN"/>
        </w:rPr>
        <w:t>5.7</w:t>
      </w:r>
      <w:r>
        <w:rPr>
          <w:rFonts w:hint="default" w:ascii="Times New Roman" w:hAnsi="Times New Roman" w:cs="Times New Roman"/>
          <w:szCs w:val="21"/>
        </w:rPr>
        <w:t>）</w:t>
      </w:r>
      <w:r>
        <w:rPr>
          <w:rFonts w:hint="default" w:ascii="Times New Roman" w:hAnsi="Times New Roman" w:cs="Times New Roman"/>
        </w:rPr>
        <w:t>和</w:t>
      </w:r>
      <w:r>
        <w:rPr>
          <w:rFonts w:hint="default" w:ascii="Times New Roman" w:hAnsi="Times New Roman" w:cs="Times New Roman"/>
          <w:szCs w:val="21"/>
        </w:rPr>
        <w:t>三氧化二铁标准贮存溶液（</w:t>
      </w:r>
      <w:r>
        <w:rPr>
          <w:rFonts w:hint="default" w:ascii="Times New Roman" w:hAnsi="Times New Roman" w:cs="Times New Roman"/>
          <w:szCs w:val="21"/>
          <w:lang w:val="en-US" w:eastAsia="zh-CN"/>
        </w:rPr>
        <w:t>5.6</w:t>
      </w:r>
      <w:r>
        <w:rPr>
          <w:rFonts w:hint="default" w:ascii="Times New Roman" w:hAnsi="Times New Roman" w:cs="Times New Roman"/>
          <w:szCs w:val="21"/>
        </w:rPr>
        <w:t>）</w:t>
      </w:r>
      <w:r>
        <w:rPr>
          <w:rFonts w:hint="default" w:ascii="Times New Roman" w:hAnsi="Times New Roman" w:cs="Times New Roman"/>
        </w:rPr>
        <w:t>于7个100</w:t>
      </w:r>
      <w:r>
        <w:rPr>
          <w:rFonts w:hint="eastAsia" w:ascii="Times New Roman" w:cs="Times New Roman"/>
          <w:lang w:val="en-US" w:eastAsia="zh-CN"/>
        </w:rPr>
        <w:t xml:space="preserve"> </w:t>
      </w:r>
      <w:r>
        <w:rPr>
          <w:rFonts w:hint="default" w:ascii="Times New Roman" w:hAnsi="Times New Roman" w:cs="Times New Roman"/>
        </w:rPr>
        <w:t>mL容量瓶中，</w:t>
      </w:r>
      <w:r>
        <w:rPr>
          <w:rFonts w:hint="default" w:ascii="Times New Roman" w:hAnsi="Times New Roman" w:cs="Times New Roman"/>
          <w:szCs w:val="21"/>
        </w:rPr>
        <w:t>加入</w:t>
      </w:r>
      <w:r>
        <w:rPr>
          <w:rFonts w:hint="default" w:ascii="Times New Roman" w:hAnsi="Times New Roman" w:cs="Times New Roman"/>
          <w:szCs w:val="21"/>
          <w:lang w:val="en-US" w:eastAsia="zh-CN"/>
        </w:rPr>
        <w:t>5</w:t>
      </w:r>
      <w:r>
        <w:rPr>
          <w:rFonts w:hint="eastAsia" w:ascii="Times New Roman" w:cs="Times New Roman"/>
          <w:szCs w:val="21"/>
          <w:lang w:val="en-US" w:eastAsia="zh-CN"/>
        </w:rPr>
        <w:t xml:space="preserve"> </w:t>
      </w:r>
      <w:r>
        <w:rPr>
          <w:rFonts w:hint="default" w:ascii="Times New Roman" w:hAnsi="Times New Roman" w:cs="Times New Roman"/>
          <w:szCs w:val="21"/>
        </w:rPr>
        <w:t>mL盐酸（</w:t>
      </w:r>
      <w:r>
        <w:rPr>
          <w:rFonts w:hint="default" w:ascii="Times New Roman" w:hAnsi="Times New Roman" w:cs="Times New Roman"/>
          <w:szCs w:val="21"/>
          <w:lang w:val="en-US" w:eastAsia="zh-CN"/>
        </w:rPr>
        <w:t>5.5</w:t>
      </w:r>
      <w:r>
        <w:rPr>
          <w:rFonts w:hint="default" w:ascii="Times New Roman" w:hAnsi="Times New Roman" w:cs="Times New Roman"/>
          <w:szCs w:val="21"/>
        </w:rPr>
        <w:t>），用水稀释至刻度，混匀。</w:t>
      </w:r>
      <w:r>
        <w:rPr>
          <w:rFonts w:hint="default" w:ascii="Times New Roman" w:hAnsi="Times New Roman" w:cs="Times New Roman"/>
          <w:kern w:val="2"/>
          <w:szCs w:val="21"/>
        </w:rPr>
        <w:t>此标准系列溶液每1.00</w:t>
      </w:r>
      <w:r>
        <w:rPr>
          <w:rFonts w:hint="default" w:ascii="Times New Roman" w:hAnsi="Times New Roman" w:cs="Times New Roman"/>
          <w:color w:val="000000"/>
        </w:rPr>
        <w:t> </w:t>
      </w:r>
      <w:r>
        <w:rPr>
          <w:rFonts w:hint="default" w:ascii="Times New Roman" w:hAnsi="Times New Roman" w:cs="Times New Roman"/>
          <w:kern w:val="2"/>
          <w:szCs w:val="21"/>
        </w:rPr>
        <w:t>mL含0</w:t>
      </w:r>
      <w:r>
        <w:rPr>
          <w:rFonts w:hint="default" w:ascii="Times New Roman" w:hAnsi="Times New Roman" w:cs="Times New Roman"/>
          <w:color w:val="000000"/>
        </w:rPr>
        <w:t> </w:t>
      </w:r>
      <w:r>
        <w:rPr>
          <w:rFonts w:hint="default" w:ascii="Times New Roman" w:hAnsi="Times New Roman" w:cs="Times New Roman"/>
          <w:bCs/>
          <w:sz w:val="24"/>
        </w:rPr>
        <w:t>μg</w:t>
      </w:r>
      <w:r>
        <w:rPr>
          <w:rFonts w:hint="default" w:ascii="Times New Roman" w:hAnsi="Times New Roman" w:cs="Times New Roman"/>
          <w:kern w:val="2"/>
          <w:szCs w:val="21"/>
        </w:rPr>
        <w:t>、</w:t>
      </w:r>
      <w:r>
        <w:rPr>
          <w:rFonts w:hint="default" w:ascii="Times New Roman" w:hAnsi="Times New Roman" w:cs="Times New Roman"/>
          <w:kern w:val="2"/>
          <w:szCs w:val="21"/>
          <w:lang w:val="en-US" w:eastAsia="zh-CN"/>
        </w:rPr>
        <w:t>0.10</w:t>
      </w:r>
      <w:r>
        <w:rPr>
          <w:rFonts w:hint="eastAsia" w:ascii="Times New Roman" w:cs="Times New Roman"/>
          <w:kern w:val="2"/>
          <w:szCs w:val="21"/>
          <w:lang w:val="en-US" w:eastAsia="zh-CN"/>
        </w:rPr>
        <w:t xml:space="preserve"> </w:t>
      </w:r>
      <w:r>
        <w:rPr>
          <w:rFonts w:hint="default" w:ascii="Times New Roman" w:hAnsi="Times New Roman" w:cs="Times New Roman"/>
          <w:bCs/>
          <w:sz w:val="24"/>
        </w:rPr>
        <w:t>μg</w:t>
      </w:r>
      <w:r>
        <w:rPr>
          <w:rFonts w:hint="default" w:ascii="Times New Roman" w:hAnsi="Times New Roman" w:cs="Times New Roman"/>
          <w:kern w:val="2"/>
          <w:szCs w:val="21"/>
        </w:rPr>
        <w:t>、0.50</w:t>
      </w:r>
      <w:r>
        <w:rPr>
          <w:rFonts w:hint="default" w:ascii="Times New Roman" w:hAnsi="Times New Roman" w:cs="Times New Roman"/>
          <w:color w:val="000000"/>
        </w:rPr>
        <w:t> </w:t>
      </w:r>
      <w:r>
        <w:rPr>
          <w:rFonts w:hint="default" w:ascii="Times New Roman" w:hAnsi="Times New Roman" w:cs="Times New Roman"/>
          <w:bCs/>
          <w:sz w:val="24"/>
        </w:rPr>
        <w:t>μg</w:t>
      </w:r>
      <w:r>
        <w:rPr>
          <w:rFonts w:hint="default" w:ascii="Times New Roman" w:hAnsi="Times New Roman" w:cs="Times New Roman"/>
          <w:kern w:val="2"/>
          <w:szCs w:val="21"/>
        </w:rPr>
        <w:t>、2.00</w:t>
      </w:r>
      <w:r>
        <w:rPr>
          <w:rFonts w:hint="default" w:ascii="Times New Roman" w:hAnsi="Times New Roman" w:cs="Times New Roman"/>
          <w:color w:val="000000"/>
        </w:rPr>
        <w:t> </w:t>
      </w:r>
      <w:r>
        <w:rPr>
          <w:rFonts w:hint="default" w:ascii="Times New Roman" w:hAnsi="Times New Roman" w:cs="Times New Roman"/>
          <w:bCs/>
          <w:sz w:val="24"/>
        </w:rPr>
        <w:t>μg</w:t>
      </w:r>
      <w:r>
        <w:rPr>
          <w:rFonts w:hint="default" w:ascii="Times New Roman" w:hAnsi="Times New Roman" w:cs="Times New Roman"/>
          <w:kern w:val="2"/>
          <w:szCs w:val="21"/>
        </w:rPr>
        <w:t>、5.00</w:t>
      </w:r>
      <w:r>
        <w:rPr>
          <w:rFonts w:hint="default" w:ascii="Times New Roman" w:hAnsi="Times New Roman" w:cs="Times New Roman"/>
          <w:color w:val="000000"/>
        </w:rPr>
        <w:t> </w:t>
      </w:r>
      <w:r>
        <w:rPr>
          <w:rFonts w:hint="default" w:ascii="Times New Roman" w:hAnsi="Times New Roman" w:cs="Times New Roman"/>
          <w:bCs/>
          <w:sz w:val="24"/>
        </w:rPr>
        <w:t>μg</w:t>
      </w:r>
      <w:r>
        <w:rPr>
          <w:rFonts w:hint="default" w:ascii="Times New Roman" w:hAnsi="Times New Roman" w:cs="Times New Roman"/>
          <w:kern w:val="2"/>
          <w:szCs w:val="21"/>
        </w:rPr>
        <w:t>、10.00</w:t>
      </w:r>
      <w:r>
        <w:rPr>
          <w:rFonts w:hint="default" w:ascii="Times New Roman" w:hAnsi="Times New Roman" w:cs="Times New Roman"/>
          <w:color w:val="000000"/>
        </w:rPr>
        <w:t> </w:t>
      </w:r>
      <w:r>
        <w:rPr>
          <w:rFonts w:hint="default" w:ascii="Times New Roman" w:hAnsi="Times New Roman" w:cs="Times New Roman"/>
          <w:bCs/>
          <w:sz w:val="24"/>
        </w:rPr>
        <w:t>μg</w:t>
      </w:r>
      <w:r>
        <w:rPr>
          <w:rFonts w:hint="default" w:ascii="Times New Roman" w:hAnsi="Times New Roman" w:cs="Times New Roman"/>
          <w:kern w:val="2"/>
          <w:szCs w:val="21"/>
        </w:rPr>
        <w:t>、20.00</w:t>
      </w:r>
      <w:r>
        <w:rPr>
          <w:rFonts w:hint="default" w:ascii="Times New Roman" w:hAnsi="Times New Roman" w:cs="Times New Roman"/>
          <w:color w:val="000000"/>
        </w:rPr>
        <w:t> </w:t>
      </w:r>
      <w:r>
        <w:rPr>
          <w:rFonts w:hint="default" w:ascii="Times New Roman" w:hAnsi="Times New Roman" w:cs="Times New Roman"/>
          <w:bCs/>
          <w:sz w:val="24"/>
        </w:rPr>
        <w:t>μg</w:t>
      </w:r>
      <w:r>
        <w:rPr>
          <w:rFonts w:hint="default" w:ascii="Times New Roman" w:hAnsi="Times New Roman" w:cs="Times New Roman"/>
          <w:kern w:val="2"/>
          <w:szCs w:val="21"/>
        </w:rPr>
        <w:t>的三氧化二铁。</w:t>
      </w:r>
    </w:p>
    <w:p>
      <w:pPr>
        <w:spacing w:line="400" w:lineRule="exact"/>
        <w:ind w:firstLine="420" w:firstLineChars="200"/>
        <w:jc w:val="center"/>
        <w:rPr>
          <w:rFonts w:hint="eastAsia" w:ascii="黑体" w:hAnsi="黑体" w:eastAsia="黑体" w:cs="黑体"/>
          <w:szCs w:val="21"/>
          <w:lang w:val="en-US" w:eastAsia="zh-CN"/>
        </w:rPr>
      </w:pPr>
      <w:r>
        <w:rPr>
          <w:rFonts w:hint="eastAsia" w:ascii="黑体" w:hAnsi="黑体" w:eastAsia="黑体" w:cs="黑体"/>
          <w:kern w:val="2"/>
          <w:szCs w:val="21"/>
          <w:lang w:val="en-US" w:eastAsia="zh-CN"/>
        </w:rPr>
        <w:t>表3 分析</w:t>
      </w:r>
      <w:r>
        <w:rPr>
          <w:rFonts w:hint="eastAsia" w:ascii="黑体" w:hAnsi="黑体" w:eastAsia="黑体" w:cs="黑体"/>
          <w:szCs w:val="21"/>
          <w:lang w:val="en-US" w:eastAsia="zh-CN"/>
        </w:rPr>
        <w:t>试验用系列标准溶液移取体积</w:t>
      </w:r>
    </w:p>
    <w:p>
      <w:pPr>
        <w:pStyle w:val="47"/>
        <w:ind w:firstLine="420"/>
        <w:jc w:val="center"/>
        <w:rPr>
          <w:rFonts w:hint="default" w:ascii="Times New Roman" w:hAnsi="宋体" w:eastAsia="宋体"/>
          <w:kern w:val="2"/>
          <w:szCs w:val="21"/>
          <w:lang w:val="en-US" w:eastAsia="zh-CN"/>
        </w:rPr>
      </w:pPr>
      <w:r>
        <w:rPr>
          <w:rFonts w:hint="eastAsia" w:ascii="Times New Roman" w:hAnsi="宋体"/>
          <w:kern w:val="2"/>
          <w:szCs w:val="21"/>
          <w:lang w:val="en-US" w:eastAsia="zh-CN"/>
        </w:rPr>
        <w:t xml:space="preserve">                                                                            </w:t>
      </w:r>
      <w:r>
        <w:rPr>
          <w:rFonts w:hint="eastAsia" w:ascii="Times New Roman" w:hAnsi="宋体"/>
          <w:kern w:val="2"/>
          <w:sz w:val="18"/>
          <w:szCs w:val="18"/>
          <w:lang w:val="en-US" w:eastAsia="zh-CN"/>
        </w:rPr>
        <w:t>单位为毫升</w:t>
      </w:r>
    </w:p>
    <w:tbl>
      <w:tblPr>
        <w:tblStyle w:val="31"/>
        <w:tblW w:w="48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8"/>
        <w:gridCol w:w="2805"/>
        <w:gridCol w:w="2835"/>
        <w:gridCol w:w="2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602" w:type="pct"/>
            <w:tcBorders>
              <w:top w:val="single" w:color="000000" w:sz="12" w:space="0"/>
              <w:left w:val="single" w:color="000000" w:sz="12" w:space="0"/>
              <w:bottom w:val="single" w:color="000000" w:sz="12" w:space="0"/>
              <w:right w:val="single" w:color="000000" w:sz="4" w:space="0"/>
            </w:tcBorders>
            <w:noWrap w:val="0"/>
            <w:vAlign w:val="center"/>
          </w:tcPr>
          <w:p>
            <w:pPr>
              <w:pStyle w:val="21"/>
              <w:adjustRightInd w:val="0"/>
              <w:snapToGrid w:val="0"/>
              <w:jc w:val="both"/>
              <w:rPr>
                <w:rFonts w:hint="default" w:ascii="宋体" w:hAnsi="宋体" w:eastAsia="宋体" w:cs="宋体"/>
                <w:sz w:val="18"/>
                <w:szCs w:val="18"/>
                <w:lang w:val="en-US" w:eastAsia="zh-CN"/>
              </w:rPr>
            </w:pPr>
            <w:r>
              <w:rPr>
                <w:rFonts w:hint="eastAsia" w:hAnsi="宋体" w:cs="宋体"/>
                <w:sz w:val="18"/>
                <w:szCs w:val="18"/>
                <w:lang w:val="en-US" w:eastAsia="zh-CN"/>
              </w:rPr>
              <w:t>标液编号</w:t>
            </w:r>
          </w:p>
        </w:tc>
        <w:tc>
          <w:tcPr>
            <w:tcW w:w="1510" w:type="pct"/>
            <w:tcBorders>
              <w:top w:val="single" w:color="000000" w:sz="12" w:space="0"/>
              <w:left w:val="single" w:color="000000" w:sz="4" w:space="0"/>
              <w:bottom w:val="single" w:color="000000" w:sz="12" w:space="0"/>
              <w:right w:val="single" w:color="000000" w:sz="4" w:space="0"/>
            </w:tcBorders>
            <w:noWrap w:val="0"/>
            <w:vAlign w:val="center"/>
          </w:tcPr>
          <w:p>
            <w:pPr>
              <w:pStyle w:val="21"/>
              <w:adjustRightInd w:val="0"/>
              <w:snapToGrid w:val="0"/>
              <w:ind w:left="210" w:leftChars="100"/>
              <w:jc w:val="center"/>
              <w:rPr>
                <w:rFonts w:hint="eastAsia" w:ascii="宋体" w:hAnsi="宋体" w:eastAsia="宋体" w:cs="宋体"/>
                <w:kern w:val="2"/>
                <w:sz w:val="18"/>
                <w:szCs w:val="18"/>
                <w:lang w:val="en-US" w:eastAsia="zh-CN"/>
              </w:rPr>
            </w:pPr>
            <w:r>
              <w:rPr>
                <w:rFonts w:hint="eastAsia" w:ascii="宋体" w:hAnsi="宋体" w:eastAsia="宋体" w:cs="宋体"/>
                <w:sz w:val="18"/>
                <w:szCs w:val="18"/>
              </w:rPr>
              <w:t>混合稀土氧化物标准贮存溶液（</w:t>
            </w:r>
            <w:r>
              <w:rPr>
                <w:rFonts w:hint="eastAsia" w:ascii="宋体" w:hAnsi="宋体" w:eastAsia="宋体" w:cs="宋体"/>
                <w:sz w:val="18"/>
                <w:szCs w:val="18"/>
                <w:lang w:val="en-US" w:eastAsia="zh-CN"/>
              </w:rPr>
              <w:t>5.8</w:t>
            </w:r>
            <w:r>
              <w:rPr>
                <w:rFonts w:hint="eastAsia" w:ascii="宋体" w:hAnsi="宋体" w:eastAsia="宋体" w:cs="宋体"/>
                <w:sz w:val="18"/>
                <w:szCs w:val="18"/>
              </w:rPr>
              <w:t>）</w:t>
            </w:r>
          </w:p>
        </w:tc>
        <w:tc>
          <w:tcPr>
            <w:tcW w:w="1526" w:type="pct"/>
            <w:tcBorders>
              <w:top w:val="single" w:color="000000" w:sz="12" w:space="0"/>
              <w:left w:val="single" w:color="000000" w:sz="4" w:space="0"/>
              <w:bottom w:val="single" w:color="000000" w:sz="12" w:space="0"/>
              <w:right w:val="single" w:color="000000" w:sz="4" w:space="0"/>
            </w:tcBorders>
            <w:noWrap w:val="0"/>
            <w:vAlign w:val="center"/>
          </w:tcPr>
          <w:p>
            <w:pPr>
              <w:pStyle w:val="21"/>
              <w:adjustRightInd w:val="0"/>
              <w:snapToGrid w:val="0"/>
              <w:ind w:left="210" w:leftChars="100"/>
              <w:jc w:val="center"/>
              <w:rPr>
                <w:rFonts w:hint="eastAsia" w:ascii="宋体" w:hAnsi="宋体" w:eastAsia="宋体" w:cs="宋体"/>
                <w:kern w:val="2"/>
                <w:sz w:val="18"/>
                <w:szCs w:val="18"/>
              </w:rPr>
            </w:pPr>
            <w:r>
              <w:rPr>
                <w:rFonts w:hint="eastAsia" w:ascii="宋体" w:hAnsi="宋体" w:eastAsia="宋体" w:cs="宋体"/>
                <w:kern w:val="2"/>
                <w:sz w:val="18"/>
                <w:szCs w:val="18"/>
              </w:rPr>
              <w:t>三氧化二铁标准溶液</w:t>
            </w:r>
          </w:p>
          <w:p>
            <w:pPr>
              <w:pStyle w:val="21"/>
              <w:adjustRightInd w:val="0"/>
              <w:snapToGrid w:val="0"/>
              <w:ind w:left="210" w:leftChars="10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w:t>
            </w:r>
            <w:r>
              <w:rPr>
                <w:rFonts w:hint="eastAsia" w:ascii="宋体" w:hAnsi="宋体" w:eastAsia="宋体" w:cs="宋体"/>
                <w:kern w:val="2"/>
                <w:sz w:val="18"/>
                <w:szCs w:val="18"/>
                <w:lang w:val="en-US" w:eastAsia="zh-CN"/>
              </w:rPr>
              <w:t>5.7</w:t>
            </w:r>
            <w:r>
              <w:rPr>
                <w:rFonts w:hint="eastAsia" w:ascii="宋体" w:hAnsi="宋体" w:eastAsia="宋体" w:cs="宋体"/>
                <w:kern w:val="2"/>
                <w:sz w:val="18"/>
                <w:szCs w:val="18"/>
              </w:rPr>
              <w:t>）</w:t>
            </w:r>
          </w:p>
        </w:tc>
        <w:tc>
          <w:tcPr>
            <w:tcW w:w="1360" w:type="pct"/>
            <w:tcBorders>
              <w:top w:val="single" w:color="000000" w:sz="12" w:space="0"/>
              <w:left w:val="single" w:color="000000" w:sz="4" w:space="0"/>
              <w:bottom w:val="single" w:color="000000" w:sz="12" w:space="0"/>
              <w:right w:val="single" w:color="000000" w:sz="12" w:space="0"/>
            </w:tcBorders>
            <w:noWrap w:val="0"/>
            <w:vAlign w:val="center"/>
          </w:tcPr>
          <w:p>
            <w:pPr>
              <w:pStyle w:val="21"/>
              <w:adjustRightInd w:val="0"/>
              <w:snapToGrid w:val="0"/>
              <w:ind w:left="210" w:leftChars="10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三氧化二铁标准贮存溶液（</w:t>
            </w:r>
            <w:r>
              <w:rPr>
                <w:rFonts w:hint="eastAsia" w:ascii="宋体" w:hAnsi="宋体" w:eastAsia="宋体" w:cs="宋体"/>
                <w:kern w:val="2"/>
                <w:sz w:val="18"/>
                <w:szCs w:val="18"/>
                <w:lang w:val="en-US" w:eastAsia="zh-CN"/>
              </w:rPr>
              <w:t>5.6</w:t>
            </w:r>
            <w:r>
              <w:rPr>
                <w:rFonts w:hint="eastAsia" w:ascii="宋体" w:hAnsi="宋体" w:eastAsia="宋体" w:cs="宋体"/>
                <w:kern w:val="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602" w:type="pct"/>
            <w:tcBorders>
              <w:top w:val="single" w:color="000000" w:sz="12" w:space="0"/>
              <w:left w:val="single" w:color="000000" w:sz="12"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1510" w:type="pct"/>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w:t>
            </w:r>
          </w:p>
        </w:tc>
        <w:tc>
          <w:tcPr>
            <w:tcW w:w="1526" w:type="pct"/>
            <w:tcBorders>
              <w:top w:val="single" w:color="000000" w:sz="12" w:space="0"/>
              <w:left w:val="single" w:color="000000" w:sz="4"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1360" w:type="pct"/>
            <w:tcBorders>
              <w:top w:val="single" w:color="000000" w:sz="12" w:space="0"/>
              <w:left w:val="single" w:color="000000" w:sz="4" w:space="0"/>
              <w:bottom w:val="single" w:color="000000" w:sz="4" w:space="0"/>
              <w:right w:val="single" w:color="000000"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602" w:type="pct"/>
            <w:tcBorders>
              <w:top w:val="single" w:color="000000" w:sz="4" w:space="0"/>
              <w:left w:val="single" w:color="000000" w:sz="12"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15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.00</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0.10</w:t>
            </w:r>
          </w:p>
        </w:tc>
        <w:tc>
          <w:tcPr>
            <w:tcW w:w="1360" w:type="pct"/>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602" w:type="pct"/>
            <w:tcBorders>
              <w:top w:val="single" w:color="000000" w:sz="4" w:space="0"/>
              <w:left w:val="single" w:color="000000" w:sz="12"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5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.00</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0.50</w:t>
            </w:r>
          </w:p>
        </w:tc>
        <w:tc>
          <w:tcPr>
            <w:tcW w:w="1360" w:type="pct"/>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602" w:type="pct"/>
            <w:tcBorders>
              <w:top w:val="single" w:color="000000" w:sz="4" w:space="0"/>
              <w:left w:val="single" w:color="000000" w:sz="12"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15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.00</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2.00</w:t>
            </w:r>
          </w:p>
        </w:tc>
        <w:tc>
          <w:tcPr>
            <w:tcW w:w="1360" w:type="pct"/>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602" w:type="pct"/>
            <w:tcBorders>
              <w:top w:val="single" w:color="000000" w:sz="4" w:space="0"/>
              <w:left w:val="single" w:color="000000" w:sz="12"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15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.00</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5.00</w:t>
            </w:r>
          </w:p>
        </w:tc>
        <w:tc>
          <w:tcPr>
            <w:tcW w:w="1360" w:type="pct"/>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602" w:type="pct"/>
            <w:tcBorders>
              <w:top w:val="single" w:color="000000" w:sz="4" w:space="0"/>
              <w:left w:val="single" w:color="000000" w:sz="12"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15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.00</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1360" w:type="pct"/>
            <w:tcBorders>
              <w:top w:val="single" w:color="000000" w:sz="4" w:space="0"/>
              <w:left w:val="single" w:color="000000" w:sz="4" w:space="0"/>
              <w:bottom w:val="single" w:color="000000" w:sz="4" w:space="0"/>
              <w:right w:val="single" w:color="000000"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02" w:type="pct"/>
            <w:tcBorders>
              <w:top w:val="single" w:color="000000" w:sz="4" w:space="0"/>
              <w:left w:val="single" w:color="000000" w:sz="12" w:space="0"/>
              <w:bottom w:val="single" w:color="000000" w:sz="12"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1510"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.00</w:t>
            </w:r>
          </w:p>
        </w:tc>
        <w:tc>
          <w:tcPr>
            <w:tcW w:w="1526" w:type="pct"/>
            <w:tcBorders>
              <w:top w:val="single" w:color="000000" w:sz="4" w:space="0"/>
              <w:left w:val="single" w:color="000000" w:sz="4" w:space="0"/>
              <w:bottom w:val="single" w:color="000000" w:sz="12" w:space="0"/>
              <w:right w:val="single" w:color="000000" w:sz="4"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1360" w:type="pct"/>
            <w:tcBorders>
              <w:top w:val="single" w:color="000000" w:sz="4" w:space="0"/>
              <w:left w:val="single" w:color="000000" w:sz="4" w:space="0"/>
              <w:bottom w:val="single" w:color="000000" w:sz="12" w:space="0"/>
              <w:right w:val="single" w:color="000000" w:sz="12" w:space="0"/>
            </w:tcBorders>
            <w:noWrap w:val="0"/>
            <w:vAlign w:val="center"/>
          </w:tcPr>
          <w:p>
            <w:pPr>
              <w:adjustRightInd w:val="0"/>
              <w:snapToGrid w:val="0"/>
              <w:spacing w:line="320" w:lineRule="exact"/>
              <w:ind w:left="370" w:leftChars="95" w:right="102" w:hanging="171" w:hangingChars="95"/>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2.00</w:t>
            </w:r>
          </w:p>
        </w:tc>
      </w:tr>
    </w:tbl>
    <w:p>
      <w:pPr>
        <w:pStyle w:val="47"/>
        <w:ind w:left="0" w:leftChars="0" w:firstLine="0" w:firstLineChars="0"/>
        <w:rPr>
          <w:rFonts w:ascii="Times New Roman" w:hAnsi="宋体"/>
          <w:kern w:val="2"/>
          <w:szCs w:val="21"/>
        </w:rPr>
      </w:pPr>
    </w:p>
    <w:p>
      <w:pPr>
        <w:pStyle w:val="81"/>
        <w:numPr>
          <w:ilvl w:val="0"/>
          <w:numId w:val="0"/>
        </w:numPr>
        <w:spacing w:after="156" w:afterLines="50"/>
        <w:rPr>
          <w:rFonts w:ascii="Times New Roman"/>
          <w:color w:val="000000"/>
          <w:kern w:val="2"/>
        </w:rPr>
      </w:pPr>
      <w:r>
        <w:rPr>
          <w:rFonts w:hAnsi="黑体"/>
          <w:color w:val="000000"/>
          <w:kern w:val="2"/>
        </w:rPr>
        <w:t>8.6</w:t>
      </w:r>
      <w:r>
        <w:rPr>
          <w:rFonts w:hint="eastAsia" w:hAnsi="黑体"/>
          <w:color w:val="000000"/>
          <w:kern w:val="2"/>
        </w:rPr>
        <w:t xml:space="preserve"> </w:t>
      </w:r>
      <w:r>
        <w:rPr>
          <w:rFonts w:hint="eastAsia" w:ascii="Times New Roman"/>
          <w:color w:val="000000"/>
          <w:kern w:val="2"/>
        </w:rPr>
        <w:t xml:space="preserve"> </w:t>
      </w:r>
      <w:r>
        <w:rPr>
          <w:rFonts w:hint="eastAsia" w:ascii="Times New Roman"/>
          <w:color w:val="000000"/>
          <w:kern w:val="2"/>
          <w:lang w:val="en-US" w:eastAsia="zh-CN"/>
        </w:rPr>
        <w:t>标准</w:t>
      </w:r>
      <w:r>
        <w:rPr>
          <w:rFonts w:hint="eastAsia" w:ascii="Times New Roman"/>
          <w:color w:val="000000"/>
          <w:kern w:val="2"/>
        </w:rPr>
        <w:t>曲线的绘制与测定</w:t>
      </w:r>
    </w:p>
    <w:p>
      <w:pPr>
        <w:pStyle w:val="47"/>
        <w:ind w:firstLine="0" w:firstLineChars="0"/>
      </w:pPr>
      <w:r>
        <w:rPr>
          <w:rFonts w:hint="eastAsia" w:ascii="黑体" w:hAnsi="黑体" w:eastAsia="黑体" w:cs="黑体"/>
        </w:rPr>
        <w:t>8.6.1</w:t>
      </w:r>
      <w:r>
        <w:rPr>
          <w:rFonts w:hint="eastAsia"/>
        </w:rPr>
        <w:t xml:space="preserve"> </w:t>
      </w:r>
      <w:r>
        <w:rPr>
          <w:rFonts w:hint="eastAsia" w:ascii="黑体" w:hAnsi="黑体" w:eastAsia="黑体" w:cs="黑体"/>
        </w:rPr>
        <w:t>推荐分析谱线</w:t>
      </w:r>
    </w:p>
    <w:p>
      <w:pPr>
        <w:pStyle w:val="47"/>
        <w:spacing w:before="156" w:beforeLines="50"/>
        <w:ind w:firstLine="420"/>
        <w:rPr>
          <w:rFonts w:ascii="Times New Roman" w:hAnsi="宋体"/>
          <w:kern w:val="2"/>
          <w:szCs w:val="21"/>
        </w:rPr>
      </w:pPr>
      <w:r>
        <w:rPr>
          <w:rFonts w:ascii="Times New Roman" w:hAnsi="宋体"/>
          <w:kern w:val="2"/>
          <w:szCs w:val="21"/>
        </w:rPr>
        <w:t>推荐分析</w:t>
      </w:r>
      <w:r>
        <w:rPr>
          <w:rFonts w:hint="eastAsia" w:ascii="Times New Roman" w:hAnsi="宋体"/>
          <w:kern w:val="2"/>
          <w:szCs w:val="21"/>
        </w:rPr>
        <w:t>谱线波长</w:t>
      </w:r>
      <w:r>
        <w:rPr>
          <w:rFonts w:ascii="Times New Roman" w:hAnsi="宋体"/>
          <w:kern w:val="2"/>
          <w:szCs w:val="21"/>
        </w:rPr>
        <w:t>见表</w:t>
      </w:r>
      <w:r>
        <w:rPr>
          <w:rFonts w:hint="eastAsia" w:ascii="Times New Roman" w:hAnsi="宋体"/>
          <w:kern w:val="2"/>
          <w:szCs w:val="21"/>
          <w:lang w:val="en-US" w:eastAsia="zh-CN"/>
        </w:rPr>
        <w:t>4</w:t>
      </w:r>
      <w:r>
        <w:rPr>
          <w:rFonts w:ascii="Times New Roman" w:hAnsi="宋体"/>
          <w:kern w:val="2"/>
          <w:szCs w:val="21"/>
        </w:rPr>
        <w:t>。</w:t>
      </w:r>
    </w:p>
    <w:p>
      <w:pPr>
        <w:spacing w:before="156" w:beforeLines="50" w:line="276" w:lineRule="auto"/>
        <w:jc w:val="center"/>
        <w:rPr>
          <w:rFonts w:ascii="黑体" w:hAnsi="黑体" w:eastAsia="黑体"/>
          <w:kern w:val="0"/>
          <w:szCs w:val="21"/>
        </w:rPr>
      </w:pPr>
      <w:r>
        <w:rPr>
          <w:rFonts w:ascii="黑体" w:hAnsi="黑体" w:eastAsia="黑体"/>
          <w:kern w:val="0"/>
          <w:szCs w:val="21"/>
        </w:rPr>
        <w:t>表</w:t>
      </w:r>
      <w:r>
        <w:rPr>
          <w:rFonts w:hint="eastAsia" w:ascii="黑体" w:hAnsi="黑体" w:eastAsia="黑体"/>
          <w:kern w:val="0"/>
          <w:szCs w:val="21"/>
          <w:lang w:val="en-US" w:eastAsia="zh-CN"/>
        </w:rPr>
        <w:t>4</w:t>
      </w:r>
      <w:r>
        <w:rPr>
          <w:rFonts w:ascii="黑体" w:hAnsi="黑体" w:eastAsia="黑体"/>
          <w:kern w:val="0"/>
          <w:szCs w:val="21"/>
        </w:rPr>
        <w:t xml:space="preserve"> 推荐分析谱线</w:t>
      </w:r>
      <w:r>
        <w:rPr>
          <w:rFonts w:hint="eastAsia" w:ascii="黑体" w:hAnsi="黑体" w:eastAsia="黑体"/>
          <w:kern w:val="0"/>
          <w:szCs w:val="21"/>
        </w:rPr>
        <w:t>波长</w:t>
      </w:r>
    </w:p>
    <w:p>
      <w:pPr>
        <w:spacing w:before="156" w:beforeLines="50" w:line="276" w:lineRule="auto"/>
        <w:jc w:val="right"/>
        <w:rPr>
          <w:rFonts w:ascii="宋体" w:hAnsi="宋体"/>
          <w:sz w:val="18"/>
          <w:szCs w:val="18"/>
        </w:rPr>
      </w:pPr>
      <w:r>
        <w:rPr>
          <w:rFonts w:hint="eastAsia" w:ascii="宋体" w:hAnsi="宋体"/>
          <w:kern w:val="0"/>
          <w:sz w:val="18"/>
          <w:szCs w:val="18"/>
        </w:rPr>
        <w:t>单位</w:t>
      </w:r>
      <w:r>
        <w:rPr>
          <w:rFonts w:hint="eastAsia" w:ascii="宋体" w:hAnsi="宋体"/>
          <w:kern w:val="0"/>
          <w:sz w:val="18"/>
          <w:szCs w:val="18"/>
          <w:lang w:val="en-US" w:eastAsia="zh-CN"/>
        </w:rPr>
        <w:t>为</w:t>
      </w:r>
      <w:r>
        <w:rPr>
          <w:rFonts w:hint="eastAsia" w:ascii="宋体" w:hAnsi="宋体"/>
          <w:kern w:val="0"/>
          <w:sz w:val="18"/>
          <w:szCs w:val="18"/>
        </w:rPr>
        <w:t>纳米</w:t>
      </w:r>
    </w:p>
    <w:tbl>
      <w:tblPr>
        <w:tblStyle w:val="31"/>
        <w:tblW w:w="0" w:type="auto"/>
        <w:tblInd w:w="16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609"/>
        <w:gridCol w:w="46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8" w:hRule="atLeast"/>
        </w:trPr>
        <w:tc>
          <w:tcPr>
            <w:tcW w:w="46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元素</w:t>
            </w:r>
          </w:p>
        </w:tc>
        <w:tc>
          <w:tcPr>
            <w:tcW w:w="466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波长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68" w:hRule="atLeast"/>
        </w:trPr>
        <w:tc>
          <w:tcPr>
            <w:tcW w:w="46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Fe</w:t>
            </w:r>
          </w:p>
        </w:tc>
        <w:tc>
          <w:tcPr>
            <w:tcW w:w="466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239.562、259.940</w:t>
            </w:r>
          </w:p>
        </w:tc>
      </w:tr>
    </w:tbl>
    <w:p>
      <w:pPr>
        <w:snapToGrid w:val="0"/>
        <w:rPr>
          <w:rFonts w:eastAsia="黑体"/>
        </w:rPr>
      </w:pPr>
    </w:p>
    <w:p>
      <w:pPr>
        <w:snapToGrid w:val="0"/>
        <w:rPr>
          <w:rFonts w:hint="eastAsia" w:eastAsia="黑体"/>
          <w:lang w:val="en-US" w:eastAsia="zh-CN"/>
        </w:rPr>
      </w:pPr>
      <w:r>
        <w:rPr>
          <w:rFonts w:hint="eastAsia" w:ascii="黑体" w:hAnsi="黑体" w:eastAsia="黑体" w:cs="黑体"/>
          <w:lang w:val="en-US" w:eastAsia="zh-CN"/>
        </w:rPr>
        <w:t>8.6.2</w:t>
      </w:r>
      <w:r>
        <w:rPr>
          <w:rFonts w:hint="eastAsia" w:eastAsia="黑体"/>
          <w:lang w:val="en-US" w:eastAsia="zh-CN"/>
        </w:rPr>
        <w:t xml:space="preserve"> 空白试验用标准曲线的绘制</w:t>
      </w:r>
    </w:p>
    <w:p>
      <w:pPr>
        <w:snapToGrid w:val="0"/>
        <w:rPr>
          <w:rFonts w:hint="eastAsia" w:eastAsia="黑体"/>
          <w:lang w:val="en-US" w:eastAsia="zh-CN"/>
        </w:rPr>
      </w:pPr>
    </w:p>
    <w:p>
      <w:pPr>
        <w:snapToGrid w:val="0"/>
        <w:ind w:firstLine="42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在选定仪器工作条件下，将系列标准溶液（8.5</w:t>
      </w:r>
      <w:r>
        <w:rPr>
          <w:rFonts w:hint="default" w:ascii="Times New Roman" w:hAnsi="Times New Roman"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）用选定的分析谱线进行氩等离子体光谱测定，以待测元素光信号强度为纵坐标，系列标准溶液质量浓度为横坐标，绘制工作曲线，线性相关系数应不少于0.999 5。</w:t>
      </w:r>
    </w:p>
    <w:p>
      <w:pPr>
        <w:snapToGrid w:val="0"/>
        <w:rPr>
          <w:rFonts w:hint="eastAsia" w:eastAsia="黑体"/>
          <w:lang w:val="en-US" w:eastAsia="zh-CN"/>
        </w:rPr>
      </w:pPr>
    </w:p>
    <w:p>
      <w:pPr>
        <w:snapToGrid w:val="0"/>
        <w:rPr>
          <w:rFonts w:hint="default" w:eastAsia="黑体"/>
          <w:lang w:val="en-US" w:eastAsia="zh-CN"/>
        </w:rPr>
      </w:pPr>
      <w:r>
        <w:rPr>
          <w:rFonts w:hint="eastAsia" w:ascii="黑体" w:hAnsi="黑体" w:eastAsia="黑体" w:cs="黑体"/>
          <w:lang w:val="en-US" w:eastAsia="zh-CN"/>
        </w:rPr>
        <w:t>8.6.3</w:t>
      </w:r>
      <w:r>
        <w:rPr>
          <w:rFonts w:hint="eastAsia" w:eastAsia="黑体"/>
          <w:lang w:val="en-US" w:eastAsia="zh-CN"/>
        </w:rPr>
        <w:t xml:space="preserve"> 空白试液的测定</w:t>
      </w:r>
    </w:p>
    <w:p>
      <w:pPr>
        <w:snapToGrid w:val="0"/>
        <w:rPr>
          <w:rFonts w:hint="eastAsia" w:eastAsia="黑体"/>
          <w:lang w:val="en-US" w:eastAsia="zh-CN"/>
        </w:rPr>
      </w:pPr>
    </w:p>
    <w:p>
      <w:pPr>
        <w:snapToGrid w:val="0"/>
        <w:ind w:firstLine="420"/>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在工作曲线（8.6.</w:t>
      </w:r>
      <w:r>
        <w:rPr>
          <w:rFonts w:hint="eastAsia" w:cs="Times New Roman"/>
          <w:kern w:val="2"/>
          <w:sz w:val="21"/>
          <w:szCs w:val="21"/>
          <w:lang w:val="en-US" w:eastAsia="zh-CN" w:bidi="ar-SA"/>
        </w:rPr>
        <w:t>2</w:t>
      </w:r>
      <w:r>
        <w:rPr>
          <w:rFonts w:hint="default" w:ascii="Times New Roman" w:hAnsi="Times New Roman" w:cs="Times New Roman"/>
          <w:kern w:val="2"/>
          <w:sz w:val="21"/>
          <w:szCs w:val="21"/>
          <w:lang w:val="en-US" w:eastAsia="zh-CN" w:bidi="ar-SA"/>
        </w:rPr>
        <w:t>）符合测定的要求后，将空白试验（8.3）用的溶液用选定的分析谱线进行氩等离子体光谱测定。仪器根据工作曲线，自动进行数据处理，计算并输出空白试液中待测元素的质量浓度。</w:t>
      </w:r>
    </w:p>
    <w:p>
      <w:pPr>
        <w:snapToGrid w:val="0"/>
        <w:rPr>
          <w:rFonts w:hint="eastAsia" w:eastAsia="黑体"/>
          <w:lang w:val="en-US" w:eastAsia="zh-CN"/>
        </w:rPr>
      </w:pPr>
    </w:p>
    <w:p>
      <w:pPr>
        <w:snapToGrid w:val="0"/>
        <w:rPr>
          <w:rFonts w:hint="eastAsia" w:ascii="黑体" w:hAnsi="黑体" w:eastAsia="黑体" w:cs="黑体"/>
          <w:lang w:val="en-US" w:eastAsia="zh-CN"/>
        </w:rPr>
      </w:pPr>
      <w:r>
        <w:rPr>
          <w:rFonts w:hint="eastAsia" w:ascii="黑体" w:hAnsi="黑体" w:eastAsia="黑体" w:cs="黑体"/>
          <w:lang w:val="en-US" w:eastAsia="zh-CN"/>
        </w:rPr>
        <w:t>8.6.4 分析试验用标准曲线的绘制</w:t>
      </w:r>
    </w:p>
    <w:p>
      <w:pPr>
        <w:snapToGrid w:val="0"/>
        <w:rPr>
          <w:rFonts w:hint="eastAsia" w:eastAsia="黑体"/>
          <w:lang w:val="en-US" w:eastAsia="zh-CN"/>
        </w:rPr>
      </w:pPr>
    </w:p>
    <w:p>
      <w:pPr>
        <w:snapToGrid w:val="0"/>
        <w:ind w:firstLine="42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在选定仪器工作条件下，将系列标准溶液（8.5</w:t>
      </w:r>
      <w:r>
        <w:rPr>
          <w:rFonts w:hint="default" w:ascii="Times New Roman" w:hAnsi="Times New Roman"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）用选定的分析谱线进行氩等离子体光谱测定，以待测元素光信号强度为纵坐标，系列标准溶液质量浓度为横坐标，绘制工作曲线，线性相关系数应不少于0.999 5。</w:t>
      </w:r>
    </w:p>
    <w:p>
      <w:pPr>
        <w:snapToGrid w:val="0"/>
        <w:ind w:firstLine="420"/>
        <w:rPr>
          <w:rFonts w:hint="eastAsia" w:ascii="Times New Roman" w:hAnsi="宋体" w:eastAsia="宋体" w:cs="Times New Roman"/>
          <w:kern w:val="2"/>
          <w:sz w:val="21"/>
          <w:szCs w:val="21"/>
          <w:lang w:val="en-US" w:eastAsia="zh-CN" w:bidi="ar-SA"/>
        </w:rPr>
      </w:pPr>
    </w:p>
    <w:p>
      <w:pPr>
        <w:snapToGrid w:val="0"/>
        <w:rPr>
          <w:rFonts w:hint="default" w:eastAsia="黑体"/>
          <w:lang w:val="en-US" w:eastAsia="zh-CN"/>
        </w:rPr>
      </w:pPr>
      <w:r>
        <w:rPr>
          <w:rFonts w:hint="eastAsia" w:ascii="黑体" w:hAnsi="黑体" w:eastAsia="黑体" w:cs="黑体"/>
          <w:lang w:val="en-US" w:eastAsia="zh-CN"/>
        </w:rPr>
        <w:t>8.6.5</w:t>
      </w:r>
      <w:r>
        <w:rPr>
          <w:rFonts w:hint="eastAsia" w:eastAsia="黑体"/>
          <w:lang w:val="en-US" w:eastAsia="zh-CN"/>
        </w:rPr>
        <w:t xml:space="preserve"> 分析试液的测定</w:t>
      </w:r>
    </w:p>
    <w:p>
      <w:pPr>
        <w:snapToGrid w:val="0"/>
        <w:rPr>
          <w:rFonts w:hint="eastAsia" w:eastAsia="黑体"/>
          <w:lang w:val="en-US" w:eastAsia="zh-CN"/>
        </w:rPr>
      </w:pPr>
    </w:p>
    <w:p>
      <w:pPr>
        <w:snapToGrid w:val="0"/>
        <w:rPr>
          <w:rFonts w:hint="eastAsia" w:ascii="Times New Roman" w:hAnsi="宋体" w:eastAsia="宋体" w:cs="Times New Roman"/>
          <w:kern w:val="2"/>
          <w:sz w:val="21"/>
          <w:szCs w:val="21"/>
          <w:lang w:val="en-US" w:eastAsia="zh-CN" w:bidi="ar-SA"/>
        </w:rPr>
      </w:pPr>
      <w:r>
        <w:rPr>
          <w:rFonts w:hint="eastAsia" w:hAnsi="宋体" w:cs="Times New Roman"/>
          <w:kern w:val="2"/>
          <w:sz w:val="21"/>
          <w:szCs w:val="21"/>
          <w:lang w:val="en-US" w:eastAsia="zh-CN" w:bidi="ar-SA"/>
        </w:rPr>
        <w:t xml:space="preserve">    </w:t>
      </w:r>
      <w:r>
        <w:rPr>
          <w:rFonts w:hint="default" w:ascii="Times New Roman" w:hAnsi="Times New Roman" w:cs="Times New Roman"/>
          <w:kern w:val="2"/>
          <w:sz w:val="21"/>
          <w:szCs w:val="21"/>
          <w:lang w:val="en-US" w:eastAsia="zh-CN" w:bidi="ar-SA"/>
        </w:rPr>
        <w:t>在标准曲线（8.6.</w:t>
      </w:r>
      <w:r>
        <w:rPr>
          <w:rFonts w:hint="eastAsia" w:cs="Times New Roman"/>
          <w:kern w:val="2"/>
          <w:sz w:val="21"/>
          <w:szCs w:val="21"/>
          <w:lang w:val="en-US" w:eastAsia="zh-CN" w:bidi="ar-SA"/>
        </w:rPr>
        <w:t>4</w:t>
      </w:r>
      <w:r>
        <w:rPr>
          <w:rFonts w:hint="default" w:ascii="Times New Roman" w:hAnsi="Times New Roman" w:cs="Times New Roman"/>
          <w:kern w:val="2"/>
          <w:sz w:val="21"/>
          <w:szCs w:val="21"/>
          <w:lang w:val="en-US" w:eastAsia="zh-CN" w:bidi="ar-SA"/>
        </w:rPr>
        <w:t>）符合测定的要求后，将分析试液（8.4）用选定的分析谱线进行氩等离子体光谱测定。仪器根据标准曲线，自动进行数据处理，计算并输出分析试液中待测元素的质量浓度。</w:t>
      </w:r>
    </w:p>
    <w:p>
      <w:pPr>
        <w:pStyle w:val="74"/>
        <w:numPr>
          <w:ilvl w:val="0"/>
          <w:numId w:val="0"/>
        </w:numPr>
        <w:spacing w:before="312" w:beforeLines="100" w:after="312" w:afterLines="100"/>
        <w:rPr>
          <w:rFonts w:ascii="Times New Roman"/>
          <w:color w:val="000000"/>
        </w:rPr>
      </w:pPr>
      <w:r>
        <w:rPr>
          <w:rFonts w:hint="eastAsia" w:ascii="黑体" w:hAnsi="黑体" w:eastAsia="黑体" w:cs="黑体"/>
          <w:color w:val="000000"/>
        </w:rPr>
        <w:t>9</w:t>
      </w:r>
      <w:r>
        <w:rPr>
          <w:rFonts w:ascii="Times New Roman"/>
          <w:color w:val="000000"/>
        </w:rPr>
        <w:t>　试验数据处理</w:t>
      </w:r>
    </w:p>
    <w:p>
      <w:pPr>
        <w:pStyle w:val="47"/>
        <w:ind w:firstLine="420" w:firstLineChars="200"/>
        <w:rPr>
          <w:rFonts w:ascii="Times New Roman"/>
        </w:rPr>
      </w:pPr>
      <w:r>
        <w:rPr>
          <w:rFonts w:hint="eastAsia" w:ascii="Times New Roman"/>
        </w:rPr>
        <w:t>离子型稀土矿混合稀土氧化物、混合稀土草酸盐、混合稀土碳酸盐中对应测量基础状态（烘后或烧后）试样中的三氧化二铁含量，三氧化二铁含量</w:t>
      </w:r>
      <w:r>
        <w:rPr>
          <w:rFonts w:ascii="Times New Roman"/>
        </w:rPr>
        <w:t>以</w:t>
      </w:r>
      <w:r>
        <w:rPr>
          <w:rFonts w:hint="eastAsia" w:ascii="Times New Roman"/>
        </w:rPr>
        <w:t>质量分数（</w:t>
      </w:r>
      <w:r>
        <w:rPr>
          <w:rFonts w:hint="eastAsia" w:hAnsi="宋体" w:cs="宋体"/>
          <w:i/>
          <w:color w:val="000000"/>
          <w:szCs w:val="21"/>
        </w:rPr>
        <w:t>ω）</w:t>
      </w:r>
      <w:r>
        <w:rPr>
          <w:rFonts w:ascii="Times New Roman"/>
        </w:rPr>
        <w:t>计</w:t>
      </w:r>
      <w:r>
        <w:rPr>
          <w:rFonts w:hint="eastAsia" w:ascii="Times New Roman"/>
        </w:rPr>
        <w:t>，</w:t>
      </w:r>
      <w:r>
        <w:rPr>
          <w:rFonts w:ascii="Times New Roman"/>
        </w:rPr>
        <w:t>按公式（1）计算</w:t>
      </w:r>
      <w:r>
        <w:rPr>
          <w:rFonts w:hint="eastAsia" w:ascii="Times New Roman"/>
        </w:rPr>
        <w:t>：</w:t>
      </w:r>
    </w:p>
    <w:p>
      <w:pPr>
        <w:pStyle w:val="47"/>
        <w:ind w:firstLine="420"/>
        <w:jc w:val="center"/>
        <w:rPr>
          <w:rFonts w:ascii="Times New Roman"/>
        </w:rPr>
      </w:pPr>
      <w:r>
        <w:rPr>
          <w:rFonts w:hint="eastAsia" w:hAnsi="宋体" w:cs="宋体"/>
          <w:position w:val="-24"/>
        </w:rPr>
        <w:object>
          <v:shape id="_x0000_i1025" o:spt="75" type="#_x0000_t75" style="height:33pt;width:150.75pt;" o:ole="t" filled="f" o:preferrelative="t" stroked="f" coordsize="21600,21600">
            <v:path/>
            <v:fill on="f" focussize="0,0"/>
            <v:stroke on="f"/>
            <v:imagedata r:id="rId21" o:title=""/>
            <o:lock v:ext="edit" aspectratio="t"/>
            <w10:wrap type="none"/>
            <w10:anchorlock/>
          </v:shape>
          <o:OLEObject Type="Embed" ProgID="Equation.3" ShapeID="_x0000_i1025" DrawAspect="Content" ObjectID="_1468075725" r:id="rId20">
            <o:LockedField>false</o:LockedField>
          </o:OLEObject>
        </w:object>
      </w:r>
      <w:r>
        <w:rPr>
          <w:rFonts w:ascii="Times New Roman"/>
        </w:rPr>
        <w:t>…………………（1）</w:t>
      </w:r>
    </w:p>
    <w:p>
      <w:pPr>
        <w:pStyle w:val="47"/>
        <w:ind w:firstLine="420"/>
        <w:rPr>
          <w:rFonts w:ascii="Times New Roman"/>
        </w:rPr>
      </w:pPr>
      <w:r>
        <w:rPr>
          <w:rFonts w:ascii="Times New Roman"/>
        </w:rPr>
        <w:t>式中：</w:t>
      </w:r>
    </w:p>
    <w:p>
      <w:pPr>
        <w:pStyle w:val="47"/>
        <w:ind w:left="420" w:leftChars="200" w:firstLine="0" w:firstLineChars="0"/>
        <w:rPr>
          <w:rFonts w:ascii="Times New Roman"/>
          <w:kern w:val="2"/>
          <w:szCs w:val="21"/>
        </w:rPr>
      </w:pPr>
      <w:r>
        <w:rPr>
          <w:rFonts w:hint="default" w:ascii="Times New Roman" w:hAnsi="Times New Roman" w:eastAsia="宋体" w:cs="Times New Roman"/>
          <w:i/>
          <w:iCs/>
          <w:kern w:val="2"/>
          <w:szCs w:val="21"/>
        </w:rPr>
        <w:t>ρ</w:t>
      </w:r>
      <w:r>
        <w:rPr>
          <w:rFonts w:hint="eastAsia" w:ascii="Times New Roman" w:cs="Times New Roman"/>
          <w:i/>
          <w:iCs/>
          <w:kern w:val="2"/>
          <w:szCs w:val="21"/>
          <w:vertAlign w:val="subscript"/>
          <w:lang w:val="en-US" w:eastAsia="zh-CN"/>
        </w:rPr>
        <w:t>1</w:t>
      </w:r>
      <w:r>
        <w:rPr>
          <w:rFonts w:ascii="Times New Roman"/>
          <w:kern w:val="2"/>
          <w:szCs w:val="21"/>
        </w:rPr>
        <w:t>——</w:t>
      </w:r>
      <w:r>
        <w:rPr>
          <w:rFonts w:hint="eastAsia" w:ascii="Times New Roman"/>
          <w:kern w:val="2"/>
          <w:szCs w:val="21"/>
          <w:lang w:val="en-US" w:eastAsia="zh-CN"/>
        </w:rPr>
        <w:t>自工作曲线上查得的或计算机输出的分析试液（8.4）中</w:t>
      </w:r>
      <w:r>
        <w:rPr>
          <w:rFonts w:hint="eastAsia" w:ascii="Times New Roman"/>
          <w:kern w:val="2"/>
          <w:szCs w:val="21"/>
        </w:rPr>
        <w:t>待测元素的</w:t>
      </w:r>
      <w:r>
        <w:rPr>
          <w:rFonts w:ascii="Times New Roman"/>
          <w:kern w:val="2"/>
          <w:szCs w:val="21"/>
        </w:rPr>
        <w:t>质量浓度，单位为</w:t>
      </w:r>
      <w:r>
        <w:rPr>
          <w:rFonts w:hint="eastAsia" w:ascii="Times New Roman"/>
          <w:kern w:val="2"/>
          <w:szCs w:val="21"/>
        </w:rPr>
        <w:t>微</w:t>
      </w:r>
      <w:r>
        <w:rPr>
          <w:rFonts w:ascii="Times New Roman"/>
          <w:kern w:val="2"/>
          <w:szCs w:val="21"/>
        </w:rPr>
        <w:t>克每毫升（</w:t>
      </w:r>
      <w:r>
        <w:rPr>
          <w:rFonts w:ascii="Times New Roman"/>
          <w:bCs/>
          <w:sz w:val="24"/>
        </w:rPr>
        <w:t>μ</w:t>
      </w:r>
      <w:r>
        <w:rPr>
          <w:rFonts w:hint="eastAsia" w:ascii="Times New Roman"/>
          <w:bCs/>
          <w:sz w:val="24"/>
        </w:rPr>
        <w:t>g</w:t>
      </w:r>
      <w:r>
        <w:rPr>
          <w:rFonts w:ascii="Times New Roman"/>
          <w:kern w:val="2"/>
          <w:szCs w:val="21"/>
        </w:rPr>
        <w:t>/mL）；</w:t>
      </w:r>
    </w:p>
    <w:p>
      <w:pPr>
        <w:pStyle w:val="47"/>
        <w:ind w:left="420" w:leftChars="200" w:firstLine="0" w:firstLineChars="0"/>
        <w:rPr>
          <w:rFonts w:ascii="Times New Roman"/>
          <w:kern w:val="2"/>
          <w:szCs w:val="21"/>
        </w:rPr>
      </w:pPr>
      <w:r>
        <w:rPr>
          <w:rFonts w:hint="default" w:ascii="Times New Roman" w:hAnsi="Times New Roman" w:eastAsia="宋体" w:cs="Times New Roman"/>
          <w:i/>
          <w:iCs/>
          <w:kern w:val="2"/>
          <w:szCs w:val="21"/>
        </w:rPr>
        <w:t>ρ</w:t>
      </w:r>
      <w:r>
        <w:rPr>
          <w:rFonts w:hint="default" w:ascii="Times New Roman" w:hAnsi="Times New Roman" w:eastAsia="宋体" w:cs="Times New Roman"/>
          <w:i/>
          <w:iCs/>
          <w:kern w:val="2"/>
          <w:szCs w:val="21"/>
          <w:vertAlign w:val="subscript"/>
          <w:lang w:val="en-US" w:eastAsia="zh-CN"/>
        </w:rPr>
        <w:t>0</w:t>
      </w:r>
      <w:r>
        <w:rPr>
          <w:rFonts w:ascii="Times New Roman"/>
          <w:kern w:val="2"/>
          <w:szCs w:val="21"/>
        </w:rPr>
        <w:t>——</w:t>
      </w:r>
      <w:r>
        <w:rPr>
          <w:rFonts w:hint="eastAsia" w:ascii="Times New Roman"/>
          <w:kern w:val="2"/>
          <w:szCs w:val="21"/>
          <w:lang w:val="en-US" w:eastAsia="zh-CN"/>
        </w:rPr>
        <w:t>自工作曲线上查得的或计算机输出的空白试验（8.3）溶液中</w:t>
      </w:r>
      <w:r>
        <w:rPr>
          <w:rFonts w:hint="eastAsia" w:ascii="Times New Roman"/>
          <w:kern w:val="2"/>
          <w:szCs w:val="21"/>
        </w:rPr>
        <w:t>待测元素的</w:t>
      </w:r>
      <w:r>
        <w:rPr>
          <w:rFonts w:ascii="Times New Roman"/>
          <w:kern w:val="2"/>
          <w:szCs w:val="21"/>
        </w:rPr>
        <w:t>质量浓度，单位为</w:t>
      </w:r>
      <w:r>
        <w:rPr>
          <w:rFonts w:hint="eastAsia" w:ascii="Times New Roman"/>
          <w:kern w:val="2"/>
          <w:szCs w:val="21"/>
        </w:rPr>
        <w:t>微</w:t>
      </w:r>
      <w:r>
        <w:rPr>
          <w:rFonts w:ascii="Times New Roman"/>
          <w:kern w:val="2"/>
          <w:szCs w:val="21"/>
        </w:rPr>
        <w:t>克每毫升（</w:t>
      </w:r>
      <w:r>
        <w:rPr>
          <w:rFonts w:ascii="Times New Roman"/>
          <w:bCs/>
          <w:sz w:val="24"/>
        </w:rPr>
        <w:t>μ</w:t>
      </w:r>
      <w:r>
        <w:rPr>
          <w:rFonts w:hint="eastAsia" w:ascii="Times New Roman"/>
          <w:bCs/>
          <w:sz w:val="24"/>
        </w:rPr>
        <w:t>g</w:t>
      </w:r>
      <w:r>
        <w:rPr>
          <w:rFonts w:ascii="Times New Roman"/>
          <w:kern w:val="2"/>
          <w:szCs w:val="21"/>
        </w:rPr>
        <w:t>/mL）；</w:t>
      </w:r>
    </w:p>
    <w:p>
      <w:pPr>
        <w:pStyle w:val="47"/>
        <w:ind w:firstLine="420"/>
        <w:rPr>
          <w:rFonts w:ascii="Times New Roman"/>
          <w:kern w:val="2"/>
          <w:szCs w:val="21"/>
        </w:rPr>
      </w:pPr>
      <w:r>
        <w:rPr>
          <w:rFonts w:ascii="Times New Roman"/>
          <w:i/>
          <w:iCs/>
          <w:kern w:val="2"/>
          <w:szCs w:val="21"/>
        </w:rPr>
        <w:t>V</w:t>
      </w:r>
      <w:r>
        <w:rPr>
          <w:rFonts w:ascii="Times New Roman"/>
          <w:i/>
          <w:iCs/>
          <w:kern w:val="2"/>
          <w:szCs w:val="21"/>
          <w:vertAlign w:val="subscript"/>
        </w:rPr>
        <w:t>1</w:t>
      </w:r>
      <w:r>
        <w:rPr>
          <w:rFonts w:ascii="Times New Roman"/>
          <w:kern w:val="2"/>
          <w:szCs w:val="21"/>
        </w:rPr>
        <w:t>——分析试液</w:t>
      </w:r>
      <w:r>
        <w:rPr>
          <w:rFonts w:hint="eastAsia" w:ascii="Times New Roman" w:hAnsi="宋体"/>
          <w:kern w:val="2"/>
          <w:szCs w:val="21"/>
        </w:rPr>
        <w:t>（8.4）</w:t>
      </w:r>
      <w:r>
        <w:rPr>
          <w:rFonts w:ascii="Times New Roman"/>
          <w:kern w:val="2"/>
          <w:szCs w:val="21"/>
        </w:rPr>
        <w:t>的体积，单位为毫升（mL）；</w:t>
      </w:r>
    </w:p>
    <w:p>
      <w:pPr>
        <w:pStyle w:val="47"/>
        <w:ind w:firstLine="420"/>
        <w:rPr>
          <w:rFonts w:ascii="Times New Roman"/>
          <w:kern w:val="2"/>
          <w:szCs w:val="21"/>
        </w:rPr>
      </w:pPr>
      <w:r>
        <w:rPr>
          <w:rFonts w:ascii="Times New Roman"/>
          <w:i/>
          <w:iCs/>
          <w:kern w:val="2"/>
          <w:szCs w:val="21"/>
        </w:rPr>
        <w:t>m</w:t>
      </w:r>
      <w:r>
        <w:rPr>
          <w:rFonts w:ascii="Times New Roman"/>
          <w:kern w:val="2"/>
          <w:szCs w:val="21"/>
        </w:rPr>
        <w:t>——试料的质量，单位为克（g）</w:t>
      </w:r>
      <w:r>
        <w:rPr>
          <w:rFonts w:hint="eastAsia" w:ascii="Times New Roman"/>
          <w:kern w:val="2"/>
          <w:szCs w:val="21"/>
        </w:rPr>
        <w:t>。</w:t>
      </w:r>
    </w:p>
    <w:p>
      <w:pPr>
        <w:adjustRightInd w:val="0"/>
        <w:snapToGrid w:val="0"/>
        <w:spacing w:before="156" w:beforeLines="50"/>
        <w:ind w:firstLine="420" w:firstLineChars="200"/>
        <w:rPr>
          <w:spacing w:val="6"/>
          <w:sz w:val="21"/>
          <w:szCs w:val="21"/>
        </w:rPr>
      </w:pPr>
      <w:r>
        <w:rPr>
          <w:rFonts w:hint="default" w:ascii="Times New Roman" w:hAnsi="Times New Roman" w:eastAsia="宋体" w:cs="Times New Roman"/>
          <w:sz w:val="21"/>
          <w:szCs w:val="21"/>
        </w:rPr>
        <w:t>当结果小于1.00 %时保留两位有效数字，当结果大于等于1.00 %时保留</w:t>
      </w:r>
      <w:r>
        <w:rPr>
          <w:rFonts w:hint="eastAsia" w:cs="Times New Roman"/>
          <w:sz w:val="21"/>
          <w:szCs w:val="21"/>
          <w:lang w:val="en-US" w:eastAsia="zh-CN"/>
        </w:rPr>
        <w:t>三位有效数字</w:t>
      </w:r>
      <w:r>
        <w:rPr>
          <w:rFonts w:hint="default" w:ascii="Times New Roman" w:hAnsi="Times New Roman" w:eastAsia="宋体" w:cs="Times New Roman"/>
          <w:sz w:val="21"/>
          <w:szCs w:val="21"/>
        </w:rPr>
        <w:t>，数值修约按</w:t>
      </w:r>
      <w:r>
        <w:rPr>
          <w:rFonts w:hint="default" w:ascii="Times New Roman" w:hAnsi="Times New Roman" w:cs="Times New Roman"/>
          <w:spacing w:val="6"/>
        </w:rPr>
        <w:t>GB/T 8170</w:t>
      </w:r>
      <w:r>
        <w:rPr>
          <w:rFonts w:hint="default" w:ascii="Times New Roman" w:hAnsi="Times New Roman" w:eastAsia="宋体" w:cs="Times New Roman"/>
          <w:sz w:val="21"/>
          <w:szCs w:val="21"/>
        </w:rPr>
        <w:t>的规定执行。</w:t>
      </w:r>
    </w:p>
    <w:p>
      <w:pPr>
        <w:pStyle w:val="74"/>
        <w:numPr>
          <w:ilvl w:val="0"/>
          <w:numId w:val="0"/>
        </w:numPr>
        <w:spacing w:before="312" w:beforeLines="100" w:after="312" w:afterLines="100"/>
        <w:rPr>
          <w:rFonts w:ascii="Times New Roman"/>
          <w:color w:val="000000"/>
        </w:rPr>
      </w:pPr>
      <w:r>
        <w:rPr>
          <w:rFonts w:hint="eastAsia" w:ascii="黑体" w:hAnsi="黑体" w:eastAsia="黑体" w:cs="黑体"/>
          <w:color w:val="000000"/>
        </w:rPr>
        <w:t>10</w:t>
      </w:r>
      <w:r>
        <w:rPr>
          <w:rFonts w:ascii="Times New Roman"/>
          <w:color w:val="000000"/>
        </w:rPr>
        <w:t>　精密度</w:t>
      </w:r>
    </w:p>
    <w:p>
      <w:pPr>
        <w:snapToGrid w:val="0"/>
        <w:spacing w:before="156" w:beforeLines="50" w:after="156" w:afterLines="50"/>
        <w:rPr>
          <w:rFonts w:ascii="宋体" w:hAnsi="宋体" w:cs="宋体"/>
        </w:rPr>
      </w:pPr>
      <w:r>
        <w:rPr>
          <w:rFonts w:ascii="黑体" w:hAnsi="黑体" w:eastAsia="黑体"/>
          <w:color w:val="000000"/>
          <w:szCs w:val="22"/>
        </w:rPr>
        <w:t>10.1　</w:t>
      </w:r>
      <w:r>
        <w:rPr>
          <w:rFonts w:hint="eastAsia" w:ascii="黑体" w:hAnsi="黑体" w:eastAsia="黑体"/>
          <w:color w:val="000000"/>
          <w:szCs w:val="22"/>
        </w:rPr>
        <w:t>重复性</w:t>
      </w:r>
    </w:p>
    <w:p>
      <w:pPr>
        <w:snapToGrid w:val="0"/>
        <w:ind w:firstLine="420" w:firstLineChars="200"/>
        <w:rPr>
          <w:rFonts w:hint="default" w:ascii="Times New Roman" w:hAnsi="Times New Roman" w:cs="Times New Roman"/>
        </w:rPr>
      </w:pPr>
      <w:r>
        <w:rPr>
          <w:rFonts w:hint="default" w:ascii="Times New Roman" w:hAnsi="Times New Roman" w:cs="Times New Roman"/>
        </w:rPr>
        <w:t>在重复性条件下获得的两次独立测试结果的的绝对差值不超过重复性限（</w:t>
      </w:r>
      <w:r>
        <w:rPr>
          <w:rFonts w:hint="default" w:ascii="Times New Roman" w:hAnsi="Times New Roman" w:cs="Times New Roman"/>
          <w:i/>
          <w:iCs/>
        </w:rPr>
        <w:t>r</w:t>
      </w:r>
      <w:r>
        <w:rPr>
          <w:rFonts w:hint="default" w:ascii="Times New Roman" w:hAnsi="Times New Roman" w:cs="Times New Roman"/>
        </w:rPr>
        <w:t>），超过重复性限（</w:t>
      </w:r>
      <w:r>
        <w:rPr>
          <w:rFonts w:hint="default" w:ascii="Times New Roman" w:hAnsi="Times New Roman" w:cs="Times New Roman"/>
          <w:i/>
          <w:iCs/>
        </w:rPr>
        <w:t>r</w:t>
      </w:r>
      <w:r>
        <w:rPr>
          <w:rFonts w:hint="default" w:ascii="Times New Roman" w:hAnsi="Times New Roman" w:cs="Times New Roman"/>
        </w:rPr>
        <w:t>）的情况不超过5%，重复性限（</w:t>
      </w:r>
      <w:r>
        <w:rPr>
          <w:rFonts w:hint="default" w:ascii="Times New Roman" w:hAnsi="Times New Roman" w:cs="Times New Roman"/>
          <w:i/>
          <w:iCs/>
        </w:rPr>
        <w:t>r</w:t>
      </w:r>
      <w:r>
        <w:rPr>
          <w:rFonts w:hint="default" w:ascii="Times New Roman" w:hAnsi="Times New Roman" w:cs="Times New Roman"/>
        </w:rPr>
        <w:t>）按表</w:t>
      </w:r>
      <w:r>
        <w:rPr>
          <w:rFonts w:hint="default" w:ascii="Times New Roman" w:hAnsi="Times New Roman" w:cs="Times New Roman"/>
          <w:lang w:val="en-US" w:eastAsia="zh-CN"/>
        </w:rPr>
        <w:t>5</w:t>
      </w:r>
      <w:r>
        <w:rPr>
          <w:rFonts w:hint="default" w:ascii="Times New Roman" w:hAnsi="Times New Roman" w:cs="Times New Roman"/>
        </w:rPr>
        <w:t>数据采用线性内插法或外延法求得。</w:t>
      </w:r>
    </w:p>
    <w:p>
      <w:pPr>
        <w:spacing w:before="156" w:beforeLines="50" w:after="156" w:afterLines="50" w:line="360" w:lineRule="exact"/>
        <w:jc w:val="center"/>
        <w:rPr>
          <w:rFonts w:eastAsia="黑体"/>
        </w:rPr>
      </w:pPr>
      <w:r>
        <w:rPr>
          <w:rFonts w:eastAsia="黑体"/>
        </w:rPr>
        <w:t>表</w:t>
      </w:r>
      <w:r>
        <w:rPr>
          <w:rFonts w:hint="eastAsia" w:ascii="黑体" w:hAnsi="黑体" w:eastAsia="黑体" w:cs="黑体"/>
          <w:lang w:val="en-US" w:eastAsia="zh-CN"/>
        </w:rPr>
        <w:t>5</w:t>
      </w:r>
      <w:r>
        <w:rPr>
          <w:color w:val="000000"/>
        </w:rPr>
        <w:t>　</w:t>
      </w:r>
      <w:r>
        <w:rPr>
          <w:rFonts w:eastAsia="黑体"/>
        </w:rPr>
        <w:t>重复性限</w:t>
      </w:r>
      <w:r>
        <w:rPr>
          <w:rFonts w:hint="eastAsia" w:ascii="黑体" w:hAnsi="黑体" w:eastAsia="黑体"/>
        </w:rPr>
        <w:t>(</w:t>
      </w:r>
      <w:r>
        <w:rPr>
          <w:rFonts w:ascii="黑体" w:hAnsi="黑体" w:eastAsia="黑体"/>
          <w:i/>
        </w:rPr>
        <w:t>r</w:t>
      </w:r>
      <w:r>
        <w:rPr>
          <w:rFonts w:hint="eastAsia" w:ascii="黑体" w:hAnsi="黑体" w:eastAsia="黑体"/>
        </w:rPr>
        <w:t>)</w:t>
      </w:r>
    </w:p>
    <w:tbl>
      <w:tblPr>
        <w:tblStyle w:val="31"/>
        <w:tblW w:w="494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20"/>
        <w:gridCol w:w="47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exact"/>
          <w:jc w:val="center"/>
        </w:trPr>
        <w:tc>
          <w:tcPr>
            <w:tcW w:w="2495" w:type="pct"/>
            <w:tcBorders>
              <w:bottom w:val="single" w:color="auto" w:sz="12" w:space="0"/>
            </w:tcBorders>
            <w:vAlign w:val="center"/>
          </w:tcPr>
          <w:p>
            <w:pPr>
              <w:spacing w:line="220" w:lineRule="exact"/>
              <w:jc w:val="center"/>
              <w:rPr>
                <w:rFonts w:hint="eastAsia" w:ascii="宋体" w:hAnsi="宋体" w:cs="宋体"/>
                <w:sz w:val="18"/>
                <w:szCs w:val="18"/>
              </w:rPr>
            </w:pPr>
            <w:r>
              <w:rPr>
                <w:rFonts w:hint="eastAsia" w:ascii="宋体" w:hAnsi="宋体" w:cs="宋体"/>
                <w:sz w:val="18"/>
                <w:szCs w:val="18"/>
              </w:rPr>
              <w:t>三氧化二铁的质量分数</w:t>
            </w:r>
          </w:p>
          <w:p>
            <w:pPr>
              <w:spacing w:line="220" w:lineRule="exact"/>
              <w:jc w:val="center"/>
              <w:rPr>
                <w:rFonts w:ascii="宋体" w:hAnsi="宋体" w:cs="宋体"/>
                <w:sz w:val="18"/>
                <w:szCs w:val="18"/>
              </w:rPr>
            </w:pPr>
            <w:r>
              <w:rPr>
                <w:rFonts w:hint="eastAsia" w:ascii="宋体" w:hAnsi="宋体" w:cs="宋体"/>
                <w:sz w:val="18"/>
                <w:szCs w:val="18"/>
              </w:rPr>
              <w:t>%</w:t>
            </w:r>
          </w:p>
        </w:tc>
        <w:tc>
          <w:tcPr>
            <w:tcW w:w="2504" w:type="pct"/>
            <w:tcBorders>
              <w:bottom w:val="single" w:color="auto" w:sz="12" w:space="0"/>
            </w:tcBorders>
            <w:vAlign w:val="center"/>
          </w:tcPr>
          <w:p>
            <w:pPr>
              <w:spacing w:line="220" w:lineRule="exact"/>
              <w:jc w:val="center"/>
              <w:rPr>
                <w:rFonts w:hint="eastAsia" w:ascii="宋体" w:hAnsi="宋体" w:cs="宋体"/>
                <w:sz w:val="18"/>
                <w:szCs w:val="18"/>
              </w:rPr>
            </w:pPr>
            <w:r>
              <w:rPr>
                <w:rFonts w:hint="eastAsia" w:ascii="宋体" w:hAnsi="宋体" w:cs="宋体"/>
                <w:sz w:val="18"/>
                <w:szCs w:val="18"/>
              </w:rPr>
              <w:t>重复</w:t>
            </w:r>
            <w:r>
              <w:rPr>
                <w:rFonts w:ascii="宋体" w:hAnsi="宋体" w:cs="宋体"/>
                <w:sz w:val="18"/>
                <w:szCs w:val="18"/>
              </w:rPr>
              <w:t>性</w:t>
            </w:r>
            <w:r>
              <w:rPr>
                <w:rFonts w:hint="eastAsia" w:ascii="宋体" w:hAnsi="宋体" w:cs="宋体"/>
                <w:sz w:val="18"/>
                <w:szCs w:val="18"/>
              </w:rPr>
              <w:t>限(</w:t>
            </w:r>
            <w:r>
              <w:rPr>
                <w:rFonts w:ascii="宋体" w:hAnsi="宋体" w:cs="宋体"/>
                <w:i/>
                <w:sz w:val="18"/>
                <w:szCs w:val="18"/>
              </w:rPr>
              <w:t>r</w:t>
            </w:r>
            <w:r>
              <w:rPr>
                <w:rFonts w:hint="eastAsia" w:ascii="宋体" w:hAnsi="宋体" w:cs="宋体"/>
                <w:sz w:val="18"/>
                <w:szCs w:val="18"/>
              </w:rPr>
              <w:t>)</w:t>
            </w:r>
          </w:p>
          <w:p>
            <w:pPr>
              <w:spacing w:line="220" w:lineRule="exact"/>
              <w:jc w:val="center"/>
              <w:rPr>
                <w:rFonts w:ascii="宋体" w:hAnsi="宋体" w:cs="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exact"/>
          <w:jc w:val="center"/>
        </w:trPr>
        <w:tc>
          <w:tcPr>
            <w:tcW w:w="2495" w:type="pct"/>
            <w:tcBorders>
              <w:top w:val="single" w:color="auto" w:sz="12" w:space="0"/>
              <w:bottom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0.012</w:t>
            </w:r>
          </w:p>
        </w:tc>
        <w:tc>
          <w:tcPr>
            <w:tcW w:w="2504" w:type="pct"/>
            <w:tcBorders>
              <w:top w:val="single" w:color="auto" w:sz="12" w:space="0"/>
              <w:bottom w:val="single" w:color="auto" w:sz="6" w:space="0"/>
            </w:tcBorders>
            <w:shd w:val="clear" w:color="auto" w:fill="auto"/>
            <w:vAlign w:val="center"/>
          </w:tcPr>
          <w:p>
            <w:pPr>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exact"/>
          <w:jc w:val="center"/>
        </w:trPr>
        <w:tc>
          <w:tcPr>
            <w:tcW w:w="2495" w:type="pct"/>
            <w:tcBorders>
              <w:top w:val="single" w:color="auto" w:sz="6" w:space="0"/>
              <w:bottom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0.027</w:t>
            </w:r>
          </w:p>
        </w:tc>
        <w:tc>
          <w:tcPr>
            <w:tcW w:w="2504" w:type="pct"/>
            <w:tcBorders>
              <w:top w:val="single" w:color="auto" w:sz="6" w:space="0"/>
              <w:bottom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exact"/>
          <w:jc w:val="center"/>
        </w:trPr>
        <w:tc>
          <w:tcPr>
            <w:tcW w:w="2495" w:type="pct"/>
            <w:tcBorders>
              <w:top w:val="single" w:color="auto" w:sz="6" w:space="0"/>
              <w:bottom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0.12</w:t>
            </w:r>
          </w:p>
        </w:tc>
        <w:tc>
          <w:tcPr>
            <w:tcW w:w="2504" w:type="pct"/>
            <w:tcBorders>
              <w:top w:val="single" w:color="auto" w:sz="6" w:space="0"/>
              <w:bottom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exact"/>
          <w:jc w:val="center"/>
        </w:trPr>
        <w:tc>
          <w:tcPr>
            <w:tcW w:w="2495"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0.57</w:t>
            </w:r>
          </w:p>
        </w:tc>
        <w:tc>
          <w:tcPr>
            <w:tcW w:w="2504" w:type="pct"/>
            <w:tcBorders>
              <w:top w:val="single" w:color="auto" w:sz="6" w:space="0"/>
              <w:bottom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exact"/>
          <w:jc w:val="center"/>
        </w:trPr>
        <w:tc>
          <w:tcPr>
            <w:tcW w:w="2495"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1.07</w:t>
            </w:r>
          </w:p>
        </w:tc>
        <w:tc>
          <w:tcPr>
            <w:tcW w:w="2504" w:type="pct"/>
            <w:tcBorders>
              <w:top w:val="single" w:color="auto" w:sz="6" w:space="0"/>
              <w:bottom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exact"/>
          <w:jc w:val="center"/>
        </w:trPr>
        <w:tc>
          <w:tcPr>
            <w:tcW w:w="2495" w:type="pct"/>
            <w:tcBorders>
              <w:top w:val="single" w:color="auto" w:sz="6" w:space="0"/>
              <w:bottom w:val="single" w:color="auto" w:sz="6"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ascii="宋体" w:hAnsi="宋体" w:cs="宋体"/>
                <w:color w:val="000000"/>
                <w:kern w:val="0"/>
                <w:sz w:val="18"/>
                <w:szCs w:val="18"/>
                <w:lang w:bidi="ar"/>
              </w:rPr>
              <w:t>1.6</w:t>
            </w:r>
            <w:r>
              <w:rPr>
                <w:rFonts w:hint="eastAsia" w:ascii="宋体" w:hAnsi="宋体" w:cs="宋体"/>
                <w:color w:val="000000"/>
                <w:kern w:val="0"/>
                <w:sz w:val="18"/>
                <w:szCs w:val="18"/>
                <w:lang w:val="en-US" w:eastAsia="zh-CN" w:bidi="ar"/>
              </w:rPr>
              <w:t>9</w:t>
            </w:r>
          </w:p>
        </w:tc>
        <w:tc>
          <w:tcPr>
            <w:tcW w:w="2504" w:type="pct"/>
            <w:tcBorders>
              <w:top w:val="single" w:color="auto" w:sz="6" w:space="0"/>
              <w:bottom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exact"/>
          <w:jc w:val="center"/>
        </w:trPr>
        <w:tc>
          <w:tcPr>
            <w:tcW w:w="5000" w:type="pct"/>
            <w:gridSpan w:val="2"/>
            <w:tcBorders>
              <w:top w:val="single" w:color="auto" w:sz="6" w:space="0"/>
              <w:bottom w:val="single" w:color="auto" w:sz="12" w:space="0"/>
            </w:tcBorders>
            <w:shd w:val="clear" w:color="auto" w:fill="auto"/>
            <w:vAlign w:val="center"/>
          </w:tcPr>
          <w:p>
            <w:pPr>
              <w:rPr>
                <w:rFonts w:hint="default" w:ascii="Times New Roman" w:hAnsi="Times New Roman" w:cs="Times New Roman"/>
                <w:color w:val="000000"/>
                <w:kern w:val="0"/>
                <w:sz w:val="18"/>
                <w:szCs w:val="18"/>
                <w:highlight w:val="none"/>
                <w:vertAlign w:val="baseline"/>
                <w:lang w:val="en-US" w:eastAsia="zh-CN" w:bidi="ar"/>
              </w:rPr>
            </w:pPr>
            <w:r>
              <w:rPr>
                <w:rFonts w:hint="eastAsia" w:ascii="黑体" w:hAnsi="黑体" w:eastAsia="黑体" w:cs="黑体"/>
                <w:color w:val="000000"/>
                <w:kern w:val="0"/>
                <w:sz w:val="18"/>
                <w:szCs w:val="18"/>
                <w:highlight w:val="none"/>
                <w:lang w:val="en-US" w:eastAsia="zh-CN" w:bidi="ar"/>
              </w:rPr>
              <w:t>注1：</w:t>
            </w:r>
            <w:r>
              <w:rPr>
                <w:rFonts w:hint="eastAsia" w:ascii="宋体" w:hAnsi="宋体" w:eastAsia="宋体" w:cs="宋体"/>
                <w:color w:val="000000"/>
                <w:kern w:val="0"/>
                <w:sz w:val="18"/>
                <w:szCs w:val="18"/>
                <w:highlight w:val="none"/>
                <w:lang w:val="en-US" w:eastAsia="zh-CN" w:bidi="ar"/>
              </w:rPr>
              <w:t>重复性限（r）为2.8×S</w:t>
            </w:r>
            <w:r>
              <w:rPr>
                <w:rFonts w:hint="eastAsia" w:ascii="宋体" w:hAnsi="宋体" w:eastAsia="宋体" w:cs="宋体"/>
                <w:color w:val="000000"/>
                <w:kern w:val="0"/>
                <w:sz w:val="18"/>
                <w:szCs w:val="18"/>
                <w:highlight w:val="none"/>
                <w:vertAlign w:val="subscript"/>
                <w:lang w:val="en-US" w:eastAsia="zh-CN" w:bidi="ar"/>
              </w:rPr>
              <w:t>r</w:t>
            </w:r>
            <w:r>
              <w:rPr>
                <w:rFonts w:hint="eastAsia" w:ascii="宋体" w:hAnsi="宋体" w:eastAsia="宋体" w:cs="宋体"/>
                <w:color w:val="000000"/>
                <w:kern w:val="0"/>
                <w:sz w:val="18"/>
                <w:szCs w:val="18"/>
                <w:highlight w:val="none"/>
                <w:vertAlign w:val="baseline"/>
                <w:lang w:val="en-US" w:eastAsia="zh-CN" w:bidi="ar"/>
              </w:rPr>
              <w:t>，S</w:t>
            </w:r>
            <w:r>
              <w:rPr>
                <w:rFonts w:hint="eastAsia" w:ascii="宋体" w:hAnsi="宋体" w:eastAsia="宋体" w:cs="宋体"/>
                <w:color w:val="000000"/>
                <w:kern w:val="0"/>
                <w:sz w:val="18"/>
                <w:szCs w:val="18"/>
                <w:highlight w:val="none"/>
                <w:vertAlign w:val="subscript"/>
                <w:lang w:val="en-US" w:eastAsia="zh-CN" w:bidi="ar"/>
              </w:rPr>
              <w:t>r</w:t>
            </w:r>
            <w:r>
              <w:rPr>
                <w:rFonts w:hint="eastAsia" w:ascii="宋体" w:hAnsi="宋体" w:eastAsia="宋体" w:cs="宋体"/>
                <w:color w:val="000000"/>
                <w:kern w:val="0"/>
                <w:sz w:val="18"/>
                <w:szCs w:val="18"/>
                <w:highlight w:val="none"/>
                <w:vertAlign w:val="baseline"/>
                <w:lang w:val="en-US" w:eastAsia="zh-CN" w:bidi="ar"/>
              </w:rPr>
              <w:t>为重复性限标准偏差。</w:t>
            </w:r>
          </w:p>
          <w:p>
            <w:pPr>
              <w:rPr>
                <w:rFonts w:hint="eastAsia" w:ascii="宋体" w:hAnsi="宋体" w:eastAsia="宋体" w:cs="宋体"/>
                <w:color w:val="000000"/>
                <w:kern w:val="0"/>
                <w:sz w:val="18"/>
                <w:szCs w:val="18"/>
                <w:highlight w:val="none"/>
                <w:vertAlign w:val="baseline"/>
                <w:lang w:val="en-US" w:eastAsia="zh-CN" w:bidi="ar"/>
              </w:rPr>
            </w:pPr>
            <w:r>
              <w:rPr>
                <w:rFonts w:hint="eastAsia" w:ascii="黑体" w:hAnsi="黑体" w:eastAsia="黑体" w:cs="黑体"/>
                <w:color w:val="000000"/>
                <w:kern w:val="0"/>
                <w:sz w:val="18"/>
                <w:szCs w:val="18"/>
                <w:highlight w:val="none"/>
                <w:vertAlign w:val="baseline"/>
                <w:lang w:val="en-US" w:eastAsia="zh-CN" w:bidi="ar"/>
              </w:rPr>
              <w:t>注2：</w:t>
            </w:r>
            <w:r>
              <w:rPr>
                <w:rFonts w:hint="eastAsia" w:ascii="宋体" w:hAnsi="宋体" w:eastAsia="宋体" w:cs="宋体"/>
                <w:color w:val="000000"/>
                <w:kern w:val="0"/>
                <w:sz w:val="18"/>
                <w:szCs w:val="18"/>
                <w:highlight w:val="none"/>
                <w:vertAlign w:val="baseline"/>
                <w:lang w:val="en-US" w:eastAsia="zh-CN" w:bidi="ar"/>
              </w:rPr>
              <w:t>三氧化二铁重复性限方程：Y=0.0462X+0.0024。</w:t>
            </w:r>
          </w:p>
          <w:p>
            <w:pPr>
              <w:widowControl/>
              <w:jc w:val="left"/>
              <w:textAlignment w:val="center"/>
              <w:rPr>
                <w:rFonts w:hint="default" w:ascii="宋体" w:hAnsi="宋体" w:cs="宋体"/>
                <w:color w:val="000000"/>
                <w:kern w:val="0"/>
                <w:sz w:val="18"/>
                <w:szCs w:val="18"/>
                <w:highlight w:val="none"/>
                <w:vertAlign w:val="baseline"/>
                <w:lang w:val="en-US" w:eastAsia="zh-CN" w:bidi="ar"/>
              </w:rPr>
            </w:pPr>
          </w:p>
        </w:tc>
      </w:tr>
    </w:tbl>
    <w:p>
      <w:pPr>
        <w:pStyle w:val="81"/>
        <w:numPr>
          <w:ilvl w:val="0"/>
          <w:numId w:val="0"/>
        </w:numPr>
        <w:snapToGrid w:val="0"/>
        <w:spacing w:before="156" w:beforeLines="50" w:after="156" w:afterLines="50"/>
        <w:rPr>
          <w:rFonts w:ascii="Times New Roman"/>
          <w:kern w:val="2"/>
        </w:rPr>
      </w:pPr>
      <w:r>
        <w:rPr>
          <w:rFonts w:hAnsi="黑体"/>
          <w:color w:val="000000"/>
          <w:szCs w:val="22"/>
        </w:rPr>
        <w:t>10.2</w:t>
      </w:r>
      <w:r>
        <w:rPr>
          <w:rFonts w:ascii="Times New Roman"/>
        </w:rPr>
        <w:t>　</w:t>
      </w:r>
      <w:r>
        <w:rPr>
          <w:rFonts w:hint="eastAsia" w:ascii="Times New Roman"/>
          <w:kern w:val="2"/>
        </w:rPr>
        <w:t>再现性</w:t>
      </w:r>
    </w:p>
    <w:p>
      <w:pPr>
        <w:pStyle w:val="47"/>
        <w:snapToGrid w:val="0"/>
        <w:ind w:firstLine="420"/>
        <w:rPr>
          <w:rFonts w:hint="default" w:ascii="Times New Roman" w:hAnsi="Times New Roman" w:cs="Times New Roman"/>
        </w:rPr>
      </w:pPr>
      <w:r>
        <w:rPr>
          <w:rFonts w:hint="default" w:ascii="Times New Roman" w:hAnsi="Times New Roman" w:cs="Times New Roman"/>
          <w:color w:val="000000"/>
        </w:rPr>
        <w:t>在再现性条件下获得的两次独立测试结果的</w:t>
      </w:r>
      <w:r>
        <w:rPr>
          <w:rFonts w:hint="default" w:ascii="Times New Roman" w:hAnsi="Times New Roman" w:cs="Times New Roman"/>
        </w:rPr>
        <w:t>的</w:t>
      </w:r>
      <w:r>
        <w:rPr>
          <w:rFonts w:hint="default" w:ascii="Times New Roman" w:hAnsi="Times New Roman" w:cs="Times New Roman"/>
          <w:color w:val="000000"/>
        </w:rPr>
        <w:t>绝对差值不大于再现性限（</w:t>
      </w:r>
      <w:r>
        <w:rPr>
          <w:rFonts w:hint="default" w:ascii="Times New Roman" w:hAnsi="Times New Roman" w:cs="Times New Roman"/>
          <w:i/>
          <w:color w:val="000000"/>
        </w:rPr>
        <w:t>R</w:t>
      </w:r>
      <w:r>
        <w:rPr>
          <w:rFonts w:hint="default" w:ascii="Times New Roman" w:hAnsi="Times New Roman" w:cs="Times New Roman"/>
          <w:color w:val="000000"/>
        </w:rPr>
        <w:t>），超过再现性限（</w:t>
      </w:r>
      <w:r>
        <w:rPr>
          <w:rFonts w:hint="default" w:ascii="Times New Roman" w:hAnsi="Times New Roman" w:cs="Times New Roman"/>
          <w:i/>
          <w:color w:val="000000"/>
        </w:rPr>
        <w:t>R</w:t>
      </w:r>
      <w:r>
        <w:rPr>
          <w:rFonts w:hint="default" w:ascii="Times New Roman" w:hAnsi="Times New Roman" w:cs="Times New Roman"/>
          <w:color w:val="000000"/>
        </w:rPr>
        <w:t>）的情况不超过5%，再现性限（</w:t>
      </w:r>
      <w:r>
        <w:rPr>
          <w:rFonts w:hint="default" w:ascii="Times New Roman" w:hAnsi="Times New Roman" w:cs="Times New Roman"/>
          <w:i/>
          <w:color w:val="000000"/>
        </w:rPr>
        <w:t>R</w:t>
      </w:r>
      <w:r>
        <w:rPr>
          <w:rFonts w:hint="default" w:ascii="Times New Roman" w:hAnsi="Times New Roman" w:cs="Times New Roman"/>
          <w:color w:val="000000"/>
        </w:rPr>
        <w:t>）按</w:t>
      </w:r>
      <w:r>
        <w:rPr>
          <w:rFonts w:hint="default" w:ascii="Times New Roman" w:hAnsi="Times New Roman" w:cs="Times New Roman"/>
          <w:color w:val="000000"/>
          <w:lang w:val="en-US" w:eastAsia="zh-CN"/>
        </w:rPr>
        <w:t>表6</w:t>
      </w:r>
      <w:r>
        <w:rPr>
          <w:rFonts w:hint="default" w:ascii="Times New Roman" w:hAnsi="Times New Roman" w:cs="Times New Roman"/>
          <w:color w:val="000000"/>
        </w:rPr>
        <w:t>数据采用线性内插法或外延法求得。</w:t>
      </w:r>
    </w:p>
    <w:p>
      <w:pPr>
        <w:spacing w:before="156" w:beforeLines="50" w:after="156" w:afterLines="50" w:line="360" w:lineRule="exact"/>
        <w:jc w:val="center"/>
        <w:rPr>
          <w:rFonts w:eastAsia="黑体"/>
        </w:rPr>
      </w:pPr>
      <w:r>
        <w:rPr>
          <w:rFonts w:eastAsia="黑体"/>
        </w:rPr>
        <w:t>表</w:t>
      </w:r>
      <w:r>
        <w:rPr>
          <w:rFonts w:hint="eastAsia" w:ascii="黑体" w:hAnsi="黑体" w:eastAsia="黑体" w:cs="黑体"/>
          <w:lang w:val="en-US" w:eastAsia="zh-CN"/>
        </w:rPr>
        <w:t>6</w:t>
      </w:r>
      <w:r>
        <w:rPr>
          <w:color w:val="000000"/>
        </w:rPr>
        <w:t>　</w:t>
      </w:r>
      <w:r>
        <w:rPr>
          <w:rFonts w:eastAsia="黑体"/>
        </w:rPr>
        <w:t>再现性限</w:t>
      </w:r>
      <w:r>
        <w:rPr>
          <w:rFonts w:hint="eastAsia" w:ascii="黑体" w:hAnsi="黑体" w:eastAsia="黑体"/>
        </w:rPr>
        <w:t>（</w:t>
      </w:r>
      <w:r>
        <w:rPr>
          <w:rFonts w:hint="eastAsia" w:ascii="黑体" w:hAnsi="黑体" w:eastAsia="黑体"/>
          <w:i/>
        </w:rPr>
        <w:t>R</w:t>
      </w:r>
      <w:r>
        <w:rPr>
          <w:rFonts w:hint="eastAsia" w:ascii="黑体" w:hAnsi="黑体" w:eastAsia="黑体"/>
        </w:rPr>
        <w:t>）</w:t>
      </w:r>
    </w:p>
    <w:tbl>
      <w:tblPr>
        <w:tblStyle w:val="31"/>
        <w:tblW w:w="493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16"/>
        <w:gridCol w:w="47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exact"/>
          <w:jc w:val="center"/>
        </w:trPr>
        <w:tc>
          <w:tcPr>
            <w:tcW w:w="2498" w:type="pct"/>
            <w:tcBorders>
              <w:bottom w:val="single" w:color="auto" w:sz="12" w:space="0"/>
            </w:tcBorders>
            <w:shd w:val="clear" w:color="auto" w:fill="auto"/>
            <w:vAlign w:val="center"/>
          </w:tcPr>
          <w:p>
            <w:pPr>
              <w:spacing w:line="220" w:lineRule="exact"/>
              <w:jc w:val="center"/>
              <w:rPr>
                <w:rFonts w:hint="eastAsia" w:ascii="宋体" w:hAnsi="宋体" w:cs="宋体"/>
                <w:sz w:val="18"/>
                <w:szCs w:val="18"/>
              </w:rPr>
            </w:pPr>
            <w:r>
              <w:rPr>
                <w:rFonts w:hint="eastAsia" w:ascii="宋体" w:hAnsi="宋体" w:cs="宋体"/>
                <w:sz w:val="18"/>
                <w:szCs w:val="18"/>
              </w:rPr>
              <w:t>三氧化二铁的质量分数</w:t>
            </w:r>
          </w:p>
          <w:p>
            <w:pPr>
              <w:spacing w:line="220" w:lineRule="exact"/>
              <w:jc w:val="center"/>
              <w:rPr>
                <w:rFonts w:ascii="宋体" w:hAnsi="宋体" w:cs="宋体"/>
                <w:sz w:val="18"/>
                <w:szCs w:val="18"/>
              </w:rPr>
            </w:pPr>
            <w:r>
              <w:rPr>
                <w:rFonts w:ascii="宋体" w:hAnsi="宋体" w:cs="宋体"/>
                <w:sz w:val="18"/>
                <w:szCs w:val="18"/>
              </w:rPr>
              <w:t>%</w:t>
            </w:r>
          </w:p>
        </w:tc>
        <w:tc>
          <w:tcPr>
            <w:tcW w:w="2501" w:type="pct"/>
            <w:tcBorders>
              <w:bottom w:val="single" w:color="auto" w:sz="12" w:space="0"/>
            </w:tcBorders>
            <w:shd w:val="clear" w:color="auto" w:fill="auto"/>
            <w:vAlign w:val="center"/>
          </w:tcPr>
          <w:p>
            <w:pPr>
              <w:spacing w:line="220" w:lineRule="exact"/>
              <w:jc w:val="center"/>
              <w:rPr>
                <w:rFonts w:ascii="宋体" w:hAnsi="宋体" w:cs="宋体"/>
                <w:sz w:val="18"/>
                <w:szCs w:val="18"/>
              </w:rPr>
            </w:pPr>
            <w:r>
              <w:rPr>
                <w:rFonts w:hint="eastAsia" w:ascii="宋体" w:hAnsi="宋体" w:cs="宋体"/>
                <w:sz w:val="18"/>
                <w:szCs w:val="18"/>
              </w:rPr>
              <w:t>再现</w:t>
            </w:r>
            <w:r>
              <w:rPr>
                <w:rFonts w:ascii="宋体" w:hAnsi="宋体" w:cs="宋体"/>
                <w:sz w:val="18"/>
                <w:szCs w:val="18"/>
              </w:rPr>
              <w:t>性</w:t>
            </w:r>
            <w:r>
              <w:rPr>
                <w:rFonts w:hint="eastAsia" w:ascii="宋体" w:hAnsi="宋体" w:cs="宋体"/>
                <w:sz w:val="18"/>
                <w:szCs w:val="18"/>
              </w:rPr>
              <w:t>限</w:t>
            </w:r>
            <w:r>
              <w:rPr>
                <w:rFonts w:ascii="宋体" w:hAnsi="宋体" w:cs="宋体"/>
                <w:sz w:val="18"/>
                <w:szCs w:val="18"/>
              </w:rPr>
              <w:t>(</w:t>
            </w:r>
            <w:r>
              <w:rPr>
                <w:rFonts w:ascii="宋体" w:hAnsi="宋体" w:cs="宋体"/>
                <w:i/>
                <w:iCs/>
                <w:sz w:val="18"/>
                <w:szCs w:val="18"/>
              </w:rPr>
              <w:t>R</w:t>
            </w:r>
            <w:r>
              <w:rPr>
                <w:rFonts w:ascii="宋体" w:hAnsi="宋体" w:cs="宋体"/>
                <w:sz w:val="18"/>
                <w:szCs w:val="18"/>
              </w:rPr>
              <w:t>)</w:t>
            </w:r>
          </w:p>
          <w:p>
            <w:pPr>
              <w:spacing w:line="220" w:lineRule="exact"/>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exact"/>
          <w:jc w:val="center"/>
        </w:trPr>
        <w:tc>
          <w:tcPr>
            <w:tcW w:w="2498" w:type="pct"/>
            <w:tcBorders>
              <w:top w:val="single" w:color="auto" w:sz="12" w:space="0"/>
              <w:bottom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0.012</w:t>
            </w:r>
          </w:p>
        </w:tc>
        <w:tc>
          <w:tcPr>
            <w:tcW w:w="2501" w:type="pct"/>
            <w:tcBorders>
              <w:top w:val="single" w:color="auto" w:sz="12" w:space="0"/>
              <w:bottom w:val="single" w:color="auto" w:sz="6" w:space="0"/>
            </w:tcBorders>
            <w:shd w:val="clear" w:color="auto" w:fill="auto"/>
            <w:vAlign w:val="center"/>
          </w:tcPr>
          <w:p>
            <w:pPr>
              <w:spacing w:line="22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0.027</w:t>
            </w:r>
          </w:p>
        </w:tc>
        <w:tc>
          <w:tcPr>
            <w:tcW w:w="2501" w:type="pct"/>
            <w:tcBorders>
              <w:top w:val="single" w:color="auto" w:sz="6" w:space="0"/>
              <w:bottom w:val="single" w:color="auto" w:sz="6" w:space="0"/>
            </w:tcBorders>
            <w:shd w:val="clear" w:color="auto" w:fill="auto"/>
            <w:vAlign w:val="center"/>
          </w:tcPr>
          <w:p>
            <w:pPr>
              <w:spacing w:line="22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0.12</w:t>
            </w:r>
          </w:p>
        </w:tc>
        <w:tc>
          <w:tcPr>
            <w:tcW w:w="2501" w:type="pct"/>
            <w:tcBorders>
              <w:top w:val="single" w:color="auto" w:sz="6" w:space="0"/>
              <w:bottom w:val="single" w:color="auto" w:sz="6" w:space="0"/>
            </w:tcBorders>
            <w:shd w:val="clear" w:color="auto" w:fill="auto"/>
            <w:vAlign w:val="center"/>
          </w:tcPr>
          <w:p>
            <w:pPr>
              <w:spacing w:line="220" w:lineRule="exact"/>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0.57</w:t>
            </w:r>
          </w:p>
        </w:tc>
        <w:tc>
          <w:tcPr>
            <w:tcW w:w="2501" w:type="pct"/>
            <w:tcBorders>
              <w:top w:val="single" w:color="auto" w:sz="6" w:space="0"/>
              <w:bottom w:val="single" w:color="auto" w:sz="6" w:space="0"/>
            </w:tcBorders>
            <w:shd w:val="clear" w:color="auto" w:fill="auto"/>
            <w:vAlign w:val="center"/>
          </w:tcPr>
          <w:p>
            <w:pPr>
              <w:spacing w:line="220" w:lineRule="exact"/>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1.07</w:t>
            </w:r>
          </w:p>
        </w:tc>
        <w:tc>
          <w:tcPr>
            <w:tcW w:w="2501" w:type="pct"/>
            <w:tcBorders>
              <w:top w:val="single" w:color="auto" w:sz="6" w:space="0"/>
              <w:bottom w:val="single" w:color="auto" w:sz="6" w:space="0"/>
            </w:tcBorders>
            <w:shd w:val="clear" w:color="auto" w:fill="auto"/>
            <w:vAlign w:val="center"/>
          </w:tcPr>
          <w:p>
            <w:pPr>
              <w:spacing w:line="220" w:lineRule="exact"/>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ascii="宋体" w:hAnsi="宋体" w:cs="宋体"/>
                <w:color w:val="000000"/>
                <w:kern w:val="0"/>
                <w:sz w:val="18"/>
                <w:szCs w:val="18"/>
                <w:lang w:bidi="ar"/>
              </w:rPr>
              <w:t>1.6</w:t>
            </w:r>
            <w:r>
              <w:rPr>
                <w:rFonts w:hint="eastAsia" w:ascii="宋体" w:hAnsi="宋体" w:cs="宋体"/>
                <w:color w:val="000000"/>
                <w:kern w:val="0"/>
                <w:sz w:val="18"/>
                <w:szCs w:val="18"/>
                <w:lang w:val="en-US" w:eastAsia="zh-CN" w:bidi="ar"/>
              </w:rPr>
              <w:t>9</w:t>
            </w:r>
          </w:p>
        </w:tc>
        <w:tc>
          <w:tcPr>
            <w:tcW w:w="2501" w:type="pct"/>
            <w:tcBorders>
              <w:top w:val="single" w:color="auto" w:sz="6" w:space="0"/>
              <w:bottom w:val="single" w:color="auto" w:sz="6" w:space="0"/>
            </w:tcBorders>
            <w:shd w:val="clear" w:color="auto" w:fill="auto"/>
            <w:vAlign w:val="center"/>
          </w:tcPr>
          <w:p>
            <w:pPr>
              <w:spacing w:line="220" w:lineRule="exact"/>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exact"/>
          <w:jc w:val="center"/>
        </w:trPr>
        <w:tc>
          <w:tcPr>
            <w:tcW w:w="5000" w:type="pct"/>
            <w:gridSpan w:val="2"/>
            <w:tcBorders>
              <w:top w:val="single" w:color="auto" w:sz="6" w:space="0"/>
              <w:bottom w:val="single" w:color="auto" w:sz="12" w:space="0"/>
            </w:tcBorders>
            <w:shd w:val="clear" w:color="auto" w:fill="auto"/>
            <w:vAlign w:val="center"/>
          </w:tcPr>
          <w:p>
            <w:pPr>
              <w:rPr>
                <w:rFonts w:hint="default" w:ascii="Times New Roman" w:hAnsi="Times New Roman" w:cs="Times New Roman"/>
                <w:color w:val="000000"/>
                <w:kern w:val="0"/>
                <w:sz w:val="18"/>
                <w:szCs w:val="18"/>
                <w:highlight w:val="none"/>
                <w:vertAlign w:val="baseline"/>
                <w:lang w:val="en-US" w:eastAsia="zh-CN" w:bidi="ar"/>
              </w:rPr>
            </w:pPr>
            <w:r>
              <w:rPr>
                <w:rFonts w:hint="eastAsia" w:ascii="黑体" w:hAnsi="黑体" w:eastAsia="黑体" w:cs="黑体"/>
                <w:color w:val="000000"/>
                <w:kern w:val="0"/>
                <w:sz w:val="18"/>
                <w:szCs w:val="18"/>
                <w:highlight w:val="none"/>
                <w:lang w:val="en-US" w:eastAsia="zh-CN" w:bidi="ar"/>
              </w:rPr>
              <w:t>注1：</w:t>
            </w:r>
            <w:r>
              <w:rPr>
                <w:rFonts w:hint="eastAsia" w:ascii="宋体" w:hAnsi="宋体" w:eastAsia="宋体" w:cs="宋体"/>
                <w:color w:val="000000"/>
                <w:kern w:val="0"/>
                <w:sz w:val="18"/>
                <w:szCs w:val="18"/>
                <w:highlight w:val="none"/>
                <w:lang w:val="en-US" w:eastAsia="zh-CN" w:bidi="ar"/>
              </w:rPr>
              <w:t>再现性限（R）为2.8×S</w:t>
            </w:r>
            <w:r>
              <w:rPr>
                <w:rFonts w:hint="eastAsia" w:ascii="宋体" w:hAnsi="宋体" w:eastAsia="宋体" w:cs="宋体"/>
                <w:color w:val="000000"/>
                <w:kern w:val="0"/>
                <w:sz w:val="18"/>
                <w:szCs w:val="18"/>
                <w:highlight w:val="none"/>
                <w:vertAlign w:val="subscript"/>
                <w:lang w:val="en-US" w:eastAsia="zh-CN" w:bidi="ar"/>
              </w:rPr>
              <w:t>R</w:t>
            </w:r>
            <w:r>
              <w:rPr>
                <w:rFonts w:hint="eastAsia" w:ascii="宋体" w:hAnsi="宋体" w:eastAsia="宋体" w:cs="宋体"/>
                <w:color w:val="000000"/>
                <w:kern w:val="0"/>
                <w:sz w:val="18"/>
                <w:szCs w:val="18"/>
                <w:highlight w:val="none"/>
                <w:vertAlign w:val="baseline"/>
                <w:lang w:val="en-US" w:eastAsia="zh-CN" w:bidi="ar"/>
              </w:rPr>
              <w:t>，S</w:t>
            </w:r>
            <w:r>
              <w:rPr>
                <w:rFonts w:hint="eastAsia" w:ascii="宋体" w:hAnsi="宋体" w:eastAsia="宋体" w:cs="宋体"/>
                <w:color w:val="000000"/>
                <w:kern w:val="0"/>
                <w:sz w:val="18"/>
                <w:szCs w:val="18"/>
                <w:highlight w:val="none"/>
                <w:vertAlign w:val="subscript"/>
                <w:lang w:val="en-US" w:eastAsia="zh-CN" w:bidi="ar"/>
              </w:rPr>
              <w:t>R</w:t>
            </w:r>
            <w:r>
              <w:rPr>
                <w:rFonts w:hint="eastAsia" w:ascii="宋体" w:hAnsi="宋体" w:eastAsia="宋体" w:cs="宋体"/>
                <w:color w:val="000000"/>
                <w:kern w:val="0"/>
                <w:sz w:val="18"/>
                <w:szCs w:val="18"/>
                <w:highlight w:val="none"/>
                <w:vertAlign w:val="baseline"/>
                <w:lang w:val="en-US" w:eastAsia="zh-CN" w:bidi="ar"/>
              </w:rPr>
              <w:t>为再现性限标准偏差。</w:t>
            </w:r>
          </w:p>
          <w:p>
            <w:pPr>
              <w:rPr>
                <w:rFonts w:hint="default" w:ascii="宋体" w:hAnsi="宋体" w:cs="宋体"/>
                <w:color w:val="000000"/>
                <w:kern w:val="0"/>
                <w:sz w:val="18"/>
                <w:szCs w:val="18"/>
                <w:highlight w:val="none"/>
                <w:vertAlign w:val="baseline"/>
                <w:lang w:val="en-US" w:eastAsia="zh-CN" w:bidi="ar"/>
              </w:rPr>
            </w:pPr>
            <w:r>
              <w:rPr>
                <w:rFonts w:hint="eastAsia" w:ascii="黑体" w:hAnsi="黑体" w:eastAsia="黑体" w:cs="黑体"/>
                <w:color w:val="000000"/>
                <w:kern w:val="0"/>
                <w:sz w:val="18"/>
                <w:szCs w:val="18"/>
                <w:highlight w:val="none"/>
                <w:vertAlign w:val="baseline"/>
                <w:lang w:val="en-US" w:eastAsia="zh-CN" w:bidi="ar"/>
              </w:rPr>
              <w:t>注2：</w:t>
            </w:r>
            <w:r>
              <w:rPr>
                <w:rFonts w:hint="eastAsia" w:ascii="宋体" w:hAnsi="宋体" w:eastAsia="宋体" w:cs="宋体"/>
                <w:color w:val="000000"/>
                <w:kern w:val="0"/>
                <w:sz w:val="18"/>
                <w:szCs w:val="18"/>
                <w:highlight w:val="none"/>
                <w:vertAlign w:val="baseline"/>
                <w:lang w:val="en-US" w:eastAsia="zh-CN" w:bidi="ar"/>
              </w:rPr>
              <w:t>三氧化二铁再现性限方程：Y=0.0638X+0.0025。</w:t>
            </w:r>
          </w:p>
          <w:p>
            <w:pPr>
              <w:spacing w:line="220" w:lineRule="exact"/>
              <w:jc w:val="center"/>
              <w:rPr>
                <w:rFonts w:hint="eastAsia" w:ascii="宋体" w:hAnsi="宋体" w:cs="宋体"/>
                <w:color w:val="000000"/>
                <w:kern w:val="0"/>
                <w:sz w:val="18"/>
                <w:szCs w:val="18"/>
                <w:highlight w:val="none"/>
                <w:lang w:val="en-US" w:eastAsia="zh-CN" w:bidi="ar"/>
              </w:rPr>
            </w:pPr>
          </w:p>
        </w:tc>
      </w:tr>
    </w:tbl>
    <w:p>
      <w:pPr>
        <w:pStyle w:val="47"/>
        <w:snapToGrid w:val="0"/>
        <w:ind w:firstLine="0" w:firstLineChars="0"/>
        <w:rPr>
          <w:rFonts w:hAnsi="宋体" w:cs="宋体"/>
        </w:rPr>
      </w:pPr>
      <w:r>
        <mc:AlternateContent>
          <mc:Choice Requires="wps">
            <w:drawing>
              <wp:anchor distT="0" distB="0" distL="114300" distR="114300" simplePos="0" relativeHeight="251671552" behindDoc="0" locked="0" layoutInCell="1" allowOverlap="1">
                <wp:simplePos x="0" y="0"/>
                <wp:positionH relativeFrom="column">
                  <wp:posOffset>1777365</wp:posOffset>
                </wp:positionH>
                <wp:positionV relativeFrom="paragraph">
                  <wp:posOffset>221615</wp:posOffset>
                </wp:positionV>
                <wp:extent cx="2209800" cy="2540"/>
                <wp:effectExtent l="0" t="0" r="0" b="0"/>
                <wp:wrapNone/>
                <wp:docPr id="7" name="直接连接符 7"/>
                <wp:cNvGraphicFramePr/>
                <a:graphic xmlns:a="http://schemas.openxmlformats.org/drawingml/2006/main">
                  <a:graphicData uri="http://schemas.microsoft.com/office/word/2010/wordprocessingShape">
                    <wps:wsp>
                      <wps:cNvCnPr/>
                      <wps:spPr>
                        <a:xfrm>
                          <a:off x="2325370" y="8241030"/>
                          <a:ext cx="2209800" cy="254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9.95pt;margin-top:17.45pt;height:0.2pt;width:174pt;z-index:251671552;mso-width-relative:page;mso-height-relative:page;" filled="f" stroked="t" coordsize="21600,21600" o:gfxdata="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XWsNkAAAAJAQAADwAAAAAAAAABACAAAAAiAAAAZHJzL2Rvd25yZXYueG1sUEsBAhQA&#10;FAAAAAgAh07iQLA53GfxAQAAwQMAAA4AAAAAAAAAAQAgAAAAKAEAAGRycy9lMm9Eb2MueG1sUEsF&#10;BgAAAAAGAAYAWQEAAIsFAAAAAA==&#10;">
                <v:fill on="f" focussize="0,0"/>
                <v:stroke weight="1.5pt" color="#000000 [3213]" miterlimit="8" joinstyle="miter"/>
                <v:imagedata o:title=""/>
                <o:lock v:ext="edit" aspectratio="f"/>
              </v:line>
            </w:pict>
          </mc:Fallback>
        </mc:AlternateContent>
      </w:r>
    </w:p>
    <w:sectPr>
      <w:headerReference r:id="rId14" w:type="default"/>
      <w:footerReference r:id="rId16" w:type="default"/>
      <w:headerReference r:id="rId15" w:type="even"/>
      <w:footerReference r:id="rId17" w:type="even"/>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4"/>
      </w:rPr>
    </w:pPr>
    <w: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34"/>
      </w:rPr>
    </w:pPr>
    <w: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ascii="宋体" w:hAnsi="宋体"/>
      </w:rPr>
      <w:t>Ⅱ</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黑体" w:hAnsi="黑体" w:eastAsia="黑体"/>
      </w:rPr>
    </w:pPr>
    <w:r>
      <w:rPr>
        <w:rFonts w:hint="eastAsia" w:ascii="黑体" w:hAnsi="黑体" w:eastAsia="黑体"/>
      </w:rPr>
      <w:t>Ⅰ</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4"/>
      </w:rPr>
    </w:pPr>
    <w:r>
      <w:fldChar w:fldCharType="begin"/>
    </w:r>
    <w:r>
      <w:rPr>
        <w:rStyle w:val="34"/>
      </w:rPr>
      <w:instrText xml:space="preserve">PAGE  </w:instrText>
    </w:r>
    <w:r>
      <w:fldChar w:fldCharType="separate"/>
    </w:r>
    <w:r>
      <w:rPr>
        <w:rStyle w:val="34"/>
      </w:rPr>
      <w:t>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rPr>
        <w:rStyle w:val="34"/>
      </w:rPr>
    </w:pPr>
    <w:r>
      <w:fldChar w:fldCharType="begin"/>
    </w:r>
    <w:r>
      <w:rPr>
        <w:rStyle w:val="34"/>
      </w:rPr>
      <w:instrText xml:space="preserve">PAGE  </w:instrText>
    </w:r>
    <w:r>
      <w:fldChar w:fldCharType="separate"/>
    </w:r>
    <w:r>
      <w:rPr>
        <w:rStyle w:val="34"/>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jc w:val="right"/>
      <w:rPr>
        <w:rFonts w:ascii="黑体" w:hAnsi="黑体" w:eastAsia="黑体"/>
      </w:rPr>
    </w:pPr>
    <w:r>
      <w:rPr>
        <w:rFonts w:ascii="黑体" w:hAnsi="黑体" w:eastAsia="黑体"/>
      </w:rPr>
      <w:t>GB/T 18882.4—202X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right"/>
      <w:rPr>
        <w:rFonts w:ascii="黑体" w:hAnsi="黑体" w:eastAsia="黑体"/>
        <w:sz w:val="21"/>
        <w:szCs w:val="21"/>
      </w:rPr>
    </w:pPr>
    <w:r>
      <w:rPr>
        <w:rFonts w:ascii="黑体" w:hAnsi="黑体" w:eastAsia="黑体"/>
        <w:sz w:val="21"/>
        <w:szCs w:val="21"/>
      </w:rPr>
      <w:t>GB/T</w:t>
    </w:r>
    <w:r>
      <w:rPr>
        <w:rFonts w:hint="eastAsia" w:ascii="黑体" w:hAnsi="黑体" w:eastAsia="黑体"/>
        <w:sz w:val="21"/>
        <w:szCs w:val="21"/>
      </w:rPr>
      <w:t xml:space="preserve"> 1</w:t>
    </w:r>
    <w:r>
      <w:rPr>
        <w:rFonts w:hint="eastAsia" w:ascii="黑体" w:hAnsi="黑体" w:eastAsia="黑体"/>
        <w:sz w:val="21"/>
        <w:szCs w:val="21"/>
        <w:lang w:val="en-US" w:eastAsia="zh-CN"/>
      </w:rPr>
      <w:t>8115.4</w:t>
    </w:r>
    <w:r>
      <w:rPr>
        <w:rFonts w:ascii="黑体" w:hAnsi="黑体" w:eastAsia="黑体"/>
        <w:sz w:val="21"/>
        <w:szCs w:val="21"/>
      </w:rP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wordWrap w:val="0"/>
      <w:jc w:val="right"/>
    </w:pPr>
  </w:p>
  <w:p>
    <w:pPr>
      <w:pStyle w:val="26"/>
      <w:pBdr>
        <w:bottom w:val="none" w:color="auto" w:sz="0" w:space="0"/>
      </w:pBdr>
      <w:jc w:val="right"/>
    </w:pPr>
  </w:p>
  <w:p>
    <w:pPr>
      <w:pStyle w:val="26"/>
      <w:pBdr>
        <w:bottom w:val="none" w:color="auto" w:sz="0" w:space="0"/>
      </w:pBdr>
      <w:jc w:val="right"/>
      <w:rPr>
        <w:rFonts w:hint="eastAsia" w:ascii="黑体" w:hAnsi="黑体" w:eastAsia="黑体" w:cs="黑体"/>
        <w:sz w:val="21"/>
        <w:szCs w:val="21"/>
      </w:rPr>
    </w:pPr>
    <w:r>
      <w:rPr>
        <w:rFonts w:hint="eastAsia" w:ascii="黑体" w:hAnsi="黑体" w:eastAsia="黑体" w:cs="黑体"/>
        <w:sz w:val="21"/>
        <w:szCs w:val="21"/>
      </w:rPr>
      <w:t xml:space="preserve">GB/T </w:t>
    </w:r>
    <w:r>
      <w:rPr>
        <w:rFonts w:hint="eastAsia" w:ascii="黑体" w:hAnsi="黑体" w:eastAsia="黑体" w:cs="黑体"/>
        <w:sz w:val="21"/>
        <w:szCs w:val="21"/>
        <w:lang w:val="en-US" w:eastAsia="zh-CN"/>
      </w:rPr>
      <w:t>18882.4</w:t>
    </w:r>
    <w:r>
      <w:rPr>
        <w:rFonts w:hint="eastAsia" w:ascii="黑体" w:hAnsi="黑体" w:eastAsia="黑体" w:cs="黑体"/>
        <w:sz w:val="21"/>
        <w:szCs w:val="21"/>
      </w:rPr>
      <w:t>-20</w:t>
    </w:r>
    <w:r>
      <w:rPr>
        <w:rFonts w:hint="eastAsia" w:ascii="黑体" w:hAnsi="黑体" w:eastAsia="黑体" w:cs="黑体"/>
        <w:sz w:val="21"/>
        <w:szCs w:val="21"/>
        <w:lang w:val="en-US" w:eastAsia="zh-CN"/>
      </w:rPr>
      <w:t>2</w:t>
    </w:r>
    <w:r>
      <w:rPr>
        <w:rFonts w:hint="eastAsia" w:ascii="黑体" w:hAnsi="黑体" w:eastAsia="黑体" w:cs="黑体"/>
        <w:sz w:val="21"/>
        <w:szCs w:val="21"/>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right"/>
      <w:rPr>
        <w:rFonts w:ascii="黑体" w:hAnsi="黑体" w:eastAsia="黑体"/>
        <w:sz w:val="21"/>
        <w:szCs w:val="21"/>
      </w:rPr>
    </w:pPr>
    <w:r>
      <w:rPr>
        <w:rFonts w:ascii="黑体" w:hAnsi="黑体" w:eastAsia="黑体"/>
        <w:sz w:val="21"/>
        <w:szCs w:val="21"/>
      </w:rPr>
      <w:t>GB/T</w:t>
    </w:r>
    <w:r>
      <w:rPr>
        <w:rFonts w:hint="eastAsia" w:ascii="黑体" w:hAnsi="黑体" w:eastAsia="黑体"/>
        <w:sz w:val="21"/>
        <w:szCs w:val="21"/>
      </w:rPr>
      <w:t xml:space="preserve"> </w:t>
    </w:r>
    <w:r>
      <w:rPr>
        <w:rFonts w:hint="eastAsia" w:ascii="黑体" w:hAnsi="黑体" w:eastAsia="黑体"/>
        <w:sz w:val="21"/>
        <w:szCs w:val="21"/>
        <w:lang w:val="en-US" w:eastAsia="zh-CN"/>
      </w:rPr>
      <w:t>18882.4</w:t>
    </w:r>
    <w:r>
      <w:rPr>
        <w:rFonts w:ascii="黑体" w:hAnsi="黑体" w:eastAsia="黑体"/>
        <w:sz w:val="21"/>
        <w:szCs w:val="21"/>
      </w:rPr>
      <w:t>—202X</w:t>
    </w:r>
  </w:p>
  <w:p>
    <w:pPr>
      <w:pStyle w:val="2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spacing w:after="0"/>
      <w:rPr>
        <w:rFonts w:ascii="黑体" w:hAnsi="黑体" w:eastAsia="黑体"/>
      </w:rPr>
    </w:pPr>
    <w:r>
      <w:rPr>
        <w:rFonts w:ascii="黑体" w:hAnsi="黑体" w:eastAsia="黑体"/>
      </w:rPr>
      <w:t>GB/T 18882.4—202</w:t>
    </w:r>
    <w:r>
      <w:rPr>
        <w:rFonts w:hint="eastAsia" w:ascii="黑体" w:hAnsi="黑体" w:eastAsia="黑体"/>
      </w:rPr>
      <w:t>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spacing w:after="0"/>
      <w:jc w:val="right"/>
      <w:rPr>
        <w:rFonts w:ascii="黑体" w:hAnsi="黑体" w:eastAsia="黑体"/>
      </w:rPr>
    </w:pPr>
    <w:r>
      <w:rPr>
        <w:rFonts w:ascii="黑体" w:hAnsi="黑体" w:eastAsia="黑体"/>
      </w:rPr>
      <w:t>GB/T 18882.4—202</w:t>
    </w:r>
    <w:r>
      <w:rPr>
        <w:rFonts w:hint="eastAsia" w:ascii="黑体" w:hAnsi="黑体" w:eastAsia="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9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6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8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10"/>
      <w:suff w:val="nothing"/>
      <w:lvlText w:val="附　录　%1"/>
      <w:lvlJc w:val="left"/>
      <w:pPr>
        <w:ind w:left="0" w:firstLine="0"/>
      </w:pPr>
      <w:rPr>
        <w:rFonts w:hint="eastAsia" w:ascii="黑体" w:hAnsi="Times New Roman" w:eastAsia="黑体"/>
        <w:b w:val="0"/>
        <w:i w:val="0"/>
        <w:sz w:val="21"/>
      </w:rPr>
    </w:lvl>
    <w:lvl w:ilvl="1" w:tentative="0">
      <w:start w:val="1"/>
      <w:numFmt w:val="decimal"/>
      <w:pStyle w:val="6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cs="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73"/>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6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0A07505"/>
    <w:multiLevelType w:val="multilevel"/>
    <w:tmpl w:val="70A07505"/>
    <w:lvl w:ilvl="0" w:tentative="0">
      <w:start w:val="5"/>
      <w:numFmt w:val="decimal"/>
      <w:lvlText w:val="%1"/>
      <w:lvlJc w:val="left"/>
      <w:pPr>
        <w:ind w:left="360" w:hanging="360"/>
      </w:pPr>
      <w:rPr>
        <w:rFonts w:hint="default" w:ascii="Times New Roman" w:hAnsi="Times New Roman" w:eastAsia="黑体" w:cs="Times New Roman"/>
        <w:color w:val="auto"/>
      </w:rPr>
    </w:lvl>
    <w:lvl w:ilvl="1" w:tentative="0">
      <w:start w:val="9"/>
      <w:numFmt w:val="decimal"/>
      <w:isLgl/>
      <w:lvlText w:val="%1.%2"/>
      <w:lvlJc w:val="left"/>
      <w:pPr>
        <w:ind w:left="375" w:hanging="375"/>
      </w:pPr>
      <w:rPr>
        <w:rFonts w:hint="default" w:ascii="黑体" w:hAnsi="黑体" w:eastAsia="黑体" w:cs="Times New Roman"/>
      </w:rPr>
    </w:lvl>
    <w:lvl w:ilvl="2" w:tentative="0">
      <w:start w:val="1"/>
      <w:numFmt w:val="decimal"/>
      <w:isLgl/>
      <w:lvlText w:val="%1.%2.%3"/>
      <w:lvlJc w:val="left"/>
      <w:pPr>
        <w:ind w:left="720" w:hanging="720"/>
      </w:pPr>
      <w:rPr>
        <w:rFonts w:hint="default" w:ascii="Times New Roman" w:hAnsi="Times New Roman" w:eastAsia="黑体" w:cs="Times New Roman"/>
      </w:rPr>
    </w:lvl>
    <w:lvl w:ilvl="3" w:tentative="0">
      <w:start w:val="1"/>
      <w:numFmt w:val="decimal"/>
      <w:isLgl/>
      <w:lvlText w:val="%1.%2.%3.%4"/>
      <w:lvlJc w:val="left"/>
      <w:pPr>
        <w:ind w:left="1080" w:hanging="1080"/>
      </w:pPr>
      <w:rPr>
        <w:rFonts w:hint="default" w:ascii="Times New Roman" w:hAnsi="Times New Roman" w:eastAsia="黑体" w:cs="Times New Roman"/>
      </w:rPr>
    </w:lvl>
    <w:lvl w:ilvl="4" w:tentative="0">
      <w:start w:val="1"/>
      <w:numFmt w:val="decimal"/>
      <w:isLgl/>
      <w:lvlText w:val="%1.%2.%3.%4.%5"/>
      <w:lvlJc w:val="left"/>
      <w:pPr>
        <w:ind w:left="1080" w:hanging="1080"/>
      </w:pPr>
      <w:rPr>
        <w:rFonts w:hint="default" w:ascii="Times New Roman" w:hAnsi="Times New Roman" w:eastAsia="黑体" w:cs="Times New Roman"/>
      </w:rPr>
    </w:lvl>
    <w:lvl w:ilvl="5" w:tentative="0">
      <w:start w:val="1"/>
      <w:numFmt w:val="decimal"/>
      <w:isLgl/>
      <w:lvlText w:val="%1.%2.%3.%4.%5.%6"/>
      <w:lvlJc w:val="left"/>
      <w:pPr>
        <w:ind w:left="1440" w:hanging="1440"/>
      </w:pPr>
      <w:rPr>
        <w:rFonts w:hint="default" w:ascii="Times New Roman" w:hAnsi="Times New Roman" w:eastAsia="黑体" w:cs="Times New Roman"/>
      </w:rPr>
    </w:lvl>
    <w:lvl w:ilvl="6" w:tentative="0">
      <w:start w:val="1"/>
      <w:numFmt w:val="decimal"/>
      <w:isLgl/>
      <w:lvlText w:val="%1.%2.%3.%4.%5.%6.%7"/>
      <w:lvlJc w:val="left"/>
      <w:pPr>
        <w:ind w:left="1440" w:hanging="1440"/>
      </w:pPr>
      <w:rPr>
        <w:rFonts w:hint="default" w:ascii="Times New Roman" w:hAnsi="Times New Roman" w:eastAsia="黑体" w:cs="Times New Roman"/>
      </w:rPr>
    </w:lvl>
    <w:lvl w:ilvl="7" w:tentative="0">
      <w:start w:val="1"/>
      <w:numFmt w:val="decimal"/>
      <w:isLgl/>
      <w:lvlText w:val="%1.%2.%3.%4.%5.%6.%7.%8"/>
      <w:lvlJc w:val="left"/>
      <w:pPr>
        <w:ind w:left="1800" w:hanging="1800"/>
      </w:pPr>
      <w:rPr>
        <w:rFonts w:hint="default" w:ascii="Times New Roman" w:hAnsi="Times New Roman" w:eastAsia="黑体" w:cs="Times New Roman"/>
      </w:rPr>
    </w:lvl>
    <w:lvl w:ilvl="8" w:tentative="0">
      <w:start w:val="1"/>
      <w:numFmt w:val="decimal"/>
      <w:isLgl/>
      <w:lvlText w:val="%1.%2.%3.%4.%5.%6.%7.%8.%9"/>
      <w:lvlJc w:val="left"/>
      <w:pPr>
        <w:ind w:left="1800" w:hanging="1800"/>
      </w:pPr>
      <w:rPr>
        <w:rFonts w:hint="default" w:ascii="Times New Roman" w:hAnsi="Times New Roman" w:eastAsia="黑体" w:cs="Times New Roman"/>
      </w:rPr>
    </w:lvl>
  </w:abstractNum>
  <w:abstractNum w:abstractNumId="11">
    <w:nsid w:val="76933334"/>
    <w:multiLevelType w:val="multilevel"/>
    <w:tmpl w:val="76933334"/>
    <w:lvl w:ilvl="0" w:tentative="0">
      <w:start w:val="1"/>
      <w:numFmt w:val="none"/>
      <w:pStyle w:val="8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1"/>
  </w:num>
  <w:num w:numId="8">
    <w:abstractNumId w:val="1"/>
  </w:num>
  <w:num w:numId="9">
    <w:abstractNumId w:val="2"/>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4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TZjYTE4YmU5YjFkMWE1YjFhNDQyYzllNmViZTYifQ=="/>
  </w:docVars>
  <w:rsids>
    <w:rsidRoot w:val="00CC1FA2"/>
    <w:rsid w:val="00002610"/>
    <w:rsid w:val="0000344F"/>
    <w:rsid w:val="00005240"/>
    <w:rsid w:val="00006808"/>
    <w:rsid w:val="00007D5F"/>
    <w:rsid w:val="00010DD4"/>
    <w:rsid w:val="000120D5"/>
    <w:rsid w:val="00013E78"/>
    <w:rsid w:val="00014739"/>
    <w:rsid w:val="00014A89"/>
    <w:rsid w:val="00023099"/>
    <w:rsid w:val="00026D24"/>
    <w:rsid w:val="00031E13"/>
    <w:rsid w:val="000325A2"/>
    <w:rsid w:val="000355C8"/>
    <w:rsid w:val="0004107D"/>
    <w:rsid w:val="0004384B"/>
    <w:rsid w:val="000453C5"/>
    <w:rsid w:val="00046582"/>
    <w:rsid w:val="00050BC5"/>
    <w:rsid w:val="00051966"/>
    <w:rsid w:val="00052595"/>
    <w:rsid w:val="00053F77"/>
    <w:rsid w:val="00054F92"/>
    <w:rsid w:val="0005546F"/>
    <w:rsid w:val="00057184"/>
    <w:rsid w:val="00066270"/>
    <w:rsid w:val="0006798F"/>
    <w:rsid w:val="00072932"/>
    <w:rsid w:val="00072C0B"/>
    <w:rsid w:val="000747C7"/>
    <w:rsid w:val="00077F3F"/>
    <w:rsid w:val="000851A7"/>
    <w:rsid w:val="00085B2B"/>
    <w:rsid w:val="000A42E1"/>
    <w:rsid w:val="000A55E3"/>
    <w:rsid w:val="000B3B88"/>
    <w:rsid w:val="000B6052"/>
    <w:rsid w:val="000C0E23"/>
    <w:rsid w:val="000C4DD3"/>
    <w:rsid w:val="000C700F"/>
    <w:rsid w:val="000D3A7A"/>
    <w:rsid w:val="000D5520"/>
    <w:rsid w:val="000D6133"/>
    <w:rsid w:val="000E0FE8"/>
    <w:rsid w:val="000E1842"/>
    <w:rsid w:val="000E2F46"/>
    <w:rsid w:val="000F2B8D"/>
    <w:rsid w:val="000F4D50"/>
    <w:rsid w:val="000F5B2D"/>
    <w:rsid w:val="000F7E42"/>
    <w:rsid w:val="00104E6D"/>
    <w:rsid w:val="00107891"/>
    <w:rsid w:val="00110FD7"/>
    <w:rsid w:val="00113D86"/>
    <w:rsid w:val="00137C3F"/>
    <w:rsid w:val="00141917"/>
    <w:rsid w:val="00141EB1"/>
    <w:rsid w:val="0014536F"/>
    <w:rsid w:val="0015158E"/>
    <w:rsid w:val="00155929"/>
    <w:rsid w:val="00167C46"/>
    <w:rsid w:val="00167E30"/>
    <w:rsid w:val="00167EDE"/>
    <w:rsid w:val="001706F0"/>
    <w:rsid w:val="00170EC5"/>
    <w:rsid w:val="00175F26"/>
    <w:rsid w:val="001820CD"/>
    <w:rsid w:val="00183043"/>
    <w:rsid w:val="00186889"/>
    <w:rsid w:val="001908B3"/>
    <w:rsid w:val="00190EF5"/>
    <w:rsid w:val="00194581"/>
    <w:rsid w:val="001A1245"/>
    <w:rsid w:val="001A305E"/>
    <w:rsid w:val="001A501E"/>
    <w:rsid w:val="001A739B"/>
    <w:rsid w:val="001A7479"/>
    <w:rsid w:val="001B043C"/>
    <w:rsid w:val="001B0F0F"/>
    <w:rsid w:val="001B1FE3"/>
    <w:rsid w:val="001B3C18"/>
    <w:rsid w:val="001C26E8"/>
    <w:rsid w:val="001D241E"/>
    <w:rsid w:val="001D2F28"/>
    <w:rsid w:val="001D64EA"/>
    <w:rsid w:val="001E0094"/>
    <w:rsid w:val="001E473E"/>
    <w:rsid w:val="001E697D"/>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685"/>
    <w:rsid w:val="0025275C"/>
    <w:rsid w:val="002702F9"/>
    <w:rsid w:val="00270A2D"/>
    <w:rsid w:val="00274085"/>
    <w:rsid w:val="00284876"/>
    <w:rsid w:val="00284F26"/>
    <w:rsid w:val="00287DE8"/>
    <w:rsid w:val="00287FD1"/>
    <w:rsid w:val="00291190"/>
    <w:rsid w:val="002931DC"/>
    <w:rsid w:val="00295856"/>
    <w:rsid w:val="002A3871"/>
    <w:rsid w:val="002A4497"/>
    <w:rsid w:val="002A6472"/>
    <w:rsid w:val="002A687E"/>
    <w:rsid w:val="002B6AE2"/>
    <w:rsid w:val="002D54FB"/>
    <w:rsid w:val="002F04F9"/>
    <w:rsid w:val="002F33BD"/>
    <w:rsid w:val="002F5977"/>
    <w:rsid w:val="002F6208"/>
    <w:rsid w:val="00300AEC"/>
    <w:rsid w:val="003026AB"/>
    <w:rsid w:val="0030573C"/>
    <w:rsid w:val="003119D4"/>
    <w:rsid w:val="00315FF9"/>
    <w:rsid w:val="00320263"/>
    <w:rsid w:val="00323663"/>
    <w:rsid w:val="0033673D"/>
    <w:rsid w:val="00344BE8"/>
    <w:rsid w:val="00345108"/>
    <w:rsid w:val="00345AB2"/>
    <w:rsid w:val="00355187"/>
    <w:rsid w:val="00356BB4"/>
    <w:rsid w:val="003614E7"/>
    <w:rsid w:val="00361572"/>
    <w:rsid w:val="003676D6"/>
    <w:rsid w:val="0037152F"/>
    <w:rsid w:val="003721F7"/>
    <w:rsid w:val="00373CAB"/>
    <w:rsid w:val="0037633C"/>
    <w:rsid w:val="00377C23"/>
    <w:rsid w:val="00385B77"/>
    <w:rsid w:val="00392F61"/>
    <w:rsid w:val="00394D3D"/>
    <w:rsid w:val="00395F91"/>
    <w:rsid w:val="0039612B"/>
    <w:rsid w:val="003A0401"/>
    <w:rsid w:val="003A1377"/>
    <w:rsid w:val="003A1CF5"/>
    <w:rsid w:val="003A64F1"/>
    <w:rsid w:val="003B4220"/>
    <w:rsid w:val="003B6513"/>
    <w:rsid w:val="003B7392"/>
    <w:rsid w:val="003C108E"/>
    <w:rsid w:val="003C1FAB"/>
    <w:rsid w:val="003C2AD7"/>
    <w:rsid w:val="003D5732"/>
    <w:rsid w:val="003E24C6"/>
    <w:rsid w:val="003E374D"/>
    <w:rsid w:val="003E66E4"/>
    <w:rsid w:val="003F3095"/>
    <w:rsid w:val="003F7E93"/>
    <w:rsid w:val="00407CF0"/>
    <w:rsid w:val="00415E4E"/>
    <w:rsid w:val="00422292"/>
    <w:rsid w:val="00422E92"/>
    <w:rsid w:val="00422FF6"/>
    <w:rsid w:val="00424670"/>
    <w:rsid w:val="0042736B"/>
    <w:rsid w:val="00427B74"/>
    <w:rsid w:val="00431D08"/>
    <w:rsid w:val="00436D25"/>
    <w:rsid w:val="0044118E"/>
    <w:rsid w:val="00445CBB"/>
    <w:rsid w:val="00450C5B"/>
    <w:rsid w:val="00454066"/>
    <w:rsid w:val="00455C94"/>
    <w:rsid w:val="00456E51"/>
    <w:rsid w:val="00460FEF"/>
    <w:rsid w:val="0046470E"/>
    <w:rsid w:val="004676BA"/>
    <w:rsid w:val="00473D25"/>
    <w:rsid w:val="00482952"/>
    <w:rsid w:val="00490AFF"/>
    <w:rsid w:val="00494988"/>
    <w:rsid w:val="00495897"/>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4588"/>
    <w:rsid w:val="004D50E4"/>
    <w:rsid w:val="004E35CE"/>
    <w:rsid w:val="004E5327"/>
    <w:rsid w:val="004E711D"/>
    <w:rsid w:val="004F2E14"/>
    <w:rsid w:val="004F4143"/>
    <w:rsid w:val="004F7B44"/>
    <w:rsid w:val="00504E87"/>
    <w:rsid w:val="00505F45"/>
    <w:rsid w:val="005113A7"/>
    <w:rsid w:val="00513380"/>
    <w:rsid w:val="00521432"/>
    <w:rsid w:val="005247F2"/>
    <w:rsid w:val="00524BF5"/>
    <w:rsid w:val="00526615"/>
    <w:rsid w:val="00526A44"/>
    <w:rsid w:val="005271E7"/>
    <w:rsid w:val="005273F5"/>
    <w:rsid w:val="00542AFE"/>
    <w:rsid w:val="0054496F"/>
    <w:rsid w:val="00554E66"/>
    <w:rsid w:val="00563695"/>
    <w:rsid w:val="00565F26"/>
    <w:rsid w:val="00566228"/>
    <w:rsid w:val="005679C3"/>
    <w:rsid w:val="005748E3"/>
    <w:rsid w:val="00574C5F"/>
    <w:rsid w:val="00582B18"/>
    <w:rsid w:val="00586781"/>
    <w:rsid w:val="00590962"/>
    <w:rsid w:val="005922A8"/>
    <w:rsid w:val="00595703"/>
    <w:rsid w:val="005A0F20"/>
    <w:rsid w:val="005A3F42"/>
    <w:rsid w:val="005A3FC9"/>
    <w:rsid w:val="005B0C36"/>
    <w:rsid w:val="005B3B1A"/>
    <w:rsid w:val="005B619E"/>
    <w:rsid w:val="005B7330"/>
    <w:rsid w:val="005C02EC"/>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30A97"/>
    <w:rsid w:val="00632DE1"/>
    <w:rsid w:val="00634B13"/>
    <w:rsid w:val="00634B6B"/>
    <w:rsid w:val="006417D4"/>
    <w:rsid w:val="00641F4B"/>
    <w:rsid w:val="006475D5"/>
    <w:rsid w:val="006533B2"/>
    <w:rsid w:val="00656D13"/>
    <w:rsid w:val="00661A03"/>
    <w:rsid w:val="006663E2"/>
    <w:rsid w:val="0067416A"/>
    <w:rsid w:val="006758AE"/>
    <w:rsid w:val="00683F0E"/>
    <w:rsid w:val="00684287"/>
    <w:rsid w:val="0069309D"/>
    <w:rsid w:val="006A4C94"/>
    <w:rsid w:val="006A6467"/>
    <w:rsid w:val="006A68EC"/>
    <w:rsid w:val="006B26AF"/>
    <w:rsid w:val="006C1939"/>
    <w:rsid w:val="006C404D"/>
    <w:rsid w:val="006C559D"/>
    <w:rsid w:val="006C7067"/>
    <w:rsid w:val="006D16E8"/>
    <w:rsid w:val="006D2DB7"/>
    <w:rsid w:val="006D5B27"/>
    <w:rsid w:val="006D5E7C"/>
    <w:rsid w:val="006E6E4E"/>
    <w:rsid w:val="006F4723"/>
    <w:rsid w:val="006F71C7"/>
    <w:rsid w:val="0070090B"/>
    <w:rsid w:val="00702A97"/>
    <w:rsid w:val="00702DB6"/>
    <w:rsid w:val="0070519E"/>
    <w:rsid w:val="007051D3"/>
    <w:rsid w:val="00706CEB"/>
    <w:rsid w:val="0070742C"/>
    <w:rsid w:val="007100BC"/>
    <w:rsid w:val="0071292A"/>
    <w:rsid w:val="00717838"/>
    <w:rsid w:val="007262CC"/>
    <w:rsid w:val="0072799F"/>
    <w:rsid w:val="00727F75"/>
    <w:rsid w:val="007358FF"/>
    <w:rsid w:val="00735A77"/>
    <w:rsid w:val="00754B0D"/>
    <w:rsid w:val="007551AC"/>
    <w:rsid w:val="00755392"/>
    <w:rsid w:val="0076286C"/>
    <w:rsid w:val="00764F1E"/>
    <w:rsid w:val="00774693"/>
    <w:rsid w:val="007747BC"/>
    <w:rsid w:val="0077603E"/>
    <w:rsid w:val="00776464"/>
    <w:rsid w:val="0077687C"/>
    <w:rsid w:val="00776E92"/>
    <w:rsid w:val="007815C6"/>
    <w:rsid w:val="00782410"/>
    <w:rsid w:val="00783CD6"/>
    <w:rsid w:val="00785233"/>
    <w:rsid w:val="00791040"/>
    <w:rsid w:val="0079432C"/>
    <w:rsid w:val="007A2588"/>
    <w:rsid w:val="007A6D2F"/>
    <w:rsid w:val="007A765A"/>
    <w:rsid w:val="007B0AAF"/>
    <w:rsid w:val="007B1630"/>
    <w:rsid w:val="007B2330"/>
    <w:rsid w:val="007B338C"/>
    <w:rsid w:val="007B5D8C"/>
    <w:rsid w:val="007B63E2"/>
    <w:rsid w:val="007B7BBD"/>
    <w:rsid w:val="007B7C1D"/>
    <w:rsid w:val="007C25BD"/>
    <w:rsid w:val="007C43B0"/>
    <w:rsid w:val="007C6CE9"/>
    <w:rsid w:val="007D51D0"/>
    <w:rsid w:val="007D7704"/>
    <w:rsid w:val="007E0739"/>
    <w:rsid w:val="007E3C2E"/>
    <w:rsid w:val="007F16F9"/>
    <w:rsid w:val="007F3FA0"/>
    <w:rsid w:val="007F7BB1"/>
    <w:rsid w:val="0080593B"/>
    <w:rsid w:val="00810700"/>
    <w:rsid w:val="00811378"/>
    <w:rsid w:val="00812A88"/>
    <w:rsid w:val="00813137"/>
    <w:rsid w:val="00815DC2"/>
    <w:rsid w:val="00816405"/>
    <w:rsid w:val="0082370B"/>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63AD9"/>
    <w:rsid w:val="00867FD1"/>
    <w:rsid w:val="00871359"/>
    <w:rsid w:val="00874F07"/>
    <w:rsid w:val="00882036"/>
    <w:rsid w:val="00882545"/>
    <w:rsid w:val="008978AF"/>
    <w:rsid w:val="008A1061"/>
    <w:rsid w:val="008A36C7"/>
    <w:rsid w:val="008A379B"/>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57BC"/>
    <w:rsid w:val="008E67CC"/>
    <w:rsid w:val="008F357B"/>
    <w:rsid w:val="00901DFE"/>
    <w:rsid w:val="00904D44"/>
    <w:rsid w:val="00906D73"/>
    <w:rsid w:val="0090722C"/>
    <w:rsid w:val="0091236D"/>
    <w:rsid w:val="00913EE6"/>
    <w:rsid w:val="0092257C"/>
    <w:rsid w:val="009231CE"/>
    <w:rsid w:val="009333ED"/>
    <w:rsid w:val="00935104"/>
    <w:rsid w:val="00937850"/>
    <w:rsid w:val="00945A50"/>
    <w:rsid w:val="00954B2A"/>
    <w:rsid w:val="00957CA1"/>
    <w:rsid w:val="0097111A"/>
    <w:rsid w:val="009754BD"/>
    <w:rsid w:val="00975F49"/>
    <w:rsid w:val="00976BEC"/>
    <w:rsid w:val="009806D1"/>
    <w:rsid w:val="00982278"/>
    <w:rsid w:val="00984D85"/>
    <w:rsid w:val="0098540A"/>
    <w:rsid w:val="00992E7F"/>
    <w:rsid w:val="00994D33"/>
    <w:rsid w:val="009962D3"/>
    <w:rsid w:val="00996482"/>
    <w:rsid w:val="009A452A"/>
    <w:rsid w:val="009A5919"/>
    <w:rsid w:val="009A5ACA"/>
    <w:rsid w:val="009C2E7D"/>
    <w:rsid w:val="009C49D8"/>
    <w:rsid w:val="009D07B4"/>
    <w:rsid w:val="009D2028"/>
    <w:rsid w:val="009E3C46"/>
    <w:rsid w:val="009E4552"/>
    <w:rsid w:val="00A02471"/>
    <w:rsid w:val="00A03EDF"/>
    <w:rsid w:val="00A0543D"/>
    <w:rsid w:val="00A0673F"/>
    <w:rsid w:val="00A10887"/>
    <w:rsid w:val="00A10E86"/>
    <w:rsid w:val="00A12F01"/>
    <w:rsid w:val="00A14DB5"/>
    <w:rsid w:val="00A15998"/>
    <w:rsid w:val="00A160C0"/>
    <w:rsid w:val="00A172E1"/>
    <w:rsid w:val="00A21BE9"/>
    <w:rsid w:val="00A2284F"/>
    <w:rsid w:val="00A3013A"/>
    <w:rsid w:val="00A324D2"/>
    <w:rsid w:val="00A325CA"/>
    <w:rsid w:val="00A44792"/>
    <w:rsid w:val="00A52751"/>
    <w:rsid w:val="00A603DC"/>
    <w:rsid w:val="00A638D7"/>
    <w:rsid w:val="00A66CD4"/>
    <w:rsid w:val="00A71D85"/>
    <w:rsid w:val="00A72035"/>
    <w:rsid w:val="00A77055"/>
    <w:rsid w:val="00A77C64"/>
    <w:rsid w:val="00A77EED"/>
    <w:rsid w:val="00A804E6"/>
    <w:rsid w:val="00A80C09"/>
    <w:rsid w:val="00A81FB6"/>
    <w:rsid w:val="00A82420"/>
    <w:rsid w:val="00A852B7"/>
    <w:rsid w:val="00A86AF7"/>
    <w:rsid w:val="00A94664"/>
    <w:rsid w:val="00AA2166"/>
    <w:rsid w:val="00AA3E2F"/>
    <w:rsid w:val="00AA48EC"/>
    <w:rsid w:val="00AB4660"/>
    <w:rsid w:val="00AB73CC"/>
    <w:rsid w:val="00AC309C"/>
    <w:rsid w:val="00AC4C05"/>
    <w:rsid w:val="00AC7EE8"/>
    <w:rsid w:val="00AD195C"/>
    <w:rsid w:val="00AD3362"/>
    <w:rsid w:val="00AD37B6"/>
    <w:rsid w:val="00AD45FF"/>
    <w:rsid w:val="00AD6600"/>
    <w:rsid w:val="00AD7EC1"/>
    <w:rsid w:val="00AE29C1"/>
    <w:rsid w:val="00AF5014"/>
    <w:rsid w:val="00AF61CD"/>
    <w:rsid w:val="00B002B0"/>
    <w:rsid w:val="00B007EF"/>
    <w:rsid w:val="00B04494"/>
    <w:rsid w:val="00B06EC3"/>
    <w:rsid w:val="00B10C97"/>
    <w:rsid w:val="00B142A9"/>
    <w:rsid w:val="00B217A4"/>
    <w:rsid w:val="00B223CD"/>
    <w:rsid w:val="00B30A0D"/>
    <w:rsid w:val="00B35B0C"/>
    <w:rsid w:val="00B35B52"/>
    <w:rsid w:val="00B3661B"/>
    <w:rsid w:val="00B377FD"/>
    <w:rsid w:val="00B41B11"/>
    <w:rsid w:val="00B4378D"/>
    <w:rsid w:val="00B440A5"/>
    <w:rsid w:val="00B47553"/>
    <w:rsid w:val="00B47C8B"/>
    <w:rsid w:val="00B505F1"/>
    <w:rsid w:val="00B55C7C"/>
    <w:rsid w:val="00B55D36"/>
    <w:rsid w:val="00B60EF0"/>
    <w:rsid w:val="00B93985"/>
    <w:rsid w:val="00B9443C"/>
    <w:rsid w:val="00B94FA8"/>
    <w:rsid w:val="00BA066D"/>
    <w:rsid w:val="00BA126A"/>
    <w:rsid w:val="00BA2F32"/>
    <w:rsid w:val="00BA3368"/>
    <w:rsid w:val="00BA3A86"/>
    <w:rsid w:val="00BB7D3F"/>
    <w:rsid w:val="00BC50CE"/>
    <w:rsid w:val="00BC561F"/>
    <w:rsid w:val="00BC69EE"/>
    <w:rsid w:val="00BD1CA2"/>
    <w:rsid w:val="00BD5FB7"/>
    <w:rsid w:val="00BD775F"/>
    <w:rsid w:val="00BE05EA"/>
    <w:rsid w:val="00BE0CBF"/>
    <w:rsid w:val="00BE50A3"/>
    <w:rsid w:val="00BE6377"/>
    <w:rsid w:val="00BE6AC5"/>
    <w:rsid w:val="00BF1053"/>
    <w:rsid w:val="00BF1151"/>
    <w:rsid w:val="00BF2738"/>
    <w:rsid w:val="00C028A9"/>
    <w:rsid w:val="00C03D11"/>
    <w:rsid w:val="00C06708"/>
    <w:rsid w:val="00C160D6"/>
    <w:rsid w:val="00C16AD1"/>
    <w:rsid w:val="00C2235F"/>
    <w:rsid w:val="00C23078"/>
    <w:rsid w:val="00C30693"/>
    <w:rsid w:val="00C31882"/>
    <w:rsid w:val="00C34FD5"/>
    <w:rsid w:val="00C376C3"/>
    <w:rsid w:val="00C4232B"/>
    <w:rsid w:val="00C42B5C"/>
    <w:rsid w:val="00C4409D"/>
    <w:rsid w:val="00C5084A"/>
    <w:rsid w:val="00C513CD"/>
    <w:rsid w:val="00C526A6"/>
    <w:rsid w:val="00C52BA0"/>
    <w:rsid w:val="00C6237C"/>
    <w:rsid w:val="00C638E5"/>
    <w:rsid w:val="00C64269"/>
    <w:rsid w:val="00C73A4B"/>
    <w:rsid w:val="00C73ABB"/>
    <w:rsid w:val="00C756C4"/>
    <w:rsid w:val="00C808D7"/>
    <w:rsid w:val="00C84984"/>
    <w:rsid w:val="00C84A9B"/>
    <w:rsid w:val="00C853E1"/>
    <w:rsid w:val="00C936A2"/>
    <w:rsid w:val="00CA31C9"/>
    <w:rsid w:val="00CA3A11"/>
    <w:rsid w:val="00CA4166"/>
    <w:rsid w:val="00CA5A15"/>
    <w:rsid w:val="00CA714B"/>
    <w:rsid w:val="00CB06B0"/>
    <w:rsid w:val="00CB1EB0"/>
    <w:rsid w:val="00CB3241"/>
    <w:rsid w:val="00CB3690"/>
    <w:rsid w:val="00CB3B56"/>
    <w:rsid w:val="00CB5F61"/>
    <w:rsid w:val="00CB729D"/>
    <w:rsid w:val="00CC1FA2"/>
    <w:rsid w:val="00CC490B"/>
    <w:rsid w:val="00CD2C0A"/>
    <w:rsid w:val="00CD3599"/>
    <w:rsid w:val="00CE5529"/>
    <w:rsid w:val="00CE712D"/>
    <w:rsid w:val="00CF0CF2"/>
    <w:rsid w:val="00CF1AC7"/>
    <w:rsid w:val="00CF22BE"/>
    <w:rsid w:val="00CF4C1D"/>
    <w:rsid w:val="00CF5A79"/>
    <w:rsid w:val="00CF79D5"/>
    <w:rsid w:val="00D008FD"/>
    <w:rsid w:val="00D01217"/>
    <w:rsid w:val="00D037D9"/>
    <w:rsid w:val="00D05205"/>
    <w:rsid w:val="00D11129"/>
    <w:rsid w:val="00D12F8B"/>
    <w:rsid w:val="00D15E99"/>
    <w:rsid w:val="00D1764C"/>
    <w:rsid w:val="00D21EB5"/>
    <w:rsid w:val="00D2683A"/>
    <w:rsid w:val="00D33D7C"/>
    <w:rsid w:val="00D34C82"/>
    <w:rsid w:val="00D356A8"/>
    <w:rsid w:val="00D36FB7"/>
    <w:rsid w:val="00D4021A"/>
    <w:rsid w:val="00D40EBE"/>
    <w:rsid w:val="00D423F8"/>
    <w:rsid w:val="00D44BDD"/>
    <w:rsid w:val="00D45293"/>
    <w:rsid w:val="00D47C57"/>
    <w:rsid w:val="00D51C55"/>
    <w:rsid w:val="00D64DE4"/>
    <w:rsid w:val="00D70128"/>
    <w:rsid w:val="00D779F7"/>
    <w:rsid w:val="00D83D78"/>
    <w:rsid w:val="00D850F7"/>
    <w:rsid w:val="00D92A6F"/>
    <w:rsid w:val="00D939B6"/>
    <w:rsid w:val="00D9561B"/>
    <w:rsid w:val="00D95D26"/>
    <w:rsid w:val="00DA2875"/>
    <w:rsid w:val="00DA5BA5"/>
    <w:rsid w:val="00DB4790"/>
    <w:rsid w:val="00DB59B5"/>
    <w:rsid w:val="00DB5D7B"/>
    <w:rsid w:val="00DC2590"/>
    <w:rsid w:val="00DD0844"/>
    <w:rsid w:val="00DD4D22"/>
    <w:rsid w:val="00DE15F4"/>
    <w:rsid w:val="00DE4D65"/>
    <w:rsid w:val="00DF6E0D"/>
    <w:rsid w:val="00DF70A6"/>
    <w:rsid w:val="00E03DF1"/>
    <w:rsid w:val="00E050C4"/>
    <w:rsid w:val="00E07A71"/>
    <w:rsid w:val="00E120FE"/>
    <w:rsid w:val="00E16338"/>
    <w:rsid w:val="00E26852"/>
    <w:rsid w:val="00E2753E"/>
    <w:rsid w:val="00E27BBD"/>
    <w:rsid w:val="00E31896"/>
    <w:rsid w:val="00E35654"/>
    <w:rsid w:val="00E3677E"/>
    <w:rsid w:val="00E375FF"/>
    <w:rsid w:val="00E40345"/>
    <w:rsid w:val="00E4215E"/>
    <w:rsid w:val="00E42A57"/>
    <w:rsid w:val="00E46241"/>
    <w:rsid w:val="00E51750"/>
    <w:rsid w:val="00E52AAD"/>
    <w:rsid w:val="00E535C7"/>
    <w:rsid w:val="00E56D5D"/>
    <w:rsid w:val="00E57413"/>
    <w:rsid w:val="00E577AD"/>
    <w:rsid w:val="00E62095"/>
    <w:rsid w:val="00E64E25"/>
    <w:rsid w:val="00E67C3E"/>
    <w:rsid w:val="00E73BAE"/>
    <w:rsid w:val="00E8000F"/>
    <w:rsid w:val="00E86E17"/>
    <w:rsid w:val="00E95438"/>
    <w:rsid w:val="00E954E6"/>
    <w:rsid w:val="00E954F0"/>
    <w:rsid w:val="00E96103"/>
    <w:rsid w:val="00E9762D"/>
    <w:rsid w:val="00EA0529"/>
    <w:rsid w:val="00EA5FF5"/>
    <w:rsid w:val="00EB22EE"/>
    <w:rsid w:val="00EB4052"/>
    <w:rsid w:val="00EB57F1"/>
    <w:rsid w:val="00EB6EF0"/>
    <w:rsid w:val="00EB735D"/>
    <w:rsid w:val="00EC227F"/>
    <w:rsid w:val="00EC2952"/>
    <w:rsid w:val="00EC7C05"/>
    <w:rsid w:val="00ED5FAA"/>
    <w:rsid w:val="00EE1E5D"/>
    <w:rsid w:val="00EE27BE"/>
    <w:rsid w:val="00EE5E19"/>
    <w:rsid w:val="00EE7C18"/>
    <w:rsid w:val="00EF3FAF"/>
    <w:rsid w:val="00EF4DCF"/>
    <w:rsid w:val="00F00045"/>
    <w:rsid w:val="00F05E42"/>
    <w:rsid w:val="00F06008"/>
    <w:rsid w:val="00F1031A"/>
    <w:rsid w:val="00F1467B"/>
    <w:rsid w:val="00F17B66"/>
    <w:rsid w:val="00F23515"/>
    <w:rsid w:val="00F2370A"/>
    <w:rsid w:val="00F32114"/>
    <w:rsid w:val="00F33DF4"/>
    <w:rsid w:val="00F355E3"/>
    <w:rsid w:val="00F3608B"/>
    <w:rsid w:val="00F36E57"/>
    <w:rsid w:val="00F373FA"/>
    <w:rsid w:val="00F40146"/>
    <w:rsid w:val="00F409AF"/>
    <w:rsid w:val="00F5129F"/>
    <w:rsid w:val="00F53C23"/>
    <w:rsid w:val="00F60151"/>
    <w:rsid w:val="00F62897"/>
    <w:rsid w:val="00F63534"/>
    <w:rsid w:val="00F74778"/>
    <w:rsid w:val="00F749B0"/>
    <w:rsid w:val="00F80C14"/>
    <w:rsid w:val="00F85487"/>
    <w:rsid w:val="00F97020"/>
    <w:rsid w:val="00FA105A"/>
    <w:rsid w:val="00FA6C69"/>
    <w:rsid w:val="00FB0ED7"/>
    <w:rsid w:val="00FB3A39"/>
    <w:rsid w:val="00FB6B90"/>
    <w:rsid w:val="00FB7993"/>
    <w:rsid w:val="00FC0A9F"/>
    <w:rsid w:val="00FD0BA3"/>
    <w:rsid w:val="00FE25ED"/>
    <w:rsid w:val="00FE5F72"/>
    <w:rsid w:val="00FE761B"/>
    <w:rsid w:val="00FF1455"/>
    <w:rsid w:val="01536311"/>
    <w:rsid w:val="021D391B"/>
    <w:rsid w:val="03112A41"/>
    <w:rsid w:val="03130A11"/>
    <w:rsid w:val="053A63E8"/>
    <w:rsid w:val="0A0C2682"/>
    <w:rsid w:val="0AA32563"/>
    <w:rsid w:val="0B9156DD"/>
    <w:rsid w:val="0BBA59F6"/>
    <w:rsid w:val="0C874EE1"/>
    <w:rsid w:val="0CA073F2"/>
    <w:rsid w:val="0D0802C8"/>
    <w:rsid w:val="0DA33866"/>
    <w:rsid w:val="0DEB76F2"/>
    <w:rsid w:val="0FCE263A"/>
    <w:rsid w:val="108F3E01"/>
    <w:rsid w:val="10B349F6"/>
    <w:rsid w:val="114A0988"/>
    <w:rsid w:val="11FF59BF"/>
    <w:rsid w:val="121907BA"/>
    <w:rsid w:val="12B15EBF"/>
    <w:rsid w:val="12B5759A"/>
    <w:rsid w:val="12CC1E0B"/>
    <w:rsid w:val="13A40F9B"/>
    <w:rsid w:val="13F4447F"/>
    <w:rsid w:val="13FD08CB"/>
    <w:rsid w:val="14E74AD4"/>
    <w:rsid w:val="174B0D9F"/>
    <w:rsid w:val="17562080"/>
    <w:rsid w:val="17C0471D"/>
    <w:rsid w:val="18E67433"/>
    <w:rsid w:val="1A5503F0"/>
    <w:rsid w:val="1ABE6F31"/>
    <w:rsid w:val="1AC41B63"/>
    <w:rsid w:val="1AEA53AB"/>
    <w:rsid w:val="1AFD67FA"/>
    <w:rsid w:val="1B683762"/>
    <w:rsid w:val="1C551710"/>
    <w:rsid w:val="1C987B51"/>
    <w:rsid w:val="1D7172DE"/>
    <w:rsid w:val="1E580DC1"/>
    <w:rsid w:val="1E9A1D20"/>
    <w:rsid w:val="1E9E4C6F"/>
    <w:rsid w:val="1EA51D2D"/>
    <w:rsid w:val="1F160A01"/>
    <w:rsid w:val="20C30596"/>
    <w:rsid w:val="21E5750C"/>
    <w:rsid w:val="222B54F5"/>
    <w:rsid w:val="253A423C"/>
    <w:rsid w:val="25680762"/>
    <w:rsid w:val="27822DB6"/>
    <w:rsid w:val="284B24CB"/>
    <w:rsid w:val="28D15D1D"/>
    <w:rsid w:val="29B70979"/>
    <w:rsid w:val="2BF950DA"/>
    <w:rsid w:val="2C8C73FD"/>
    <w:rsid w:val="2D201C96"/>
    <w:rsid w:val="2D4060B1"/>
    <w:rsid w:val="2E4F5F03"/>
    <w:rsid w:val="2E5D01AD"/>
    <w:rsid w:val="2F4777E6"/>
    <w:rsid w:val="2F4C4585"/>
    <w:rsid w:val="2F4F7DB2"/>
    <w:rsid w:val="2F8F69AC"/>
    <w:rsid w:val="2FBF3CD4"/>
    <w:rsid w:val="2FF748EB"/>
    <w:rsid w:val="30A627B0"/>
    <w:rsid w:val="30CF475E"/>
    <w:rsid w:val="31486275"/>
    <w:rsid w:val="31DB3DE6"/>
    <w:rsid w:val="32B5139A"/>
    <w:rsid w:val="32FB18D5"/>
    <w:rsid w:val="331D5956"/>
    <w:rsid w:val="33AF2E1D"/>
    <w:rsid w:val="33E434B3"/>
    <w:rsid w:val="365418A4"/>
    <w:rsid w:val="36632192"/>
    <w:rsid w:val="36EE1DC4"/>
    <w:rsid w:val="3755179A"/>
    <w:rsid w:val="39401C96"/>
    <w:rsid w:val="3A543551"/>
    <w:rsid w:val="3A692013"/>
    <w:rsid w:val="3B697D2B"/>
    <w:rsid w:val="3C44256E"/>
    <w:rsid w:val="3C4C0E90"/>
    <w:rsid w:val="3E94674D"/>
    <w:rsid w:val="3F3101B5"/>
    <w:rsid w:val="40347A58"/>
    <w:rsid w:val="41403D89"/>
    <w:rsid w:val="41A12FA8"/>
    <w:rsid w:val="42AE3CB4"/>
    <w:rsid w:val="43C2058B"/>
    <w:rsid w:val="44803507"/>
    <w:rsid w:val="448E10FE"/>
    <w:rsid w:val="45341814"/>
    <w:rsid w:val="46074774"/>
    <w:rsid w:val="46103030"/>
    <w:rsid w:val="47185FFC"/>
    <w:rsid w:val="47C27E51"/>
    <w:rsid w:val="49EA57FA"/>
    <w:rsid w:val="4B2609EC"/>
    <w:rsid w:val="4B285C9E"/>
    <w:rsid w:val="4BC66911"/>
    <w:rsid w:val="4CF114C9"/>
    <w:rsid w:val="4D230A87"/>
    <w:rsid w:val="4DDF048D"/>
    <w:rsid w:val="4ED17C3D"/>
    <w:rsid w:val="4F0A0C05"/>
    <w:rsid w:val="503C6D48"/>
    <w:rsid w:val="50BE1518"/>
    <w:rsid w:val="50E3241A"/>
    <w:rsid w:val="50F41280"/>
    <w:rsid w:val="516C7D38"/>
    <w:rsid w:val="51993E53"/>
    <w:rsid w:val="51B86C95"/>
    <w:rsid w:val="51DB35C2"/>
    <w:rsid w:val="52BB1BB0"/>
    <w:rsid w:val="52EE211C"/>
    <w:rsid w:val="53594929"/>
    <w:rsid w:val="53C2756F"/>
    <w:rsid w:val="54671BE6"/>
    <w:rsid w:val="54845A24"/>
    <w:rsid w:val="54E90592"/>
    <w:rsid w:val="574F4D55"/>
    <w:rsid w:val="57DA1460"/>
    <w:rsid w:val="585E72A6"/>
    <w:rsid w:val="58E014BA"/>
    <w:rsid w:val="59641E3E"/>
    <w:rsid w:val="59A728E8"/>
    <w:rsid w:val="5A067F12"/>
    <w:rsid w:val="5A853B90"/>
    <w:rsid w:val="5A8C1376"/>
    <w:rsid w:val="5A957839"/>
    <w:rsid w:val="5B4358BA"/>
    <w:rsid w:val="5BAC7BD6"/>
    <w:rsid w:val="5BBD67C7"/>
    <w:rsid w:val="5BED4A53"/>
    <w:rsid w:val="5D4973C8"/>
    <w:rsid w:val="5EEF6DA6"/>
    <w:rsid w:val="5EF66ECF"/>
    <w:rsid w:val="5F1C4789"/>
    <w:rsid w:val="5FE873D0"/>
    <w:rsid w:val="610164CF"/>
    <w:rsid w:val="625405BD"/>
    <w:rsid w:val="62BB1495"/>
    <w:rsid w:val="65363B23"/>
    <w:rsid w:val="69070E34"/>
    <w:rsid w:val="6A9E130D"/>
    <w:rsid w:val="6B783DDA"/>
    <w:rsid w:val="6C3F060F"/>
    <w:rsid w:val="6C454468"/>
    <w:rsid w:val="6CED2E22"/>
    <w:rsid w:val="6D135354"/>
    <w:rsid w:val="6D6B4F1C"/>
    <w:rsid w:val="6DA62B86"/>
    <w:rsid w:val="6E7809FB"/>
    <w:rsid w:val="6ED105BE"/>
    <w:rsid w:val="725517B3"/>
    <w:rsid w:val="7376315F"/>
    <w:rsid w:val="741C519C"/>
    <w:rsid w:val="748C3BFC"/>
    <w:rsid w:val="74C517D1"/>
    <w:rsid w:val="74FC3819"/>
    <w:rsid w:val="75095CAE"/>
    <w:rsid w:val="752C5111"/>
    <w:rsid w:val="757C7FD0"/>
    <w:rsid w:val="759A0127"/>
    <w:rsid w:val="76086D93"/>
    <w:rsid w:val="76196E11"/>
    <w:rsid w:val="77D05953"/>
    <w:rsid w:val="79FE5C33"/>
    <w:rsid w:val="7AD869BD"/>
    <w:rsid w:val="7BC52CB6"/>
    <w:rsid w:val="7CBE210E"/>
    <w:rsid w:val="7CE111F7"/>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117"/>
    <w:qFormat/>
    <w:uiPriority w:val="0"/>
    <w:pPr>
      <w:jc w:val="left"/>
    </w:pPr>
  </w:style>
  <w:style w:type="paragraph" w:styleId="20">
    <w:name w:val="HTML Address"/>
    <w:basedOn w:val="1"/>
    <w:qFormat/>
    <w:uiPriority w:val="0"/>
    <w:rPr>
      <w:i/>
      <w:iCs/>
    </w:rPr>
  </w:style>
  <w:style w:type="paragraph" w:styleId="21">
    <w:name w:val="Plain Text"/>
    <w:basedOn w:val="1"/>
    <w:link w:val="116"/>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9"/>
    <w:next w:val="19"/>
    <w:link w:val="118"/>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annotation reference"/>
    <w:basedOn w:val="33"/>
    <w:qFormat/>
    <w:uiPriority w:val="0"/>
    <w:rPr>
      <w:sz w:val="21"/>
      <w:szCs w:val="21"/>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HTML 站点"/>
    <w:qFormat/>
    <w:uiPriority w:val="0"/>
    <w:rPr>
      <w:i/>
      <w:iCs/>
    </w:rPr>
  </w:style>
  <w:style w:type="character" w:customStyle="1" w:styleId="45">
    <w:name w:val="个人答复风格"/>
    <w:qFormat/>
    <w:uiPriority w:val="0"/>
    <w:rPr>
      <w:rFonts w:ascii="Arial" w:hAnsi="Arial" w:eastAsia="宋体" w:cs="Arial"/>
      <w:color w:val="auto"/>
      <w:sz w:val="20"/>
    </w:rPr>
  </w:style>
  <w:style w:type="character" w:customStyle="1" w:styleId="46">
    <w:name w:val="段 Char"/>
    <w:link w:val="47"/>
    <w:qFormat/>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个人撰写风格"/>
    <w:qFormat/>
    <w:uiPriority w:val="0"/>
    <w:rPr>
      <w:rFonts w:ascii="Arial" w:hAnsi="Arial" w:eastAsia="宋体" w:cs="Arial"/>
      <w:color w:val="auto"/>
      <w:sz w:val="20"/>
    </w:rPr>
  </w:style>
  <w:style w:type="character" w:customStyle="1" w:styleId="49">
    <w:name w:val="high-light-bg4"/>
    <w:qFormat/>
    <w:uiPriority w:val="0"/>
  </w:style>
  <w:style w:type="character" w:customStyle="1" w:styleId="50">
    <w:name w:val="HTML 编码"/>
    <w:qFormat/>
    <w:uiPriority w:val="0"/>
    <w:rPr>
      <w:rFonts w:ascii="Courier New" w:hAnsi="Courier New"/>
      <w:sz w:val="20"/>
      <w:szCs w:val="20"/>
    </w:rPr>
  </w:style>
  <w:style w:type="character" w:customStyle="1" w:styleId="51">
    <w:name w:val="发布"/>
    <w:qFormat/>
    <w:uiPriority w:val="0"/>
    <w:rPr>
      <w:rFonts w:ascii="黑体" w:eastAsia="黑体"/>
      <w:spacing w:val="22"/>
      <w:w w:val="100"/>
      <w:position w:val="3"/>
      <w:sz w:val="28"/>
    </w:r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号2"/>
    <w:basedOn w:val="52"/>
    <w:qFormat/>
    <w:uiPriority w:val="0"/>
    <w:pPr>
      <w:framePr w:w="9138" w:h="1244" w:hRule="exact" w:wrap="around" w:vAnchor="page" w:hAnchor="margin" w:y="2908"/>
      <w:adjustRightInd w:val="0"/>
      <w:spacing w:before="357" w:line="280" w:lineRule="exac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7">
    <w:name w:val="附录图标题"/>
    <w:next w:val="47"/>
    <w:qFormat/>
    <w:uiPriority w:val="0"/>
    <w:pPr>
      <w:jc w:val="center"/>
    </w:pPr>
    <w:rPr>
      <w:rFonts w:ascii="黑体" w:hAnsi="Times New Roman" w:eastAsia="黑体" w:cs="Times New Roman"/>
      <w:sz w:val="21"/>
      <w:lang w:val="en-US" w:eastAsia="zh-CN" w:bidi="ar-SA"/>
    </w:rPr>
  </w:style>
  <w:style w:type="paragraph" w:customStyle="1" w:styleId="58">
    <w:name w:val="附录二级条标题"/>
    <w:basedOn w:val="59"/>
    <w:next w:val="47"/>
    <w:qFormat/>
    <w:uiPriority w:val="0"/>
    <w:pPr>
      <w:numPr>
        <w:ilvl w:val="3"/>
      </w:numPr>
      <w:outlineLvl w:val="3"/>
    </w:pPr>
  </w:style>
  <w:style w:type="paragraph" w:customStyle="1" w:styleId="59">
    <w:name w:val="附录一级条标题"/>
    <w:basedOn w:val="60"/>
    <w:next w:val="47"/>
    <w:qFormat/>
    <w:uiPriority w:val="0"/>
    <w:pPr>
      <w:numPr>
        <w:ilvl w:val="2"/>
      </w:numPr>
      <w:autoSpaceDN w:val="0"/>
      <w:spacing w:before="0" w:beforeLines="0" w:after="0" w:afterLines="0"/>
      <w:outlineLvl w:val="2"/>
    </w:pPr>
  </w:style>
  <w:style w:type="paragraph" w:customStyle="1" w:styleId="60">
    <w:name w:val="附录章标题"/>
    <w:next w:val="47"/>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实施日期"/>
    <w:basedOn w:val="62"/>
    <w:qFormat/>
    <w:uiPriority w:val="0"/>
    <w:pPr>
      <w:framePr w:hSpace="0" w:wrap="around" w:xAlign="right"/>
      <w:jc w:val="right"/>
    </w:pPr>
  </w:style>
  <w:style w:type="paragraph" w:customStyle="1" w:styleId="6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封面正文"/>
    <w:qFormat/>
    <w:uiPriority w:val="0"/>
    <w:pPr>
      <w:jc w:val="both"/>
    </w:pPr>
    <w:rPr>
      <w:rFonts w:ascii="Times New Roman" w:hAnsi="Times New Roman" w:eastAsia="宋体" w:cs="Times New Roman"/>
      <w:lang w:val="en-US" w:eastAsia="zh-CN" w:bidi="ar-SA"/>
    </w:rPr>
  </w:style>
  <w:style w:type="paragraph" w:customStyle="1" w:styleId="6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5">
    <w:name w:val="附录四级条标题"/>
    <w:basedOn w:val="66"/>
    <w:next w:val="47"/>
    <w:qFormat/>
    <w:uiPriority w:val="0"/>
    <w:pPr>
      <w:numPr>
        <w:ilvl w:val="5"/>
      </w:numPr>
      <w:outlineLvl w:val="5"/>
    </w:pPr>
  </w:style>
  <w:style w:type="paragraph" w:customStyle="1" w:styleId="66">
    <w:name w:val="附录三级条标题"/>
    <w:basedOn w:val="58"/>
    <w:next w:val="47"/>
    <w:qFormat/>
    <w:uiPriority w:val="0"/>
    <w:pPr>
      <w:numPr>
        <w:ilvl w:val="4"/>
      </w:numPr>
      <w:outlineLvl w:val="4"/>
    </w:pPr>
  </w:style>
  <w:style w:type="paragraph" w:customStyle="1" w:styleId="67">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8">
    <w:name w:val="条文脚注"/>
    <w:basedOn w:val="27"/>
    <w:qFormat/>
    <w:uiPriority w:val="0"/>
    <w:pPr>
      <w:ind w:left="780" w:leftChars="200" w:hanging="360" w:hangingChars="200"/>
      <w:jc w:val="both"/>
    </w:pPr>
    <w:rPr>
      <w:rFonts w:ascii="宋体"/>
    </w:rPr>
  </w:style>
  <w:style w:type="paragraph" w:customStyle="1" w:styleId="69">
    <w:name w:val="注："/>
    <w:next w:val="47"/>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发布部门"/>
    <w:next w:val="4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参考文献、索引标题"/>
    <w:basedOn w:val="73"/>
    <w:next w:val="1"/>
    <w:qFormat/>
    <w:uiPriority w:val="0"/>
    <w:pPr>
      <w:numPr>
        <w:numId w:val="0"/>
      </w:numPr>
      <w:spacing w:after="200"/>
    </w:pPr>
    <w:rPr>
      <w:sz w:val="21"/>
    </w:rPr>
  </w:style>
  <w:style w:type="paragraph" w:customStyle="1" w:styleId="73">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章标题"/>
    <w:next w:val="47"/>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五级条标题"/>
    <w:basedOn w:val="78"/>
    <w:next w:val="47"/>
    <w:qFormat/>
    <w:uiPriority w:val="0"/>
    <w:pPr>
      <w:numPr>
        <w:ilvl w:val="6"/>
      </w:numPr>
      <w:outlineLvl w:val="6"/>
    </w:pPr>
  </w:style>
  <w:style w:type="paragraph" w:customStyle="1" w:styleId="78">
    <w:name w:val="四级条标题"/>
    <w:basedOn w:val="79"/>
    <w:next w:val="47"/>
    <w:qFormat/>
    <w:uiPriority w:val="0"/>
    <w:pPr>
      <w:numPr>
        <w:ilvl w:val="5"/>
      </w:numPr>
      <w:outlineLvl w:val="5"/>
    </w:pPr>
  </w:style>
  <w:style w:type="paragraph" w:customStyle="1" w:styleId="79">
    <w:name w:val="三级条标题"/>
    <w:basedOn w:val="80"/>
    <w:next w:val="47"/>
    <w:qFormat/>
    <w:uiPriority w:val="0"/>
    <w:pPr>
      <w:numPr>
        <w:ilvl w:val="4"/>
      </w:numPr>
      <w:outlineLvl w:val="4"/>
    </w:pPr>
  </w:style>
  <w:style w:type="paragraph" w:customStyle="1" w:styleId="80">
    <w:name w:val="二级条标题"/>
    <w:basedOn w:val="81"/>
    <w:next w:val="47"/>
    <w:qFormat/>
    <w:uiPriority w:val="0"/>
    <w:pPr>
      <w:numPr>
        <w:ilvl w:val="3"/>
      </w:numPr>
      <w:outlineLvl w:val="3"/>
    </w:pPr>
  </w:style>
  <w:style w:type="paragraph" w:customStyle="1" w:styleId="81">
    <w:name w:val="一级条标题"/>
    <w:basedOn w:val="74"/>
    <w:next w:val="47"/>
    <w:qFormat/>
    <w:uiPriority w:val="0"/>
    <w:pPr>
      <w:numPr>
        <w:ilvl w:val="2"/>
        <w:numId w:val="0"/>
      </w:numPr>
      <w:spacing w:before="0" w:beforeLines="0" w:after="0" w:afterLines="0"/>
      <w:outlineLvl w:val="2"/>
    </w:pPr>
  </w:style>
  <w:style w:type="paragraph" w:customStyle="1" w:styleId="8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3">
    <w:name w:val="无标题条"/>
    <w:next w:val="47"/>
    <w:qFormat/>
    <w:uiPriority w:val="0"/>
    <w:pPr>
      <w:jc w:val="both"/>
    </w:pPr>
    <w:rPr>
      <w:rFonts w:ascii="Times New Roman" w:hAnsi="Times New Roman" w:eastAsia="宋体" w:cs="Times New Roman"/>
      <w:sz w:val="21"/>
      <w:lang w:val="en-US" w:eastAsia="zh-CN" w:bidi="ar-SA"/>
    </w:rPr>
  </w:style>
  <w:style w:type="paragraph" w:customStyle="1" w:styleId="8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二级无标题条"/>
    <w:basedOn w:val="1"/>
    <w:qFormat/>
    <w:uiPriority w:val="0"/>
    <w:pPr>
      <w:numPr>
        <w:ilvl w:val="3"/>
        <w:numId w:val="5"/>
      </w:numPr>
    </w:p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正文表标题"/>
    <w:next w:val="4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8">
    <w:name w:val="一级无标题条"/>
    <w:basedOn w:val="1"/>
    <w:qFormat/>
    <w:uiPriority w:val="0"/>
    <w:pPr>
      <w:numPr>
        <w:ilvl w:val="2"/>
        <w:numId w:val="5"/>
      </w:numPr>
    </w:pPr>
  </w:style>
  <w:style w:type="paragraph" w:customStyle="1" w:styleId="89">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0">
    <w:name w:val="示例"/>
    <w:next w:val="47"/>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附录表标题"/>
    <w:next w:val="4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3">
    <w:name w:val="四级无标题条"/>
    <w:basedOn w:val="1"/>
    <w:qFormat/>
    <w:uiPriority w:val="0"/>
    <w:pPr>
      <w:numPr>
        <w:ilvl w:val="5"/>
        <w:numId w:val="5"/>
      </w:numPr>
    </w:pPr>
  </w:style>
  <w:style w:type="paragraph" w:customStyle="1" w:styleId="94">
    <w:name w:val="封面标准代替信息"/>
    <w:basedOn w:val="53"/>
    <w:qFormat/>
    <w:uiPriority w:val="0"/>
    <w:pPr>
      <w:framePr w:wrap="around"/>
      <w:spacing w:before="57"/>
    </w:pPr>
    <w:rPr>
      <w:rFonts w:ascii="宋体"/>
      <w:sz w:val="21"/>
    </w:rPr>
  </w:style>
  <w:style w:type="paragraph" w:customStyle="1" w:styleId="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7">
    <w:name w:val="附录五级条标题"/>
    <w:basedOn w:val="65"/>
    <w:next w:val="47"/>
    <w:qFormat/>
    <w:uiPriority w:val="0"/>
    <w:pPr>
      <w:numPr>
        <w:ilvl w:val="6"/>
      </w:numPr>
      <w:outlineLvl w:val="6"/>
    </w:p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HTML 预先格式化"/>
    <w:basedOn w:val="1"/>
    <w:qFormat/>
    <w:uiPriority w:val="0"/>
    <w:rPr>
      <w:rFonts w:ascii="Courier New" w:hAnsi="Courier New" w:cs="楷体_GB2312"/>
      <w:sz w:val="20"/>
      <w:szCs w:val="20"/>
    </w:rPr>
  </w:style>
  <w:style w:type="paragraph" w:customStyle="1" w:styleId="100">
    <w:name w:val="标准书眉_偶数页"/>
    <w:basedOn w:val="101"/>
    <w:next w:val="1"/>
    <w:qFormat/>
    <w:uiPriority w:val="0"/>
    <w:pPr>
      <w:tabs>
        <w:tab w:val="center" w:pos="4154"/>
        <w:tab w:val="right" w:pos="8306"/>
      </w:tabs>
      <w:jc w:val="left"/>
    </w:pPr>
  </w:style>
  <w:style w:type="paragraph" w:customStyle="1" w:styleId="1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2">
    <w:name w:val="正文图标题"/>
    <w:next w:val="4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4">
    <w:name w:val="五级无标题条"/>
    <w:basedOn w:val="1"/>
    <w:qFormat/>
    <w:uiPriority w:val="0"/>
    <w:pPr>
      <w:numPr>
        <w:ilvl w:val="6"/>
        <w:numId w:val="5"/>
      </w:numPr>
    </w:pPr>
  </w:style>
  <w:style w:type="paragraph" w:customStyle="1" w:styleId="105">
    <w:name w:val="其他发布部门"/>
    <w:basedOn w:val="71"/>
    <w:qFormat/>
    <w:uiPriority w:val="0"/>
    <w:pPr>
      <w:framePr w:wrap="around"/>
      <w:spacing w:line="0" w:lineRule="atLeast"/>
    </w:pPr>
    <w:rPr>
      <w:rFonts w:ascii="黑体" w:eastAsia="黑体"/>
      <w:b w:val="0"/>
    </w:rPr>
  </w:style>
  <w:style w:type="paragraph" w:customStyle="1" w:styleId="106">
    <w:name w:val="三级无标题条"/>
    <w:basedOn w:val="1"/>
    <w:qFormat/>
    <w:uiPriority w:val="0"/>
    <w:pPr>
      <w:numPr>
        <w:ilvl w:val="4"/>
        <w:numId w:val="5"/>
      </w:numPr>
    </w:pPr>
  </w:style>
  <w:style w:type="paragraph" w:customStyle="1" w:styleId="107">
    <w:name w:val="标准"/>
    <w:basedOn w:val="1"/>
    <w:qFormat/>
    <w:uiPriority w:val="0"/>
    <w:pPr>
      <w:adjustRightInd w:val="0"/>
      <w:spacing w:line="312" w:lineRule="atLeast"/>
      <w:jc w:val="center"/>
      <w:textAlignment w:val="baseline"/>
    </w:pPr>
    <w:rPr>
      <w:kern w:val="0"/>
      <w:szCs w:val="20"/>
    </w:rPr>
  </w:style>
  <w:style w:type="paragraph" w:customStyle="1" w:styleId="108">
    <w:name w:val="目次、标准名称标题"/>
    <w:basedOn w:val="73"/>
    <w:next w:val="47"/>
    <w:qFormat/>
    <w:uiPriority w:val="0"/>
    <w:pPr>
      <w:numPr>
        <w:numId w:val="0"/>
      </w:numPr>
      <w:spacing w:line="460" w:lineRule="exact"/>
    </w:pPr>
  </w:style>
  <w:style w:type="paragraph" w:customStyle="1" w:styleId="109">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0">
    <w:name w:val="附录标识"/>
    <w:basedOn w:val="73"/>
    <w:qFormat/>
    <w:uiPriority w:val="0"/>
    <w:pPr>
      <w:numPr>
        <w:ilvl w:val="0"/>
        <w:numId w:val="1"/>
      </w:numPr>
      <w:tabs>
        <w:tab w:val="left" w:pos="6405"/>
      </w:tabs>
      <w:spacing w:after="200"/>
    </w:pPr>
    <w:rPr>
      <w:sz w:val="21"/>
    </w:rPr>
  </w:style>
  <w:style w:type="paragraph" w:customStyle="1" w:styleId="11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13">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4">
    <w:name w:val="List Paragraph"/>
    <w:basedOn w:val="1"/>
    <w:qFormat/>
    <w:uiPriority w:val="34"/>
    <w:pPr>
      <w:ind w:firstLine="420" w:firstLineChars="200"/>
    </w:pPr>
  </w:style>
  <w:style w:type="character" w:styleId="115">
    <w:name w:val="Placeholder Text"/>
    <w:basedOn w:val="33"/>
    <w:unhideWhenUsed/>
    <w:qFormat/>
    <w:uiPriority w:val="99"/>
    <w:rPr>
      <w:color w:val="808080"/>
    </w:rPr>
  </w:style>
  <w:style w:type="character" w:customStyle="1" w:styleId="116">
    <w:name w:val="纯文本 Char"/>
    <w:link w:val="21"/>
    <w:qFormat/>
    <w:uiPriority w:val="0"/>
    <w:rPr>
      <w:rFonts w:ascii="宋体" w:hAnsi="Courier New"/>
      <w:kern w:val="2"/>
      <w:sz w:val="21"/>
    </w:rPr>
  </w:style>
  <w:style w:type="character" w:customStyle="1" w:styleId="117">
    <w:name w:val="批注文字 Char"/>
    <w:basedOn w:val="33"/>
    <w:link w:val="19"/>
    <w:qFormat/>
    <w:uiPriority w:val="0"/>
    <w:rPr>
      <w:kern w:val="2"/>
      <w:sz w:val="21"/>
      <w:szCs w:val="24"/>
    </w:rPr>
  </w:style>
  <w:style w:type="character" w:customStyle="1" w:styleId="118">
    <w:name w:val="批注主题 Char"/>
    <w:basedOn w:val="117"/>
    <w:link w:val="3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FFAB7-1BDC-49DA-A871-F1CA231F10E2}">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9</Pages>
  <Words>3987</Words>
  <Characters>4850</Characters>
  <Lines>30</Lines>
  <Paragraphs>8</Paragraphs>
  <TotalTime>24</TotalTime>
  <ScaleCrop>false</ScaleCrop>
  <LinksUpToDate>false</LinksUpToDate>
  <CharactersWithSpaces>5104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2022-06-14T07:18:00Z</dcterms:created>
  <dc:creator>赣州有色冶金研究所有限公司</dc:creator>
  <cp:lastModifiedBy>JL03337</cp:lastModifiedBy>
  <cp:lastPrinted>2022-06-04T01:58:00Z</cp:lastPrinted>
  <dcterms:modified xsi:type="dcterms:W3CDTF">2023-09-15T07:48:48Z</dcterms:modified>
  <dc:title>前    言</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0BC51AFD39364D368DD7919D6B2A2F39</vt:lpwstr>
  </property>
</Properties>
</file>