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9"/>
        <w:framePr w:wrap="around"/>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ICS 77.120.99</w:t>
      </w:r>
    </w:p>
    <w:p>
      <w:pPr>
        <w:pStyle w:val="129"/>
        <w:framePr w:wrap="around"/>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CCS H 17</w:t>
      </w:r>
    </w:p>
    <w:p>
      <w:pPr>
        <w:pStyle w:val="72"/>
        <w:framePr w:wrap="around"/>
      </w:pPr>
      <w:r>
        <w:rPr>
          <w:rFonts w:hint="eastAsia"/>
        </w:rPr>
        <w:t>YS</w:t>
      </w:r>
    </w:p>
    <w:p>
      <w:pPr>
        <w:pStyle w:val="72"/>
        <w:framePr w:wrap="around"/>
        <w:rPr>
          <w:color w:val="000000" w:themeColor="text1"/>
          <w14:textFill>
            <w14:solidFill>
              <w14:schemeClr w14:val="tx1"/>
            </w14:solidFill>
          </w14:textFill>
        </w:rPr>
      </w:pPr>
    </w:p>
    <w:p>
      <w:pPr>
        <w:pStyle w:val="116"/>
        <w:framePr w:w="9140" w:h="1815" w:hRule="exact" w:hSpace="284" w:vSpace="0" w:wrap="around" w:x="1476" w:y="2451"/>
      </w:pPr>
      <w:r>
        <w:rPr>
          <w:rFonts w:hint="eastAsia"/>
        </w:rPr>
        <w:t>中华人民共和国</w:t>
      </w:r>
      <w:r>
        <w:fldChar w:fldCharType="begin">
          <w:ffData>
            <w:name w:val="c2"/>
            <w:enabled/>
            <w:calcOnExit w:val="0"/>
            <w:textInput/>
          </w:ffData>
        </w:fldChar>
      </w:r>
      <w:bookmarkStart w:id="0" w:name="c2"/>
      <w:r>
        <w:instrText xml:space="preserve"> FORMTEXT </w:instrText>
      </w:r>
      <w:r>
        <w:fldChar w:fldCharType="separate"/>
      </w:r>
      <w:r>
        <w:rPr>
          <w:rFonts w:hint="eastAsia"/>
        </w:rPr>
        <w:t>有色金属</w:t>
      </w:r>
      <w:r>
        <w:fldChar w:fldCharType="end"/>
      </w:r>
      <w:bookmarkEnd w:id="0"/>
      <w:r>
        <w:rPr>
          <w:rFonts w:hint="eastAsia"/>
        </w:rPr>
        <w:t>行业标准</w:t>
      </w:r>
    </w:p>
    <w:p>
      <w:pPr>
        <w:pStyle w:val="53"/>
        <w:framePr w:h="1815" w:hRule="exact" w:wrap="around" w:x="1476" w:y="2451"/>
        <w:rPr>
          <w:color w:val="000000" w:themeColor="text1"/>
          <w14:textFill>
            <w14:solidFill>
              <w14:schemeClr w14:val="tx1"/>
            </w14:solidFill>
          </w14:textFill>
        </w:rPr>
      </w:pPr>
      <w:r>
        <w:rPr>
          <w:rFonts w:hAnsi="黑体"/>
          <w:color w:val="000000" w:themeColor="text1"/>
          <w14:textFill>
            <w14:solidFill>
              <w14:schemeClr w14:val="tx1"/>
            </w14:solidFill>
          </w14:textFill>
        </w:rPr>
        <w:t>YS/T XXXX</w:t>
      </w:r>
      <w:r>
        <w:rPr>
          <w:color w:val="000000" w:themeColor="text1"/>
          <w14:textFill>
            <w14:solidFill>
              <w14:schemeClr w14:val="tx1"/>
            </w14:solidFill>
          </w14:textFill>
        </w:rPr>
        <w:t>—</w:t>
      </w:r>
      <w:r>
        <w:rPr>
          <w:color w:val="000000" w:themeColor="text1"/>
          <w14:textFill>
            <w14:solidFill>
              <w14:schemeClr w14:val="tx1"/>
            </w14:solidFill>
          </w14:textFill>
        </w:rPr>
        <w:fldChar w:fldCharType="begin">
          <w:ffData>
            <w:name w:val="StdNo2"/>
            <w:enabled/>
            <w:calcOnExit w:val="0"/>
            <w:textInput>
              <w:default w:val="XXXX"/>
              <w:maxLength w:val="4"/>
            </w:textInput>
          </w:ffData>
        </w:fldChar>
      </w:r>
      <w:bookmarkStart w:id="1" w:name="StdNo2"/>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XXXX</w:t>
      </w:r>
      <w:r>
        <w:rPr>
          <w:color w:val="000000" w:themeColor="text1"/>
          <w14:textFill>
            <w14:solidFill>
              <w14:schemeClr w14:val="tx1"/>
            </w14:solidFill>
          </w14:textFill>
        </w:rPr>
        <w:fldChar w:fldCharType="end"/>
      </w:r>
      <w:bookmarkEnd w:id="1"/>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82"/>
              <w:framePr w:h="1815" w:hRule="exact" w:wrap="around" w:x="1476" w:y="2451"/>
              <w:ind w:right="420"/>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4"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5g8svWAAAACAEAAA8AAAAAAAAAAQAgAAAAIgAA&#10;AGRycy9kb3ducmV2LnhtbFBLAQIUABQAAAAIAIdO4kDrG+RXCgIAACEEAAAOAAAAAAAAAAEAIAAA&#10;ACUBAABkcnMvZTJvRG9jLnhtbFBLBQYAAAAABgAGAFkBAAChBQAAAAA=&#10;">
                      <v:fill on="t" focussize="0,0"/>
                      <v:stroke on="f"/>
                      <v:imagedata o:title=""/>
                      <o:lock v:ext="edit" aspectratio="f"/>
                    </v:rect>
                  </w:pict>
                </mc:Fallback>
              </mc:AlternateContent>
            </w:r>
          </w:p>
        </w:tc>
      </w:tr>
    </w:tbl>
    <w:p>
      <w:pPr>
        <w:pStyle w:val="53"/>
        <w:framePr w:h="1815" w:hRule="exact" w:wrap="around" w:x="1476" w:y="2451"/>
        <w:rPr>
          <w:color w:val="000000" w:themeColor="text1"/>
          <w14:textFill>
            <w14:solidFill>
              <w14:schemeClr w14:val="tx1"/>
            </w14:solidFill>
          </w14:textFill>
        </w:rPr>
      </w:pPr>
    </w:p>
    <w:p>
      <w:pPr>
        <w:pStyle w:val="53"/>
        <w:framePr w:h="1815" w:hRule="exact" w:wrap="around" w:x="1476" w:y="2451"/>
        <w:rPr>
          <w:color w:val="000000" w:themeColor="text1"/>
          <w14:textFill>
            <w14:solidFill>
              <w14:schemeClr w14:val="tx1"/>
            </w14:solidFill>
          </w14:textFill>
        </w:rPr>
      </w:pPr>
    </w:p>
    <w:p>
      <w:pPr>
        <w:pStyle w:val="84"/>
        <w:framePr w:wrap="around" w:x="1126" w:y="6391"/>
        <w:ind w:firstLine="1050"/>
      </w:pPr>
      <w:r>
        <w:rPr>
          <w:rFonts w:hint="eastAsia"/>
        </w:rPr>
        <w:t>高纯铟化学分析方法</w:t>
      </w:r>
    </w:p>
    <w:p>
      <w:pPr>
        <w:pStyle w:val="84"/>
        <w:framePr w:wrap="around" w:x="1126" w:y="6391"/>
        <w:ind w:firstLine="1050"/>
      </w:pPr>
      <w:r>
        <w:rPr>
          <w:rFonts w:hint="eastAsia"/>
        </w:rPr>
        <w:t>第1部分：痕量杂质元素含量的测定 辉光放电质谱法</w:t>
      </w:r>
    </w:p>
    <w:p>
      <w:pPr>
        <w:pStyle w:val="85"/>
        <w:framePr w:wrap="around" w:x="1126" w:y="6391"/>
        <w:ind w:firstLine="1050"/>
      </w:pPr>
      <w:r>
        <w:t>M</w:t>
      </w:r>
      <w:r>
        <w:rPr>
          <w:rFonts w:hint="eastAsia"/>
        </w:rPr>
        <w:t>ethods</w:t>
      </w:r>
      <w:r>
        <w:t xml:space="preserve"> </w:t>
      </w:r>
      <w:r>
        <w:rPr>
          <w:rFonts w:hint="eastAsia"/>
        </w:rPr>
        <w:t>for</w:t>
      </w:r>
      <w:r>
        <w:t xml:space="preserve"> </w:t>
      </w:r>
      <w:r>
        <w:rPr>
          <w:rFonts w:hint="eastAsia"/>
        </w:rPr>
        <w:t>chemical</w:t>
      </w:r>
      <w:r>
        <w:t xml:space="preserve"> </w:t>
      </w:r>
      <w:r>
        <w:rPr>
          <w:rFonts w:hint="eastAsia"/>
        </w:rPr>
        <w:t>analysis</w:t>
      </w:r>
      <w:r>
        <w:t xml:space="preserve"> </w:t>
      </w:r>
      <w:r>
        <w:rPr>
          <w:rFonts w:hint="eastAsia"/>
        </w:rPr>
        <w:t>of</w:t>
      </w:r>
      <w:r>
        <w:t xml:space="preserve"> </w:t>
      </w:r>
      <w:r>
        <w:rPr>
          <w:rFonts w:hint="eastAsia"/>
        </w:rPr>
        <w:t>high</w:t>
      </w:r>
      <w:r>
        <w:t xml:space="preserve"> </w:t>
      </w:r>
      <w:r>
        <w:rPr>
          <w:rFonts w:hint="eastAsia"/>
        </w:rPr>
        <w:t>purity</w:t>
      </w:r>
      <w:r>
        <w:t xml:space="preserve"> </w:t>
      </w:r>
      <w:r>
        <w:rPr>
          <w:rFonts w:hint="eastAsia"/>
        </w:rPr>
        <w:t>indium——</w:t>
      </w:r>
      <w:r>
        <w:t>P</w:t>
      </w:r>
      <w:r>
        <w:rPr>
          <w:rFonts w:hint="eastAsia"/>
        </w:rPr>
        <w:t>art</w:t>
      </w:r>
      <w:r>
        <w:t xml:space="preserve"> </w:t>
      </w:r>
      <w:r>
        <w:rPr>
          <w:rFonts w:hint="eastAsia"/>
        </w:rPr>
        <w:t>1：Determination</w:t>
      </w:r>
      <w:r>
        <w:t xml:space="preserve"> </w:t>
      </w:r>
      <w:r>
        <w:rPr>
          <w:rFonts w:hint="eastAsia"/>
        </w:rPr>
        <w:t>of</w:t>
      </w:r>
      <w:r>
        <w:t xml:space="preserve"> </w:t>
      </w:r>
      <w:r>
        <w:rPr>
          <w:rFonts w:hint="eastAsia"/>
        </w:rPr>
        <w:t>trace</w:t>
      </w:r>
      <w:r>
        <w:t xml:space="preserve"> </w:t>
      </w:r>
      <w:r>
        <w:rPr>
          <w:rFonts w:hint="eastAsia"/>
        </w:rPr>
        <w:t>impurity</w:t>
      </w:r>
      <w:r>
        <w:t xml:space="preserve"> </w:t>
      </w:r>
      <w:r>
        <w:rPr>
          <w:rFonts w:hint="eastAsia"/>
        </w:rPr>
        <w:t>elements</w:t>
      </w:r>
      <w:r>
        <w:t xml:space="preserve"> </w:t>
      </w:r>
      <w:r>
        <w:rPr>
          <w:rFonts w:hint="eastAsia"/>
        </w:rPr>
        <w:t>contents——</w:t>
      </w:r>
      <w:r>
        <w:t>G</w:t>
      </w:r>
      <w:r>
        <w:rPr>
          <w:rFonts w:hint="eastAsia"/>
        </w:rPr>
        <w:t>low</w:t>
      </w:r>
      <w:r>
        <w:t xml:space="preserve"> </w:t>
      </w:r>
      <w:r>
        <w:rPr>
          <w:rFonts w:hint="eastAsia"/>
        </w:rPr>
        <w:t>discharge</w:t>
      </w:r>
      <w:r>
        <w:t xml:space="preserve"> </w:t>
      </w:r>
      <w:r>
        <w:rPr>
          <w:rFonts w:hint="eastAsia"/>
        </w:rPr>
        <w:t>mass</w:t>
      </w:r>
      <w:r>
        <w:t xml:space="preserve"> </w:t>
      </w:r>
      <w:r>
        <w:rPr>
          <w:rFonts w:hint="eastAsia"/>
        </w:rPr>
        <w:t>spectrometry</w:t>
      </w:r>
    </w:p>
    <w:p>
      <w:pPr>
        <w:pStyle w:val="85"/>
        <w:framePr w:wrap="around" w:x="1126" w:y="6391"/>
        <w:rPr>
          <w:color w:val="000000" w:themeColor="text1"/>
          <w14:textFill>
            <w14:solidFill>
              <w14:schemeClr w14:val="tx1"/>
            </w14:solidFill>
          </w14:textFill>
        </w:rPr>
      </w:pP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7"/>
              <w:framePr w:wrap="around" w:x="1126" w:y="6391"/>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13"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312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YmuktUAAAAKAQAADwAAAAAAAAABACAAAAAiAAAA&#10;ZHJzL2Rvd25yZXYueG1sUEsBAhQAFAAAAAgAh07iQP0HVUQKAgAAIQQAAA4AAAAAAAAAAQAgAAAA&#10;JAEAAGRycy9lMm9Eb2MueG1sUEsFBgAAAAAGAAYAWQEAAKAFAAAAAA==&#10;">
                      <v:fill on="t" focussize="0,0"/>
                      <v:stroke on="f"/>
                      <v:imagedata o:title=""/>
                      <o:lock v:ext="edit" aspectratio="f"/>
                      <w10:anchorlock/>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12"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B4fPdwJAgAAIQQAAA4AAAAAAAAAAQAgAAAA&#10;JQEAAGRycy9lMm9Eb2MueG1sUEsFBgAAAAAGAAYAWQEAAKAFAAAAAA==&#10;">
                      <v:fill on="t" focussize="0,0"/>
                      <v:stroke on="f"/>
                      <v:imagedata o:title=""/>
                      <o:lock v:ext="edit" aspectratio="f"/>
                    </v:rect>
                  </w:pict>
                </mc:Fallback>
              </mc:AlternateConten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送审</w:t>
            </w:r>
            <w:r>
              <w:rPr>
                <w:rFonts w:hint="eastAsia"/>
                <w:color w:val="000000" w:themeColor="text1"/>
                <w14:textFill>
                  <w14:solidFill>
                    <w14:schemeClr w14:val="tx1"/>
                  </w14:solidFill>
                </w14:textFill>
              </w:rPr>
              <w:t>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8"/>
              <w:framePr w:wrap="around" w:x="1126" w:y="6391"/>
              <w:rPr>
                <w:color w:val="000000" w:themeColor="text1"/>
                <w14:textFill>
                  <w14:solidFill>
                    <w14:schemeClr w14:val="tx1"/>
                  </w14:solidFill>
                </w14:textFill>
              </w:rPr>
            </w:pPr>
          </w:p>
          <w:p>
            <w:pPr>
              <w:pStyle w:val="88"/>
              <w:framePr w:wrap="around" w:x="1126" w:y="6391"/>
              <w:rPr>
                <w:color w:val="000000" w:themeColor="text1"/>
                <w14:textFill>
                  <w14:solidFill>
                    <w14:schemeClr w14:val="tx1"/>
                  </w14:solidFill>
                </w14:textFill>
              </w:rPr>
            </w:pPr>
          </w:p>
          <w:p>
            <w:pPr>
              <w:pStyle w:val="88"/>
              <w:framePr w:wrap="around" w:x="1126" w:y="6391"/>
              <w:rPr>
                <w:color w:val="000000" w:themeColor="text1"/>
                <w14:textFill>
                  <w14:solidFill>
                    <w14:schemeClr w14:val="tx1"/>
                  </w14:solidFill>
                </w14:textFill>
              </w:rPr>
            </w:pPr>
          </w:p>
        </w:tc>
      </w:tr>
    </w:tbl>
    <w:p>
      <w:pPr>
        <w:pStyle w:val="136"/>
        <w:framePr w:wrap="around" w:hAnchor="page" w:x="1246" w:y="13996"/>
        <w:rPr>
          <w:color w:val="000000" w:themeColor="text1"/>
          <w14:textFill>
            <w14:solidFill>
              <w14:schemeClr w14:val="tx1"/>
            </w14:solidFill>
          </w14:textFill>
        </w:rPr>
      </w:pPr>
      <w:r>
        <w:rPr>
          <w:rFonts w:ascii="黑体"/>
          <w:color w:val="000000" w:themeColor="text1"/>
          <w14:textFill>
            <w14:solidFill>
              <w14:schemeClr w14:val="tx1"/>
            </w14:solidFill>
          </w14:textFill>
        </w:rPr>
        <w:fldChar w:fldCharType="begin">
          <w:ffData>
            <w:name w:val="FY"/>
            <w:enabled/>
            <w:calcOnExit w:val="0"/>
            <w:textInput>
              <w:default w:val="XXXX"/>
              <w:maxLength w:val="4"/>
            </w:textInput>
          </w:ffData>
        </w:fldChar>
      </w:r>
      <w:bookmarkStart w:id="2" w:name="FY"/>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XXXX</w:t>
      </w:r>
      <w:r>
        <w:rPr>
          <w:rFonts w:ascii="黑体"/>
          <w:color w:val="000000" w:themeColor="text1"/>
          <w14:textFill>
            <w14:solidFill>
              <w14:schemeClr w14:val="tx1"/>
            </w14:solidFill>
          </w14:textFill>
        </w:rPr>
        <w:fldChar w:fldCharType="end"/>
      </w:r>
      <w:bookmarkEnd w:id="2"/>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FM"/>
            <w:enabled/>
            <w:calcOnExit w:val="0"/>
            <w:textInput>
              <w:default w:val="XX"/>
              <w:maxLength w:val="2"/>
            </w:textInput>
          </w:ffData>
        </w:fldChar>
      </w:r>
      <w:bookmarkStart w:id="3" w:name="FM"/>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3"/>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FD"/>
            <w:enabled/>
            <w:calcOnExit w:val="0"/>
            <w:textInput>
              <w:default w:val="XX"/>
              <w:maxLength w:val="2"/>
            </w:textInput>
          </w:ffData>
        </w:fldChar>
      </w:r>
      <w:bookmarkStart w:id="4" w:name="FD"/>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4"/>
      <w:r>
        <w:rPr>
          <w:rFonts w:hint="eastAsia"/>
          <w:color w:val="000000" w:themeColor="text1"/>
          <w14:textFill>
            <w14:solidFill>
              <w14:schemeClr w14:val="tx1"/>
            </w14:solidFill>
          </w14:textFill>
        </w:rPr>
        <w:t>发布</w:t>
      </w:r>
      <w:r>
        <w:rPr>
          <w:color w:val="000000" w:themeColor="text1"/>
          <w14:textFill>
            <w14:solidFill>
              <w14:schemeClr w14:val="tx1"/>
            </w14:solidFill>
          </w14:textFill>
        </w:rPr>
        <mc:AlternateContent>
          <mc:Choice Requires="wps">
            <w:drawing>
              <wp:anchor distT="0" distB="0" distL="114300" distR="114300" simplePos="0" relativeHeight="251659264" behindDoc="0" locked="1" layoutInCell="1" allowOverlap="1">
                <wp:simplePos x="0" y="0"/>
                <wp:positionH relativeFrom="column">
                  <wp:posOffset>10795</wp:posOffset>
                </wp:positionH>
                <wp:positionV relativeFrom="page">
                  <wp:posOffset>9251315</wp:posOffset>
                </wp:positionV>
                <wp:extent cx="6120130" cy="0"/>
                <wp:effectExtent l="0" t="0" r="0" b="0"/>
                <wp:wrapNone/>
                <wp:docPr id="11"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85pt;margin-top:728.45pt;height:0pt;width:481.9pt;mso-position-vertical-relative:page;z-index:251659264;mso-width-relative:page;mso-height-relative:page;" filled="f" stroked="t" coordsize="21600,21600" o:gfxdata="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4bVjXAAAACwEAAA8AAAAAAAAAAQAgAAAAIgAAAGRycy9k&#10;b3ducmV2LnhtbFBLAQIUABQAAAAIAIdO4kATtXDnygEAAKEDAAAOAAAAAAAAAAEAIAAAACYBAABk&#10;cnMvZTJvRG9jLnhtbFBLBQYAAAAABgAGAFkBAABiBQAAAAA=&#10;">
                <v:fill on="f" focussize="0,0"/>
                <v:stroke color="#000000" joinstyle="round"/>
                <v:imagedata o:title=""/>
                <o:lock v:ext="edit" aspectratio="f"/>
                <w10:anchorlock/>
              </v:line>
            </w:pict>
          </mc:Fallback>
        </mc:AlternateContent>
      </w:r>
    </w:p>
    <w:p>
      <w:pPr>
        <w:pStyle w:val="137"/>
        <w:framePr w:wrap="around" w:hAnchor="page" w:x="6916" w:y="14066"/>
        <w:rPr>
          <w:color w:val="000000" w:themeColor="text1"/>
          <w14:textFill>
            <w14:solidFill>
              <w14:schemeClr w14:val="tx1"/>
            </w14:solidFill>
          </w14:textFill>
        </w:rPr>
      </w:pPr>
      <w:r>
        <w:rPr>
          <w:rFonts w:ascii="黑体"/>
          <w:color w:val="000000" w:themeColor="text1"/>
          <w14:textFill>
            <w14:solidFill>
              <w14:schemeClr w14:val="tx1"/>
            </w14:solidFill>
          </w14:textFill>
        </w:rPr>
        <w:fldChar w:fldCharType="begin">
          <w:ffData>
            <w:name w:val="SY"/>
            <w:enabled/>
            <w:calcOnExit w:val="0"/>
            <w:textInput>
              <w:default w:val="XXXX"/>
              <w:maxLength w:val="4"/>
            </w:textInput>
          </w:ffData>
        </w:fldChar>
      </w:r>
      <w:bookmarkStart w:id="5" w:name="SY"/>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XXXX</w:t>
      </w:r>
      <w:r>
        <w:rPr>
          <w:rFonts w:ascii="黑体"/>
          <w:color w:val="000000" w:themeColor="text1"/>
          <w14:textFill>
            <w14:solidFill>
              <w14:schemeClr w14:val="tx1"/>
            </w14:solidFill>
          </w14:textFill>
        </w:rPr>
        <w:fldChar w:fldCharType="end"/>
      </w:r>
      <w:bookmarkEnd w:id="5"/>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SM"/>
            <w:enabled/>
            <w:calcOnExit w:val="0"/>
            <w:textInput>
              <w:default w:val="XX"/>
              <w:maxLength w:val="2"/>
            </w:textInput>
          </w:ffData>
        </w:fldChar>
      </w:r>
      <w:bookmarkStart w:id="6" w:name="SM"/>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6"/>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SD"/>
            <w:enabled/>
            <w:calcOnExit w:val="0"/>
            <w:textInput>
              <w:default w:val="XX"/>
              <w:maxLength w:val="2"/>
            </w:textInput>
          </w:ffData>
        </w:fldChar>
      </w:r>
      <w:bookmarkStart w:id="7" w:name="SD"/>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7"/>
      <w:r>
        <w:rPr>
          <w:rFonts w:hint="eastAsia"/>
          <w:color w:val="000000" w:themeColor="text1"/>
          <w14:textFill>
            <w14:solidFill>
              <w14:schemeClr w14:val="tx1"/>
            </w14:solidFill>
          </w14:textFill>
        </w:rPr>
        <w:t>实施</w:t>
      </w:r>
    </w:p>
    <w:p>
      <w:pPr>
        <w:pStyle w:val="117"/>
        <w:framePr w:wrap="around"/>
      </w:pPr>
      <w:r>
        <w:fldChar w:fldCharType="begin">
          <w:ffData>
            <w:name w:val="fm"/>
            <w:enabled/>
            <w:calcOnExit w:val="0"/>
            <w:textInput/>
          </w:ffData>
        </w:fldChar>
      </w:r>
      <w:r>
        <w:instrText xml:space="preserve"> FORMTEXT </w:instrText>
      </w:r>
      <w:r>
        <w:fldChar w:fldCharType="separate"/>
      </w:r>
      <w:r>
        <w:rPr>
          <w:rFonts w:hint="eastAsia"/>
        </w:rPr>
        <w:t>中华人民共和国工业和信息化部</w:t>
      </w:r>
      <w:r>
        <w:fldChar w:fldCharType="end"/>
      </w:r>
      <w:r>
        <w:t>   </w:t>
      </w:r>
      <w:r>
        <w:rPr>
          <w:rStyle w:val="79"/>
          <w:rFonts w:hint="eastAsia"/>
        </w:rPr>
        <w:t>发布</w:t>
      </w:r>
    </w:p>
    <w:p>
      <w:pPr>
        <w:pStyle w:val="24"/>
        <w:rPr>
          <w:color w:val="000000" w:themeColor="text1"/>
          <w14:textFill>
            <w14:solidFill>
              <w14:schemeClr w14:val="tx1"/>
            </w14:solidFill>
          </w14:textFill>
        </w:rPr>
        <w:sectPr>
          <w:pgSz w:w="11906" w:h="16838"/>
          <w:pgMar w:top="567" w:right="850" w:bottom="1134" w:left="1418" w:header="0" w:footer="0" w:gutter="0"/>
          <w:pgNumType w:fmt="upperRoman" w:start="1"/>
          <w:cols w:space="425" w:num="1"/>
          <w:docGrid w:type="lines" w:linePitch="312" w:charSpace="0"/>
        </w:sectPr>
      </w:pPr>
      <w:bookmarkStart w:id="8" w:name="_GoBack"/>
      <w:bookmarkEnd w:id="8"/>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9097645</wp:posOffset>
                </wp:positionV>
                <wp:extent cx="5970905" cy="13335"/>
                <wp:effectExtent l="0" t="0" r="30480" b="24765"/>
                <wp:wrapNone/>
                <wp:docPr id="1405766356"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5970896" cy="13647"/>
                        </a:xfrm>
                        <a:prstGeom prst="line">
                          <a:avLst/>
                        </a:prstGeom>
                        <a:noFill/>
                        <a:ln w="9525">
                          <a:solidFill>
                            <a:srgbClr val="000000"/>
                          </a:solidFill>
                          <a:round/>
                        </a:ln>
                      </wps:spPr>
                      <wps:bodyPr/>
                    </wps:wsp>
                  </a:graphicData>
                </a:graphic>
              </wp:anchor>
            </w:drawing>
          </mc:Choice>
          <mc:Fallback>
            <w:pict>
              <v:line id="直接连接符 15" o:spid="_x0000_s1026" o:spt="20" style="position:absolute;left:0pt;margin-top:716.35pt;height:1.05pt;width:470.15pt;mso-position-horizontal:left;mso-position-horizontal-relative:margin;z-index:251664384;mso-width-relative:page;mso-height-relative:page;" filled="f" stroked="t" coordsize="21600,21600" o:gfxdata="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wXXGJ1wAAAAoBAAAPAAAAAAAAAAEAIAAAACIAAABkcnMvZG93bnJldi54bWxQSwECFAAU&#10;AAAACACHTuJAPHskSfIBAAC4AwAADgAAAAAAAAABACAAAAAmAQAAZHJzL2Uyb0RvYy54bWxQSwUG&#10;AAAAAAYABgBZAQAAigU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2339340</wp:posOffset>
                </wp:positionV>
                <wp:extent cx="6120130" cy="0"/>
                <wp:effectExtent l="0" t="0" r="0" b="0"/>
                <wp:wrapNone/>
                <wp:docPr id="10"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pt;height:0pt;width:481.9pt;z-index:251660288;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BdbwCNcAAAAJAQAADwAAAAAAAAABACAAAAAiAAAAZHJzL2Rv&#10;d25yZXYueG1sUEsBAhQAFAAAAAgAh07iQJXB4kDJAQAAoQMAAA4AAAAAAAAAAQAgAAAAJgEAAGRy&#10;cy9lMm9Eb2MueG1sUEsFBgAAAAAGAAYAWQEAAGEFAAAAAA==&#10;">
                <v:fill on="f" focussize="0,0"/>
                <v:stroke color="#000000" joinstyle="round"/>
                <v:imagedata o:title=""/>
                <o:lock v:ext="edit" aspectratio="f"/>
              </v:line>
            </w:pict>
          </mc:Fallback>
        </mc:AlternateContent>
      </w:r>
    </w:p>
    <w:p>
      <w:pPr>
        <w:pStyle w:val="118"/>
        <w:rPr>
          <w:color w:val="000000" w:themeColor="text1"/>
          <w14:textFill>
            <w14:solidFill>
              <w14:schemeClr w14:val="tx1"/>
            </w14:solidFill>
          </w14:textFill>
        </w:rPr>
      </w:pPr>
      <w:r>
        <w:rPr>
          <w:rFonts w:hint="eastAsia"/>
          <w:color w:val="000000" w:themeColor="text1"/>
          <w14:textFill>
            <w14:solidFill>
              <w14:schemeClr w14:val="tx1"/>
            </w14:solidFill>
          </w14:textFill>
        </w:rPr>
        <w:t>前</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言</w:t>
      </w:r>
    </w:p>
    <w:p>
      <w:pPr>
        <w:autoSpaceDE w:val="0"/>
        <w:autoSpaceDN w:val="0"/>
        <w:adjustRightInd w:val="0"/>
        <w:spacing w:before="35" w:line="300" w:lineRule="auto"/>
        <w:ind w:right="-78" w:firstLine="420" w:firstLineChars="200"/>
        <w:jc w:val="left"/>
        <w:rPr>
          <w:rFonts w:ascii="宋体" w:cs="宋体"/>
          <w:kern w:val="0"/>
          <w:szCs w:val="21"/>
        </w:rPr>
      </w:pPr>
      <w:r>
        <w:rPr>
          <w:rFonts w:hint="eastAsia" w:ascii="宋体" w:cs="宋体"/>
          <w:kern w:val="0"/>
          <w:szCs w:val="21"/>
        </w:rPr>
        <w:t>本文件按照</w:t>
      </w:r>
      <w:r>
        <w:rPr>
          <w:kern w:val="0"/>
          <w:szCs w:val="21"/>
        </w:rPr>
        <w:t>GB/T1.1-2020</w:t>
      </w:r>
      <w:r>
        <w:rPr>
          <w:rFonts w:hint="eastAsia" w:ascii="宋体" w:cs="宋体"/>
          <w:kern w:val="0"/>
          <w:szCs w:val="21"/>
        </w:rPr>
        <w:t>《标准化工作导则 第1部分：标准化文件的结构和起草规则》的规定起草。</w:t>
      </w:r>
    </w:p>
    <w:p>
      <w:pPr>
        <w:pStyle w:val="24"/>
      </w:pPr>
      <w:r>
        <w:rPr>
          <w:rFonts w:hint="eastAsia"/>
        </w:rPr>
        <w:t>YS/T XXX《高纯铟化学分析方法》分为5个部分：</w:t>
      </w:r>
    </w:p>
    <w:p>
      <w:pPr>
        <w:pStyle w:val="54"/>
        <w:ind w:left="833"/>
      </w:pPr>
      <w:r>
        <w:rPr>
          <w:rFonts w:hint="eastAsia"/>
        </w:rPr>
        <w:t>第1部分：镁、铝、硅、硫、铁、镍、铜、锌、砷、银、镉、锡、铊、铅的测定  高质量分辨率辉光放电质谱法；</w:t>
      </w:r>
    </w:p>
    <w:p>
      <w:pPr>
        <w:pStyle w:val="54"/>
        <w:ind w:left="833"/>
      </w:pPr>
      <w:r>
        <w:rPr>
          <w:rFonts w:hint="eastAsia"/>
        </w:rPr>
        <w:t>第2部分：高纯铟中痕量元素的测定  电感耦合等离子体质谱法；</w:t>
      </w:r>
    </w:p>
    <w:p>
      <w:pPr>
        <w:pStyle w:val="54"/>
        <w:ind w:left="833"/>
      </w:pPr>
      <w:r>
        <w:rPr>
          <w:rFonts w:hint="eastAsia"/>
        </w:rPr>
        <w:t>第3部分：硅量的测定  硅钼蓝分光光度法；</w:t>
      </w:r>
    </w:p>
    <w:p>
      <w:pPr>
        <w:pStyle w:val="54"/>
        <w:ind w:left="833"/>
      </w:pPr>
      <w:r>
        <w:rPr>
          <w:rFonts w:hint="eastAsia"/>
        </w:rPr>
        <w:t>第4部分：锡量的测定  苯芴酮-溴代十六烷基三甲胺吸光光度法；</w:t>
      </w:r>
    </w:p>
    <w:p>
      <w:pPr>
        <w:pStyle w:val="54"/>
        <w:ind w:left="833"/>
      </w:pPr>
      <w:r>
        <w:rPr>
          <w:rFonts w:hint="eastAsia"/>
        </w:rPr>
        <w:t>第5部分：铊量的测定  罗丹明B吸光光度法。</w:t>
      </w:r>
    </w:p>
    <w:p>
      <w:pPr>
        <w:pStyle w:val="24"/>
      </w:pPr>
      <w:r>
        <w:rPr>
          <w:rFonts w:hint="eastAsia"/>
        </w:rPr>
        <w:t xml:space="preserve">本文件是对YS/T </w:t>
      </w:r>
      <w:r>
        <w:t>981</w:t>
      </w:r>
      <w:r>
        <w:rPr>
          <w:rFonts w:hint="eastAsia"/>
        </w:rPr>
        <w:t>的第1部分进行的修订，与Y</w:t>
      </w:r>
      <w:r>
        <w:t>S/T981.1-2014</w:t>
      </w:r>
      <w:r>
        <w:rPr>
          <w:rFonts w:hint="eastAsia"/>
        </w:rPr>
        <w:t>相比，除结构调整和编辑性改动外，主要技术变化如下：</w:t>
      </w:r>
    </w:p>
    <w:p>
      <w:pPr>
        <w:pStyle w:val="24"/>
        <w:numPr>
          <w:ilvl w:val="4"/>
          <w:numId w:val="3"/>
        </w:numPr>
        <w:tabs>
          <w:tab w:val="left" w:pos="1134"/>
          <w:tab w:val="clear" w:pos="2526"/>
        </w:tabs>
        <w:ind w:left="851" w:firstLine="0" w:firstLineChars="0"/>
      </w:pPr>
      <w:r>
        <w:rPr>
          <w:rFonts w:hint="eastAsia"/>
        </w:rPr>
        <w:t>检测元素种类从14种增加为73种；</w:t>
      </w:r>
    </w:p>
    <w:p>
      <w:pPr>
        <w:pStyle w:val="24"/>
        <w:numPr>
          <w:ilvl w:val="4"/>
          <w:numId w:val="3"/>
        </w:numPr>
        <w:tabs>
          <w:tab w:val="left" w:pos="1134"/>
          <w:tab w:val="clear" w:pos="2526"/>
        </w:tabs>
        <w:ind w:left="851" w:firstLine="0" w:firstLineChars="0"/>
      </w:pPr>
      <w:r>
        <w:rPr>
          <w:rFonts w:hint="eastAsia"/>
        </w:rPr>
        <w:t>检测下限部分元素修订为0.001</w:t>
      </w:r>
      <w:r>
        <w:rPr>
          <w:rFonts w:hint="eastAsia" w:hAnsi="宋体"/>
        </w:rPr>
        <w:t>μ</w:t>
      </w:r>
      <w:r>
        <w:rPr>
          <w:rFonts w:hint="eastAsia"/>
        </w:rPr>
        <w:t>g</w:t>
      </w:r>
      <w:r>
        <w:t>/</w:t>
      </w:r>
      <w:r>
        <w:rPr>
          <w:rFonts w:hint="eastAsia"/>
        </w:rPr>
        <w:t>g；</w:t>
      </w:r>
    </w:p>
    <w:p>
      <w:pPr>
        <w:pStyle w:val="24"/>
      </w:pPr>
      <w:r>
        <w:t>请注意本文件的某些内容可能涉及专利。本文件的发布机构不承担识别专利的责任。</w:t>
      </w:r>
    </w:p>
    <w:p>
      <w:pPr>
        <w:pStyle w:val="24"/>
        <w:rPr>
          <w:rFonts w:ascii="Times New Roman"/>
          <w:color w:val="000000" w:themeColor="text1"/>
          <w14:textFill>
            <w14:solidFill>
              <w14:schemeClr w14:val="tx1"/>
            </w14:solidFill>
          </w14:textFill>
        </w:rPr>
      </w:pPr>
      <w:r>
        <w:rPr>
          <w:rFonts w:hint="eastAsia"/>
        </w:rPr>
        <w:t>本文件由全</w:t>
      </w:r>
      <w:r>
        <w:t>国有色金属标准化技术委员会</w:t>
      </w:r>
      <w:r>
        <w:rPr>
          <w:rFonts w:hint="eastAsia"/>
        </w:rPr>
        <w:t>（SAC/TC 243）与</w:t>
      </w:r>
      <w:r>
        <w:rPr>
          <w:rFonts w:ascii="Times New Roman"/>
          <w:color w:val="000000" w:themeColor="text1"/>
          <w14:textFill>
            <w14:solidFill>
              <w14:schemeClr w14:val="tx1"/>
            </w14:solidFill>
          </w14:textFill>
        </w:rPr>
        <w:t>全国半导体设备和材料标准化技术委员会材料分技术委员会（SAC/TC203/SC2）</w:t>
      </w:r>
      <w:r>
        <w:rPr>
          <w:rFonts w:hint="eastAsia" w:ascii="Times New Roman"/>
          <w:color w:val="000000" w:themeColor="text1"/>
          <w14:textFill>
            <w14:solidFill>
              <w14:schemeClr w14:val="tx1"/>
            </w14:solidFill>
          </w14:textFill>
        </w:rPr>
        <w:t>共同</w:t>
      </w:r>
      <w:r>
        <w:rPr>
          <w:rFonts w:ascii="Times New Roman"/>
          <w:color w:val="000000" w:themeColor="text1"/>
          <w14:textFill>
            <w14:solidFill>
              <w14:schemeClr w14:val="tx1"/>
            </w14:solidFill>
          </w14:textFill>
        </w:rPr>
        <w:t>提出并归口。</w:t>
      </w:r>
    </w:p>
    <w:p>
      <w:pPr>
        <w:pStyle w:val="24"/>
      </w:pPr>
      <w:r>
        <w:t>本</w:t>
      </w:r>
      <w:r>
        <w:rPr>
          <w:rFonts w:hint="eastAsia"/>
        </w:rPr>
        <w:t>文件主要</w:t>
      </w:r>
      <w:r>
        <w:t>起草</w:t>
      </w:r>
      <w:r>
        <w:rPr>
          <w:rFonts w:hint="eastAsia"/>
        </w:rPr>
        <w:t>单位：</w:t>
      </w:r>
      <w:r>
        <w:rPr>
          <w:rFonts w:ascii="Times New Roman"/>
          <w:color w:val="000000"/>
        </w:rPr>
        <w:t>国标（北京）检验认证有限公司</w:t>
      </w:r>
      <w:r>
        <w:rPr>
          <w:rFonts w:hint="eastAsia"/>
        </w:rPr>
        <w:t>。</w:t>
      </w:r>
    </w:p>
    <w:p>
      <w:pPr>
        <w:pStyle w:val="24"/>
      </w:pPr>
      <w:r>
        <w:rPr>
          <w:rFonts w:hint="eastAsia"/>
        </w:rPr>
        <w:t>本文件参与起草单位：株洲科能新材料股份有限公司、广东先导稀材股份有限公司、东方电气（乐山）峨半高纯材料有限公司、云南锡业集团（控股）有限责任公司、朝阳金美镓业有限公司、</w:t>
      </w:r>
      <w:r>
        <w:rPr>
          <w:rFonts w:hint="eastAsia"/>
          <w:color w:val="000000"/>
        </w:rPr>
        <w:t>北京清质分析技术有限公司</w:t>
      </w:r>
      <w:r>
        <w:rPr>
          <w:rFonts w:hint="eastAsia"/>
        </w:rPr>
        <w:t>。</w:t>
      </w:r>
    </w:p>
    <w:p>
      <w:pPr>
        <w:pStyle w:val="24"/>
      </w:pPr>
      <w:r>
        <w:rPr>
          <w:rFonts w:hint="eastAsia"/>
        </w:rPr>
        <w:t>本部分主要起草人：刘红、金智宏、朱赞芳、谭秀珍、朱君、佘宗静、刘智鹏、陈丽诗、汪洋、李铭。</w:t>
      </w:r>
    </w:p>
    <w:p>
      <w:pPr>
        <w:pStyle w:val="24"/>
      </w:pPr>
      <w:r>
        <w:rPr>
          <w:rFonts w:hint="eastAsia"/>
        </w:rPr>
        <w:t>本文件及其所代替文件的历次版本发布情况为：</w:t>
      </w:r>
    </w:p>
    <w:p>
      <w:pPr>
        <w:pStyle w:val="24"/>
      </w:pPr>
      <w:r>
        <w:rPr>
          <w:rFonts w:hint="eastAsia"/>
        </w:rPr>
        <w:t>——2014年首次发布为Y</w:t>
      </w:r>
      <w:r>
        <w:t>S/T 981.1-2014</w:t>
      </w:r>
      <w:r>
        <w:rPr>
          <w:rFonts w:hint="eastAsia"/>
        </w:rPr>
        <w:t>；</w:t>
      </w:r>
    </w:p>
    <w:p>
      <w:pPr>
        <w:pStyle w:val="24"/>
      </w:pPr>
      <w:r>
        <w:rPr>
          <w:rFonts w:hint="eastAsia"/>
        </w:rPr>
        <w:t>——本次为第一次修订。</w:t>
      </w:r>
    </w:p>
    <w:p>
      <w:pPr>
        <w:pStyle w:val="24"/>
        <w:rPr>
          <w:rFonts w:hAnsi="宋体"/>
          <w:szCs w:val="21"/>
        </w:rPr>
      </w:pPr>
      <w:r>
        <w:rPr>
          <w:rFonts w:hint="eastAsia" w:hAnsi="宋体"/>
          <w:szCs w:val="21"/>
        </w:rPr>
        <w:t xml:space="preserve"> </w:t>
      </w:r>
    </w:p>
    <w:p>
      <w:pPr>
        <w:pStyle w:val="24"/>
        <w:rPr>
          <w:color w:val="000000" w:themeColor="text1"/>
          <w14:textFill>
            <w14:solidFill>
              <w14:schemeClr w14:val="tx1"/>
            </w14:solidFill>
          </w14:textFill>
        </w:rPr>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84"/>
        <w:framePr w:w="0" w:hRule="auto" w:wrap="auto" w:vAnchor="margin" w:hAnchor="text" w:xAlign="left" w:yAlign="inline"/>
        <w:ind w:left="420" w:firstLine="640"/>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 xml:space="preserve">高纯铟化学分析方法 第1部分：痕量杂质元素含量的测定  </w:t>
      </w:r>
    </w:p>
    <w:p>
      <w:pPr>
        <w:pStyle w:val="84"/>
        <w:framePr w:w="0" w:hRule="auto" w:wrap="auto" w:vAnchor="margin" w:hAnchor="text" w:xAlign="left" w:yAlign="inline"/>
        <w:ind w:left="420" w:firstLine="640"/>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辉光放电质谱法</w:t>
      </w:r>
    </w:p>
    <w:p>
      <w:pPr>
        <w:pStyle w:val="51"/>
        <w:numPr>
          <w:ilvl w:val="0"/>
          <w:numId w:val="18"/>
        </w:numPr>
        <w:spacing w:before="312" w:after="312"/>
        <w:ind w:left="397" w:hanging="397"/>
        <w:rPr>
          <w:color w:val="000000"/>
        </w:rPr>
      </w:pPr>
      <w:r>
        <w:rPr>
          <w:rFonts w:hint="eastAsia"/>
          <w:color w:val="000000"/>
        </w:rPr>
        <w:t>范围</w:t>
      </w:r>
      <w:del w:id="0" w:author="作者" w:date="2023-07-14T09:24:00Z">
        <w:r>
          <w:rPr>
            <w:rFonts w:hint="eastAsia"/>
            <w:color w:val="000000"/>
          </w:rPr>
          <w:delText>/</w:delText>
        </w:r>
      </w:del>
    </w:p>
    <w:p>
      <w:pPr>
        <w:pStyle w:val="24"/>
        <w:rPr>
          <w:color w:val="000000" w:themeColor="text1"/>
          <w14:textFill>
            <w14:solidFill>
              <w14:schemeClr w14:val="tx1"/>
            </w14:solidFill>
          </w14:textFill>
        </w:rPr>
      </w:pPr>
      <w:r>
        <w:rPr>
          <w:rFonts w:hint="eastAsia"/>
          <w:color w:val="000000" w:themeColor="text1"/>
          <w14:textFill>
            <w14:solidFill>
              <w14:schemeClr w14:val="tx1"/>
            </w14:solidFill>
          </w14:textFill>
        </w:rPr>
        <w:t>本文件规定了高纯铟中杂质元素含量的测定方法。</w:t>
      </w:r>
    </w:p>
    <w:p>
      <w:pPr>
        <w:pStyle w:val="24"/>
        <w:rPr>
          <w:rFonts w:hAnsi="宋体"/>
          <w:szCs w:val="21"/>
        </w:rPr>
      </w:pPr>
      <w:r>
        <w:rPr>
          <w:rFonts w:hint="eastAsia"/>
          <w:color w:val="000000" w:themeColor="text1"/>
          <w14:textFill>
            <w14:solidFill>
              <w14:schemeClr w14:val="tx1"/>
            </w14:solidFill>
          </w14:textFill>
        </w:rPr>
        <w:t>本文件适用于高纯铟中杂质元素含量的测定，</w:t>
      </w:r>
      <w:r>
        <w:rPr>
          <w:rFonts w:hint="eastAsia" w:hAnsi="宋体"/>
          <w:szCs w:val="21"/>
        </w:rPr>
        <w:t>测定范围见表1</w:t>
      </w:r>
      <w:r>
        <w:rPr>
          <w:rFonts w:hAnsi="宋体"/>
          <w:szCs w:val="21"/>
        </w:rPr>
        <w:t>。</w:t>
      </w:r>
    </w:p>
    <w:p>
      <w:pPr>
        <w:pStyle w:val="24"/>
        <w:spacing w:line="360" w:lineRule="auto"/>
        <w:jc w:val="center"/>
        <w:rPr>
          <w:rFonts w:ascii="黑体" w:hAnsi="黑体" w:eastAsia="黑体"/>
          <w:szCs w:val="21"/>
        </w:rPr>
      </w:pPr>
      <w:r>
        <w:rPr>
          <w:rFonts w:hint="eastAsia" w:ascii="黑体" w:hAnsi="黑体" w:eastAsia="黑体"/>
          <w:szCs w:val="21"/>
        </w:rPr>
        <w:t>表1 测定范围</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131"/>
        <w:gridCol w:w="711"/>
        <w:gridCol w:w="991"/>
        <w:gridCol w:w="710"/>
        <w:gridCol w:w="992"/>
        <w:gridCol w:w="709"/>
        <w:gridCol w:w="993"/>
        <w:gridCol w:w="639"/>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sz w:val="18"/>
                <w:szCs w:val="18"/>
              </w:rPr>
            </w:pPr>
            <w:r>
              <w:rPr>
                <w:sz w:val="18"/>
                <w:szCs w:val="18"/>
              </w:rPr>
              <w:t>元素</w:t>
            </w:r>
          </w:p>
        </w:tc>
        <w:tc>
          <w:tcPr>
            <w:tcW w:w="1131" w:type="dxa"/>
            <w:shd w:val="clear" w:color="auto" w:fill="auto"/>
            <w:vAlign w:val="center"/>
          </w:tcPr>
          <w:p>
            <w:pPr>
              <w:tabs>
                <w:tab w:val="left" w:pos="9354"/>
              </w:tabs>
              <w:adjustRightInd w:val="0"/>
              <w:snapToGrid w:val="0"/>
              <w:jc w:val="center"/>
              <w:rPr>
                <w:sz w:val="18"/>
                <w:szCs w:val="18"/>
              </w:rPr>
            </w:pPr>
            <w:r>
              <w:rPr>
                <w:sz w:val="18"/>
                <w:szCs w:val="18"/>
              </w:rPr>
              <w:t>测定范围</w:t>
            </w:r>
          </w:p>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/μg/g</w:t>
            </w:r>
          </w:p>
        </w:tc>
        <w:tc>
          <w:tcPr>
            <w:tcW w:w="711" w:type="dxa"/>
            <w:vAlign w:val="center"/>
          </w:tcPr>
          <w:p>
            <w:pPr>
              <w:tabs>
                <w:tab w:val="left" w:pos="9354"/>
              </w:tabs>
              <w:adjustRightInd w:val="0"/>
              <w:snapToGrid w:val="0"/>
              <w:jc w:val="center"/>
              <w:rPr>
                <w:sz w:val="18"/>
                <w:szCs w:val="18"/>
              </w:rPr>
            </w:pPr>
            <w:r>
              <w:rPr>
                <w:sz w:val="18"/>
                <w:szCs w:val="18"/>
              </w:rPr>
              <w:t>元素</w:t>
            </w:r>
          </w:p>
        </w:tc>
        <w:tc>
          <w:tcPr>
            <w:tcW w:w="991" w:type="dxa"/>
            <w:vAlign w:val="center"/>
          </w:tcPr>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测定范围/μg/g</w:t>
            </w:r>
          </w:p>
        </w:tc>
        <w:tc>
          <w:tcPr>
            <w:tcW w:w="710" w:type="dxa"/>
            <w:shd w:val="clear" w:color="auto" w:fill="auto"/>
            <w:vAlign w:val="center"/>
          </w:tcPr>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元素</w:t>
            </w:r>
          </w:p>
        </w:tc>
        <w:tc>
          <w:tcPr>
            <w:tcW w:w="992" w:type="dxa"/>
            <w:shd w:val="clear" w:color="auto" w:fill="auto"/>
            <w:vAlign w:val="center"/>
          </w:tcPr>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测定范围</w:t>
            </w:r>
          </w:p>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/μg/g</w:t>
            </w:r>
          </w:p>
        </w:tc>
        <w:tc>
          <w:tcPr>
            <w:tcW w:w="709" w:type="dxa"/>
            <w:shd w:val="clear" w:color="auto" w:fill="auto"/>
            <w:vAlign w:val="center"/>
          </w:tcPr>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元素</w:t>
            </w:r>
          </w:p>
        </w:tc>
        <w:tc>
          <w:tcPr>
            <w:tcW w:w="993" w:type="dxa"/>
            <w:shd w:val="clear" w:color="auto" w:fill="auto"/>
            <w:vAlign w:val="center"/>
          </w:tcPr>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测定范围</w:t>
            </w:r>
          </w:p>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/μg/g</w:t>
            </w:r>
          </w:p>
        </w:tc>
        <w:tc>
          <w:tcPr>
            <w:tcW w:w="639" w:type="dxa"/>
            <w:vAlign w:val="center"/>
          </w:tcPr>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元素</w:t>
            </w:r>
          </w:p>
        </w:tc>
        <w:tc>
          <w:tcPr>
            <w:tcW w:w="1063" w:type="dxa"/>
            <w:vAlign w:val="center"/>
          </w:tcPr>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测定范围</w:t>
            </w:r>
          </w:p>
          <w:p>
            <w:pPr>
              <w:tabs>
                <w:tab w:val="left" w:pos="9354"/>
              </w:tabs>
              <w:adjustRightInd w:val="0"/>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/μg/g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Li</w:t>
            </w:r>
          </w:p>
        </w:tc>
        <w:tc>
          <w:tcPr>
            <w:tcW w:w="1131"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hint="eastAsia" w:ascii="宋体" w:hAnsi="宋体"/>
                <w:sz w:val="18"/>
                <w:szCs w:val="18"/>
              </w:rPr>
              <w:t>V</w:t>
            </w:r>
          </w:p>
        </w:tc>
        <w:tc>
          <w:tcPr>
            <w:tcW w:w="991"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Y</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Ba</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ascii="宋体" w:hAnsi="宋体"/>
                <w:sz w:val="18"/>
                <w:szCs w:val="18"/>
              </w:rPr>
              <w:t>Hf</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Be</w:t>
            </w:r>
          </w:p>
        </w:tc>
        <w:tc>
          <w:tcPr>
            <w:tcW w:w="1131"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hint="eastAsia" w:ascii="宋体" w:hAnsi="宋体"/>
                <w:sz w:val="18"/>
                <w:szCs w:val="18"/>
              </w:rPr>
              <w:t>C</w:t>
            </w:r>
            <w:r>
              <w:rPr>
                <w:rFonts w:ascii="宋体" w:hAnsi="宋体"/>
                <w:sz w:val="18"/>
                <w:szCs w:val="18"/>
              </w:rPr>
              <w:t>r</w:t>
            </w:r>
          </w:p>
        </w:tc>
        <w:tc>
          <w:tcPr>
            <w:tcW w:w="991"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Zr</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La</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ascii="宋体" w:hAnsi="宋体"/>
                <w:sz w:val="18"/>
                <w:szCs w:val="18"/>
              </w:rPr>
              <w:t>Ta</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w:t>
            </w:r>
            <w:r>
              <w:rPr>
                <w:rFonts w:hint="eastAsia" w:ascii="宋体" w:hAnsi="宋体"/>
                <w:sz w:val="18"/>
                <w:szCs w:val="18"/>
              </w:rPr>
              <w:t>5</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B</w:t>
            </w:r>
          </w:p>
        </w:tc>
        <w:tc>
          <w:tcPr>
            <w:tcW w:w="1131"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Mn</w:t>
            </w:r>
          </w:p>
        </w:tc>
        <w:tc>
          <w:tcPr>
            <w:tcW w:w="991"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hint="eastAsia" w:ascii="宋体" w:hAnsi="宋体"/>
                <w:sz w:val="18"/>
                <w:szCs w:val="18"/>
              </w:rPr>
              <w:t>N</w:t>
            </w:r>
            <w:r>
              <w:rPr>
                <w:rFonts w:ascii="宋体" w:hAnsi="宋体"/>
                <w:sz w:val="18"/>
                <w:szCs w:val="18"/>
              </w:rPr>
              <w:t>b</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Ce</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ascii="宋体" w:hAnsi="宋体"/>
                <w:sz w:val="18"/>
                <w:szCs w:val="18"/>
              </w:rPr>
              <w:t>W</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F</w:t>
            </w:r>
          </w:p>
        </w:tc>
        <w:tc>
          <w:tcPr>
            <w:tcW w:w="1131"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0.05</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Fe</w:t>
            </w:r>
          </w:p>
        </w:tc>
        <w:tc>
          <w:tcPr>
            <w:tcW w:w="991"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hint="eastAsia" w:ascii="宋体" w:hAnsi="宋体"/>
                <w:sz w:val="18"/>
                <w:szCs w:val="18"/>
              </w:rPr>
              <w:t>M</w:t>
            </w:r>
            <w:r>
              <w:rPr>
                <w:rFonts w:ascii="宋体" w:hAnsi="宋体"/>
                <w:sz w:val="18"/>
                <w:szCs w:val="18"/>
              </w:rPr>
              <w:t>o</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Pr</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ascii="宋体" w:hAnsi="宋体"/>
                <w:sz w:val="18"/>
                <w:szCs w:val="18"/>
              </w:rPr>
              <w:t>Re</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Na</w:t>
            </w:r>
          </w:p>
        </w:tc>
        <w:tc>
          <w:tcPr>
            <w:tcW w:w="1131"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 xml:space="preserve">Ni </w:t>
            </w:r>
          </w:p>
        </w:tc>
        <w:tc>
          <w:tcPr>
            <w:tcW w:w="991"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Ru</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hint="eastAsia" w:ascii="宋体" w:hAnsi="宋体"/>
                <w:sz w:val="18"/>
                <w:szCs w:val="18"/>
              </w:rPr>
              <w:t>N</w:t>
            </w:r>
            <w:r>
              <w:rPr>
                <w:rFonts w:ascii="宋体" w:hAnsi="宋体"/>
                <w:sz w:val="18"/>
                <w:szCs w:val="18"/>
              </w:rPr>
              <w:t>d</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ascii="宋体" w:hAnsi="宋体"/>
                <w:sz w:val="18"/>
                <w:szCs w:val="18"/>
              </w:rPr>
              <w:t>Os</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Mg</w:t>
            </w:r>
          </w:p>
        </w:tc>
        <w:tc>
          <w:tcPr>
            <w:tcW w:w="1131"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Co</w:t>
            </w:r>
          </w:p>
        </w:tc>
        <w:tc>
          <w:tcPr>
            <w:tcW w:w="991"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Rh</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hint="eastAsia" w:ascii="宋体" w:hAnsi="宋体"/>
                <w:sz w:val="18"/>
                <w:szCs w:val="18"/>
              </w:rPr>
              <w:t>S</w:t>
            </w:r>
            <w:r>
              <w:rPr>
                <w:rFonts w:ascii="宋体" w:hAnsi="宋体"/>
                <w:sz w:val="18"/>
                <w:szCs w:val="18"/>
              </w:rPr>
              <w:t>m</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ascii="宋体" w:hAnsi="宋体"/>
                <w:sz w:val="18"/>
                <w:szCs w:val="18"/>
              </w:rPr>
              <w:t>Ir</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Al</w:t>
            </w:r>
          </w:p>
        </w:tc>
        <w:tc>
          <w:tcPr>
            <w:tcW w:w="1131"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Cu</w:t>
            </w:r>
          </w:p>
        </w:tc>
        <w:tc>
          <w:tcPr>
            <w:tcW w:w="991"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Pd</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Eu</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hint="eastAsia" w:ascii="宋体" w:hAnsi="宋体"/>
                <w:sz w:val="18"/>
                <w:szCs w:val="18"/>
              </w:rPr>
              <w:t>P</w:t>
            </w:r>
            <w:r>
              <w:rPr>
                <w:rFonts w:ascii="宋体" w:hAnsi="宋体"/>
                <w:sz w:val="18"/>
                <w:szCs w:val="18"/>
              </w:rPr>
              <w:t>t</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Si</w:t>
            </w:r>
          </w:p>
        </w:tc>
        <w:tc>
          <w:tcPr>
            <w:tcW w:w="1131"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Zn</w:t>
            </w:r>
          </w:p>
        </w:tc>
        <w:tc>
          <w:tcPr>
            <w:tcW w:w="991"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Ag</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Gd</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hint="eastAsia" w:ascii="宋体" w:hAnsi="宋体"/>
                <w:sz w:val="18"/>
                <w:szCs w:val="18"/>
              </w:rPr>
              <w:t>A</w:t>
            </w:r>
            <w:r>
              <w:rPr>
                <w:rFonts w:ascii="宋体" w:hAnsi="宋体"/>
                <w:sz w:val="18"/>
                <w:szCs w:val="18"/>
              </w:rPr>
              <w:t>u</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w:t>
            </w:r>
            <w:r>
              <w:rPr>
                <w:rFonts w:hint="eastAsia" w:ascii="宋体" w:hAnsi="宋体"/>
                <w:sz w:val="18"/>
                <w:szCs w:val="18"/>
              </w:rPr>
              <w:t>5</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P</w:t>
            </w:r>
          </w:p>
        </w:tc>
        <w:tc>
          <w:tcPr>
            <w:tcW w:w="1131"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G</w:t>
            </w:r>
            <w:r>
              <w:rPr>
                <w:rFonts w:hint="eastAsia" w:ascii="宋体" w:hAnsi="宋体"/>
                <w:sz w:val="18"/>
                <w:szCs w:val="18"/>
              </w:rPr>
              <w:t>a</w:t>
            </w:r>
          </w:p>
        </w:tc>
        <w:tc>
          <w:tcPr>
            <w:tcW w:w="99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Cd</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Tb</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ascii="宋体" w:hAnsi="宋体"/>
                <w:sz w:val="18"/>
                <w:szCs w:val="18"/>
              </w:rPr>
              <w:t>Hg</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S</w:t>
            </w:r>
          </w:p>
        </w:tc>
        <w:tc>
          <w:tcPr>
            <w:tcW w:w="1131"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0.05</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Ge</w:t>
            </w:r>
          </w:p>
        </w:tc>
        <w:tc>
          <w:tcPr>
            <w:tcW w:w="991" w:type="dxa"/>
          </w:tcPr>
          <w:p>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In</w:t>
            </w:r>
          </w:p>
        </w:tc>
        <w:tc>
          <w:tcPr>
            <w:tcW w:w="992" w:type="dxa"/>
            <w:shd w:val="clear" w:color="auto" w:fill="auto"/>
          </w:tcPr>
          <w:p>
            <w:pPr>
              <w:tabs>
                <w:tab w:val="left" w:pos="9354"/>
              </w:tabs>
              <w:adjustRightInd w:val="0"/>
              <w:snapToGrid w:val="0"/>
              <w:jc w:val="center"/>
              <w:rPr>
                <w:rFonts w:ascii="宋体" w:hAnsi="宋体"/>
                <w:sz w:val="18"/>
                <w:szCs w:val="18"/>
              </w:rPr>
            </w:pPr>
            <w:r>
              <w:rPr>
                <w:rFonts w:hint="eastAsia" w:ascii="宋体" w:hAnsi="宋体"/>
                <w:sz w:val="18"/>
                <w:szCs w:val="18"/>
              </w:rPr>
              <w:t>基体</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Dy</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ascii="宋体" w:hAnsi="宋体"/>
                <w:sz w:val="18"/>
                <w:szCs w:val="18"/>
              </w:rPr>
              <w:t>Tl</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hint="eastAsia" w:ascii="宋体" w:hAnsi="宋体"/>
                <w:sz w:val="18"/>
                <w:szCs w:val="18"/>
              </w:rPr>
              <w:t>Cl</w:t>
            </w:r>
          </w:p>
        </w:tc>
        <w:tc>
          <w:tcPr>
            <w:tcW w:w="1131"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0.05</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As</w:t>
            </w:r>
          </w:p>
        </w:tc>
        <w:tc>
          <w:tcPr>
            <w:tcW w:w="991" w:type="dxa"/>
          </w:tcPr>
          <w:p>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Sn</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Ho</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ascii="宋体" w:hAnsi="宋体"/>
                <w:sz w:val="18"/>
                <w:szCs w:val="18"/>
              </w:rPr>
              <w:t>Pb</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hint="eastAsia" w:ascii="宋体" w:hAnsi="宋体"/>
                <w:sz w:val="18"/>
                <w:szCs w:val="18"/>
              </w:rPr>
              <w:t>K</w:t>
            </w:r>
          </w:p>
        </w:tc>
        <w:tc>
          <w:tcPr>
            <w:tcW w:w="1131"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0.05</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Br</w:t>
            </w:r>
          </w:p>
        </w:tc>
        <w:tc>
          <w:tcPr>
            <w:tcW w:w="99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0.05</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Sb</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Er</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ascii="宋体" w:hAnsi="宋体"/>
                <w:sz w:val="18"/>
                <w:szCs w:val="18"/>
              </w:rPr>
              <w:t>Bi</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Ca</w:t>
            </w:r>
          </w:p>
        </w:tc>
        <w:tc>
          <w:tcPr>
            <w:tcW w:w="1131"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Se</w:t>
            </w:r>
          </w:p>
        </w:tc>
        <w:tc>
          <w:tcPr>
            <w:tcW w:w="99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0.05</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I</w:t>
            </w:r>
          </w:p>
        </w:tc>
        <w:tc>
          <w:tcPr>
            <w:tcW w:w="992"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0.05</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Tm</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ascii="宋体" w:hAnsi="宋体"/>
                <w:sz w:val="18"/>
                <w:szCs w:val="18"/>
              </w:rPr>
              <w:t>Th</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Sc</w:t>
            </w:r>
          </w:p>
        </w:tc>
        <w:tc>
          <w:tcPr>
            <w:tcW w:w="1131"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Rb</w:t>
            </w:r>
          </w:p>
        </w:tc>
        <w:tc>
          <w:tcPr>
            <w:tcW w:w="99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Te</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Yb</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ascii="宋体" w:hAnsi="宋体"/>
                <w:sz w:val="18"/>
                <w:szCs w:val="18"/>
              </w:rPr>
              <w:t>U</w:t>
            </w:r>
          </w:p>
        </w:tc>
        <w:tc>
          <w:tcPr>
            <w:tcW w:w="1063" w:type="dxa"/>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Ti</w:t>
            </w:r>
          </w:p>
        </w:tc>
        <w:tc>
          <w:tcPr>
            <w:tcW w:w="1131"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Sr</w:t>
            </w:r>
          </w:p>
        </w:tc>
        <w:tc>
          <w:tcPr>
            <w:tcW w:w="991" w:type="dxa"/>
            <w:vAlign w:val="center"/>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710"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Cs</w:t>
            </w:r>
          </w:p>
        </w:tc>
        <w:tc>
          <w:tcPr>
            <w:tcW w:w="992"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0.05</w:t>
            </w:r>
            <w:r>
              <w:rPr>
                <w:sz w:val="18"/>
                <w:szCs w:val="18"/>
              </w:rPr>
              <w:t>~</w:t>
            </w:r>
            <w:r>
              <w:rPr>
                <w:rFonts w:hint="eastAsia" w:ascii="宋体" w:hAnsi="宋体"/>
                <w:sz w:val="18"/>
                <w:szCs w:val="18"/>
              </w:rPr>
              <w:t>1</w:t>
            </w:r>
            <w:r>
              <w:rPr>
                <w:rFonts w:ascii="宋体" w:hAnsi="宋体"/>
                <w:sz w:val="18"/>
                <w:szCs w:val="18"/>
              </w:rPr>
              <w:t>0</w:t>
            </w:r>
          </w:p>
        </w:tc>
        <w:tc>
          <w:tcPr>
            <w:tcW w:w="709" w:type="dxa"/>
            <w:shd w:val="clear" w:color="auto" w:fill="auto"/>
            <w:vAlign w:val="center"/>
          </w:tcPr>
          <w:p>
            <w:pPr>
              <w:tabs>
                <w:tab w:val="left" w:pos="9354"/>
              </w:tabs>
              <w:adjustRightInd w:val="0"/>
              <w:snapToGrid w:val="0"/>
              <w:jc w:val="center"/>
              <w:rPr>
                <w:rFonts w:ascii="宋体" w:hAnsi="宋体"/>
                <w:sz w:val="18"/>
                <w:szCs w:val="18"/>
              </w:rPr>
            </w:pPr>
            <w:r>
              <w:rPr>
                <w:rFonts w:ascii="宋体" w:hAnsi="宋体"/>
                <w:sz w:val="18"/>
                <w:szCs w:val="18"/>
              </w:rPr>
              <w:t>Lu</w:t>
            </w:r>
          </w:p>
        </w:tc>
        <w:tc>
          <w:tcPr>
            <w:tcW w:w="993" w:type="dxa"/>
            <w:shd w:val="clear" w:color="auto" w:fill="auto"/>
          </w:tcPr>
          <w:p>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hint="eastAsia" w:ascii="宋体" w:hAnsi="宋体"/>
                <w:sz w:val="18"/>
                <w:szCs w:val="18"/>
              </w:rPr>
              <w:t>1</w:t>
            </w:r>
            <w:r>
              <w:rPr>
                <w:rFonts w:ascii="宋体" w:hAnsi="宋体"/>
                <w:sz w:val="18"/>
                <w:szCs w:val="18"/>
              </w:rPr>
              <w:t>0</w:t>
            </w:r>
          </w:p>
        </w:tc>
        <w:tc>
          <w:tcPr>
            <w:tcW w:w="639" w:type="dxa"/>
            <w:vAlign w:val="center"/>
          </w:tcPr>
          <w:p>
            <w:pPr>
              <w:tabs>
                <w:tab w:val="left" w:pos="9354"/>
              </w:tabs>
              <w:adjustRightInd w:val="0"/>
              <w:snapToGrid w:val="0"/>
              <w:jc w:val="center"/>
              <w:rPr>
                <w:rFonts w:ascii="宋体" w:hAnsi="宋体"/>
                <w:sz w:val="18"/>
                <w:szCs w:val="18"/>
              </w:rPr>
            </w:pPr>
            <w:r>
              <w:rPr>
                <w:rFonts w:hint="eastAsia" w:ascii="宋体" w:hAnsi="宋体" w:cs="宋体"/>
                <w:sz w:val="18"/>
                <w:szCs w:val="18"/>
              </w:rPr>
              <w:t>-</w:t>
            </w:r>
          </w:p>
        </w:tc>
        <w:tc>
          <w:tcPr>
            <w:tcW w:w="1063" w:type="dxa"/>
            <w:vAlign w:val="center"/>
          </w:tcPr>
          <w:p>
            <w:pPr>
              <w:tabs>
                <w:tab w:val="left" w:pos="9354"/>
              </w:tabs>
              <w:adjustRightInd w:val="0"/>
              <w:snapToGrid w:val="0"/>
              <w:jc w:val="center"/>
              <w:rPr>
                <w:rFonts w:ascii="宋体" w:hAnsi="宋体"/>
                <w:sz w:val="18"/>
                <w:szCs w:val="18"/>
              </w:rPr>
            </w:pPr>
            <w:r>
              <w:rPr>
                <w:rFonts w:hint="eastAsia" w:ascii="宋体" w:hAnsi="宋体" w:cs="宋体"/>
                <w:sz w:val="18"/>
                <w:szCs w:val="18"/>
              </w:rPr>
              <w:t>-</w:t>
            </w:r>
          </w:p>
        </w:tc>
      </w:tr>
    </w:tbl>
    <w:p>
      <w:pPr>
        <w:pStyle w:val="51"/>
        <w:numPr>
          <w:ilvl w:val="0"/>
          <w:numId w:val="18"/>
        </w:numPr>
        <w:spacing w:before="312" w:after="312"/>
        <w:ind w:left="397" w:hanging="397"/>
        <w:rPr>
          <w:color w:val="000000" w:themeColor="text1"/>
          <w14:textFill>
            <w14:solidFill>
              <w14:schemeClr w14:val="tx1"/>
            </w14:solidFill>
          </w14:textFill>
        </w:rPr>
      </w:pPr>
      <w:r>
        <w:rPr>
          <w:rFonts w:hint="eastAsia"/>
          <w:color w:val="000000" w:themeColor="text1"/>
          <w14:textFill>
            <w14:solidFill>
              <w14:schemeClr w14:val="tx1"/>
            </w14:solidFill>
          </w14:textFill>
        </w:rPr>
        <w:t>规范性引用文件</w:t>
      </w:r>
    </w:p>
    <w:p>
      <w:pPr>
        <w:pStyle w:val="24"/>
        <w:rPr>
          <w:rFonts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4"/>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G</w:t>
      </w:r>
      <w:r>
        <w:rPr>
          <w:rFonts w:ascii="Times New Roman"/>
          <w:color w:val="000000" w:themeColor="text1"/>
          <w14:textFill>
            <w14:solidFill>
              <w14:schemeClr w14:val="tx1"/>
            </w14:solidFill>
          </w14:textFill>
        </w:rPr>
        <w:t xml:space="preserve">B/T 6682 </w:t>
      </w:r>
      <w:r>
        <w:rPr>
          <w:rFonts w:hint="eastAsia" w:ascii="Times New Roman"/>
          <w:color w:val="000000" w:themeColor="text1"/>
          <w14:textFill>
            <w14:solidFill>
              <w14:schemeClr w14:val="tx1"/>
            </w14:solidFill>
          </w14:textFill>
        </w:rPr>
        <w:t>分析实验室用水规格和试验方法</w:t>
      </w:r>
    </w:p>
    <w:p>
      <w:pPr>
        <w:pStyle w:val="24"/>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G</w:t>
      </w:r>
      <w:r>
        <w:rPr>
          <w:rFonts w:ascii="Times New Roman"/>
          <w:color w:val="000000" w:themeColor="text1"/>
          <w14:textFill>
            <w14:solidFill>
              <w14:schemeClr w14:val="tx1"/>
            </w14:solidFill>
          </w14:textFill>
        </w:rPr>
        <w:t xml:space="preserve">B/T 8170 </w:t>
      </w:r>
      <w:r>
        <w:rPr>
          <w:rFonts w:hint="eastAsia" w:ascii="Times New Roman"/>
          <w:color w:val="000000" w:themeColor="text1"/>
          <w14:textFill>
            <w14:solidFill>
              <w14:schemeClr w14:val="tx1"/>
            </w14:solidFill>
          </w14:textFill>
        </w:rPr>
        <w:t>数值修约规则与极限数值的表示和判定</w:t>
      </w:r>
    </w:p>
    <w:p>
      <w:pPr>
        <w:pStyle w:val="24"/>
        <w:rPr>
          <w:color w:val="000000" w:themeColor="text1"/>
          <w14:textFill>
            <w14:solidFill>
              <w14:schemeClr w14:val="tx1"/>
            </w14:solidFill>
          </w14:textFill>
        </w:rPr>
      </w:pPr>
      <w:r>
        <w:rPr>
          <w:rFonts w:ascii="Times New Roman"/>
          <w:color w:val="000000" w:themeColor="text1"/>
          <w14:textFill>
            <w14:solidFill>
              <w14:schemeClr w14:val="tx1"/>
            </w14:solidFill>
          </w14:textFill>
        </w:rPr>
        <w:t xml:space="preserve">GB/T 14264 </w:t>
      </w:r>
      <w:r>
        <w:rPr>
          <w:rFonts w:hint="eastAsia"/>
          <w:color w:val="000000" w:themeColor="text1"/>
          <w14:textFill>
            <w14:solidFill>
              <w14:schemeClr w14:val="tx1"/>
            </w14:solidFill>
          </w14:textFill>
        </w:rPr>
        <w:t>半导体材料术语</w:t>
      </w:r>
    </w:p>
    <w:p>
      <w:pPr>
        <w:pStyle w:val="51"/>
        <w:numPr>
          <w:ilvl w:val="0"/>
          <w:numId w:val="18"/>
        </w:numPr>
        <w:spacing w:before="312" w:after="312"/>
        <w:ind w:left="397" w:hanging="397"/>
        <w:rPr>
          <w:color w:val="000000" w:themeColor="text1"/>
          <w14:textFill>
            <w14:solidFill>
              <w14:schemeClr w14:val="tx1"/>
            </w14:solidFill>
          </w14:textFill>
        </w:rPr>
      </w:pPr>
      <w:r>
        <w:rPr>
          <w:rFonts w:hint="eastAsia"/>
          <w:color w:val="000000" w:themeColor="text1"/>
          <w14:textFill>
            <w14:solidFill>
              <w14:schemeClr w14:val="tx1"/>
            </w14:solidFill>
          </w14:textFill>
        </w:rPr>
        <w:t>术语和定义</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GB/T 14264 </w:t>
      </w:r>
      <w:r>
        <w:rPr>
          <w:rFonts w:hint="eastAsia"/>
          <w:color w:val="000000" w:themeColor="text1"/>
          <w14:textFill>
            <w14:solidFill>
              <w14:schemeClr w14:val="tx1"/>
            </w14:solidFill>
          </w14:textFill>
        </w:rPr>
        <w:t>《半导体材料术语》界定的术语和定义适用于本文件。</w:t>
      </w:r>
    </w:p>
    <w:p>
      <w:pPr>
        <w:spacing w:line="360" w:lineRule="auto"/>
        <w:rPr>
          <w:rFonts w:ascii="黑体" w:hAnsi="黑体" w:eastAsia="黑体"/>
          <w:szCs w:val="21"/>
        </w:rPr>
      </w:pPr>
      <w:r>
        <w:rPr>
          <w:rFonts w:hint="eastAsia" w:ascii="黑体" w:hAnsi="黑体" w:eastAsia="黑体"/>
          <w:szCs w:val="21"/>
        </w:rPr>
        <w:t xml:space="preserve">3.1 </w:t>
      </w:r>
    </w:p>
    <w:p>
      <w:pPr>
        <w:spacing w:line="360" w:lineRule="auto"/>
        <w:ind w:firstLine="420" w:firstLineChars="200"/>
        <w:rPr>
          <w:rFonts w:ascii="黑体" w:hAnsi="黑体" w:eastAsia="黑体"/>
          <w:szCs w:val="21"/>
        </w:rPr>
      </w:pPr>
      <w:r>
        <w:rPr>
          <w:rFonts w:ascii="黑体" w:hAnsi="黑体" w:eastAsia="黑体"/>
          <w:szCs w:val="21"/>
        </w:rPr>
        <w:t>标准样品</w:t>
      </w:r>
      <w:r>
        <w:rPr>
          <w:rFonts w:hint="eastAsia" w:ascii="黑体" w:hAnsi="黑体" w:eastAsia="黑体"/>
          <w:szCs w:val="21"/>
        </w:rPr>
        <w:t xml:space="preserve"> </w:t>
      </w:r>
      <w:r>
        <w:rPr>
          <w:rFonts w:eastAsia="黑体"/>
          <w:szCs w:val="21"/>
        </w:rPr>
        <w:t>standard sample</w:t>
      </w:r>
    </w:p>
    <w:p>
      <w:pPr>
        <w:ind w:firstLine="424" w:firstLineChars="202"/>
        <w:rPr>
          <w:rFonts w:ascii="宋体" w:hAnsi="宋体"/>
          <w:szCs w:val="21"/>
        </w:rPr>
      </w:pPr>
      <w:r>
        <w:rPr>
          <w:rFonts w:hint="eastAsia" w:ascii="宋体" w:hAnsi="宋体"/>
          <w:szCs w:val="21"/>
        </w:rPr>
        <w:t>有证或具有溯源性的标准样品，用于测定获得待测元素的相对灵敏度因子。</w:t>
      </w:r>
    </w:p>
    <w:p>
      <w:pPr>
        <w:pStyle w:val="51"/>
        <w:numPr>
          <w:ilvl w:val="0"/>
          <w:numId w:val="18"/>
        </w:numPr>
        <w:spacing w:before="312" w:after="312"/>
        <w:ind w:left="397" w:hanging="397"/>
        <w:rPr>
          <w:color w:val="000000" w:themeColor="text1"/>
          <w14:textFill>
            <w14:solidFill>
              <w14:schemeClr w14:val="tx1"/>
            </w14:solidFill>
          </w14:textFill>
        </w:rPr>
      </w:pPr>
      <w:del w:id="1" w:author="作者" w:date="2023-07-14T09:21:00Z">
        <w:r>
          <w:rPr>
            <w:rFonts w:hint="eastAsia"/>
            <w:color w:val="000000" w:themeColor="text1"/>
            <w14:textFill>
              <w14:solidFill>
                <w14:schemeClr w14:val="tx1"/>
              </w14:solidFill>
            </w14:textFill>
          </w:rPr>
          <w:delText>方法</w:delText>
        </w:r>
      </w:del>
      <w:r>
        <w:rPr>
          <w:rFonts w:hint="eastAsia"/>
          <w:color w:val="000000" w:themeColor="text1"/>
          <w14:textFill>
            <w14:solidFill>
              <w14:schemeClr w14:val="tx1"/>
            </w14:solidFill>
          </w14:textFill>
        </w:rPr>
        <w:t>原理</w:t>
      </w:r>
    </w:p>
    <w:p>
      <w:pPr>
        <w:ind w:firstLine="420" w:firstLineChars="200"/>
        <w:rPr>
          <w:rFonts w:ascii="宋体" w:hAnsi="宋体"/>
          <w:szCs w:val="21"/>
        </w:rPr>
      </w:pPr>
      <w:r>
        <w:rPr>
          <w:rFonts w:hint="eastAsia" w:ascii="宋体" w:hAnsi="宋体"/>
          <w:szCs w:val="21"/>
        </w:rPr>
        <w:t xml:space="preserve"> 高纯铟样品作为放电阴极进行辉光放电，其表面原子被等离子体中带电粒子轰击发生溅射，溅射产生的原子被离子化后，离子束通过电场加速进入质谱仪进行测定。在每一待测元素选择的同位素质量处以预设的扫描点数和积分时间对应谱峰积分，所得面积为谱峰强度。无标准样品时，计算机根据仪器软件中的“典型相对灵敏度因子”自动计算出各元素的质量分数；有标准样品时，需通过与被测试样相同的分析条件、离子源结构以及测试条件下对标准样品进行独立测定获得相对灵敏度因子，应用该相对灵敏度因子计算出各元素的质量分数。  </w:t>
      </w:r>
    </w:p>
    <w:p>
      <w:pPr>
        <w:pStyle w:val="51"/>
        <w:numPr>
          <w:ilvl w:val="0"/>
          <w:numId w:val="18"/>
        </w:numPr>
        <w:spacing w:before="312" w:after="312"/>
        <w:ind w:left="397" w:hanging="397"/>
        <w:rPr>
          <w:color w:val="000000" w:themeColor="text1"/>
          <w14:textFill>
            <w14:solidFill>
              <w14:schemeClr w14:val="tx1"/>
            </w14:solidFill>
          </w14:textFill>
        </w:rPr>
      </w:pPr>
      <w:r>
        <w:rPr>
          <w:rFonts w:hint="eastAsia"/>
          <w:color w:val="000000" w:themeColor="text1"/>
          <w14:textFill>
            <w14:solidFill>
              <w14:schemeClr w14:val="tx1"/>
            </w14:solidFill>
          </w14:textFill>
        </w:rPr>
        <w:t>试验条件</w:t>
      </w:r>
    </w:p>
    <w:p>
      <w:pPr>
        <w:widowControl/>
        <w:adjustRightInd w:val="0"/>
        <w:snapToGrid w:val="0"/>
        <w:jc w:val="left"/>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5.1</w:t>
      </w:r>
      <w:r>
        <w:rPr>
          <w:rFonts w:hint="eastAsia" w:asciiTheme="minorEastAsia" w:hAnsiTheme="minorEastAsia" w:eastAsiaTheme="minorEastAsia"/>
          <w:color w:val="000000" w:themeColor="text1"/>
          <w14:textFill>
            <w14:solidFill>
              <w14:schemeClr w14:val="tx1"/>
            </w14:solidFill>
          </w14:textFill>
        </w:rPr>
        <w:t>温度：</w:t>
      </w:r>
      <w:r>
        <w:rPr>
          <w:rFonts w:hint="eastAsia" w:ascii="宋体" w:hAnsi="宋体"/>
          <w:szCs w:val="21"/>
        </w:rPr>
        <w:t>试验在</w:t>
      </w:r>
      <w:r>
        <w:rPr>
          <w:rFonts w:eastAsiaTheme="minorEastAsia"/>
          <w:szCs w:val="21"/>
        </w:rPr>
        <w:t>18</w:t>
      </w:r>
      <w:r>
        <w:rPr>
          <w:rFonts w:hint="eastAsia" w:cs="宋体" w:asciiTheme="minorEastAsia" w:hAnsiTheme="minorEastAsia" w:eastAsiaTheme="minorEastAsia"/>
          <w:szCs w:val="21"/>
        </w:rPr>
        <w:t>℃</w:t>
      </w:r>
      <w:r>
        <w:rPr>
          <w:rFonts w:eastAsiaTheme="minorEastAsia"/>
          <w:szCs w:val="21"/>
        </w:rPr>
        <w:t>~24</w:t>
      </w:r>
      <w:r>
        <w:rPr>
          <w:rFonts w:hint="eastAsia" w:ascii="宋体" w:hAnsi="宋体" w:cs="宋体"/>
          <w:szCs w:val="21"/>
        </w:rPr>
        <w:t>℃</w:t>
      </w:r>
      <w:r>
        <w:rPr>
          <w:rFonts w:hint="eastAsia" w:ascii="宋体" w:hAnsi="宋体"/>
          <w:szCs w:val="21"/>
        </w:rPr>
        <w:t>进行。</w:t>
      </w:r>
    </w:p>
    <w:p>
      <w:pPr>
        <w:widowControl/>
        <w:adjustRightInd w:val="0"/>
        <w:snapToGrid w:val="0"/>
        <w:jc w:val="left"/>
        <w:rPr>
          <w:rFonts w:ascii="宋体" w:hAnsi="宋体"/>
          <w:szCs w:val="21"/>
        </w:rPr>
      </w:pPr>
      <w:r>
        <w:rPr>
          <w:rFonts w:hint="eastAsia" w:ascii="黑体" w:hAnsi="黑体" w:eastAsia="黑体"/>
          <w:color w:val="000000" w:themeColor="text1"/>
          <w14:textFill>
            <w14:solidFill>
              <w14:schemeClr w14:val="tx1"/>
            </w14:solidFill>
          </w14:textFill>
        </w:rPr>
        <w:t>5.2</w:t>
      </w:r>
      <w:r>
        <w:rPr>
          <w:rFonts w:hint="eastAsia" w:asciiTheme="minorEastAsia" w:hAnsiTheme="minorEastAsia" w:eastAsiaTheme="minorEastAsia"/>
          <w:color w:val="000000" w:themeColor="text1"/>
          <w14:textFill>
            <w14:solidFill>
              <w14:schemeClr w14:val="tx1"/>
            </w14:solidFill>
          </w14:textFill>
        </w:rPr>
        <w:t>湿度</w:t>
      </w:r>
      <w:r>
        <w:rPr>
          <w:rFonts w:hint="eastAsia" w:asciiTheme="minorEastAsia" w:hAnsiTheme="minorEastAsia" w:eastAsiaTheme="minorEastAsia"/>
          <w:szCs w:val="21"/>
        </w:rPr>
        <w:t>：</w:t>
      </w:r>
      <w:r>
        <w:rPr>
          <w:rFonts w:hint="eastAsia" w:ascii="宋体" w:hAnsi="宋体"/>
          <w:szCs w:val="21"/>
        </w:rPr>
        <w:t>不大于</w:t>
      </w:r>
      <w:r>
        <w:rPr>
          <w:szCs w:val="21"/>
        </w:rPr>
        <w:t>65%。</w:t>
      </w:r>
    </w:p>
    <w:p>
      <w:pPr>
        <w:pStyle w:val="51"/>
        <w:numPr>
          <w:ilvl w:val="0"/>
          <w:numId w:val="18"/>
        </w:numPr>
        <w:spacing w:before="312" w:after="312"/>
        <w:ind w:left="397" w:hanging="397"/>
        <w:rPr>
          <w:color w:val="000000" w:themeColor="text1"/>
          <w14:textFill>
            <w14:solidFill>
              <w14:schemeClr w14:val="tx1"/>
            </w14:solidFill>
          </w14:textFill>
        </w:rPr>
      </w:pPr>
      <w:r>
        <w:rPr>
          <w:rFonts w:hint="eastAsia"/>
          <w:color w:val="000000" w:themeColor="text1"/>
          <w14:textFill>
            <w14:solidFill>
              <w14:schemeClr w14:val="tx1"/>
            </w14:solidFill>
          </w14:textFill>
        </w:rPr>
        <w:t>试剂</w:t>
      </w:r>
      <w:ins w:id="2" w:author="作者" w:date="2023-07-14T09:25:00Z">
        <w:r>
          <w:rPr>
            <w:rFonts w:hint="eastAsia"/>
            <w:color w:val="000000" w:themeColor="text1"/>
            <w14:textFill>
              <w14:solidFill>
                <w14:schemeClr w14:val="tx1"/>
              </w14:solidFill>
            </w14:textFill>
          </w:rPr>
          <w:t>或材料</w:t>
        </w:r>
      </w:ins>
    </w:p>
    <w:p>
      <w:pPr>
        <w:pStyle w:val="165"/>
        <w:adjustRightInd w:val="0"/>
        <w:snapToGrid w:val="0"/>
        <w:rPr>
          <w:szCs w:val="21"/>
        </w:rPr>
      </w:pPr>
      <w:r>
        <w:rPr>
          <w:rFonts w:hint="eastAsia" w:ascii="宋体" w:hAnsi="宋体"/>
          <w:szCs w:val="21"/>
        </w:rPr>
        <w:t>除非另有说明，在分析中仅使用确认为</w:t>
      </w:r>
      <w:r>
        <w:rPr>
          <w:szCs w:val="21"/>
        </w:rPr>
        <w:t>MOS</w:t>
      </w:r>
      <w:r>
        <w:rPr>
          <w:rFonts w:hint="eastAsia"/>
          <w:szCs w:val="21"/>
        </w:rPr>
        <w:t>级及以上</w:t>
      </w:r>
      <w:r>
        <w:rPr>
          <w:rFonts w:hint="eastAsia" w:ascii="宋体" w:hAnsi="宋体"/>
          <w:szCs w:val="21"/>
        </w:rPr>
        <w:t>的试剂，去离子水电阻率</w:t>
      </w:r>
      <w:r>
        <w:rPr>
          <w:szCs w:val="21"/>
        </w:rPr>
        <w:t>≥18</w:t>
      </w:r>
      <w:r>
        <w:rPr>
          <w:rFonts w:hint="eastAsia"/>
          <w:szCs w:val="21"/>
        </w:rPr>
        <w:t xml:space="preserve"> </w:t>
      </w:r>
      <w:r>
        <w:rPr>
          <w:szCs w:val="21"/>
        </w:rPr>
        <w:t>MΩ·cm。</w:t>
      </w:r>
    </w:p>
    <w:p>
      <w:pPr>
        <w:adjustRightInd w:val="0"/>
        <w:snapToGrid w:val="0"/>
        <w:rPr>
          <w:szCs w:val="21"/>
        </w:rPr>
      </w:pPr>
      <w:r>
        <w:rPr>
          <w:rFonts w:hint="eastAsia" w:ascii="黑体" w:hAnsi="黑体" w:eastAsia="黑体"/>
          <w:color w:val="000000" w:themeColor="text1"/>
          <w14:textFill>
            <w14:solidFill>
              <w14:schemeClr w14:val="tx1"/>
            </w14:solidFill>
          </w14:textFill>
        </w:rPr>
        <w:t>6.1</w:t>
      </w:r>
      <w:r>
        <w:rPr>
          <w:rFonts w:hint="eastAsia"/>
          <w:szCs w:val="21"/>
        </w:rPr>
        <w:t>硝酸(</w:t>
      </w:r>
      <w:r>
        <w:rPr>
          <w:i/>
          <w:szCs w:val="21"/>
        </w:rPr>
        <w:t>ρ</w:t>
      </w:r>
      <w:r>
        <w:rPr>
          <w:rFonts w:hint="eastAsia"/>
          <w:szCs w:val="21"/>
        </w:rPr>
        <w:t>=</w:t>
      </w:r>
      <w:r>
        <w:rPr>
          <w:szCs w:val="21"/>
        </w:rPr>
        <w:t>1.42</w:t>
      </w:r>
      <w:r>
        <w:rPr>
          <w:rFonts w:hint="eastAsia"/>
          <w:szCs w:val="21"/>
        </w:rPr>
        <w:t xml:space="preserve"> </w:t>
      </w:r>
      <w:r>
        <w:rPr>
          <w:szCs w:val="21"/>
        </w:rPr>
        <w:t>g/mL</w:t>
      </w:r>
      <w:r>
        <w:rPr>
          <w:rFonts w:hint="eastAsia"/>
          <w:szCs w:val="21"/>
        </w:rPr>
        <w:t>)。</w:t>
      </w:r>
    </w:p>
    <w:p>
      <w:pPr>
        <w:tabs>
          <w:tab w:val="left" w:pos="579"/>
          <w:tab w:val="left" w:pos="639"/>
        </w:tabs>
        <w:adjustRightInd w:val="0"/>
        <w:snapToGrid w:val="0"/>
        <w:rPr>
          <w:szCs w:val="21"/>
        </w:rPr>
      </w:pPr>
      <w:r>
        <w:rPr>
          <w:rFonts w:hint="eastAsia" w:ascii="黑体" w:hAnsi="黑体" w:eastAsia="黑体"/>
          <w:color w:val="000000" w:themeColor="text1"/>
          <w14:textFill>
            <w14:solidFill>
              <w14:schemeClr w14:val="tx1"/>
            </w14:solidFill>
          </w14:textFill>
        </w:rPr>
        <w:t>6.2</w:t>
      </w:r>
      <w:r>
        <w:rPr>
          <w:rFonts w:ascii="黑体" w:hAnsi="黑体" w:eastAsia="黑体"/>
          <w:color w:val="000000" w:themeColor="text1"/>
          <w14:textFill>
            <w14:solidFill>
              <w14:schemeClr w14:val="tx1"/>
            </w14:solidFill>
          </w14:textFill>
        </w:rPr>
        <w:t xml:space="preserve"> </w:t>
      </w:r>
      <w:r>
        <w:rPr>
          <w:rFonts w:hint="eastAsia"/>
          <w:szCs w:val="21"/>
        </w:rPr>
        <w:t>硝酸（1+1）。</w:t>
      </w:r>
    </w:p>
    <w:p>
      <w:pPr>
        <w:tabs>
          <w:tab w:val="left" w:pos="579"/>
          <w:tab w:val="left" w:pos="639"/>
        </w:tabs>
        <w:adjustRightInd w:val="0"/>
        <w:snapToGrid w:val="0"/>
        <w:rPr>
          <w:szCs w:val="21"/>
        </w:rPr>
      </w:pPr>
      <w:r>
        <w:rPr>
          <w:rFonts w:hint="eastAsia" w:ascii="黑体" w:hAnsi="黑体" w:eastAsia="黑体"/>
          <w:color w:val="000000" w:themeColor="text1"/>
          <w14:textFill>
            <w14:solidFill>
              <w14:schemeClr w14:val="tx1"/>
            </w14:solidFill>
          </w14:textFill>
        </w:rPr>
        <w:t>6.3</w:t>
      </w:r>
      <w:r>
        <w:rPr>
          <w:rFonts w:hint="eastAsia"/>
          <w:szCs w:val="21"/>
        </w:rPr>
        <w:t>无水乙醇</w:t>
      </w:r>
      <w:r>
        <w:rPr>
          <w:szCs w:val="21"/>
        </w:rPr>
        <w:t>(</w:t>
      </w:r>
      <w:r>
        <w:rPr>
          <w:i/>
          <w:szCs w:val="21"/>
        </w:rPr>
        <w:t>ρ</w:t>
      </w:r>
      <w:r>
        <w:rPr>
          <w:rFonts w:hint="eastAsia"/>
          <w:szCs w:val="21"/>
        </w:rPr>
        <w:t>=0.78</w:t>
      </w:r>
      <w:r>
        <w:rPr>
          <w:szCs w:val="21"/>
        </w:rPr>
        <w:t>9</w:t>
      </w:r>
      <w:r>
        <w:rPr>
          <w:rFonts w:hint="eastAsia"/>
          <w:szCs w:val="21"/>
        </w:rPr>
        <w:t xml:space="preserve"> </w:t>
      </w:r>
      <w:r>
        <w:rPr>
          <w:szCs w:val="21"/>
        </w:rPr>
        <w:t>g/mL)</w:t>
      </w:r>
      <w:r>
        <w:rPr>
          <w:rFonts w:hint="eastAsia"/>
          <w:szCs w:val="21"/>
        </w:rPr>
        <w:t>。</w:t>
      </w:r>
    </w:p>
    <w:p>
      <w:pPr>
        <w:tabs>
          <w:tab w:val="left" w:pos="579"/>
          <w:tab w:val="left" w:pos="639"/>
        </w:tabs>
        <w:adjustRightInd w:val="0"/>
        <w:snapToGrid w:val="0"/>
        <w:rPr>
          <w:szCs w:val="21"/>
        </w:rPr>
      </w:pPr>
      <w:r>
        <w:rPr>
          <w:rFonts w:hint="eastAsia" w:ascii="黑体" w:hAnsi="黑体" w:eastAsia="黑体"/>
          <w:color w:val="000000" w:themeColor="text1"/>
          <w14:textFill>
            <w14:solidFill>
              <w14:schemeClr w14:val="tx1"/>
            </w14:solidFill>
          </w14:textFill>
        </w:rPr>
        <w:t>6.4高纯</w:t>
      </w:r>
      <w:r>
        <w:rPr>
          <w:rFonts w:hint="eastAsia" w:asciiTheme="minorEastAsia" w:hAnsiTheme="minorEastAsia" w:eastAsiaTheme="minorEastAsia"/>
          <w:szCs w:val="21"/>
        </w:rPr>
        <w:t>氮气</w:t>
      </w:r>
      <w:r>
        <w:rPr>
          <w:rFonts w:hint="eastAsia"/>
          <w:szCs w:val="21"/>
        </w:rPr>
        <w:t>（体积分数</w:t>
      </w:r>
      <w:r>
        <w:rPr>
          <w:szCs w:val="21"/>
        </w:rPr>
        <w:t>≥</w:t>
      </w:r>
      <w:r>
        <w:rPr>
          <w:rFonts w:hint="eastAsia"/>
          <w:szCs w:val="21"/>
        </w:rPr>
        <w:t>99.99%）。</w:t>
      </w:r>
    </w:p>
    <w:p>
      <w:pPr>
        <w:tabs>
          <w:tab w:val="left" w:pos="579"/>
          <w:tab w:val="left" w:pos="639"/>
        </w:tabs>
        <w:adjustRightInd w:val="0"/>
        <w:snapToGrid w:val="0"/>
        <w:rPr>
          <w:szCs w:val="21"/>
        </w:rPr>
      </w:pPr>
      <w:r>
        <w:rPr>
          <w:rFonts w:hint="eastAsia" w:ascii="黑体" w:hAnsi="黑体" w:eastAsia="黑体"/>
          <w:color w:val="000000" w:themeColor="text1"/>
          <w14:textFill>
            <w14:solidFill>
              <w14:schemeClr w14:val="tx1"/>
            </w14:solidFill>
          </w14:textFill>
        </w:rPr>
        <w:t>6.5</w:t>
      </w:r>
      <w:r>
        <w:rPr>
          <w:rFonts w:hint="eastAsia"/>
          <w:szCs w:val="21"/>
        </w:rPr>
        <w:t>高纯氩气（体积分数</w:t>
      </w:r>
      <w:r>
        <w:rPr>
          <w:szCs w:val="21"/>
        </w:rPr>
        <w:t>≥99.999%</w:t>
      </w:r>
      <w:r>
        <w:rPr>
          <w:rFonts w:hint="eastAsia"/>
          <w:szCs w:val="21"/>
        </w:rPr>
        <w:t>）。</w:t>
      </w:r>
    </w:p>
    <w:p>
      <w:pPr>
        <w:tabs>
          <w:tab w:val="left" w:pos="579"/>
          <w:tab w:val="left" w:pos="639"/>
        </w:tabs>
        <w:adjustRightInd w:val="0"/>
        <w:snapToGrid w:val="0"/>
        <w:rPr>
          <w:szCs w:val="21"/>
        </w:rPr>
      </w:pPr>
      <w:r>
        <w:rPr>
          <w:rFonts w:hint="eastAsia" w:ascii="黑体" w:hAnsi="黑体" w:eastAsia="黑体"/>
          <w:color w:val="000000" w:themeColor="text1"/>
          <w14:textFill>
            <w14:solidFill>
              <w14:schemeClr w14:val="tx1"/>
            </w14:solidFill>
          </w14:textFill>
        </w:rPr>
        <w:t>6.6</w:t>
      </w:r>
      <w:r>
        <w:rPr>
          <w:rFonts w:hint="eastAsia" w:hAnsi="宋体"/>
          <w:szCs w:val="21"/>
        </w:rPr>
        <w:t>高纯铟</w:t>
      </w:r>
      <w:r>
        <w:rPr>
          <w:rFonts w:hAnsi="宋体"/>
          <w:szCs w:val="21"/>
        </w:rPr>
        <w:t>标准</w:t>
      </w:r>
      <w:r>
        <w:rPr>
          <w:rFonts w:hint="eastAsia" w:hAnsi="宋体"/>
          <w:szCs w:val="21"/>
        </w:rPr>
        <w:t>样品</w:t>
      </w:r>
      <w:r>
        <w:rPr>
          <w:rFonts w:hAnsi="宋体"/>
          <w:szCs w:val="21"/>
        </w:rPr>
        <w:t>：待测</w:t>
      </w:r>
      <w:r>
        <w:rPr>
          <w:rFonts w:hint="eastAsia" w:hAnsi="宋体"/>
          <w:szCs w:val="21"/>
        </w:rPr>
        <w:t>杂质</w:t>
      </w:r>
      <w:r>
        <w:rPr>
          <w:rFonts w:hAnsi="宋体"/>
          <w:szCs w:val="21"/>
        </w:rPr>
        <w:t>元素的</w:t>
      </w:r>
      <w:r>
        <w:rPr>
          <w:rFonts w:hint="eastAsia" w:hAnsi="宋体"/>
          <w:szCs w:val="21"/>
        </w:rPr>
        <w:t>含量在方法测定范围内，并尽量与待测样品杂质含量接近</w:t>
      </w:r>
      <w:r>
        <w:rPr>
          <w:rFonts w:hAnsi="宋体"/>
          <w:szCs w:val="21"/>
        </w:rPr>
        <w:t>。</w:t>
      </w:r>
    </w:p>
    <w:p>
      <w:pPr>
        <w:tabs>
          <w:tab w:val="left" w:pos="579"/>
          <w:tab w:val="left" w:pos="639"/>
        </w:tabs>
        <w:adjustRightInd w:val="0"/>
        <w:snapToGrid w:val="0"/>
        <w:rPr>
          <w:szCs w:val="21"/>
        </w:rPr>
      </w:pPr>
      <w:r>
        <w:rPr>
          <w:rFonts w:hint="eastAsia" w:ascii="黑体" w:hAnsi="黑体" w:eastAsia="黑体"/>
          <w:color w:val="000000" w:themeColor="text1"/>
          <w14:textFill>
            <w14:solidFill>
              <w14:schemeClr w14:val="tx1"/>
            </w14:solidFill>
          </w14:textFill>
        </w:rPr>
        <w:t>6.7</w:t>
      </w:r>
      <w:r>
        <w:rPr>
          <w:rFonts w:hint="eastAsia" w:hAnsi="宋体"/>
          <w:szCs w:val="21"/>
        </w:rPr>
        <w:t>背</w:t>
      </w:r>
      <w:r>
        <w:rPr>
          <w:rFonts w:hAnsi="宋体"/>
          <w:szCs w:val="21"/>
        </w:rPr>
        <w:t>景空白样品</w:t>
      </w:r>
      <w:r>
        <w:rPr>
          <w:rFonts w:hint="eastAsia"/>
          <w:szCs w:val="21"/>
        </w:rPr>
        <w:t>：</w:t>
      </w:r>
      <w:r>
        <w:rPr>
          <w:rFonts w:hAnsi="宋体"/>
          <w:szCs w:val="21"/>
        </w:rPr>
        <w:t>比</w:t>
      </w:r>
      <w:r>
        <w:rPr>
          <w:rFonts w:hint="eastAsia" w:hAnsi="宋体"/>
          <w:szCs w:val="21"/>
        </w:rPr>
        <w:t>待测样品杂质含量至少低一个数量级的</w:t>
      </w:r>
      <w:r>
        <w:rPr>
          <w:rFonts w:hint="eastAsia"/>
          <w:szCs w:val="21"/>
        </w:rPr>
        <w:t>高纯铟</w:t>
      </w:r>
      <w:r>
        <w:rPr>
          <w:rFonts w:hAnsi="宋体"/>
          <w:szCs w:val="21"/>
        </w:rPr>
        <w:t>样品作为背景空白样品，检测仪器的背景空白。</w:t>
      </w:r>
    </w:p>
    <w:p>
      <w:pPr>
        <w:adjustRightInd w:val="0"/>
        <w:snapToGrid w:val="0"/>
        <w:rPr>
          <w:szCs w:val="21"/>
        </w:rPr>
      </w:pPr>
      <w:r>
        <w:rPr>
          <w:rFonts w:hint="eastAsia" w:ascii="黑体" w:hAnsi="黑体" w:eastAsia="黑体"/>
          <w:color w:val="000000" w:themeColor="text1"/>
          <w14:textFill>
            <w14:solidFill>
              <w14:schemeClr w14:val="tx1"/>
            </w14:solidFill>
          </w14:textFill>
        </w:rPr>
        <w:t>6.8</w:t>
      </w:r>
      <w:r>
        <w:rPr>
          <w:rFonts w:hAnsi="宋体"/>
          <w:kern w:val="0"/>
          <w:szCs w:val="21"/>
        </w:rPr>
        <w:t>仪器检测器</w:t>
      </w:r>
      <w:r>
        <w:rPr>
          <w:rFonts w:hint="eastAsia" w:hAnsi="宋体"/>
          <w:kern w:val="0"/>
          <w:szCs w:val="21"/>
        </w:rPr>
        <w:t>及质量数</w:t>
      </w:r>
      <w:r>
        <w:rPr>
          <w:rFonts w:hAnsi="宋体"/>
          <w:kern w:val="0"/>
          <w:szCs w:val="21"/>
        </w:rPr>
        <w:t>校正</w:t>
      </w:r>
      <w:r>
        <w:rPr>
          <w:rFonts w:hint="eastAsia" w:hAnsi="宋体"/>
          <w:kern w:val="0"/>
          <w:szCs w:val="21"/>
        </w:rPr>
        <w:t>样品：</w:t>
      </w:r>
      <w:r>
        <w:rPr>
          <w:rFonts w:hAnsi="宋体"/>
          <w:szCs w:val="21"/>
        </w:rPr>
        <w:t>高纯钽</w:t>
      </w:r>
      <w:r>
        <w:rPr>
          <w:rFonts w:hint="eastAsia" w:hAnsi="宋体"/>
          <w:szCs w:val="21"/>
        </w:rPr>
        <w:t>（</w:t>
      </w:r>
      <w:r>
        <w:rPr>
          <w:rFonts w:hint="eastAsia"/>
          <w:i/>
        </w:rPr>
        <w:t>w</w:t>
      </w:r>
      <w:r>
        <w:rPr>
          <w:rFonts w:hint="eastAsia" w:hAnsi="宋体"/>
          <w:sz w:val="18"/>
          <w:szCs w:val="18"/>
          <w:vertAlign w:val="subscript"/>
        </w:rPr>
        <w:t>Ta</w:t>
      </w:r>
      <w:r>
        <w:rPr>
          <w:rFonts w:hint="eastAsia" w:hAnsi="宋体"/>
          <w:szCs w:val="21"/>
        </w:rPr>
        <w:t>≥99.99%）。</w:t>
      </w:r>
    </w:p>
    <w:p>
      <w:pPr>
        <w:pStyle w:val="51"/>
        <w:numPr>
          <w:ilvl w:val="0"/>
          <w:numId w:val="18"/>
        </w:numPr>
        <w:spacing w:before="312" w:after="312"/>
        <w:ind w:left="397" w:hanging="397"/>
        <w:rPr>
          <w:color w:val="000000" w:themeColor="text1"/>
          <w14:textFill>
            <w14:solidFill>
              <w14:schemeClr w14:val="tx1"/>
            </w14:solidFill>
          </w14:textFill>
        </w:rPr>
      </w:pPr>
      <w:r>
        <w:rPr>
          <w:rFonts w:hint="eastAsia"/>
          <w:color w:val="000000" w:themeColor="text1"/>
          <w14:textFill>
            <w14:solidFill>
              <w14:schemeClr w14:val="tx1"/>
            </w14:solidFill>
          </w14:textFill>
        </w:rPr>
        <w:t>仪器设备</w:t>
      </w:r>
    </w:p>
    <w:p>
      <w:pPr>
        <w:ind w:firstLine="420" w:firstLineChars="200"/>
        <w:rPr>
          <w:rFonts w:ascii="宋体" w:hAnsi="宋体"/>
          <w:szCs w:val="21"/>
        </w:rPr>
      </w:pPr>
      <w:r>
        <w:rPr>
          <w:color w:val="000000" w:themeColor="text1"/>
          <w14:textFill>
            <w14:solidFill>
              <w14:schemeClr w14:val="tx1"/>
            </w14:solidFill>
          </w14:textFill>
        </w:rPr>
        <w:t xml:space="preserve"> </w:t>
      </w:r>
      <w:r>
        <w:rPr>
          <w:rFonts w:hAnsi="宋体"/>
          <w:szCs w:val="21"/>
        </w:rPr>
        <w:t>辉光放电质谱仪：质量分辨率</w:t>
      </w:r>
      <w:r>
        <w:rPr>
          <w:rFonts w:hint="eastAsia" w:hAnsi="宋体"/>
          <w:szCs w:val="21"/>
        </w:rPr>
        <w:t>不低于</w:t>
      </w:r>
      <w:r>
        <w:rPr>
          <w:szCs w:val="21"/>
        </w:rPr>
        <w:t>3000</w:t>
      </w:r>
      <w:r>
        <w:rPr>
          <w:rFonts w:hint="eastAsia" w:hAnsi="宋体"/>
          <w:szCs w:val="21"/>
        </w:rPr>
        <w:t>。测定时要求</w:t>
      </w:r>
      <w:r>
        <w:rPr>
          <w:rFonts w:hAnsi="宋体"/>
          <w:szCs w:val="21"/>
        </w:rPr>
        <w:t>基体</w:t>
      </w:r>
      <w:r>
        <w:rPr>
          <w:rFonts w:hint="eastAsia" w:hAnsi="宋体"/>
          <w:szCs w:val="21"/>
        </w:rPr>
        <w:t>同位素</w:t>
      </w:r>
      <w:r>
        <w:rPr>
          <w:rFonts w:hint="eastAsia" w:hAnsi="宋体"/>
          <w:szCs w:val="21"/>
          <w:vertAlign w:val="superscript"/>
        </w:rPr>
        <w:t>115</w:t>
      </w:r>
      <w:r>
        <w:rPr>
          <w:rFonts w:hAnsi="宋体"/>
          <w:szCs w:val="21"/>
        </w:rPr>
        <w:t>I</w:t>
      </w:r>
      <w:r>
        <w:rPr>
          <w:rFonts w:hint="eastAsia" w:hAnsi="宋体"/>
          <w:szCs w:val="21"/>
        </w:rPr>
        <w:t>n电流值</w:t>
      </w:r>
      <w:r>
        <w:rPr>
          <w:rFonts w:hAnsi="宋体"/>
          <w:szCs w:val="21"/>
        </w:rPr>
        <w:t>不小于</w:t>
      </w:r>
      <w:r>
        <w:rPr>
          <w:rFonts w:hint="eastAsia"/>
          <w:szCs w:val="21"/>
        </w:rPr>
        <w:t>1.6</w:t>
      </w:r>
      <w:r>
        <w:rPr>
          <w:szCs w:val="21"/>
        </w:rPr>
        <w:t>×10</w:t>
      </w:r>
      <w:r>
        <w:rPr>
          <w:rFonts w:hint="eastAsia"/>
          <w:szCs w:val="21"/>
          <w:vertAlign w:val="superscript"/>
        </w:rPr>
        <w:t xml:space="preserve">-10 </w:t>
      </w:r>
      <w:r>
        <w:rPr>
          <w:rFonts w:hint="eastAsia"/>
          <w:szCs w:val="21"/>
        </w:rPr>
        <w:t>A，峰形符合分辨率要求</w:t>
      </w:r>
      <w:r>
        <w:rPr>
          <w:rFonts w:hAnsi="宋体"/>
          <w:szCs w:val="21"/>
        </w:rPr>
        <w:t>。</w:t>
      </w:r>
      <w:r>
        <w:rPr>
          <w:szCs w:val="21"/>
        </w:rPr>
        <w:t>用仪器检测器校正样品和仪器质量数校正样品（6.</w:t>
      </w:r>
      <w:r>
        <w:rPr>
          <w:rFonts w:hint="eastAsia"/>
          <w:szCs w:val="21"/>
        </w:rPr>
        <w:t>8</w:t>
      </w:r>
      <w:r>
        <w:rPr>
          <w:szCs w:val="21"/>
        </w:rPr>
        <w:t>）对仪器进行检测器校正和质量数校正</w:t>
      </w:r>
      <w:r>
        <w:rPr>
          <w:rFonts w:hint="eastAsia" w:hAnsi="宋体"/>
          <w:szCs w:val="21"/>
        </w:rPr>
        <w:t>。</w:t>
      </w:r>
    </w:p>
    <w:p>
      <w:pPr>
        <w:pStyle w:val="51"/>
        <w:numPr>
          <w:ilvl w:val="0"/>
          <w:numId w:val="18"/>
        </w:numPr>
        <w:spacing w:before="312" w:after="312"/>
        <w:ind w:left="397" w:hanging="397"/>
        <w:rPr>
          <w:color w:val="000000" w:themeColor="text1"/>
          <w14:textFill>
            <w14:solidFill>
              <w14:schemeClr w14:val="tx1"/>
            </w14:solidFill>
          </w14:textFill>
        </w:rPr>
      </w:pPr>
      <w:r>
        <w:rPr>
          <w:rFonts w:hint="eastAsia"/>
          <w:color w:val="000000" w:themeColor="text1"/>
          <w14:textFill>
            <w14:solidFill>
              <w14:schemeClr w14:val="tx1"/>
            </w14:solidFill>
          </w14:textFill>
        </w:rPr>
        <w:t>样品</w:t>
      </w:r>
    </w:p>
    <w:p>
      <w:pPr>
        <w:spacing w:line="360" w:lineRule="auto"/>
        <w:rPr>
          <w:rFonts w:ascii="黑体" w:hAnsi="黑体" w:eastAsia="黑体" w:cs="黑体"/>
          <w:kern w:val="0"/>
          <w:szCs w:val="21"/>
        </w:rPr>
      </w:pPr>
      <w:r>
        <w:rPr>
          <w:rFonts w:hint="eastAsia" w:ascii="黑体" w:hAnsi="黑体" w:eastAsia="黑体" w:cs="黑体"/>
          <w:kern w:val="0"/>
          <w:szCs w:val="21"/>
        </w:rPr>
        <w:t>8.1样品制备</w:t>
      </w:r>
    </w:p>
    <w:p>
      <w:pPr>
        <w:pStyle w:val="165"/>
      </w:pPr>
      <w:r>
        <w:rPr>
          <w:kern w:val="0"/>
          <w:szCs w:val="21"/>
        </w:rPr>
        <w:t>样品尺寸</w:t>
      </w:r>
      <w:r>
        <w:rPr>
          <w:rFonts w:hint="eastAsia"/>
          <w:kern w:val="0"/>
          <w:szCs w:val="21"/>
        </w:rPr>
        <w:t>应</w:t>
      </w:r>
      <w:r>
        <w:rPr>
          <w:kern w:val="0"/>
          <w:szCs w:val="21"/>
        </w:rPr>
        <w:t>能放入辉光放电离子源内并且能够稳定地进行辉光放电。常规</w:t>
      </w:r>
      <w:r>
        <w:rPr>
          <w:rFonts w:hint="eastAsia"/>
          <w:kern w:val="0"/>
          <w:szCs w:val="21"/>
        </w:rPr>
        <w:t>尺寸有</w:t>
      </w:r>
      <w:r>
        <w:rPr>
          <w:kern w:val="0"/>
          <w:szCs w:val="21"/>
        </w:rPr>
        <w:t>片状</w:t>
      </w:r>
      <w:r>
        <w:rPr>
          <w:rFonts w:hint="eastAsia"/>
          <w:kern w:val="0"/>
          <w:szCs w:val="21"/>
        </w:rPr>
        <w:t>和</w:t>
      </w:r>
      <w:r>
        <w:rPr>
          <w:kern w:val="0"/>
          <w:szCs w:val="21"/>
        </w:rPr>
        <w:t>棒状，</w:t>
      </w:r>
      <w:r>
        <w:rPr>
          <w:rFonts w:hint="eastAsia"/>
          <w:kern w:val="0"/>
          <w:szCs w:val="21"/>
        </w:rPr>
        <w:t>片状样品要求</w:t>
      </w:r>
      <w:r>
        <w:t xml:space="preserve">直径为12 </w:t>
      </w:r>
      <w:r>
        <w:rPr>
          <w:rFonts w:hint="eastAsia"/>
        </w:rPr>
        <w:t>mm</w:t>
      </w:r>
      <w:r>
        <w:t xml:space="preserve"> ~60 mm</w:t>
      </w:r>
      <w:r>
        <w:rPr>
          <w:rFonts w:hint="eastAsia"/>
        </w:rPr>
        <w:t>，</w:t>
      </w:r>
      <w:r>
        <w:t>厚度为1</w:t>
      </w:r>
      <w:r>
        <w:rPr>
          <w:rFonts w:hint="eastAsia"/>
        </w:rPr>
        <w:t>mm</w:t>
      </w:r>
      <w:r>
        <w:t xml:space="preserve"> ~20 mm</w:t>
      </w:r>
      <w:r>
        <w:rPr>
          <w:rFonts w:hint="eastAsia"/>
        </w:rPr>
        <w:t>，</w:t>
      </w:r>
      <w:r>
        <w:t>样品表面</w:t>
      </w:r>
      <w:r>
        <w:rPr>
          <w:rFonts w:hint="eastAsia"/>
        </w:rPr>
        <w:t>需</w:t>
      </w:r>
      <w:r>
        <w:t>保持光洁和平整</w:t>
      </w:r>
      <w:r>
        <w:rPr>
          <w:rFonts w:hint="eastAsia"/>
        </w:rPr>
        <w:t>；棒状样品要求</w:t>
      </w:r>
      <w:r>
        <w:t>直径为2 mm~3 mm、长约</w:t>
      </w:r>
      <w:r>
        <w:rPr>
          <w:rFonts w:hint="eastAsia"/>
        </w:rPr>
        <w:t>20</w:t>
      </w:r>
      <w:r>
        <w:t xml:space="preserve"> </w:t>
      </w:r>
      <w:r>
        <w:rPr>
          <w:rFonts w:hint="eastAsia"/>
        </w:rPr>
        <w:t>mm~23</w:t>
      </w:r>
      <w:r>
        <w:t xml:space="preserve"> mm。</w:t>
      </w:r>
    </w:p>
    <w:p>
      <w:pPr>
        <w:pStyle w:val="165"/>
        <w:spacing w:line="360" w:lineRule="auto"/>
        <w:ind w:firstLine="0" w:firstLineChars="0"/>
        <w:rPr>
          <w:rFonts w:ascii="黑体" w:hAnsi="黑体" w:eastAsia="黑体" w:cs="黑体"/>
          <w:kern w:val="0"/>
          <w:szCs w:val="21"/>
        </w:rPr>
      </w:pPr>
      <w:r>
        <w:rPr>
          <w:rFonts w:hint="eastAsia" w:ascii="黑体" w:hAnsi="黑体" w:eastAsia="黑体" w:cs="黑体"/>
          <w:kern w:val="0"/>
          <w:szCs w:val="21"/>
        </w:rPr>
        <w:t>8.2 样品清洗</w:t>
      </w:r>
    </w:p>
    <w:p>
      <w:pPr>
        <w:pStyle w:val="165"/>
        <w:rPr>
          <w:kern w:val="0"/>
          <w:szCs w:val="21"/>
        </w:rPr>
      </w:pPr>
      <w:r>
        <w:rPr>
          <w:kern w:val="0"/>
          <w:szCs w:val="21"/>
        </w:rPr>
        <w:t>在装样之前，试料的表面应通过腐蚀清洗：用</w:t>
      </w:r>
      <w:r>
        <w:rPr>
          <w:rFonts w:hint="eastAsia"/>
          <w:kern w:val="0"/>
          <w:szCs w:val="21"/>
        </w:rPr>
        <w:t>无水</w:t>
      </w:r>
      <w:r>
        <w:rPr>
          <w:kern w:val="0"/>
          <w:szCs w:val="21"/>
        </w:rPr>
        <w:t>乙醇（6.3）</w:t>
      </w:r>
      <w:r>
        <w:rPr>
          <w:rFonts w:hint="eastAsia"/>
          <w:kern w:val="0"/>
          <w:szCs w:val="21"/>
        </w:rPr>
        <w:t>浸泡</w:t>
      </w:r>
      <w:r>
        <w:rPr>
          <w:kern w:val="0"/>
          <w:szCs w:val="21"/>
        </w:rPr>
        <w:t>样品</w:t>
      </w:r>
      <w:r>
        <w:rPr>
          <w:rFonts w:hint="eastAsia"/>
          <w:kern w:val="0"/>
          <w:szCs w:val="21"/>
        </w:rPr>
        <w:t>4</w:t>
      </w:r>
      <w:r>
        <w:rPr>
          <w:kern w:val="0"/>
          <w:szCs w:val="21"/>
        </w:rPr>
        <w:t xml:space="preserve"> m</w:t>
      </w:r>
      <w:r>
        <w:rPr>
          <w:rFonts w:hint="eastAsia"/>
          <w:kern w:val="0"/>
          <w:szCs w:val="21"/>
        </w:rPr>
        <w:t>in~5min，清洗掉</w:t>
      </w:r>
      <w:r>
        <w:rPr>
          <w:kern w:val="0"/>
          <w:szCs w:val="21"/>
        </w:rPr>
        <w:t>表面上的油污，用</w:t>
      </w:r>
      <w:r>
        <w:rPr>
          <w:rFonts w:hint="eastAsia"/>
          <w:kern w:val="0"/>
          <w:szCs w:val="21"/>
        </w:rPr>
        <w:t>硝</w:t>
      </w:r>
      <w:r>
        <w:rPr>
          <w:kern w:val="0"/>
          <w:szCs w:val="21"/>
        </w:rPr>
        <w:t>酸（6.2）腐蚀</w:t>
      </w:r>
      <w:r>
        <w:rPr>
          <w:rFonts w:hint="eastAsia"/>
          <w:kern w:val="0"/>
          <w:szCs w:val="21"/>
        </w:rPr>
        <w:t>8</w:t>
      </w:r>
      <w:r>
        <w:rPr>
          <w:kern w:val="0"/>
          <w:szCs w:val="21"/>
        </w:rPr>
        <w:t xml:space="preserve"> m</w:t>
      </w:r>
      <w:r>
        <w:rPr>
          <w:rFonts w:hint="eastAsia"/>
          <w:kern w:val="0"/>
          <w:szCs w:val="21"/>
        </w:rPr>
        <w:t>in~</w:t>
      </w:r>
      <w:r>
        <w:rPr>
          <w:kern w:val="0"/>
          <w:szCs w:val="21"/>
        </w:rPr>
        <w:t>10 min，</w:t>
      </w:r>
      <w:r>
        <w:rPr>
          <w:rFonts w:hint="eastAsia"/>
          <w:kern w:val="0"/>
          <w:szCs w:val="21"/>
        </w:rPr>
        <w:t>用水</w:t>
      </w:r>
      <w:r>
        <w:rPr>
          <w:kern w:val="0"/>
          <w:szCs w:val="21"/>
        </w:rPr>
        <w:t>超声清洗</w:t>
      </w:r>
      <w:r>
        <w:rPr>
          <w:rFonts w:hint="eastAsia"/>
          <w:kern w:val="0"/>
          <w:szCs w:val="21"/>
        </w:rPr>
        <w:t>8</w:t>
      </w:r>
      <w:r>
        <w:rPr>
          <w:kern w:val="0"/>
          <w:szCs w:val="21"/>
        </w:rPr>
        <w:t xml:space="preserve"> m</w:t>
      </w:r>
      <w:r>
        <w:rPr>
          <w:rFonts w:hint="eastAsia"/>
          <w:kern w:val="0"/>
          <w:szCs w:val="21"/>
        </w:rPr>
        <w:t>in~</w:t>
      </w:r>
      <w:r>
        <w:rPr>
          <w:kern w:val="0"/>
          <w:szCs w:val="21"/>
        </w:rPr>
        <w:t>10 min，</w:t>
      </w:r>
      <w:r>
        <w:rPr>
          <w:rFonts w:hint="eastAsia"/>
          <w:kern w:val="0"/>
          <w:szCs w:val="21"/>
        </w:rPr>
        <w:t>冲洗10次</w:t>
      </w:r>
      <w:r>
        <w:rPr>
          <w:kern w:val="0"/>
          <w:szCs w:val="21"/>
        </w:rPr>
        <w:t>，</w:t>
      </w:r>
      <w:r>
        <w:rPr>
          <w:rFonts w:hint="eastAsia"/>
          <w:kern w:val="0"/>
          <w:szCs w:val="21"/>
        </w:rPr>
        <w:t>再</w:t>
      </w:r>
      <w:r>
        <w:rPr>
          <w:kern w:val="0"/>
          <w:szCs w:val="21"/>
        </w:rPr>
        <w:t>用高纯氮气（6.</w:t>
      </w:r>
      <w:r>
        <w:rPr>
          <w:rFonts w:hint="eastAsia"/>
          <w:kern w:val="0"/>
          <w:szCs w:val="21"/>
        </w:rPr>
        <w:t>4</w:t>
      </w:r>
      <w:r>
        <w:rPr>
          <w:kern w:val="0"/>
          <w:szCs w:val="21"/>
        </w:rPr>
        <w:t>）吹干，</w:t>
      </w:r>
      <w:r>
        <w:rPr>
          <w:rFonts w:hint="eastAsia"/>
          <w:kern w:val="0"/>
          <w:szCs w:val="21"/>
        </w:rPr>
        <w:t>待测</w:t>
      </w:r>
      <w:r>
        <w:rPr>
          <w:kern w:val="0"/>
          <w:szCs w:val="21"/>
        </w:rPr>
        <w:t>。</w:t>
      </w:r>
    </w:p>
    <w:p>
      <w:pPr>
        <w:pStyle w:val="51"/>
        <w:numPr>
          <w:ilvl w:val="0"/>
          <w:numId w:val="18"/>
        </w:numPr>
        <w:spacing w:before="312" w:after="312"/>
        <w:ind w:left="397" w:hanging="397"/>
        <w:rPr>
          <w:color w:val="000000" w:themeColor="text1"/>
          <w14:textFill>
            <w14:solidFill>
              <w14:schemeClr w14:val="tx1"/>
            </w14:solidFill>
          </w14:textFill>
        </w:rPr>
      </w:pPr>
      <w:r>
        <w:rPr>
          <w:rFonts w:hint="eastAsia"/>
          <w:color w:val="000000" w:themeColor="text1"/>
          <w14:textFill>
            <w14:solidFill>
              <w14:schemeClr w14:val="tx1"/>
            </w14:solidFill>
          </w14:textFill>
        </w:rPr>
        <w:t>试验步骤</w:t>
      </w:r>
    </w:p>
    <w:p>
      <w:pPr>
        <w:widowControl/>
        <w:spacing w:line="360" w:lineRule="auto"/>
        <w:jc w:val="left"/>
        <w:rPr>
          <w:rFonts w:ascii="黑体" w:eastAsia="黑体"/>
          <w:bCs/>
          <w:kern w:val="0"/>
          <w:szCs w:val="21"/>
        </w:rPr>
      </w:pPr>
      <w:r>
        <w:rPr>
          <w:rFonts w:hint="eastAsia" w:ascii="黑体" w:eastAsia="黑体"/>
          <w:bCs/>
          <w:kern w:val="0"/>
          <w:szCs w:val="21"/>
        </w:rPr>
        <w:t>9.1</w:t>
      </w:r>
      <w:r>
        <w:rPr>
          <w:rFonts w:ascii="黑体" w:eastAsia="黑体"/>
          <w:bCs/>
          <w:kern w:val="0"/>
          <w:szCs w:val="21"/>
        </w:rPr>
        <w:t xml:space="preserve"> </w:t>
      </w:r>
      <w:r>
        <w:rPr>
          <w:rFonts w:hint="eastAsia" w:ascii="黑体" w:eastAsia="黑体"/>
          <w:bCs/>
          <w:kern w:val="0"/>
          <w:szCs w:val="21"/>
        </w:rPr>
        <w:t>半定量分析</w:t>
      </w:r>
    </w:p>
    <w:p>
      <w:pPr>
        <w:tabs>
          <w:tab w:val="left" w:pos="315"/>
        </w:tabs>
        <w:autoSpaceDE w:val="0"/>
        <w:autoSpaceDN w:val="0"/>
        <w:adjustRightInd w:val="0"/>
        <w:spacing w:line="360" w:lineRule="auto"/>
        <w:ind w:right="-2"/>
        <w:jc w:val="left"/>
        <w:rPr>
          <w:rFonts w:hAnsi="宋体"/>
          <w:szCs w:val="21"/>
        </w:rPr>
      </w:pPr>
      <w:r>
        <w:rPr>
          <w:rFonts w:hint="eastAsia" w:ascii="黑体" w:hAnsi="黑体" w:eastAsia="黑体"/>
          <w:color w:val="000000" w:themeColor="text1"/>
          <w14:textFill>
            <w14:solidFill>
              <w14:schemeClr w14:val="tx1"/>
            </w14:solidFill>
          </w14:textFill>
        </w:rPr>
        <w:t>9.1.</w:t>
      </w:r>
      <w:r>
        <w:rPr>
          <w:rFonts w:ascii="黑体" w:hAnsi="黑体" w:eastAsia="黑体"/>
          <w:color w:val="000000" w:themeColor="text1"/>
          <w14:textFill>
            <w14:solidFill>
              <w14:schemeClr w14:val="tx1"/>
            </w14:solidFill>
          </w14:textFill>
        </w:rPr>
        <w:t xml:space="preserve">1 </w:t>
      </w:r>
      <w:r>
        <w:rPr>
          <w:rFonts w:hint="eastAsia" w:ascii="黑体" w:hAnsi="黑体" w:eastAsia="黑体"/>
          <w:color w:val="000000" w:themeColor="text1"/>
          <w14:textFill>
            <w14:solidFill>
              <w14:schemeClr w14:val="tx1"/>
            </w14:solidFill>
          </w14:textFill>
        </w:rPr>
        <w:t>试样装入</w:t>
      </w:r>
    </w:p>
    <w:p>
      <w:pPr>
        <w:pStyle w:val="165"/>
        <w:rPr>
          <w:kern w:val="0"/>
          <w:szCs w:val="21"/>
        </w:rPr>
      </w:pPr>
      <w:r>
        <w:rPr>
          <w:rFonts w:hint="eastAsia"/>
          <w:kern w:val="0"/>
          <w:szCs w:val="21"/>
        </w:rPr>
        <w:t>将</w:t>
      </w:r>
      <w:r>
        <w:rPr>
          <w:kern w:val="0"/>
          <w:szCs w:val="21"/>
        </w:rPr>
        <w:t>8</w:t>
      </w:r>
      <w:r>
        <w:rPr>
          <w:rFonts w:hint="eastAsia"/>
          <w:kern w:val="0"/>
          <w:szCs w:val="21"/>
        </w:rPr>
        <w:t>中处理好的样品迅速装载到辉光放电离子源中，开启辉光放电，尽量缩短样品清洁表面在实验室环境的暴露时间。</w:t>
      </w:r>
    </w:p>
    <w:p>
      <w:pPr>
        <w:tabs>
          <w:tab w:val="left" w:pos="315"/>
        </w:tabs>
        <w:autoSpaceDE w:val="0"/>
        <w:autoSpaceDN w:val="0"/>
        <w:adjustRightInd w:val="0"/>
        <w:spacing w:line="360" w:lineRule="auto"/>
        <w:ind w:right="-2"/>
        <w:jc w:val="left"/>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9.1.2 同位素</w:t>
      </w:r>
    </w:p>
    <w:p>
      <w:pPr>
        <w:pStyle w:val="165"/>
        <w:rPr>
          <w:kern w:val="0"/>
          <w:szCs w:val="21"/>
        </w:rPr>
      </w:pPr>
      <w:r>
        <w:rPr>
          <w:rFonts w:hint="eastAsia"/>
          <w:kern w:val="0"/>
          <w:szCs w:val="21"/>
        </w:rPr>
        <w:t>各待测元素同位素见表2。</w:t>
      </w:r>
    </w:p>
    <w:p>
      <w:pPr>
        <w:spacing w:line="360" w:lineRule="auto"/>
        <w:ind w:firstLine="360" w:firstLineChars="200"/>
        <w:jc w:val="center"/>
        <w:rPr>
          <w:rFonts w:eastAsia="黑体"/>
          <w:sz w:val="18"/>
          <w:szCs w:val="18"/>
        </w:rPr>
      </w:pPr>
      <w:r>
        <w:rPr>
          <w:rFonts w:hint="eastAsia" w:eastAsia="黑体"/>
          <w:sz w:val="18"/>
          <w:szCs w:val="18"/>
        </w:rPr>
        <w:t>表</w:t>
      </w:r>
      <w:r>
        <w:rPr>
          <w:rFonts w:eastAsia="黑体"/>
          <w:sz w:val="18"/>
          <w:szCs w:val="18"/>
        </w:rPr>
        <w:t>2</w:t>
      </w:r>
      <w:r>
        <w:rPr>
          <w:rFonts w:hint="eastAsia" w:eastAsia="黑体"/>
          <w:sz w:val="18"/>
          <w:szCs w:val="18"/>
        </w:rPr>
        <w:t xml:space="preserve"> 各元素同位素</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51"/>
        <w:gridCol w:w="851"/>
        <w:gridCol w:w="851"/>
        <w:gridCol w:w="851"/>
        <w:gridCol w:w="851"/>
        <w:gridCol w:w="851"/>
        <w:gridCol w:w="851"/>
        <w:gridCol w:w="851"/>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rFonts w:ascii="宋体" w:hAnsi="宋体"/>
                <w:b/>
                <w:bCs/>
                <w:sz w:val="18"/>
                <w:szCs w:val="18"/>
              </w:rPr>
            </w:pPr>
            <w:r>
              <w:rPr>
                <w:rFonts w:hint="eastAsia" w:ascii="宋体" w:hAnsi="宋体"/>
                <w:b/>
                <w:bCs/>
                <w:sz w:val="18"/>
                <w:szCs w:val="18"/>
              </w:rPr>
              <w:t>元素</w:t>
            </w:r>
          </w:p>
        </w:tc>
        <w:tc>
          <w:tcPr>
            <w:tcW w:w="851" w:type="dxa"/>
            <w:shd w:val="clear" w:color="auto" w:fill="auto"/>
            <w:vAlign w:val="center"/>
          </w:tcPr>
          <w:p>
            <w:pPr>
              <w:jc w:val="center"/>
              <w:rPr>
                <w:rFonts w:ascii="宋体" w:hAnsi="宋体"/>
                <w:b/>
                <w:bCs/>
                <w:sz w:val="18"/>
                <w:szCs w:val="18"/>
              </w:rPr>
            </w:pPr>
            <w:r>
              <w:rPr>
                <w:rFonts w:hint="eastAsia" w:ascii="宋体" w:hAnsi="宋体"/>
                <w:b/>
                <w:bCs/>
                <w:sz w:val="18"/>
                <w:szCs w:val="18"/>
              </w:rPr>
              <w:t>同位素</w:t>
            </w:r>
          </w:p>
        </w:tc>
        <w:tc>
          <w:tcPr>
            <w:tcW w:w="851" w:type="dxa"/>
            <w:vAlign w:val="center"/>
          </w:tcPr>
          <w:p>
            <w:pPr>
              <w:jc w:val="center"/>
              <w:rPr>
                <w:rFonts w:ascii="宋体" w:hAnsi="宋体"/>
                <w:b/>
                <w:bCs/>
                <w:sz w:val="18"/>
                <w:szCs w:val="18"/>
              </w:rPr>
            </w:pPr>
            <w:r>
              <w:rPr>
                <w:rFonts w:hint="eastAsia" w:ascii="宋体" w:hAnsi="宋体"/>
                <w:b/>
                <w:bCs/>
                <w:sz w:val="18"/>
                <w:szCs w:val="18"/>
              </w:rPr>
              <w:t>元素</w:t>
            </w:r>
          </w:p>
        </w:tc>
        <w:tc>
          <w:tcPr>
            <w:tcW w:w="851" w:type="dxa"/>
            <w:vAlign w:val="center"/>
          </w:tcPr>
          <w:p>
            <w:pPr>
              <w:jc w:val="center"/>
              <w:rPr>
                <w:rFonts w:ascii="宋体" w:hAnsi="宋体"/>
                <w:b/>
                <w:bCs/>
                <w:sz w:val="18"/>
                <w:szCs w:val="18"/>
              </w:rPr>
            </w:pPr>
            <w:r>
              <w:rPr>
                <w:rFonts w:hint="eastAsia" w:ascii="宋体" w:hAnsi="宋体"/>
                <w:b/>
                <w:bCs/>
                <w:sz w:val="18"/>
                <w:szCs w:val="18"/>
              </w:rPr>
              <w:t>同位素</w:t>
            </w:r>
          </w:p>
        </w:tc>
        <w:tc>
          <w:tcPr>
            <w:tcW w:w="851" w:type="dxa"/>
            <w:shd w:val="clear" w:color="auto" w:fill="auto"/>
            <w:vAlign w:val="center"/>
          </w:tcPr>
          <w:p>
            <w:pPr>
              <w:jc w:val="center"/>
              <w:rPr>
                <w:rFonts w:ascii="宋体" w:hAnsi="宋体"/>
                <w:b/>
                <w:bCs/>
                <w:sz w:val="18"/>
                <w:szCs w:val="18"/>
              </w:rPr>
            </w:pPr>
            <w:r>
              <w:rPr>
                <w:rFonts w:hint="eastAsia" w:ascii="宋体" w:hAnsi="宋体"/>
                <w:b/>
                <w:bCs/>
                <w:sz w:val="18"/>
                <w:szCs w:val="18"/>
              </w:rPr>
              <w:t>元素</w:t>
            </w:r>
          </w:p>
        </w:tc>
        <w:tc>
          <w:tcPr>
            <w:tcW w:w="851" w:type="dxa"/>
            <w:shd w:val="clear" w:color="auto" w:fill="auto"/>
            <w:vAlign w:val="center"/>
          </w:tcPr>
          <w:p>
            <w:pPr>
              <w:jc w:val="center"/>
              <w:rPr>
                <w:rFonts w:ascii="宋体" w:hAnsi="宋体"/>
                <w:b/>
                <w:bCs/>
                <w:sz w:val="18"/>
                <w:szCs w:val="18"/>
              </w:rPr>
            </w:pPr>
            <w:r>
              <w:rPr>
                <w:rFonts w:hint="eastAsia" w:ascii="宋体" w:hAnsi="宋体"/>
                <w:b/>
                <w:bCs/>
                <w:sz w:val="18"/>
                <w:szCs w:val="18"/>
              </w:rPr>
              <w:t>同位素</w:t>
            </w:r>
          </w:p>
        </w:tc>
        <w:tc>
          <w:tcPr>
            <w:tcW w:w="851" w:type="dxa"/>
            <w:shd w:val="clear" w:color="auto" w:fill="auto"/>
            <w:vAlign w:val="center"/>
          </w:tcPr>
          <w:p>
            <w:pPr>
              <w:jc w:val="center"/>
              <w:rPr>
                <w:rFonts w:ascii="宋体" w:hAnsi="宋体"/>
                <w:b/>
                <w:bCs/>
                <w:sz w:val="18"/>
                <w:szCs w:val="18"/>
              </w:rPr>
            </w:pPr>
            <w:r>
              <w:rPr>
                <w:rFonts w:hint="eastAsia" w:ascii="宋体" w:hAnsi="宋体"/>
                <w:b/>
                <w:bCs/>
                <w:sz w:val="18"/>
                <w:szCs w:val="18"/>
              </w:rPr>
              <w:t>元素</w:t>
            </w:r>
          </w:p>
        </w:tc>
        <w:tc>
          <w:tcPr>
            <w:tcW w:w="851" w:type="dxa"/>
            <w:shd w:val="clear" w:color="auto" w:fill="auto"/>
            <w:vAlign w:val="center"/>
          </w:tcPr>
          <w:p>
            <w:pPr>
              <w:jc w:val="center"/>
              <w:rPr>
                <w:rFonts w:ascii="宋体" w:hAnsi="宋体"/>
                <w:b/>
                <w:bCs/>
                <w:sz w:val="18"/>
                <w:szCs w:val="18"/>
              </w:rPr>
            </w:pPr>
            <w:r>
              <w:rPr>
                <w:rFonts w:hint="eastAsia" w:ascii="宋体" w:hAnsi="宋体"/>
                <w:b/>
                <w:bCs/>
                <w:sz w:val="18"/>
                <w:szCs w:val="18"/>
              </w:rPr>
              <w:t>同位素</w:t>
            </w:r>
          </w:p>
        </w:tc>
        <w:tc>
          <w:tcPr>
            <w:tcW w:w="851" w:type="dxa"/>
            <w:vAlign w:val="center"/>
          </w:tcPr>
          <w:p>
            <w:pPr>
              <w:jc w:val="center"/>
              <w:rPr>
                <w:rFonts w:ascii="宋体" w:hAnsi="宋体"/>
                <w:b/>
                <w:bCs/>
                <w:sz w:val="18"/>
                <w:szCs w:val="18"/>
              </w:rPr>
            </w:pPr>
            <w:r>
              <w:rPr>
                <w:rFonts w:hint="eastAsia" w:ascii="宋体" w:hAnsi="宋体"/>
                <w:b/>
                <w:bCs/>
                <w:sz w:val="18"/>
                <w:szCs w:val="18"/>
              </w:rPr>
              <w:t>元素</w:t>
            </w:r>
          </w:p>
        </w:tc>
        <w:tc>
          <w:tcPr>
            <w:tcW w:w="1115" w:type="dxa"/>
            <w:vAlign w:val="center"/>
          </w:tcPr>
          <w:p>
            <w:pPr>
              <w:jc w:val="center"/>
              <w:rPr>
                <w:rFonts w:ascii="宋体" w:hAnsi="宋体"/>
                <w:b/>
                <w:bCs/>
                <w:sz w:val="18"/>
                <w:szCs w:val="18"/>
              </w:rPr>
            </w:pPr>
            <w:r>
              <w:rPr>
                <w:rFonts w:hint="eastAsia" w:ascii="宋体" w:hAnsi="宋体"/>
                <w:b/>
                <w:bCs/>
                <w:sz w:val="18"/>
                <w:szCs w:val="18"/>
              </w:rPr>
              <w:t>同位素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rFonts w:ascii="宋体" w:hAnsi="宋体"/>
                <w:sz w:val="18"/>
                <w:szCs w:val="18"/>
              </w:rPr>
            </w:pPr>
            <w:r>
              <w:rPr>
                <w:sz w:val="18"/>
                <w:szCs w:val="18"/>
              </w:rPr>
              <w:t>Li</w:t>
            </w:r>
          </w:p>
        </w:tc>
        <w:tc>
          <w:tcPr>
            <w:tcW w:w="851" w:type="dxa"/>
            <w:shd w:val="clear" w:color="auto" w:fill="auto"/>
            <w:vAlign w:val="center"/>
          </w:tcPr>
          <w:p>
            <w:pPr>
              <w:jc w:val="center"/>
              <w:rPr>
                <w:rFonts w:ascii="宋体" w:hAnsi="宋体"/>
                <w:sz w:val="18"/>
                <w:szCs w:val="18"/>
              </w:rPr>
            </w:pPr>
            <w:r>
              <w:rPr>
                <w:sz w:val="18"/>
                <w:szCs w:val="18"/>
              </w:rPr>
              <w:t>7</w:t>
            </w:r>
          </w:p>
        </w:tc>
        <w:tc>
          <w:tcPr>
            <w:tcW w:w="851" w:type="dxa"/>
            <w:shd w:val="clear" w:color="auto" w:fill="auto"/>
            <w:vAlign w:val="center"/>
          </w:tcPr>
          <w:p>
            <w:pPr>
              <w:jc w:val="center"/>
              <w:rPr>
                <w:sz w:val="18"/>
                <w:szCs w:val="18"/>
              </w:rPr>
            </w:pPr>
            <w:r>
              <w:rPr>
                <w:sz w:val="18"/>
                <w:szCs w:val="18"/>
              </w:rPr>
              <w:t>V</w:t>
            </w:r>
          </w:p>
        </w:tc>
        <w:tc>
          <w:tcPr>
            <w:tcW w:w="851" w:type="dxa"/>
            <w:shd w:val="clear" w:color="auto" w:fill="auto"/>
            <w:vAlign w:val="center"/>
          </w:tcPr>
          <w:p>
            <w:pPr>
              <w:jc w:val="center"/>
              <w:rPr>
                <w:sz w:val="18"/>
                <w:szCs w:val="18"/>
              </w:rPr>
            </w:pPr>
            <w:r>
              <w:rPr>
                <w:sz w:val="18"/>
                <w:szCs w:val="18"/>
              </w:rPr>
              <w:t>51</w:t>
            </w:r>
          </w:p>
        </w:tc>
        <w:tc>
          <w:tcPr>
            <w:tcW w:w="851" w:type="dxa"/>
            <w:vAlign w:val="center"/>
          </w:tcPr>
          <w:p>
            <w:pPr>
              <w:jc w:val="center"/>
              <w:rPr>
                <w:sz w:val="18"/>
                <w:szCs w:val="18"/>
              </w:rPr>
            </w:pPr>
            <w:r>
              <w:rPr>
                <w:sz w:val="18"/>
                <w:szCs w:val="18"/>
              </w:rPr>
              <w:t>Y</w:t>
            </w:r>
          </w:p>
        </w:tc>
        <w:tc>
          <w:tcPr>
            <w:tcW w:w="851" w:type="dxa"/>
            <w:vAlign w:val="center"/>
          </w:tcPr>
          <w:p>
            <w:pPr>
              <w:jc w:val="center"/>
              <w:rPr>
                <w:sz w:val="18"/>
                <w:szCs w:val="18"/>
              </w:rPr>
            </w:pPr>
            <w:r>
              <w:rPr>
                <w:sz w:val="18"/>
                <w:szCs w:val="18"/>
              </w:rPr>
              <w:t>89</w:t>
            </w:r>
          </w:p>
        </w:tc>
        <w:tc>
          <w:tcPr>
            <w:tcW w:w="851" w:type="dxa"/>
            <w:shd w:val="clear" w:color="auto" w:fill="auto"/>
            <w:vAlign w:val="center"/>
          </w:tcPr>
          <w:p>
            <w:pPr>
              <w:jc w:val="center"/>
              <w:rPr>
                <w:sz w:val="18"/>
                <w:szCs w:val="18"/>
              </w:rPr>
            </w:pPr>
            <w:r>
              <w:rPr>
                <w:sz w:val="18"/>
                <w:szCs w:val="18"/>
              </w:rPr>
              <w:t>Ba</w:t>
            </w:r>
          </w:p>
        </w:tc>
        <w:tc>
          <w:tcPr>
            <w:tcW w:w="851" w:type="dxa"/>
            <w:shd w:val="clear" w:color="auto" w:fill="auto"/>
            <w:vAlign w:val="center"/>
          </w:tcPr>
          <w:p>
            <w:pPr>
              <w:jc w:val="center"/>
              <w:rPr>
                <w:sz w:val="18"/>
                <w:szCs w:val="18"/>
              </w:rPr>
            </w:pPr>
            <w:r>
              <w:rPr>
                <w:rFonts w:hint="eastAsia"/>
                <w:sz w:val="18"/>
                <w:szCs w:val="18"/>
              </w:rPr>
              <w:t>136</w:t>
            </w:r>
          </w:p>
        </w:tc>
        <w:tc>
          <w:tcPr>
            <w:tcW w:w="851" w:type="dxa"/>
            <w:shd w:val="clear" w:color="auto" w:fill="auto"/>
            <w:vAlign w:val="center"/>
          </w:tcPr>
          <w:p>
            <w:pPr>
              <w:jc w:val="center"/>
              <w:rPr>
                <w:sz w:val="18"/>
                <w:szCs w:val="18"/>
              </w:rPr>
            </w:pPr>
            <w:r>
              <w:rPr>
                <w:sz w:val="18"/>
                <w:szCs w:val="18"/>
              </w:rPr>
              <w:t>Hf</w:t>
            </w:r>
          </w:p>
        </w:tc>
        <w:tc>
          <w:tcPr>
            <w:tcW w:w="1115" w:type="dxa"/>
            <w:shd w:val="clear" w:color="auto" w:fill="auto"/>
            <w:vAlign w:val="center"/>
          </w:tcPr>
          <w:p>
            <w:pPr>
              <w:jc w:val="center"/>
              <w:rPr>
                <w:sz w:val="18"/>
                <w:szCs w:val="18"/>
              </w:rPr>
            </w:pPr>
            <w:r>
              <w:rPr>
                <w:rFonts w:hint="eastAsia"/>
                <w:sz w:val="18"/>
                <w:szCs w:val="18"/>
              </w:rPr>
              <w:t>177，</w:t>
            </w:r>
            <w:r>
              <w:rPr>
                <w:sz w:val="18"/>
                <w:szCs w:val="18"/>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rFonts w:ascii="宋体" w:hAnsi="宋体"/>
                <w:sz w:val="18"/>
                <w:szCs w:val="18"/>
              </w:rPr>
            </w:pPr>
            <w:r>
              <w:rPr>
                <w:sz w:val="18"/>
                <w:szCs w:val="18"/>
              </w:rPr>
              <w:t>Be</w:t>
            </w:r>
          </w:p>
        </w:tc>
        <w:tc>
          <w:tcPr>
            <w:tcW w:w="851" w:type="dxa"/>
            <w:shd w:val="clear" w:color="auto" w:fill="auto"/>
            <w:vAlign w:val="center"/>
          </w:tcPr>
          <w:p>
            <w:pPr>
              <w:jc w:val="center"/>
              <w:rPr>
                <w:rFonts w:ascii="宋体" w:hAnsi="宋体"/>
                <w:sz w:val="18"/>
                <w:szCs w:val="18"/>
              </w:rPr>
            </w:pPr>
            <w:r>
              <w:rPr>
                <w:sz w:val="18"/>
                <w:szCs w:val="18"/>
              </w:rPr>
              <w:t>9</w:t>
            </w:r>
          </w:p>
        </w:tc>
        <w:tc>
          <w:tcPr>
            <w:tcW w:w="851" w:type="dxa"/>
            <w:shd w:val="clear" w:color="auto" w:fill="auto"/>
            <w:vAlign w:val="center"/>
          </w:tcPr>
          <w:p>
            <w:pPr>
              <w:jc w:val="center"/>
              <w:rPr>
                <w:sz w:val="18"/>
                <w:szCs w:val="18"/>
              </w:rPr>
            </w:pPr>
            <w:r>
              <w:rPr>
                <w:sz w:val="18"/>
                <w:szCs w:val="18"/>
              </w:rPr>
              <w:t>Cr</w:t>
            </w:r>
          </w:p>
        </w:tc>
        <w:tc>
          <w:tcPr>
            <w:tcW w:w="851" w:type="dxa"/>
            <w:shd w:val="clear" w:color="auto" w:fill="auto"/>
            <w:vAlign w:val="center"/>
          </w:tcPr>
          <w:p>
            <w:pPr>
              <w:jc w:val="center"/>
              <w:rPr>
                <w:sz w:val="18"/>
                <w:szCs w:val="18"/>
              </w:rPr>
            </w:pPr>
            <w:r>
              <w:rPr>
                <w:sz w:val="18"/>
                <w:szCs w:val="18"/>
              </w:rPr>
              <w:t>52</w:t>
            </w:r>
          </w:p>
        </w:tc>
        <w:tc>
          <w:tcPr>
            <w:tcW w:w="851" w:type="dxa"/>
            <w:vAlign w:val="center"/>
          </w:tcPr>
          <w:p>
            <w:pPr>
              <w:jc w:val="center"/>
              <w:rPr>
                <w:sz w:val="18"/>
                <w:szCs w:val="18"/>
              </w:rPr>
            </w:pPr>
            <w:r>
              <w:rPr>
                <w:sz w:val="18"/>
                <w:szCs w:val="18"/>
              </w:rPr>
              <w:t>Zr</w:t>
            </w:r>
          </w:p>
        </w:tc>
        <w:tc>
          <w:tcPr>
            <w:tcW w:w="851" w:type="dxa"/>
            <w:vAlign w:val="center"/>
          </w:tcPr>
          <w:p>
            <w:pPr>
              <w:jc w:val="center"/>
              <w:rPr>
                <w:sz w:val="18"/>
                <w:szCs w:val="18"/>
              </w:rPr>
            </w:pPr>
            <w:r>
              <w:rPr>
                <w:sz w:val="18"/>
                <w:szCs w:val="18"/>
              </w:rPr>
              <w:t>90</w:t>
            </w:r>
          </w:p>
        </w:tc>
        <w:tc>
          <w:tcPr>
            <w:tcW w:w="851" w:type="dxa"/>
            <w:shd w:val="clear" w:color="auto" w:fill="auto"/>
            <w:vAlign w:val="center"/>
          </w:tcPr>
          <w:p>
            <w:pPr>
              <w:jc w:val="center"/>
              <w:rPr>
                <w:sz w:val="18"/>
                <w:szCs w:val="18"/>
              </w:rPr>
            </w:pPr>
            <w:r>
              <w:rPr>
                <w:sz w:val="18"/>
                <w:szCs w:val="18"/>
              </w:rPr>
              <w:t>La</w:t>
            </w:r>
          </w:p>
        </w:tc>
        <w:tc>
          <w:tcPr>
            <w:tcW w:w="851" w:type="dxa"/>
            <w:shd w:val="clear" w:color="auto" w:fill="auto"/>
            <w:vAlign w:val="center"/>
          </w:tcPr>
          <w:p>
            <w:pPr>
              <w:jc w:val="center"/>
              <w:rPr>
                <w:sz w:val="18"/>
                <w:szCs w:val="18"/>
              </w:rPr>
            </w:pPr>
            <w:r>
              <w:rPr>
                <w:sz w:val="18"/>
                <w:szCs w:val="18"/>
              </w:rPr>
              <w:t>139</w:t>
            </w:r>
          </w:p>
        </w:tc>
        <w:tc>
          <w:tcPr>
            <w:tcW w:w="851" w:type="dxa"/>
            <w:shd w:val="clear" w:color="auto" w:fill="auto"/>
            <w:vAlign w:val="center"/>
          </w:tcPr>
          <w:p>
            <w:pPr>
              <w:jc w:val="center"/>
              <w:rPr>
                <w:sz w:val="18"/>
                <w:szCs w:val="18"/>
              </w:rPr>
            </w:pPr>
            <w:r>
              <w:rPr>
                <w:sz w:val="18"/>
                <w:szCs w:val="18"/>
              </w:rPr>
              <w:t>Ta</w:t>
            </w:r>
          </w:p>
        </w:tc>
        <w:tc>
          <w:tcPr>
            <w:tcW w:w="1115" w:type="dxa"/>
            <w:shd w:val="clear" w:color="auto" w:fill="auto"/>
            <w:vAlign w:val="center"/>
          </w:tcPr>
          <w:p>
            <w:pPr>
              <w:jc w:val="center"/>
              <w:rPr>
                <w:sz w:val="18"/>
                <w:szCs w:val="18"/>
              </w:rPr>
            </w:pPr>
            <w:r>
              <w:rPr>
                <w:sz w:val="18"/>
                <w:szCs w:val="18"/>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B</w:t>
            </w:r>
          </w:p>
        </w:tc>
        <w:tc>
          <w:tcPr>
            <w:tcW w:w="851" w:type="dxa"/>
            <w:shd w:val="clear" w:color="auto" w:fill="auto"/>
            <w:vAlign w:val="center"/>
          </w:tcPr>
          <w:p>
            <w:pPr>
              <w:jc w:val="center"/>
              <w:rPr>
                <w:sz w:val="18"/>
                <w:szCs w:val="18"/>
              </w:rPr>
            </w:pPr>
            <w:r>
              <w:rPr>
                <w:sz w:val="18"/>
                <w:szCs w:val="18"/>
              </w:rPr>
              <w:t>11</w:t>
            </w:r>
          </w:p>
        </w:tc>
        <w:tc>
          <w:tcPr>
            <w:tcW w:w="851" w:type="dxa"/>
            <w:vAlign w:val="center"/>
          </w:tcPr>
          <w:p>
            <w:pPr>
              <w:jc w:val="center"/>
              <w:rPr>
                <w:sz w:val="18"/>
                <w:szCs w:val="18"/>
              </w:rPr>
            </w:pPr>
            <w:r>
              <w:rPr>
                <w:sz w:val="18"/>
                <w:szCs w:val="18"/>
              </w:rPr>
              <w:t>Mn</w:t>
            </w:r>
          </w:p>
        </w:tc>
        <w:tc>
          <w:tcPr>
            <w:tcW w:w="851" w:type="dxa"/>
            <w:vAlign w:val="center"/>
          </w:tcPr>
          <w:p>
            <w:pPr>
              <w:jc w:val="center"/>
              <w:rPr>
                <w:sz w:val="18"/>
                <w:szCs w:val="18"/>
              </w:rPr>
            </w:pPr>
            <w:r>
              <w:rPr>
                <w:sz w:val="18"/>
                <w:szCs w:val="18"/>
              </w:rPr>
              <w:t>55</w:t>
            </w:r>
          </w:p>
        </w:tc>
        <w:tc>
          <w:tcPr>
            <w:tcW w:w="851" w:type="dxa"/>
            <w:vAlign w:val="center"/>
          </w:tcPr>
          <w:p>
            <w:pPr>
              <w:jc w:val="center"/>
              <w:rPr>
                <w:sz w:val="18"/>
                <w:szCs w:val="18"/>
              </w:rPr>
            </w:pPr>
            <w:r>
              <w:rPr>
                <w:sz w:val="18"/>
                <w:szCs w:val="18"/>
              </w:rPr>
              <w:t>Nb</w:t>
            </w:r>
          </w:p>
        </w:tc>
        <w:tc>
          <w:tcPr>
            <w:tcW w:w="851" w:type="dxa"/>
            <w:vAlign w:val="center"/>
          </w:tcPr>
          <w:p>
            <w:pPr>
              <w:jc w:val="center"/>
              <w:rPr>
                <w:sz w:val="18"/>
                <w:szCs w:val="18"/>
              </w:rPr>
            </w:pPr>
            <w:r>
              <w:rPr>
                <w:sz w:val="18"/>
                <w:szCs w:val="18"/>
              </w:rPr>
              <w:t>93</w:t>
            </w:r>
          </w:p>
        </w:tc>
        <w:tc>
          <w:tcPr>
            <w:tcW w:w="851" w:type="dxa"/>
            <w:shd w:val="clear" w:color="auto" w:fill="auto"/>
            <w:vAlign w:val="center"/>
          </w:tcPr>
          <w:p>
            <w:pPr>
              <w:jc w:val="center"/>
              <w:rPr>
                <w:sz w:val="18"/>
                <w:szCs w:val="18"/>
              </w:rPr>
            </w:pPr>
            <w:r>
              <w:rPr>
                <w:sz w:val="18"/>
                <w:szCs w:val="18"/>
              </w:rPr>
              <w:t>Ce</w:t>
            </w:r>
          </w:p>
        </w:tc>
        <w:tc>
          <w:tcPr>
            <w:tcW w:w="851" w:type="dxa"/>
            <w:shd w:val="clear" w:color="auto" w:fill="auto"/>
            <w:vAlign w:val="center"/>
          </w:tcPr>
          <w:p>
            <w:pPr>
              <w:jc w:val="center"/>
              <w:rPr>
                <w:sz w:val="18"/>
                <w:szCs w:val="18"/>
              </w:rPr>
            </w:pPr>
            <w:r>
              <w:rPr>
                <w:sz w:val="18"/>
                <w:szCs w:val="18"/>
              </w:rPr>
              <w:t>140</w:t>
            </w:r>
          </w:p>
        </w:tc>
        <w:tc>
          <w:tcPr>
            <w:tcW w:w="851" w:type="dxa"/>
            <w:shd w:val="clear" w:color="auto" w:fill="auto"/>
            <w:vAlign w:val="center"/>
          </w:tcPr>
          <w:p>
            <w:pPr>
              <w:jc w:val="center"/>
              <w:rPr>
                <w:sz w:val="18"/>
                <w:szCs w:val="18"/>
              </w:rPr>
            </w:pPr>
            <w:r>
              <w:rPr>
                <w:sz w:val="18"/>
                <w:szCs w:val="18"/>
              </w:rPr>
              <w:t>W</w:t>
            </w:r>
          </w:p>
        </w:tc>
        <w:tc>
          <w:tcPr>
            <w:tcW w:w="1115" w:type="dxa"/>
            <w:shd w:val="clear" w:color="auto" w:fill="auto"/>
            <w:vAlign w:val="center"/>
          </w:tcPr>
          <w:p>
            <w:pPr>
              <w:jc w:val="center"/>
              <w:rPr>
                <w:sz w:val="18"/>
                <w:szCs w:val="18"/>
              </w:rPr>
            </w:pPr>
            <w:r>
              <w:rPr>
                <w:sz w:val="18"/>
                <w:szCs w:val="18"/>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rFonts w:hint="eastAsia"/>
                <w:sz w:val="18"/>
                <w:szCs w:val="18"/>
              </w:rPr>
              <w:t>F</w:t>
            </w:r>
          </w:p>
        </w:tc>
        <w:tc>
          <w:tcPr>
            <w:tcW w:w="851" w:type="dxa"/>
            <w:shd w:val="clear" w:color="auto" w:fill="auto"/>
            <w:vAlign w:val="center"/>
          </w:tcPr>
          <w:p>
            <w:pPr>
              <w:jc w:val="center"/>
              <w:rPr>
                <w:sz w:val="18"/>
                <w:szCs w:val="18"/>
              </w:rPr>
            </w:pPr>
            <w:r>
              <w:rPr>
                <w:rFonts w:hint="eastAsia"/>
                <w:sz w:val="18"/>
                <w:szCs w:val="18"/>
              </w:rPr>
              <w:t>19</w:t>
            </w:r>
          </w:p>
        </w:tc>
        <w:tc>
          <w:tcPr>
            <w:tcW w:w="851" w:type="dxa"/>
            <w:vAlign w:val="center"/>
          </w:tcPr>
          <w:p>
            <w:pPr>
              <w:jc w:val="center"/>
              <w:rPr>
                <w:sz w:val="18"/>
                <w:szCs w:val="18"/>
              </w:rPr>
            </w:pPr>
            <w:r>
              <w:rPr>
                <w:sz w:val="18"/>
                <w:szCs w:val="18"/>
              </w:rPr>
              <w:t>Fe</w:t>
            </w:r>
          </w:p>
        </w:tc>
        <w:tc>
          <w:tcPr>
            <w:tcW w:w="851" w:type="dxa"/>
            <w:vAlign w:val="center"/>
          </w:tcPr>
          <w:p>
            <w:pPr>
              <w:jc w:val="center"/>
              <w:rPr>
                <w:sz w:val="18"/>
                <w:szCs w:val="18"/>
              </w:rPr>
            </w:pPr>
            <w:r>
              <w:rPr>
                <w:sz w:val="18"/>
                <w:szCs w:val="18"/>
              </w:rPr>
              <w:t>56</w:t>
            </w:r>
          </w:p>
        </w:tc>
        <w:tc>
          <w:tcPr>
            <w:tcW w:w="851" w:type="dxa"/>
            <w:vAlign w:val="center"/>
          </w:tcPr>
          <w:p>
            <w:pPr>
              <w:jc w:val="center"/>
              <w:rPr>
                <w:sz w:val="18"/>
                <w:szCs w:val="18"/>
              </w:rPr>
            </w:pPr>
            <w:r>
              <w:rPr>
                <w:sz w:val="18"/>
                <w:szCs w:val="18"/>
              </w:rPr>
              <w:t>Mo</w:t>
            </w:r>
          </w:p>
        </w:tc>
        <w:tc>
          <w:tcPr>
            <w:tcW w:w="851" w:type="dxa"/>
            <w:vAlign w:val="center"/>
          </w:tcPr>
          <w:p>
            <w:pPr>
              <w:jc w:val="center"/>
              <w:rPr>
                <w:sz w:val="18"/>
                <w:szCs w:val="18"/>
              </w:rPr>
            </w:pPr>
            <w:r>
              <w:rPr>
                <w:sz w:val="18"/>
                <w:szCs w:val="18"/>
              </w:rPr>
              <w:t>9</w:t>
            </w:r>
            <w:r>
              <w:rPr>
                <w:rFonts w:hint="eastAsia"/>
                <w:sz w:val="18"/>
                <w:szCs w:val="18"/>
              </w:rPr>
              <w:t>8</w:t>
            </w:r>
          </w:p>
        </w:tc>
        <w:tc>
          <w:tcPr>
            <w:tcW w:w="851" w:type="dxa"/>
            <w:shd w:val="clear" w:color="auto" w:fill="auto"/>
            <w:vAlign w:val="center"/>
          </w:tcPr>
          <w:p>
            <w:pPr>
              <w:jc w:val="center"/>
              <w:rPr>
                <w:sz w:val="18"/>
                <w:szCs w:val="18"/>
              </w:rPr>
            </w:pPr>
            <w:r>
              <w:rPr>
                <w:sz w:val="18"/>
                <w:szCs w:val="18"/>
              </w:rPr>
              <w:t>Pr</w:t>
            </w:r>
          </w:p>
        </w:tc>
        <w:tc>
          <w:tcPr>
            <w:tcW w:w="851" w:type="dxa"/>
            <w:shd w:val="clear" w:color="auto" w:fill="auto"/>
            <w:vAlign w:val="center"/>
          </w:tcPr>
          <w:p>
            <w:pPr>
              <w:jc w:val="center"/>
              <w:rPr>
                <w:sz w:val="18"/>
                <w:szCs w:val="18"/>
              </w:rPr>
            </w:pPr>
            <w:r>
              <w:rPr>
                <w:sz w:val="18"/>
                <w:szCs w:val="18"/>
              </w:rPr>
              <w:t>141</w:t>
            </w:r>
          </w:p>
        </w:tc>
        <w:tc>
          <w:tcPr>
            <w:tcW w:w="851" w:type="dxa"/>
            <w:shd w:val="clear" w:color="auto" w:fill="auto"/>
            <w:vAlign w:val="center"/>
          </w:tcPr>
          <w:p>
            <w:pPr>
              <w:jc w:val="center"/>
              <w:rPr>
                <w:sz w:val="18"/>
                <w:szCs w:val="18"/>
              </w:rPr>
            </w:pPr>
            <w:r>
              <w:rPr>
                <w:sz w:val="18"/>
                <w:szCs w:val="18"/>
              </w:rPr>
              <w:t>Re</w:t>
            </w:r>
          </w:p>
        </w:tc>
        <w:tc>
          <w:tcPr>
            <w:tcW w:w="1115" w:type="dxa"/>
            <w:shd w:val="clear" w:color="auto" w:fill="auto"/>
            <w:vAlign w:val="center"/>
          </w:tcPr>
          <w:p>
            <w:pPr>
              <w:jc w:val="center"/>
              <w:rPr>
                <w:sz w:val="18"/>
                <w:szCs w:val="18"/>
              </w:rPr>
            </w:pPr>
            <w:r>
              <w:rPr>
                <w:sz w:val="18"/>
                <w:szCs w:val="18"/>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Na</w:t>
            </w:r>
          </w:p>
        </w:tc>
        <w:tc>
          <w:tcPr>
            <w:tcW w:w="851" w:type="dxa"/>
            <w:shd w:val="clear" w:color="auto" w:fill="auto"/>
            <w:vAlign w:val="center"/>
          </w:tcPr>
          <w:p>
            <w:pPr>
              <w:jc w:val="center"/>
              <w:rPr>
                <w:sz w:val="18"/>
                <w:szCs w:val="18"/>
              </w:rPr>
            </w:pPr>
            <w:r>
              <w:rPr>
                <w:sz w:val="18"/>
                <w:szCs w:val="18"/>
              </w:rPr>
              <w:t>23</w:t>
            </w:r>
          </w:p>
        </w:tc>
        <w:tc>
          <w:tcPr>
            <w:tcW w:w="851" w:type="dxa"/>
            <w:vAlign w:val="center"/>
          </w:tcPr>
          <w:p>
            <w:pPr>
              <w:jc w:val="center"/>
              <w:rPr>
                <w:sz w:val="18"/>
                <w:szCs w:val="18"/>
              </w:rPr>
            </w:pPr>
            <w:r>
              <w:rPr>
                <w:sz w:val="18"/>
                <w:szCs w:val="18"/>
              </w:rPr>
              <w:t>Co</w:t>
            </w:r>
          </w:p>
        </w:tc>
        <w:tc>
          <w:tcPr>
            <w:tcW w:w="851" w:type="dxa"/>
            <w:vAlign w:val="center"/>
          </w:tcPr>
          <w:p>
            <w:pPr>
              <w:jc w:val="center"/>
              <w:rPr>
                <w:sz w:val="18"/>
                <w:szCs w:val="18"/>
              </w:rPr>
            </w:pPr>
            <w:r>
              <w:rPr>
                <w:sz w:val="18"/>
                <w:szCs w:val="18"/>
              </w:rPr>
              <w:t>59</w:t>
            </w:r>
          </w:p>
        </w:tc>
        <w:tc>
          <w:tcPr>
            <w:tcW w:w="851" w:type="dxa"/>
            <w:shd w:val="clear" w:color="auto" w:fill="auto"/>
            <w:vAlign w:val="center"/>
          </w:tcPr>
          <w:p>
            <w:pPr>
              <w:jc w:val="center"/>
              <w:rPr>
                <w:sz w:val="18"/>
                <w:szCs w:val="18"/>
              </w:rPr>
            </w:pPr>
            <w:r>
              <w:rPr>
                <w:sz w:val="18"/>
                <w:szCs w:val="18"/>
              </w:rPr>
              <w:t>Ru</w:t>
            </w:r>
          </w:p>
        </w:tc>
        <w:tc>
          <w:tcPr>
            <w:tcW w:w="851" w:type="dxa"/>
            <w:shd w:val="clear" w:color="auto" w:fill="auto"/>
            <w:vAlign w:val="center"/>
          </w:tcPr>
          <w:p>
            <w:pPr>
              <w:jc w:val="center"/>
              <w:rPr>
                <w:sz w:val="18"/>
                <w:szCs w:val="18"/>
              </w:rPr>
            </w:pPr>
            <w:r>
              <w:rPr>
                <w:sz w:val="18"/>
                <w:szCs w:val="18"/>
              </w:rPr>
              <w:t>102</w:t>
            </w:r>
          </w:p>
        </w:tc>
        <w:tc>
          <w:tcPr>
            <w:tcW w:w="851" w:type="dxa"/>
            <w:shd w:val="clear" w:color="auto" w:fill="auto"/>
            <w:vAlign w:val="center"/>
          </w:tcPr>
          <w:p>
            <w:pPr>
              <w:jc w:val="center"/>
              <w:rPr>
                <w:sz w:val="18"/>
                <w:szCs w:val="18"/>
              </w:rPr>
            </w:pPr>
            <w:r>
              <w:rPr>
                <w:sz w:val="18"/>
                <w:szCs w:val="18"/>
              </w:rPr>
              <w:t>Nd</w:t>
            </w:r>
          </w:p>
        </w:tc>
        <w:tc>
          <w:tcPr>
            <w:tcW w:w="851" w:type="dxa"/>
            <w:shd w:val="clear" w:color="auto" w:fill="auto"/>
            <w:vAlign w:val="center"/>
          </w:tcPr>
          <w:p>
            <w:pPr>
              <w:jc w:val="center"/>
              <w:rPr>
                <w:sz w:val="18"/>
                <w:szCs w:val="18"/>
              </w:rPr>
            </w:pPr>
            <w:r>
              <w:rPr>
                <w:sz w:val="18"/>
                <w:szCs w:val="18"/>
              </w:rPr>
              <w:t>142</w:t>
            </w:r>
          </w:p>
        </w:tc>
        <w:tc>
          <w:tcPr>
            <w:tcW w:w="851" w:type="dxa"/>
            <w:shd w:val="clear" w:color="auto" w:fill="auto"/>
            <w:vAlign w:val="center"/>
          </w:tcPr>
          <w:p>
            <w:pPr>
              <w:jc w:val="center"/>
              <w:rPr>
                <w:sz w:val="18"/>
                <w:szCs w:val="18"/>
              </w:rPr>
            </w:pPr>
            <w:r>
              <w:rPr>
                <w:sz w:val="18"/>
                <w:szCs w:val="18"/>
              </w:rPr>
              <w:t>Os</w:t>
            </w:r>
          </w:p>
        </w:tc>
        <w:tc>
          <w:tcPr>
            <w:tcW w:w="1115" w:type="dxa"/>
            <w:shd w:val="clear" w:color="auto" w:fill="auto"/>
            <w:vAlign w:val="center"/>
          </w:tcPr>
          <w:p>
            <w:pPr>
              <w:jc w:val="center"/>
              <w:rPr>
                <w:sz w:val="18"/>
                <w:szCs w:val="18"/>
              </w:rPr>
            </w:pPr>
            <w:r>
              <w:rPr>
                <w:sz w:val="18"/>
                <w:szCs w:val="18"/>
              </w:rPr>
              <w:t>1</w:t>
            </w:r>
            <w:r>
              <w:rPr>
                <w:rFonts w:hint="eastAsia"/>
                <w:sz w:val="18"/>
                <w:szCs w:val="18"/>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Mg</w:t>
            </w:r>
          </w:p>
        </w:tc>
        <w:tc>
          <w:tcPr>
            <w:tcW w:w="851" w:type="dxa"/>
            <w:shd w:val="clear" w:color="auto" w:fill="auto"/>
            <w:vAlign w:val="center"/>
          </w:tcPr>
          <w:p>
            <w:pPr>
              <w:jc w:val="center"/>
              <w:rPr>
                <w:sz w:val="18"/>
                <w:szCs w:val="18"/>
              </w:rPr>
            </w:pPr>
            <w:r>
              <w:rPr>
                <w:sz w:val="18"/>
                <w:szCs w:val="18"/>
              </w:rPr>
              <w:t>24</w:t>
            </w:r>
          </w:p>
        </w:tc>
        <w:tc>
          <w:tcPr>
            <w:tcW w:w="851" w:type="dxa"/>
            <w:vAlign w:val="center"/>
          </w:tcPr>
          <w:p>
            <w:pPr>
              <w:jc w:val="center"/>
              <w:rPr>
                <w:sz w:val="18"/>
                <w:szCs w:val="18"/>
              </w:rPr>
            </w:pPr>
            <w:r>
              <w:rPr>
                <w:sz w:val="18"/>
                <w:szCs w:val="18"/>
              </w:rPr>
              <w:t>Ni</w:t>
            </w:r>
          </w:p>
        </w:tc>
        <w:tc>
          <w:tcPr>
            <w:tcW w:w="851" w:type="dxa"/>
            <w:vAlign w:val="center"/>
          </w:tcPr>
          <w:p>
            <w:pPr>
              <w:jc w:val="center"/>
              <w:rPr>
                <w:sz w:val="18"/>
                <w:szCs w:val="18"/>
              </w:rPr>
            </w:pPr>
            <w:r>
              <w:rPr>
                <w:sz w:val="18"/>
                <w:szCs w:val="18"/>
              </w:rPr>
              <w:t>60</w:t>
            </w:r>
          </w:p>
        </w:tc>
        <w:tc>
          <w:tcPr>
            <w:tcW w:w="851" w:type="dxa"/>
            <w:shd w:val="clear" w:color="auto" w:fill="auto"/>
            <w:vAlign w:val="center"/>
          </w:tcPr>
          <w:p>
            <w:pPr>
              <w:jc w:val="center"/>
              <w:rPr>
                <w:sz w:val="18"/>
                <w:szCs w:val="18"/>
              </w:rPr>
            </w:pPr>
            <w:r>
              <w:rPr>
                <w:rFonts w:hint="eastAsia"/>
                <w:sz w:val="18"/>
                <w:szCs w:val="18"/>
              </w:rPr>
              <w:t>Rh</w:t>
            </w:r>
          </w:p>
        </w:tc>
        <w:tc>
          <w:tcPr>
            <w:tcW w:w="851" w:type="dxa"/>
            <w:shd w:val="clear" w:color="auto" w:fill="auto"/>
            <w:vAlign w:val="center"/>
          </w:tcPr>
          <w:p>
            <w:pPr>
              <w:jc w:val="center"/>
              <w:rPr>
                <w:sz w:val="18"/>
                <w:szCs w:val="18"/>
              </w:rPr>
            </w:pPr>
            <w:r>
              <w:rPr>
                <w:rFonts w:hint="eastAsia"/>
                <w:sz w:val="18"/>
                <w:szCs w:val="18"/>
              </w:rPr>
              <w:t>103</w:t>
            </w:r>
          </w:p>
        </w:tc>
        <w:tc>
          <w:tcPr>
            <w:tcW w:w="851" w:type="dxa"/>
            <w:shd w:val="clear" w:color="auto" w:fill="auto"/>
            <w:vAlign w:val="center"/>
          </w:tcPr>
          <w:p>
            <w:pPr>
              <w:jc w:val="center"/>
              <w:rPr>
                <w:sz w:val="18"/>
                <w:szCs w:val="18"/>
              </w:rPr>
            </w:pPr>
            <w:r>
              <w:rPr>
                <w:sz w:val="18"/>
                <w:szCs w:val="18"/>
              </w:rPr>
              <w:t>Sm</w:t>
            </w:r>
          </w:p>
        </w:tc>
        <w:tc>
          <w:tcPr>
            <w:tcW w:w="851" w:type="dxa"/>
            <w:shd w:val="clear" w:color="auto" w:fill="auto"/>
            <w:vAlign w:val="center"/>
          </w:tcPr>
          <w:p>
            <w:pPr>
              <w:jc w:val="center"/>
              <w:rPr>
                <w:sz w:val="18"/>
                <w:szCs w:val="18"/>
              </w:rPr>
            </w:pPr>
            <w:r>
              <w:rPr>
                <w:sz w:val="18"/>
                <w:szCs w:val="18"/>
              </w:rPr>
              <w:t>152</w:t>
            </w:r>
          </w:p>
        </w:tc>
        <w:tc>
          <w:tcPr>
            <w:tcW w:w="851" w:type="dxa"/>
            <w:shd w:val="clear" w:color="auto" w:fill="auto"/>
            <w:vAlign w:val="center"/>
          </w:tcPr>
          <w:p>
            <w:pPr>
              <w:jc w:val="center"/>
              <w:rPr>
                <w:sz w:val="18"/>
                <w:szCs w:val="18"/>
              </w:rPr>
            </w:pPr>
            <w:r>
              <w:rPr>
                <w:sz w:val="18"/>
                <w:szCs w:val="18"/>
              </w:rPr>
              <w:t>Ir</w:t>
            </w:r>
          </w:p>
        </w:tc>
        <w:tc>
          <w:tcPr>
            <w:tcW w:w="1115" w:type="dxa"/>
            <w:shd w:val="clear" w:color="auto" w:fill="auto"/>
            <w:vAlign w:val="center"/>
          </w:tcPr>
          <w:p>
            <w:pPr>
              <w:jc w:val="center"/>
              <w:rPr>
                <w:sz w:val="18"/>
                <w:szCs w:val="18"/>
              </w:rPr>
            </w:pPr>
            <w:r>
              <w:rPr>
                <w:sz w:val="18"/>
                <w:szCs w:val="18"/>
              </w:rPr>
              <w:t>19</w:t>
            </w:r>
            <w:r>
              <w:rPr>
                <w:rFonts w:hint="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Al</w:t>
            </w:r>
          </w:p>
        </w:tc>
        <w:tc>
          <w:tcPr>
            <w:tcW w:w="851" w:type="dxa"/>
            <w:shd w:val="clear" w:color="auto" w:fill="auto"/>
            <w:vAlign w:val="center"/>
          </w:tcPr>
          <w:p>
            <w:pPr>
              <w:jc w:val="center"/>
              <w:rPr>
                <w:sz w:val="18"/>
                <w:szCs w:val="18"/>
              </w:rPr>
            </w:pPr>
            <w:r>
              <w:rPr>
                <w:sz w:val="18"/>
                <w:szCs w:val="18"/>
              </w:rPr>
              <w:t>27</w:t>
            </w:r>
          </w:p>
        </w:tc>
        <w:tc>
          <w:tcPr>
            <w:tcW w:w="851" w:type="dxa"/>
            <w:vAlign w:val="center"/>
          </w:tcPr>
          <w:p>
            <w:pPr>
              <w:jc w:val="center"/>
              <w:rPr>
                <w:sz w:val="18"/>
                <w:szCs w:val="18"/>
              </w:rPr>
            </w:pPr>
            <w:r>
              <w:rPr>
                <w:sz w:val="18"/>
                <w:szCs w:val="18"/>
              </w:rPr>
              <w:t>Cu</w:t>
            </w:r>
          </w:p>
        </w:tc>
        <w:tc>
          <w:tcPr>
            <w:tcW w:w="851" w:type="dxa"/>
            <w:vAlign w:val="center"/>
          </w:tcPr>
          <w:p>
            <w:pPr>
              <w:jc w:val="center"/>
              <w:rPr>
                <w:sz w:val="18"/>
                <w:szCs w:val="18"/>
              </w:rPr>
            </w:pPr>
            <w:r>
              <w:rPr>
                <w:sz w:val="18"/>
                <w:szCs w:val="18"/>
              </w:rPr>
              <w:t>63</w:t>
            </w:r>
          </w:p>
        </w:tc>
        <w:tc>
          <w:tcPr>
            <w:tcW w:w="851" w:type="dxa"/>
            <w:shd w:val="clear" w:color="auto" w:fill="auto"/>
            <w:vAlign w:val="center"/>
          </w:tcPr>
          <w:p>
            <w:pPr>
              <w:jc w:val="center"/>
              <w:rPr>
                <w:sz w:val="18"/>
                <w:szCs w:val="18"/>
              </w:rPr>
            </w:pPr>
            <w:r>
              <w:rPr>
                <w:sz w:val="18"/>
                <w:szCs w:val="18"/>
              </w:rPr>
              <w:t>Pd</w:t>
            </w:r>
          </w:p>
        </w:tc>
        <w:tc>
          <w:tcPr>
            <w:tcW w:w="851" w:type="dxa"/>
            <w:shd w:val="clear" w:color="auto" w:fill="auto"/>
            <w:vAlign w:val="center"/>
          </w:tcPr>
          <w:p>
            <w:pPr>
              <w:jc w:val="center"/>
              <w:rPr>
                <w:sz w:val="18"/>
                <w:szCs w:val="18"/>
              </w:rPr>
            </w:pPr>
            <w:r>
              <w:rPr>
                <w:sz w:val="18"/>
                <w:szCs w:val="18"/>
              </w:rPr>
              <w:t>10</w:t>
            </w:r>
            <w:r>
              <w:rPr>
                <w:rFonts w:hint="eastAsia"/>
                <w:sz w:val="18"/>
                <w:szCs w:val="18"/>
              </w:rPr>
              <w:t>6</w:t>
            </w:r>
          </w:p>
        </w:tc>
        <w:tc>
          <w:tcPr>
            <w:tcW w:w="851" w:type="dxa"/>
            <w:shd w:val="clear" w:color="auto" w:fill="auto"/>
            <w:vAlign w:val="center"/>
          </w:tcPr>
          <w:p>
            <w:pPr>
              <w:jc w:val="center"/>
              <w:rPr>
                <w:sz w:val="18"/>
                <w:szCs w:val="18"/>
              </w:rPr>
            </w:pPr>
            <w:r>
              <w:rPr>
                <w:sz w:val="18"/>
                <w:szCs w:val="18"/>
              </w:rPr>
              <w:t>Eu</w:t>
            </w:r>
          </w:p>
        </w:tc>
        <w:tc>
          <w:tcPr>
            <w:tcW w:w="851" w:type="dxa"/>
            <w:shd w:val="clear" w:color="auto" w:fill="auto"/>
            <w:vAlign w:val="center"/>
          </w:tcPr>
          <w:p>
            <w:pPr>
              <w:jc w:val="center"/>
              <w:rPr>
                <w:sz w:val="18"/>
                <w:szCs w:val="18"/>
              </w:rPr>
            </w:pPr>
            <w:r>
              <w:rPr>
                <w:sz w:val="18"/>
                <w:szCs w:val="18"/>
              </w:rPr>
              <w:t>153</w:t>
            </w:r>
          </w:p>
        </w:tc>
        <w:tc>
          <w:tcPr>
            <w:tcW w:w="851" w:type="dxa"/>
            <w:shd w:val="clear" w:color="auto" w:fill="auto"/>
            <w:vAlign w:val="center"/>
          </w:tcPr>
          <w:p>
            <w:pPr>
              <w:jc w:val="center"/>
              <w:rPr>
                <w:sz w:val="18"/>
                <w:szCs w:val="18"/>
              </w:rPr>
            </w:pPr>
            <w:r>
              <w:rPr>
                <w:sz w:val="18"/>
                <w:szCs w:val="18"/>
              </w:rPr>
              <w:t>Pt</w:t>
            </w:r>
          </w:p>
        </w:tc>
        <w:tc>
          <w:tcPr>
            <w:tcW w:w="1115" w:type="dxa"/>
            <w:shd w:val="clear" w:color="auto" w:fill="auto"/>
            <w:vAlign w:val="center"/>
          </w:tcPr>
          <w:p>
            <w:pPr>
              <w:jc w:val="center"/>
              <w:rPr>
                <w:sz w:val="18"/>
                <w:szCs w:val="18"/>
              </w:rPr>
            </w:pPr>
            <w:r>
              <w:rPr>
                <w:sz w:val="18"/>
                <w:szCs w:val="18"/>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rFonts w:hint="eastAsia"/>
                <w:sz w:val="18"/>
                <w:szCs w:val="18"/>
              </w:rPr>
              <w:t>S</w:t>
            </w:r>
            <w:r>
              <w:rPr>
                <w:sz w:val="18"/>
                <w:szCs w:val="18"/>
              </w:rPr>
              <w:t>i</w:t>
            </w:r>
          </w:p>
        </w:tc>
        <w:tc>
          <w:tcPr>
            <w:tcW w:w="851" w:type="dxa"/>
            <w:shd w:val="clear" w:color="auto" w:fill="auto"/>
            <w:vAlign w:val="center"/>
          </w:tcPr>
          <w:p>
            <w:pPr>
              <w:jc w:val="center"/>
              <w:rPr>
                <w:sz w:val="18"/>
                <w:szCs w:val="18"/>
              </w:rPr>
            </w:pPr>
            <w:r>
              <w:rPr>
                <w:rFonts w:hint="eastAsia"/>
                <w:sz w:val="18"/>
                <w:szCs w:val="18"/>
              </w:rPr>
              <w:t>2</w:t>
            </w:r>
            <w:r>
              <w:rPr>
                <w:sz w:val="18"/>
                <w:szCs w:val="18"/>
              </w:rPr>
              <w:t>8</w:t>
            </w:r>
          </w:p>
        </w:tc>
        <w:tc>
          <w:tcPr>
            <w:tcW w:w="851" w:type="dxa"/>
            <w:vAlign w:val="center"/>
          </w:tcPr>
          <w:p>
            <w:pPr>
              <w:jc w:val="center"/>
              <w:rPr>
                <w:sz w:val="18"/>
                <w:szCs w:val="18"/>
              </w:rPr>
            </w:pPr>
            <w:r>
              <w:rPr>
                <w:sz w:val="18"/>
                <w:szCs w:val="18"/>
              </w:rPr>
              <w:t>Zn</w:t>
            </w:r>
          </w:p>
        </w:tc>
        <w:tc>
          <w:tcPr>
            <w:tcW w:w="851" w:type="dxa"/>
            <w:vAlign w:val="center"/>
          </w:tcPr>
          <w:p>
            <w:pPr>
              <w:jc w:val="center"/>
              <w:rPr>
                <w:sz w:val="18"/>
                <w:szCs w:val="18"/>
              </w:rPr>
            </w:pPr>
            <w:r>
              <w:rPr>
                <w:sz w:val="18"/>
                <w:szCs w:val="18"/>
              </w:rPr>
              <w:t>6</w:t>
            </w:r>
            <w:r>
              <w:rPr>
                <w:rFonts w:hint="eastAsia"/>
                <w:sz w:val="18"/>
                <w:szCs w:val="18"/>
              </w:rPr>
              <w:t>4</w:t>
            </w:r>
          </w:p>
        </w:tc>
        <w:tc>
          <w:tcPr>
            <w:tcW w:w="851" w:type="dxa"/>
            <w:shd w:val="clear" w:color="auto" w:fill="auto"/>
            <w:vAlign w:val="center"/>
          </w:tcPr>
          <w:p>
            <w:pPr>
              <w:jc w:val="center"/>
              <w:rPr>
                <w:sz w:val="18"/>
                <w:szCs w:val="18"/>
              </w:rPr>
            </w:pPr>
            <w:r>
              <w:rPr>
                <w:sz w:val="18"/>
                <w:szCs w:val="18"/>
              </w:rPr>
              <w:t>Ag</w:t>
            </w:r>
          </w:p>
        </w:tc>
        <w:tc>
          <w:tcPr>
            <w:tcW w:w="851" w:type="dxa"/>
            <w:shd w:val="clear" w:color="auto" w:fill="auto"/>
            <w:vAlign w:val="center"/>
          </w:tcPr>
          <w:p>
            <w:pPr>
              <w:jc w:val="center"/>
              <w:rPr>
                <w:sz w:val="18"/>
                <w:szCs w:val="18"/>
              </w:rPr>
            </w:pPr>
            <w:r>
              <w:rPr>
                <w:sz w:val="18"/>
                <w:szCs w:val="18"/>
              </w:rPr>
              <w:t>10</w:t>
            </w:r>
            <w:r>
              <w:rPr>
                <w:rFonts w:hint="eastAsia"/>
                <w:sz w:val="18"/>
                <w:szCs w:val="18"/>
              </w:rPr>
              <w:t>7</w:t>
            </w:r>
          </w:p>
        </w:tc>
        <w:tc>
          <w:tcPr>
            <w:tcW w:w="851" w:type="dxa"/>
            <w:shd w:val="clear" w:color="auto" w:fill="auto"/>
            <w:vAlign w:val="center"/>
          </w:tcPr>
          <w:p>
            <w:pPr>
              <w:jc w:val="center"/>
              <w:rPr>
                <w:sz w:val="18"/>
                <w:szCs w:val="18"/>
              </w:rPr>
            </w:pPr>
            <w:r>
              <w:rPr>
                <w:sz w:val="18"/>
                <w:szCs w:val="18"/>
              </w:rPr>
              <w:t>Gd</w:t>
            </w:r>
          </w:p>
        </w:tc>
        <w:tc>
          <w:tcPr>
            <w:tcW w:w="851" w:type="dxa"/>
            <w:shd w:val="clear" w:color="auto" w:fill="auto"/>
            <w:vAlign w:val="center"/>
          </w:tcPr>
          <w:p>
            <w:pPr>
              <w:jc w:val="center"/>
              <w:rPr>
                <w:sz w:val="18"/>
                <w:szCs w:val="18"/>
              </w:rPr>
            </w:pPr>
            <w:r>
              <w:rPr>
                <w:sz w:val="18"/>
                <w:szCs w:val="18"/>
              </w:rPr>
              <w:t>158</w:t>
            </w:r>
          </w:p>
        </w:tc>
        <w:tc>
          <w:tcPr>
            <w:tcW w:w="851" w:type="dxa"/>
            <w:shd w:val="clear" w:color="auto" w:fill="auto"/>
            <w:vAlign w:val="center"/>
          </w:tcPr>
          <w:p>
            <w:pPr>
              <w:jc w:val="center"/>
              <w:rPr>
                <w:sz w:val="18"/>
                <w:szCs w:val="18"/>
              </w:rPr>
            </w:pPr>
            <w:r>
              <w:rPr>
                <w:sz w:val="18"/>
                <w:szCs w:val="18"/>
              </w:rPr>
              <w:t>Au</w:t>
            </w:r>
          </w:p>
        </w:tc>
        <w:tc>
          <w:tcPr>
            <w:tcW w:w="1115" w:type="dxa"/>
            <w:shd w:val="clear" w:color="auto" w:fill="auto"/>
            <w:vAlign w:val="center"/>
          </w:tcPr>
          <w:p>
            <w:pPr>
              <w:jc w:val="center"/>
              <w:rPr>
                <w:sz w:val="18"/>
                <w:szCs w:val="18"/>
              </w:rPr>
            </w:pPr>
            <w:r>
              <w:rPr>
                <w:sz w:val="18"/>
                <w:szCs w:val="18"/>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P</w:t>
            </w:r>
          </w:p>
        </w:tc>
        <w:tc>
          <w:tcPr>
            <w:tcW w:w="851" w:type="dxa"/>
            <w:shd w:val="clear" w:color="auto" w:fill="auto"/>
            <w:vAlign w:val="center"/>
          </w:tcPr>
          <w:p>
            <w:pPr>
              <w:jc w:val="center"/>
              <w:rPr>
                <w:sz w:val="18"/>
                <w:szCs w:val="18"/>
              </w:rPr>
            </w:pPr>
            <w:r>
              <w:rPr>
                <w:sz w:val="18"/>
                <w:szCs w:val="18"/>
              </w:rPr>
              <w:t>31</w:t>
            </w:r>
          </w:p>
        </w:tc>
        <w:tc>
          <w:tcPr>
            <w:tcW w:w="851" w:type="dxa"/>
            <w:vAlign w:val="center"/>
          </w:tcPr>
          <w:p>
            <w:pPr>
              <w:jc w:val="center"/>
              <w:rPr>
                <w:sz w:val="18"/>
                <w:szCs w:val="18"/>
              </w:rPr>
            </w:pPr>
            <w:r>
              <w:rPr>
                <w:sz w:val="18"/>
                <w:szCs w:val="18"/>
              </w:rPr>
              <w:t>Ga</w:t>
            </w:r>
          </w:p>
        </w:tc>
        <w:tc>
          <w:tcPr>
            <w:tcW w:w="851" w:type="dxa"/>
            <w:vAlign w:val="center"/>
          </w:tcPr>
          <w:p>
            <w:pPr>
              <w:jc w:val="center"/>
              <w:rPr>
                <w:sz w:val="18"/>
                <w:szCs w:val="18"/>
              </w:rPr>
            </w:pPr>
            <w:r>
              <w:rPr>
                <w:sz w:val="18"/>
                <w:szCs w:val="18"/>
              </w:rPr>
              <w:t>69</w:t>
            </w:r>
          </w:p>
        </w:tc>
        <w:tc>
          <w:tcPr>
            <w:tcW w:w="851" w:type="dxa"/>
            <w:shd w:val="clear" w:color="auto" w:fill="auto"/>
            <w:vAlign w:val="center"/>
          </w:tcPr>
          <w:p>
            <w:pPr>
              <w:jc w:val="center"/>
              <w:rPr>
                <w:sz w:val="18"/>
                <w:szCs w:val="18"/>
              </w:rPr>
            </w:pPr>
            <w:r>
              <w:rPr>
                <w:sz w:val="18"/>
                <w:szCs w:val="18"/>
              </w:rPr>
              <w:t>Cd</w:t>
            </w:r>
          </w:p>
        </w:tc>
        <w:tc>
          <w:tcPr>
            <w:tcW w:w="851" w:type="dxa"/>
            <w:shd w:val="clear" w:color="auto" w:fill="auto"/>
            <w:vAlign w:val="center"/>
          </w:tcPr>
          <w:p>
            <w:pPr>
              <w:jc w:val="center"/>
              <w:rPr>
                <w:sz w:val="18"/>
                <w:szCs w:val="18"/>
              </w:rPr>
            </w:pPr>
            <w:r>
              <w:rPr>
                <w:sz w:val="18"/>
                <w:szCs w:val="18"/>
              </w:rPr>
              <w:t>11</w:t>
            </w:r>
            <w:r>
              <w:rPr>
                <w:rFonts w:hint="eastAsia"/>
                <w:sz w:val="18"/>
                <w:szCs w:val="18"/>
              </w:rPr>
              <w:t>1</w:t>
            </w:r>
          </w:p>
        </w:tc>
        <w:tc>
          <w:tcPr>
            <w:tcW w:w="851" w:type="dxa"/>
            <w:shd w:val="clear" w:color="auto" w:fill="auto"/>
            <w:vAlign w:val="center"/>
          </w:tcPr>
          <w:p>
            <w:pPr>
              <w:jc w:val="center"/>
              <w:rPr>
                <w:sz w:val="18"/>
                <w:szCs w:val="18"/>
              </w:rPr>
            </w:pPr>
            <w:r>
              <w:rPr>
                <w:sz w:val="18"/>
                <w:szCs w:val="18"/>
              </w:rPr>
              <w:t>Tb</w:t>
            </w:r>
          </w:p>
        </w:tc>
        <w:tc>
          <w:tcPr>
            <w:tcW w:w="851" w:type="dxa"/>
            <w:shd w:val="clear" w:color="auto" w:fill="auto"/>
            <w:vAlign w:val="center"/>
          </w:tcPr>
          <w:p>
            <w:pPr>
              <w:jc w:val="center"/>
              <w:rPr>
                <w:sz w:val="18"/>
                <w:szCs w:val="18"/>
              </w:rPr>
            </w:pPr>
            <w:r>
              <w:rPr>
                <w:sz w:val="18"/>
                <w:szCs w:val="18"/>
              </w:rPr>
              <w:t>159</w:t>
            </w:r>
          </w:p>
        </w:tc>
        <w:tc>
          <w:tcPr>
            <w:tcW w:w="851" w:type="dxa"/>
            <w:vAlign w:val="center"/>
          </w:tcPr>
          <w:p>
            <w:pPr>
              <w:jc w:val="center"/>
              <w:rPr>
                <w:sz w:val="18"/>
                <w:szCs w:val="18"/>
              </w:rPr>
            </w:pPr>
            <w:r>
              <w:rPr>
                <w:sz w:val="18"/>
                <w:szCs w:val="18"/>
              </w:rPr>
              <w:t>Hg</w:t>
            </w:r>
          </w:p>
        </w:tc>
        <w:tc>
          <w:tcPr>
            <w:tcW w:w="1115" w:type="dxa"/>
            <w:vAlign w:val="center"/>
          </w:tcPr>
          <w:p>
            <w:pPr>
              <w:jc w:val="center"/>
              <w:rPr>
                <w:sz w:val="18"/>
                <w:szCs w:val="18"/>
              </w:rPr>
            </w:pPr>
            <w:r>
              <w:rPr>
                <w:sz w:val="18"/>
                <w:szCs w:val="18"/>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rFonts w:hint="eastAsia"/>
                <w:sz w:val="18"/>
                <w:szCs w:val="18"/>
              </w:rPr>
              <w:t>S</w:t>
            </w:r>
          </w:p>
        </w:tc>
        <w:tc>
          <w:tcPr>
            <w:tcW w:w="851" w:type="dxa"/>
            <w:shd w:val="clear" w:color="auto" w:fill="auto"/>
            <w:vAlign w:val="center"/>
          </w:tcPr>
          <w:p>
            <w:pPr>
              <w:jc w:val="center"/>
              <w:rPr>
                <w:sz w:val="18"/>
                <w:szCs w:val="18"/>
              </w:rPr>
            </w:pPr>
            <w:r>
              <w:rPr>
                <w:rFonts w:hint="eastAsia"/>
                <w:sz w:val="18"/>
                <w:szCs w:val="18"/>
              </w:rPr>
              <w:t>32</w:t>
            </w:r>
          </w:p>
        </w:tc>
        <w:tc>
          <w:tcPr>
            <w:tcW w:w="851" w:type="dxa"/>
            <w:vAlign w:val="center"/>
          </w:tcPr>
          <w:p>
            <w:pPr>
              <w:jc w:val="center"/>
              <w:rPr>
                <w:sz w:val="18"/>
                <w:szCs w:val="18"/>
              </w:rPr>
            </w:pPr>
            <w:r>
              <w:rPr>
                <w:sz w:val="18"/>
                <w:szCs w:val="18"/>
              </w:rPr>
              <w:t>Ge</w:t>
            </w:r>
          </w:p>
        </w:tc>
        <w:tc>
          <w:tcPr>
            <w:tcW w:w="851" w:type="dxa"/>
            <w:vAlign w:val="center"/>
          </w:tcPr>
          <w:p>
            <w:pPr>
              <w:jc w:val="center"/>
              <w:rPr>
                <w:sz w:val="18"/>
                <w:szCs w:val="18"/>
              </w:rPr>
            </w:pPr>
            <w:r>
              <w:rPr>
                <w:sz w:val="18"/>
                <w:szCs w:val="18"/>
              </w:rPr>
              <w:t>7</w:t>
            </w:r>
            <w:r>
              <w:rPr>
                <w:rFonts w:hint="eastAsia"/>
                <w:sz w:val="18"/>
                <w:szCs w:val="18"/>
              </w:rPr>
              <w:t>3</w:t>
            </w:r>
          </w:p>
        </w:tc>
        <w:tc>
          <w:tcPr>
            <w:tcW w:w="851" w:type="dxa"/>
            <w:shd w:val="clear" w:color="auto" w:fill="auto"/>
            <w:vAlign w:val="center"/>
          </w:tcPr>
          <w:p>
            <w:pPr>
              <w:jc w:val="center"/>
              <w:rPr>
                <w:sz w:val="18"/>
                <w:szCs w:val="18"/>
              </w:rPr>
            </w:pPr>
            <w:r>
              <w:rPr>
                <w:sz w:val="18"/>
                <w:szCs w:val="18"/>
              </w:rPr>
              <w:t>In</w:t>
            </w:r>
          </w:p>
        </w:tc>
        <w:tc>
          <w:tcPr>
            <w:tcW w:w="851" w:type="dxa"/>
            <w:shd w:val="clear" w:color="auto" w:fill="auto"/>
            <w:vAlign w:val="center"/>
          </w:tcPr>
          <w:p>
            <w:pPr>
              <w:jc w:val="center"/>
              <w:rPr>
                <w:sz w:val="18"/>
                <w:szCs w:val="18"/>
              </w:rPr>
            </w:pPr>
            <w:r>
              <w:rPr>
                <w:sz w:val="18"/>
                <w:szCs w:val="18"/>
              </w:rPr>
              <w:t>115</w:t>
            </w:r>
          </w:p>
        </w:tc>
        <w:tc>
          <w:tcPr>
            <w:tcW w:w="851" w:type="dxa"/>
            <w:shd w:val="clear" w:color="auto" w:fill="auto"/>
            <w:vAlign w:val="center"/>
          </w:tcPr>
          <w:p>
            <w:pPr>
              <w:jc w:val="center"/>
              <w:rPr>
                <w:sz w:val="18"/>
                <w:szCs w:val="18"/>
              </w:rPr>
            </w:pPr>
            <w:r>
              <w:rPr>
                <w:sz w:val="18"/>
                <w:szCs w:val="18"/>
              </w:rPr>
              <w:t>Dy</w:t>
            </w:r>
          </w:p>
        </w:tc>
        <w:tc>
          <w:tcPr>
            <w:tcW w:w="851" w:type="dxa"/>
            <w:shd w:val="clear" w:color="auto" w:fill="auto"/>
            <w:vAlign w:val="center"/>
          </w:tcPr>
          <w:p>
            <w:pPr>
              <w:jc w:val="center"/>
              <w:rPr>
                <w:sz w:val="18"/>
                <w:szCs w:val="18"/>
              </w:rPr>
            </w:pPr>
            <w:r>
              <w:rPr>
                <w:sz w:val="18"/>
                <w:szCs w:val="18"/>
              </w:rPr>
              <w:t>164</w:t>
            </w:r>
          </w:p>
        </w:tc>
        <w:tc>
          <w:tcPr>
            <w:tcW w:w="851" w:type="dxa"/>
            <w:vAlign w:val="center"/>
          </w:tcPr>
          <w:p>
            <w:pPr>
              <w:jc w:val="center"/>
              <w:rPr>
                <w:sz w:val="18"/>
                <w:szCs w:val="18"/>
              </w:rPr>
            </w:pPr>
            <w:r>
              <w:rPr>
                <w:sz w:val="18"/>
                <w:szCs w:val="18"/>
              </w:rPr>
              <w:t>Tl</w:t>
            </w:r>
          </w:p>
        </w:tc>
        <w:tc>
          <w:tcPr>
            <w:tcW w:w="1115" w:type="dxa"/>
            <w:vAlign w:val="center"/>
          </w:tcPr>
          <w:p>
            <w:pPr>
              <w:jc w:val="center"/>
              <w:rPr>
                <w:sz w:val="18"/>
                <w:szCs w:val="18"/>
              </w:rPr>
            </w:pPr>
            <w:r>
              <w:rPr>
                <w:sz w:val="18"/>
                <w:szCs w:val="18"/>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K</w:t>
            </w:r>
          </w:p>
        </w:tc>
        <w:tc>
          <w:tcPr>
            <w:tcW w:w="851" w:type="dxa"/>
            <w:shd w:val="clear" w:color="auto" w:fill="auto"/>
            <w:vAlign w:val="center"/>
          </w:tcPr>
          <w:p>
            <w:pPr>
              <w:jc w:val="center"/>
              <w:rPr>
                <w:sz w:val="18"/>
                <w:szCs w:val="18"/>
              </w:rPr>
            </w:pPr>
            <w:r>
              <w:rPr>
                <w:sz w:val="18"/>
                <w:szCs w:val="18"/>
              </w:rPr>
              <w:t>39</w:t>
            </w:r>
          </w:p>
        </w:tc>
        <w:tc>
          <w:tcPr>
            <w:tcW w:w="851" w:type="dxa"/>
            <w:vAlign w:val="center"/>
          </w:tcPr>
          <w:p>
            <w:pPr>
              <w:jc w:val="center"/>
              <w:rPr>
                <w:sz w:val="18"/>
                <w:szCs w:val="18"/>
              </w:rPr>
            </w:pPr>
            <w:r>
              <w:rPr>
                <w:sz w:val="18"/>
                <w:szCs w:val="18"/>
              </w:rPr>
              <w:t>As</w:t>
            </w:r>
          </w:p>
        </w:tc>
        <w:tc>
          <w:tcPr>
            <w:tcW w:w="851" w:type="dxa"/>
            <w:vAlign w:val="center"/>
          </w:tcPr>
          <w:p>
            <w:pPr>
              <w:jc w:val="center"/>
              <w:rPr>
                <w:sz w:val="18"/>
                <w:szCs w:val="18"/>
              </w:rPr>
            </w:pPr>
            <w:r>
              <w:rPr>
                <w:sz w:val="18"/>
                <w:szCs w:val="18"/>
              </w:rPr>
              <w:t>75</w:t>
            </w:r>
          </w:p>
        </w:tc>
        <w:tc>
          <w:tcPr>
            <w:tcW w:w="851" w:type="dxa"/>
            <w:shd w:val="clear" w:color="auto" w:fill="auto"/>
            <w:vAlign w:val="center"/>
          </w:tcPr>
          <w:p>
            <w:pPr>
              <w:jc w:val="center"/>
              <w:rPr>
                <w:sz w:val="18"/>
                <w:szCs w:val="18"/>
              </w:rPr>
            </w:pPr>
            <w:r>
              <w:rPr>
                <w:sz w:val="18"/>
                <w:szCs w:val="18"/>
              </w:rPr>
              <w:t>Sn</w:t>
            </w:r>
          </w:p>
        </w:tc>
        <w:tc>
          <w:tcPr>
            <w:tcW w:w="851" w:type="dxa"/>
            <w:shd w:val="clear" w:color="auto" w:fill="auto"/>
            <w:vAlign w:val="center"/>
          </w:tcPr>
          <w:p>
            <w:pPr>
              <w:jc w:val="center"/>
              <w:rPr>
                <w:sz w:val="18"/>
                <w:szCs w:val="18"/>
              </w:rPr>
            </w:pPr>
            <w:r>
              <w:rPr>
                <w:sz w:val="18"/>
                <w:szCs w:val="18"/>
              </w:rPr>
              <w:t>119</w:t>
            </w:r>
          </w:p>
        </w:tc>
        <w:tc>
          <w:tcPr>
            <w:tcW w:w="851" w:type="dxa"/>
            <w:shd w:val="clear" w:color="auto" w:fill="auto"/>
            <w:vAlign w:val="center"/>
          </w:tcPr>
          <w:p>
            <w:pPr>
              <w:jc w:val="center"/>
              <w:rPr>
                <w:sz w:val="18"/>
                <w:szCs w:val="18"/>
              </w:rPr>
            </w:pPr>
            <w:r>
              <w:rPr>
                <w:sz w:val="18"/>
                <w:szCs w:val="18"/>
              </w:rPr>
              <w:t>Ho</w:t>
            </w:r>
          </w:p>
        </w:tc>
        <w:tc>
          <w:tcPr>
            <w:tcW w:w="851" w:type="dxa"/>
            <w:shd w:val="clear" w:color="auto" w:fill="auto"/>
            <w:vAlign w:val="center"/>
          </w:tcPr>
          <w:p>
            <w:pPr>
              <w:jc w:val="center"/>
              <w:rPr>
                <w:sz w:val="18"/>
                <w:szCs w:val="18"/>
              </w:rPr>
            </w:pPr>
            <w:r>
              <w:rPr>
                <w:sz w:val="18"/>
                <w:szCs w:val="18"/>
              </w:rPr>
              <w:t>165</w:t>
            </w:r>
          </w:p>
        </w:tc>
        <w:tc>
          <w:tcPr>
            <w:tcW w:w="851" w:type="dxa"/>
            <w:vAlign w:val="center"/>
          </w:tcPr>
          <w:p>
            <w:pPr>
              <w:jc w:val="center"/>
              <w:rPr>
                <w:sz w:val="18"/>
                <w:szCs w:val="18"/>
              </w:rPr>
            </w:pPr>
            <w:r>
              <w:rPr>
                <w:sz w:val="18"/>
                <w:szCs w:val="18"/>
              </w:rPr>
              <w:t>Pb</w:t>
            </w:r>
          </w:p>
        </w:tc>
        <w:tc>
          <w:tcPr>
            <w:tcW w:w="1115" w:type="dxa"/>
            <w:vAlign w:val="center"/>
          </w:tcPr>
          <w:p>
            <w:pPr>
              <w:jc w:val="center"/>
              <w:rPr>
                <w:sz w:val="18"/>
                <w:szCs w:val="18"/>
              </w:rPr>
            </w:pPr>
            <w:r>
              <w:rPr>
                <w:sz w:val="18"/>
                <w:szCs w:val="18"/>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rFonts w:hint="eastAsia"/>
                <w:sz w:val="18"/>
                <w:szCs w:val="18"/>
              </w:rPr>
              <w:t>C</w:t>
            </w:r>
            <w:r>
              <w:rPr>
                <w:sz w:val="18"/>
                <w:szCs w:val="18"/>
              </w:rPr>
              <w:t>l</w:t>
            </w:r>
          </w:p>
        </w:tc>
        <w:tc>
          <w:tcPr>
            <w:tcW w:w="851" w:type="dxa"/>
            <w:shd w:val="clear" w:color="auto" w:fill="auto"/>
            <w:vAlign w:val="center"/>
          </w:tcPr>
          <w:p>
            <w:pPr>
              <w:jc w:val="center"/>
              <w:rPr>
                <w:sz w:val="18"/>
                <w:szCs w:val="18"/>
              </w:rPr>
            </w:pPr>
            <w:r>
              <w:rPr>
                <w:rFonts w:hint="eastAsia"/>
                <w:sz w:val="18"/>
                <w:szCs w:val="18"/>
              </w:rPr>
              <w:t>3</w:t>
            </w:r>
            <w:r>
              <w:rPr>
                <w:sz w:val="18"/>
                <w:szCs w:val="18"/>
              </w:rPr>
              <w:t>5</w:t>
            </w:r>
          </w:p>
        </w:tc>
        <w:tc>
          <w:tcPr>
            <w:tcW w:w="851" w:type="dxa"/>
            <w:vAlign w:val="center"/>
          </w:tcPr>
          <w:p>
            <w:pPr>
              <w:jc w:val="center"/>
              <w:rPr>
                <w:sz w:val="18"/>
                <w:szCs w:val="18"/>
              </w:rPr>
            </w:pPr>
            <w:r>
              <w:rPr>
                <w:sz w:val="18"/>
                <w:szCs w:val="18"/>
              </w:rPr>
              <w:t>Br</w:t>
            </w:r>
          </w:p>
        </w:tc>
        <w:tc>
          <w:tcPr>
            <w:tcW w:w="851" w:type="dxa"/>
            <w:vAlign w:val="center"/>
          </w:tcPr>
          <w:p>
            <w:pPr>
              <w:jc w:val="center"/>
              <w:rPr>
                <w:sz w:val="18"/>
                <w:szCs w:val="18"/>
              </w:rPr>
            </w:pPr>
            <w:r>
              <w:rPr>
                <w:sz w:val="18"/>
                <w:szCs w:val="18"/>
              </w:rPr>
              <w:t>79</w:t>
            </w:r>
          </w:p>
        </w:tc>
        <w:tc>
          <w:tcPr>
            <w:tcW w:w="851" w:type="dxa"/>
            <w:shd w:val="clear" w:color="auto" w:fill="auto"/>
            <w:vAlign w:val="center"/>
          </w:tcPr>
          <w:p>
            <w:pPr>
              <w:jc w:val="center"/>
              <w:rPr>
                <w:sz w:val="18"/>
                <w:szCs w:val="18"/>
              </w:rPr>
            </w:pPr>
            <w:r>
              <w:rPr>
                <w:sz w:val="18"/>
                <w:szCs w:val="18"/>
              </w:rPr>
              <w:t>Sb</w:t>
            </w:r>
          </w:p>
        </w:tc>
        <w:tc>
          <w:tcPr>
            <w:tcW w:w="851" w:type="dxa"/>
            <w:shd w:val="clear" w:color="auto" w:fill="auto"/>
            <w:vAlign w:val="center"/>
          </w:tcPr>
          <w:p>
            <w:pPr>
              <w:jc w:val="center"/>
              <w:rPr>
                <w:sz w:val="18"/>
                <w:szCs w:val="18"/>
              </w:rPr>
            </w:pPr>
            <w:r>
              <w:rPr>
                <w:sz w:val="18"/>
                <w:szCs w:val="18"/>
              </w:rPr>
              <w:t>121</w:t>
            </w:r>
          </w:p>
        </w:tc>
        <w:tc>
          <w:tcPr>
            <w:tcW w:w="851" w:type="dxa"/>
            <w:shd w:val="clear" w:color="auto" w:fill="auto"/>
            <w:vAlign w:val="center"/>
          </w:tcPr>
          <w:p>
            <w:pPr>
              <w:jc w:val="center"/>
              <w:rPr>
                <w:sz w:val="18"/>
                <w:szCs w:val="18"/>
              </w:rPr>
            </w:pPr>
            <w:r>
              <w:rPr>
                <w:sz w:val="18"/>
                <w:szCs w:val="18"/>
              </w:rPr>
              <w:t>Er</w:t>
            </w:r>
          </w:p>
        </w:tc>
        <w:tc>
          <w:tcPr>
            <w:tcW w:w="851" w:type="dxa"/>
            <w:shd w:val="clear" w:color="auto" w:fill="auto"/>
            <w:vAlign w:val="center"/>
          </w:tcPr>
          <w:p>
            <w:pPr>
              <w:jc w:val="center"/>
              <w:rPr>
                <w:sz w:val="18"/>
                <w:szCs w:val="18"/>
              </w:rPr>
            </w:pPr>
            <w:r>
              <w:rPr>
                <w:sz w:val="18"/>
                <w:szCs w:val="18"/>
              </w:rPr>
              <w:t>166</w:t>
            </w:r>
          </w:p>
        </w:tc>
        <w:tc>
          <w:tcPr>
            <w:tcW w:w="851" w:type="dxa"/>
            <w:vAlign w:val="center"/>
          </w:tcPr>
          <w:p>
            <w:pPr>
              <w:jc w:val="center"/>
              <w:rPr>
                <w:sz w:val="18"/>
                <w:szCs w:val="18"/>
              </w:rPr>
            </w:pPr>
            <w:r>
              <w:rPr>
                <w:sz w:val="18"/>
                <w:szCs w:val="18"/>
              </w:rPr>
              <w:t>Bi</w:t>
            </w:r>
          </w:p>
        </w:tc>
        <w:tc>
          <w:tcPr>
            <w:tcW w:w="1115" w:type="dxa"/>
            <w:vAlign w:val="center"/>
          </w:tcPr>
          <w:p>
            <w:pPr>
              <w:jc w:val="center"/>
              <w:rPr>
                <w:sz w:val="18"/>
                <w:szCs w:val="18"/>
              </w:rPr>
            </w:pPr>
            <w:r>
              <w:rPr>
                <w:sz w:val="18"/>
                <w:szCs w:val="18"/>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Ca</w:t>
            </w:r>
          </w:p>
        </w:tc>
        <w:tc>
          <w:tcPr>
            <w:tcW w:w="851" w:type="dxa"/>
            <w:shd w:val="clear" w:color="auto" w:fill="auto"/>
            <w:vAlign w:val="center"/>
          </w:tcPr>
          <w:p>
            <w:pPr>
              <w:jc w:val="center"/>
              <w:rPr>
                <w:sz w:val="18"/>
                <w:szCs w:val="18"/>
              </w:rPr>
            </w:pPr>
            <w:r>
              <w:rPr>
                <w:sz w:val="18"/>
                <w:szCs w:val="18"/>
              </w:rPr>
              <w:t>44</w:t>
            </w:r>
          </w:p>
        </w:tc>
        <w:tc>
          <w:tcPr>
            <w:tcW w:w="851" w:type="dxa"/>
            <w:vAlign w:val="center"/>
          </w:tcPr>
          <w:p>
            <w:pPr>
              <w:jc w:val="center"/>
              <w:rPr>
                <w:sz w:val="18"/>
                <w:szCs w:val="18"/>
              </w:rPr>
            </w:pPr>
            <w:r>
              <w:rPr>
                <w:sz w:val="18"/>
                <w:szCs w:val="18"/>
              </w:rPr>
              <w:t>Se</w:t>
            </w:r>
          </w:p>
        </w:tc>
        <w:tc>
          <w:tcPr>
            <w:tcW w:w="851" w:type="dxa"/>
            <w:vAlign w:val="center"/>
          </w:tcPr>
          <w:p>
            <w:pPr>
              <w:jc w:val="center"/>
              <w:rPr>
                <w:sz w:val="18"/>
                <w:szCs w:val="18"/>
              </w:rPr>
            </w:pPr>
            <w:r>
              <w:rPr>
                <w:sz w:val="18"/>
                <w:szCs w:val="18"/>
              </w:rPr>
              <w:t>82</w:t>
            </w:r>
          </w:p>
        </w:tc>
        <w:tc>
          <w:tcPr>
            <w:tcW w:w="851" w:type="dxa"/>
            <w:shd w:val="clear" w:color="auto" w:fill="auto"/>
            <w:vAlign w:val="center"/>
          </w:tcPr>
          <w:p>
            <w:pPr>
              <w:jc w:val="center"/>
              <w:rPr>
                <w:sz w:val="18"/>
                <w:szCs w:val="18"/>
              </w:rPr>
            </w:pPr>
            <w:r>
              <w:rPr>
                <w:sz w:val="18"/>
                <w:szCs w:val="18"/>
              </w:rPr>
              <w:t>I</w:t>
            </w:r>
          </w:p>
        </w:tc>
        <w:tc>
          <w:tcPr>
            <w:tcW w:w="851" w:type="dxa"/>
            <w:shd w:val="clear" w:color="auto" w:fill="auto"/>
            <w:vAlign w:val="center"/>
          </w:tcPr>
          <w:p>
            <w:pPr>
              <w:jc w:val="center"/>
              <w:rPr>
                <w:sz w:val="18"/>
                <w:szCs w:val="18"/>
              </w:rPr>
            </w:pPr>
            <w:r>
              <w:rPr>
                <w:sz w:val="18"/>
                <w:szCs w:val="18"/>
              </w:rPr>
              <w:t>127</w:t>
            </w:r>
          </w:p>
        </w:tc>
        <w:tc>
          <w:tcPr>
            <w:tcW w:w="851" w:type="dxa"/>
            <w:shd w:val="clear" w:color="auto" w:fill="auto"/>
            <w:vAlign w:val="center"/>
          </w:tcPr>
          <w:p>
            <w:pPr>
              <w:jc w:val="center"/>
              <w:rPr>
                <w:sz w:val="18"/>
                <w:szCs w:val="18"/>
              </w:rPr>
            </w:pPr>
            <w:r>
              <w:rPr>
                <w:sz w:val="18"/>
                <w:szCs w:val="18"/>
              </w:rPr>
              <w:t>Tm</w:t>
            </w:r>
          </w:p>
        </w:tc>
        <w:tc>
          <w:tcPr>
            <w:tcW w:w="851" w:type="dxa"/>
            <w:shd w:val="clear" w:color="auto" w:fill="auto"/>
            <w:vAlign w:val="center"/>
          </w:tcPr>
          <w:p>
            <w:pPr>
              <w:jc w:val="center"/>
              <w:rPr>
                <w:sz w:val="18"/>
                <w:szCs w:val="18"/>
              </w:rPr>
            </w:pPr>
            <w:r>
              <w:rPr>
                <w:sz w:val="18"/>
                <w:szCs w:val="18"/>
              </w:rPr>
              <w:t>169</w:t>
            </w:r>
          </w:p>
        </w:tc>
        <w:tc>
          <w:tcPr>
            <w:tcW w:w="851" w:type="dxa"/>
            <w:vAlign w:val="center"/>
          </w:tcPr>
          <w:p>
            <w:pPr>
              <w:jc w:val="center"/>
              <w:rPr>
                <w:sz w:val="18"/>
                <w:szCs w:val="18"/>
              </w:rPr>
            </w:pPr>
            <w:r>
              <w:rPr>
                <w:sz w:val="18"/>
                <w:szCs w:val="18"/>
              </w:rPr>
              <w:t>Th</w:t>
            </w:r>
          </w:p>
        </w:tc>
        <w:tc>
          <w:tcPr>
            <w:tcW w:w="1115" w:type="dxa"/>
            <w:vAlign w:val="center"/>
          </w:tcPr>
          <w:p>
            <w:pPr>
              <w:jc w:val="center"/>
              <w:rPr>
                <w:sz w:val="18"/>
                <w:szCs w:val="18"/>
              </w:rPr>
            </w:pPr>
            <w:r>
              <w:rPr>
                <w:sz w:val="18"/>
                <w:szCs w:val="18"/>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Sc</w:t>
            </w:r>
          </w:p>
        </w:tc>
        <w:tc>
          <w:tcPr>
            <w:tcW w:w="851" w:type="dxa"/>
            <w:shd w:val="clear" w:color="auto" w:fill="auto"/>
            <w:vAlign w:val="center"/>
          </w:tcPr>
          <w:p>
            <w:pPr>
              <w:jc w:val="center"/>
              <w:rPr>
                <w:sz w:val="18"/>
                <w:szCs w:val="18"/>
              </w:rPr>
            </w:pPr>
            <w:r>
              <w:rPr>
                <w:sz w:val="18"/>
                <w:szCs w:val="18"/>
              </w:rPr>
              <w:t>45</w:t>
            </w:r>
          </w:p>
        </w:tc>
        <w:tc>
          <w:tcPr>
            <w:tcW w:w="851" w:type="dxa"/>
            <w:vAlign w:val="center"/>
          </w:tcPr>
          <w:p>
            <w:pPr>
              <w:jc w:val="center"/>
              <w:rPr>
                <w:sz w:val="18"/>
                <w:szCs w:val="18"/>
              </w:rPr>
            </w:pPr>
            <w:r>
              <w:rPr>
                <w:sz w:val="18"/>
                <w:szCs w:val="18"/>
              </w:rPr>
              <w:t>Rb</w:t>
            </w:r>
          </w:p>
        </w:tc>
        <w:tc>
          <w:tcPr>
            <w:tcW w:w="851" w:type="dxa"/>
            <w:vAlign w:val="center"/>
          </w:tcPr>
          <w:p>
            <w:pPr>
              <w:jc w:val="center"/>
              <w:rPr>
                <w:sz w:val="18"/>
                <w:szCs w:val="18"/>
              </w:rPr>
            </w:pPr>
            <w:r>
              <w:rPr>
                <w:sz w:val="18"/>
                <w:szCs w:val="18"/>
              </w:rPr>
              <w:t>85</w:t>
            </w:r>
          </w:p>
        </w:tc>
        <w:tc>
          <w:tcPr>
            <w:tcW w:w="851" w:type="dxa"/>
            <w:shd w:val="clear" w:color="auto" w:fill="auto"/>
            <w:vAlign w:val="center"/>
          </w:tcPr>
          <w:p>
            <w:pPr>
              <w:jc w:val="center"/>
              <w:rPr>
                <w:sz w:val="18"/>
                <w:szCs w:val="18"/>
              </w:rPr>
            </w:pPr>
            <w:r>
              <w:rPr>
                <w:sz w:val="18"/>
                <w:szCs w:val="18"/>
              </w:rPr>
              <w:t>Te</w:t>
            </w:r>
          </w:p>
        </w:tc>
        <w:tc>
          <w:tcPr>
            <w:tcW w:w="851" w:type="dxa"/>
            <w:shd w:val="clear" w:color="auto" w:fill="auto"/>
            <w:vAlign w:val="center"/>
          </w:tcPr>
          <w:p>
            <w:pPr>
              <w:jc w:val="center"/>
              <w:rPr>
                <w:sz w:val="18"/>
                <w:szCs w:val="18"/>
              </w:rPr>
            </w:pPr>
            <w:r>
              <w:rPr>
                <w:sz w:val="18"/>
                <w:szCs w:val="18"/>
              </w:rPr>
              <w:t>1</w:t>
            </w:r>
            <w:r>
              <w:rPr>
                <w:rFonts w:hint="eastAsia"/>
                <w:sz w:val="18"/>
                <w:szCs w:val="18"/>
              </w:rPr>
              <w:t>30</w:t>
            </w:r>
          </w:p>
        </w:tc>
        <w:tc>
          <w:tcPr>
            <w:tcW w:w="851" w:type="dxa"/>
            <w:shd w:val="clear" w:color="auto" w:fill="auto"/>
            <w:vAlign w:val="center"/>
          </w:tcPr>
          <w:p>
            <w:pPr>
              <w:jc w:val="center"/>
              <w:rPr>
                <w:sz w:val="18"/>
                <w:szCs w:val="18"/>
              </w:rPr>
            </w:pPr>
            <w:r>
              <w:rPr>
                <w:sz w:val="18"/>
                <w:szCs w:val="18"/>
              </w:rPr>
              <w:t>Yb</w:t>
            </w:r>
          </w:p>
        </w:tc>
        <w:tc>
          <w:tcPr>
            <w:tcW w:w="851" w:type="dxa"/>
            <w:shd w:val="clear" w:color="auto" w:fill="auto"/>
            <w:vAlign w:val="center"/>
          </w:tcPr>
          <w:p>
            <w:pPr>
              <w:jc w:val="center"/>
              <w:rPr>
                <w:sz w:val="18"/>
                <w:szCs w:val="18"/>
              </w:rPr>
            </w:pPr>
            <w:r>
              <w:rPr>
                <w:sz w:val="18"/>
                <w:szCs w:val="18"/>
              </w:rPr>
              <w:t>174</w:t>
            </w:r>
          </w:p>
        </w:tc>
        <w:tc>
          <w:tcPr>
            <w:tcW w:w="851" w:type="dxa"/>
            <w:vAlign w:val="center"/>
          </w:tcPr>
          <w:p>
            <w:pPr>
              <w:jc w:val="center"/>
              <w:rPr>
                <w:sz w:val="18"/>
                <w:szCs w:val="18"/>
              </w:rPr>
            </w:pPr>
            <w:r>
              <w:rPr>
                <w:sz w:val="18"/>
                <w:szCs w:val="18"/>
              </w:rPr>
              <w:t>U</w:t>
            </w:r>
          </w:p>
        </w:tc>
        <w:tc>
          <w:tcPr>
            <w:tcW w:w="1115" w:type="dxa"/>
            <w:vAlign w:val="center"/>
          </w:tcPr>
          <w:p>
            <w:pPr>
              <w:jc w:val="center"/>
              <w:rPr>
                <w:sz w:val="18"/>
                <w:szCs w:val="18"/>
              </w:rPr>
            </w:pPr>
            <w:r>
              <w:rPr>
                <w:sz w:val="18"/>
                <w:szCs w:val="18"/>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Ti</w:t>
            </w:r>
          </w:p>
        </w:tc>
        <w:tc>
          <w:tcPr>
            <w:tcW w:w="851" w:type="dxa"/>
            <w:shd w:val="clear" w:color="auto" w:fill="auto"/>
            <w:vAlign w:val="center"/>
          </w:tcPr>
          <w:p>
            <w:pPr>
              <w:jc w:val="center"/>
              <w:rPr>
                <w:sz w:val="18"/>
                <w:szCs w:val="18"/>
              </w:rPr>
            </w:pPr>
            <w:r>
              <w:rPr>
                <w:sz w:val="18"/>
                <w:szCs w:val="18"/>
              </w:rPr>
              <w:t>48</w:t>
            </w:r>
          </w:p>
        </w:tc>
        <w:tc>
          <w:tcPr>
            <w:tcW w:w="851" w:type="dxa"/>
            <w:vAlign w:val="center"/>
          </w:tcPr>
          <w:p>
            <w:pPr>
              <w:jc w:val="center"/>
              <w:rPr>
                <w:sz w:val="18"/>
                <w:szCs w:val="18"/>
              </w:rPr>
            </w:pPr>
            <w:r>
              <w:rPr>
                <w:sz w:val="18"/>
                <w:szCs w:val="18"/>
              </w:rPr>
              <w:t>Sr</w:t>
            </w:r>
          </w:p>
        </w:tc>
        <w:tc>
          <w:tcPr>
            <w:tcW w:w="851" w:type="dxa"/>
            <w:vAlign w:val="center"/>
          </w:tcPr>
          <w:p>
            <w:pPr>
              <w:jc w:val="center"/>
              <w:rPr>
                <w:sz w:val="18"/>
                <w:szCs w:val="18"/>
              </w:rPr>
            </w:pPr>
            <w:r>
              <w:rPr>
                <w:sz w:val="18"/>
                <w:szCs w:val="18"/>
              </w:rPr>
              <w:t>88</w:t>
            </w:r>
          </w:p>
        </w:tc>
        <w:tc>
          <w:tcPr>
            <w:tcW w:w="851" w:type="dxa"/>
            <w:shd w:val="clear" w:color="auto" w:fill="auto"/>
            <w:vAlign w:val="center"/>
          </w:tcPr>
          <w:p>
            <w:pPr>
              <w:jc w:val="center"/>
              <w:rPr>
                <w:sz w:val="18"/>
                <w:szCs w:val="18"/>
              </w:rPr>
            </w:pPr>
            <w:r>
              <w:rPr>
                <w:sz w:val="18"/>
                <w:szCs w:val="18"/>
              </w:rPr>
              <w:t>Cs</w:t>
            </w:r>
          </w:p>
        </w:tc>
        <w:tc>
          <w:tcPr>
            <w:tcW w:w="851" w:type="dxa"/>
            <w:shd w:val="clear" w:color="auto" w:fill="auto"/>
            <w:vAlign w:val="center"/>
          </w:tcPr>
          <w:p>
            <w:pPr>
              <w:jc w:val="center"/>
              <w:rPr>
                <w:sz w:val="18"/>
                <w:szCs w:val="18"/>
              </w:rPr>
            </w:pPr>
            <w:r>
              <w:rPr>
                <w:sz w:val="18"/>
                <w:szCs w:val="18"/>
              </w:rPr>
              <w:t>133</w:t>
            </w:r>
          </w:p>
        </w:tc>
        <w:tc>
          <w:tcPr>
            <w:tcW w:w="851" w:type="dxa"/>
            <w:shd w:val="clear" w:color="auto" w:fill="auto"/>
            <w:vAlign w:val="center"/>
          </w:tcPr>
          <w:p>
            <w:pPr>
              <w:jc w:val="center"/>
              <w:rPr>
                <w:sz w:val="18"/>
                <w:szCs w:val="18"/>
              </w:rPr>
            </w:pPr>
            <w:r>
              <w:rPr>
                <w:sz w:val="18"/>
                <w:szCs w:val="18"/>
              </w:rPr>
              <w:t>Lu</w:t>
            </w:r>
          </w:p>
        </w:tc>
        <w:tc>
          <w:tcPr>
            <w:tcW w:w="851" w:type="dxa"/>
            <w:shd w:val="clear" w:color="auto" w:fill="auto"/>
            <w:vAlign w:val="center"/>
          </w:tcPr>
          <w:p>
            <w:pPr>
              <w:jc w:val="center"/>
              <w:rPr>
                <w:sz w:val="18"/>
                <w:szCs w:val="18"/>
              </w:rPr>
            </w:pPr>
            <w:r>
              <w:rPr>
                <w:sz w:val="18"/>
                <w:szCs w:val="18"/>
              </w:rPr>
              <w:t>175</w:t>
            </w:r>
          </w:p>
        </w:tc>
        <w:tc>
          <w:tcPr>
            <w:tcW w:w="851" w:type="dxa"/>
            <w:vAlign w:val="center"/>
          </w:tcPr>
          <w:p>
            <w:pPr>
              <w:jc w:val="center"/>
              <w:rPr>
                <w:sz w:val="18"/>
                <w:szCs w:val="18"/>
              </w:rPr>
            </w:pPr>
            <w:r>
              <w:rPr>
                <w:rFonts w:hint="eastAsia"/>
                <w:sz w:val="18"/>
                <w:szCs w:val="18"/>
              </w:rPr>
              <w:t>/</w:t>
            </w:r>
          </w:p>
        </w:tc>
        <w:tc>
          <w:tcPr>
            <w:tcW w:w="1115" w:type="dxa"/>
            <w:vAlign w:val="center"/>
          </w:tcPr>
          <w:p>
            <w:pPr>
              <w:jc w:val="center"/>
              <w:rPr>
                <w:sz w:val="18"/>
                <w:szCs w:val="18"/>
              </w:rPr>
            </w:pPr>
            <w:r>
              <w:rPr>
                <w:rFonts w:hint="eastAsia"/>
                <w:sz w:val="18"/>
                <w:szCs w:val="18"/>
              </w:rPr>
              <w:t>/</w:t>
            </w:r>
          </w:p>
        </w:tc>
      </w:tr>
    </w:tbl>
    <w:p>
      <w:pPr>
        <w:tabs>
          <w:tab w:val="left" w:pos="315"/>
        </w:tabs>
        <w:autoSpaceDE w:val="0"/>
        <w:autoSpaceDN w:val="0"/>
        <w:adjustRightInd w:val="0"/>
        <w:spacing w:line="360" w:lineRule="auto"/>
        <w:ind w:right="-2"/>
        <w:jc w:val="left"/>
        <w:rPr>
          <w:rFonts w:ascii="黑体" w:hAnsi="黑体" w:eastAsia="黑体"/>
          <w:color w:val="000000" w:themeColor="text1"/>
          <w14:textFill>
            <w14:solidFill>
              <w14:schemeClr w14:val="tx1"/>
            </w14:solidFill>
          </w14:textFill>
        </w:rPr>
      </w:pPr>
    </w:p>
    <w:p>
      <w:pPr>
        <w:tabs>
          <w:tab w:val="left" w:pos="315"/>
        </w:tabs>
        <w:autoSpaceDE w:val="0"/>
        <w:autoSpaceDN w:val="0"/>
        <w:adjustRightInd w:val="0"/>
        <w:spacing w:line="360" w:lineRule="auto"/>
        <w:ind w:right="-2"/>
        <w:jc w:val="left"/>
        <w:rPr>
          <w:rFonts w:hAnsi="宋体"/>
          <w:szCs w:val="21"/>
        </w:rPr>
      </w:pPr>
      <w:r>
        <w:rPr>
          <w:rFonts w:hint="eastAsia" w:ascii="黑体" w:hAnsi="黑体" w:eastAsia="黑体"/>
          <w:color w:val="000000" w:themeColor="text1"/>
          <w14:textFill>
            <w14:solidFill>
              <w14:schemeClr w14:val="tx1"/>
            </w14:solidFill>
          </w14:textFill>
        </w:rPr>
        <w:t>9</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1</w:t>
      </w:r>
      <w:r>
        <w:rPr>
          <w:rFonts w:ascii="黑体" w:hAnsi="黑体" w:eastAsia="黑体"/>
          <w:color w:val="000000" w:themeColor="text1"/>
          <w14:textFill>
            <w14:solidFill>
              <w14:schemeClr w14:val="tx1"/>
            </w14:solidFill>
          </w14:textFill>
        </w:rPr>
        <w:t xml:space="preserve">.3 </w:t>
      </w:r>
      <w:r>
        <w:rPr>
          <w:rFonts w:hint="eastAsia" w:ascii="黑体" w:hAnsi="黑体" w:eastAsia="黑体"/>
          <w:color w:val="000000" w:themeColor="text1"/>
          <w14:textFill>
            <w14:solidFill>
              <w14:schemeClr w14:val="tx1"/>
            </w14:solidFill>
          </w14:textFill>
        </w:rPr>
        <w:t>试样预溅射：</w:t>
      </w:r>
    </w:p>
    <w:p>
      <w:pPr>
        <w:pStyle w:val="165"/>
        <w:rPr>
          <w:rFonts w:asciiTheme="minorEastAsia" w:hAnsiTheme="minorEastAsia" w:eastAsiaTheme="minorEastAsia"/>
          <w:kern w:val="0"/>
          <w:szCs w:val="21"/>
        </w:rPr>
      </w:pPr>
      <w:r>
        <w:rPr>
          <w:rFonts w:hint="eastAsia" w:asciiTheme="minorEastAsia" w:hAnsiTheme="minorEastAsia" w:eastAsiaTheme="minorEastAsia"/>
          <w:kern w:val="0"/>
          <w:szCs w:val="21"/>
        </w:rPr>
        <w:t>在正式采集数据前进行</w:t>
      </w:r>
      <w:r>
        <w:rPr>
          <w:rFonts w:asciiTheme="minorEastAsia" w:hAnsiTheme="minorEastAsia" w:eastAsiaTheme="minorEastAsia"/>
          <w:kern w:val="0"/>
          <w:szCs w:val="21"/>
        </w:rPr>
        <w:t>5 min</w:t>
      </w:r>
      <w:r>
        <w:rPr>
          <w:rFonts w:eastAsiaTheme="minorEastAsia"/>
          <w:kern w:val="0"/>
          <w:szCs w:val="21"/>
        </w:rPr>
        <w:t>~</w:t>
      </w:r>
      <w:r>
        <w:rPr>
          <w:rFonts w:asciiTheme="minorEastAsia" w:hAnsiTheme="minorEastAsia" w:eastAsiaTheme="minorEastAsia"/>
          <w:kern w:val="0"/>
          <w:szCs w:val="21"/>
        </w:rPr>
        <w:t>20</w:t>
      </w:r>
      <w:r>
        <w:rPr>
          <w:rFonts w:hint="eastAsia" w:asciiTheme="minorEastAsia" w:hAnsiTheme="minorEastAsia" w:eastAsiaTheme="minorEastAsia"/>
          <w:kern w:val="0"/>
          <w:szCs w:val="21"/>
        </w:rPr>
        <w:t xml:space="preserve"> </w:t>
      </w:r>
      <w:r>
        <w:rPr>
          <w:rFonts w:asciiTheme="minorEastAsia" w:hAnsiTheme="minorEastAsia" w:eastAsiaTheme="minorEastAsia"/>
          <w:kern w:val="0"/>
          <w:szCs w:val="21"/>
        </w:rPr>
        <w:t>min</w:t>
      </w:r>
      <w:r>
        <w:rPr>
          <w:rFonts w:hint="eastAsia" w:asciiTheme="minorEastAsia" w:hAnsiTheme="minorEastAsia" w:eastAsiaTheme="minorEastAsia"/>
          <w:kern w:val="0"/>
          <w:szCs w:val="21"/>
        </w:rPr>
        <w:t>的预溅射，去除样品表面污染；然后将辉光放电离子源溅射条件调节</w:t>
      </w:r>
      <w:r>
        <w:rPr>
          <w:rFonts w:asciiTheme="minorEastAsia" w:hAnsiTheme="minorEastAsia" w:eastAsiaTheme="minorEastAsia"/>
          <w:kern w:val="0"/>
          <w:szCs w:val="21"/>
        </w:rPr>
        <w:t>到</w:t>
      </w:r>
      <w:r>
        <w:rPr>
          <w:rFonts w:hint="eastAsia" w:asciiTheme="minorEastAsia" w:hAnsiTheme="minorEastAsia" w:eastAsiaTheme="minorEastAsia"/>
          <w:kern w:val="0"/>
          <w:szCs w:val="21"/>
        </w:rPr>
        <w:t>表A中的分析条件。</w:t>
      </w:r>
    </w:p>
    <w:p>
      <w:pPr>
        <w:spacing w:line="360" w:lineRule="auto"/>
        <w:outlineLvl w:val="0"/>
        <w:rPr>
          <w:rFonts w:ascii="黑体" w:hAnsi="宋体" w:eastAsia="黑体"/>
          <w:szCs w:val="21"/>
        </w:rPr>
      </w:pPr>
      <w:r>
        <w:rPr>
          <w:rFonts w:hint="eastAsia" w:ascii="黑体" w:hAnsi="宋体" w:eastAsia="黑体"/>
          <w:szCs w:val="21"/>
        </w:rPr>
        <w:t>9.1</w:t>
      </w:r>
      <w:r>
        <w:rPr>
          <w:rFonts w:ascii="黑体" w:hAnsi="宋体" w:eastAsia="黑体"/>
          <w:szCs w:val="21"/>
        </w:rPr>
        <w:t>.4</w:t>
      </w:r>
      <w:r>
        <w:rPr>
          <w:rFonts w:hint="eastAsia" w:ascii="黑体" w:hAnsi="宋体" w:eastAsia="黑体"/>
          <w:szCs w:val="21"/>
        </w:rPr>
        <w:t>样品测量</w:t>
      </w:r>
    </w:p>
    <w:p>
      <w:pPr>
        <w:tabs>
          <w:tab w:val="left" w:pos="315"/>
        </w:tabs>
        <w:autoSpaceDE w:val="0"/>
        <w:autoSpaceDN w:val="0"/>
        <w:adjustRightInd w:val="0"/>
        <w:spacing w:before="88"/>
        <w:ind w:firstLine="420" w:firstLineChars="200"/>
        <w:jc w:val="left"/>
        <w:rPr>
          <w:rFonts w:asciiTheme="minorEastAsia" w:hAnsiTheme="minorEastAsia" w:eastAsiaTheme="minorEastAsia"/>
          <w:szCs w:val="21"/>
        </w:rPr>
      </w:pPr>
      <w:r>
        <w:rPr>
          <w:rFonts w:hint="eastAsia" w:asciiTheme="minorEastAsia" w:hAnsiTheme="minorEastAsia" w:eastAsiaTheme="minorEastAsia"/>
          <w:kern w:val="0"/>
          <w:szCs w:val="21"/>
        </w:rPr>
        <w:t>在预分析溅射条件下开始辉光放电，仪器软件中的“典型相对灵敏度因子”用作被测元素的相对灵敏度因子</w:t>
      </w:r>
      <w:r>
        <w:rPr>
          <w:rFonts w:asciiTheme="minorEastAsia" w:hAnsiTheme="minorEastAsia" w:eastAsiaTheme="minorEastAsia"/>
          <w:kern w:val="0"/>
          <w:szCs w:val="21"/>
        </w:rPr>
        <w:t>，测定样品中痕量元素的含量。连续三次测量数据的相对标准偏差应满足表3，则应对测量数据进行确认，并计算最后3个测量数据的平均值。</w:t>
      </w:r>
      <w:r>
        <w:rPr>
          <w:rFonts w:hint="eastAsia" w:asciiTheme="minorEastAsia" w:hAnsiTheme="minorEastAsia" w:eastAsiaTheme="minorEastAsia"/>
          <w:szCs w:val="21"/>
        </w:rPr>
        <w:t>当具备空白样品时，应在与试样相同的条件下测量</w:t>
      </w:r>
      <w:r>
        <w:rPr>
          <w:rFonts w:asciiTheme="minorEastAsia" w:hAnsiTheme="minorEastAsia" w:eastAsiaTheme="minorEastAsia"/>
          <w:szCs w:val="21"/>
        </w:rPr>
        <w:t>空白样品（6.7）。</w:t>
      </w:r>
    </w:p>
    <w:p>
      <w:pPr>
        <w:widowControl/>
        <w:spacing w:line="360" w:lineRule="auto"/>
        <w:jc w:val="left"/>
        <w:rPr>
          <w:rFonts w:ascii="黑体" w:eastAsia="黑体"/>
          <w:bCs/>
          <w:kern w:val="0"/>
          <w:szCs w:val="21"/>
        </w:rPr>
      </w:pPr>
      <w:r>
        <w:rPr>
          <w:rFonts w:hint="eastAsia" w:ascii="黑体" w:eastAsia="黑体"/>
          <w:bCs/>
          <w:kern w:val="0"/>
          <w:szCs w:val="21"/>
        </w:rPr>
        <w:t>9</w:t>
      </w:r>
      <w:r>
        <w:rPr>
          <w:rFonts w:ascii="黑体" w:eastAsia="黑体"/>
          <w:bCs/>
          <w:kern w:val="0"/>
          <w:szCs w:val="21"/>
        </w:rPr>
        <w:t>.2</w:t>
      </w:r>
      <w:r>
        <w:rPr>
          <w:rFonts w:hint="eastAsia" w:ascii="黑体" w:hAnsi="宋体" w:eastAsia="黑体"/>
          <w:szCs w:val="21"/>
        </w:rPr>
        <w:t>定量分析</w:t>
      </w:r>
    </w:p>
    <w:p>
      <w:pPr>
        <w:spacing w:line="360" w:lineRule="auto"/>
        <w:outlineLvl w:val="0"/>
        <w:rPr>
          <w:rFonts w:ascii="黑体" w:hAnsi="宋体" w:eastAsia="黑体"/>
          <w:szCs w:val="21"/>
        </w:rPr>
      </w:pPr>
      <w:r>
        <w:rPr>
          <w:rFonts w:hint="eastAsia" w:ascii="黑体" w:hAnsi="宋体" w:eastAsia="黑体"/>
          <w:szCs w:val="21"/>
        </w:rPr>
        <w:t>9.2.</w:t>
      </w:r>
      <w:r>
        <w:rPr>
          <w:rFonts w:ascii="黑体" w:hAnsi="宋体" w:eastAsia="黑体"/>
          <w:szCs w:val="21"/>
        </w:rPr>
        <w:t xml:space="preserve">1 </w:t>
      </w:r>
      <w:r>
        <w:rPr>
          <w:rFonts w:hint="eastAsia" w:ascii="黑体" w:hAnsi="宋体" w:eastAsia="黑体"/>
          <w:szCs w:val="21"/>
        </w:rPr>
        <w:t>相对灵敏度因子的测定</w:t>
      </w:r>
    </w:p>
    <w:p>
      <w:pPr>
        <w:pStyle w:val="165"/>
        <w:rPr>
          <w:rFonts w:asciiTheme="minorEastAsia" w:hAnsiTheme="minorEastAsia" w:eastAsiaTheme="minorEastAsia"/>
          <w:kern w:val="0"/>
          <w:szCs w:val="21"/>
        </w:rPr>
      </w:pPr>
      <w:r>
        <w:rPr>
          <w:rFonts w:asciiTheme="minorEastAsia" w:hAnsiTheme="minorEastAsia" w:eastAsiaTheme="minorEastAsia"/>
          <w:kern w:val="0"/>
          <w:szCs w:val="21"/>
        </w:rPr>
        <w:t>使用</w:t>
      </w:r>
      <w:r>
        <w:rPr>
          <w:rFonts w:hint="eastAsia" w:asciiTheme="minorEastAsia" w:hAnsiTheme="minorEastAsia" w:eastAsiaTheme="minorEastAsia"/>
          <w:kern w:val="0"/>
          <w:szCs w:val="21"/>
        </w:rPr>
        <w:t>高纯铟</w:t>
      </w:r>
      <w:r>
        <w:rPr>
          <w:rFonts w:asciiTheme="minorEastAsia" w:hAnsiTheme="minorEastAsia" w:eastAsiaTheme="minorEastAsia"/>
          <w:kern w:val="0"/>
          <w:szCs w:val="21"/>
        </w:rPr>
        <w:t>标准</w:t>
      </w:r>
      <w:r>
        <w:rPr>
          <w:rFonts w:hint="eastAsia" w:asciiTheme="minorEastAsia" w:hAnsiTheme="minorEastAsia" w:eastAsiaTheme="minorEastAsia"/>
          <w:kern w:val="0"/>
          <w:szCs w:val="21"/>
        </w:rPr>
        <w:t>样品（6</w:t>
      </w:r>
      <w:r>
        <w:rPr>
          <w:rFonts w:asciiTheme="minorEastAsia" w:hAnsiTheme="minorEastAsia" w:eastAsiaTheme="minorEastAsia"/>
          <w:kern w:val="0"/>
          <w:szCs w:val="21"/>
        </w:rPr>
        <w:t>.</w:t>
      </w:r>
      <w:r>
        <w:rPr>
          <w:rFonts w:hint="eastAsia" w:asciiTheme="minorEastAsia" w:hAnsiTheme="minorEastAsia" w:eastAsiaTheme="minorEastAsia"/>
          <w:kern w:val="0"/>
          <w:szCs w:val="21"/>
        </w:rPr>
        <w:t>6）按</w:t>
      </w:r>
      <w:r>
        <w:rPr>
          <w:rFonts w:asciiTheme="minorEastAsia" w:hAnsiTheme="minorEastAsia" w:eastAsiaTheme="minorEastAsia"/>
          <w:kern w:val="0"/>
          <w:szCs w:val="21"/>
        </w:rPr>
        <w:t>9.</w:t>
      </w:r>
      <w:r>
        <w:rPr>
          <w:rFonts w:hint="eastAsia" w:asciiTheme="minorEastAsia" w:hAnsiTheme="minorEastAsia" w:eastAsiaTheme="minorEastAsia"/>
          <w:kern w:val="0"/>
          <w:szCs w:val="21"/>
        </w:rPr>
        <w:t>1操作</w:t>
      </w:r>
      <w:r>
        <w:rPr>
          <w:rFonts w:asciiTheme="minorEastAsia" w:hAnsiTheme="minorEastAsia" w:eastAsiaTheme="minorEastAsia"/>
          <w:kern w:val="0"/>
          <w:szCs w:val="21"/>
        </w:rPr>
        <w:t>，</w:t>
      </w:r>
      <w:r>
        <w:rPr>
          <w:rFonts w:hint="eastAsia" w:asciiTheme="minorEastAsia" w:hAnsiTheme="minorEastAsia" w:eastAsiaTheme="minorEastAsia"/>
          <w:kern w:val="0"/>
          <w:szCs w:val="21"/>
        </w:rPr>
        <w:t>在样品的同一个位置</w:t>
      </w:r>
      <w:r>
        <w:rPr>
          <w:rFonts w:asciiTheme="minorEastAsia" w:hAnsiTheme="minorEastAsia" w:eastAsiaTheme="minorEastAsia"/>
          <w:kern w:val="0"/>
          <w:szCs w:val="21"/>
        </w:rPr>
        <w:t>连续3次的测定数据满足表3要求时，取3次测定数据的平均值，按式（1）</w:t>
      </w:r>
      <w:r>
        <w:rPr>
          <w:rFonts w:hint="eastAsia" w:asciiTheme="minorEastAsia" w:hAnsiTheme="minorEastAsia" w:eastAsiaTheme="minorEastAsia"/>
          <w:kern w:val="0"/>
          <w:szCs w:val="21"/>
        </w:rPr>
        <w:t>计算</w:t>
      </w:r>
      <w:r>
        <w:rPr>
          <w:rFonts w:asciiTheme="minorEastAsia" w:hAnsiTheme="minorEastAsia" w:eastAsiaTheme="minorEastAsia"/>
          <w:kern w:val="0"/>
          <w:szCs w:val="21"/>
        </w:rPr>
        <w:t>被测元素相对灵敏度因子(RSF)</w:t>
      </w:r>
      <w:r>
        <w:rPr>
          <w:rFonts w:hint="eastAsia" w:asciiTheme="minorEastAsia" w:hAnsiTheme="minorEastAsia" w:eastAsiaTheme="minorEastAsia"/>
          <w:kern w:val="0"/>
          <w:szCs w:val="21"/>
        </w:rPr>
        <w:t>：</w:t>
      </w:r>
    </w:p>
    <w:p>
      <w:pPr>
        <w:spacing w:line="360" w:lineRule="auto"/>
        <w:jc w:val="center"/>
        <w:rPr>
          <w:rFonts w:ascii="宋体" w:hAnsi="宋体"/>
          <w:szCs w:val="21"/>
        </w:rPr>
      </w:pPr>
      <m:oMath>
        <m:sSub>
          <m:sSubPr>
            <m:ctrlPr>
              <w:rPr>
                <w:rFonts w:ascii="Cambria Math" w:hAnsi="Cambria Math"/>
              </w:rPr>
            </m:ctrlPr>
          </m:sSubPr>
          <m:e>
            <m:r>
              <m:rPr/>
              <w:rPr>
                <w:rFonts w:ascii="Cambria Math" w:hAnsi="Cambria Math"/>
              </w:rPr>
              <m:t>RSF</m:t>
            </m:r>
            <m:ctrlPr>
              <w:rPr>
                <w:rFonts w:ascii="Cambria Math" w:hAnsi="Cambria Math"/>
              </w:rPr>
            </m:ctrlPr>
          </m:e>
          <m:sub>
            <m:d>
              <m:dPr>
                <m:ctrlPr>
                  <w:ins w:id="3" w:author="作者">
                    <w:rPr>
                      <w:rFonts w:ascii="Cambria Math" w:hAnsi="Cambria Math"/>
                    </w:rPr>
                  </w:ins>
                </m:ctrlPr>
              </m:dPr>
              <m:e>
                <m:f>
                  <m:fPr>
                    <m:type m:val="lin"/>
                    <m:ctrlPr>
                      <w:ins w:id="4" w:author="作者">
                        <w:rPr>
                          <w:rFonts w:ascii="Cambria Math" w:hAnsi="Cambria Math"/>
                        </w:rPr>
                      </w:ins>
                    </m:ctrlPr>
                  </m:fPr>
                  <m:num>
                    <m:r>
                      <m:rPr>
                        <m:sty m:val="p"/>
                      </m:rPr>
                      <w:rPr>
                        <w:rFonts w:ascii="Cambria Math" w:hAnsi="Cambria Math"/>
                      </w:rPr>
                      <m:t>X</m:t>
                    </m:r>
                    <m:ctrlPr>
                      <w:ins w:id="5" w:author="作者">
                        <w:rPr>
                          <w:rFonts w:ascii="Cambria Math" w:hAnsi="Cambria Math"/>
                        </w:rPr>
                      </w:ins>
                    </m:ctrlPr>
                  </m:num>
                  <m:den>
                    <m:r>
                      <m:rPr>
                        <m:sty m:val="p"/>
                      </m:rPr>
                      <w:rPr>
                        <w:rFonts w:ascii="Cambria Math" w:hAnsi="Cambria Math"/>
                      </w:rPr>
                      <m:t>I</m:t>
                    </m:r>
                    <m:r>
                      <m:rPr>
                        <m:sty m:val="p"/>
                      </m:rPr>
                      <w:rPr>
                        <w:rFonts w:hint="eastAsia" w:ascii="Cambria Math" w:hAnsi="Cambria Math"/>
                      </w:rPr>
                      <m:t>n</m:t>
                    </m:r>
                    <m:ctrlPr>
                      <w:ins w:id="6" w:author="作者">
                        <w:rPr>
                          <w:rFonts w:ascii="Cambria Math" w:hAnsi="Cambria Math"/>
                        </w:rPr>
                      </w:ins>
                    </m:ctrlPr>
                  </m:den>
                </m:f>
                <m:ctrlPr>
                  <w:ins w:id="7" w:author="作者">
                    <w:rPr>
                      <w:rFonts w:ascii="Cambria Math" w:hAnsi="Cambria Math"/>
                    </w:rPr>
                  </w:ins>
                </m:ctrlPr>
              </m:e>
            </m:d>
            <m:ctrlPr>
              <w:rPr>
                <w:rFonts w:ascii="Cambria Math" w:hAnsi="Cambria Math"/>
              </w:rPr>
            </m:ctrlPr>
          </m:sub>
        </m:sSub>
        <m:r>
          <m:rPr>
            <m:sty m:val="p"/>
          </m:rPr>
          <w:rPr>
            <w:rFonts w:ascii="Cambria Math" w:hAnsi="Cambria Math"/>
          </w:rPr>
          <m:t>=</m:t>
        </m:r>
        <m:f>
          <m:fPr>
            <m:ctrlPr>
              <w:ins w:id="8" w:author="作者">
                <w:rPr>
                  <w:rFonts w:ascii="Cambria Math" w:hAnsi="Cambria Math"/>
                </w:rPr>
              </w:ins>
            </m:ctrlPr>
          </m:fPr>
          <m:num>
            <m:sSub>
              <m:sSubPr>
                <m:ctrlPr>
                  <w:rPr>
                    <w:rFonts w:ascii="Cambria Math" w:hAnsi="Cambria Math"/>
                    <w:i/>
                  </w:rPr>
                </m:ctrlPr>
              </m:sSubPr>
              <m:e>
                <m:r>
                  <m:rPr>
                    <m:nor/>
                  </m:rPr>
                  <w:rPr>
                    <w:rFonts w:hint="eastAsia" w:ascii="Cambria Math" w:hAnsi="Cambria Math"/>
                    <w:i/>
                  </w:rPr>
                  <m:t>w</m:t>
                </m:r>
                <m:ctrlPr>
                  <w:rPr>
                    <w:rFonts w:ascii="Cambria Math" w:hAnsi="Cambria Math"/>
                    <w:i/>
                  </w:rPr>
                </m:ctrlPr>
              </m:e>
              <m:sub>
                <m:r>
                  <m:rPr>
                    <m:nor/>
                    <m:sty m:val="p"/>
                  </m:rPr>
                  <w:rPr>
                    <w:rFonts w:hint="eastAsia" w:ascii="Cambria Math" w:hAnsi="Cambria Math"/>
                  </w:rPr>
                  <m:t>（X）</m:t>
                </m:r>
                <m:ctrlPr>
                  <w:rPr>
                    <w:rFonts w:ascii="Cambria Math" w:hAnsi="Cambria Math"/>
                    <w:i/>
                  </w:rPr>
                </m:ctrlPr>
              </m:sub>
            </m:sSub>
            <m:r>
              <m:rPr>
                <m:nor/>
                <m:sty m:val="p"/>
              </m:rPr>
              <w:rPr>
                <w:rFonts w:ascii="Cambria Math" w:hAnsi="Cambria Math"/>
              </w:rPr>
              <m:t>×</m:t>
            </m:r>
            <m:sSub>
              <m:sSubPr>
                <m:ctrlPr>
                  <w:rPr>
                    <w:rFonts w:ascii="Cambria Math" w:hAnsi="Cambria Math"/>
                    <w:i/>
                  </w:rPr>
                </m:ctrlPr>
              </m:sSubPr>
              <m:e>
                <m:r>
                  <m:rPr>
                    <m:nor/>
                  </m:rPr>
                  <w:rPr>
                    <w:rFonts w:hint="eastAsia" w:ascii="Cambria Math" w:hAnsi="Cambria Math"/>
                    <w:i/>
                  </w:rPr>
                  <m:t>A</m:t>
                </m:r>
                <m:ctrlPr>
                  <w:rPr>
                    <w:rFonts w:ascii="Cambria Math" w:hAnsi="Cambria Math"/>
                    <w:i/>
                  </w:rPr>
                </m:ctrlPr>
              </m:e>
              <m:sub>
                <m:r>
                  <m:rPr>
                    <m:nor/>
                  </m:rPr>
                  <w:rPr>
                    <w:rFonts w:hint="eastAsia" w:ascii="Cambria Math" w:hAnsi="Cambria Math"/>
                    <w:i/>
                  </w:rPr>
                  <m:t>（</m:t>
                </m:r>
                <m:sSub>
                  <m:sSubPr>
                    <m:ctrlPr>
                      <w:ins w:id="9" w:author="作者">
                        <w:rPr>
                          <w:rFonts w:ascii="Cambria Math" w:hAnsi="Cambria Math"/>
                          <w:i/>
                        </w:rPr>
                      </w:ins>
                    </m:ctrlPr>
                  </m:sSubPr>
                  <m:e>
                    <m:r>
                      <m:rPr/>
                      <w:rPr>
                        <w:rFonts w:ascii="Cambria Math" w:hAnsi="Cambria Math"/>
                      </w:rPr>
                      <m:t>X</m:t>
                    </m:r>
                    <m:ctrlPr>
                      <w:ins w:id="10" w:author="作者">
                        <w:rPr>
                          <w:rFonts w:ascii="Cambria Math" w:hAnsi="Cambria Math"/>
                          <w:i/>
                        </w:rPr>
                      </w:ins>
                    </m:ctrlPr>
                  </m:e>
                  <m:sub>
                    <m:r>
                      <m:rPr/>
                      <w:rPr>
                        <w:rFonts w:ascii="Cambria Math" w:hAnsi="Cambria Math"/>
                      </w:rPr>
                      <m:t>i</m:t>
                    </m:r>
                    <m:ctrlPr>
                      <w:ins w:id="11" w:author="作者">
                        <w:rPr>
                          <w:rFonts w:ascii="Cambria Math" w:hAnsi="Cambria Math"/>
                          <w:i/>
                        </w:rPr>
                      </w:ins>
                    </m:ctrlPr>
                  </m:sub>
                </m:sSub>
                <m:r>
                  <m:rPr>
                    <m:nor/>
                  </m:rPr>
                  <w:rPr>
                    <w:rFonts w:hint="eastAsia" w:ascii="Cambria Math" w:hAnsi="Cambria Math"/>
                    <w:i/>
                  </w:rPr>
                  <m:t>）</m:t>
                </m:r>
                <m:ctrlPr>
                  <w:rPr>
                    <w:rFonts w:ascii="Cambria Math" w:hAnsi="Cambria Math"/>
                    <w:i/>
                  </w:rPr>
                </m:ctrlPr>
              </m:sub>
            </m:sSub>
            <m:r>
              <m:rPr>
                <m:nor/>
                <m:sty m:val="p"/>
              </m:rPr>
              <w:rPr>
                <w:rFonts w:ascii="Cambria Math" w:hAnsi="Cambria Math"/>
              </w:rPr>
              <m:t>×</m:t>
            </m:r>
            <m:sSub>
              <m:sSubPr>
                <m:ctrlPr>
                  <w:rPr>
                    <w:rFonts w:ascii="Cambria Math" w:hAnsi="Cambria Math"/>
                    <w:i/>
                  </w:rPr>
                </m:ctrlPr>
              </m:sSubPr>
              <m:e>
                <m:r>
                  <m:rPr/>
                  <w:rPr>
                    <w:rFonts w:ascii="Cambria Math" w:hAnsi="Cambria Math"/>
                  </w:rPr>
                  <m:t>I</m:t>
                </m:r>
                <m:ctrlPr>
                  <w:rPr>
                    <w:rFonts w:ascii="Cambria Math" w:hAnsi="Cambria Math"/>
                    <w:i/>
                  </w:rPr>
                </m:ctrlPr>
              </m:e>
              <m:sub>
                <m:r>
                  <m:rPr>
                    <m:sty m:val="p"/>
                  </m:rPr>
                  <w:rPr>
                    <w:rFonts w:ascii="Cambria Math" w:hAnsi="Cambria Math"/>
                  </w:rPr>
                  <m:t>(</m:t>
                </m:r>
                <m:sSub>
                  <m:sSubPr>
                    <m:ctrlPr>
                      <w:ins w:id="12" w:author="作者">
                        <w:rPr>
                          <w:rFonts w:ascii="Cambria Math" w:hAnsi="Cambria Math"/>
                        </w:rPr>
                      </w:ins>
                    </m:ctrlPr>
                  </m:sSubPr>
                  <m:e>
                    <m:r>
                      <m:rPr>
                        <m:sty m:val="p"/>
                      </m:rPr>
                      <w:rPr>
                        <w:rFonts w:ascii="Cambria Math" w:hAnsi="Cambria Math"/>
                      </w:rPr>
                      <m:t>I</m:t>
                    </m:r>
                    <m:r>
                      <m:rPr>
                        <m:sty m:val="p"/>
                      </m:rPr>
                      <w:rPr>
                        <w:rFonts w:hint="eastAsia" w:ascii="Cambria Math" w:hAnsi="Cambria Math"/>
                      </w:rPr>
                      <m:t>n</m:t>
                    </m:r>
                    <m:ctrlPr>
                      <w:ins w:id="13" w:author="作者">
                        <w:rPr>
                          <w:rFonts w:ascii="Cambria Math" w:hAnsi="Cambria Math"/>
                        </w:rPr>
                      </w:ins>
                    </m:ctrlPr>
                  </m:e>
                  <m:sub>
                    <m:r>
                      <m:rPr>
                        <m:sty m:val="p"/>
                      </m:rPr>
                      <w:rPr>
                        <w:rFonts w:ascii="Cambria Math" w:hAnsi="Cambria Math"/>
                      </w:rPr>
                      <m:t>j</m:t>
                    </m:r>
                    <m:ctrlPr>
                      <w:ins w:id="14" w:author="作者">
                        <w:rPr>
                          <w:rFonts w:ascii="Cambria Math" w:hAnsi="Cambria Math"/>
                        </w:rPr>
                      </w:ins>
                    </m:ctrlPr>
                  </m:sub>
                </m:sSub>
                <m:r>
                  <m:rPr>
                    <m:sty m:val="p"/>
                  </m:rPr>
                  <w:rPr>
                    <w:rFonts w:ascii="Cambria Math" w:hAnsi="Cambria Math"/>
                  </w:rPr>
                  <m:t>)</m:t>
                </m:r>
                <m:ctrlPr>
                  <w:rPr>
                    <w:rFonts w:ascii="Cambria Math" w:hAnsi="Cambria Math"/>
                    <w:i/>
                  </w:rPr>
                </m:ctrlPr>
              </m:sub>
            </m:sSub>
            <m:ctrlPr>
              <w:ins w:id="15" w:author="作者">
                <w:rPr>
                  <w:rFonts w:ascii="Cambria Math" w:hAnsi="Cambria Math"/>
                </w:rPr>
              </w:ins>
            </m:ctrlPr>
          </m:num>
          <m:den>
            <m:sSub>
              <m:sSubPr>
                <m:ctrlPr>
                  <w:rPr>
                    <w:rFonts w:ascii="Cambria Math" w:hAnsi="Cambria Math"/>
                    <w:i/>
                  </w:rPr>
                </m:ctrlPr>
              </m:sSubPr>
              <m:e>
                <m:r>
                  <m:rPr>
                    <m:nor/>
                  </m:rPr>
                  <w:rPr>
                    <w:rFonts w:hint="eastAsia" w:ascii="Cambria Math" w:hAnsi="Cambria Math"/>
                    <w:i/>
                  </w:rPr>
                  <m:t>w</m:t>
                </m:r>
                <m:ctrlPr>
                  <w:rPr>
                    <w:rFonts w:ascii="Cambria Math" w:hAnsi="Cambria Math"/>
                    <w:i/>
                  </w:rPr>
                </m:ctrlPr>
              </m:e>
              <m:sub>
                <m:r>
                  <m:rPr>
                    <m:nor/>
                    <m:sty m:val="p"/>
                  </m:rPr>
                  <w:rPr>
                    <w:rFonts w:hint="eastAsia" w:ascii="Cambria Math" w:hAnsi="Cambria Math"/>
                  </w:rPr>
                  <m:t>（</m:t>
                </m:r>
                <m:r>
                  <m:rPr>
                    <m:nor/>
                    <m:sty m:val="p"/>
                  </m:rPr>
                  <w:rPr>
                    <w:rFonts w:ascii="Cambria Math" w:hAnsi="Cambria Math"/>
                  </w:rPr>
                  <m:t>I</m:t>
                </m:r>
                <m:r>
                  <m:rPr>
                    <m:nor/>
                    <m:sty m:val="p"/>
                  </m:rPr>
                  <w:rPr>
                    <w:rFonts w:hint="eastAsia" w:ascii="Cambria Math" w:hAnsi="Cambria Math"/>
                  </w:rPr>
                  <m:t>n）</m:t>
                </m:r>
                <m:ctrlPr>
                  <w:rPr>
                    <w:rFonts w:ascii="Cambria Math" w:hAnsi="Cambria Math"/>
                    <w:i/>
                  </w:rPr>
                </m:ctrlPr>
              </m:sub>
            </m:sSub>
            <m:r>
              <m:rPr>
                <m:nor/>
                <m:sty m:val="p"/>
              </m:rPr>
              <w:rPr>
                <w:rFonts w:ascii="Cambria Math" w:hAnsi="Cambria Math"/>
              </w:rPr>
              <m:t>×</m:t>
            </m:r>
            <m:sSub>
              <m:sSubPr>
                <m:ctrlPr>
                  <w:rPr>
                    <w:rFonts w:ascii="Cambria Math" w:hAnsi="Cambria Math"/>
                  </w:rPr>
                </m:ctrlPr>
              </m:sSubPr>
              <m:e>
                <m:r>
                  <m:rPr>
                    <m:nor/>
                  </m:rPr>
                  <w:rPr>
                    <w:rFonts w:hint="eastAsia" w:ascii="Cambria Math" w:hAnsi="Cambria Math"/>
                    <w:i/>
                  </w:rPr>
                  <m:t>A</m:t>
                </m:r>
                <m:ctrlPr>
                  <w:rPr>
                    <w:rFonts w:ascii="Cambria Math" w:hAnsi="Cambria Math"/>
                  </w:rPr>
                </m:ctrlPr>
              </m:e>
              <m:sub>
                <m:r>
                  <m:rPr>
                    <m:nor/>
                    <m:sty m:val="p"/>
                  </m:rPr>
                  <w:rPr>
                    <w:rFonts w:hint="eastAsia" w:ascii="Cambria Math" w:hAnsi="Cambria Math"/>
                  </w:rPr>
                  <m:t>(</m:t>
                </m:r>
                <m:r>
                  <m:rPr>
                    <m:sty m:val="p"/>
                  </m:rPr>
                  <w:rPr>
                    <w:rFonts w:ascii="Cambria Math" w:hAnsi="Cambria Math"/>
                  </w:rPr>
                  <m:t>I</m:t>
                </m:r>
                <m:r>
                  <m:rPr>
                    <m:sty m:val="p"/>
                  </m:rPr>
                  <w:rPr>
                    <w:rFonts w:hint="eastAsia" w:ascii="Cambria Math" w:hAnsi="Cambria Math"/>
                  </w:rPr>
                  <m:t>n)</m:t>
                </m:r>
                <m:ctrlPr>
                  <w:rPr>
                    <w:rFonts w:ascii="Cambria Math" w:hAnsi="Cambria Math"/>
                  </w:rPr>
                </m:ctrlPr>
              </m:sub>
            </m:sSub>
            <m:r>
              <m:rPr>
                <m:nor/>
                <m:sty m:val="p"/>
              </m:rPr>
              <w:rPr>
                <w:rFonts w:ascii="Cambria Math" w:hAnsi="Cambria Math"/>
              </w:rPr>
              <m:t>×</m:t>
            </m:r>
            <m:sSub>
              <m:sSubPr>
                <m:ctrlPr>
                  <w:rPr>
                    <w:rFonts w:ascii="Cambria Math" w:hAnsi="Cambria Math"/>
                    <w:i/>
                  </w:rPr>
                </m:ctrlPr>
              </m:sSubPr>
              <m:e>
                <m:r>
                  <m:rPr>
                    <m:nor/>
                  </m:rPr>
                  <w:rPr>
                    <w:rFonts w:hint="eastAsia" w:ascii="Cambria Math" w:hAnsi="Cambria Math"/>
                    <w:i/>
                  </w:rPr>
                  <m:t>I</m:t>
                </m:r>
                <m:ctrlPr>
                  <w:rPr>
                    <w:rFonts w:ascii="Cambria Math" w:hAnsi="Cambria Math"/>
                    <w:i/>
                  </w:rPr>
                </m:ctrlPr>
              </m:e>
              <m:sub>
                <m:r>
                  <m:rPr>
                    <m:nor/>
                    <m:sty m:val="p"/>
                  </m:rPr>
                  <w:rPr>
                    <w:rFonts w:hint="eastAsia" w:ascii="Cambria Math" w:hAnsi="Cambria Math"/>
                  </w:rPr>
                  <m:t>(</m:t>
                </m:r>
                <m:sSub>
                  <m:sSubPr>
                    <m:ctrlPr>
                      <w:ins w:id="16" w:author="作者">
                        <w:rPr>
                          <w:rFonts w:ascii="Cambria Math" w:hAnsi="Cambria Math"/>
                        </w:rPr>
                      </w:ins>
                    </m:ctrlPr>
                  </m:sSubPr>
                  <m:e>
                    <m:r>
                      <m:rPr>
                        <m:sty m:val="p"/>
                      </m:rPr>
                      <w:rPr>
                        <w:rFonts w:ascii="Cambria Math" w:hAnsi="Cambria Math"/>
                      </w:rPr>
                      <m:t>X</m:t>
                    </m:r>
                    <m:ctrlPr>
                      <w:ins w:id="17" w:author="作者">
                        <w:rPr>
                          <w:rFonts w:ascii="Cambria Math" w:hAnsi="Cambria Math"/>
                        </w:rPr>
                      </w:ins>
                    </m:ctrlPr>
                  </m:e>
                  <m:sub>
                    <m:r>
                      <m:rPr>
                        <m:sty m:val="p"/>
                      </m:rPr>
                      <w:rPr>
                        <w:rFonts w:ascii="Cambria Math" w:hAnsi="Cambria Math"/>
                      </w:rPr>
                      <m:t>i</m:t>
                    </m:r>
                    <m:ctrlPr>
                      <w:ins w:id="18" w:author="作者">
                        <w:rPr>
                          <w:rFonts w:ascii="Cambria Math" w:hAnsi="Cambria Math"/>
                        </w:rPr>
                      </w:ins>
                    </m:ctrlPr>
                  </m:sub>
                </m:sSub>
                <m:r>
                  <m:rPr>
                    <m:nor/>
                    <m:sty m:val="p"/>
                  </m:rPr>
                  <w:rPr>
                    <w:rFonts w:hint="eastAsia" w:ascii="Cambria Math" w:hAnsi="Cambria Math"/>
                  </w:rPr>
                  <m:t>)</m:t>
                </m:r>
                <m:ctrlPr>
                  <w:rPr>
                    <w:rFonts w:ascii="Cambria Math" w:hAnsi="Cambria Math"/>
                    <w:i/>
                  </w:rPr>
                </m:ctrlPr>
              </m:sub>
            </m:sSub>
            <m:ctrlPr>
              <w:ins w:id="19" w:author="作者">
                <w:rPr>
                  <w:rFonts w:ascii="Cambria Math" w:hAnsi="Cambria Math"/>
                </w:rPr>
              </w:ins>
            </m:ctrlPr>
          </m:den>
        </m:f>
      </m:oMath>
      <w:r>
        <w:rPr>
          <w:rFonts w:ascii="宋体" w:hAnsi="宋体"/>
          <w:szCs w:val="21"/>
        </w:rPr>
        <w:t>…………………</w:t>
      </w:r>
      <w:r>
        <w:rPr>
          <w:rFonts w:hint="eastAsia" w:ascii="宋体" w:hAnsi="宋体"/>
          <w:szCs w:val="21"/>
        </w:rPr>
        <w:t xml:space="preserve"> (1)</w:t>
      </w:r>
    </w:p>
    <w:p>
      <w:pPr>
        <w:pStyle w:val="119"/>
      </w:pPr>
      <w:r>
        <w:rPr>
          <w:rFonts w:hint="eastAsia"/>
        </w:rPr>
        <w:t>式中：</w:t>
      </w:r>
    </w:p>
    <w:p>
      <w:pPr>
        <w:pStyle w:val="119"/>
      </w:pPr>
      <w:r>
        <w:rPr>
          <w:iCs/>
        </w:rPr>
        <w:t>RSF</w:t>
      </w:r>
      <w:r>
        <w:rPr>
          <w:iCs/>
          <w:vertAlign w:val="subscript"/>
        </w:rPr>
        <w:t>(X/In)</w:t>
      </w:r>
      <w:r>
        <w:t>——待测元素的相对灵敏度因子；</w:t>
      </w:r>
    </w:p>
    <w:p>
      <w:pPr>
        <w:pStyle w:val="119"/>
      </w:pPr>
      <w:r>
        <w:rPr>
          <w:rFonts w:hint="eastAsia"/>
          <w:iCs/>
        </w:rPr>
        <w:t>w</w:t>
      </w:r>
      <w:r>
        <w:rPr>
          <w:iCs/>
          <w:sz w:val="18"/>
          <w:szCs w:val="18"/>
          <w:vertAlign w:val="subscript"/>
        </w:rPr>
        <w:t>(X</w:t>
      </w:r>
      <w:r>
        <w:rPr>
          <w:sz w:val="18"/>
          <w:szCs w:val="18"/>
          <w:vertAlign w:val="subscript"/>
        </w:rPr>
        <w:t>)</w:t>
      </w:r>
      <w:r>
        <w:t>——元素</w:t>
      </w:r>
      <w:r>
        <w:rPr>
          <w:rFonts w:hint="eastAsia"/>
        </w:rPr>
        <w:t>X</w:t>
      </w:r>
      <w:r>
        <w:t>的质量分数，单位为微克每克（µg/g）；</w:t>
      </w:r>
    </w:p>
    <w:p>
      <w:pPr>
        <w:pStyle w:val="119"/>
      </w:pPr>
      <w:r>
        <w:t>A</w:t>
      </w:r>
      <w:r>
        <w:rPr>
          <w:vertAlign w:val="subscript"/>
        </w:rPr>
        <w:t xml:space="preserve"> X</w:t>
      </w:r>
      <w:r>
        <w:rPr>
          <w:rFonts w:hint="eastAsia"/>
          <w:vertAlign w:val="subscript"/>
        </w:rPr>
        <w:t>i</w:t>
      </w:r>
      <w:r>
        <w:t>——元素</w:t>
      </w:r>
      <w:r>
        <w:rPr>
          <w:rFonts w:hint="eastAsia"/>
        </w:rPr>
        <w:t>X</w:t>
      </w:r>
      <w:r>
        <w:t>的</w:t>
      </w:r>
      <w:r>
        <w:rPr>
          <w:rFonts w:hint="eastAsia"/>
          <w:i/>
          <w:iCs/>
        </w:rPr>
        <w:t>i</w:t>
      </w:r>
      <w:r>
        <w:t>同位素丰度；</w:t>
      </w:r>
    </w:p>
    <w:p>
      <w:pPr>
        <w:pStyle w:val="119"/>
        <w:rPr>
          <w:vertAlign w:val="subscript"/>
        </w:rPr>
      </w:pPr>
      <w:r>
        <w:t>I</w:t>
      </w:r>
      <w:r>
        <w:rPr>
          <w:vertAlign w:val="subscript"/>
        </w:rPr>
        <w:t>In</w:t>
      </w:r>
      <w:r>
        <w:rPr>
          <w:rFonts w:hint="eastAsia"/>
          <w:vertAlign w:val="subscript"/>
        </w:rPr>
        <w:t>j</w:t>
      </w:r>
      <w:r>
        <w:t>——元素In的</w:t>
      </w:r>
      <w:r>
        <w:rPr>
          <w:rFonts w:hint="eastAsia"/>
          <w:i/>
          <w:iCs/>
        </w:rPr>
        <w:t>j</w:t>
      </w:r>
      <w:r>
        <w:t>同位素谱峰强度，以每秒计数（cps）表示；</w:t>
      </w:r>
    </w:p>
    <w:p>
      <w:pPr>
        <w:pStyle w:val="119"/>
      </w:pPr>
      <w:r>
        <w:rPr>
          <w:rFonts w:hint="eastAsia"/>
        </w:rPr>
        <w:t>w</w:t>
      </w:r>
      <w:r>
        <w:rPr>
          <w:rFonts w:hint="eastAsia"/>
          <w:vertAlign w:val="subscript"/>
        </w:rPr>
        <w:t>（</w:t>
      </w:r>
      <w:r>
        <w:rPr>
          <w:vertAlign w:val="subscript"/>
        </w:rPr>
        <w:t>In</w:t>
      </w:r>
      <w:r>
        <w:rPr>
          <w:rFonts w:hint="eastAsia"/>
          <w:vertAlign w:val="subscript"/>
        </w:rPr>
        <w:t>）</w:t>
      </w:r>
      <w:r>
        <w:t>——</w:t>
      </w:r>
      <w:r>
        <w:rPr>
          <w:rFonts w:hint="eastAsia"/>
        </w:rPr>
        <w:t xml:space="preserve"> 基体元素</w:t>
      </w:r>
      <w:r>
        <w:t>In</w:t>
      </w:r>
      <w:r>
        <w:rPr>
          <w:rFonts w:hint="eastAsia"/>
        </w:rPr>
        <w:t>的质量分数定义为1.00×10</w:t>
      </w:r>
      <w:r>
        <w:rPr>
          <w:rFonts w:hint="eastAsia"/>
          <w:vertAlign w:val="superscript"/>
        </w:rPr>
        <w:t>6</w:t>
      </w:r>
      <w:r>
        <w:rPr>
          <w:rFonts w:hint="eastAsia"/>
        </w:rPr>
        <w:t>，单位为微克每克（</w:t>
      </w:r>
      <w:r>
        <w:t>μg</w:t>
      </w:r>
      <w:r>
        <w:rPr>
          <w:rFonts w:hint="eastAsia"/>
        </w:rPr>
        <w:t>/g）；</w:t>
      </w:r>
    </w:p>
    <w:p>
      <w:pPr>
        <w:pStyle w:val="119"/>
      </w:pPr>
      <w:r>
        <w:t>A</w:t>
      </w:r>
      <w:r>
        <w:rPr>
          <w:vertAlign w:val="subscript"/>
        </w:rPr>
        <w:t>Inj</w:t>
      </w:r>
      <w:r>
        <w:t>——In元素的</w:t>
      </w:r>
      <w:r>
        <w:rPr>
          <w:rFonts w:hint="eastAsia"/>
          <w:i/>
          <w:iCs/>
        </w:rPr>
        <w:t>j</w:t>
      </w:r>
      <w:r>
        <w:t>同位素丰度；</w:t>
      </w:r>
    </w:p>
    <w:p>
      <w:pPr>
        <w:pStyle w:val="119"/>
      </w:pPr>
      <w:r>
        <w:t xml:space="preserve">I </w:t>
      </w:r>
      <w:r>
        <w:rPr>
          <w:vertAlign w:val="subscript"/>
        </w:rPr>
        <w:t>Xi</w:t>
      </w:r>
      <w:r>
        <w:t>——待测元素的同位素谱峰强度，以每秒计数（cps）表示；</w:t>
      </w:r>
    </w:p>
    <w:p>
      <w:pPr>
        <w:spacing w:line="360" w:lineRule="auto"/>
        <w:ind w:firstLine="360" w:firstLineChars="200"/>
        <w:jc w:val="center"/>
        <w:rPr>
          <w:rFonts w:eastAsia="黑体"/>
          <w:sz w:val="18"/>
          <w:szCs w:val="18"/>
        </w:rPr>
      </w:pPr>
      <w:r>
        <w:rPr>
          <w:rFonts w:eastAsia="黑体"/>
          <w:sz w:val="18"/>
          <w:szCs w:val="18"/>
        </w:rPr>
        <w:t>表3</w:t>
      </w:r>
      <w:r>
        <w:rPr>
          <w:rFonts w:hint="eastAsia" w:eastAsia="黑体"/>
          <w:sz w:val="18"/>
          <w:szCs w:val="18"/>
        </w:rPr>
        <w:t>相对灵敏度因子测定、预溅射、等离子体稳定性试验所需的相对标准偏差</w:t>
      </w:r>
    </w:p>
    <w:tbl>
      <w:tblPr>
        <w:tblStyle w:val="35"/>
        <w:tblW w:w="4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827"/>
        <w:gridCol w:w="382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0" w:hRule="exact"/>
          <w:jc w:val="center"/>
        </w:trPr>
        <w:tc>
          <w:tcPr>
            <w:tcW w:w="2500" w:type="pct"/>
            <w:vAlign w:val="center"/>
          </w:tcPr>
          <w:p>
            <w:pPr>
              <w:jc w:val="center"/>
              <w:rPr>
                <w:rFonts w:ascii="宋体" w:hAnsi="宋体"/>
                <w:sz w:val="18"/>
                <w:szCs w:val="18"/>
              </w:rPr>
            </w:pPr>
            <w:r>
              <w:rPr>
                <w:rFonts w:ascii="宋体" w:hAnsi="宋体"/>
                <w:sz w:val="18"/>
                <w:szCs w:val="18"/>
              </w:rPr>
              <w:t>分析含量范围</w:t>
            </w:r>
          </w:p>
          <w:p>
            <w:pPr>
              <w:jc w:val="center"/>
              <w:rPr>
                <w:rFonts w:ascii="宋体" w:hAnsi="宋体"/>
                <w:sz w:val="18"/>
                <w:szCs w:val="18"/>
              </w:rPr>
            </w:pPr>
            <w:r>
              <w:rPr>
                <w:rFonts w:hint="eastAsia"/>
                <w:iCs/>
                <w:sz w:val="18"/>
                <w:szCs w:val="18"/>
              </w:rPr>
              <w:t>/</w:t>
            </w:r>
            <w:r>
              <w:rPr>
                <w:iCs/>
                <w:sz w:val="18"/>
                <w:szCs w:val="18"/>
              </w:rPr>
              <w:t>μg</w:t>
            </w:r>
            <w:r>
              <w:rPr>
                <w:rFonts w:hint="eastAsia"/>
                <w:iCs/>
                <w:sz w:val="18"/>
                <w:szCs w:val="18"/>
              </w:rPr>
              <w:t>/g</w:t>
            </w:r>
          </w:p>
        </w:tc>
        <w:tc>
          <w:tcPr>
            <w:tcW w:w="2500" w:type="pct"/>
            <w:vAlign w:val="center"/>
          </w:tcPr>
          <w:p>
            <w:pPr>
              <w:jc w:val="center"/>
              <w:rPr>
                <w:sz w:val="18"/>
                <w:szCs w:val="18"/>
              </w:rPr>
            </w:pPr>
            <w:r>
              <w:rPr>
                <w:rFonts w:hint="eastAsia"/>
                <w:sz w:val="18"/>
                <w:szCs w:val="18"/>
              </w:rPr>
              <w:t>相对标准偏差</w:t>
            </w:r>
          </w:p>
          <w:p>
            <w:pPr>
              <w:jc w:val="center"/>
              <w:rPr>
                <w:sz w:val="18"/>
                <w:szCs w:val="18"/>
              </w:rPr>
            </w:pPr>
            <w:r>
              <w:rPr>
                <w:rFonts w:hint="eastAsia"/>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sz w:val="18"/>
                <w:szCs w:val="18"/>
              </w:rPr>
            </w:pPr>
            <w:r>
              <w:rPr>
                <w:sz w:val="18"/>
                <w:szCs w:val="18"/>
              </w:rPr>
              <w:t>0.00</w:t>
            </w:r>
            <w:r>
              <w:rPr>
                <w:rFonts w:hint="eastAsia"/>
                <w:sz w:val="18"/>
                <w:szCs w:val="18"/>
              </w:rPr>
              <w:t>1</w:t>
            </w:r>
            <w:r>
              <w:rPr>
                <w:sz w:val="18"/>
                <w:szCs w:val="18"/>
              </w:rPr>
              <w:t>~0.0</w:t>
            </w:r>
            <w:r>
              <w:rPr>
                <w:rFonts w:hint="eastAsia"/>
                <w:sz w:val="18"/>
                <w:szCs w:val="18"/>
              </w:rPr>
              <w:t>1</w:t>
            </w:r>
          </w:p>
        </w:tc>
        <w:tc>
          <w:tcPr>
            <w:tcW w:w="2500" w:type="pct"/>
            <w:vAlign w:val="center"/>
          </w:tcPr>
          <w:p>
            <w:pPr>
              <w:jc w:val="center"/>
              <w:rPr>
                <w:sz w:val="18"/>
                <w:szCs w:val="18"/>
              </w:rPr>
            </w:pPr>
            <w:r>
              <w:rPr>
                <w:rFonts w:hint="eastAsia"/>
                <w:sz w:val="18"/>
                <w:szCs w:val="18"/>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sz w:val="18"/>
                <w:szCs w:val="18"/>
              </w:rPr>
            </w:pPr>
            <w:r>
              <w:rPr>
                <w:rFonts w:hint="eastAsia"/>
                <w:sz w:val="18"/>
                <w:szCs w:val="18"/>
              </w:rPr>
              <w:t>0.01</w:t>
            </w:r>
            <w:r>
              <w:rPr>
                <w:sz w:val="18"/>
                <w:szCs w:val="18"/>
              </w:rPr>
              <w:t>~</w:t>
            </w:r>
            <w:r>
              <w:rPr>
                <w:rFonts w:hint="eastAsia"/>
                <w:sz w:val="18"/>
                <w:szCs w:val="18"/>
              </w:rPr>
              <w:t>0.05</w:t>
            </w:r>
          </w:p>
        </w:tc>
        <w:tc>
          <w:tcPr>
            <w:tcW w:w="2500" w:type="pct"/>
            <w:vAlign w:val="center"/>
          </w:tcPr>
          <w:p>
            <w:pPr>
              <w:jc w:val="center"/>
              <w:rPr>
                <w:sz w:val="18"/>
                <w:szCs w:val="18"/>
              </w:rPr>
            </w:pPr>
            <w:r>
              <w:rPr>
                <w:rFonts w:hint="eastAsia"/>
                <w:sz w:val="18"/>
                <w:szCs w:val="18"/>
              </w:rPr>
              <w:t>5</w:t>
            </w:r>
            <w:r>
              <w:rPr>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sz w:val="18"/>
                <w:szCs w:val="18"/>
              </w:rPr>
            </w:pPr>
            <w:r>
              <w:rPr>
                <w:sz w:val="18"/>
                <w:szCs w:val="18"/>
              </w:rPr>
              <w:t>0.05~0.5</w:t>
            </w:r>
          </w:p>
        </w:tc>
        <w:tc>
          <w:tcPr>
            <w:tcW w:w="2500" w:type="pct"/>
            <w:vAlign w:val="center"/>
          </w:tcPr>
          <w:p>
            <w:pPr>
              <w:jc w:val="center"/>
              <w:rPr>
                <w:sz w:val="18"/>
                <w:szCs w:val="18"/>
              </w:rPr>
            </w:pPr>
            <w:r>
              <w:rPr>
                <w:rFonts w:hint="eastAsia"/>
                <w:sz w:val="18"/>
                <w:szCs w:val="18"/>
              </w:rPr>
              <w:t>3</w:t>
            </w:r>
            <w:r>
              <w:rPr>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sz w:val="18"/>
                <w:szCs w:val="18"/>
              </w:rPr>
            </w:pPr>
            <w:r>
              <w:rPr>
                <w:sz w:val="18"/>
                <w:szCs w:val="18"/>
              </w:rPr>
              <w:t>0.5~5</w:t>
            </w:r>
          </w:p>
        </w:tc>
        <w:tc>
          <w:tcPr>
            <w:tcW w:w="2500" w:type="pct"/>
            <w:vAlign w:val="center"/>
          </w:tcPr>
          <w:p>
            <w:pPr>
              <w:jc w:val="center"/>
              <w:rPr>
                <w:sz w:val="18"/>
                <w:szCs w:val="18"/>
              </w:rPr>
            </w:pPr>
            <w:r>
              <w:rPr>
                <w:rFonts w:hint="eastAsia"/>
                <w:sz w:val="18"/>
                <w:szCs w:val="18"/>
              </w:rPr>
              <w:t>2</w:t>
            </w:r>
            <w:r>
              <w:rPr>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sz w:val="18"/>
                <w:szCs w:val="18"/>
              </w:rPr>
            </w:pPr>
            <w:r>
              <w:rPr>
                <w:sz w:val="18"/>
                <w:szCs w:val="18"/>
              </w:rPr>
              <w:t>5~</w:t>
            </w:r>
            <w:r>
              <w:rPr>
                <w:rFonts w:hint="eastAsia"/>
                <w:sz w:val="18"/>
                <w:szCs w:val="18"/>
              </w:rPr>
              <w:t>50</w:t>
            </w:r>
          </w:p>
        </w:tc>
        <w:tc>
          <w:tcPr>
            <w:tcW w:w="2500" w:type="pct"/>
            <w:vAlign w:val="center"/>
          </w:tcPr>
          <w:p>
            <w:pPr>
              <w:jc w:val="center"/>
              <w:rPr>
                <w:sz w:val="18"/>
                <w:szCs w:val="18"/>
              </w:rPr>
            </w:pPr>
            <w:r>
              <w:rPr>
                <w:sz w:val="18"/>
                <w:szCs w:val="18"/>
              </w:rPr>
              <w:t>10</w:t>
            </w:r>
          </w:p>
        </w:tc>
      </w:tr>
    </w:tbl>
    <w:p>
      <w:pPr>
        <w:spacing w:line="360" w:lineRule="auto"/>
        <w:outlineLvl w:val="0"/>
        <w:rPr>
          <w:rFonts w:ascii="黑体" w:hAnsi="宋体" w:eastAsia="黑体"/>
          <w:szCs w:val="21"/>
        </w:rPr>
      </w:pPr>
      <w:r>
        <w:rPr>
          <w:rFonts w:hint="eastAsia" w:ascii="黑体" w:hAnsi="宋体" w:eastAsia="黑体"/>
          <w:szCs w:val="21"/>
        </w:rPr>
        <w:t>9.</w:t>
      </w:r>
      <w:r>
        <w:rPr>
          <w:rFonts w:ascii="黑体" w:hAnsi="宋体" w:eastAsia="黑体"/>
          <w:szCs w:val="21"/>
        </w:rPr>
        <w:t>2.2</w:t>
      </w:r>
      <w:r>
        <w:rPr>
          <w:rFonts w:hint="eastAsia" w:ascii="黑体" w:hAnsi="宋体" w:eastAsia="黑体"/>
          <w:szCs w:val="21"/>
        </w:rPr>
        <w:t>样品测量</w:t>
      </w:r>
    </w:p>
    <w:p>
      <w:pPr>
        <w:tabs>
          <w:tab w:val="left" w:pos="315"/>
        </w:tabs>
        <w:autoSpaceDE w:val="0"/>
        <w:autoSpaceDN w:val="0"/>
        <w:adjustRightInd w:val="0"/>
        <w:spacing w:before="88"/>
        <w:ind w:firstLine="420" w:firstLineChars="200"/>
        <w:jc w:val="left"/>
        <w:rPr>
          <w:kern w:val="0"/>
          <w:szCs w:val="21"/>
        </w:rPr>
      </w:pPr>
      <w:r>
        <w:rPr>
          <w:kern w:val="0"/>
          <w:szCs w:val="21"/>
        </w:rPr>
        <w:t>按9.</w:t>
      </w:r>
      <w:r>
        <w:rPr>
          <w:rFonts w:hint="eastAsia"/>
          <w:kern w:val="0"/>
          <w:szCs w:val="21"/>
        </w:rPr>
        <w:t>1</w:t>
      </w:r>
      <w:r>
        <w:rPr>
          <w:kern w:val="0"/>
          <w:szCs w:val="21"/>
        </w:rPr>
        <w:t>操作步骤测量待测样品，连续三次测量数据的相对标准偏差应满足表3，则应对测量数据进行确认，并计算最后3个测量数据的平均值</w:t>
      </w:r>
      <w:r>
        <w:rPr>
          <w:rFonts w:hint="eastAsia"/>
          <w:kern w:val="0"/>
          <w:szCs w:val="21"/>
        </w:rPr>
        <w:t>，</w:t>
      </w:r>
      <w:r>
        <w:rPr>
          <w:kern w:val="0"/>
          <w:szCs w:val="21"/>
        </w:rPr>
        <w:t>利用9.2.1中所得相对灵敏度因子，</w:t>
      </w:r>
      <w:r>
        <w:rPr>
          <w:rFonts w:hint="eastAsia"/>
          <w:kern w:val="0"/>
          <w:szCs w:val="21"/>
        </w:rPr>
        <w:t>计算</w:t>
      </w:r>
      <w:r>
        <w:rPr>
          <w:kern w:val="0"/>
          <w:szCs w:val="21"/>
        </w:rPr>
        <w:t>样品中痕量元素的含量。</w:t>
      </w:r>
    </w:p>
    <w:p>
      <w:pPr>
        <w:pStyle w:val="51"/>
        <w:numPr>
          <w:ilvl w:val="0"/>
          <w:numId w:val="18"/>
        </w:numPr>
        <w:spacing w:before="312" w:after="312"/>
        <w:ind w:left="397" w:hanging="397"/>
        <w:rPr>
          <w:color w:val="000000" w:themeColor="text1"/>
          <w14:textFill>
            <w14:solidFill>
              <w14:schemeClr w14:val="tx1"/>
            </w14:solidFill>
          </w14:textFill>
        </w:rPr>
      </w:pPr>
      <w:r>
        <w:rPr>
          <w:rFonts w:hint="eastAsia"/>
          <w:color w:val="000000" w:themeColor="text1"/>
          <w14:textFill>
            <w14:solidFill>
              <w14:schemeClr w14:val="tx1"/>
            </w14:solidFill>
          </w14:textFill>
        </w:rPr>
        <w:t>试验数据处理</w:t>
      </w:r>
    </w:p>
    <w:p>
      <w:pPr>
        <w:tabs>
          <w:tab w:val="left" w:pos="315"/>
        </w:tabs>
        <w:autoSpaceDE w:val="0"/>
        <w:autoSpaceDN w:val="0"/>
        <w:adjustRightInd w:val="0"/>
        <w:spacing w:before="88" w:line="360" w:lineRule="auto"/>
        <w:ind w:right="-284" w:firstLine="420" w:firstLineChars="200"/>
        <w:jc w:val="left"/>
        <w:rPr>
          <w:rFonts w:hAnsi="宋体"/>
          <w:kern w:val="0"/>
          <w:szCs w:val="21"/>
        </w:rPr>
      </w:pPr>
      <w:r>
        <w:rPr>
          <w:rFonts w:hint="eastAsia" w:ascii="宋体" w:hAnsi="宋体" w:cs="宋体"/>
          <w:kern w:val="0"/>
          <w:szCs w:val="21"/>
        </w:rPr>
        <w:t>被测元素的含量以质量</w:t>
      </w:r>
      <w:r>
        <w:rPr>
          <w:rFonts w:hAnsi="宋体"/>
          <w:kern w:val="0"/>
          <w:szCs w:val="21"/>
        </w:rPr>
        <w:t>分数</w:t>
      </w:r>
      <w:r>
        <w:rPr>
          <w:i/>
          <w:kern w:val="0"/>
          <w:szCs w:val="21"/>
        </w:rPr>
        <w:t>w</w:t>
      </w:r>
      <w:r>
        <w:rPr>
          <w:kern w:val="0"/>
          <w:sz w:val="18"/>
          <w:szCs w:val="18"/>
          <w:vertAlign w:val="subscript"/>
        </w:rPr>
        <w:t>(X/</w:t>
      </w:r>
      <w:r>
        <w:rPr>
          <w:rFonts w:hint="eastAsia"/>
          <w:kern w:val="0"/>
          <w:sz w:val="18"/>
          <w:szCs w:val="18"/>
          <w:vertAlign w:val="subscript"/>
        </w:rPr>
        <w:t>Ga</w:t>
      </w:r>
      <w:r>
        <w:rPr>
          <w:kern w:val="0"/>
          <w:sz w:val="18"/>
          <w:szCs w:val="18"/>
          <w:vertAlign w:val="subscript"/>
        </w:rPr>
        <w:t>)</w:t>
      </w:r>
      <w:r>
        <w:rPr>
          <w:rFonts w:hAnsi="宋体"/>
          <w:kern w:val="0"/>
          <w:szCs w:val="21"/>
        </w:rPr>
        <w:t>计</w:t>
      </w:r>
      <w:r>
        <w:rPr>
          <w:rFonts w:hint="eastAsia"/>
          <w:kern w:val="0"/>
          <w:szCs w:val="21"/>
        </w:rPr>
        <w:t>，</w:t>
      </w:r>
      <w:r>
        <w:rPr>
          <w:rFonts w:hAnsi="宋体"/>
          <w:kern w:val="0"/>
          <w:szCs w:val="21"/>
        </w:rPr>
        <w:t>按式</w:t>
      </w:r>
      <w:r>
        <w:rPr>
          <w:kern w:val="0"/>
          <w:szCs w:val="21"/>
        </w:rPr>
        <w:t>(2)</w:t>
      </w:r>
      <w:r>
        <w:rPr>
          <w:rFonts w:hAnsi="宋体"/>
          <w:kern w:val="0"/>
          <w:szCs w:val="21"/>
        </w:rPr>
        <w:t>计算：</w:t>
      </w:r>
    </w:p>
    <w:p>
      <w:pPr>
        <w:jc w:val="center"/>
      </w:pPr>
      <m:oMath>
        <m:sSub>
          <m:sSubPr>
            <m:ctrlPr>
              <w:rPr>
                <w:rFonts w:ascii="Cambria Math" w:hAnsi="Cambria Math"/>
                <w:szCs w:val="20"/>
              </w:rPr>
            </m:ctrlPr>
          </m:sSubPr>
          <m:e>
            <m:r>
              <m:rPr/>
              <w:rPr>
                <w:rFonts w:ascii="Cambria Math" w:hAnsi="Cambria Math"/>
              </w:rPr>
              <m:t>w</m:t>
            </m:r>
            <m:ctrlPr>
              <w:rPr>
                <w:rFonts w:ascii="Cambria Math" w:hAnsi="Cambria Math"/>
                <w:szCs w:val="20"/>
              </w:rPr>
            </m:ctrlPr>
          </m:e>
          <m:sub>
            <m:d>
              <m:dPr>
                <m:ctrlPr>
                  <w:rPr>
                    <w:rFonts w:ascii="Cambria Math" w:hAnsi="Cambria Math"/>
                  </w:rPr>
                </m:ctrlPr>
              </m:dPr>
              <m:e>
                <m:r>
                  <m:rPr>
                    <m:sty m:val="p"/>
                  </m:rPr>
                  <w:rPr>
                    <w:rFonts w:ascii="Cambria Math" w:hAnsi="Cambria Math"/>
                    <w:szCs w:val="20"/>
                  </w:rPr>
                  <m:t>X</m:t>
                </m:r>
                <m:ctrlPr>
                  <w:rPr>
                    <w:rFonts w:ascii="Cambria Math" w:hAnsi="Cambria Math"/>
                  </w:rPr>
                </m:ctrlPr>
              </m:e>
            </m:d>
            <m:ctrlPr>
              <w:rPr>
                <w:rFonts w:ascii="Cambria Math" w:hAnsi="Cambria Math"/>
                <w:szCs w:val="20"/>
              </w:rPr>
            </m:ctrlPr>
          </m:sub>
        </m:sSub>
        <m:r>
          <m:rPr>
            <m:sty m:val="p"/>
          </m:rPr>
          <w:rPr>
            <w:rFonts w:ascii="Cambria Math" w:hAnsi="Cambria Math"/>
          </w:rPr>
          <m:t>=</m:t>
        </m:r>
        <m:sSub>
          <m:sSubPr>
            <m:ctrlPr>
              <w:rPr>
                <w:rFonts w:ascii="Cambria Math" w:hAnsi="Cambria Math"/>
                <w:szCs w:val="20"/>
              </w:rPr>
            </m:ctrlPr>
          </m:sSubPr>
          <m:e>
            <m:r>
              <m:rPr/>
              <w:rPr>
                <w:rFonts w:ascii="Cambria Math" w:hAnsi="Cambria Math"/>
              </w:rPr>
              <m:t>RSF</m:t>
            </m:r>
            <m:ctrlPr>
              <w:rPr>
                <w:rFonts w:ascii="Cambria Math" w:hAnsi="Cambria Math"/>
                <w:szCs w:val="20"/>
              </w:rPr>
            </m:ctrlPr>
          </m:e>
          <m:sub>
            <m:r>
              <m:rPr>
                <m:sty m:val="p"/>
              </m:rPr>
              <w:rPr>
                <w:rFonts w:ascii="Cambria Math" w:hAnsi="Cambria Math"/>
              </w:rPr>
              <m:t>(</m:t>
            </m:r>
            <m:f>
              <m:fPr>
                <m:type m:val="lin"/>
                <m:ctrlPr>
                  <w:rPr>
                    <w:rFonts w:ascii="Cambria Math" w:hAnsi="Cambria Math"/>
                    <w:szCs w:val="20"/>
                  </w:rPr>
                </m:ctrlPr>
              </m:fPr>
              <m:num>
                <m:r>
                  <m:rPr>
                    <m:sty m:val="p"/>
                  </m:rPr>
                  <w:rPr>
                    <w:rFonts w:ascii="Cambria Math" w:hAnsi="Cambria Math"/>
                  </w:rPr>
                  <m:t>X</m:t>
                </m:r>
                <m:ctrlPr>
                  <w:rPr>
                    <w:rFonts w:ascii="Cambria Math" w:hAnsi="Cambria Math"/>
                    <w:szCs w:val="20"/>
                  </w:rPr>
                </m:ctrlPr>
              </m:num>
              <m:den>
                <m:r>
                  <m:rPr>
                    <m:sty m:val="p"/>
                  </m:rPr>
                  <w:rPr>
                    <w:rFonts w:ascii="Cambria Math" w:hAnsi="Cambria Math"/>
                  </w:rPr>
                  <m:t>I</m:t>
                </m:r>
                <m:r>
                  <m:rPr>
                    <m:sty m:val="p"/>
                  </m:rPr>
                  <w:rPr>
                    <w:rFonts w:hint="eastAsia" w:ascii="Cambria Math" w:hAnsi="Cambria Math"/>
                  </w:rPr>
                  <m:t>n</m:t>
                </m:r>
                <m:ctrlPr>
                  <w:rPr>
                    <w:rFonts w:ascii="Cambria Math" w:hAnsi="Cambria Math"/>
                    <w:szCs w:val="20"/>
                  </w:rPr>
                </m:ctrlPr>
              </m:den>
            </m:f>
            <m:r>
              <m:rPr>
                <m:sty m:val="p"/>
              </m:rPr>
              <w:rPr>
                <w:rFonts w:ascii="Cambria Math" w:hAnsi="Cambria Math"/>
              </w:rPr>
              <m:t>)</m:t>
            </m:r>
            <m:ctrlPr>
              <w:rPr>
                <w:rFonts w:ascii="Cambria Math" w:hAnsi="Cambria Math"/>
                <w:szCs w:val="20"/>
              </w:rPr>
            </m:ctrlPr>
          </m:sub>
        </m:sSub>
        <m:r>
          <m:rPr>
            <m:sty m:val="p"/>
          </m:rPr>
          <w:rPr>
            <w:rFonts w:ascii="Cambria Math" w:hAnsi="Cambria Math"/>
          </w:rPr>
          <m:t>×</m:t>
        </m:r>
        <m:f>
          <m:fPr>
            <m:ctrlPr>
              <w:rPr>
                <w:rFonts w:ascii="Cambria Math" w:hAnsi="Cambria Math"/>
                <w:szCs w:val="20"/>
              </w:rPr>
            </m:ctrlPr>
          </m:fPr>
          <m:num>
            <m:sSub>
              <m:sSubPr>
                <m:ctrlPr>
                  <w:rPr>
                    <w:rFonts w:ascii="Cambria Math" w:hAnsi="Cambria Math"/>
                    <w:szCs w:val="20"/>
                  </w:rPr>
                </m:ctrlPr>
              </m:sSubPr>
              <m:e>
                <m:r>
                  <m:rPr/>
                  <w:rPr>
                    <w:rFonts w:ascii="Cambria Math" w:hAnsi="Cambria Math"/>
                  </w:rPr>
                  <m:t>I</m:t>
                </m:r>
                <m:ctrlPr>
                  <w:rPr>
                    <w:rFonts w:ascii="Cambria Math" w:hAnsi="Cambria Math"/>
                    <w:szCs w:val="20"/>
                  </w:rPr>
                </m:ctrlPr>
              </m:e>
              <m:sub>
                <m:r>
                  <m:rPr>
                    <m:sty m:val="p"/>
                  </m:rPr>
                  <w:rPr>
                    <w:rFonts w:ascii="Cambria Math" w:hAnsi="Cambria Math"/>
                  </w:rPr>
                  <m:t>X</m:t>
                </m:r>
                <m:ctrlPr>
                  <w:rPr>
                    <w:rFonts w:ascii="Cambria Math" w:hAnsi="Cambria Math"/>
                    <w:szCs w:val="20"/>
                  </w:rPr>
                </m:ctrlPr>
              </m:sub>
            </m:sSub>
            <m:r>
              <m:rPr>
                <m:sty m:val="p"/>
              </m:rPr>
              <w:rPr>
                <w:rFonts w:ascii="Cambria Math" w:hAnsi="Cambria Math"/>
              </w:rPr>
              <m:t>×</m:t>
            </m:r>
            <m:sSub>
              <m:sSubPr>
                <m:ctrlPr>
                  <w:rPr>
                    <w:rFonts w:ascii="Cambria Math" w:hAnsi="Cambria Math"/>
                    <w:szCs w:val="20"/>
                  </w:rPr>
                </m:ctrlPr>
              </m:sSubPr>
              <m:e>
                <m:r>
                  <m:rPr/>
                  <w:rPr>
                    <w:rFonts w:ascii="Cambria Math" w:hAnsi="Cambria Math"/>
                  </w:rPr>
                  <m:t>A</m:t>
                </m:r>
                <m:ctrlPr>
                  <w:rPr>
                    <w:rFonts w:ascii="Cambria Math" w:hAnsi="Cambria Math"/>
                    <w:szCs w:val="20"/>
                  </w:rPr>
                </m:ctrlPr>
              </m:e>
              <m:sub>
                <m:r>
                  <m:rPr>
                    <m:sty m:val="p"/>
                  </m:rPr>
                  <w:rPr>
                    <w:rFonts w:ascii="Cambria Math" w:hAnsi="Cambria Math"/>
                  </w:rPr>
                  <m:t>I</m:t>
                </m:r>
                <m:r>
                  <m:rPr>
                    <m:sty m:val="p"/>
                  </m:rPr>
                  <w:rPr>
                    <w:rFonts w:hint="eastAsia" w:ascii="Cambria Math" w:hAnsi="Cambria Math"/>
                  </w:rPr>
                  <m:t>n</m:t>
                </m:r>
                <m:ctrlPr>
                  <w:rPr>
                    <w:rFonts w:ascii="Cambria Math" w:hAnsi="Cambria Math"/>
                    <w:szCs w:val="20"/>
                  </w:rPr>
                </m:ctrlPr>
              </m:sub>
            </m:sSub>
            <m:ctrlPr>
              <w:rPr>
                <w:rFonts w:ascii="Cambria Math" w:hAnsi="Cambria Math"/>
                <w:szCs w:val="20"/>
              </w:rPr>
            </m:ctrlPr>
          </m:num>
          <m:den>
            <m:sSub>
              <m:sSubPr>
                <m:ctrlPr>
                  <w:rPr>
                    <w:rFonts w:ascii="Cambria Math" w:hAnsi="Cambria Math"/>
                    <w:szCs w:val="20"/>
                  </w:rPr>
                </m:ctrlPr>
              </m:sSubPr>
              <m:e>
                <m:r>
                  <m:rPr/>
                  <w:rPr>
                    <w:rFonts w:ascii="Cambria Math" w:hAnsi="Cambria Math"/>
                  </w:rPr>
                  <m:t>A</m:t>
                </m:r>
                <m:ctrlPr>
                  <w:rPr>
                    <w:rFonts w:ascii="Cambria Math" w:hAnsi="Cambria Math"/>
                    <w:szCs w:val="20"/>
                  </w:rPr>
                </m:ctrlPr>
              </m:e>
              <m:sub>
                <m:r>
                  <m:rPr>
                    <m:sty m:val="p"/>
                  </m:rPr>
                  <w:rPr>
                    <w:rFonts w:ascii="Cambria Math" w:hAnsi="Cambria Math"/>
                  </w:rPr>
                  <m:t>X</m:t>
                </m:r>
                <m:ctrlPr>
                  <w:rPr>
                    <w:rFonts w:ascii="Cambria Math" w:hAnsi="Cambria Math"/>
                    <w:szCs w:val="20"/>
                  </w:rPr>
                </m:ctrlPr>
              </m:sub>
            </m:sSub>
            <m:r>
              <m:rPr>
                <m:sty m:val="p"/>
              </m:rPr>
              <w:rPr>
                <w:rFonts w:ascii="Cambria Math" w:hAnsi="Cambria Math"/>
              </w:rPr>
              <m:t>×</m:t>
            </m:r>
            <m:sSub>
              <m:sSubPr>
                <m:ctrlPr>
                  <w:rPr>
                    <w:rFonts w:ascii="Cambria Math" w:hAnsi="Cambria Math"/>
                    <w:szCs w:val="20"/>
                  </w:rPr>
                </m:ctrlPr>
              </m:sSubPr>
              <m:e>
                <m:r>
                  <m:rPr/>
                  <w:rPr>
                    <w:rFonts w:ascii="Cambria Math" w:hAnsi="Cambria Math"/>
                  </w:rPr>
                  <m:t>I</m:t>
                </m:r>
                <m:ctrlPr>
                  <w:rPr>
                    <w:rFonts w:ascii="Cambria Math" w:hAnsi="Cambria Math"/>
                    <w:szCs w:val="20"/>
                  </w:rPr>
                </m:ctrlPr>
              </m:e>
              <m:sub>
                <m:r>
                  <m:rPr>
                    <m:sty m:val="p"/>
                  </m:rPr>
                  <w:rPr>
                    <w:rFonts w:ascii="Cambria Math" w:hAnsi="Cambria Math"/>
                  </w:rPr>
                  <m:t>I</m:t>
                </m:r>
                <m:r>
                  <m:rPr>
                    <m:sty m:val="p"/>
                  </m:rPr>
                  <w:rPr>
                    <w:rFonts w:hint="eastAsia" w:ascii="Cambria Math" w:hAnsi="Cambria Math"/>
                  </w:rPr>
                  <m:t>n</m:t>
                </m:r>
                <m:ctrlPr>
                  <w:rPr>
                    <w:rFonts w:ascii="Cambria Math" w:hAnsi="Cambria Math"/>
                    <w:szCs w:val="20"/>
                  </w:rPr>
                </m:ctrlPr>
              </m:sub>
            </m:sSub>
            <m:ctrlPr>
              <w:rPr>
                <w:rFonts w:ascii="Cambria Math" w:hAnsi="Cambria Math"/>
                <w:szCs w:val="20"/>
              </w:rPr>
            </m:ctrlPr>
          </m:den>
        </m:f>
        <m:r>
          <m:rPr>
            <m:sty m:val="p"/>
          </m:rPr>
          <w:rPr>
            <w:rFonts w:ascii="Cambria Math" w:hAnsi="Cambria Math"/>
          </w:rPr>
          <m:t>×</m:t>
        </m:r>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(I</m:t>
            </m:r>
            <m:r>
              <m:rPr/>
              <w:rPr>
                <w:rFonts w:hint="eastAsia" w:ascii="Cambria Math" w:hAnsi="Cambria Math"/>
              </w:rPr>
              <m:t>n</m:t>
            </m:r>
            <m:r>
              <m:rPr/>
              <w:rPr>
                <w:rFonts w:ascii="Cambria Math" w:hAnsi="Cambria Math"/>
              </w:rPr>
              <m:t>)</m:t>
            </m:r>
            <m:ctrlPr>
              <w:rPr>
                <w:rFonts w:ascii="Cambria Math" w:hAnsi="Cambria Math"/>
              </w:rPr>
            </m:ctrlPr>
          </m:sub>
        </m:sSub>
      </m:oMath>
      <w:r>
        <w:rPr>
          <w:rFonts w:hint="eastAsia"/>
        </w:rPr>
        <w:t>...........................(2)</w:t>
      </w:r>
    </w:p>
    <w:p>
      <w:pPr>
        <w:ind w:firstLine="420" w:firstLineChars="200"/>
        <w:rPr>
          <w:rFonts w:ascii="宋体" w:hAnsi="宋体"/>
          <w:szCs w:val="21"/>
        </w:rPr>
      </w:pPr>
      <w:r>
        <w:rPr>
          <w:rFonts w:hint="eastAsia" w:ascii="宋体" w:hAnsi="宋体"/>
          <w:szCs w:val="21"/>
        </w:rPr>
        <w:t>式中：</w:t>
      </w:r>
    </w:p>
    <w:p>
      <w:pPr>
        <w:ind w:left="1533" w:leftChars="380" w:hanging="735" w:hangingChars="350"/>
        <w:jc w:val="left"/>
        <w:rPr>
          <w:color w:val="000000"/>
          <w:kern w:val="0"/>
          <w:szCs w:val="21"/>
        </w:rPr>
      </w:pPr>
      <w:r>
        <w:rPr>
          <w:rFonts w:hint="eastAsia"/>
          <w:i/>
          <w:kern w:val="0"/>
          <w:szCs w:val="21"/>
        </w:rPr>
        <w:t>w</w:t>
      </w:r>
      <w:r>
        <w:rPr>
          <w:kern w:val="0"/>
          <w:sz w:val="18"/>
          <w:szCs w:val="18"/>
          <w:vertAlign w:val="subscript"/>
        </w:rPr>
        <w:t>(X/I</w:t>
      </w:r>
      <w:r>
        <w:rPr>
          <w:rFonts w:hint="eastAsia"/>
          <w:kern w:val="0"/>
          <w:sz w:val="18"/>
          <w:szCs w:val="18"/>
          <w:vertAlign w:val="subscript"/>
        </w:rPr>
        <w:t>n</w:t>
      </w:r>
      <w:r>
        <w:rPr>
          <w:kern w:val="0"/>
          <w:sz w:val="18"/>
          <w:szCs w:val="18"/>
          <w:vertAlign w:val="subscript"/>
        </w:rPr>
        <w:t>)</w:t>
      </w:r>
      <w:r>
        <w:rPr>
          <w:kern w:val="0"/>
          <w:szCs w:val="21"/>
        </w:rPr>
        <w:t>——</w:t>
      </w:r>
      <w:r>
        <w:rPr>
          <w:rFonts w:hAnsi="宋体"/>
          <w:szCs w:val="21"/>
        </w:rPr>
        <w:t>待测元素的质量分数，单位为微克每克（</w:t>
      </w:r>
      <w:r>
        <w:t>µg/g</w:t>
      </w:r>
      <w:r>
        <w:rPr>
          <w:rFonts w:hAnsi="宋体"/>
          <w:color w:val="000000"/>
          <w:kern w:val="0"/>
          <w:szCs w:val="21"/>
        </w:rPr>
        <w:t>）；</w:t>
      </w:r>
    </w:p>
    <w:p>
      <w:pPr>
        <w:ind w:left="1533" w:leftChars="380" w:hanging="735" w:hangingChars="350"/>
        <w:jc w:val="left"/>
        <w:rPr>
          <w:color w:val="000000"/>
          <w:kern w:val="0"/>
          <w:szCs w:val="21"/>
        </w:rPr>
      </w:pPr>
      <w:r>
        <w:rPr>
          <w:i/>
          <w:szCs w:val="21"/>
        </w:rPr>
        <w:t>RSF</w:t>
      </w:r>
      <w:r>
        <w:rPr>
          <w:kern w:val="0"/>
          <w:szCs w:val="21"/>
          <w:vertAlign w:val="subscript"/>
        </w:rPr>
        <w:t>(X/I</w:t>
      </w:r>
      <w:r>
        <w:rPr>
          <w:rFonts w:hint="eastAsia"/>
          <w:kern w:val="0"/>
          <w:szCs w:val="21"/>
          <w:vertAlign w:val="subscript"/>
        </w:rPr>
        <w:t>n</w:t>
      </w:r>
      <w:r>
        <w:rPr>
          <w:kern w:val="0"/>
          <w:szCs w:val="21"/>
          <w:vertAlign w:val="subscript"/>
        </w:rPr>
        <w:t>)</w:t>
      </w:r>
      <w:r>
        <w:rPr>
          <w:kern w:val="0"/>
          <w:szCs w:val="21"/>
        </w:rPr>
        <w:t>——</w:t>
      </w:r>
      <w:r>
        <w:rPr>
          <w:rFonts w:hAnsi="宋体"/>
          <w:szCs w:val="21"/>
        </w:rPr>
        <w:t>待测元素的相对灵敏度因子</w:t>
      </w:r>
      <w:r>
        <w:rPr>
          <w:rFonts w:hAnsi="宋体"/>
          <w:color w:val="000000"/>
          <w:kern w:val="0"/>
          <w:szCs w:val="21"/>
        </w:rPr>
        <w:t>；</w:t>
      </w:r>
    </w:p>
    <w:p>
      <w:pPr>
        <w:ind w:left="1533" w:leftChars="380" w:hanging="735" w:hangingChars="350"/>
        <w:jc w:val="left"/>
        <w:rPr>
          <w:rFonts w:hAnsi="宋体"/>
          <w:color w:val="000000"/>
          <w:kern w:val="0"/>
          <w:szCs w:val="21"/>
        </w:rPr>
      </w:pPr>
      <w:r>
        <w:rPr>
          <w:i/>
          <w:szCs w:val="21"/>
        </w:rPr>
        <w:t>I</w:t>
      </w:r>
      <w:r>
        <w:rPr>
          <w:i/>
          <w:kern w:val="0"/>
          <w:szCs w:val="21"/>
          <w:vertAlign w:val="subscript"/>
        </w:rPr>
        <w:t xml:space="preserve"> </w:t>
      </w:r>
      <w:r>
        <w:rPr>
          <w:kern w:val="0"/>
          <w:szCs w:val="21"/>
          <w:vertAlign w:val="subscript"/>
        </w:rPr>
        <w:t>X</w:t>
      </w:r>
      <w:r>
        <w:rPr>
          <w:kern w:val="0"/>
          <w:szCs w:val="21"/>
        </w:rPr>
        <w:t>——</w:t>
      </w:r>
      <w:r>
        <w:rPr>
          <w:rFonts w:hAnsi="宋体"/>
          <w:kern w:val="0"/>
          <w:szCs w:val="21"/>
        </w:rPr>
        <w:t>待测元素的同位素谱峰强度</w:t>
      </w:r>
      <w:r>
        <w:rPr>
          <w:rFonts w:hAnsi="宋体"/>
          <w:color w:val="000000"/>
          <w:kern w:val="0"/>
          <w:szCs w:val="21"/>
        </w:rPr>
        <w:t>，以每秒计数（</w:t>
      </w:r>
      <w:r>
        <w:rPr>
          <w:color w:val="000000"/>
          <w:kern w:val="0"/>
          <w:szCs w:val="21"/>
        </w:rPr>
        <w:t>cps</w:t>
      </w:r>
      <w:r>
        <w:rPr>
          <w:rFonts w:hAnsi="宋体"/>
          <w:color w:val="000000"/>
          <w:kern w:val="0"/>
          <w:szCs w:val="21"/>
        </w:rPr>
        <w:t>）表示；</w:t>
      </w:r>
    </w:p>
    <w:p>
      <w:pPr>
        <w:ind w:left="1533" w:leftChars="380" w:hanging="735" w:hangingChars="350"/>
        <w:jc w:val="left"/>
        <w:rPr>
          <w:rFonts w:hAnsi="宋体"/>
          <w:color w:val="000000"/>
          <w:kern w:val="0"/>
          <w:szCs w:val="21"/>
        </w:rPr>
      </w:pPr>
      <w:r>
        <w:rPr>
          <w:i/>
          <w:szCs w:val="21"/>
        </w:rPr>
        <w:t>A</w:t>
      </w:r>
      <w:r>
        <w:rPr>
          <w:kern w:val="0"/>
          <w:szCs w:val="21"/>
          <w:vertAlign w:val="subscript"/>
        </w:rPr>
        <w:t>I</w:t>
      </w:r>
      <w:r>
        <w:rPr>
          <w:rFonts w:hint="eastAsia"/>
          <w:kern w:val="0"/>
          <w:szCs w:val="21"/>
          <w:vertAlign w:val="subscript"/>
        </w:rPr>
        <w:t>n</w:t>
      </w:r>
      <w:r>
        <w:rPr>
          <w:kern w:val="0"/>
          <w:szCs w:val="21"/>
        </w:rPr>
        <w:t>——I</w:t>
      </w:r>
      <w:r>
        <w:rPr>
          <w:rFonts w:hint="eastAsia"/>
          <w:kern w:val="0"/>
          <w:szCs w:val="21"/>
        </w:rPr>
        <w:t>n</w:t>
      </w:r>
      <w:r>
        <w:rPr>
          <w:rFonts w:hAnsi="宋体"/>
          <w:kern w:val="0"/>
          <w:szCs w:val="21"/>
        </w:rPr>
        <w:t>元素的同位素丰度</w:t>
      </w:r>
      <w:r>
        <w:rPr>
          <w:rFonts w:hAnsi="宋体"/>
          <w:color w:val="000000"/>
          <w:kern w:val="0"/>
          <w:szCs w:val="21"/>
        </w:rPr>
        <w:t>；</w:t>
      </w:r>
    </w:p>
    <w:p>
      <w:pPr>
        <w:ind w:left="1533" w:leftChars="380" w:hanging="735" w:hangingChars="350"/>
        <w:jc w:val="left"/>
        <w:rPr>
          <w:color w:val="000000"/>
          <w:kern w:val="0"/>
          <w:szCs w:val="21"/>
        </w:rPr>
      </w:pPr>
      <w:r>
        <w:rPr>
          <w:i/>
          <w:szCs w:val="21"/>
        </w:rPr>
        <w:t>A</w:t>
      </w:r>
      <w:r>
        <w:rPr>
          <w:kern w:val="0"/>
          <w:szCs w:val="21"/>
          <w:vertAlign w:val="subscript"/>
        </w:rPr>
        <w:t xml:space="preserve"> X</w:t>
      </w:r>
      <w:r>
        <w:rPr>
          <w:kern w:val="0"/>
          <w:szCs w:val="21"/>
        </w:rPr>
        <w:t>——</w:t>
      </w:r>
      <w:r>
        <w:rPr>
          <w:rFonts w:hAnsi="宋体"/>
          <w:kern w:val="0"/>
          <w:szCs w:val="21"/>
        </w:rPr>
        <w:t>待测元素的同位素丰度</w:t>
      </w:r>
      <w:r>
        <w:rPr>
          <w:rFonts w:hAnsi="宋体"/>
          <w:color w:val="000000"/>
          <w:kern w:val="0"/>
          <w:szCs w:val="21"/>
        </w:rPr>
        <w:t>；</w:t>
      </w:r>
    </w:p>
    <w:p>
      <w:pPr>
        <w:ind w:left="1533" w:leftChars="380" w:hanging="735" w:hangingChars="350"/>
        <w:jc w:val="left"/>
        <w:rPr>
          <w:color w:val="000000"/>
          <w:kern w:val="0"/>
          <w:szCs w:val="21"/>
        </w:rPr>
      </w:pPr>
      <w:r>
        <w:rPr>
          <w:i/>
          <w:szCs w:val="21"/>
        </w:rPr>
        <w:t>I</w:t>
      </w:r>
      <w:r>
        <w:rPr>
          <w:kern w:val="0"/>
          <w:szCs w:val="21"/>
          <w:vertAlign w:val="subscript"/>
        </w:rPr>
        <w:t>I</w:t>
      </w:r>
      <w:r>
        <w:rPr>
          <w:rFonts w:hint="eastAsia"/>
          <w:kern w:val="0"/>
          <w:szCs w:val="21"/>
          <w:vertAlign w:val="subscript"/>
        </w:rPr>
        <w:t>n</w:t>
      </w:r>
      <w:r>
        <w:rPr>
          <w:kern w:val="0"/>
          <w:szCs w:val="21"/>
        </w:rPr>
        <w:t>——I</w:t>
      </w:r>
      <w:r>
        <w:rPr>
          <w:rFonts w:hint="eastAsia"/>
          <w:kern w:val="0"/>
          <w:szCs w:val="21"/>
        </w:rPr>
        <w:t>n</w:t>
      </w:r>
      <w:r>
        <w:rPr>
          <w:rFonts w:hAnsi="宋体"/>
          <w:kern w:val="0"/>
          <w:szCs w:val="21"/>
        </w:rPr>
        <w:t>元素的同位素谱峰强度</w:t>
      </w:r>
      <w:r>
        <w:rPr>
          <w:rFonts w:hAnsi="宋体"/>
          <w:color w:val="000000"/>
          <w:kern w:val="0"/>
          <w:szCs w:val="21"/>
        </w:rPr>
        <w:t>，以每秒计数（</w:t>
      </w:r>
      <w:r>
        <w:rPr>
          <w:color w:val="000000"/>
          <w:kern w:val="0"/>
          <w:szCs w:val="21"/>
        </w:rPr>
        <w:t>cps</w:t>
      </w:r>
      <w:r>
        <w:rPr>
          <w:rFonts w:hAnsi="宋体"/>
          <w:color w:val="000000"/>
          <w:kern w:val="0"/>
          <w:szCs w:val="21"/>
        </w:rPr>
        <w:t>）表示；</w:t>
      </w:r>
    </w:p>
    <w:p>
      <w:pPr>
        <w:spacing w:after="156" w:afterLines="50"/>
        <w:ind w:left="1533" w:leftChars="380" w:hanging="735" w:hangingChars="350"/>
        <w:rPr>
          <w:szCs w:val="21"/>
        </w:rPr>
      </w:pPr>
      <w:r>
        <w:rPr>
          <w:rFonts w:hint="eastAsia"/>
          <w:i/>
          <w:szCs w:val="21"/>
        </w:rPr>
        <w:t>w</w:t>
      </w:r>
      <w:r>
        <w:rPr>
          <w:rFonts w:hint="eastAsia"/>
          <w:szCs w:val="21"/>
          <w:vertAlign w:val="subscript"/>
        </w:rPr>
        <w:t>（</w:t>
      </w:r>
      <w:r>
        <w:rPr>
          <w:szCs w:val="21"/>
          <w:vertAlign w:val="subscript"/>
        </w:rPr>
        <w:t>I</w:t>
      </w:r>
      <w:r>
        <w:rPr>
          <w:rFonts w:hint="eastAsia"/>
          <w:szCs w:val="21"/>
          <w:vertAlign w:val="subscript"/>
        </w:rPr>
        <w:t>n）</w:t>
      </w:r>
      <w:r>
        <w:rPr>
          <w:kern w:val="0"/>
          <w:szCs w:val="21"/>
        </w:rPr>
        <w:t>——</w:t>
      </w:r>
      <w:r>
        <w:rPr>
          <w:rFonts w:hint="eastAsia"/>
          <w:szCs w:val="21"/>
        </w:rPr>
        <w:t xml:space="preserve">  基体元素</w:t>
      </w:r>
      <w:r>
        <w:rPr>
          <w:szCs w:val="21"/>
        </w:rPr>
        <w:t>I</w:t>
      </w:r>
      <w:r>
        <w:rPr>
          <w:rFonts w:hint="eastAsia"/>
          <w:szCs w:val="21"/>
        </w:rPr>
        <w:t>n的质量分数定义为1.00×10</w:t>
      </w:r>
      <w:r>
        <w:rPr>
          <w:rFonts w:hint="eastAsia"/>
          <w:szCs w:val="21"/>
          <w:vertAlign w:val="superscript"/>
        </w:rPr>
        <w:t>6</w:t>
      </w:r>
      <w:r>
        <w:rPr>
          <w:rFonts w:hint="eastAsia"/>
          <w:szCs w:val="21"/>
        </w:rPr>
        <w:t>，单位为微克每克（</w:t>
      </w:r>
      <w:r>
        <w:rPr>
          <w:iCs/>
          <w:szCs w:val="21"/>
        </w:rPr>
        <w:t>μg</w:t>
      </w:r>
      <w:r>
        <w:rPr>
          <w:rFonts w:hint="eastAsia"/>
          <w:szCs w:val="21"/>
        </w:rPr>
        <w:t>/g）；</w:t>
      </w:r>
    </w:p>
    <w:p>
      <w:pPr>
        <w:tabs>
          <w:tab w:val="left" w:pos="315"/>
        </w:tabs>
        <w:autoSpaceDE w:val="0"/>
        <w:autoSpaceDN w:val="0"/>
        <w:adjustRightInd w:val="0"/>
        <w:spacing w:before="88"/>
        <w:ind w:right="-1" w:firstLine="420" w:firstLineChars="200"/>
        <w:rPr>
          <w:rFonts w:asciiTheme="minorEastAsia" w:hAnsiTheme="minorEastAsia" w:eastAsiaTheme="minorEastAsia"/>
          <w:szCs w:val="21"/>
        </w:rPr>
      </w:pPr>
      <w:r>
        <w:rPr>
          <w:rFonts w:asciiTheme="minorEastAsia" w:hAnsiTheme="minorEastAsia" w:eastAsiaTheme="minorEastAsia"/>
          <w:kern w:val="0"/>
          <w:szCs w:val="21"/>
        </w:rPr>
        <w:t>分析结果由计算机直接给出。元素含量一般以</w:t>
      </w:r>
      <w:r>
        <w:rPr>
          <w:rFonts w:asciiTheme="minorEastAsia" w:hAnsiTheme="minorEastAsia" w:eastAsiaTheme="minorEastAsia"/>
        </w:rPr>
        <w:t>µg/g表示，</w:t>
      </w:r>
      <w:r>
        <w:rPr>
          <w:rFonts w:hint="eastAsia" w:asciiTheme="minorEastAsia" w:hAnsiTheme="minorEastAsia" w:eastAsiaTheme="minorEastAsia"/>
        </w:rPr>
        <w:t>依据</w:t>
      </w:r>
      <w:r>
        <w:rPr>
          <w:rFonts w:hint="eastAsia" w:asciiTheme="minorEastAsia" w:hAnsiTheme="minorEastAsia" w:eastAsiaTheme="minorEastAsia"/>
          <w:color w:val="000000"/>
        </w:rPr>
        <w:t>G</w:t>
      </w:r>
      <w:r>
        <w:rPr>
          <w:rFonts w:asciiTheme="minorEastAsia" w:hAnsiTheme="minorEastAsia" w:eastAsiaTheme="minorEastAsia"/>
          <w:color w:val="000000"/>
        </w:rPr>
        <w:t>B/T 8170</w:t>
      </w:r>
      <w:r>
        <w:rPr>
          <w:rFonts w:hint="eastAsia" w:asciiTheme="minorEastAsia" w:hAnsiTheme="minorEastAsia" w:eastAsiaTheme="minorEastAsia"/>
          <w:color w:val="000000"/>
        </w:rPr>
        <w:t>《数值修约规则与极限数值的表示和判定》，</w:t>
      </w:r>
      <w:r>
        <w:rPr>
          <w:rFonts w:asciiTheme="minorEastAsia" w:hAnsiTheme="minorEastAsia" w:eastAsiaTheme="minorEastAsia"/>
        </w:rPr>
        <w:t>结果</w:t>
      </w:r>
      <w:r>
        <w:rPr>
          <w:rFonts w:asciiTheme="minorEastAsia" w:hAnsiTheme="minorEastAsia" w:eastAsiaTheme="minorEastAsia"/>
          <w:kern w:val="0"/>
          <w:szCs w:val="21"/>
        </w:rPr>
        <w:t xml:space="preserve">如小于0.01 </w:t>
      </w:r>
      <w:r>
        <w:rPr>
          <w:rFonts w:asciiTheme="minorEastAsia" w:hAnsiTheme="minorEastAsia" w:eastAsiaTheme="minorEastAsia"/>
        </w:rPr>
        <w:t>µg/g，取</w:t>
      </w:r>
      <w:r>
        <w:rPr>
          <w:rFonts w:asciiTheme="minorEastAsia" w:hAnsiTheme="minorEastAsia" w:eastAsiaTheme="minorEastAsia"/>
          <w:kern w:val="0"/>
          <w:szCs w:val="21"/>
        </w:rPr>
        <w:t>小数点后一位有效数字；如大于0.01 µg/g并小于10 µg/g，取两位有效数字，大于等于10 µg/g</w:t>
      </w:r>
      <w:r>
        <w:rPr>
          <w:rFonts w:asciiTheme="minorEastAsia" w:hAnsiTheme="minorEastAsia" w:eastAsiaTheme="minorEastAsia"/>
          <w:szCs w:val="21"/>
        </w:rPr>
        <w:t>取整数部分有效位数。</w:t>
      </w:r>
      <w:r>
        <w:rPr>
          <w:rFonts w:hint="eastAsia" w:asciiTheme="minorEastAsia" w:hAnsiTheme="minorEastAsia" w:eastAsiaTheme="minorEastAsia"/>
          <w:szCs w:val="21"/>
        </w:rPr>
        <w:t xml:space="preserve"> </w:t>
      </w:r>
    </w:p>
    <w:p>
      <w:pPr>
        <w:pStyle w:val="51"/>
        <w:numPr>
          <w:ilvl w:val="0"/>
          <w:numId w:val="18"/>
        </w:numPr>
        <w:spacing w:before="312" w:after="312"/>
        <w:ind w:left="397" w:hanging="397"/>
        <w:rPr>
          <w:color w:val="000000" w:themeColor="text1"/>
          <w14:textFill>
            <w14:solidFill>
              <w14:schemeClr w14:val="tx1"/>
            </w14:solidFill>
          </w14:textFill>
        </w:rPr>
      </w:pPr>
      <w:r>
        <w:rPr>
          <w:color w:val="000000" w:themeColor="text1"/>
          <w14:textFill>
            <w14:solidFill>
              <w14:schemeClr w14:val="tx1"/>
            </w14:solidFill>
          </w14:textFill>
        </w:rPr>
        <w:t>精密度</w:t>
      </w:r>
    </w:p>
    <w:p>
      <w:pPr>
        <w:tabs>
          <w:tab w:val="left" w:pos="315"/>
        </w:tabs>
        <w:autoSpaceDE w:val="0"/>
        <w:autoSpaceDN w:val="0"/>
        <w:adjustRightInd w:val="0"/>
        <w:spacing w:before="88"/>
        <w:ind w:right="-1"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实验室内与实验室间在重复性条件和再现性条件下获得的两次独立测试结果的测定值，其</w:t>
      </w:r>
      <w:r>
        <w:rPr>
          <w:rFonts w:asciiTheme="minorEastAsia" w:hAnsiTheme="minorEastAsia" w:eastAsiaTheme="minorEastAsia"/>
          <w:kern w:val="0"/>
          <w:szCs w:val="21"/>
        </w:rPr>
        <w:t>绝对差值不超过表</w:t>
      </w:r>
      <w:r>
        <w:rPr>
          <w:rFonts w:hint="eastAsia" w:asciiTheme="minorEastAsia" w:hAnsiTheme="minorEastAsia" w:eastAsiaTheme="minorEastAsia"/>
          <w:kern w:val="0"/>
          <w:szCs w:val="21"/>
        </w:rPr>
        <w:t>4</w:t>
      </w:r>
      <w:r>
        <w:rPr>
          <w:rFonts w:asciiTheme="minorEastAsia" w:hAnsiTheme="minorEastAsia" w:eastAsiaTheme="minorEastAsia"/>
          <w:kern w:val="0"/>
          <w:szCs w:val="21"/>
        </w:rPr>
        <w:t>所列</w:t>
      </w:r>
      <w:r>
        <w:rPr>
          <w:rFonts w:hint="eastAsia" w:asciiTheme="minorEastAsia" w:hAnsiTheme="minorEastAsia" w:eastAsiaTheme="minorEastAsia"/>
          <w:kern w:val="0"/>
          <w:szCs w:val="21"/>
        </w:rPr>
        <w:t>允许</w:t>
      </w:r>
      <w:r>
        <w:rPr>
          <w:rFonts w:asciiTheme="minorEastAsia" w:hAnsiTheme="minorEastAsia" w:eastAsiaTheme="minorEastAsia"/>
          <w:kern w:val="0"/>
          <w:szCs w:val="21"/>
        </w:rPr>
        <w:t>相对</w:t>
      </w:r>
      <w:r>
        <w:rPr>
          <w:rFonts w:hint="eastAsia" w:asciiTheme="minorEastAsia" w:hAnsiTheme="minorEastAsia" w:eastAsiaTheme="minorEastAsia"/>
          <w:kern w:val="0"/>
          <w:szCs w:val="21"/>
        </w:rPr>
        <w:t>偏</w:t>
      </w:r>
      <w:r>
        <w:rPr>
          <w:rFonts w:asciiTheme="minorEastAsia" w:hAnsiTheme="minorEastAsia" w:eastAsiaTheme="minorEastAsia"/>
          <w:kern w:val="0"/>
          <w:szCs w:val="21"/>
        </w:rPr>
        <w:t>差，超过的情况不超过5%。</w:t>
      </w:r>
    </w:p>
    <w:p>
      <w:pPr>
        <w:spacing w:line="360" w:lineRule="auto"/>
        <w:ind w:firstLine="360" w:firstLineChars="200"/>
        <w:jc w:val="center"/>
        <w:rPr>
          <w:rFonts w:eastAsia="黑体"/>
          <w:szCs w:val="21"/>
        </w:rPr>
      </w:pPr>
      <w:r>
        <w:rPr>
          <w:rFonts w:eastAsia="黑体"/>
          <w:sz w:val="18"/>
          <w:szCs w:val="18"/>
        </w:rPr>
        <w:t xml:space="preserve">表4 </w:t>
      </w:r>
      <w:r>
        <w:rPr>
          <w:rFonts w:eastAsia="黑体"/>
          <w:szCs w:val="21"/>
        </w:rPr>
        <w:t>允许相对偏差</w:t>
      </w:r>
    </w:p>
    <w:tbl>
      <w:tblPr>
        <w:tblStyle w:val="35"/>
        <w:tblW w:w="4000" w:type="pct"/>
        <w:tblInd w:w="118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591"/>
        <w:gridCol w:w="2649"/>
        <w:gridCol w:w="241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4" w:hRule="atLeast"/>
        </w:trPr>
        <w:tc>
          <w:tcPr>
            <w:tcW w:w="1692" w:type="pct"/>
            <w:vAlign w:val="center"/>
          </w:tcPr>
          <w:p>
            <w:pPr>
              <w:widowControl/>
              <w:tabs>
                <w:tab w:val="center" w:pos="4201"/>
                <w:tab w:val="right" w:leader="dot" w:pos="9298"/>
              </w:tabs>
              <w:autoSpaceDE w:val="0"/>
              <w:autoSpaceDN w:val="0"/>
              <w:jc w:val="center"/>
              <w:rPr>
                <w:color w:val="000000"/>
                <w:kern w:val="0"/>
                <w:sz w:val="18"/>
                <w:szCs w:val="18"/>
              </w:rPr>
            </w:pPr>
            <w:r>
              <w:rPr>
                <w:rFonts w:hint="eastAsia" w:ascii="宋体" w:hAnsi="宋体"/>
                <w:color w:val="000000"/>
                <w:kern w:val="0"/>
                <w:sz w:val="18"/>
                <w:szCs w:val="18"/>
              </w:rPr>
              <w:t>元素含量范围</w:t>
            </w:r>
          </w:p>
          <w:p>
            <w:pPr>
              <w:widowControl/>
              <w:tabs>
                <w:tab w:val="center" w:pos="4201"/>
                <w:tab w:val="right" w:leader="dot" w:pos="9298"/>
              </w:tabs>
              <w:autoSpaceDE w:val="0"/>
              <w:autoSpaceDN w:val="0"/>
              <w:jc w:val="center"/>
              <w:rPr>
                <w:rFonts w:ascii="宋体"/>
                <w:kern w:val="0"/>
                <w:sz w:val="18"/>
                <w:szCs w:val="18"/>
              </w:rPr>
            </w:pPr>
            <w:r>
              <w:rPr>
                <w:kern w:val="0"/>
                <w:sz w:val="18"/>
                <w:szCs w:val="18"/>
              </w:rPr>
              <w:t>µg/g</w:t>
            </w:r>
          </w:p>
        </w:tc>
        <w:tc>
          <w:tcPr>
            <w:tcW w:w="1730" w:type="pc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实验室内允许相对差值</w:t>
            </w:r>
          </w:p>
          <w:p>
            <w:pPr>
              <w:widowControl/>
              <w:tabs>
                <w:tab w:val="center" w:pos="4201"/>
                <w:tab w:val="right" w:leader="dot" w:pos="9298"/>
              </w:tabs>
              <w:autoSpaceDE w:val="0"/>
              <w:autoSpaceDN w:val="0"/>
              <w:jc w:val="center"/>
              <w:rPr>
                <w:color w:val="000000"/>
                <w:kern w:val="0"/>
                <w:sz w:val="18"/>
                <w:szCs w:val="18"/>
              </w:rPr>
            </w:pPr>
            <w:r>
              <w:rPr>
                <w:color w:val="000000"/>
                <w:kern w:val="0"/>
                <w:sz w:val="18"/>
                <w:szCs w:val="18"/>
              </w:rPr>
              <w:t>%</w:t>
            </w:r>
          </w:p>
        </w:tc>
        <w:tc>
          <w:tcPr>
            <w:tcW w:w="1578" w:type="pct"/>
            <w:vAlign w:val="center"/>
          </w:tcPr>
          <w:p>
            <w:pPr>
              <w:widowControl/>
              <w:tabs>
                <w:tab w:val="center" w:pos="4201"/>
                <w:tab w:val="right" w:leader="dot" w:pos="9298"/>
              </w:tabs>
              <w:autoSpaceDE w:val="0"/>
              <w:autoSpaceDN w:val="0"/>
              <w:jc w:val="center"/>
              <w:rPr>
                <w:rFonts w:ascii="宋体" w:hAnsi="宋体"/>
                <w:color w:val="000000"/>
                <w:kern w:val="0"/>
                <w:sz w:val="18"/>
                <w:szCs w:val="18"/>
              </w:rPr>
            </w:pPr>
            <w:r>
              <w:rPr>
                <w:rFonts w:hint="eastAsia" w:ascii="宋体" w:hAnsi="宋体"/>
                <w:color w:val="000000"/>
                <w:kern w:val="0"/>
                <w:sz w:val="18"/>
                <w:szCs w:val="18"/>
              </w:rPr>
              <w:t>实验室间允许相对差值</w:t>
            </w:r>
          </w:p>
          <w:p>
            <w:pPr>
              <w:widowControl/>
              <w:tabs>
                <w:tab w:val="center" w:pos="4201"/>
                <w:tab w:val="right" w:leader="dot" w:pos="9298"/>
              </w:tabs>
              <w:autoSpaceDE w:val="0"/>
              <w:autoSpaceDN w:val="0"/>
              <w:jc w:val="center"/>
              <w:rPr>
                <w:color w:val="000000"/>
                <w:kern w:val="0"/>
                <w:sz w:val="18"/>
                <w:szCs w:val="18"/>
              </w:rPr>
            </w:pPr>
            <w:r>
              <w:rPr>
                <w:color w:val="000000"/>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atLeast"/>
        </w:trPr>
        <w:tc>
          <w:tcPr>
            <w:tcW w:w="1692" w:type="pct"/>
            <w:vAlign w:val="center"/>
          </w:tcPr>
          <w:p>
            <w:pPr>
              <w:jc w:val="center"/>
              <w:rPr>
                <w:sz w:val="18"/>
                <w:szCs w:val="18"/>
              </w:rPr>
            </w:pPr>
            <w:r>
              <w:rPr>
                <w:sz w:val="18"/>
                <w:szCs w:val="18"/>
              </w:rPr>
              <w:t>≥0.001～0.01</w:t>
            </w:r>
          </w:p>
        </w:tc>
        <w:tc>
          <w:tcPr>
            <w:tcW w:w="1730" w:type="pct"/>
            <w:vAlign w:val="center"/>
          </w:tcPr>
          <w:p>
            <w:pPr>
              <w:widowControl/>
              <w:tabs>
                <w:tab w:val="center" w:pos="4201"/>
                <w:tab w:val="right" w:leader="dot" w:pos="9298"/>
              </w:tabs>
              <w:autoSpaceDE w:val="0"/>
              <w:autoSpaceDN w:val="0"/>
              <w:jc w:val="center"/>
              <w:rPr>
                <w:kern w:val="0"/>
                <w:sz w:val="18"/>
                <w:szCs w:val="18"/>
              </w:rPr>
            </w:pPr>
            <w:r>
              <w:rPr>
                <w:rFonts w:hint="eastAsia"/>
                <w:kern w:val="0"/>
                <w:sz w:val="18"/>
                <w:szCs w:val="18"/>
              </w:rPr>
              <w:t>150</w:t>
            </w:r>
          </w:p>
        </w:tc>
        <w:tc>
          <w:tcPr>
            <w:tcW w:w="1578" w:type="pct"/>
            <w:vAlign w:val="center"/>
          </w:tcPr>
          <w:p>
            <w:pPr>
              <w:widowControl/>
              <w:tabs>
                <w:tab w:val="center" w:pos="4201"/>
                <w:tab w:val="right" w:leader="dot" w:pos="9298"/>
              </w:tabs>
              <w:autoSpaceDE w:val="0"/>
              <w:autoSpaceDN w:val="0"/>
              <w:jc w:val="center"/>
              <w:rPr>
                <w:kern w:val="0"/>
                <w:sz w:val="18"/>
                <w:szCs w:val="18"/>
              </w:rPr>
            </w:pPr>
            <w:r>
              <w:rPr>
                <w:rFonts w:hint="eastAsia"/>
                <w:kern w:val="0"/>
                <w:sz w:val="18"/>
                <w:szCs w:val="18"/>
              </w:rPr>
              <w:t>300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atLeast"/>
        </w:trPr>
        <w:tc>
          <w:tcPr>
            <w:tcW w:w="1692" w:type="pct"/>
            <w:vAlign w:val="center"/>
          </w:tcPr>
          <w:p>
            <w:pPr>
              <w:jc w:val="center"/>
              <w:rPr>
                <w:sz w:val="18"/>
                <w:szCs w:val="18"/>
              </w:rPr>
            </w:pPr>
            <w:r>
              <w:rPr>
                <w:sz w:val="18"/>
                <w:szCs w:val="18"/>
              </w:rPr>
              <w:t>≥0.01～0.1</w:t>
            </w:r>
          </w:p>
        </w:tc>
        <w:tc>
          <w:tcPr>
            <w:tcW w:w="1730" w:type="pct"/>
            <w:vAlign w:val="center"/>
          </w:tcPr>
          <w:p>
            <w:pPr>
              <w:widowControl/>
              <w:tabs>
                <w:tab w:val="center" w:pos="4201"/>
                <w:tab w:val="right" w:leader="dot" w:pos="9298"/>
              </w:tabs>
              <w:autoSpaceDE w:val="0"/>
              <w:autoSpaceDN w:val="0"/>
              <w:jc w:val="center"/>
              <w:rPr>
                <w:kern w:val="0"/>
                <w:sz w:val="18"/>
                <w:szCs w:val="18"/>
              </w:rPr>
            </w:pPr>
            <w:r>
              <w:rPr>
                <w:rFonts w:hint="eastAsia"/>
                <w:kern w:val="0"/>
                <w:sz w:val="18"/>
                <w:szCs w:val="18"/>
              </w:rPr>
              <w:t>80</w:t>
            </w:r>
          </w:p>
        </w:tc>
        <w:tc>
          <w:tcPr>
            <w:tcW w:w="1578" w:type="pct"/>
            <w:vAlign w:val="center"/>
          </w:tcPr>
          <w:p>
            <w:pPr>
              <w:widowControl/>
              <w:tabs>
                <w:tab w:val="center" w:pos="4201"/>
                <w:tab w:val="right" w:leader="dot" w:pos="9298"/>
              </w:tabs>
              <w:autoSpaceDE w:val="0"/>
              <w:autoSpaceDN w:val="0"/>
              <w:jc w:val="center"/>
              <w:rPr>
                <w:kern w:val="0"/>
                <w:sz w:val="18"/>
                <w:szCs w:val="18"/>
              </w:rPr>
            </w:pPr>
            <w:r>
              <w:rPr>
                <w:rFonts w:hint="eastAsia"/>
                <w:kern w:val="0"/>
                <w:sz w:val="18"/>
                <w:szCs w:val="18"/>
              </w:rPr>
              <w:t>200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atLeast"/>
        </w:trPr>
        <w:tc>
          <w:tcPr>
            <w:tcW w:w="1692" w:type="pct"/>
            <w:vAlign w:val="center"/>
          </w:tcPr>
          <w:p>
            <w:pPr>
              <w:jc w:val="center"/>
              <w:rPr>
                <w:sz w:val="18"/>
                <w:szCs w:val="18"/>
              </w:rPr>
            </w:pPr>
            <w:r>
              <w:rPr>
                <w:sz w:val="18"/>
                <w:szCs w:val="18"/>
              </w:rPr>
              <w:t>≥0.1～1</w:t>
            </w:r>
          </w:p>
        </w:tc>
        <w:tc>
          <w:tcPr>
            <w:tcW w:w="1730" w:type="pct"/>
            <w:vAlign w:val="center"/>
          </w:tcPr>
          <w:p>
            <w:pPr>
              <w:widowControl/>
              <w:tabs>
                <w:tab w:val="center" w:pos="4201"/>
                <w:tab w:val="right" w:leader="dot" w:pos="9298"/>
              </w:tabs>
              <w:autoSpaceDE w:val="0"/>
              <w:autoSpaceDN w:val="0"/>
              <w:jc w:val="center"/>
              <w:rPr>
                <w:kern w:val="0"/>
                <w:sz w:val="18"/>
                <w:szCs w:val="18"/>
              </w:rPr>
            </w:pPr>
            <w:r>
              <w:rPr>
                <w:rFonts w:hint="eastAsia"/>
                <w:kern w:val="0"/>
                <w:sz w:val="18"/>
                <w:szCs w:val="18"/>
              </w:rPr>
              <w:t>50</w:t>
            </w:r>
          </w:p>
        </w:tc>
        <w:tc>
          <w:tcPr>
            <w:tcW w:w="1578" w:type="pct"/>
            <w:vAlign w:val="center"/>
          </w:tcPr>
          <w:p>
            <w:pPr>
              <w:widowControl/>
              <w:tabs>
                <w:tab w:val="center" w:pos="4201"/>
                <w:tab w:val="right" w:leader="dot" w:pos="9298"/>
              </w:tabs>
              <w:autoSpaceDE w:val="0"/>
              <w:autoSpaceDN w:val="0"/>
              <w:jc w:val="center"/>
              <w:rPr>
                <w:kern w:val="0"/>
                <w:sz w:val="18"/>
                <w:szCs w:val="18"/>
              </w:rPr>
            </w:pPr>
            <w:r>
              <w:rPr>
                <w:rFonts w:hint="eastAsia"/>
                <w:kern w:val="0"/>
                <w:sz w:val="18"/>
                <w:szCs w:val="18"/>
              </w:rPr>
              <w:t>150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atLeast"/>
        </w:trPr>
        <w:tc>
          <w:tcPr>
            <w:tcW w:w="1692" w:type="pct"/>
            <w:vAlign w:val="center"/>
          </w:tcPr>
          <w:p>
            <w:pPr>
              <w:jc w:val="center"/>
              <w:rPr>
                <w:sz w:val="18"/>
                <w:szCs w:val="18"/>
              </w:rPr>
            </w:pPr>
            <w:r>
              <w:rPr>
                <w:sz w:val="18"/>
                <w:szCs w:val="18"/>
              </w:rPr>
              <w:t>≥1～10</w:t>
            </w:r>
          </w:p>
        </w:tc>
        <w:tc>
          <w:tcPr>
            <w:tcW w:w="1730" w:type="pct"/>
            <w:vAlign w:val="center"/>
          </w:tcPr>
          <w:p>
            <w:pPr>
              <w:widowControl/>
              <w:tabs>
                <w:tab w:val="center" w:pos="4201"/>
                <w:tab w:val="right" w:leader="dot" w:pos="9298"/>
              </w:tabs>
              <w:autoSpaceDE w:val="0"/>
              <w:autoSpaceDN w:val="0"/>
              <w:jc w:val="center"/>
              <w:rPr>
                <w:kern w:val="0"/>
                <w:sz w:val="18"/>
                <w:szCs w:val="18"/>
              </w:rPr>
            </w:pPr>
            <w:r>
              <w:rPr>
                <w:rFonts w:hint="eastAsia"/>
                <w:kern w:val="0"/>
                <w:sz w:val="18"/>
                <w:szCs w:val="18"/>
              </w:rPr>
              <w:t>30</w:t>
            </w:r>
          </w:p>
        </w:tc>
        <w:tc>
          <w:tcPr>
            <w:tcW w:w="1578" w:type="pct"/>
            <w:vAlign w:val="center"/>
          </w:tcPr>
          <w:p>
            <w:pPr>
              <w:widowControl/>
              <w:tabs>
                <w:tab w:val="center" w:pos="4201"/>
                <w:tab w:val="right" w:leader="dot" w:pos="9298"/>
              </w:tabs>
              <w:autoSpaceDE w:val="0"/>
              <w:autoSpaceDN w:val="0"/>
              <w:jc w:val="center"/>
              <w:rPr>
                <w:kern w:val="0"/>
                <w:sz w:val="18"/>
                <w:szCs w:val="18"/>
              </w:rPr>
            </w:pPr>
            <w:r>
              <w:rPr>
                <w:rFonts w:hint="eastAsia"/>
                <w:kern w:val="0"/>
                <w:sz w:val="18"/>
                <w:szCs w:val="18"/>
              </w:rPr>
              <w:t>80</w:t>
            </w:r>
          </w:p>
        </w:tc>
      </w:tr>
    </w:tbl>
    <w:p>
      <w:pPr>
        <w:pStyle w:val="51"/>
        <w:numPr>
          <w:ilvl w:val="0"/>
          <w:numId w:val="18"/>
        </w:numPr>
        <w:spacing w:before="312" w:after="312"/>
        <w:ind w:left="397" w:hanging="397"/>
        <w:rPr>
          <w:color w:val="000000" w:themeColor="text1"/>
          <w14:textFill>
            <w14:solidFill>
              <w14:schemeClr w14:val="tx1"/>
            </w14:solidFill>
          </w14:textFill>
        </w:rPr>
      </w:pPr>
      <w:r>
        <w:rPr>
          <w:rFonts w:hint="eastAsia"/>
          <w:color w:val="000000" w:themeColor="text1"/>
          <w14:textFill>
            <w14:solidFill>
              <w14:schemeClr w14:val="tx1"/>
            </w14:solidFill>
          </w14:textFill>
        </w:rPr>
        <w:t>试验报告</w:t>
      </w:r>
    </w:p>
    <w:p>
      <w:pPr>
        <w:tabs>
          <w:tab w:val="left" w:pos="315"/>
        </w:tabs>
        <w:autoSpaceDE w:val="0"/>
        <w:autoSpaceDN w:val="0"/>
        <w:adjustRightInd w:val="0"/>
        <w:spacing w:before="88"/>
        <w:ind w:right="-142" w:firstLine="420" w:firstLineChars="200"/>
        <w:rPr>
          <w:rFonts w:ascii="宋体" w:hAnsi="宋体" w:cs="宋体"/>
          <w:kern w:val="0"/>
          <w:szCs w:val="21"/>
        </w:rPr>
      </w:pPr>
      <w:r>
        <w:rPr>
          <w:rFonts w:ascii="宋体" w:hAnsi="宋体" w:cs="宋体"/>
          <w:kern w:val="0"/>
          <w:szCs w:val="21"/>
        </w:rPr>
        <w:t>试验报告至少应给出以下几个方面的内容：</w:t>
      </w:r>
    </w:p>
    <w:p>
      <w:pPr>
        <w:tabs>
          <w:tab w:val="left" w:pos="315"/>
        </w:tabs>
        <w:autoSpaceDE w:val="0"/>
        <w:autoSpaceDN w:val="0"/>
        <w:adjustRightInd w:val="0"/>
        <w:spacing w:before="88"/>
        <w:ind w:right="-142" w:firstLine="420" w:firstLineChars="200"/>
        <w:rPr>
          <w:rFonts w:ascii="宋体" w:hAnsi="宋体" w:cs="宋体"/>
          <w:kern w:val="0"/>
          <w:szCs w:val="21"/>
        </w:rPr>
      </w:pPr>
      <w:r>
        <w:rPr>
          <w:rFonts w:ascii="宋体" w:hAnsi="宋体" w:cs="宋体"/>
          <w:kern w:val="0"/>
          <w:szCs w:val="21"/>
        </w:rPr>
        <w:t>a)试样名称及编号；</w:t>
      </w:r>
    </w:p>
    <w:p>
      <w:pPr>
        <w:tabs>
          <w:tab w:val="left" w:pos="315"/>
        </w:tabs>
        <w:autoSpaceDE w:val="0"/>
        <w:autoSpaceDN w:val="0"/>
        <w:adjustRightInd w:val="0"/>
        <w:spacing w:before="88"/>
        <w:ind w:right="-142" w:firstLine="420" w:firstLineChars="200"/>
        <w:rPr>
          <w:rFonts w:ascii="宋体" w:hAnsi="宋体" w:cs="宋体"/>
          <w:kern w:val="0"/>
          <w:szCs w:val="21"/>
        </w:rPr>
      </w:pPr>
      <w:r>
        <w:rPr>
          <w:rFonts w:ascii="宋体" w:hAnsi="宋体" w:cs="宋体"/>
          <w:kern w:val="0"/>
          <w:szCs w:val="21"/>
        </w:rPr>
        <w:t>b)使用的标准（包括发布或出版年号）；</w:t>
      </w:r>
    </w:p>
    <w:p>
      <w:pPr>
        <w:tabs>
          <w:tab w:val="left" w:pos="315"/>
        </w:tabs>
        <w:autoSpaceDE w:val="0"/>
        <w:autoSpaceDN w:val="0"/>
        <w:adjustRightInd w:val="0"/>
        <w:spacing w:before="88"/>
        <w:ind w:right="-142" w:firstLine="420" w:firstLineChars="200"/>
        <w:rPr>
          <w:rFonts w:ascii="宋体" w:hAnsi="宋体" w:cs="宋体"/>
          <w:kern w:val="0"/>
          <w:szCs w:val="21"/>
        </w:rPr>
      </w:pPr>
      <w:r>
        <w:rPr>
          <w:rFonts w:ascii="宋体" w:hAnsi="宋体" w:cs="宋体"/>
          <w:kern w:val="0"/>
          <w:szCs w:val="21"/>
        </w:rPr>
        <w:t>c)分析结果及其表示；</w:t>
      </w:r>
    </w:p>
    <w:p>
      <w:pPr>
        <w:tabs>
          <w:tab w:val="left" w:pos="315"/>
        </w:tabs>
        <w:autoSpaceDE w:val="0"/>
        <w:autoSpaceDN w:val="0"/>
        <w:adjustRightInd w:val="0"/>
        <w:spacing w:before="88"/>
        <w:ind w:right="-142" w:firstLine="420" w:firstLineChars="200"/>
        <w:rPr>
          <w:rFonts w:ascii="宋体" w:hAnsi="宋体" w:cs="宋体"/>
          <w:kern w:val="0"/>
          <w:szCs w:val="21"/>
        </w:rPr>
      </w:pPr>
      <w:r>
        <w:rPr>
          <w:rFonts w:ascii="宋体" w:hAnsi="宋体" w:cs="宋体"/>
          <w:kern w:val="0"/>
          <w:szCs w:val="21"/>
        </w:rPr>
        <w:t>d)与基本分析步骤的差异（若有）；</w:t>
      </w:r>
    </w:p>
    <w:p>
      <w:pPr>
        <w:tabs>
          <w:tab w:val="left" w:pos="315"/>
        </w:tabs>
        <w:autoSpaceDE w:val="0"/>
        <w:autoSpaceDN w:val="0"/>
        <w:adjustRightInd w:val="0"/>
        <w:spacing w:before="88"/>
        <w:ind w:right="-142" w:firstLine="420" w:firstLineChars="200"/>
        <w:rPr>
          <w:rFonts w:ascii="宋体" w:hAnsi="宋体" w:cs="宋体"/>
          <w:kern w:val="0"/>
          <w:szCs w:val="21"/>
        </w:rPr>
      </w:pPr>
      <w:r>
        <w:rPr>
          <w:rFonts w:ascii="宋体" w:hAnsi="宋体" w:cs="宋体"/>
          <w:kern w:val="0"/>
          <w:szCs w:val="21"/>
        </w:rPr>
        <w:t>e)测定中观察到的异常现象（若有）；</w:t>
      </w:r>
    </w:p>
    <w:p>
      <w:pPr>
        <w:tabs>
          <w:tab w:val="left" w:pos="315"/>
        </w:tabs>
        <w:autoSpaceDE w:val="0"/>
        <w:autoSpaceDN w:val="0"/>
        <w:adjustRightInd w:val="0"/>
        <w:spacing w:before="88"/>
        <w:ind w:right="-142" w:firstLine="420" w:firstLineChars="200"/>
        <w:rPr>
          <w:rFonts w:ascii="宋体" w:hAnsi="宋体" w:cs="宋体"/>
          <w:kern w:val="0"/>
          <w:szCs w:val="21"/>
        </w:rPr>
      </w:pPr>
      <w:r>
        <w:rPr>
          <w:rFonts w:ascii="宋体" w:hAnsi="宋体" w:cs="宋体"/>
          <w:kern w:val="0"/>
          <w:szCs w:val="21"/>
        </w:rPr>
        <w:t>f)试验日期。</w:t>
      </w:r>
    </w:p>
    <w:p>
      <w:pPr>
        <w:tabs>
          <w:tab w:val="left" w:pos="1012"/>
        </w:tabs>
        <w:spacing w:line="360" w:lineRule="auto"/>
        <w:ind w:right="183" w:rightChars="87"/>
        <w:rPr>
          <w:rFonts w:ascii="宋体" w:hAnsi="宋体"/>
          <w:bCs/>
          <w:szCs w:val="21"/>
        </w:rPr>
      </w:pPr>
    </w:p>
    <w:p>
      <w:pPr>
        <w:pStyle w:val="24"/>
        <w:rPr>
          <w:color w:val="000000" w:themeColor="text1"/>
          <w14:textFill>
            <w14:solidFill>
              <w14:schemeClr w14:val="tx1"/>
            </w14:solidFill>
          </w14:textFill>
        </w:rPr>
      </w:pPr>
      <w:r>
        <mc:AlternateContent>
          <mc:Choice Requires="wps">
            <w:drawing>
              <wp:anchor distT="0" distB="0" distL="114300" distR="114300" simplePos="0" relativeHeight="251665408" behindDoc="0" locked="0" layoutInCell="1" allowOverlap="1">
                <wp:simplePos x="0" y="0"/>
                <wp:positionH relativeFrom="margin">
                  <wp:posOffset>1569085</wp:posOffset>
                </wp:positionH>
                <wp:positionV relativeFrom="paragraph">
                  <wp:posOffset>133985</wp:posOffset>
                </wp:positionV>
                <wp:extent cx="2801620" cy="0"/>
                <wp:effectExtent l="0" t="0" r="0" b="0"/>
                <wp:wrapNone/>
                <wp:docPr id="132126052"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2801620" cy="0"/>
                        </a:xfrm>
                        <a:prstGeom prst="line">
                          <a:avLst/>
                        </a:prstGeom>
                        <a:noFill/>
                        <a:ln w="9525">
                          <a:solidFill>
                            <a:srgbClr val="000000"/>
                          </a:solidFill>
                          <a:round/>
                        </a:ln>
                      </wps:spPr>
                      <wps:bodyPr/>
                    </wps:wsp>
                  </a:graphicData>
                </a:graphic>
              </wp:anchor>
            </w:drawing>
          </mc:Choice>
          <mc:Fallback>
            <w:pict>
              <v:line id="直接连接符 1" o:spid="_x0000_s1026" o:spt="20" style="position:absolute;left:0pt;flip:y;margin-left:123.55pt;margin-top:10.55pt;height:0pt;width:220.6pt;mso-position-horizontal-relative:margin;z-index:251665408;mso-width-relative:page;mso-height-relative:page;" filled="f" stroked="t" coordsize="21600,21600" o:gfxdata="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9/YIzVAAAACQEAAA8AAAAAAAAAAQAgAAAAIgAAAGRycy9kb3ducmV2LnhtbFBLAQIUABQAAAAI&#10;AIdO4kAL6vzW8AEAALwDAAAOAAAAAAAAAAEAIAAAACQBAABkcnMvZTJvRG9jLnhtbFBLBQYAAAAA&#10;BgAGAFkBAACGBQAAAAA=&#10;">
                <v:fill on="f" focussize="0,0"/>
                <v:stroke color="#000000" joinstyle="round"/>
                <v:imagedata o:title=""/>
                <o:lock v:ext="edit" aspectratio="f"/>
              </v:line>
            </w:pict>
          </mc:Fallback>
        </mc:AlternateContent>
      </w: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p>
    <w:p>
      <w:pPr>
        <w:pStyle w:val="24"/>
        <w:ind w:firstLine="0" w:firstLineChars="0"/>
        <w:jc w:val="center"/>
        <w:rPr>
          <w:rFonts w:ascii="黑体" w:eastAsia="黑体"/>
          <w:color w:val="000000"/>
          <w:szCs w:val="21"/>
        </w:rPr>
      </w:pPr>
      <w:r>
        <w:rPr>
          <w:rFonts w:hint="eastAsia" w:ascii="黑体" w:eastAsia="黑体"/>
          <w:color w:val="000000"/>
          <w:szCs w:val="21"/>
        </w:rPr>
        <w:t>附录A</w:t>
      </w:r>
    </w:p>
    <w:p>
      <w:pPr>
        <w:pStyle w:val="24"/>
        <w:ind w:firstLine="0" w:firstLineChars="0"/>
        <w:jc w:val="center"/>
        <w:rPr>
          <w:ins w:id="20" w:author="作者" w:date="2023-07-14T09:24:00Z"/>
          <w:rFonts w:ascii="黑体" w:eastAsia="黑体"/>
          <w:color w:val="000000"/>
          <w:szCs w:val="21"/>
        </w:rPr>
      </w:pPr>
      <w:r>
        <w:rPr>
          <w:rFonts w:hint="eastAsia" w:ascii="黑体" w:eastAsia="黑体"/>
          <w:color w:val="000000"/>
          <w:szCs w:val="21"/>
        </w:rPr>
        <w:t>（资料性）</w:t>
      </w:r>
    </w:p>
    <w:p>
      <w:pPr>
        <w:jc w:val="center"/>
        <w:rPr>
          <w:sz w:val="18"/>
          <w:szCs w:val="18"/>
        </w:rPr>
      </w:pPr>
      <w:r>
        <w:rPr>
          <w:rFonts w:hint="eastAsia"/>
          <w:sz w:val="18"/>
          <w:szCs w:val="18"/>
        </w:rPr>
        <w:t>表A</w:t>
      </w:r>
      <w:r>
        <w:rPr>
          <w:sz w:val="18"/>
          <w:szCs w:val="18"/>
        </w:rPr>
        <w:t xml:space="preserve">.1 </w:t>
      </w:r>
      <w:r>
        <w:rPr>
          <w:rFonts w:hint="eastAsia"/>
          <w:sz w:val="18"/>
          <w:szCs w:val="18"/>
        </w:rPr>
        <w:t>辉光放电质谱仪工作条件</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54"/>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4" w:type="dxa"/>
            <w:vAlign w:val="center"/>
          </w:tcPr>
          <w:p>
            <w:pPr>
              <w:adjustRightInd w:val="0"/>
              <w:snapToGrid w:val="0"/>
              <w:jc w:val="center"/>
              <w:rPr>
                <w:rFonts w:ascii="宋体"/>
                <w:b/>
                <w:bCs/>
                <w:sz w:val="18"/>
                <w:szCs w:val="18"/>
              </w:rPr>
            </w:pPr>
            <w:r>
              <w:rPr>
                <w:rFonts w:hint="eastAsia" w:ascii="宋体"/>
                <w:b/>
                <w:bCs/>
                <w:sz w:val="18"/>
                <w:szCs w:val="18"/>
              </w:rPr>
              <w:t>工作参数</w:t>
            </w:r>
          </w:p>
        </w:tc>
        <w:tc>
          <w:tcPr>
            <w:tcW w:w="2746" w:type="dxa"/>
            <w:vAlign w:val="center"/>
          </w:tcPr>
          <w:p>
            <w:pPr>
              <w:adjustRightInd w:val="0"/>
              <w:snapToGrid w:val="0"/>
              <w:jc w:val="center"/>
              <w:rPr>
                <w:rFonts w:ascii="宋体"/>
                <w:b/>
                <w:bCs/>
                <w:sz w:val="18"/>
                <w:szCs w:val="18"/>
              </w:rPr>
            </w:pPr>
            <w:r>
              <w:rPr>
                <w:rFonts w:hint="eastAsia" w:ascii="宋体"/>
                <w:b/>
                <w:bCs/>
                <w:sz w:val="18"/>
                <w:szCs w:val="18"/>
              </w:rPr>
              <w:t>参数值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4" w:type="dxa"/>
            <w:vAlign w:val="center"/>
          </w:tcPr>
          <w:p>
            <w:pPr>
              <w:adjustRightInd w:val="0"/>
              <w:snapToGrid w:val="0"/>
              <w:jc w:val="center"/>
              <w:rPr>
                <w:rFonts w:ascii="宋体"/>
                <w:sz w:val="18"/>
                <w:szCs w:val="18"/>
              </w:rPr>
            </w:pPr>
            <w:r>
              <w:rPr>
                <w:rFonts w:hint="eastAsia" w:ascii="宋体"/>
                <w:sz w:val="18"/>
                <w:szCs w:val="18"/>
              </w:rPr>
              <w:t>放电电流</w:t>
            </w:r>
          </w:p>
        </w:tc>
        <w:tc>
          <w:tcPr>
            <w:tcW w:w="2746" w:type="dxa"/>
            <w:vAlign w:val="center"/>
          </w:tcPr>
          <w:p>
            <w:pPr>
              <w:adjustRightInd w:val="0"/>
              <w:snapToGrid w:val="0"/>
              <w:jc w:val="center"/>
              <w:rPr>
                <w:rFonts w:ascii="宋体"/>
                <w:sz w:val="18"/>
                <w:szCs w:val="18"/>
              </w:rPr>
            </w:pPr>
            <w:r>
              <w:rPr>
                <w:rFonts w:ascii="宋体"/>
                <w:sz w:val="18"/>
                <w:szCs w:val="18"/>
              </w:rPr>
              <w:t>2.50mA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4" w:type="dxa"/>
            <w:vAlign w:val="center"/>
          </w:tcPr>
          <w:p>
            <w:pPr>
              <w:adjustRightInd w:val="0"/>
              <w:snapToGrid w:val="0"/>
              <w:jc w:val="center"/>
              <w:rPr>
                <w:rFonts w:ascii="宋体"/>
                <w:sz w:val="18"/>
                <w:szCs w:val="18"/>
              </w:rPr>
            </w:pPr>
            <w:r>
              <w:rPr>
                <w:rFonts w:hint="eastAsia" w:ascii="宋体"/>
                <w:sz w:val="18"/>
                <w:szCs w:val="18"/>
              </w:rPr>
              <w:t>放电电压</w:t>
            </w:r>
          </w:p>
        </w:tc>
        <w:tc>
          <w:tcPr>
            <w:tcW w:w="2746" w:type="dxa"/>
            <w:vAlign w:val="center"/>
          </w:tcPr>
          <w:p>
            <w:pPr>
              <w:adjustRightInd w:val="0"/>
              <w:snapToGrid w:val="0"/>
              <w:jc w:val="center"/>
              <w:rPr>
                <w:rFonts w:ascii="宋体"/>
                <w:sz w:val="18"/>
                <w:szCs w:val="18"/>
              </w:rPr>
            </w:pPr>
            <w:r>
              <w:rPr>
                <w:rFonts w:ascii="宋体"/>
                <w:sz w:val="18"/>
                <w:szCs w:val="18"/>
              </w:rPr>
              <w:t>1250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4" w:type="dxa"/>
            <w:vAlign w:val="center"/>
          </w:tcPr>
          <w:p>
            <w:pPr>
              <w:adjustRightInd w:val="0"/>
              <w:snapToGrid w:val="0"/>
              <w:jc w:val="center"/>
              <w:rPr>
                <w:rFonts w:ascii="宋体"/>
                <w:sz w:val="18"/>
                <w:szCs w:val="18"/>
              </w:rPr>
            </w:pPr>
            <w:r>
              <w:rPr>
                <w:rFonts w:hint="eastAsia" w:ascii="宋体"/>
                <w:sz w:val="18"/>
                <w:szCs w:val="18"/>
              </w:rPr>
              <w:t>工作气流量</w:t>
            </w:r>
          </w:p>
        </w:tc>
        <w:tc>
          <w:tcPr>
            <w:tcW w:w="2746" w:type="dxa"/>
            <w:vAlign w:val="center"/>
          </w:tcPr>
          <w:p>
            <w:pPr>
              <w:adjustRightInd w:val="0"/>
              <w:snapToGrid w:val="0"/>
              <w:jc w:val="center"/>
              <w:rPr>
                <w:rFonts w:ascii="宋体"/>
                <w:sz w:val="18"/>
                <w:szCs w:val="18"/>
              </w:rPr>
            </w:pPr>
            <w:r>
              <w:rPr>
                <w:rFonts w:ascii="宋体"/>
                <w:sz w:val="18"/>
                <w:szCs w:val="18"/>
              </w:rPr>
              <w:t>0.641 SCCM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4" w:type="dxa"/>
            <w:vAlign w:val="center"/>
          </w:tcPr>
          <w:p>
            <w:pPr>
              <w:adjustRightInd w:val="0"/>
              <w:snapToGrid w:val="0"/>
              <w:jc w:val="center"/>
              <w:rPr>
                <w:rFonts w:ascii="宋体"/>
                <w:sz w:val="18"/>
                <w:szCs w:val="18"/>
              </w:rPr>
            </w:pPr>
            <w:r>
              <w:rPr>
                <w:rFonts w:hint="eastAsia" w:ascii="宋体"/>
                <w:sz w:val="18"/>
                <w:szCs w:val="18"/>
              </w:rPr>
              <w:t>提取电压</w:t>
            </w:r>
          </w:p>
        </w:tc>
        <w:tc>
          <w:tcPr>
            <w:tcW w:w="2746" w:type="dxa"/>
            <w:vAlign w:val="center"/>
          </w:tcPr>
          <w:p>
            <w:pPr>
              <w:adjustRightInd w:val="0"/>
              <w:snapToGrid w:val="0"/>
              <w:jc w:val="center"/>
              <w:rPr>
                <w:rFonts w:ascii="宋体"/>
                <w:sz w:val="18"/>
                <w:szCs w:val="18"/>
              </w:rPr>
            </w:pPr>
            <w:r>
              <w:rPr>
                <w:rFonts w:ascii="宋体"/>
                <w:sz w:val="18"/>
                <w:szCs w:val="18"/>
              </w:rPr>
              <w:t>4795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4" w:type="dxa"/>
            <w:vAlign w:val="center"/>
          </w:tcPr>
          <w:p>
            <w:pPr>
              <w:adjustRightInd w:val="0"/>
              <w:snapToGrid w:val="0"/>
              <w:jc w:val="center"/>
              <w:rPr>
                <w:rFonts w:ascii="宋体"/>
                <w:sz w:val="18"/>
                <w:szCs w:val="18"/>
              </w:rPr>
            </w:pPr>
            <w:r>
              <w:rPr>
                <w:rFonts w:hint="eastAsia" w:ascii="宋体"/>
                <w:sz w:val="18"/>
                <w:szCs w:val="18"/>
              </w:rPr>
              <w:t>离子源垂直电压</w:t>
            </w:r>
          </w:p>
        </w:tc>
        <w:tc>
          <w:tcPr>
            <w:tcW w:w="2746" w:type="dxa"/>
            <w:vAlign w:val="center"/>
          </w:tcPr>
          <w:p>
            <w:pPr>
              <w:adjustRightInd w:val="0"/>
              <w:snapToGrid w:val="0"/>
              <w:jc w:val="center"/>
              <w:rPr>
                <w:rFonts w:ascii="宋体"/>
                <w:sz w:val="18"/>
                <w:szCs w:val="18"/>
              </w:rPr>
            </w:pPr>
            <w:r>
              <w:rPr>
                <w:rFonts w:ascii="宋体"/>
                <w:sz w:val="18"/>
                <w:szCs w:val="18"/>
              </w:rPr>
              <w:t>41.50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4" w:type="dxa"/>
            <w:vAlign w:val="center"/>
          </w:tcPr>
          <w:p>
            <w:pPr>
              <w:adjustRightInd w:val="0"/>
              <w:snapToGrid w:val="0"/>
              <w:jc w:val="center"/>
              <w:rPr>
                <w:rFonts w:ascii="宋体"/>
                <w:sz w:val="18"/>
                <w:szCs w:val="18"/>
              </w:rPr>
            </w:pPr>
            <w:r>
              <w:rPr>
                <w:rFonts w:hint="eastAsia" w:ascii="宋体"/>
                <w:sz w:val="18"/>
                <w:szCs w:val="18"/>
              </w:rPr>
              <w:t>离子源水平电压</w:t>
            </w:r>
          </w:p>
        </w:tc>
        <w:tc>
          <w:tcPr>
            <w:tcW w:w="2746" w:type="dxa"/>
            <w:vAlign w:val="center"/>
          </w:tcPr>
          <w:p>
            <w:pPr>
              <w:adjustRightInd w:val="0"/>
              <w:snapToGrid w:val="0"/>
              <w:jc w:val="center"/>
              <w:rPr>
                <w:rFonts w:ascii="宋体"/>
                <w:sz w:val="18"/>
                <w:szCs w:val="18"/>
              </w:rPr>
            </w:pPr>
            <w:r>
              <w:rPr>
                <w:rFonts w:ascii="宋体"/>
                <w:sz w:val="18"/>
                <w:szCs w:val="18"/>
              </w:rPr>
              <w:t>-29.50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4" w:type="dxa"/>
            <w:vAlign w:val="center"/>
          </w:tcPr>
          <w:p>
            <w:pPr>
              <w:adjustRightInd w:val="0"/>
              <w:snapToGrid w:val="0"/>
              <w:jc w:val="center"/>
              <w:rPr>
                <w:rFonts w:ascii="宋体"/>
                <w:sz w:val="18"/>
                <w:szCs w:val="18"/>
              </w:rPr>
            </w:pPr>
            <w:r>
              <w:rPr>
                <w:rFonts w:hint="eastAsia" w:ascii="宋体"/>
                <w:sz w:val="18"/>
                <w:szCs w:val="18"/>
              </w:rPr>
              <w:t>水平传送透镜电压</w:t>
            </w:r>
          </w:p>
        </w:tc>
        <w:tc>
          <w:tcPr>
            <w:tcW w:w="2746" w:type="dxa"/>
            <w:vAlign w:val="center"/>
          </w:tcPr>
          <w:p>
            <w:pPr>
              <w:adjustRightInd w:val="0"/>
              <w:snapToGrid w:val="0"/>
              <w:jc w:val="center"/>
              <w:rPr>
                <w:rFonts w:ascii="宋体"/>
                <w:sz w:val="18"/>
                <w:szCs w:val="18"/>
              </w:rPr>
            </w:pPr>
            <w:r>
              <w:rPr>
                <w:rFonts w:ascii="宋体"/>
                <w:sz w:val="18"/>
                <w:szCs w:val="18"/>
              </w:rPr>
              <w:t>1818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54" w:type="dxa"/>
            <w:vAlign w:val="center"/>
          </w:tcPr>
          <w:p>
            <w:pPr>
              <w:adjustRightInd w:val="0"/>
              <w:snapToGrid w:val="0"/>
              <w:jc w:val="center"/>
              <w:rPr>
                <w:rFonts w:ascii="宋体"/>
                <w:sz w:val="18"/>
                <w:szCs w:val="18"/>
              </w:rPr>
            </w:pPr>
            <w:r>
              <w:rPr>
                <w:rFonts w:hint="eastAsia" w:ascii="宋体"/>
                <w:sz w:val="18"/>
                <w:szCs w:val="18"/>
              </w:rPr>
              <w:t>垂直传送透镜电压</w:t>
            </w:r>
          </w:p>
        </w:tc>
        <w:tc>
          <w:tcPr>
            <w:tcW w:w="2746" w:type="dxa"/>
            <w:vAlign w:val="center"/>
          </w:tcPr>
          <w:p>
            <w:pPr>
              <w:adjustRightInd w:val="0"/>
              <w:snapToGrid w:val="0"/>
              <w:jc w:val="center"/>
              <w:rPr>
                <w:rFonts w:ascii="宋体"/>
                <w:sz w:val="18"/>
                <w:szCs w:val="18"/>
              </w:rPr>
            </w:pPr>
            <w:r>
              <w:rPr>
                <w:rFonts w:ascii="宋体"/>
                <w:sz w:val="18"/>
                <w:szCs w:val="18"/>
              </w:rPr>
              <w:t>1076 V</w:t>
            </w:r>
          </w:p>
        </w:tc>
      </w:tr>
    </w:tbl>
    <w:p>
      <w:pPr>
        <w:jc w:val="center"/>
        <w:rPr>
          <w:sz w:val="18"/>
          <w:szCs w:val="18"/>
        </w:rPr>
      </w:pPr>
    </w:p>
    <w:p>
      <w:pPr>
        <w:jc w:val="center"/>
        <w:rPr>
          <w:sz w:val="18"/>
          <w:szCs w:val="18"/>
        </w:rPr>
      </w:pPr>
      <w:r>
        <w:rPr>
          <w:rFonts w:hint="eastAsia"/>
          <w:sz w:val="18"/>
          <w:szCs w:val="18"/>
        </w:rPr>
        <w:t>表A</w:t>
      </w:r>
      <w:r>
        <w:rPr>
          <w:sz w:val="18"/>
          <w:szCs w:val="18"/>
        </w:rPr>
        <w:t>.</w:t>
      </w:r>
      <w:r>
        <w:rPr>
          <w:rFonts w:hint="eastAsia"/>
          <w:sz w:val="18"/>
          <w:szCs w:val="18"/>
        </w:rPr>
        <w:t>2</w:t>
      </w:r>
      <w:r>
        <w:rPr>
          <w:sz w:val="18"/>
          <w:szCs w:val="18"/>
        </w:rPr>
        <w:t xml:space="preserve"> </w:t>
      </w:r>
      <w:r>
        <w:rPr>
          <w:rFonts w:hint="eastAsia"/>
          <w:sz w:val="18"/>
          <w:szCs w:val="18"/>
        </w:rPr>
        <w:t>辉光放电质谱仪工作条件</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3"/>
        <w:gridCol w:w="2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563" w:type="dxa"/>
            <w:shd w:val="clear" w:color="auto" w:fill="auto"/>
            <w:vAlign w:val="center"/>
          </w:tcPr>
          <w:p>
            <w:pPr>
              <w:adjustRightInd w:val="0"/>
              <w:snapToGrid w:val="0"/>
              <w:jc w:val="center"/>
              <w:rPr>
                <w:b/>
                <w:bCs/>
                <w:sz w:val="18"/>
                <w:szCs w:val="18"/>
              </w:rPr>
            </w:pPr>
            <w:r>
              <w:rPr>
                <w:rFonts w:hint="eastAsia"/>
                <w:b/>
                <w:bCs/>
                <w:sz w:val="18"/>
                <w:szCs w:val="18"/>
              </w:rPr>
              <w:t>工作参数</w:t>
            </w:r>
          </w:p>
        </w:tc>
        <w:tc>
          <w:tcPr>
            <w:tcW w:w="2876" w:type="dxa"/>
            <w:shd w:val="clear" w:color="auto" w:fill="auto"/>
            <w:vAlign w:val="center"/>
          </w:tcPr>
          <w:p>
            <w:pPr>
              <w:adjustRightInd w:val="0"/>
              <w:snapToGrid w:val="0"/>
              <w:jc w:val="center"/>
              <w:rPr>
                <w:b/>
                <w:bCs/>
                <w:sz w:val="18"/>
                <w:szCs w:val="18"/>
              </w:rPr>
            </w:pPr>
            <w:r>
              <w:rPr>
                <w:rFonts w:hint="eastAsia"/>
                <w:b/>
                <w:bCs/>
                <w:sz w:val="18"/>
                <w:szCs w:val="18"/>
              </w:rPr>
              <w:t>参数值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563" w:type="dxa"/>
            <w:shd w:val="clear" w:color="auto" w:fill="auto"/>
          </w:tcPr>
          <w:p>
            <w:pPr>
              <w:adjustRightInd w:val="0"/>
              <w:snapToGrid w:val="0"/>
              <w:jc w:val="center"/>
              <w:rPr>
                <w:sz w:val="18"/>
                <w:szCs w:val="18"/>
              </w:rPr>
            </w:pPr>
            <w:r>
              <w:rPr>
                <w:rFonts w:hint="eastAsia"/>
                <w:sz w:val="18"/>
                <w:szCs w:val="18"/>
              </w:rPr>
              <w:t>放电电流</w:t>
            </w:r>
          </w:p>
        </w:tc>
        <w:tc>
          <w:tcPr>
            <w:tcW w:w="2876" w:type="dxa"/>
            <w:shd w:val="clear" w:color="auto" w:fill="auto"/>
          </w:tcPr>
          <w:p>
            <w:pPr>
              <w:adjustRightInd w:val="0"/>
              <w:snapToGrid w:val="0"/>
              <w:jc w:val="center"/>
              <w:rPr>
                <w:sz w:val="18"/>
                <w:szCs w:val="18"/>
              </w:rPr>
            </w:pPr>
            <w:r>
              <w:rPr>
                <w:rFonts w:hint="eastAsia"/>
                <w:sz w:val="18"/>
                <w:szCs w:val="18"/>
              </w:rPr>
              <w:t>20</w:t>
            </w:r>
            <w:r>
              <w:rPr>
                <w:sz w:val="18"/>
                <w:szCs w:val="18"/>
              </w:rPr>
              <w:t xml:space="preserve"> 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563" w:type="dxa"/>
            <w:shd w:val="clear" w:color="auto" w:fill="auto"/>
          </w:tcPr>
          <w:p>
            <w:pPr>
              <w:adjustRightInd w:val="0"/>
              <w:snapToGrid w:val="0"/>
              <w:jc w:val="center"/>
              <w:rPr>
                <w:sz w:val="18"/>
                <w:szCs w:val="18"/>
              </w:rPr>
            </w:pPr>
            <w:r>
              <w:rPr>
                <w:rFonts w:hint="eastAsia"/>
                <w:sz w:val="18"/>
                <w:szCs w:val="18"/>
              </w:rPr>
              <w:t>放电电压</w:t>
            </w:r>
          </w:p>
        </w:tc>
        <w:tc>
          <w:tcPr>
            <w:tcW w:w="2876" w:type="dxa"/>
            <w:shd w:val="clear" w:color="auto" w:fill="auto"/>
          </w:tcPr>
          <w:p>
            <w:pPr>
              <w:adjustRightInd w:val="0"/>
              <w:snapToGrid w:val="0"/>
              <w:jc w:val="center"/>
              <w:rPr>
                <w:sz w:val="18"/>
                <w:szCs w:val="18"/>
              </w:rPr>
            </w:pPr>
            <w:r>
              <w:rPr>
                <w:sz w:val="18"/>
                <w:szCs w:val="18"/>
              </w:rPr>
              <w:t>900~1100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563" w:type="dxa"/>
            <w:shd w:val="clear" w:color="auto" w:fill="auto"/>
          </w:tcPr>
          <w:p>
            <w:pPr>
              <w:adjustRightInd w:val="0"/>
              <w:snapToGrid w:val="0"/>
              <w:jc w:val="center"/>
              <w:rPr>
                <w:sz w:val="18"/>
                <w:szCs w:val="18"/>
              </w:rPr>
            </w:pPr>
            <w:r>
              <w:rPr>
                <w:rFonts w:hint="eastAsia"/>
                <w:sz w:val="18"/>
                <w:szCs w:val="18"/>
              </w:rPr>
              <w:t>工作气流量</w:t>
            </w:r>
          </w:p>
        </w:tc>
        <w:tc>
          <w:tcPr>
            <w:tcW w:w="2876" w:type="dxa"/>
            <w:shd w:val="clear" w:color="auto" w:fill="auto"/>
          </w:tcPr>
          <w:p>
            <w:pPr>
              <w:adjustRightInd w:val="0"/>
              <w:snapToGrid w:val="0"/>
              <w:jc w:val="center"/>
              <w:rPr>
                <w:sz w:val="18"/>
                <w:szCs w:val="18"/>
              </w:rPr>
            </w:pPr>
            <w:r>
              <w:rPr>
                <w:sz w:val="18"/>
                <w:szCs w:val="18"/>
              </w:rPr>
              <w:t>470/(mL/min)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563" w:type="dxa"/>
            <w:shd w:val="clear" w:color="auto" w:fill="auto"/>
          </w:tcPr>
          <w:p>
            <w:pPr>
              <w:adjustRightInd w:val="0"/>
              <w:snapToGrid w:val="0"/>
              <w:jc w:val="center"/>
              <w:rPr>
                <w:sz w:val="18"/>
                <w:szCs w:val="18"/>
                <w:highlight w:val="yellow"/>
              </w:rPr>
            </w:pPr>
            <w:r>
              <w:rPr>
                <w:rFonts w:hint="eastAsia"/>
                <w:sz w:val="18"/>
                <w:szCs w:val="18"/>
              </w:rPr>
              <w:t>提取电压</w:t>
            </w:r>
          </w:p>
        </w:tc>
        <w:tc>
          <w:tcPr>
            <w:tcW w:w="2876" w:type="dxa"/>
            <w:shd w:val="clear" w:color="auto" w:fill="auto"/>
          </w:tcPr>
          <w:p>
            <w:pPr>
              <w:adjustRightInd w:val="0"/>
              <w:snapToGrid w:val="0"/>
              <w:jc w:val="center"/>
              <w:rPr>
                <w:sz w:val="18"/>
                <w:szCs w:val="18"/>
                <w:highlight w:val="yellow"/>
              </w:rPr>
            </w:pPr>
            <w:r>
              <w:rPr>
                <w:sz w:val="18"/>
                <w:szCs w:val="18"/>
              </w:rPr>
              <w:t>-2000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563" w:type="dxa"/>
            <w:shd w:val="clear" w:color="auto" w:fill="auto"/>
          </w:tcPr>
          <w:p>
            <w:pPr>
              <w:adjustRightInd w:val="0"/>
              <w:snapToGrid w:val="0"/>
              <w:jc w:val="center"/>
              <w:rPr>
                <w:sz w:val="18"/>
                <w:szCs w:val="18"/>
                <w:highlight w:val="yellow"/>
              </w:rPr>
            </w:pPr>
            <w:r>
              <w:rPr>
                <w:rFonts w:hint="eastAsia"/>
                <w:sz w:val="18"/>
                <w:szCs w:val="18"/>
              </w:rPr>
              <w:t>聚焦电压</w:t>
            </w:r>
            <w:r>
              <w:rPr>
                <w:sz w:val="18"/>
                <w:szCs w:val="18"/>
              </w:rPr>
              <w:t>/</w:t>
            </w:r>
          </w:p>
        </w:tc>
        <w:tc>
          <w:tcPr>
            <w:tcW w:w="2876" w:type="dxa"/>
            <w:shd w:val="clear" w:color="auto" w:fill="auto"/>
          </w:tcPr>
          <w:p>
            <w:pPr>
              <w:adjustRightInd w:val="0"/>
              <w:snapToGrid w:val="0"/>
              <w:jc w:val="center"/>
              <w:rPr>
                <w:sz w:val="18"/>
                <w:szCs w:val="18"/>
              </w:rPr>
            </w:pPr>
            <w:r>
              <w:rPr>
                <w:sz w:val="18"/>
                <w:szCs w:val="18"/>
              </w:rPr>
              <w:t>-986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563" w:type="dxa"/>
            <w:shd w:val="clear" w:color="auto" w:fill="auto"/>
          </w:tcPr>
          <w:p>
            <w:pPr>
              <w:adjustRightInd w:val="0"/>
              <w:snapToGrid w:val="0"/>
              <w:jc w:val="center"/>
              <w:rPr>
                <w:sz w:val="18"/>
                <w:szCs w:val="18"/>
              </w:rPr>
            </w:pPr>
            <w:r>
              <w:rPr>
                <w:sz w:val="18"/>
                <w:szCs w:val="18"/>
              </w:rPr>
              <w:t>X-</w:t>
            </w:r>
            <w:r>
              <w:rPr>
                <w:rFonts w:hint="eastAsia"/>
                <w:sz w:val="18"/>
                <w:szCs w:val="18"/>
              </w:rPr>
              <w:t>偏转电压</w:t>
            </w:r>
            <w:r>
              <w:rPr>
                <w:sz w:val="18"/>
                <w:szCs w:val="18"/>
              </w:rPr>
              <w:t xml:space="preserve"> /</w:t>
            </w:r>
          </w:p>
        </w:tc>
        <w:tc>
          <w:tcPr>
            <w:tcW w:w="2876" w:type="dxa"/>
            <w:shd w:val="clear" w:color="auto" w:fill="auto"/>
          </w:tcPr>
          <w:p>
            <w:pPr>
              <w:adjustRightInd w:val="0"/>
              <w:snapToGrid w:val="0"/>
              <w:jc w:val="center"/>
              <w:rPr>
                <w:sz w:val="18"/>
                <w:szCs w:val="18"/>
              </w:rPr>
            </w:pPr>
            <w:r>
              <w:rPr>
                <w:sz w:val="18"/>
                <w:szCs w:val="18"/>
              </w:rPr>
              <w:t>-0.96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563" w:type="dxa"/>
            <w:shd w:val="clear" w:color="auto" w:fill="auto"/>
          </w:tcPr>
          <w:p>
            <w:pPr>
              <w:adjustRightInd w:val="0"/>
              <w:snapToGrid w:val="0"/>
              <w:jc w:val="center"/>
              <w:rPr>
                <w:sz w:val="18"/>
                <w:szCs w:val="18"/>
              </w:rPr>
            </w:pPr>
            <w:r>
              <w:rPr>
                <w:sz w:val="18"/>
                <w:szCs w:val="18"/>
              </w:rPr>
              <w:t>Y-</w:t>
            </w:r>
            <w:r>
              <w:rPr>
                <w:rFonts w:hint="eastAsia"/>
                <w:sz w:val="18"/>
                <w:szCs w:val="18"/>
              </w:rPr>
              <w:t>偏转电压</w:t>
            </w:r>
            <w:r>
              <w:rPr>
                <w:sz w:val="18"/>
                <w:szCs w:val="18"/>
              </w:rPr>
              <w:t xml:space="preserve"> /</w:t>
            </w:r>
          </w:p>
        </w:tc>
        <w:tc>
          <w:tcPr>
            <w:tcW w:w="2876" w:type="dxa"/>
            <w:shd w:val="clear" w:color="auto" w:fill="auto"/>
          </w:tcPr>
          <w:p>
            <w:pPr>
              <w:adjustRightInd w:val="0"/>
              <w:snapToGrid w:val="0"/>
              <w:jc w:val="center"/>
              <w:rPr>
                <w:sz w:val="18"/>
                <w:szCs w:val="18"/>
              </w:rPr>
            </w:pPr>
            <w:r>
              <w:rPr>
                <w:sz w:val="18"/>
                <w:szCs w:val="18"/>
              </w:rPr>
              <w:t>-0.10 V</w:t>
            </w:r>
          </w:p>
        </w:tc>
      </w:tr>
    </w:tbl>
    <w:p>
      <w:pPr>
        <w:pStyle w:val="24"/>
        <w:ind w:firstLine="3360" w:firstLineChars="1600"/>
        <w:rPr>
          <w:ins w:id="21" w:author="作者" w:date="2023-07-14T09:25:00Z"/>
          <w:color w:val="000000" w:themeColor="text1"/>
          <w14:textFill>
            <w14:solidFill>
              <w14:schemeClr w14:val="tx1"/>
            </w14:solidFill>
          </w14:textFill>
        </w:rPr>
      </w:pPr>
    </w:p>
    <w:p>
      <w:pPr>
        <w:pStyle w:val="24"/>
        <w:ind w:firstLine="3360" w:firstLineChars="1600"/>
        <w:rPr>
          <w:ins w:id="22" w:author="作者" w:date="2023-07-14T09:25:00Z"/>
          <w:color w:val="000000" w:themeColor="text1"/>
          <w14:textFill>
            <w14:solidFill>
              <w14:schemeClr w14:val="tx1"/>
            </w14:solidFill>
          </w14:textFill>
        </w:rPr>
      </w:pPr>
    </w:p>
    <w:p>
      <w:pPr>
        <w:pStyle w:val="24"/>
        <w:ind w:firstLine="0" w:firstLineChars="0"/>
        <w:rPr>
          <w:color w:val="000000" w:themeColor="text1"/>
          <w14:textFill>
            <w14:solidFill>
              <w14:schemeClr w14:val="tx1"/>
            </w14:solidFill>
          </w14:textFill>
        </w:rPr>
        <w:pPrChange w:id="23" w:author="作者" w:date="2023-07-14T09:26:00Z">
          <w:pPr>
            <w:pStyle w:val="24"/>
            <w:ind w:firstLine="3360" w:firstLineChars="1600"/>
          </w:pPr>
        </w:pPrChange>
      </w:pPr>
    </w:p>
    <w:p>
      <w:pPr>
        <w:pStyle w:val="118"/>
        <w:jc w:val="both"/>
        <w:rPr>
          <w:rFonts w:hint="eastAsia"/>
          <w:color w:val="000000" w:themeColor="text1"/>
          <w14:textFill>
            <w14:solidFill>
              <w14:schemeClr w14:val="tx1"/>
            </w14:solidFill>
          </w14:textFill>
        </w:rPr>
      </w:pPr>
    </w:p>
    <w:sectPr>
      <w:pgSz w:w="11906" w:h="16838"/>
      <w:pgMar w:top="567" w:right="1134" w:bottom="1134" w:left="1418" w:header="1418" w:footer="1134" w:gutter="0"/>
      <w:pgNumType w:fmt="upperRoman"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Arial Unicode MS">
    <w:panose1 w:val="020B0604020202020204"/>
    <w:charset w:val="86"/>
    <w:family w:val="swiss"/>
    <w:pitch w:val="default"/>
    <w:sig w:usb0="FFFFFFFF" w:usb1="E9FFFFFF" w:usb2="0000003F" w:usb3="00000000" w:csb0="603F01FF" w:csb1="FFFF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w:fldChar w:fldCharType="begin"/>
    </w:r>
    <w:r>
      <w:instrText xml:space="preserve"> PAGE  \* MERGEFORMAT </w:instrText>
    </w:r>
    <w:r>
      <w:fldChar w:fldCharType="separate"/>
    </w:r>
    <w: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t>YS/T XXXX</w:t>
    </w:r>
    <w:r>
      <w:rPr>
        <w:rFonts w:hint="eastAsia" w:asciiTheme="minorEastAsia" w:hAnsiTheme="minorEastAsia" w:eastAsiaTheme="minorEastAsia"/>
      </w:rP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70"/>
      <w:suff w:val="nothing"/>
      <w:lvlText w:val="%1%2.%3　"/>
      <w:lvlJc w:val="left"/>
      <w:pPr>
        <w:ind w:left="0" w:firstLine="0"/>
      </w:pPr>
      <w:rPr>
        <w:rFonts w:hint="eastAsia" w:ascii="黑体" w:hAnsi="Times New Roman" w:eastAsia="黑体"/>
        <w:b w:val="0"/>
        <w:i w:val="0"/>
        <w:sz w:val="21"/>
      </w:rPr>
    </w:lvl>
    <w:lvl w:ilvl="3" w:tentative="0">
      <w:start w:val="1"/>
      <w:numFmt w:val="decimal"/>
      <w:pStyle w:val="166"/>
      <w:suff w:val="nothing"/>
      <w:lvlText w:val="%1%2.%3.%4　"/>
      <w:lvlJc w:val="left"/>
      <w:pPr>
        <w:ind w:left="0" w:firstLine="0"/>
      </w:pPr>
      <w:rPr>
        <w:rFonts w:hint="eastAsia" w:ascii="黑体" w:hAnsi="Times New Roman" w:eastAsia="黑体"/>
        <w:b w:val="0"/>
        <w:i w:val="0"/>
        <w:sz w:val="21"/>
      </w:rPr>
    </w:lvl>
    <w:lvl w:ilvl="4" w:tentative="0">
      <w:start w:val="1"/>
      <w:numFmt w:val="decimal"/>
      <w:pStyle w:val="167"/>
      <w:suff w:val="nothing"/>
      <w:lvlText w:val="%1%2.%3.%4.%5　"/>
      <w:lvlJc w:val="left"/>
      <w:pPr>
        <w:ind w:left="0" w:firstLine="0"/>
      </w:pPr>
      <w:rPr>
        <w:rFonts w:hint="eastAsia" w:ascii="黑体" w:hAnsi="Times New Roman" w:eastAsia="黑体"/>
        <w:b w:val="0"/>
        <w:i w:val="0"/>
        <w:sz w:val="21"/>
      </w:rPr>
    </w:lvl>
    <w:lvl w:ilvl="5" w:tentative="0">
      <w:start w:val="1"/>
      <w:numFmt w:val="decimal"/>
      <w:pStyle w:val="168"/>
      <w:suff w:val="nothing"/>
      <w:lvlText w:val="%1%2.%3.%4.%5.%6　"/>
      <w:lvlJc w:val="left"/>
      <w:pPr>
        <w:ind w:left="0" w:firstLine="0"/>
      </w:pPr>
      <w:rPr>
        <w:rFonts w:hint="eastAsia" w:ascii="黑体" w:hAnsi="Times New Roman" w:eastAsia="黑体"/>
        <w:b w:val="0"/>
        <w:i w:val="0"/>
        <w:sz w:val="21"/>
      </w:rPr>
    </w:lvl>
    <w:lvl w:ilvl="6" w:tentative="0">
      <w:start w:val="1"/>
      <w:numFmt w:val="decimal"/>
      <w:pStyle w:val="16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79102AD"/>
    <w:multiLevelType w:val="multilevel"/>
    <w:tmpl w:val="079102AD"/>
    <w:lvl w:ilvl="0" w:tentative="0">
      <w:start w:val="1"/>
      <w:numFmt w:val="decimal"/>
      <w:pStyle w:val="6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22"/>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5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2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7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2A8F7113"/>
    <w:multiLevelType w:val="multilevel"/>
    <w:tmpl w:val="2A8F7113"/>
    <w:lvl w:ilvl="0" w:tentative="0">
      <w:start w:val="1"/>
      <w:numFmt w:val="upperLetter"/>
      <w:pStyle w:val="104"/>
      <w:suff w:val="space"/>
      <w:lvlText w:val="%1"/>
      <w:lvlJc w:val="left"/>
      <w:pPr>
        <w:ind w:left="623" w:hanging="425"/>
      </w:pPr>
      <w:rPr>
        <w:rFonts w:hint="eastAsia"/>
      </w:rPr>
    </w:lvl>
    <w:lvl w:ilvl="1" w:tentative="0">
      <w:start w:val="1"/>
      <w:numFmt w:val="decimal"/>
      <w:pStyle w:val="10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54"/>
      <w:suff w:val="nothing"/>
      <w:lvlText w:val="%1——"/>
      <w:lvlJc w:val="left"/>
      <w:pPr>
        <w:ind w:left="976" w:hanging="408"/>
      </w:pPr>
      <w:rPr>
        <w:rFonts w:hint="eastAsia"/>
        <w:lang w:val="en-US"/>
      </w:rPr>
    </w:lvl>
    <w:lvl w:ilvl="1" w:tentative="0">
      <w:start w:val="1"/>
      <w:numFmt w:val="bullet"/>
      <w:pStyle w:val="55"/>
      <w:lvlText w:val=""/>
      <w:lvlJc w:val="left"/>
      <w:pPr>
        <w:tabs>
          <w:tab w:val="left" w:pos="903"/>
        </w:tabs>
        <w:ind w:left="1407" w:hanging="413"/>
      </w:pPr>
      <w:rPr>
        <w:rFonts w:hint="default" w:ascii="Symbol" w:hAnsi="Symbol"/>
        <w:color w:val="auto"/>
      </w:rPr>
    </w:lvl>
    <w:lvl w:ilvl="2" w:tentative="0">
      <w:start w:val="1"/>
      <w:numFmt w:val="bullet"/>
      <w:pStyle w:val="66"/>
      <w:lvlText w:val=""/>
      <w:lvlJc w:val="left"/>
      <w:pPr>
        <w:tabs>
          <w:tab w:val="left" w:pos="1821"/>
        </w:tabs>
        <w:ind w:left="1821" w:hanging="414"/>
      </w:pPr>
      <w:rPr>
        <w:rFonts w:hint="default" w:ascii="Symbol" w:hAnsi="Symbol"/>
        <w:color w:val="auto"/>
      </w:rPr>
    </w:lvl>
    <w:lvl w:ilvl="3" w:tentative="0">
      <w:start w:val="1"/>
      <w:numFmt w:val="decimal"/>
      <w:lvlText w:val="%4."/>
      <w:lvlJc w:val="left"/>
      <w:pPr>
        <w:tabs>
          <w:tab w:val="left" w:pos="2214"/>
        </w:tabs>
        <w:ind w:left="2027" w:hanging="528"/>
      </w:pPr>
      <w:rPr>
        <w:rFonts w:hint="eastAsia"/>
      </w:rPr>
    </w:lvl>
    <w:lvl w:ilvl="4" w:tentative="0">
      <w:start w:val="1"/>
      <w:numFmt w:val="lowerLetter"/>
      <w:lvlText w:val="%5)"/>
      <w:lvlJc w:val="left"/>
      <w:pPr>
        <w:tabs>
          <w:tab w:val="left" w:pos="2526"/>
        </w:tabs>
        <w:ind w:left="2339" w:hanging="528"/>
      </w:pPr>
      <w:rPr>
        <w:rFonts w:hint="eastAsia"/>
      </w:rPr>
    </w:lvl>
    <w:lvl w:ilvl="5" w:tentative="0">
      <w:start w:val="1"/>
      <w:numFmt w:val="lowerRoman"/>
      <w:lvlText w:val="%6."/>
      <w:lvlJc w:val="right"/>
      <w:pPr>
        <w:tabs>
          <w:tab w:val="left" w:pos="2838"/>
        </w:tabs>
        <w:ind w:left="2651" w:hanging="528"/>
      </w:pPr>
      <w:rPr>
        <w:rFonts w:hint="eastAsia"/>
      </w:rPr>
    </w:lvl>
    <w:lvl w:ilvl="6" w:tentative="0">
      <w:start w:val="1"/>
      <w:numFmt w:val="decimal"/>
      <w:lvlText w:val="%7."/>
      <w:lvlJc w:val="left"/>
      <w:pPr>
        <w:tabs>
          <w:tab w:val="left" w:pos="3150"/>
        </w:tabs>
        <w:ind w:left="2963" w:hanging="528"/>
      </w:pPr>
      <w:rPr>
        <w:rFonts w:hint="eastAsia"/>
      </w:rPr>
    </w:lvl>
    <w:lvl w:ilvl="7" w:tentative="0">
      <w:start w:val="1"/>
      <w:numFmt w:val="lowerLetter"/>
      <w:lvlText w:val="%8)"/>
      <w:lvlJc w:val="left"/>
      <w:pPr>
        <w:tabs>
          <w:tab w:val="left" w:pos="3462"/>
        </w:tabs>
        <w:ind w:left="3275" w:hanging="528"/>
      </w:pPr>
      <w:rPr>
        <w:rFonts w:hint="eastAsia"/>
      </w:rPr>
    </w:lvl>
    <w:lvl w:ilvl="8" w:tentative="0">
      <w:start w:val="1"/>
      <w:numFmt w:val="lowerRoman"/>
      <w:lvlText w:val="%9."/>
      <w:lvlJc w:val="right"/>
      <w:pPr>
        <w:tabs>
          <w:tab w:val="left" w:pos="3774"/>
        </w:tabs>
        <w:ind w:left="3587" w:hanging="528"/>
      </w:pPr>
      <w:rPr>
        <w:rFonts w:hint="eastAsia"/>
      </w:rPr>
    </w:lvl>
  </w:abstractNum>
  <w:abstractNum w:abstractNumId="8">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6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0"/>
      <w:lvlText w:val="%2)"/>
      <w:lvlJc w:val="left"/>
      <w:pPr>
        <w:tabs>
          <w:tab w:val="left" w:pos="1260"/>
        </w:tabs>
        <w:ind w:left="1259" w:hanging="419"/>
      </w:pPr>
      <w:rPr>
        <w:rFonts w:hint="eastAsia"/>
      </w:rPr>
    </w:lvl>
    <w:lvl w:ilvl="2" w:tentative="0">
      <w:start w:val="1"/>
      <w:numFmt w:val="decimal"/>
      <w:pStyle w:val="6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6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3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92"/>
      <w:lvlText w:val="%1"/>
      <w:lvlJc w:val="left"/>
      <w:pPr>
        <w:tabs>
          <w:tab w:val="left" w:pos="0"/>
        </w:tabs>
        <w:ind w:left="0" w:hanging="425"/>
      </w:pPr>
      <w:rPr>
        <w:rFonts w:hint="eastAsia"/>
      </w:rPr>
    </w:lvl>
    <w:lvl w:ilvl="1" w:tentative="0">
      <w:start w:val="1"/>
      <w:numFmt w:val="decimal"/>
      <w:pStyle w:val="9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57D3FBC"/>
    <w:multiLevelType w:val="multilevel"/>
    <w:tmpl w:val="657D3FBC"/>
    <w:lvl w:ilvl="0" w:tentative="0">
      <w:start w:val="1"/>
      <w:numFmt w:val="upperLetter"/>
      <w:pStyle w:val="9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9"/>
      <w:suff w:val="nothing"/>
      <w:lvlText w:val="%1.%2.%3　"/>
      <w:lvlJc w:val="left"/>
      <w:pPr>
        <w:ind w:left="0" w:firstLine="0"/>
      </w:pPr>
      <w:rPr>
        <w:rFonts w:hint="eastAsia" w:ascii="黑体" w:hAnsi="Times New Roman" w:eastAsia="黑体"/>
        <w:b w:val="0"/>
        <w:i w:val="0"/>
        <w:sz w:val="21"/>
      </w:rPr>
    </w:lvl>
    <w:lvl w:ilvl="3" w:tentative="0">
      <w:start w:val="1"/>
      <w:numFmt w:val="decimal"/>
      <w:pStyle w:val="94"/>
      <w:suff w:val="nothing"/>
      <w:lvlText w:val="%1.%2.%3.%4　"/>
      <w:lvlJc w:val="left"/>
      <w:pPr>
        <w:ind w:left="0" w:firstLine="0"/>
      </w:pPr>
      <w:rPr>
        <w:rFonts w:hint="eastAsia" w:ascii="黑体" w:hAnsi="Times New Roman" w:eastAsia="黑体"/>
        <w:b w:val="0"/>
        <w:i w:val="0"/>
        <w:sz w:val="21"/>
      </w:rPr>
    </w:lvl>
    <w:lvl w:ilvl="4" w:tentative="0">
      <w:start w:val="1"/>
      <w:numFmt w:val="decimal"/>
      <w:pStyle w:val="99"/>
      <w:suff w:val="nothing"/>
      <w:lvlText w:val="%1.%2.%3.%4.%5　"/>
      <w:lvlJc w:val="left"/>
      <w:pPr>
        <w:ind w:left="0" w:firstLine="0"/>
      </w:pPr>
      <w:rPr>
        <w:rFonts w:hint="eastAsia" w:ascii="黑体" w:hAnsi="Times New Roman" w:eastAsia="黑体"/>
        <w:b w:val="0"/>
        <w:i w:val="0"/>
        <w:sz w:val="21"/>
      </w:rPr>
    </w:lvl>
    <w:lvl w:ilvl="5" w:tentative="0">
      <w:start w:val="1"/>
      <w:numFmt w:val="decimal"/>
      <w:pStyle w:val="102"/>
      <w:suff w:val="nothing"/>
      <w:lvlText w:val="%1.%2.%3.%4.%5.%6　"/>
      <w:lvlJc w:val="left"/>
      <w:pPr>
        <w:ind w:left="0" w:firstLine="0"/>
      </w:pPr>
      <w:rPr>
        <w:rFonts w:hint="eastAsia" w:ascii="黑体" w:hAnsi="Times New Roman" w:eastAsia="黑体"/>
        <w:b w:val="0"/>
        <w:i w:val="0"/>
        <w:sz w:val="21"/>
      </w:rPr>
    </w:lvl>
    <w:lvl w:ilvl="6" w:tentative="0">
      <w:start w:val="1"/>
      <w:numFmt w:val="decimal"/>
      <w:pStyle w:val="10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BE691C"/>
    <w:multiLevelType w:val="multilevel"/>
    <w:tmpl w:val="65BE691C"/>
    <w:lvl w:ilvl="0" w:tentative="0">
      <w:start w:val="1"/>
      <w:numFmt w:val="decimal"/>
      <w:lvlText w:val="%1."/>
      <w:lvlJc w:val="left"/>
      <w:pPr>
        <w:tabs>
          <w:tab w:val="left" w:pos="579"/>
        </w:tabs>
        <w:ind w:left="579" w:hanging="360"/>
      </w:pPr>
      <w:rPr>
        <w:rFonts w:hint="default" w:cs="Times New Roman"/>
      </w:rPr>
    </w:lvl>
    <w:lvl w:ilvl="1" w:tentative="0">
      <w:start w:val="1"/>
      <w:numFmt w:val="decimal"/>
      <w:isLgl/>
      <w:lvlText w:val="%1.%2"/>
      <w:lvlJc w:val="left"/>
      <w:pPr>
        <w:tabs>
          <w:tab w:val="left" w:pos="639"/>
        </w:tabs>
        <w:ind w:left="639" w:hanging="420"/>
      </w:pPr>
      <w:rPr>
        <w:rFonts w:hint="default"/>
      </w:rPr>
    </w:lvl>
    <w:lvl w:ilvl="2" w:tentative="0">
      <w:start w:val="1"/>
      <w:numFmt w:val="decimal"/>
      <w:isLgl/>
      <w:lvlText w:val="%1.%2.%3"/>
      <w:lvlJc w:val="left"/>
      <w:pPr>
        <w:tabs>
          <w:tab w:val="left" w:pos="939"/>
        </w:tabs>
        <w:ind w:left="939" w:hanging="720"/>
      </w:pPr>
      <w:rPr>
        <w:rFonts w:hint="default"/>
      </w:rPr>
    </w:lvl>
    <w:lvl w:ilvl="3" w:tentative="0">
      <w:start w:val="1"/>
      <w:numFmt w:val="decimal"/>
      <w:isLgl/>
      <w:lvlText w:val="%1.%2.%3.%4"/>
      <w:lvlJc w:val="left"/>
      <w:pPr>
        <w:tabs>
          <w:tab w:val="left" w:pos="1299"/>
        </w:tabs>
        <w:ind w:left="1299" w:hanging="1080"/>
      </w:pPr>
      <w:rPr>
        <w:rFonts w:hint="default"/>
      </w:rPr>
    </w:lvl>
    <w:lvl w:ilvl="4" w:tentative="0">
      <w:start w:val="1"/>
      <w:numFmt w:val="decimal"/>
      <w:isLgl/>
      <w:lvlText w:val="%1.%2.%3.%4.%5"/>
      <w:lvlJc w:val="left"/>
      <w:pPr>
        <w:tabs>
          <w:tab w:val="left" w:pos="1299"/>
        </w:tabs>
        <w:ind w:left="1299" w:hanging="1080"/>
      </w:pPr>
      <w:rPr>
        <w:rFonts w:hint="default"/>
      </w:rPr>
    </w:lvl>
    <w:lvl w:ilvl="5" w:tentative="0">
      <w:start w:val="1"/>
      <w:numFmt w:val="decimal"/>
      <w:isLgl/>
      <w:lvlText w:val="%1.%2.%3.%4.%5.%6"/>
      <w:lvlJc w:val="left"/>
      <w:pPr>
        <w:tabs>
          <w:tab w:val="left" w:pos="1659"/>
        </w:tabs>
        <w:ind w:left="1659" w:hanging="1440"/>
      </w:pPr>
      <w:rPr>
        <w:rFonts w:hint="default"/>
      </w:rPr>
    </w:lvl>
    <w:lvl w:ilvl="6" w:tentative="0">
      <w:start w:val="1"/>
      <w:numFmt w:val="decimal"/>
      <w:isLgl/>
      <w:lvlText w:val="%1.%2.%3.%4.%5.%6.%7"/>
      <w:lvlJc w:val="left"/>
      <w:pPr>
        <w:tabs>
          <w:tab w:val="left" w:pos="1659"/>
        </w:tabs>
        <w:ind w:left="1659" w:hanging="1440"/>
      </w:pPr>
      <w:rPr>
        <w:rFonts w:hint="default"/>
      </w:rPr>
    </w:lvl>
    <w:lvl w:ilvl="7" w:tentative="0">
      <w:start w:val="1"/>
      <w:numFmt w:val="decimal"/>
      <w:isLgl/>
      <w:lvlText w:val="%1.%2.%3.%4.%5.%6.%7.%8"/>
      <w:lvlJc w:val="left"/>
      <w:pPr>
        <w:tabs>
          <w:tab w:val="left" w:pos="2019"/>
        </w:tabs>
        <w:ind w:left="2019" w:hanging="1800"/>
      </w:pPr>
      <w:rPr>
        <w:rFonts w:hint="default"/>
      </w:rPr>
    </w:lvl>
    <w:lvl w:ilvl="8" w:tentative="0">
      <w:start w:val="1"/>
      <w:numFmt w:val="decimal"/>
      <w:isLgl/>
      <w:lvlText w:val="%1.%2.%3.%4.%5.%6.%7.%8.%9"/>
      <w:lvlJc w:val="left"/>
      <w:pPr>
        <w:tabs>
          <w:tab w:val="left" w:pos="2019"/>
        </w:tabs>
        <w:ind w:left="2019" w:hanging="1800"/>
      </w:pPr>
      <w:rPr>
        <w:rFonts w:hint="default"/>
      </w:rPr>
    </w:lvl>
  </w:abstractNum>
  <w:abstractNum w:abstractNumId="15">
    <w:nsid w:val="6D6C07CD"/>
    <w:multiLevelType w:val="multilevel"/>
    <w:tmpl w:val="6D6C07CD"/>
    <w:lvl w:ilvl="0" w:tentative="0">
      <w:start w:val="1"/>
      <w:numFmt w:val="lowerLetter"/>
      <w:pStyle w:val="111"/>
      <w:lvlText w:val="%1)"/>
      <w:lvlJc w:val="left"/>
      <w:pPr>
        <w:tabs>
          <w:tab w:val="left" w:pos="839"/>
        </w:tabs>
        <w:ind w:left="839" w:hanging="419"/>
      </w:pPr>
      <w:rPr>
        <w:rFonts w:hint="eastAsia" w:ascii="宋体" w:eastAsia="宋体"/>
        <w:b w:val="0"/>
        <w:i w:val="0"/>
        <w:sz w:val="21"/>
      </w:rPr>
    </w:lvl>
    <w:lvl w:ilvl="1" w:tentative="0">
      <w:start w:val="1"/>
      <w:numFmt w:val="decimal"/>
      <w:pStyle w:val="10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6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7">
    <w:nsid w:val="6FEB54F0"/>
    <w:multiLevelType w:val="multilevel"/>
    <w:tmpl w:val="6FEB54F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pStyle w:val="33"/>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9"/>
  </w:num>
  <w:num w:numId="6">
    <w:abstractNumId w:val="16"/>
  </w:num>
  <w:num w:numId="7">
    <w:abstractNumId w:val="1"/>
  </w:num>
  <w:num w:numId="8">
    <w:abstractNumId w:val="10"/>
  </w:num>
  <w:num w:numId="9">
    <w:abstractNumId w:val="5"/>
  </w:num>
  <w:num w:numId="10">
    <w:abstractNumId w:val="13"/>
  </w:num>
  <w:num w:numId="11">
    <w:abstractNumId w:val="12"/>
  </w:num>
  <w:num w:numId="12">
    <w:abstractNumId w:val="15"/>
  </w:num>
  <w:num w:numId="13">
    <w:abstractNumId w:val="6"/>
  </w:num>
  <w:num w:numId="14">
    <w:abstractNumId w:val="2"/>
  </w:num>
  <w:num w:numId="15">
    <w:abstractNumId w:val="4"/>
  </w:num>
  <w:num w:numId="16">
    <w:abstractNumId w:val="11"/>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NDk3ZWFkNmRhNWE5ODMzNzE5OTQxMTA3M2NjZDkifQ=="/>
  </w:docVars>
  <w:rsids>
    <w:rsidRoot w:val="008E3BB5"/>
    <w:rsid w:val="00000244"/>
    <w:rsid w:val="000007D2"/>
    <w:rsid w:val="000011B9"/>
    <w:rsid w:val="0000185F"/>
    <w:rsid w:val="0000586F"/>
    <w:rsid w:val="00005C8D"/>
    <w:rsid w:val="00011107"/>
    <w:rsid w:val="00013D86"/>
    <w:rsid w:val="00013E02"/>
    <w:rsid w:val="000149BE"/>
    <w:rsid w:val="00015AD6"/>
    <w:rsid w:val="0002143C"/>
    <w:rsid w:val="00021F4A"/>
    <w:rsid w:val="0002386A"/>
    <w:rsid w:val="00025A65"/>
    <w:rsid w:val="00026C31"/>
    <w:rsid w:val="00027280"/>
    <w:rsid w:val="00027646"/>
    <w:rsid w:val="00031BDE"/>
    <w:rsid w:val="000320A7"/>
    <w:rsid w:val="00032B64"/>
    <w:rsid w:val="00033EAC"/>
    <w:rsid w:val="000342F2"/>
    <w:rsid w:val="00035925"/>
    <w:rsid w:val="00035EA5"/>
    <w:rsid w:val="000406F0"/>
    <w:rsid w:val="00045AEA"/>
    <w:rsid w:val="00053F01"/>
    <w:rsid w:val="00056A6B"/>
    <w:rsid w:val="00056C60"/>
    <w:rsid w:val="00057C16"/>
    <w:rsid w:val="00067B30"/>
    <w:rsid w:val="00067CDF"/>
    <w:rsid w:val="00070FED"/>
    <w:rsid w:val="00072A37"/>
    <w:rsid w:val="000735D3"/>
    <w:rsid w:val="00073AE0"/>
    <w:rsid w:val="00074193"/>
    <w:rsid w:val="00074FBE"/>
    <w:rsid w:val="00082335"/>
    <w:rsid w:val="00082689"/>
    <w:rsid w:val="00082AAC"/>
    <w:rsid w:val="00083302"/>
    <w:rsid w:val="00083A09"/>
    <w:rsid w:val="0009005E"/>
    <w:rsid w:val="000911B0"/>
    <w:rsid w:val="00092857"/>
    <w:rsid w:val="00093CBA"/>
    <w:rsid w:val="0009402B"/>
    <w:rsid w:val="00096CF9"/>
    <w:rsid w:val="000973C3"/>
    <w:rsid w:val="000973DA"/>
    <w:rsid w:val="000976B5"/>
    <w:rsid w:val="000976FF"/>
    <w:rsid w:val="00097AEE"/>
    <w:rsid w:val="000A0483"/>
    <w:rsid w:val="000A1B6D"/>
    <w:rsid w:val="000A20A9"/>
    <w:rsid w:val="000A48B1"/>
    <w:rsid w:val="000A7935"/>
    <w:rsid w:val="000B2103"/>
    <w:rsid w:val="000B3143"/>
    <w:rsid w:val="000B5D17"/>
    <w:rsid w:val="000C677C"/>
    <w:rsid w:val="000C6B05"/>
    <w:rsid w:val="000C6DD6"/>
    <w:rsid w:val="000C73D4"/>
    <w:rsid w:val="000D0B73"/>
    <w:rsid w:val="000D3D4C"/>
    <w:rsid w:val="000D3E09"/>
    <w:rsid w:val="000D4F51"/>
    <w:rsid w:val="000D703C"/>
    <w:rsid w:val="000D718B"/>
    <w:rsid w:val="000E0C46"/>
    <w:rsid w:val="000E108A"/>
    <w:rsid w:val="000E3CFA"/>
    <w:rsid w:val="000E6F73"/>
    <w:rsid w:val="000F030C"/>
    <w:rsid w:val="000F129C"/>
    <w:rsid w:val="000F1ABD"/>
    <w:rsid w:val="000F5E7C"/>
    <w:rsid w:val="000F6B60"/>
    <w:rsid w:val="00102B74"/>
    <w:rsid w:val="00102B7C"/>
    <w:rsid w:val="00102C88"/>
    <w:rsid w:val="001056DE"/>
    <w:rsid w:val="00107C50"/>
    <w:rsid w:val="001124C0"/>
    <w:rsid w:val="00113192"/>
    <w:rsid w:val="001139F4"/>
    <w:rsid w:val="00116795"/>
    <w:rsid w:val="001176B7"/>
    <w:rsid w:val="0013175F"/>
    <w:rsid w:val="00132536"/>
    <w:rsid w:val="00133058"/>
    <w:rsid w:val="001347C4"/>
    <w:rsid w:val="00143370"/>
    <w:rsid w:val="00145C27"/>
    <w:rsid w:val="00150E08"/>
    <w:rsid w:val="001511E1"/>
    <w:rsid w:val="001512B4"/>
    <w:rsid w:val="001563FA"/>
    <w:rsid w:val="001620A5"/>
    <w:rsid w:val="0016225F"/>
    <w:rsid w:val="0016370D"/>
    <w:rsid w:val="00164B49"/>
    <w:rsid w:val="00164BDA"/>
    <w:rsid w:val="00164E53"/>
    <w:rsid w:val="0016699D"/>
    <w:rsid w:val="001677B2"/>
    <w:rsid w:val="001678BB"/>
    <w:rsid w:val="00171149"/>
    <w:rsid w:val="001723B3"/>
    <w:rsid w:val="00175159"/>
    <w:rsid w:val="00176208"/>
    <w:rsid w:val="00177569"/>
    <w:rsid w:val="0018211B"/>
    <w:rsid w:val="0018274A"/>
    <w:rsid w:val="001832D8"/>
    <w:rsid w:val="001840D3"/>
    <w:rsid w:val="001855C6"/>
    <w:rsid w:val="00185784"/>
    <w:rsid w:val="00185C8C"/>
    <w:rsid w:val="001900F8"/>
    <w:rsid w:val="001902AE"/>
    <w:rsid w:val="00191258"/>
    <w:rsid w:val="001922DF"/>
    <w:rsid w:val="00192680"/>
    <w:rsid w:val="00193037"/>
    <w:rsid w:val="00193A2C"/>
    <w:rsid w:val="001942FC"/>
    <w:rsid w:val="00195E9A"/>
    <w:rsid w:val="001976AD"/>
    <w:rsid w:val="0019781C"/>
    <w:rsid w:val="00197A52"/>
    <w:rsid w:val="001A288E"/>
    <w:rsid w:val="001A29D6"/>
    <w:rsid w:val="001A61F7"/>
    <w:rsid w:val="001A6329"/>
    <w:rsid w:val="001A6FBF"/>
    <w:rsid w:val="001B11C3"/>
    <w:rsid w:val="001B1E3B"/>
    <w:rsid w:val="001B1E9B"/>
    <w:rsid w:val="001B5C09"/>
    <w:rsid w:val="001B64E0"/>
    <w:rsid w:val="001B6DC2"/>
    <w:rsid w:val="001B79DA"/>
    <w:rsid w:val="001C0D55"/>
    <w:rsid w:val="001C149C"/>
    <w:rsid w:val="001C21AC"/>
    <w:rsid w:val="001C2B54"/>
    <w:rsid w:val="001C47BA"/>
    <w:rsid w:val="001C59EA"/>
    <w:rsid w:val="001D0157"/>
    <w:rsid w:val="001D406C"/>
    <w:rsid w:val="001D41EE"/>
    <w:rsid w:val="001E0380"/>
    <w:rsid w:val="001E13B1"/>
    <w:rsid w:val="001E24AC"/>
    <w:rsid w:val="001E2F7E"/>
    <w:rsid w:val="001E4BE3"/>
    <w:rsid w:val="001F04C8"/>
    <w:rsid w:val="001F2E61"/>
    <w:rsid w:val="001F3A19"/>
    <w:rsid w:val="001F4178"/>
    <w:rsid w:val="001F45BB"/>
    <w:rsid w:val="002041BF"/>
    <w:rsid w:val="00213EFD"/>
    <w:rsid w:val="00215491"/>
    <w:rsid w:val="00216646"/>
    <w:rsid w:val="00216D2A"/>
    <w:rsid w:val="00221113"/>
    <w:rsid w:val="00224BA5"/>
    <w:rsid w:val="0022537D"/>
    <w:rsid w:val="00230F64"/>
    <w:rsid w:val="00231BDC"/>
    <w:rsid w:val="00234467"/>
    <w:rsid w:val="00237D8D"/>
    <w:rsid w:val="00241DA2"/>
    <w:rsid w:val="0024303C"/>
    <w:rsid w:val="00246C63"/>
    <w:rsid w:val="00247875"/>
    <w:rsid w:val="00247FEE"/>
    <w:rsid w:val="002503A7"/>
    <w:rsid w:val="00250E7D"/>
    <w:rsid w:val="00253F9C"/>
    <w:rsid w:val="002565D5"/>
    <w:rsid w:val="00260BCB"/>
    <w:rsid w:val="002622C0"/>
    <w:rsid w:val="00262E7B"/>
    <w:rsid w:val="00263ECE"/>
    <w:rsid w:val="00264321"/>
    <w:rsid w:val="002656BC"/>
    <w:rsid w:val="002674DC"/>
    <w:rsid w:val="00270637"/>
    <w:rsid w:val="00273653"/>
    <w:rsid w:val="002758B1"/>
    <w:rsid w:val="002778AE"/>
    <w:rsid w:val="00277D2B"/>
    <w:rsid w:val="00280A52"/>
    <w:rsid w:val="0028269A"/>
    <w:rsid w:val="00283590"/>
    <w:rsid w:val="002838FB"/>
    <w:rsid w:val="002847B5"/>
    <w:rsid w:val="0028482E"/>
    <w:rsid w:val="00284D2E"/>
    <w:rsid w:val="002857B0"/>
    <w:rsid w:val="0028655B"/>
    <w:rsid w:val="00286973"/>
    <w:rsid w:val="00287980"/>
    <w:rsid w:val="0029194C"/>
    <w:rsid w:val="00294E70"/>
    <w:rsid w:val="002A07A8"/>
    <w:rsid w:val="002A07FA"/>
    <w:rsid w:val="002A1528"/>
    <w:rsid w:val="002A1924"/>
    <w:rsid w:val="002A3BEC"/>
    <w:rsid w:val="002A6D5E"/>
    <w:rsid w:val="002A7420"/>
    <w:rsid w:val="002B003B"/>
    <w:rsid w:val="002B0147"/>
    <w:rsid w:val="002B023D"/>
    <w:rsid w:val="002B0F12"/>
    <w:rsid w:val="002B1308"/>
    <w:rsid w:val="002B4554"/>
    <w:rsid w:val="002B4EEE"/>
    <w:rsid w:val="002B5A91"/>
    <w:rsid w:val="002C1D71"/>
    <w:rsid w:val="002C3891"/>
    <w:rsid w:val="002C4261"/>
    <w:rsid w:val="002C4891"/>
    <w:rsid w:val="002C5773"/>
    <w:rsid w:val="002C5D9D"/>
    <w:rsid w:val="002C677D"/>
    <w:rsid w:val="002C6F1A"/>
    <w:rsid w:val="002C7146"/>
    <w:rsid w:val="002C72D8"/>
    <w:rsid w:val="002D11FA"/>
    <w:rsid w:val="002D3B18"/>
    <w:rsid w:val="002D4067"/>
    <w:rsid w:val="002D61FD"/>
    <w:rsid w:val="002D6351"/>
    <w:rsid w:val="002D67C9"/>
    <w:rsid w:val="002D6A44"/>
    <w:rsid w:val="002D7CCB"/>
    <w:rsid w:val="002E0DDF"/>
    <w:rsid w:val="002E19AC"/>
    <w:rsid w:val="002E2906"/>
    <w:rsid w:val="002E5635"/>
    <w:rsid w:val="002E63E9"/>
    <w:rsid w:val="002E64C3"/>
    <w:rsid w:val="002E6A2C"/>
    <w:rsid w:val="002E7B15"/>
    <w:rsid w:val="002F019F"/>
    <w:rsid w:val="002F1D8C"/>
    <w:rsid w:val="002F21DA"/>
    <w:rsid w:val="002F3DF0"/>
    <w:rsid w:val="002F45A5"/>
    <w:rsid w:val="002F4B8A"/>
    <w:rsid w:val="00301F39"/>
    <w:rsid w:val="00303030"/>
    <w:rsid w:val="00303C9C"/>
    <w:rsid w:val="00313C8E"/>
    <w:rsid w:val="003140C0"/>
    <w:rsid w:val="00314768"/>
    <w:rsid w:val="00315A25"/>
    <w:rsid w:val="00316218"/>
    <w:rsid w:val="00320EAC"/>
    <w:rsid w:val="00321A62"/>
    <w:rsid w:val="00323E6A"/>
    <w:rsid w:val="00325926"/>
    <w:rsid w:val="00327A8A"/>
    <w:rsid w:val="00333B21"/>
    <w:rsid w:val="00334C69"/>
    <w:rsid w:val="00336610"/>
    <w:rsid w:val="003366FF"/>
    <w:rsid w:val="00343F73"/>
    <w:rsid w:val="00344571"/>
    <w:rsid w:val="00345060"/>
    <w:rsid w:val="00345846"/>
    <w:rsid w:val="003458B4"/>
    <w:rsid w:val="00345AAB"/>
    <w:rsid w:val="00345E65"/>
    <w:rsid w:val="0035323B"/>
    <w:rsid w:val="00353FA0"/>
    <w:rsid w:val="00353FA6"/>
    <w:rsid w:val="003561FC"/>
    <w:rsid w:val="00357EDC"/>
    <w:rsid w:val="003609D2"/>
    <w:rsid w:val="0036321D"/>
    <w:rsid w:val="003632BA"/>
    <w:rsid w:val="00363F22"/>
    <w:rsid w:val="00364177"/>
    <w:rsid w:val="003672EF"/>
    <w:rsid w:val="00375564"/>
    <w:rsid w:val="0037588C"/>
    <w:rsid w:val="00381344"/>
    <w:rsid w:val="0038298C"/>
    <w:rsid w:val="00383191"/>
    <w:rsid w:val="00384A68"/>
    <w:rsid w:val="00385510"/>
    <w:rsid w:val="00386DED"/>
    <w:rsid w:val="0038798C"/>
    <w:rsid w:val="003912E7"/>
    <w:rsid w:val="00393947"/>
    <w:rsid w:val="00395512"/>
    <w:rsid w:val="003A0B6B"/>
    <w:rsid w:val="003A2275"/>
    <w:rsid w:val="003A311B"/>
    <w:rsid w:val="003A5F1C"/>
    <w:rsid w:val="003A6A4F"/>
    <w:rsid w:val="003A7088"/>
    <w:rsid w:val="003A770D"/>
    <w:rsid w:val="003B00B0"/>
    <w:rsid w:val="003B00DF"/>
    <w:rsid w:val="003B0E42"/>
    <w:rsid w:val="003B1275"/>
    <w:rsid w:val="003B1778"/>
    <w:rsid w:val="003B4D0C"/>
    <w:rsid w:val="003C11CB"/>
    <w:rsid w:val="003C1C92"/>
    <w:rsid w:val="003C519A"/>
    <w:rsid w:val="003C75F3"/>
    <w:rsid w:val="003C78A3"/>
    <w:rsid w:val="003D0C53"/>
    <w:rsid w:val="003D5C1B"/>
    <w:rsid w:val="003E14F9"/>
    <w:rsid w:val="003E1867"/>
    <w:rsid w:val="003E361A"/>
    <w:rsid w:val="003E44E1"/>
    <w:rsid w:val="003E5729"/>
    <w:rsid w:val="003E6B50"/>
    <w:rsid w:val="003F2C20"/>
    <w:rsid w:val="003F3727"/>
    <w:rsid w:val="003F4EA1"/>
    <w:rsid w:val="003F4EE0"/>
    <w:rsid w:val="003F674D"/>
    <w:rsid w:val="003F7E0D"/>
    <w:rsid w:val="004005D3"/>
    <w:rsid w:val="00402153"/>
    <w:rsid w:val="00402E90"/>
    <w:rsid w:val="00402FC1"/>
    <w:rsid w:val="00403802"/>
    <w:rsid w:val="004058EB"/>
    <w:rsid w:val="0040701D"/>
    <w:rsid w:val="00407859"/>
    <w:rsid w:val="004122B3"/>
    <w:rsid w:val="004123FB"/>
    <w:rsid w:val="00413E40"/>
    <w:rsid w:val="00414AEA"/>
    <w:rsid w:val="00421E34"/>
    <w:rsid w:val="00422A11"/>
    <w:rsid w:val="0042300A"/>
    <w:rsid w:val="0042380D"/>
    <w:rsid w:val="004240F5"/>
    <w:rsid w:val="004245F4"/>
    <w:rsid w:val="00425082"/>
    <w:rsid w:val="00425945"/>
    <w:rsid w:val="00431DEB"/>
    <w:rsid w:val="00432BB9"/>
    <w:rsid w:val="00434213"/>
    <w:rsid w:val="00435366"/>
    <w:rsid w:val="004356AF"/>
    <w:rsid w:val="00441006"/>
    <w:rsid w:val="00441961"/>
    <w:rsid w:val="004423D7"/>
    <w:rsid w:val="00443AE6"/>
    <w:rsid w:val="0044584E"/>
    <w:rsid w:val="00446B29"/>
    <w:rsid w:val="00450B0B"/>
    <w:rsid w:val="00451865"/>
    <w:rsid w:val="00453F9A"/>
    <w:rsid w:val="00455125"/>
    <w:rsid w:val="00460F35"/>
    <w:rsid w:val="00462CAA"/>
    <w:rsid w:val="00463A0A"/>
    <w:rsid w:val="004649AB"/>
    <w:rsid w:val="00467D07"/>
    <w:rsid w:val="00467D09"/>
    <w:rsid w:val="00470549"/>
    <w:rsid w:val="00471E91"/>
    <w:rsid w:val="00471F35"/>
    <w:rsid w:val="00474675"/>
    <w:rsid w:val="0047470C"/>
    <w:rsid w:val="00474D32"/>
    <w:rsid w:val="00483E82"/>
    <w:rsid w:val="00485C11"/>
    <w:rsid w:val="00495C02"/>
    <w:rsid w:val="004A35F9"/>
    <w:rsid w:val="004A5953"/>
    <w:rsid w:val="004A705F"/>
    <w:rsid w:val="004B24C1"/>
    <w:rsid w:val="004B6191"/>
    <w:rsid w:val="004B7C3D"/>
    <w:rsid w:val="004B7C77"/>
    <w:rsid w:val="004C0154"/>
    <w:rsid w:val="004C1B03"/>
    <w:rsid w:val="004C1F96"/>
    <w:rsid w:val="004C292F"/>
    <w:rsid w:val="004C2A39"/>
    <w:rsid w:val="004C3D9A"/>
    <w:rsid w:val="004C5980"/>
    <w:rsid w:val="004D3A26"/>
    <w:rsid w:val="004D3ACC"/>
    <w:rsid w:val="004D45DF"/>
    <w:rsid w:val="004D645E"/>
    <w:rsid w:val="004D79BF"/>
    <w:rsid w:val="004E045B"/>
    <w:rsid w:val="004E363E"/>
    <w:rsid w:val="004E3F0E"/>
    <w:rsid w:val="004E4773"/>
    <w:rsid w:val="004E490D"/>
    <w:rsid w:val="004E568C"/>
    <w:rsid w:val="004E5AB3"/>
    <w:rsid w:val="004F1D16"/>
    <w:rsid w:val="004F346D"/>
    <w:rsid w:val="004F4201"/>
    <w:rsid w:val="004F7CA6"/>
    <w:rsid w:val="0050688B"/>
    <w:rsid w:val="00510280"/>
    <w:rsid w:val="00510F17"/>
    <w:rsid w:val="00511118"/>
    <w:rsid w:val="00511BA9"/>
    <w:rsid w:val="00513D73"/>
    <w:rsid w:val="00513E54"/>
    <w:rsid w:val="00514A43"/>
    <w:rsid w:val="0051543B"/>
    <w:rsid w:val="005161D7"/>
    <w:rsid w:val="005174E5"/>
    <w:rsid w:val="00521E4F"/>
    <w:rsid w:val="00522393"/>
    <w:rsid w:val="00522620"/>
    <w:rsid w:val="00525656"/>
    <w:rsid w:val="00526BE0"/>
    <w:rsid w:val="005274E6"/>
    <w:rsid w:val="00527A35"/>
    <w:rsid w:val="005308C6"/>
    <w:rsid w:val="00530BBC"/>
    <w:rsid w:val="00534A1B"/>
    <w:rsid w:val="00534C02"/>
    <w:rsid w:val="005408A7"/>
    <w:rsid w:val="0054264B"/>
    <w:rsid w:val="00542B40"/>
    <w:rsid w:val="00543786"/>
    <w:rsid w:val="005474BB"/>
    <w:rsid w:val="00547603"/>
    <w:rsid w:val="00547DDF"/>
    <w:rsid w:val="00551DBD"/>
    <w:rsid w:val="005533D7"/>
    <w:rsid w:val="00556DFB"/>
    <w:rsid w:val="005632FC"/>
    <w:rsid w:val="00563BFD"/>
    <w:rsid w:val="0056738D"/>
    <w:rsid w:val="00567C14"/>
    <w:rsid w:val="005703DE"/>
    <w:rsid w:val="0057608F"/>
    <w:rsid w:val="00576508"/>
    <w:rsid w:val="0057762F"/>
    <w:rsid w:val="00577EFB"/>
    <w:rsid w:val="00582165"/>
    <w:rsid w:val="005823BA"/>
    <w:rsid w:val="0058464E"/>
    <w:rsid w:val="005862BE"/>
    <w:rsid w:val="00594248"/>
    <w:rsid w:val="005A01CB"/>
    <w:rsid w:val="005A25CC"/>
    <w:rsid w:val="005A28F3"/>
    <w:rsid w:val="005A3B3F"/>
    <w:rsid w:val="005A58FF"/>
    <w:rsid w:val="005A5EAF"/>
    <w:rsid w:val="005A604B"/>
    <w:rsid w:val="005A64C0"/>
    <w:rsid w:val="005A73B2"/>
    <w:rsid w:val="005A7D86"/>
    <w:rsid w:val="005A7F2C"/>
    <w:rsid w:val="005B2C7B"/>
    <w:rsid w:val="005B3A29"/>
    <w:rsid w:val="005B3A76"/>
    <w:rsid w:val="005B3C11"/>
    <w:rsid w:val="005B65AC"/>
    <w:rsid w:val="005C177F"/>
    <w:rsid w:val="005C18EE"/>
    <w:rsid w:val="005C1C28"/>
    <w:rsid w:val="005C25F5"/>
    <w:rsid w:val="005C27B9"/>
    <w:rsid w:val="005C4220"/>
    <w:rsid w:val="005C6DB5"/>
    <w:rsid w:val="005C6FC2"/>
    <w:rsid w:val="005D0F7E"/>
    <w:rsid w:val="005D29D2"/>
    <w:rsid w:val="005D677A"/>
    <w:rsid w:val="005D68B5"/>
    <w:rsid w:val="005D6B6D"/>
    <w:rsid w:val="005E19E7"/>
    <w:rsid w:val="005E1DA2"/>
    <w:rsid w:val="005E5D12"/>
    <w:rsid w:val="005F068F"/>
    <w:rsid w:val="005F281E"/>
    <w:rsid w:val="005F2E36"/>
    <w:rsid w:val="005F7580"/>
    <w:rsid w:val="00604F20"/>
    <w:rsid w:val="0061106A"/>
    <w:rsid w:val="0061571C"/>
    <w:rsid w:val="0061716C"/>
    <w:rsid w:val="00617C5E"/>
    <w:rsid w:val="006230EA"/>
    <w:rsid w:val="006239DF"/>
    <w:rsid w:val="00623C93"/>
    <w:rsid w:val="006243A1"/>
    <w:rsid w:val="0062603E"/>
    <w:rsid w:val="00632E56"/>
    <w:rsid w:val="0063315E"/>
    <w:rsid w:val="00635CBA"/>
    <w:rsid w:val="00636E40"/>
    <w:rsid w:val="00637A59"/>
    <w:rsid w:val="0064338B"/>
    <w:rsid w:val="00645C38"/>
    <w:rsid w:val="00646542"/>
    <w:rsid w:val="0064719F"/>
    <w:rsid w:val="006504F4"/>
    <w:rsid w:val="00650C79"/>
    <w:rsid w:val="00651790"/>
    <w:rsid w:val="006536B0"/>
    <w:rsid w:val="00654BC9"/>
    <w:rsid w:val="006552FD"/>
    <w:rsid w:val="006562E4"/>
    <w:rsid w:val="00656F27"/>
    <w:rsid w:val="006601B3"/>
    <w:rsid w:val="00660BCE"/>
    <w:rsid w:val="00661749"/>
    <w:rsid w:val="00661938"/>
    <w:rsid w:val="00663356"/>
    <w:rsid w:val="00663AF3"/>
    <w:rsid w:val="00665669"/>
    <w:rsid w:val="00666B6C"/>
    <w:rsid w:val="006704D9"/>
    <w:rsid w:val="006707B5"/>
    <w:rsid w:val="0067097E"/>
    <w:rsid w:val="00670E6F"/>
    <w:rsid w:val="00671F31"/>
    <w:rsid w:val="00672CFB"/>
    <w:rsid w:val="00674527"/>
    <w:rsid w:val="006802F3"/>
    <w:rsid w:val="0068237B"/>
    <w:rsid w:val="00682682"/>
    <w:rsid w:val="00682702"/>
    <w:rsid w:val="006914EA"/>
    <w:rsid w:val="00691E21"/>
    <w:rsid w:val="006920B2"/>
    <w:rsid w:val="00692368"/>
    <w:rsid w:val="006945FB"/>
    <w:rsid w:val="006947B1"/>
    <w:rsid w:val="0069617D"/>
    <w:rsid w:val="00696DE6"/>
    <w:rsid w:val="0069701E"/>
    <w:rsid w:val="006A2EBC"/>
    <w:rsid w:val="006A52A9"/>
    <w:rsid w:val="006A5EA0"/>
    <w:rsid w:val="006A6F64"/>
    <w:rsid w:val="006A783B"/>
    <w:rsid w:val="006A78C1"/>
    <w:rsid w:val="006A7B33"/>
    <w:rsid w:val="006B3BAD"/>
    <w:rsid w:val="006B45DA"/>
    <w:rsid w:val="006B4AC2"/>
    <w:rsid w:val="006B4BE6"/>
    <w:rsid w:val="006B4E13"/>
    <w:rsid w:val="006B75DD"/>
    <w:rsid w:val="006C149F"/>
    <w:rsid w:val="006C67E0"/>
    <w:rsid w:val="006C7ABA"/>
    <w:rsid w:val="006C7D7F"/>
    <w:rsid w:val="006D0578"/>
    <w:rsid w:val="006D0D60"/>
    <w:rsid w:val="006D1122"/>
    <w:rsid w:val="006D1933"/>
    <w:rsid w:val="006D2B37"/>
    <w:rsid w:val="006D3C00"/>
    <w:rsid w:val="006D5BB6"/>
    <w:rsid w:val="006D66C6"/>
    <w:rsid w:val="006D719D"/>
    <w:rsid w:val="006E0739"/>
    <w:rsid w:val="006E2508"/>
    <w:rsid w:val="006E3675"/>
    <w:rsid w:val="006E4A7F"/>
    <w:rsid w:val="006F11CC"/>
    <w:rsid w:val="006F11DE"/>
    <w:rsid w:val="006F2A4C"/>
    <w:rsid w:val="006F2BB6"/>
    <w:rsid w:val="006F3B58"/>
    <w:rsid w:val="006F44D6"/>
    <w:rsid w:val="006F5A42"/>
    <w:rsid w:val="0070045B"/>
    <w:rsid w:val="00700E9C"/>
    <w:rsid w:val="007028BF"/>
    <w:rsid w:val="007039F5"/>
    <w:rsid w:val="00704DF6"/>
    <w:rsid w:val="00705356"/>
    <w:rsid w:val="0070651C"/>
    <w:rsid w:val="007071E5"/>
    <w:rsid w:val="007132A3"/>
    <w:rsid w:val="00714A55"/>
    <w:rsid w:val="0071546E"/>
    <w:rsid w:val="00716421"/>
    <w:rsid w:val="00716657"/>
    <w:rsid w:val="00722A7F"/>
    <w:rsid w:val="007238BF"/>
    <w:rsid w:val="007246C2"/>
    <w:rsid w:val="00724EFB"/>
    <w:rsid w:val="007254C5"/>
    <w:rsid w:val="0072604B"/>
    <w:rsid w:val="007268BE"/>
    <w:rsid w:val="00727F77"/>
    <w:rsid w:val="00731DA3"/>
    <w:rsid w:val="007419C3"/>
    <w:rsid w:val="00743F1C"/>
    <w:rsid w:val="00744DAB"/>
    <w:rsid w:val="0074581A"/>
    <w:rsid w:val="007467A7"/>
    <w:rsid w:val="007469DD"/>
    <w:rsid w:val="0074741B"/>
    <w:rsid w:val="0074759E"/>
    <w:rsid w:val="007478D6"/>
    <w:rsid w:val="007478EA"/>
    <w:rsid w:val="00752FFC"/>
    <w:rsid w:val="0075415C"/>
    <w:rsid w:val="007572B2"/>
    <w:rsid w:val="0076140A"/>
    <w:rsid w:val="007614D7"/>
    <w:rsid w:val="00761F71"/>
    <w:rsid w:val="007625E4"/>
    <w:rsid w:val="007626BC"/>
    <w:rsid w:val="00762AAA"/>
    <w:rsid w:val="00763502"/>
    <w:rsid w:val="00770C0D"/>
    <w:rsid w:val="00772C3C"/>
    <w:rsid w:val="00774FB3"/>
    <w:rsid w:val="007759C1"/>
    <w:rsid w:val="00777BCC"/>
    <w:rsid w:val="00781056"/>
    <w:rsid w:val="007826C9"/>
    <w:rsid w:val="007841CF"/>
    <w:rsid w:val="0078639F"/>
    <w:rsid w:val="00786609"/>
    <w:rsid w:val="007913AB"/>
    <w:rsid w:val="007914F7"/>
    <w:rsid w:val="00792BE8"/>
    <w:rsid w:val="007947A4"/>
    <w:rsid w:val="007964D0"/>
    <w:rsid w:val="007965B0"/>
    <w:rsid w:val="00797A6C"/>
    <w:rsid w:val="007A1EFF"/>
    <w:rsid w:val="007A3233"/>
    <w:rsid w:val="007A5A87"/>
    <w:rsid w:val="007A6016"/>
    <w:rsid w:val="007A670E"/>
    <w:rsid w:val="007A6E42"/>
    <w:rsid w:val="007A73E4"/>
    <w:rsid w:val="007B1625"/>
    <w:rsid w:val="007B4D35"/>
    <w:rsid w:val="007B584C"/>
    <w:rsid w:val="007B6129"/>
    <w:rsid w:val="007B706E"/>
    <w:rsid w:val="007B71EB"/>
    <w:rsid w:val="007C506B"/>
    <w:rsid w:val="007C6205"/>
    <w:rsid w:val="007C686A"/>
    <w:rsid w:val="007C728E"/>
    <w:rsid w:val="007C78DB"/>
    <w:rsid w:val="007D0325"/>
    <w:rsid w:val="007D2888"/>
    <w:rsid w:val="007D2C53"/>
    <w:rsid w:val="007D3D60"/>
    <w:rsid w:val="007D4A44"/>
    <w:rsid w:val="007D4C8F"/>
    <w:rsid w:val="007D5176"/>
    <w:rsid w:val="007E1980"/>
    <w:rsid w:val="007E37DE"/>
    <w:rsid w:val="007E4B76"/>
    <w:rsid w:val="007E5EA8"/>
    <w:rsid w:val="007E68D6"/>
    <w:rsid w:val="007E6CBA"/>
    <w:rsid w:val="007F0514"/>
    <w:rsid w:val="007F0BB9"/>
    <w:rsid w:val="007F0CF1"/>
    <w:rsid w:val="007F12A5"/>
    <w:rsid w:val="007F25D7"/>
    <w:rsid w:val="007F2EEB"/>
    <w:rsid w:val="007F4CF1"/>
    <w:rsid w:val="007F5AF3"/>
    <w:rsid w:val="007F5D4E"/>
    <w:rsid w:val="007F6534"/>
    <w:rsid w:val="007F758D"/>
    <w:rsid w:val="007F7D52"/>
    <w:rsid w:val="00800530"/>
    <w:rsid w:val="00801CE3"/>
    <w:rsid w:val="00803416"/>
    <w:rsid w:val="0080399C"/>
    <w:rsid w:val="0080654C"/>
    <w:rsid w:val="00806CB9"/>
    <w:rsid w:val="008071C6"/>
    <w:rsid w:val="008073FA"/>
    <w:rsid w:val="0081107F"/>
    <w:rsid w:val="0081581C"/>
    <w:rsid w:val="00816D04"/>
    <w:rsid w:val="00817A00"/>
    <w:rsid w:val="00817D9F"/>
    <w:rsid w:val="008205A9"/>
    <w:rsid w:val="00821CBF"/>
    <w:rsid w:val="00821F44"/>
    <w:rsid w:val="0082323D"/>
    <w:rsid w:val="008236EF"/>
    <w:rsid w:val="00824CBB"/>
    <w:rsid w:val="008254A6"/>
    <w:rsid w:val="00830F44"/>
    <w:rsid w:val="008338E4"/>
    <w:rsid w:val="00834974"/>
    <w:rsid w:val="00835DB3"/>
    <w:rsid w:val="00835DE7"/>
    <w:rsid w:val="0083617B"/>
    <w:rsid w:val="008371BD"/>
    <w:rsid w:val="0084426A"/>
    <w:rsid w:val="00846CF7"/>
    <w:rsid w:val="0084745A"/>
    <w:rsid w:val="00847FF6"/>
    <w:rsid w:val="008504A8"/>
    <w:rsid w:val="0085282E"/>
    <w:rsid w:val="00852C65"/>
    <w:rsid w:val="00855FAF"/>
    <w:rsid w:val="008575D8"/>
    <w:rsid w:val="00862612"/>
    <w:rsid w:val="00863982"/>
    <w:rsid w:val="00864F47"/>
    <w:rsid w:val="0087198C"/>
    <w:rsid w:val="008724BA"/>
    <w:rsid w:val="00872C1F"/>
    <w:rsid w:val="00873B42"/>
    <w:rsid w:val="008749E4"/>
    <w:rsid w:val="00877D2E"/>
    <w:rsid w:val="00882197"/>
    <w:rsid w:val="008851BD"/>
    <w:rsid w:val="00885350"/>
    <w:rsid w:val="008856D8"/>
    <w:rsid w:val="00886462"/>
    <w:rsid w:val="00887EEA"/>
    <w:rsid w:val="00892E82"/>
    <w:rsid w:val="008942F9"/>
    <w:rsid w:val="008A04C2"/>
    <w:rsid w:val="008A478E"/>
    <w:rsid w:val="008A4800"/>
    <w:rsid w:val="008A4A42"/>
    <w:rsid w:val="008A62C1"/>
    <w:rsid w:val="008A70E1"/>
    <w:rsid w:val="008A78B1"/>
    <w:rsid w:val="008B0C42"/>
    <w:rsid w:val="008B5DC2"/>
    <w:rsid w:val="008B7AE0"/>
    <w:rsid w:val="008C0E8F"/>
    <w:rsid w:val="008C0FFC"/>
    <w:rsid w:val="008C1B58"/>
    <w:rsid w:val="008C1D10"/>
    <w:rsid w:val="008C29CC"/>
    <w:rsid w:val="008C35F6"/>
    <w:rsid w:val="008C39AE"/>
    <w:rsid w:val="008C590D"/>
    <w:rsid w:val="008C6C29"/>
    <w:rsid w:val="008C7F1C"/>
    <w:rsid w:val="008D30ED"/>
    <w:rsid w:val="008D5928"/>
    <w:rsid w:val="008E031B"/>
    <w:rsid w:val="008E0BD7"/>
    <w:rsid w:val="008E3BB5"/>
    <w:rsid w:val="008E4872"/>
    <w:rsid w:val="008E7029"/>
    <w:rsid w:val="008E738A"/>
    <w:rsid w:val="008E7EF6"/>
    <w:rsid w:val="008F0E16"/>
    <w:rsid w:val="008F12CE"/>
    <w:rsid w:val="008F1F98"/>
    <w:rsid w:val="008F24FA"/>
    <w:rsid w:val="008F586A"/>
    <w:rsid w:val="008F5EDF"/>
    <w:rsid w:val="008F6758"/>
    <w:rsid w:val="008F7587"/>
    <w:rsid w:val="009040DD"/>
    <w:rsid w:val="00905B47"/>
    <w:rsid w:val="0091331C"/>
    <w:rsid w:val="0091631F"/>
    <w:rsid w:val="00923750"/>
    <w:rsid w:val="009279DE"/>
    <w:rsid w:val="00930116"/>
    <w:rsid w:val="009302F3"/>
    <w:rsid w:val="0093240A"/>
    <w:rsid w:val="0093281E"/>
    <w:rsid w:val="009335B9"/>
    <w:rsid w:val="00933978"/>
    <w:rsid w:val="00933DEC"/>
    <w:rsid w:val="0093436D"/>
    <w:rsid w:val="009365CB"/>
    <w:rsid w:val="00936969"/>
    <w:rsid w:val="00937445"/>
    <w:rsid w:val="00941E47"/>
    <w:rsid w:val="0094212C"/>
    <w:rsid w:val="009437F7"/>
    <w:rsid w:val="00943958"/>
    <w:rsid w:val="00945521"/>
    <w:rsid w:val="0095244D"/>
    <w:rsid w:val="009534A5"/>
    <w:rsid w:val="00953B13"/>
    <w:rsid w:val="00954689"/>
    <w:rsid w:val="0095494A"/>
    <w:rsid w:val="00955B6F"/>
    <w:rsid w:val="009569CB"/>
    <w:rsid w:val="009617C9"/>
    <w:rsid w:val="00961C93"/>
    <w:rsid w:val="00962BD3"/>
    <w:rsid w:val="00962DE0"/>
    <w:rsid w:val="00965324"/>
    <w:rsid w:val="00965563"/>
    <w:rsid w:val="00966ECF"/>
    <w:rsid w:val="0097091E"/>
    <w:rsid w:val="00971D0F"/>
    <w:rsid w:val="00974AF6"/>
    <w:rsid w:val="009760D3"/>
    <w:rsid w:val="00977132"/>
    <w:rsid w:val="009772F6"/>
    <w:rsid w:val="00980052"/>
    <w:rsid w:val="0098067D"/>
    <w:rsid w:val="00981A4B"/>
    <w:rsid w:val="00982501"/>
    <w:rsid w:val="00984A8F"/>
    <w:rsid w:val="009850C3"/>
    <w:rsid w:val="009877D3"/>
    <w:rsid w:val="00987B50"/>
    <w:rsid w:val="00990A46"/>
    <w:rsid w:val="00990C80"/>
    <w:rsid w:val="00994E8F"/>
    <w:rsid w:val="009951DC"/>
    <w:rsid w:val="009959BB"/>
    <w:rsid w:val="00997158"/>
    <w:rsid w:val="009976E4"/>
    <w:rsid w:val="009A062C"/>
    <w:rsid w:val="009A0785"/>
    <w:rsid w:val="009A3A7C"/>
    <w:rsid w:val="009A51C7"/>
    <w:rsid w:val="009A5E2C"/>
    <w:rsid w:val="009B2ADB"/>
    <w:rsid w:val="009B3A05"/>
    <w:rsid w:val="009B432E"/>
    <w:rsid w:val="009B603A"/>
    <w:rsid w:val="009B7181"/>
    <w:rsid w:val="009C0A29"/>
    <w:rsid w:val="009C116A"/>
    <w:rsid w:val="009C2AE0"/>
    <w:rsid w:val="009C2D0E"/>
    <w:rsid w:val="009C3DAC"/>
    <w:rsid w:val="009C4138"/>
    <w:rsid w:val="009C42E0"/>
    <w:rsid w:val="009C52E7"/>
    <w:rsid w:val="009C669B"/>
    <w:rsid w:val="009C7192"/>
    <w:rsid w:val="009C72D5"/>
    <w:rsid w:val="009C7C4E"/>
    <w:rsid w:val="009D31DC"/>
    <w:rsid w:val="009D5362"/>
    <w:rsid w:val="009D5E0A"/>
    <w:rsid w:val="009D66FB"/>
    <w:rsid w:val="009D6A7C"/>
    <w:rsid w:val="009D6D8D"/>
    <w:rsid w:val="009E0D07"/>
    <w:rsid w:val="009E1415"/>
    <w:rsid w:val="009E2A98"/>
    <w:rsid w:val="009E3E54"/>
    <w:rsid w:val="009E4D11"/>
    <w:rsid w:val="009E6116"/>
    <w:rsid w:val="009F1565"/>
    <w:rsid w:val="009F1D28"/>
    <w:rsid w:val="009F26B8"/>
    <w:rsid w:val="009F7AF9"/>
    <w:rsid w:val="00A02E43"/>
    <w:rsid w:val="00A0431C"/>
    <w:rsid w:val="00A065F9"/>
    <w:rsid w:val="00A0660B"/>
    <w:rsid w:val="00A069CB"/>
    <w:rsid w:val="00A06D47"/>
    <w:rsid w:val="00A07F34"/>
    <w:rsid w:val="00A156E5"/>
    <w:rsid w:val="00A20533"/>
    <w:rsid w:val="00A22154"/>
    <w:rsid w:val="00A23012"/>
    <w:rsid w:val="00A2316D"/>
    <w:rsid w:val="00A25255"/>
    <w:rsid w:val="00A25C38"/>
    <w:rsid w:val="00A31629"/>
    <w:rsid w:val="00A334D6"/>
    <w:rsid w:val="00A35532"/>
    <w:rsid w:val="00A3607E"/>
    <w:rsid w:val="00A36BBE"/>
    <w:rsid w:val="00A376E9"/>
    <w:rsid w:val="00A4307A"/>
    <w:rsid w:val="00A43806"/>
    <w:rsid w:val="00A43877"/>
    <w:rsid w:val="00A444AE"/>
    <w:rsid w:val="00A4470A"/>
    <w:rsid w:val="00A47EBB"/>
    <w:rsid w:val="00A50526"/>
    <w:rsid w:val="00A51CDD"/>
    <w:rsid w:val="00A525C7"/>
    <w:rsid w:val="00A53329"/>
    <w:rsid w:val="00A638CD"/>
    <w:rsid w:val="00A64A73"/>
    <w:rsid w:val="00A6730D"/>
    <w:rsid w:val="00A70C53"/>
    <w:rsid w:val="00A71625"/>
    <w:rsid w:val="00A71659"/>
    <w:rsid w:val="00A71B9B"/>
    <w:rsid w:val="00A73CDE"/>
    <w:rsid w:val="00A751C7"/>
    <w:rsid w:val="00A75422"/>
    <w:rsid w:val="00A7543C"/>
    <w:rsid w:val="00A759E3"/>
    <w:rsid w:val="00A819FD"/>
    <w:rsid w:val="00A81B70"/>
    <w:rsid w:val="00A81E4B"/>
    <w:rsid w:val="00A821D3"/>
    <w:rsid w:val="00A84E28"/>
    <w:rsid w:val="00A87844"/>
    <w:rsid w:val="00A90227"/>
    <w:rsid w:val="00A92259"/>
    <w:rsid w:val="00A94092"/>
    <w:rsid w:val="00A9443E"/>
    <w:rsid w:val="00A9796E"/>
    <w:rsid w:val="00AA038C"/>
    <w:rsid w:val="00AA3849"/>
    <w:rsid w:val="00AA57BC"/>
    <w:rsid w:val="00AA7A09"/>
    <w:rsid w:val="00AB0858"/>
    <w:rsid w:val="00AB2C33"/>
    <w:rsid w:val="00AB3B50"/>
    <w:rsid w:val="00AB4277"/>
    <w:rsid w:val="00AB4C53"/>
    <w:rsid w:val="00AB5386"/>
    <w:rsid w:val="00AB6193"/>
    <w:rsid w:val="00AB71BF"/>
    <w:rsid w:val="00AC05B1"/>
    <w:rsid w:val="00AC105D"/>
    <w:rsid w:val="00AD0214"/>
    <w:rsid w:val="00AD1AA6"/>
    <w:rsid w:val="00AD356C"/>
    <w:rsid w:val="00AD5EFF"/>
    <w:rsid w:val="00AD6A9E"/>
    <w:rsid w:val="00AE015D"/>
    <w:rsid w:val="00AE09E2"/>
    <w:rsid w:val="00AE2914"/>
    <w:rsid w:val="00AE362B"/>
    <w:rsid w:val="00AE6D15"/>
    <w:rsid w:val="00AF2115"/>
    <w:rsid w:val="00AF21E7"/>
    <w:rsid w:val="00AF2B3B"/>
    <w:rsid w:val="00AF5445"/>
    <w:rsid w:val="00AF70C4"/>
    <w:rsid w:val="00B01302"/>
    <w:rsid w:val="00B013F3"/>
    <w:rsid w:val="00B02798"/>
    <w:rsid w:val="00B04182"/>
    <w:rsid w:val="00B07729"/>
    <w:rsid w:val="00B07AE3"/>
    <w:rsid w:val="00B101A7"/>
    <w:rsid w:val="00B11430"/>
    <w:rsid w:val="00B13902"/>
    <w:rsid w:val="00B17CB1"/>
    <w:rsid w:val="00B2474C"/>
    <w:rsid w:val="00B252CC"/>
    <w:rsid w:val="00B253D3"/>
    <w:rsid w:val="00B27A1E"/>
    <w:rsid w:val="00B27F1E"/>
    <w:rsid w:val="00B316E0"/>
    <w:rsid w:val="00B31F84"/>
    <w:rsid w:val="00B32C73"/>
    <w:rsid w:val="00B3515F"/>
    <w:rsid w:val="00B353EB"/>
    <w:rsid w:val="00B3780B"/>
    <w:rsid w:val="00B40FB2"/>
    <w:rsid w:val="00B416AA"/>
    <w:rsid w:val="00B41E72"/>
    <w:rsid w:val="00B4324D"/>
    <w:rsid w:val="00B439C4"/>
    <w:rsid w:val="00B43EB6"/>
    <w:rsid w:val="00B4420A"/>
    <w:rsid w:val="00B442D3"/>
    <w:rsid w:val="00B44869"/>
    <w:rsid w:val="00B449F1"/>
    <w:rsid w:val="00B44BD0"/>
    <w:rsid w:val="00B4535E"/>
    <w:rsid w:val="00B47BF0"/>
    <w:rsid w:val="00B52A8C"/>
    <w:rsid w:val="00B60F75"/>
    <w:rsid w:val="00B636A8"/>
    <w:rsid w:val="00B665C6"/>
    <w:rsid w:val="00B71AA4"/>
    <w:rsid w:val="00B73889"/>
    <w:rsid w:val="00B76494"/>
    <w:rsid w:val="00B7659C"/>
    <w:rsid w:val="00B805AF"/>
    <w:rsid w:val="00B80F3B"/>
    <w:rsid w:val="00B81093"/>
    <w:rsid w:val="00B82FB6"/>
    <w:rsid w:val="00B85352"/>
    <w:rsid w:val="00B859CD"/>
    <w:rsid w:val="00B869EC"/>
    <w:rsid w:val="00B87905"/>
    <w:rsid w:val="00B90EC6"/>
    <w:rsid w:val="00B91B60"/>
    <w:rsid w:val="00B92BD5"/>
    <w:rsid w:val="00B9397A"/>
    <w:rsid w:val="00B9633D"/>
    <w:rsid w:val="00BA0299"/>
    <w:rsid w:val="00BA1CA0"/>
    <w:rsid w:val="00BA2EBE"/>
    <w:rsid w:val="00BA38E8"/>
    <w:rsid w:val="00BA5AEB"/>
    <w:rsid w:val="00BA6854"/>
    <w:rsid w:val="00BB0F28"/>
    <w:rsid w:val="00BB291D"/>
    <w:rsid w:val="00BB458A"/>
    <w:rsid w:val="00BB4591"/>
    <w:rsid w:val="00BB49D5"/>
    <w:rsid w:val="00BB4C8D"/>
    <w:rsid w:val="00BB799B"/>
    <w:rsid w:val="00BC094F"/>
    <w:rsid w:val="00BC09EE"/>
    <w:rsid w:val="00BC1B7B"/>
    <w:rsid w:val="00BC3490"/>
    <w:rsid w:val="00BC5BAC"/>
    <w:rsid w:val="00BC64F8"/>
    <w:rsid w:val="00BC6BF0"/>
    <w:rsid w:val="00BC7CFA"/>
    <w:rsid w:val="00BD00D3"/>
    <w:rsid w:val="00BD0830"/>
    <w:rsid w:val="00BD1659"/>
    <w:rsid w:val="00BD3AA9"/>
    <w:rsid w:val="00BD4A18"/>
    <w:rsid w:val="00BD6DB2"/>
    <w:rsid w:val="00BE00CC"/>
    <w:rsid w:val="00BE079D"/>
    <w:rsid w:val="00BE1103"/>
    <w:rsid w:val="00BE11CF"/>
    <w:rsid w:val="00BE21AB"/>
    <w:rsid w:val="00BE3F71"/>
    <w:rsid w:val="00BE4AF2"/>
    <w:rsid w:val="00BE55CB"/>
    <w:rsid w:val="00BE7105"/>
    <w:rsid w:val="00BF2CD1"/>
    <w:rsid w:val="00BF617A"/>
    <w:rsid w:val="00C02136"/>
    <w:rsid w:val="00C02915"/>
    <w:rsid w:val="00C0369D"/>
    <w:rsid w:val="00C0379D"/>
    <w:rsid w:val="00C03931"/>
    <w:rsid w:val="00C05FE3"/>
    <w:rsid w:val="00C075C3"/>
    <w:rsid w:val="00C1014A"/>
    <w:rsid w:val="00C108F8"/>
    <w:rsid w:val="00C141DF"/>
    <w:rsid w:val="00C15291"/>
    <w:rsid w:val="00C17557"/>
    <w:rsid w:val="00C17BC8"/>
    <w:rsid w:val="00C2136D"/>
    <w:rsid w:val="00C214EE"/>
    <w:rsid w:val="00C2314B"/>
    <w:rsid w:val="00C24971"/>
    <w:rsid w:val="00C2586A"/>
    <w:rsid w:val="00C26BE5"/>
    <w:rsid w:val="00C26E4D"/>
    <w:rsid w:val="00C272B8"/>
    <w:rsid w:val="00C27909"/>
    <w:rsid w:val="00C27B03"/>
    <w:rsid w:val="00C30F22"/>
    <w:rsid w:val="00C314E1"/>
    <w:rsid w:val="00C32936"/>
    <w:rsid w:val="00C332D6"/>
    <w:rsid w:val="00C34011"/>
    <w:rsid w:val="00C34397"/>
    <w:rsid w:val="00C34578"/>
    <w:rsid w:val="00C35341"/>
    <w:rsid w:val="00C35EF2"/>
    <w:rsid w:val="00C36506"/>
    <w:rsid w:val="00C4095D"/>
    <w:rsid w:val="00C43BB8"/>
    <w:rsid w:val="00C46360"/>
    <w:rsid w:val="00C47C7F"/>
    <w:rsid w:val="00C51358"/>
    <w:rsid w:val="00C52689"/>
    <w:rsid w:val="00C53DC5"/>
    <w:rsid w:val="00C54C8A"/>
    <w:rsid w:val="00C554F3"/>
    <w:rsid w:val="00C601D2"/>
    <w:rsid w:val="00C654FC"/>
    <w:rsid w:val="00C657AB"/>
    <w:rsid w:val="00C65BCC"/>
    <w:rsid w:val="00C66970"/>
    <w:rsid w:val="00C73ECE"/>
    <w:rsid w:val="00C81E21"/>
    <w:rsid w:val="00C8691C"/>
    <w:rsid w:val="00C9297E"/>
    <w:rsid w:val="00C94300"/>
    <w:rsid w:val="00C9754B"/>
    <w:rsid w:val="00CA112C"/>
    <w:rsid w:val="00CA168A"/>
    <w:rsid w:val="00CA171E"/>
    <w:rsid w:val="00CA357E"/>
    <w:rsid w:val="00CA3C44"/>
    <w:rsid w:val="00CA41A0"/>
    <w:rsid w:val="00CA44F9"/>
    <w:rsid w:val="00CA4A69"/>
    <w:rsid w:val="00CA603C"/>
    <w:rsid w:val="00CA6C8B"/>
    <w:rsid w:val="00CA7CAB"/>
    <w:rsid w:val="00CB0AFE"/>
    <w:rsid w:val="00CB3617"/>
    <w:rsid w:val="00CB6135"/>
    <w:rsid w:val="00CB75B5"/>
    <w:rsid w:val="00CC138B"/>
    <w:rsid w:val="00CC249C"/>
    <w:rsid w:val="00CC3E0C"/>
    <w:rsid w:val="00CC58D3"/>
    <w:rsid w:val="00CC6DED"/>
    <w:rsid w:val="00CC784D"/>
    <w:rsid w:val="00CD2167"/>
    <w:rsid w:val="00CD6300"/>
    <w:rsid w:val="00CD7136"/>
    <w:rsid w:val="00CD7B6C"/>
    <w:rsid w:val="00CE1E98"/>
    <w:rsid w:val="00CE212E"/>
    <w:rsid w:val="00CE2137"/>
    <w:rsid w:val="00CE5C20"/>
    <w:rsid w:val="00CE5ED9"/>
    <w:rsid w:val="00CE6B9D"/>
    <w:rsid w:val="00CF1D1D"/>
    <w:rsid w:val="00CF2C01"/>
    <w:rsid w:val="00D01D7C"/>
    <w:rsid w:val="00D0337B"/>
    <w:rsid w:val="00D05A34"/>
    <w:rsid w:val="00D079B2"/>
    <w:rsid w:val="00D11478"/>
    <w:rsid w:val="00D114E9"/>
    <w:rsid w:val="00D1291A"/>
    <w:rsid w:val="00D160ED"/>
    <w:rsid w:val="00D20699"/>
    <w:rsid w:val="00D22141"/>
    <w:rsid w:val="00D22845"/>
    <w:rsid w:val="00D23613"/>
    <w:rsid w:val="00D24F68"/>
    <w:rsid w:val="00D26827"/>
    <w:rsid w:val="00D429C6"/>
    <w:rsid w:val="00D45B96"/>
    <w:rsid w:val="00D47748"/>
    <w:rsid w:val="00D47F36"/>
    <w:rsid w:val="00D5132B"/>
    <w:rsid w:val="00D51AF0"/>
    <w:rsid w:val="00D5311A"/>
    <w:rsid w:val="00D54CC3"/>
    <w:rsid w:val="00D5678B"/>
    <w:rsid w:val="00D6041A"/>
    <w:rsid w:val="00D62005"/>
    <w:rsid w:val="00D633EB"/>
    <w:rsid w:val="00D67A69"/>
    <w:rsid w:val="00D67DA6"/>
    <w:rsid w:val="00D725BA"/>
    <w:rsid w:val="00D72BB1"/>
    <w:rsid w:val="00D72BF8"/>
    <w:rsid w:val="00D82FF7"/>
    <w:rsid w:val="00D846E3"/>
    <w:rsid w:val="00D847FE"/>
    <w:rsid w:val="00D859ED"/>
    <w:rsid w:val="00D9296A"/>
    <w:rsid w:val="00D92BB6"/>
    <w:rsid w:val="00D964EA"/>
    <w:rsid w:val="00D966D0"/>
    <w:rsid w:val="00D973CC"/>
    <w:rsid w:val="00DA0B7E"/>
    <w:rsid w:val="00DA0C59"/>
    <w:rsid w:val="00DA108F"/>
    <w:rsid w:val="00DA3991"/>
    <w:rsid w:val="00DA505C"/>
    <w:rsid w:val="00DA7073"/>
    <w:rsid w:val="00DB152F"/>
    <w:rsid w:val="00DB7E6C"/>
    <w:rsid w:val="00DC03F2"/>
    <w:rsid w:val="00DC224E"/>
    <w:rsid w:val="00DC5924"/>
    <w:rsid w:val="00DC5AAD"/>
    <w:rsid w:val="00DD14DA"/>
    <w:rsid w:val="00DD5A29"/>
    <w:rsid w:val="00DD5D9D"/>
    <w:rsid w:val="00DE07BE"/>
    <w:rsid w:val="00DE2C79"/>
    <w:rsid w:val="00DE35CB"/>
    <w:rsid w:val="00DF13E9"/>
    <w:rsid w:val="00DF1E24"/>
    <w:rsid w:val="00DF21E9"/>
    <w:rsid w:val="00DF4669"/>
    <w:rsid w:val="00DF5A41"/>
    <w:rsid w:val="00DF6822"/>
    <w:rsid w:val="00E00896"/>
    <w:rsid w:val="00E00F14"/>
    <w:rsid w:val="00E01F68"/>
    <w:rsid w:val="00E03E0F"/>
    <w:rsid w:val="00E04AAF"/>
    <w:rsid w:val="00E06386"/>
    <w:rsid w:val="00E0728D"/>
    <w:rsid w:val="00E07C31"/>
    <w:rsid w:val="00E10A64"/>
    <w:rsid w:val="00E13476"/>
    <w:rsid w:val="00E13547"/>
    <w:rsid w:val="00E13E44"/>
    <w:rsid w:val="00E168E5"/>
    <w:rsid w:val="00E2398E"/>
    <w:rsid w:val="00E24EB4"/>
    <w:rsid w:val="00E320ED"/>
    <w:rsid w:val="00E33650"/>
    <w:rsid w:val="00E33AFB"/>
    <w:rsid w:val="00E34218"/>
    <w:rsid w:val="00E344A6"/>
    <w:rsid w:val="00E3563C"/>
    <w:rsid w:val="00E35F8A"/>
    <w:rsid w:val="00E361EC"/>
    <w:rsid w:val="00E36BFA"/>
    <w:rsid w:val="00E37E13"/>
    <w:rsid w:val="00E43F3A"/>
    <w:rsid w:val="00E45228"/>
    <w:rsid w:val="00E46282"/>
    <w:rsid w:val="00E50658"/>
    <w:rsid w:val="00E5216E"/>
    <w:rsid w:val="00E5724B"/>
    <w:rsid w:val="00E632F1"/>
    <w:rsid w:val="00E6480F"/>
    <w:rsid w:val="00E7041C"/>
    <w:rsid w:val="00E73F30"/>
    <w:rsid w:val="00E7583F"/>
    <w:rsid w:val="00E82344"/>
    <w:rsid w:val="00E84C82"/>
    <w:rsid w:val="00E84D64"/>
    <w:rsid w:val="00E86F35"/>
    <w:rsid w:val="00E87408"/>
    <w:rsid w:val="00E879F9"/>
    <w:rsid w:val="00E914C4"/>
    <w:rsid w:val="00E91CD2"/>
    <w:rsid w:val="00E934F5"/>
    <w:rsid w:val="00E9581B"/>
    <w:rsid w:val="00E95CAC"/>
    <w:rsid w:val="00E96961"/>
    <w:rsid w:val="00EA092A"/>
    <w:rsid w:val="00EA146C"/>
    <w:rsid w:val="00EA27C9"/>
    <w:rsid w:val="00EA5211"/>
    <w:rsid w:val="00EA5285"/>
    <w:rsid w:val="00EA72EC"/>
    <w:rsid w:val="00EB11CB"/>
    <w:rsid w:val="00EB2219"/>
    <w:rsid w:val="00EB275A"/>
    <w:rsid w:val="00EB6E41"/>
    <w:rsid w:val="00EB786A"/>
    <w:rsid w:val="00EC1578"/>
    <w:rsid w:val="00EC1C72"/>
    <w:rsid w:val="00EC22D9"/>
    <w:rsid w:val="00EC3067"/>
    <w:rsid w:val="00EC3CC9"/>
    <w:rsid w:val="00EC680A"/>
    <w:rsid w:val="00ED2242"/>
    <w:rsid w:val="00ED31F0"/>
    <w:rsid w:val="00ED3596"/>
    <w:rsid w:val="00ED794E"/>
    <w:rsid w:val="00EE0A6A"/>
    <w:rsid w:val="00EE1DF3"/>
    <w:rsid w:val="00EE2819"/>
    <w:rsid w:val="00EE2BED"/>
    <w:rsid w:val="00EE374B"/>
    <w:rsid w:val="00EE5A7F"/>
    <w:rsid w:val="00EE6548"/>
    <w:rsid w:val="00EE7133"/>
    <w:rsid w:val="00EE7636"/>
    <w:rsid w:val="00EF2586"/>
    <w:rsid w:val="00EF26C7"/>
    <w:rsid w:val="00EF2DD3"/>
    <w:rsid w:val="00EF2FAD"/>
    <w:rsid w:val="00EF595F"/>
    <w:rsid w:val="00EF768F"/>
    <w:rsid w:val="00F0124A"/>
    <w:rsid w:val="00F06FC1"/>
    <w:rsid w:val="00F1075A"/>
    <w:rsid w:val="00F109DC"/>
    <w:rsid w:val="00F10C4D"/>
    <w:rsid w:val="00F10EFB"/>
    <w:rsid w:val="00F11BB5"/>
    <w:rsid w:val="00F11F9F"/>
    <w:rsid w:val="00F1417B"/>
    <w:rsid w:val="00F14CB1"/>
    <w:rsid w:val="00F15F56"/>
    <w:rsid w:val="00F172F6"/>
    <w:rsid w:val="00F20323"/>
    <w:rsid w:val="00F208C3"/>
    <w:rsid w:val="00F31B08"/>
    <w:rsid w:val="00F33816"/>
    <w:rsid w:val="00F34B99"/>
    <w:rsid w:val="00F353A4"/>
    <w:rsid w:val="00F35C4B"/>
    <w:rsid w:val="00F4096E"/>
    <w:rsid w:val="00F43BA1"/>
    <w:rsid w:val="00F46FDC"/>
    <w:rsid w:val="00F52B3C"/>
    <w:rsid w:val="00F52DAB"/>
    <w:rsid w:val="00F543F0"/>
    <w:rsid w:val="00F54A34"/>
    <w:rsid w:val="00F55E92"/>
    <w:rsid w:val="00F62B70"/>
    <w:rsid w:val="00F64441"/>
    <w:rsid w:val="00F651C0"/>
    <w:rsid w:val="00F660E6"/>
    <w:rsid w:val="00F72B89"/>
    <w:rsid w:val="00F73435"/>
    <w:rsid w:val="00F737BC"/>
    <w:rsid w:val="00F73BBC"/>
    <w:rsid w:val="00F74443"/>
    <w:rsid w:val="00F74608"/>
    <w:rsid w:val="00F7572E"/>
    <w:rsid w:val="00F81871"/>
    <w:rsid w:val="00F81D29"/>
    <w:rsid w:val="00F871AD"/>
    <w:rsid w:val="00F91C4D"/>
    <w:rsid w:val="00F92272"/>
    <w:rsid w:val="00F92FD9"/>
    <w:rsid w:val="00F932D0"/>
    <w:rsid w:val="00F934B5"/>
    <w:rsid w:val="00F936EC"/>
    <w:rsid w:val="00F95B8F"/>
    <w:rsid w:val="00FA143E"/>
    <w:rsid w:val="00FA3021"/>
    <w:rsid w:val="00FA6684"/>
    <w:rsid w:val="00FA731E"/>
    <w:rsid w:val="00FB2B38"/>
    <w:rsid w:val="00FB2C8B"/>
    <w:rsid w:val="00FB2F7C"/>
    <w:rsid w:val="00FB302D"/>
    <w:rsid w:val="00FB4F08"/>
    <w:rsid w:val="00FC1921"/>
    <w:rsid w:val="00FC6358"/>
    <w:rsid w:val="00FC7E22"/>
    <w:rsid w:val="00FD2E56"/>
    <w:rsid w:val="00FD320D"/>
    <w:rsid w:val="00FD6BF8"/>
    <w:rsid w:val="00FD7271"/>
    <w:rsid w:val="00FE10CE"/>
    <w:rsid w:val="00FE23DE"/>
    <w:rsid w:val="00FE531F"/>
    <w:rsid w:val="00FF252E"/>
    <w:rsid w:val="00FF25BA"/>
    <w:rsid w:val="00FF38A3"/>
    <w:rsid w:val="00FF4892"/>
    <w:rsid w:val="00FF68BF"/>
    <w:rsid w:val="00FF6FCB"/>
    <w:rsid w:val="00FF7C07"/>
    <w:rsid w:val="10036FAA"/>
    <w:rsid w:val="3BCA4F89"/>
    <w:rsid w:val="3FE03219"/>
    <w:rsid w:val="40C64151"/>
    <w:rsid w:val="543F25C2"/>
    <w:rsid w:val="5AD60938"/>
    <w:rsid w:val="5B1528FE"/>
    <w:rsid w:val="78F81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99"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qFormat="1" w:unhideWhenUsed="0" w:uiPriority="0" w:name="HTML Acronym"/>
    <w:lsdException w:uiPriority="0" w:name="HTML Address"/>
    <w:lsdException w:qFormat="1" w:unhideWhenUsed="0" w:uiPriority="0" w:name="HTML Cite"/>
    <w:lsdException w:qFormat="1" w:unhideWhenUsed="0"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7">
    <w:name w:val="Default Paragraph Font"/>
    <w:semiHidden/>
    <w:unhideWhenUsed/>
    <w:uiPriority w:val="1"/>
  </w:style>
  <w:style w:type="table" w:default="1" w:styleId="35">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link w:val="201"/>
    <w:semiHidden/>
    <w:qFormat/>
    <w:uiPriority w:val="0"/>
    <w:pPr>
      <w:shd w:val="clear" w:color="auto" w:fill="000080"/>
    </w:pPr>
  </w:style>
  <w:style w:type="paragraph" w:styleId="7">
    <w:name w:val="annotation text"/>
    <w:basedOn w:val="1"/>
    <w:link w:val="143"/>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Body Text"/>
    <w:basedOn w:val="1"/>
    <w:link w:val="181"/>
    <w:qFormat/>
    <w:uiPriority w:val="0"/>
    <w:pPr>
      <w:spacing w:after="120"/>
    </w:pPr>
    <w:rPr>
      <w:rFonts w:ascii="宋体"/>
      <w:kern w:val="0"/>
      <w:sz w:val="28"/>
      <w:szCs w:val="20"/>
    </w:r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toc 5"/>
    <w:basedOn w:val="1"/>
    <w:next w:val="1"/>
    <w:semiHidden/>
    <w:qFormat/>
    <w:uiPriority w:val="0"/>
    <w:pPr>
      <w:tabs>
        <w:tab w:val="right" w:leader="dot" w:pos="9241"/>
      </w:tabs>
      <w:ind w:firstLine="300" w:firstLineChars="300"/>
      <w:jc w:val="left"/>
    </w:pPr>
    <w:rPr>
      <w:rFonts w:ascii="宋体"/>
      <w:szCs w:val="21"/>
    </w:rPr>
  </w:style>
  <w:style w:type="paragraph" w:styleId="12">
    <w:name w:val="toc 3"/>
    <w:basedOn w:val="1"/>
    <w:next w:val="1"/>
    <w:semiHidden/>
    <w:qFormat/>
    <w:uiPriority w:val="0"/>
    <w:pPr>
      <w:tabs>
        <w:tab w:val="right" w:leader="dot" w:pos="9241"/>
      </w:tabs>
      <w:ind w:firstLine="100" w:firstLineChars="100"/>
      <w:jc w:val="left"/>
    </w:pPr>
    <w:rPr>
      <w:rFonts w:ascii="宋体"/>
      <w:szCs w:val="21"/>
    </w:rPr>
  </w:style>
  <w:style w:type="paragraph" w:styleId="13">
    <w:name w:val="toc 8"/>
    <w:basedOn w:val="1"/>
    <w:next w:val="1"/>
    <w:semiHidden/>
    <w:qFormat/>
    <w:uiPriority w:val="0"/>
    <w:pPr>
      <w:tabs>
        <w:tab w:val="right" w:leader="dot" w:pos="9241"/>
      </w:tabs>
      <w:ind w:firstLine="607" w:firstLineChars="600"/>
      <w:jc w:val="left"/>
    </w:pPr>
    <w:rPr>
      <w:rFonts w:ascii="宋体"/>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Date"/>
    <w:basedOn w:val="1"/>
    <w:next w:val="1"/>
    <w:link w:val="190"/>
    <w:qFormat/>
    <w:uiPriority w:val="0"/>
    <w:pPr>
      <w:ind w:left="100" w:leftChars="2500"/>
    </w:pPr>
    <w:rPr>
      <w:rFonts w:ascii="Calibri" w:hAnsi="Calibri"/>
    </w:rPr>
  </w:style>
  <w:style w:type="paragraph" w:styleId="16">
    <w:name w:val="endnote text"/>
    <w:basedOn w:val="1"/>
    <w:link w:val="202"/>
    <w:semiHidden/>
    <w:qFormat/>
    <w:uiPriority w:val="0"/>
    <w:pPr>
      <w:snapToGrid w:val="0"/>
      <w:jc w:val="left"/>
    </w:pPr>
  </w:style>
  <w:style w:type="paragraph" w:styleId="17">
    <w:name w:val="Balloon Text"/>
    <w:basedOn w:val="1"/>
    <w:link w:val="145"/>
    <w:qFormat/>
    <w:uiPriority w:val="99"/>
    <w:rPr>
      <w:sz w:val="18"/>
      <w:szCs w:val="18"/>
    </w:rPr>
  </w:style>
  <w:style w:type="paragraph" w:styleId="18">
    <w:name w:val="footer"/>
    <w:basedOn w:val="1"/>
    <w:link w:val="178"/>
    <w:qFormat/>
    <w:uiPriority w:val="99"/>
    <w:pPr>
      <w:snapToGrid w:val="0"/>
      <w:ind w:right="210" w:rightChars="100"/>
      <w:jc w:val="right"/>
    </w:pPr>
    <w:rPr>
      <w:sz w:val="18"/>
      <w:szCs w:val="18"/>
    </w:rPr>
  </w:style>
  <w:style w:type="paragraph" w:styleId="19">
    <w:name w:val="header"/>
    <w:basedOn w:val="1"/>
    <w:link w:val="177"/>
    <w:qFormat/>
    <w:uiPriority w:val="99"/>
    <w:pPr>
      <w:snapToGrid w:val="0"/>
      <w:jc w:val="left"/>
    </w:pPr>
    <w:rPr>
      <w:sz w:val="18"/>
      <w:szCs w:val="18"/>
    </w:rPr>
  </w:style>
  <w:style w:type="paragraph" w:styleId="20">
    <w:name w:val="toc 1"/>
    <w:basedOn w:val="1"/>
    <w:next w:val="1"/>
    <w:semiHidden/>
    <w:qFormat/>
    <w:uiPriority w:val="0"/>
    <w:pPr>
      <w:tabs>
        <w:tab w:val="right" w:leader="dot" w:pos="9242"/>
      </w:tabs>
      <w:spacing w:beforeLines="25" w:afterLines="25"/>
      <w:jc w:val="left"/>
    </w:pPr>
    <w:rPr>
      <w:rFonts w:ascii="宋体"/>
      <w:szCs w:val="21"/>
    </w:rPr>
  </w:style>
  <w:style w:type="paragraph" w:styleId="21">
    <w:name w:val="toc 4"/>
    <w:basedOn w:val="1"/>
    <w:next w:val="1"/>
    <w:semiHidden/>
    <w:qFormat/>
    <w:uiPriority w:val="0"/>
    <w:pPr>
      <w:tabs>
        <w:tab w:val="right" w:leader="dot" w:pos="9241"/>
      </w:tabs>
      <w:ind w:firstLine="200"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4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link w:val="185"/>
    <w:qFormat/>
    <w:uiPriority w:val="99"/>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0"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semiHidden/>
    <w:qFormat/>
    <w:uiPriority w:val="0"/>
    <w:pPr>
      <w:tabs>
        <w:tab w:val="right" w:leader="dot" w:pos="9242"/>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32">
    <w:name w:val="index 2"/>
    <w:basedOn w:val="1"/>
    <w:next w:val="1"/>
    <w:qFormat/>
    <w:uiPriority w:val="0"/>
    <w:pPr>
      <w:ind w:left="420" w:hanging="210"/>
      <w:jc w:val="left"/>
    </w:pPr>
    <w:rPr>
      <w:rFonts w:ascii="Calibri" w:hAnsi="Calibri"/>
      <w:sz w:val="20"/>
      <w:szCs w:val="20"/>
    </w:rPr>
  </w:style>
  <w:style w:type="paragraph" w:styleId="33">
    <w:name w:val="Title"/>
    <w:basedOn w:val="1"/>
    <w:link w:val="171"/>
    <w:qFormat/>
    <w:uiPriority w:val="0"/>
    <w:pPr>
      <w:numPr>
        <w:ilvl w:val="2"/>
        <w:numId w:val="2"/>
      </w:numPr>
      <w:tabs>
        <w:tab w:val="clear" w:pos="0"/>
      </w:tabs>
      <w:spacing w:before="240" w:after="60"/>
      <w:ind w:left="0" w:firstLine="0"/>
      <w:jc w:val="center"/>
      <w:outlineLvl w:val="0"/>
    </w:pPr>
    <w:rPr>
      <w:rFonts w:ascii="Arial" w:hAnsi="Arial" w:cs="Arial"/>
      <w:b/>
      <w:bCs/>
      <w:sz w:val="32"/>
      <w:szCs w:val="32"/>
    </w:rPr>
  </w:style>
  <w:style w:type="paragraph" w:styleId="34">
    <w:name w:val="annotation subject"/>
    <w:basedOn w:val="7"/>
    <w:next w:val="7"/>
    <w:link w:val="144"/>
    <w:qFormat/>
    <w:uiPriority w:val="0"/>
    <w:rPr>
      <w:b/>
      <w:bCs/>
    </w:rPr>
  </w:style>
  <w:style w:type="table" w:styleId="36">
    <w:name w:val="Table Grid"/>
    <w:basedOn w:val="35"/>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8">
    <w:name w:val="endnote reference"/>
    <w:semiHidden/>
    <w:qFormat/>
    <w:uiPriority w:val="0"/>
    <w:rPr>
      <w:vertAlign w:val="superscript"/>
    </w:rPr>
  </w:style>
  <w:style w:type="character" w:styleId="39">
    <w:name w:val="page number"/>
    <w:qFormat/>
    <w:uiPriority w:val="0"/>
    <w:rPr>
      <w:rFonts w:ascii="Times New Roman" w:hAnsi="Times New Roman" w:eastAsia="宋体"/>
      <w:sz w:val="18"/>
    </w:rPr>
  </w:style>
  <w:style w:type="character" w:styleId="40">
    <w:name w:val="FollowedHyperlink"/>
    <w:qFormat/>
    <w:uiPriority w:val="0"/>
    <w:rPr>
      <w:color w:val="800080"/>
      <w:u w:val="single"/>
    </w:rPr>
  </w:style>
  <w:style w:type="character" w:styleId="41">
    <w:name w:val="HTML Acronym"/>
    <w:basedOn w:val="37"/>
    <w:semiHidden/>
    <w:qFormat/>
    <w:uiPriority w:val="0"/>
  </w:style>
  <w:style w:type="character" w:styleId="42">
    <w:name w:val="Hyperlink"/>
    <w:qFormat/>
    <w:uiPriority w:val="0"/>
    <w:rPr>
      <w:color w:val="0000FF"/>
      <w:spacing w:val="0"/>
      <w:w w:val="100"/>
      <w:szCs w:val="21"/>
      <w:u w:val="single"/>
    </w:rPr>
  </w:style>
  <w:style w:type="character" w:styleId="43">
    <w:name w:val="HTML Code"/>
    <w:semiHidden/>
    <w:qFormat/>
    <w:uiPriority w:val="0"/>
    <w:rPr>
      <w:rFonts w:ascii="Courier New" w:hAnsi="Courier New"/>
      <w:sz w:val="20"/>
      <w:szCs w:val="20"/>
    </w:rPr>
  </w:style>
  <w:style w:type="character" w:styleId="44">
    <w:name w:val="annotation reference"/>
    <w:qFormat/>
    <w:uiPriority w:val="0"/>
    <w:rPr>
      <w:sz w:val="21"/>
      <w:szCs w:val="21"/>
    </w:rPr>
  </w:style>
  <w:style w:type="character" w:styleId="45">
    <w:name w:val="HTML Cite"/>
    <w:semiHidden/>
    <w:qFormat/>
    <w:uiPriority w:val="0"/>
    <w:rPr>
      <w:i/>
      <w:iCs/>
    </w:rPr>
  </w:style>
  <w:style w:type="character" w:styleId="46">
    <w:name w:val="footnote reference"/>
    <w:qFormat/>
    <w:uiPriority w:val="99"/>
    <w:rPr>
      <w:vertAlign w:val="superscript"/>
    </w:rPr>
  </w:style>
  <w:style w:type="character" w:customStyle="1" w:styleId="47">
    <w:name w:val="段 Char"/>
    <w:link w:val="24"/>
    <w:qFormat/>
    <w:uiPriority w:val="0"/>
    <w:rPr>
      <w:rFonts w:ascii="宋体"/>
      <w:sz w:val="21"/>
      <w:lang w:val="en-US" w:eastAsia="zh-CN" w:bidi="ar-SA"/>
    </w:rPr>
  </w:style>
  <w:style w:type="paragraph" w:customStyle="1" w:styleId="48">
    <w:name w:val="一级条标题"/>
    <w:next w:val="24"/>
    <w:link w:val="184"/>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4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1">
    <w:name w:val="章标题"/>
    <w:next w:val="24"/>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52">
    <w:name w:val="二级条标题"/>
    <w:basedOn w:val="48"/>
    <w:next w:val="24"/>
    <w:qFormat/>
    <w:uiPriority w:val="0"/>
    <w:pPr>
      <w:spacing w:before="50" w:after="50"/>
      <w:outlineLvl w:val="3"/>
    </w:pPr>
  </w:style>
  <w:style w:type="paragraph" w:customStyle="1" w:styleId="5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4">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5">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6">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7">
    <w:name w:val="三级条标题"/>
    <w:basedOn w:val="52"/>
    <w:next w:val="24"/>
    <w:qFormat/>
    <w:uiPriority w:val="0"/>
    <w:pPr>
      <w:outlineLvl w:val="4"/>
    </w:pPr>
  </w:style>
  <w:style w:type="paragraph" w:customStyle="1" w:styleId="58">
    <w:name w:val="示例"/>
    <w:next w:val="59"/>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0">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61">
    <w:name w:val="四级条标题"/>
    <w:basedOn w:val="57"/>
    <w:next w:val="24"/>
    <w:qFormat/>
    <w:uiPriority w:val="0"/>
    <w:pPr>
      <w:outlineLvl w:val="5"/>
    </w:pPr>
  </w:style>
  <w:style w:type="paragraph" w:customStyle="1" w:styleId="62">
    <w:name w:val="五级条标题"/>
    <w:basedOn w:val="61"/>
    <w:next w:val="24"/>
    <w:qFormat/>
    <w:uiPriority w:val="0"/>
    <w:pPr>
      <w:outlineLvl w:val="6"/>
    </w:pPr>
  </w:style>
  <w:style w:type="paragraph" w:customStyle="1" w:styleId="63">
    <w:name w:val="注："/>
    <w:next w:val="24"/>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4">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5">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6">
    <w:name w:val="列项◆（三级）"/>
    <w:basedOn w:val="1"/>
    <w:qFormat/>
    <w:uiPriority w:val="0"/>
    <w:pPr>
      <w:numPr>
        <w:ilvl w:val="2"/>
        <w:numId w:val="3"/>
      </w:numPr>
    </w:pPr>
    <w:rPr>
      <w:rFonts w:ascii="宋体"/>
      <w:szCs w:val="21"/>
    </w:rPr>
  </w:style>
  <w:style w:type="paragraph" w:customStyle="1" w:styleId="67">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8">
    <w:name w:val="示例×："/>
    <w:basedOn w:val="51"/>
    <w:qFormat/>
    <w:uiPriority w:val="0"/>
    <w:pPr>
      <w:numPr>
        <w:ilvl w:val="0"/>
        <w:numId w:val="8"/>
      </w:numPr>
      <w:spacing w:beforeLines="0" w:afterLines="0"/>
      <w:outlineLvl w:val="9"/>
    </w:pPr>
    <w:rPr>
      <w:rFonts w:ascii="宋体" w:eastAsia="宋体"/>
      <w:sz w:val="18"/>
      <w:szCs w:val="18"/>
    </w:rPr>
  </w:style>
  <w:style w:type="paragraph" w:customStyle="1" w:styleId="69">
    <w:name w:val="二级无"/>
    <w:basedOn w:val="52"/>
    <w:qFormat/>
    <w:uiPriority w:val="0"/>
    <w:pPr>
      <w:spacing w:beforeLines="0" w:afterLines="0"/>
    </w:pPr>
    <w:rPr>
      <w:rFonts w:ascii="宋体" w:eastAsia="宋体"/>
    </w:rPr>
  </w:style>
  <w:style w:type="paragraph" w:customStyle="1" w:styleId="70">
    <w:name w:val="注：（正文）"/>
    <w:basedOn w:val="63"/>
    <w:next w:val="24"/>
    <w:qFormat/>
    <w:uiPriority w:val="0"/>
  </w:style>
  <w:style w:type="paragraph" w:customStyle="1" w:styleId="71">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7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5">
    <w:name w:val="标准书眉_偶数页"/>
    <w:basedOn w:val="50"/>
    <w:next w:val="1"/>
    <w:qFormat/>
    <w:uiPriority w:val="0"/>
    <w:pPr>
      <w:jc w:val="left"/>
    </w:pPr>
  </w:style>
  <w:style w:type="paragraph" w:customStyle="1" w:styleId="76">
    <w:name w:val="标准书眉一"/>
    <w:qFormat/>
    <w:uiPriority w:val="0"/>
    <w:pPr>
      <w:jc w:val="both"/>
    </w:pPr>
    <w:rPr>
      <w:rFonts w:ascii="Times New Roman" w:hAnsi="Times New Roman" w:eastAsia="宋体" w:cs="Times New Roman"/>
      <w:lang w:val="en-US" w:eastAsia="zh-CN" w:bidi="ar-SA"/>
    </w:rPr>
  </w:style>
  <w:style w:type="paragraph" w:customStyle="1" w:styleId="77">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8">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9">
    <w:name w:val="发布"/>
    <w:qFormat/>
    <w:uiPriority w:val="0"/>
    <w:rPr>
      <w:rFonts w:ascii="黑体" w:eastAsia="黑体"/>
      <w:spacing w:val="85"/>
      <w:w w:val="100"/>
      <w:position w:val="3"/>
      <w:sz w:val="28"/>
      <w:szCs w:val="28"/>
    </w:rPr>
  </w:style>
  <w:style w:type="paragraph" w:customStyle="1" w:styleId="80">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5">
    <w:name w:val="封面标准英文名称"/>
    <w:basedOn w:val="84"/>
    <w:qFormat/>
    <w:uiPriority w:val="0"/>
    <w:pPr>
      <w:framePr w:wrap="around"/>
      <w:spacing w:before="370" w:line="400" w:lineRule="exact"/>
    </w:pPr>
    <w:rPr>
      <w:rFonts w:ascii="Times New Roman"/>
      <w:sz w:val="28"/>
      <w:szCs w:val="28"/>
    </w:rPr>
  </w:style>
  <w:style w:type="paragraph" w:customStyle="1" w:styleId="86">
    <w:name w:val="封面一致性程度标识"/>
    <w:basedOn w:val="85"/>
    <w:qFormat/>
    <w:uiPriority w:val="0"/>
    <w:pPr>
      <w:framePr w:wrap="around"/>
      <w:spacing w:before="440"/>
    </w:pPr>
    <w:rPr>
      <w:rFonts w:ascii="宋体" w:eastAsia="宋体"/>
    </w:rPr>
  </w:style>
  <w:style w:type="paragraph" w:customStyle="1" w:styleId="87">
    <w:name w:val="封面标准文稿类别"/>
    <w:basedOn w:val="86"/>
    <w:qFormat/>
    <w:uiPriority w:val="0"/>
    <w:pPr>
      <w:framePr w:wrap="around"/>
      <w:spacing w:after="160" w:line="240" w:lineRule="auto"/>
    </w:pPr>
    <w:rPr>
      <w:sz w:val="24"/>
    </w:rPr>
  </w:style>
  <w:style w:type="paragraph" w:customStyle="1" w:styleId="88">
    <w:name w:val="封面标准文稿编辑信息"/>
    <w:basedOn w:val="87"/>
    <w:qFormat/>
    <w:uiPriority w:val="0"/>
    <w:pPr>
      <w:framePr w:wrap="around"/>
      <w:spacing w:before="180" w:line="180" w:lineRule="exact"/>
    </w:pPr>
    <w:rPr>
      <w:sz w:val="21"/>
    </w:rPr>
  </w:style>
  <w:style w:type="paragraph" w:customStyle="1" w:styleId="89">
    <w:name w:val="封面正文"/>
    <w:qFormat/>
    <w:uiPriority w:val="0"/>
    <w:pPr>
      <w:jc w:val="both"/>
    </w:pPr>
    <w:rPr>
      <w:rFonts w:ascii="Times New Roman" w:hAnsi="Times New Roman" w:eastAsia="宋体" w:cs="Times New Roman"/>
      <w:lang w:val="en-US" w:eastAsia="zh-CN" w:bidi="ar-SA"/>
    </w:rPr>
  </w:style>
  <w:style w:type="paragraph" w:customStyle="1" w:styleId="90">
    <w:name w:val="附录标识"/>
    <w:basedOn w:val="1"/>
    <w:next w:val="24"/>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1">
    <w:name w:val="附录标题"/>
    <w:basedOn w:val="24"/>
    <w:next w:val="24"/>
    <w:qFormat/>
    <w:uiPriority w:val="0"/>
    <w:pPr>
      <w:ind w:firstLine="0" w:firstLineChars="0"/>
      <w:jc w:val="center"/>
    </w:pPr>
    <w:rPr>
      <w:rFonts w:ascii="黑体" w:eastAsia="黑体"/>
    </w:rPr>
  </w:style>
  <w:style w:type="paragraph" w:customStyle="1" w:styleId="92">
    <w:name w:val="附录表标号"/>
    <w:basedOn w:val="1"/>
    <w:next w:val="24"/>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93">
    <w:name w:val="附录表标题"/>
    <w:basedOn w:val="1"/>
    <w:next w:val="24"/>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94">
    <w:name w:val="附录二级条标题"/>
    <w:basedOn w:val="1"/>
    <w:next w:val="24"/>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5">
    <w:name w:val="附录二级无"/>
    <w:basedOn w:val="94"/>
    <w:qFormat/>
    <w:uiPriority w:val="0"/>
    <w:pPr>
      <w:tabs>
        <w:tab w:val="clear" w:pos="360"/>
      </w:tabs>
      <w:spacing w:beforeLines="0" w:afterLines="0"/>
    </w:pPr>
    <w:rPr>
      <w:rFonts w:ascii="宋体" w:eastAsia="宋体"/>
      <w:szCs w:val="21"/>
    </w:rPr>
  </w:style>
  <w:style w:type="paragraph" w:customStyle="1" w:styleId="96">
    <w:name w:val="附录公式"/>
    <w:basedOn w:val="24"/>
    <w:next w:val="24"/>
    <w:link w:val="97"/>
    <w:qFormat/>
    <w:uiPriority w:val="0"/>
  </w:style>
  <w:style w:type="character" w:customStyle="1" w:styleId="97">
    <w:name w:val="附录公式 Char"/>
    <w:basedOn w:val="47"/>
    <w:link w:val="96"/>
    <w:qFormat/>
    <w:uiPriority w:val="0"/>
    <w:rPr>
      <w:rFonts w:ascii="宋体"/>
      <w:sz w:val="21"/>
      <w:lang w:val="en-US" w:eastAsia="zh-CN" w:bidi="ar-SA"/>
    </w:rPr>
  </w:style>
  <w:style w:type="paragraph" w:customStyle="1" w:styleId="98">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99">
    <w:name w:val="附录三级条标题"/>
    <w:basedOn w:val="94"/>
    <w:next w:val="24"/>
    <w:qFormat/>
    <w:uiPriority w:val="0"/>
    <w:pPr>
      <w:numPr>
        <w:ilvl w:val="4"/>
      </w:numPr>
      <w:outlineLvl w:val="4"/>
    </w:pPr>
  </w:style>
  <w:style w:type="paragraph" w:customStyle="1" w:styleId="100">
    <w:name w:val="附录三级无"/>
    <w:basedOn w:val="99"/>
    <w:qFormat/>
    <w:uiPriority w:val="0"/>
    <w:pPr>
      <w:tabs>
        <w:tab w:val="clear" w:pos="360"/>
      </w:tabs>
      <w:spacing w:beforeLines="0" w:afterLines="0"/>
    </w:pPr>
    <w:rPr>
      <w:rFonts w:ascii="宋体" w:eastAsia="宋体"/>
      <w:szCs w:val="21"/>
    </w:rPr>
  </w:style>
  <w:style w:type="paragraph" w:customStyle="1" w:styleId="101">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102">
    <w:name w:val="附录四级条标题"/>
    <w:basedOn w:val="99"/>
    <w:next w:val="24"/>
    <w:qFormat/>
    <w:uiPriority w:val="0"/>
    <w:pPr>
      <w:numPr>
        <w:ilvl w:val="5"/>
      </w:numPr>
      <w:outlineLvl w:val="5"/>
    </w:pPr>
  </w:style>
  <w:style w:type="paragraph" w:customStyle="1" w:styleId="103">
    <w:name w:val="附录四级无"/>
    <w:basedOn w:val="102"/>
    <w:qFormat/>
    <w:uiPriority w:val="0"/>
    <w:pPr>
      <w:tabs>
        <w:tab w:val="clear" w:pos="360"/>
      </w:tabs>
      <w:spacing w:beforeLines="0" w:afterLines="0"/>
    </w:pPr>
    <w:rPr>
      <w:rFonts w:ascii="宋体" w:eastAsia="宋体"/>
      <w:szCs w:val="21"/>
    </w:rPr>
  </w:style>
  <w:style w:type="paragraph" w:customStyle="1" w:styleId="104">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5">
    <w:name w:val="附录图标题"/>
    <w:basedOn w:val="1"/>
    <w:next w:val="24"/>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06">
    <w:name w:val="附录五级条标题"/>
    <w:basedOn w:val="102"/>
    <w:next w:val="24"/>
    <w:qFormat/>
    <w:uiPriority w:val="0"/>
    <w:pPr>
      <w:numPr>
        <w:ilvl w:val="6"/>
      </w:numPr>
      <w:outlineLvl w:val="6"/>
    </w:pPr>
  </w:style>
  <w:style w:type="paragraph" w:customStyle="1" w:styleId="107">
    <w:name w:val="附录五级无"/>
    <w:basedOn w:val="106"/>
    <w:qFormat/>
    <w:uiPriority w:val="0"/>
    <w:pPr>
      <w:tabs>
        <w:tab w:val="clear" w:pos="360"/>
      </w:tabs>
      <w:spacing w:beforeLines="0" w:afterLines="0"/>
    </w:pPr>
    <w:rPr>
      <w:rFonts w:ascii="宋体" w:eastAsia="宋体"/>
      <w:szCs w:val="21"/>
    </w:rPr>
  </w:style>
  <w:style w:type="paragraph" w:customStyle="1" w:styleId="108">
    <w:name w:val="附录章标题"/>
    <w:next w:val="24"/>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9">
    <w:name w:val="附录一级条标题"/>
    <w:basedOn w:val="108"/>
    <w:next w:val="24"/>
    <w:qFormat/>
    <w:uiPriority w:val="0"/>
    <w:pPr>
      <w:numPr>
        <w:ilvl w:val="2"/>
      </w:numPr>
      <w:autoSpaceDN w:val="0"/>
      <w:spacing w:beforeLines="50" w:afterLines="50"/>
      <w:outlineLvl w:val="2"/>
    </w:pPr>
  </w:style>
  <w:style w:type="paragraph" w:customStyle="1" w:styleId="110">
    <w:name w:val="附录一级无"/>
    <w:basedOn w:val="109"/>
    <w:qFormat/>
    <w:uiPriority w:val="0"/>
    <w:pPr>
      <w:tabs>
        <w:tab w:val="clear" w:pos="360"/>
      </w:tabs>
      <w:spacing w:beforeLines="0" w:afterLines="0"/>
    </w:pPr>
    <w:rPr>
      <w:rFonts w:ascii="宋体" w:eastAsia="宋体"/>
      <w:szCs w:val="21"/>
    </w:rPr>
  </w:style>
  <w:style w:type="paragraph" w:customStyle="1" w:styleId="111">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1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5">
    <w:name w:val="其他标准标志"/>
    <w:basedOn w:val="72"/>
    <w:qFormat/>
    <w:uiPriority w:val="0"/>
    <w:pPr>
      <w:framePr w:w="6101" w:wrap="around" w:vAnchor="page" w:hAnchor="page" w:x="4673" w:y="942"/>
    </w:pPr>
    <w:rPr>
      <w:w w:val="130"/>
    </w:rPr>
  </w:style>
  <w:style w:type="paragraph" w:customStyle="1" w:styleId="11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7">
    <w:name w:val="其他发布部门"/>
    <w:basedOn w:val="80"/>
    <w:qFormat/>
    <w:uiPriority w:val="0"/>
    <w:pPr>
      <w:framePr w:wrap="around" w:y="15310"/>
      <w:spacing w:line="0" w:lineRule="atLeast"/>
    </w:pPr>
    <w:rPr>
      <w:rFonts w:ascii="黑体" w:eastAsia="黑体"/>
      <w:b w:val="0"/>
    </w:rPr>
  </w:style>
  <w:style w:type="paragraph" w:customStyle="1" w:styleId="118">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9">
    <w:name w:val="三级无"/>
    <w:basedOn w:val="57"/>
    <w:qFormat/>
    <w:uiPriority w:val="0"/>
    <w:pPr>
      <w:spacing w:beforeLines="0" w:afterLines="0"/>
    </w:pPr>
    <w:rPr>
      <w:rFonts w:ascii="宋体" w:eastAsia="宋体"/>
    </w:rPr>
  </w:style>
  <w:style w:type="paragraph" w:customStyle="1" w:styleId="120">
    <w:name w:val="实施日期"/>
    <w:basedOn w:val="81"/>
    <w:qFormat/>
    <w:uiPriority w:val="0"/>
    <w:pPr>
      <w:framePr w:wrap="around" w:vAnchor="page" w:hAnchor="text"/>
      <w:jc w:val="right"/>
    </w:pPr>
  </w:style>
  <w:style w:type="paragraph" w:customStyle="1" w:styleId="121">
    <w:name w:val="示例后文字"/>
    <w:basedOn w:val="24"/>
    <w:next w:val="24"/>
    <w:qFormat/>
    <w:uiPriority w:val="0"/>
    <w:pPr>
      <w:ind w:firstLine="360"/>
    </w:pPr>
    <w:rPr>
      <w:sz w:val="18"/>
    </w:rPr>
  </w:style>
  <w:style w:type="paragraph" w:customStyle="1" w:styleId="122">
    <w:name w:val="首示例"/>
    <w:next w:val="24"/>
    <w:link w:val="123"/>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23">
    <w:name w:val="首示例 Char"/>
    <w:link w:val="122"/>
    <w:qFormat/>
    <w:uiPriority w:val="0"/>
    <w:rPr>
      <w:rFonts w:ascii="宋体" w:hAnsi="宋体"/>
      <w:kern w:val="2"/>
      <w:sz w:val="18"/>
      <w:szCs w:val="18"/>
    </w:rPr>
  </w:style>
  <w:style w:type="paragraph" w:customStyle="1" w:styleId="124">
    <w:name w:val="四级无"/>
    <w:basedOn w:val="61"/>
    <w:qFormat/>
    <w:uiPriority w:val="0"/>
    <w:pPr>
      <w:spacing w:beforeLines="0" w:afterLines="0"/>
    </w:pPr>
    <w:rPr>
      <w:rFonts w:ascii="宋体" w:eastAsia="宋体"/>
    </w:rPr>
  </w:style>
  <w:style w:type="paragraph" w:customStyle="1" w:styleId="125">
    <w:name w:val="条文脚注"/>
    <w:basedOn w:val="25"/>
    <w:qFormat/>
    <w:uiPriority w:val="0"/>
    <w:pPr>
      <w:numPr>
        <w:numId w:val="0"/>
      </w:numPr>
      <w:jc w:val="both"/>
    </w:pPr>
  </w:style>
  <w:style w:type="paragraph" w:customStyle="1" w:styleId="126">
    <w:name w:val="图标脚注说明"/>
    <w:basedOn w:val="24"/>
    <w:qFormat/>
    <w:uiPriority w:val="0"/>
    <w:pPr>
      <w:ind w:left="840" w:hanging="420" w:firstLineChars="0"/>
    </w:pPr>
    <w:rPr>
      <w:sz w:val="18"/>
      <w:szCs w:val="18"/>
    </w:rPr>
  </w:style>
  <w:style w:type="paragraph" w:customStyle="1" w:styleId="127">
    <w:name w:val="图表脚注说明"/>
    <w:basedOn w:val="1"/>
    <w:qFormat/>
    <w:uiPriority w:val="0"/>
    <w:pPr>
      <w:numPr>
        <w:ilvl w:val="0"/>
        <w:numId w:val="15"/>
      </w:numPr>
    </w:pPr>
    <w:rPr>
      <w:rFonts w:ascii="宋体"/>
      <w:sz w:val="18"/>
      <w:szCs w:val="18"/>
    </w:rPr>
  </w:style>
  <w:style w:type="paragraph" w:customStyle="1" w:styleId="128">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0">
    <w:name w:val="五级无"/>
    <w:basedOn w:val="62"/>
    <w:qFormat/>
    <w:uiPriority w:val="0"/>
    <w:pPr>
      <w:spacing w:beforeLines="0" w:afterLines="0"/>
    </w:pPr>
    <w:rPr>
      <w:rFonts w:ascii="宋体" w:eastAsia="宋体"/>
    </w:rPr>
  </w:style>
  <w:style w:type="paragraph" w:customStyle="1" w:styleId="131">
    <w:name w:val="一级无"/>
    <w:basedOn w:val="48"/>
    <w:qFormat/>
    <w:uiPriority w:val="0"/>
    <w:pPr>
      <w:spacing w:beforeLines="0" w:afterLines="0"/>
    </w:pPr>
    <w:rPr>
      <w:rFonts w:ascii="宋体" w:eastAsia="宋体"/>
    </w:rPr>
  </w:style>
  <w:style w:type="paragraph" w:customStyle="1" w:styleId="132">
    <w:name w:val="正文表标题"/>
    <w:next w:val="24"/>
    <w:qFormat/>
    <w:uiPriority w:val="0"/>
    <w:pPr>
      <w:spacing w:beforeLines="50" w:afterLines="50"/>
      <w:jc w:val="center"/>
    </w:pPr>
    <w:rPr>
      <w:rFonts w:ascii="黑体" w:hAnsi="Times New Roman" w:eastAsia="黑体" w:cs="Times New Roman"/>
      <w:sz w:val="21"/>
      <w:lang w:val="en-US" w:eastAsia="zh-CN" w:bidi="ar-SA"/>
    </w:rPr>
  </w:style>
  <w:style w:type="paragraph" w:customStyle="1" w:styleId="133">
    <w:name w:val="正文公式编号制表符"/>
    <w:basedOn w:val="24"/>
    <w:next w:val="24"/>
    <w:qFormat/>
    <w:uiPriority w:val="0"/>
    <w:pPr>
      <w:ind w:firstLine="0" w:firstLineChars="0"/>
    </w:pPr>
  </w:style>
  <w:style w:type="paragraph" w:customStyle="1" w:styleId="134">
    <w:name w:val="正文图标题"/>
    <w:next w:val="24"/>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5">
    <w:name w:val="终结线"/>
    <w:basedOn w:val="1"/>
    <w:qFormat/>
    <w:uiPriority w:val="0"/>
    <w:pPr>
      <w:framePr w:hSpace="181" w:vSpace="181" w:wrap="around" w:vAnchor="text" w:hAnchor="margin" w:xAlign="center" w:y="285"/>
    </w:pPr>
  </w:style>
  <w:style w:type="paragraph" w:customStyle="1" w:styleId="136">
    <w:name w:val="其他发布日期"/>
    <w:basedOn w:val="81"/>
    <w:qFormat/>
    <w:uiPriority w:val="0"/>
    <w:pPr>
      <w:framePr w:wrap="around" w:vAnchor="page" w:hAnchor="text" w:x="1419"/>
    </w:pPr>
  </w:style>
  <w:style w:type="paragraph" w:customStyle="1" w:styleId="137">
    <w:name w:val="其他实施日期"/>
    <w:basedOn w:val="120"/>
    <w:qFormat/>
    <w:uiPriority w:val="0"/>
    <w:pPr>
      <w:framePr w:wrap="around"/>
    </w:pPr>
  </w:style>
  <w:style w:type="paragraph" w:customStyle="1" w:styleId="138">
    <w:name w:val="封面标准名称2"/>
    <w:basedOn w:val="84"/>
    <w:qFormat/>
    <w:uiPriority w:val="0"/>
    <w:pPr>
      <w:framePr w:wrap="around" w:y="4469"/>
      <w:spacing w:beforeLines="630"/>
    </w:pPr>
  </w:style>
  <w:style w:type="paragraph" w:customStyle="1" w:styleId="139">
    <w:name w:val="封面标准英文名称2"/>
    <w:basedOn w:val="85"/>
    <w:qFormat/>
    <w:uiPriority w:val="0"/>
    <w:pPr>
      <w:framePr w:wrap="around" w:y="4469"/>
    </w:pPr>
  </w:style>
  <w:style w:type="paragraph" w:customStyle="1" w:styleId="140">
    <w:name w:val="封面一致性程度标识2"/>
    <w:basedOn w:val="86"/>
    <w:qFormat/>
    <w:uiPriority w:val="0"/>
    <w:pPr>
      <w:framePr w:wrap="around" w:y="4469"/>
    </w:pPr>
  </w:style>
  <w:style w:type="paragraph" w:customStyle="1" w:styleId="141">
    <w:name w:val="封面标准文稿类别2"/>
    <w:basedOn w:val="87"/>
    <w:qFormat/>
    <w:uiPriority w:val="0"/>
    <w:pPr>
      <w:framePr w:wrap="around" w:y="4469"/>
    </w:pPr>
  </w:style>
  <w:style w:type="paragraph" w:customStyle="1" w:styleId="142">
    <w:name w:val="封面标准文稿编辑信息2"/>
    <w:basedOn w:val="88"/>
    <w:qFormat/>
    <w:uiPriority w:val="0"/>
    <w:pPr>
      <w:framePr w:wrap="around" w:y="4469"/>
    </w:pPr>
  </w:style>
  <w:style w:type="character" w:customStyle="1" w:styleId="143">
    <w:name w:val="批注文字 字符"/>
    <w:link w:val="7"/>
    <w:qFormat/>
    <w:uiPriority w:val="0"/>
    <w:rPr>
      <w:kern w:val="2"/>
      <w:sz w:val="21"/>
      <w:szCs w:val="24"/>
    </w:rPr>
  </w:style>
  <w:style w:type="character" w:customStyle="1" w:styleId="144">
    <w:name w:val="批注主题 字符"/>
    <w:link w:val="34"/>
    <w:qFormat/>
    <w:uiPriority w:val="0"/>
    <w:rPr>
      <w:b/>
      <w:bCs/>
      <w:kern w:val="2"/>
      <w:sz w:val="21"/>
      <w:szCs w:val="24"/>
    </w:rPr>
  </w:style>
  <w:style w:type="character" w:customStyle="1" w:styleId="145">
    <w:name w:val="批注框文本 字符"/>
    <w:link w:val="17"/>
    <w:qFormat/>
    <w:uiPriority w:val="99"/>
    <w:rPr>
      <w:kern w:val="2"/>
      <w:sz w:val="18"/>
      <w:szCs w:val="18"/>
    </w:rPr>
  </w:style>
  <w:style w:type="paragraph" w:customStyle="1" w:styleId="146">
    <w:name w:val="StdsHead3"/>
    <w:qFormat/>
    <w:uiPriority w:val="0"/>
    <w:pPr>
      <w:spacing w:before="120" w:after="120"/>
      <w:jc w:val="both"/>
    </w:pPr>
    <w:rPr>
      <w:rFonts w:ascii="Times New Roman" w:hAnsi="Times New Roman" w:eastAsia="MS Mincho" w:cs="Times New Roman"/>
      <w:lang w:val="en-US" w:eastAsia="ja-JP" w:bidi="ar-SA"/>
    </w:rPr>
  </w:style>
  <w:style w:type="paragraph" w:customStyle="1" w:styleId="147">
    <w:name w:val="StdsHead1"/>
    <w:qFormat/>
    <w:uiPriority w:val="0"/>
    <w:pPr>
      <w:keepNext/>
      <w:spacing w:before="180" w:after="60"/>
    </w:pPr>
    <w:rPr>
      <w:rFonts w:ascii="Arial" w:hAnsi="Arial" w:eastAsia="Arial Unicode MS" w:cs="Times New Roman"/>
      <w:b/>
      <w:lang w:val="en-US" w:eastAsia="ja-JP" w:bidi="ar-SA"/>
    </w:rPr>
  </w:style>
  <w:style w:type="paragraph" w:customStyle="1" w:styleId="148">
    <w:name w:val="StdsHead2"/>
    <w:link w:val="164"/>
    <w:qFormat/>
    <w:uiPriority w:val="0"/>
    <w:pPr>
      <w:spacing w:before="120" w:after="120"/>
      <w:jc w:val="both"/>
    </w:pPr>
    <w:rPr>
      <w:rFonts w:ascii="Times New Roman" w:hAnsi="Times New Roman" w:eastAsia="MS Mincho" w:cs="Times New Roman"/>
      <w:lang w:val="en-US" w:eastAsia="ja-JP" w:bidi="ar-SA"/>
    </w:rPr>
  </w:style>
  <w:style w:type="paragraph" w:customStyle="1" w:styleId="149">
    <w:name w:val="StdsHead4"/>
    <w:qFormat/>
    <w:uiPriority w:val="0"/>
    <w:pPr>
      <w:spacing w:before="120" w:after="120"/>
      <w:jc w:val="both"/>
    </w:pPr>
    <w:rPr>
      <w:rFonts w:ascii="Times New Roman" w:hAnsi="Times New Roman" w:eastAsia="MS Mincho" w:cs="Times New Roman"/>
      <w:lang w:val="en-US" w:eastAsia="ja-JP" w:bidi="ar-SA"/>
    </w:rPr>
  </w:style>
  <w:style w:type="paragraph" w:customStyle="1" w:styleId="150">
    <w:name w:val="StdsHead5"/>
    <w:qFormat/>
    <w:uiPriority w:val="0"/>
    <w:pPr>
      <w:spacing w:before="120" w:after="120"/>
      <w:jc w:val="both"/>
    </w:pPr>
    <w:rPr>
      <w:rFonts w:ascii="Times New Roman" w:hAnsi="Times New Roman" w:eastAsia="MS Mincho" w:cs="Times New Roman"/>
      <w:lang w:val="en-US" w:eastAsia="ja-JP" w:bidi="ar-SA"/>
    </w:rPr>
  </w:style>
  <w:style w:type="paragraph" w:customStyle="1" w:styleId="151">
    <w:name w:val="StdsHead6"/>
    <w:qFormat/>
    <w:uiPriority w:val="0"/>
    <w:pPr>
      <w:spacing w:before="120" w:after="120"/>
      <w:jc w:val="both"/>
    </w:pPr>
    <w:rPr>
      <w:rFonts w:ascii="Times New Roman" w:hAnsi="Times New Roman" w:eastAsia="MS Mincho" w:cs="Times New Roman"/>
      <w:lang w:val="en-US" w:eastAsia="ja-JP" w:bidi="ar-SA"/>
    </w:rPr>
  </w:style>
  <w:style w:type="paragraph" w:customStyle="1" w:styleId="152">
    <w:name w:val="StdsHead7"/>
    <w:qFormat/>
    <w:uiPriority w:val="0"/>
    <w:pPr>
      <w:spacing w:before="120" w:after="120"/>
      <w:jc w:val="both"/>
    </w:pPr>
    <w:rPr>
      <w:rFonts w:ascii="Times New Roman" w:hAnsi="Times New Roman" w:eastAsia="MS Mincho" w:cs="Times New Roman"/>
      <w:lang w:val="en-US" w:eastAsia="ja-JP" w:bidi="ar-SA"/>
    </w:rPr>
  </w:style>
  <w:style w:type="paragraph" w:customStyle="1" w:styleId="153">
    <w:name w:val="StdsHead8"/>
    <w:qFormat/>
    <w:uiPriority w:val="0"/>
    <w:pPr>
      <w:spacing w:before="120" w:after="120"/>
      <w:jc w:val="both"/>
    </w:pPr>
    <w:rPr>
      <w:rFonts w:ascii="Times New Roman" w:hAnsi="Times New Roman" w:eastAsia="MS Mincho" w:cs="Times New Roman"/>
      <w:lang w:val="en-US" w:eastAsia="ja-JP" w:bidi="ar-SA"/>
    </w:rPr>
  </w:style>
  <w:style w:type="paragraph" w:customStyle="1" w:styleId="154">
    <w:name w:val="Stds H1"/>
    <w:qFormat/>
    <w:uiPriority w:val="0"/>
    <w:pPr>
      <w:keepNext/>
      <w:spacing w:before="180" w:after="60"/>
    </w:pPr>
    <w:rPr>
      <w:rFonts w:ascii="Arial" w:hAnsi="Arial" w:eastAsia="Arial Unicode MS" w:cs="Times New Roman"/>
      <w:b/>
      <w:lang w:val="en-US" w:eastAsia="ja-JP" w:bidi="ar-SA"/>
    </w:rPr>
  </w:style>
  <w:style w:type="paragraph" w:customStyle="1" w:styleId="155">
    <w:name w:val="Stds H2"/>
    <w:qFormat/>
    <w:uiPriority w:val="0"/>
    <w:pPr>
      <w:spacing w:before="120" w:after="120"/>
      <w:jc w:val="both"/>
    </w:pPr>
    <w:rPr>
      <w:rFonts w:ascii="Times New Roman" w:hAnsi="Times New Roman" w:eastAsia="MS Mincho" w:cs="Times New Roman"/>
      <w:lang w:val="en-US" w:eastAsia="ja-JP" w:bidi="ar-SA"/>
    </w:rPr>
  </w:style>
  <w:style w:type="paragraph" w:customStyle="1" w:styleId="156">
    <w:name w:val="Stds H3"/>
    <w:qFormat/>
    <w:uiPriority w:val="0"/>
    <w:pPr>
      <w:spacing w:before="120" w:after="120"/>
      <w:jc w:val="both"/>
    </w:pPr>
    <w:rPr>
      <w:rFonts w:ascii="Times New Roman" w:hAnsi="Times New Roman" w:eastAsia="MS Mincho" w:cs="Times New Roman"/>
      <w:lang w:val="en-US" w:eastAsia="ja-JP" w:bidi="ar-SA"/>
    </w:rPr>
  </w:style>
  <w:style w:type="paragraph" w:customStyle="1" w:styleId="157">
    <w:name w:val="Stds H4"/>
    <w:qFormat/>
    <w:uiPriority w:val="0"/>
    <w:pPr>
      <w:spacing w:before="120" w:after="120"/>
      <w:jc w:val="both"/>
    </w:pPr>
    <w:rPr>
      <w:rFonts w:ascii="Times New Roman" w:hAnsi="Times New Roman" w:eastAsia="MS Mincho" w:cs="Times New Roman"/>
      <w:lang w:val="en-US" w:eastAsia="ja-JP" w:bidi="ar-SA"/>
    </w:rPr>
  </w:style>
  <w:style w:type="paragraph" w:customStyle="1" w:styleId="158">
    <w:name w:val="Stds H5"/>
    <w:qFormat/>
    <w:uiPriority w:val="0"/>
    <w:pPr>
      <w:spacing w:before="120" w:after="120"/>
      <w:jc w:val="both"/>
    </w:pPr>
    <w:rPr>
      <w:rFonts w:ascii="Times New Roman" w:hAnsi="Times New Roman" w:eastAsia="MS Mincho" w:cs="Times New Roman"/>
      <w:lang w:val="en-US" w:eastAsia="ja-JP" w:bidi="ar-SA"/>
    </w:rPr>
  </w:style>
  <w:style w:type="paragraph" w:customStyle="1" w:styleId="159">
    <w:name w:val="Stds H6"/>
    <w:qFormat/>
    <w:uiPriority w:val="0"/>
    <w:pPr>
      <w:spacing w:before="120" w:after="120"/>
      <w:jc w:val="both"/>
    </w:pPr>
    <w:rPr>
      <w:rFonts w:ascii="Times New Roman" w:hAnsi="Times New Roman" w:eastAsia="MS Mincho" w:cs="Times New Roman"/>
      <w:lang w:val="en-US" w:eastAsia="ja-JP" w:bidi="ar-SA"/>
    </w:rPr>
  </w:style>
  <w:style w:type="paragraph" w:customStyle="1" w:styleId="160">
    <w:name w:val="Stds H7"/>
    <w:qFormat/>
    <w:uiPriority w:val="0"/>
    <w:pPr>
      <w:spacing w:before="120" w:after="120"/>
      <w:jc w:val="both"/>
    </w:pPr>
    <w:rPr>
      <w:rFonts w:ascii="Times New Roman" w:hAnsi="Times New Roman" w:eastAsia="MS Mincho" w:cs="Times New Roman"/>
      <w:lang w:val="en-US" w:eastAsia="ja-JP" w:bidi="ar-SA"/>
    </w:rPr>
  </w:style>
  <w:style w:type="paragraph" w:customStyle="1" w:styleId="161">
    <w:name w:val="Stds H8"/>
    <w:qFormat/>
    <w:uiPriority w:val="0"/>
    <w:pPr>
      <w:spacing w:before="120" w:after="120"/>
      <w:jc w:val="both"/>
    </w:pPr>
    <w:rPr>
      <w:rFonts w:ascii="Times New Roman" w:hAnsi="Times New Roman" w:eastAsia="MS Mincho" w:cs="Times New Roman"/>
      <w:lang w:val="en-US" w:eastAsia="ja-JP" w:bidi="ar-SA"/>
    </w:rPr>
  </w:style>
  <w:style w:type="character" w:customStyle="1" w:styleId="162">
    <w:name w:val="StdsText Char"/>
    <w:link w:val="163"/>
    <w:qFormat/>
    <w:locked/>
    <w:uiPriority w:val="0"/>
    <w:rPr>
      <w:lang w:eastAsia="ja-JP"/>
    </w:rPr>
  </w:style>
  <w:style w:type="paragraph" w:customStyle="1" w:styleId="163">
    <w:name w:val="StdsText"/>
    <w:link w:val="162"/>
    <w:qFormat/>
    <w:uiPriority w:val="0"/>
    <w:pPr>
      <w:spacing w:before="120" w:after="120"/>
      <w:jc w:val="both"/>
    </w:pPr>
    <w:rPr>
      <w:rFonts w:ascii="Times New Roman" w:hAnsi="Times New Roman" w:eastAsia="宋体" w:cs="Times New Roman"/>
      <w:lang w:val="en-US" w:eastAsia="ja-JP" w:bidi="ar-SA"/>
    </w:rPr>
  </w:style>
  <w:style w:type="character" w:customStyle="1" w:styleId="164">
    <w:name w:val="StdsHead2 Char"/>
    <w:link w:val="148"/>
    <w:qFormat/>
    <w:locked/>
    <w:uiPriority w:val="0"/>
    <w:rPr>
      <w:rFonts w:eastAsia="MS Mincho"/>
      <w:lang w:eastAsia="ja-JP"/>
    </w:rPr>
  </w:style>
  <w:style w:type="paragraph" w:styleId="165">
    <w:name w:val="List Paragraph"/>
    <w:basedOn w:val="1"/>
    <w:qFormat/>
    <w:uiPriority w:val="34"/>
    <w:pPr>
      <w:ind w:firstLine="420" w:firstLineChars="200"/>
    </w:pPr>
  </w:style>
  <w:style w:type="paragraph" w:customStyle="1" w:styleId="166">
    <w:name w:val="二级无标题条"/>
    <w:basedOn w:val="1"/>
    <w:qFormat/>
    <w:uiPriority w:val="0"/>
    <w:pPr>
      <w:numPr>
        <w:ilvl w:val="3"/>
        <w:numId w:val="17"/>
      </w:numPr>
    </w:pPr>
  </w:style>
  <w:style w:type="paragraph" w:customStyle="1" w:styleId="167">
    <w:name w:val="三级无标题条"/>
    <w:basedOn w:val="1"/>
    <w:qFormat/>
    <w:uiPriority w:val="0"/>
    <w:pPr>
      <w:numPr>
        <w:ilvl w:val="4"/>
        <w:numId w:val="17"/>
      </w:numPr>
    </w:pPr>
  </w:style>
  <w:style w:type="paragraph" w:customStyle="1" w:styleId="168">
    <w:name w:val="四级无标题条"/>
    <w:basedOn w:val="1"/>
    <w:qFormat/>
    <w:uiPriority w:val="0"/>
    <w:pPr>
      <w:numPr>
        <w:ilvl w:val="5"/>
        <w:numId w:val="17"/>
      </w:numPr>
    </w:pPr>
  </w:style>
  <w:style w:type="paragraph" w:customStyle="1" w:styleId="169">
    <w:name w:val="五级无标题条"/>
    <w:basedOn w:val="1"/>
    <w:qFormat/>
    <w:uiPriority w:val="0"/>
    <w:pPr>
      <w:numPr>
        <w:ilvl w:val="6"/>
        <w:numId w:val="17"/>
      </w:numPr>
    </w:pPr>
  </w:style>
  <w:style w:type="paragraph" w:customStyle="1" w:styleId="170">
    <w:name w:val="一级无标题条"/>
    <w:basedOn w:val="1"/>
    <w:qFormat/>
    <w:uiPriority w:val="0"/>
    <w:pPr>
      <w:numPr>
        <w:ilvl w:val="2"/>
        <w:numId w:val="17"/>
      </w:numPr>
    </w:pPr>
  </w:style>
  <w:style w:type="character" w:customStyle="1" w:styleId="171">
    <w:name w:val="标题 字符"/>
    <w:basedOn w:val="37"/>
    <w:link w:val="33"/>
    <w:qFormat/>
    <w:uiPriority w:val="0"/>
    <w:rPr>
      <w:rFonts w:ascii="Arial" w:hAnsi="Arial" w:cs="Arial"/>
      <w:b/>
      <w:bCs/>
      <w:kern w:val="2"/>
      <w:sz w:val="32"/>
      <w:szCs w:val="32"/>
    </w:rPr>
  </w:style>
  <w:style w:type="character" w:customStyle="1" w:styleId="172">
    <w:name w:val="fontstyle01"/>
    <w:qFormat/>
    <w:uiPriority w:val="0"/>
    <w:rPr>
      <w:color w:val="242021"/>
      <w:sz w:val="22"/>
      <w:szCs w:val="22"/>
    </w:rPr>
  </w:style>
  <w:style w:type="character" w:styleId="173">
    <w:name w:val="Placeholder Text"/>
    <w:basedOn w:val="37"/>
    <w:semiHidden/>
    <w:qFormat/>
    <w:uiPriority w:val="99"/>
    <w:rPr>
      <w:color w:val="808080"/>
    </w:rPr>
  </w:style>
  <w:style w:type="paragraph" w:customStyle="1" w:styleId="174">
    <w:name w:val="修订1"/>
    <w:hidden/>
    <w:semiHidden/>
    <w:qFormat/>
    <w:uiPriority w:val="99"/>
    <w:rPr>
      <w:rFonts w:ascii="Times New Roman" w:hAnsi="Times New Roman" w:eastAsia="宋体" w:cs="Times New Roman"/>
      <w:kern w:val="2"/>
      <w:sz w:val="21"/>
      <w:szCs w:val="24"/>
      <w:lang w:val="en-US" w:eastAsia="zh-CN" w:bidi="ar-SA"/>
    </w:rPr>
  </w:style>
  <w:style w:type="table" w:customStyle="1" w:styleId="175">
    <w:name w:val="网格型1"/>
    <w:basedOn w:val="35"/>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76">
    <w:name w:val="段 Char Char"/>
    <w:qFormat/>
    <w:uiPriority w:val="0"/>
    <w:rPr>
      <w:rFonts w:ascii="宋体"/>
      <w:sz w:val="21"/>
      <w:lang w:bidi="ar-SA"/>
    </w:rPr>
  </w:style>
  <w:style w:type="character" w:customStyle="1" w:styleId="177">
    <w:name w:val="页眉 字符"/>
    <w:basedOn w:val="37"/>
    <w:link w:val="19"/>
    <w:qFormat/>
    <w:uiPriority w:val="99"/>
    <w:rPr>
      <w:kern w:val="2"/>
      <w:sz w:val="18"/>
      <w:szCs w:val="18"/>
    </w:rPr>
  </w:style>
  <w:style w:type="character" w:customStyle="1" w:styleId="178">
    <w:name w:val="页脚 字符"/>
    <w:basedOn w:val="37"/>
    <w:link w:val="18"/>
    <w:qFormat/>
    <w:uiPriority w:val="99"/>
    <w:rPr>
      <w:kern w:val="2"/>
      <w:sz w:val="18"/>
      <w:szCs w:val="18"/>
    </w:rPr>
  </w:style>
  <w:style w:type="character" w:customStyle="1" w:styleId="179">
    <w:name w:val="脚注文本 Char1"/>
    <w:basedOn w:val="37"/>
    <w:qFormat/>
    <w:uiPriority w:val="0"/>
    <w:rPr>
      <w:kern w:val="2"/>
      <w:sz w:val="18"/>
      <w:szCs w:val="18"/>
    </w:rPr>
  </w:style>
  <w:style w:type="character" w:customStyle="1" w:styleId="180">
    <w:name w:val="sh141"/>
    <w:qFormat/>
    <w:uiPriority w:val="0"/>
    <w:rPr>
      <w:color w:val="2B2B2B"/>
      <w:sz w:val="21"/>
      <w:szCs w:val="21"/>
    </w:rPr>
  </w:style>
  <w:style w:type="character" w:customStyle="1" w:styleId="181">
    <w:name w:val="正文文本 字符"/>
    <w:basedOn w:val="37"/>
    <w:link w:val="9"/>
    <w:qFormat/>
    <w:uiPriority w:val="0"/>
    <w:rPr>
      <w:rFonts w:ascii="宋体"/>
      <w:sz w:val="28"/>
    </w:rPr>
  </w:style>
  <w:style w:type="character" w:customStyle="1" w:styleId="182">
    <w:name w:val="tgt1 Char"/>
    <w:link w:val="183"/>
    <w:qFormat/>
    <w:uiPriority w:val="0"/>
    <w:rPr>
      <w:rFonts w:ascii="宋体" w:hAnsi="宋体" w:cs="宋体"/>
      <w:sz w:val="24"/>
      <w:szCs w:val="24"/>
    </w:rPr>
  </w:style>
  <w:style w:type="paragraph" w:customStyle="1" w:styleId="183">
    <w:name w:val="tgt1"/>
    <w:basedOn w:val="1"/>
    <w:link w:val="182"/>
    <w:qFormat/>
    <w:uiPriority w:val="0"/>
    <w:pPr>
      <w:widowControl/>
      <w:spacing w:after="150"/>
      <w:jc w:val="left"/>
    </w:pPr>
    <w:rPr>
      <w:rFonts w:ascii="宋体" w:hAnsi="宋体" w:cs="宋体"/>
      <w:kern w:val="0"/>
      <w:sz w:val="24"/>
    </w:rPr>
  </w:style>
  <w:style w:type="character" w:customStyle="1" w:styleId="184">
    <w:name w:val="一级条标题[858D7CFB-ED40-4347-BF05-701D383B685F]"/>
    <w:link w:val="48"/>
    <w:qFormat/>
    <w:uiPriority w:val="0"/>
    <w:rPr>
      <w:rFonts w:ascii="黑体" w:eastAsia="黑体"/>
      <w:sz w:val="21"/>
      <w:szCs w:val="21"/>
    </w:rPr>
  </w:style>
  <w:style w:type="character" w:customStyle="1" w:styleId="185">
    <w:name w:val="脚注文本 字符"/>
    <w:link w:val="25"/>
    <w:qFormat/>
    <w:uiPriority w:val="99"/>
    <w:rPr>
      <w:rFonts w:ascii="宋体"/>
      <w:kern w:val="2"/>
      <w:sz w:val="18"/>
      <w:szCs w:val="18"/>
    </w:rPr>
  </w:style>
  <w:style w:type="character" w:customStyle="1" w:styleId="186">
    <w:name w:val="正文文本 字符1"/>
    <w:basedOn w:val="37"/>
    <w:semiHidden/>
    <w:qFormat/>
    <w:uiPriority w:val="0"/>
    <w:rPr>
      <w:kern w:val="2"/>
      <w:sz w:val="21"/>
      <w:szCs w:val="24"/>
    </w:rPr>
  </w:style>
  <w:style w:type="character" w:customStyle="1" w:styleId="187">
    <w:name w:val="正文文本 Char1"/>
    <w:basedOn w:val="37"/>
    <w:semiHidden/>
    <w:qFormat/>
    <w:uiPriority w:val="99"/>
    <w:rPr>
      <w:rFonts w:ascii="Calibri" w:hAnsi="Calibri" w:eastAsia="宋体" w:cs="Times New Roman"/>
      <w:szCs w:val="24"/>
    </w:rPr>
  </w:style>
  <w:style w:type="character" w:customStyle="1" w:styleId="188">
    <w:name w:val="脚注文本 Char2"/>
    <w:basedOn w:val="37"/>
    <w:semiHidden/>
    <w:qFormat/>
    <w:uiPriority w:val="99"/>
    <w:rPr>
      <w:rFonts w:ascii="Calibri" w:hAnsi="Calibri" w:eastAsia="宋体" w:cs="Times New Roman"/>
      <w:sz w:val="18"/>
      <w:szCs w:val="18"/>
    </w:rPr>
  </w:style>
  <w:style w:type="character" w:customStyle="1" w:styleId="189">
    <w:name w:val="批注框文本 Char1"/>
    <w:basedOn w:val="37"/>
    <w:semiHidden/>
    <w:qFormat/>
    <w:uiPriority w:val="99"/>
    <w:rPr>
      <w:rFonts w:ascii="Calibri" w:hAnsi="Calibri" w:eastAsia="宋体" w:cs="Times New Roman"/>
      <w:sz w:val="18"/>
      <w:szCs w:val="18"/>
    </w:rPr>
  </w:style>
  <w:style w:type="character" w:customStyle="1" w:styleId="190">
    <w:name w:val="日期 字符"/>
    <w:basedOn w:val="37"/>
    <w:link w:val="15"/>
    <w:qFormat/>
    <w:uiPriority w:val="0"/>
    <w:rPr>
      <w:rFonts w:ascii="Calibri" w:hAnsi="Calibri"/>
      <w:kern w:val="2"/>
      <w:sz w:val="21"/>
      <w:szCs w:val="24"/>
    </w:rPr>
  </w:style>
  <w:style w:type="paragraph" w:customStyle="1" w:styleId="191">
    <w:name w:val="Default"/>
    <w:qFormat/>
    <w:uiPriority w:val="0"/>
    <w:pPr>
      <w:widowControl w:val="0"/>
      <w:autoSpaceDE w:val="0"/>
      <w:autoSpaceDN w:val="0"/>
      <w:adjustRightInd w:val="0"/>
    </w:pPr>
    <w:rPr>
      <w:rFonts w:ascii="黑体" w:hAnsi="Calibri" w:eastAsia="黑体" w:cs="Times New Roman"/>
      <w:color w:val="000000"/>
      <w:sz w:val="24"/>
      <w:szCs w:val="24"/>
      <w:lang w:val="en-US" w:eastAsia="zh-CN" w:bidi="ar-SA"/>
    </w:rPr>
  </w:style>
  <w:style w:type="paragraph" w:customStyle="1" w:styleId="192">
    <w:name w:val="MTDisplayEquation"/>
    <w:basedOn w:val="1"/>
    <w:next w:val="1"/>
    <w:qFormat/>
    <w:uiPriority w:val="0"/>
    <w:pPr>
      <w:tabs>
        <w:tab w:val="center" w:pos="4160"/>
        <w:tab w:val="right" w:pos="8320"/>
      </w:tabs>
      <w:spacing w:line="360" w:lineRule="auto"/>
      <w:ind w:firstLine="480" w:firstLineChars="200"/>
    </w:pPr>
    <w:rPr>
      <w:rFonts w:ascii="Calibri" w:hAnsi="Calibri"/>
      <w:sz w:val="24"/>
    </w:rPr>
  </w:style>
  <w:style w:type="paragraph" w:customStyle="1" w:styleId="193">
    <w:name w:val="Char Char8"/>
    <w:basedOn w:val="1"/>
    <w:qFormat/>
    <w:uiPriority w:val="0"/>
    <w:rPr>
      <w:rFonts w:ascii="Calibri" w:hAnsi="Calibri"/>
      <w:szCs w:val="20"/>
    </w:rPr>
  </w:style>
  <w:style w:type="character" w:customStyle="1" w:styleId="194">
    <w:name w:val="font31"/>
    <w:basedOn w:val="37"/>
    <w:qFormat/>
    <w:uiPriority w:val="0"/>
    <w:rPr>
      <w:rFonts w:hint="eastAsia" w:ascii="宋体" w:hAnsi="宋体" w:eastAsia="宋体" w:cs="宋体"/>
      <w:color w:val="000000"/>
      <w:sz w:val="20"/>
      <w:szCs w:val="20"/>
      <w:u w:val="none"/>
    </w:rPr>
  </w:style>
  <w:style w:type="character" w:customStyle="1" w:styleId="195">
    <w:name w:val="font51"/>
    <w:basedOn w:val="37"/>
    <w:qFormat/>
    <w:uiPriority w:val="0"/>
    <w:rPr>
      <w:rFonts w:hint="default" w:ascii="Times New Roman" w:hAnsi="Times New Roman" w:cs="Times New Roman"/>
      <w:color w:val="000000"/>
      <w:sz w:val="20"/>
      <w:szCs w:val="20"/>
      <w:u w:val="none"/>
    </w:rPr>
  </w:style>
  <w:style w:type="character" w:customStyle="1" w:styleId="196">
    <w:name w:val="font61"/>
    <w:basedOn w:val="37"/>
    <w:qFormat/>
    <w:uiPriority w:val="0"/>
    <w:rPr>
      <w:rFonts w:hint="default" w:ascii="Times New Roman" w:hAnsi="Times New Roman" w:cs="Times New Roman"/>
      <w:color w:val="000000"/>
      <w:sz w:val="20"/>
      <w:szCs w:val="20"/>
      <w:u w:val="none"/>
    </w:rPr>
  </w:style>
  <w:style w:type="character" w:customStyle="1" w:styleId="197">
    <w:name w:val="font41"/>
    <w:basedOn w:val="37"/>
    <w:qFormat/>
    <w:uiPriority w:val="0"/>
    <w:rPr>
      <w:rFonts w:hint="eastAsia" w:ascii="宋体" w:hAnsi="宋体" w:eastAsia="宋体" w:cs="宋体"/>
      <w:color w:val="000000"/>
      <w:sz w:val="20"/>
      <w:szCs w:val="20"/>
      <w:u w:val="none"/>
    </w:rPr>
  </w:style>
  <w:style w:type="character" w:customStyle="1" w:styleId="198">
    <w:name w:val="font21"/>
    <w:basedOn w:val="37"/>
    <w:qFormat/>
    <w:uiPriority w:val="0"/>
    <w:rPr>
      <w:rFonts w:hint="eastAsia" w:ascii="宋体" w:hAnsi="宋体" w:eastAsia="宋体" w:cs="宋体"/>
      <w:color w:val="000000"/>
      <w:sz w:val="20"/>
      <w:szCs w:val="20"/>
      <w:u w:val="none"/>
    </w:rPr>
  </w:style>
  <w:style w:type="character" w:customStyle="1" w:styleId="199">
    <w:name w:val="font01"/>
    <w:basedOn w:val="37"/>
    <w:uiPriority w:val="0"/>
    <w:rPr>
      <w:rFonts w:hint="eastAsia" w:ascii="宋体" w:hAnsi="宋体" w:eastAsia="宋体" w:cs="宋体"/>
      <w:color w:val="000000"/>
      <w:sz w:val="20"/>
      <w:szCs w:val="20"/>
      <w:u w:val="none"/>
    </w:rPr>
  </w:style>
  <w:style w:type="character" w:customStyle="1" w:styleId="200">
    <w:name w:val="font11"/>
    <w:basedOn w:val="37"/>
    <w:qFormat/>
    <w:uiPriority w:val="0"/>
    <w:rPr>
      <w:rFonts w:hint="default" w:ascii="Times New Roman" w:hAnsi="Times New Roman" w:cs="Times New Roman"/>
      <w:color w:val="000000"/>
      <w:sz w:val="20"/>
      <w:szCs w:val="20"/>
      <w:u w:val="none"/>
    </w:rPr>
  </w:style>
  <w:style w:type="character" w:customStyle="1" w:styleId="201">
    <w:name w:val="文档结构图 字符"/>
    <w:basedOn w:val="37"/>
    <w:link w:val="6"/>
    <w:semiHidden/>
    <w:uiPriority w:val="0"/>
    <w:rPr>
      <w:kern w:val="2"/>
      <w:sz w:val="21"/>
      <w:szCs w:val="24"/>
      <w:shd w:val="clear" w:color="auto" w:fill="000080"/>
    </w:rPr>
  </w:style>
  <w:style w:type="character" w:customStyle="1" w:styleId="202">
    <w:name w:val="尾注文本 字符"/>
    <w:basedOn w:val="37"/>
    <w:link w:val="16"/>
    <w:semiHidden/>
    <w:qFormat/>
    <w:uiPriority w:val="0"/>
    <w:rPr>
      <w:kern w:val="2"/>
      <w:sz w:val="21"/>
      <w:szCs w:val="24"/>
    </w:rPr>
  </w:style>
  <w:style w:type="paragraph" w:customStyle="1" w:styleId="203">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BE53AA-2D8E-4C53-8C35-57AA3E29EC97}">
  <ds:schemaRefs/>
</ds:datastoreItem>
</file>

<file path=docProps/app.xml><?xml version="1.0" encoding="utf-8"?>
<Properties xmlns="http://schemas.openxmlformats.org/officeDocument/2006/extended-properties" xmlns:vt="http://schemas.openxmlformats.org/officeDocument/2006/docPropsVTypes">
  <Template>太阳能电池用多晶硅片草案</Template>
  <Pages>9</Pages>
  <Words>902</Words>
  <Characters>5145</Characters>
  <Lines>42</Lines>
  <Paragraphs>12</Paragraphs>
  <TotalTime>0</TotalTime>
  <ScaleCrop>false</ScaleCrop>
  <LinksUpToDate>false</LinksUpToDate>
  <CharactersWithSpaces>6035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2023-09-03T08:58:00Z</dcterms:created>
  <dcterms:modified xsi:type="dcterms:W3CDTF">2023-09-08T02:51:56Z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F9041C576286436195DAFA0BA5ED93FB</vt:lpwstr>
  </property>
</Properties>
</file>