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rPr>
          <w:color w:val="000000"/>
        </w:rPr>
      </w:pPr>
      <w:r>
        <w:rPr>
          <w:rFonts w:ascii="Times New Roman"/>
          <w:color w:val="000000"/>
        </w:rPr>
        <w:t>ICS</w:t>
      </w:r>
      <w:r>
        <w:rPr>
          <w:rFonts w:hAnsi="黑体"/>
          <w:color w:val="000000"/>
        </w:rPr>
        <w:t xml:space="preserve"> </w:t>
      </w:r>
      <w:r>
        <w:rPr>
          <w:rFonts w:hint="eastAsia" w:eastAsia="等线"/>
          <w:sz w:val="18"/>
          <w:szCs w:val="18"/>
        </w:rPr>
        <w:t>2</w:t>
      </w:r>
      <w:r>
        <w:rPr>
          <w:rFonts w:eastAsia="等线"/>
          <w:sz w:val="18"/>
          <w:szCs w:val="18"/>
        </w:rPr>
        <w:t>9.045</w:t>
      </w:r>
    </w:p>
    <w:p>
      <w:pPr>
        <w:pStyle w:val="127"/>
        <w:framePr w:wrap="around"/>
        <w:rPr>
          <w:color w:val="000000"/>
        </w:rPr>
      </w:pPr>
      <w:r>
        <w:rPr>
          <w:color w:val="000000"/>
        </w:rPr>
        <w:t xml:space="preserve">CCS </w:t>
      </w:r>
      <w:r>
        <w:rPr>
          <w:rFonts w:hint="eastAsia" w:eastAsia="等线"/>
          <w:sz w:val="18"/>
          <w:szCs w:val="18"/>
        </w:rPr>
        <w:t>H</w:t>
      </w:r>
      <w:r>
        <w:rPr>
          <w:rFonts w:eastAsia="等线"/>
          <w:sz w:val="18"/>
          <w:szCs w:val="18"/>
        </w:rPr>
        <w:t>83</w:t>
      </w:r>
    </w:p>
    <w:p>
      <w:pPr>
        <w:pStyle w:val="70"/>
        <w:framePr w:wrap="around"/>
        <w:rPr>
          <w:color w:val="000000"/>
        </w:rPr>
      </w:pPr>
      <w:r>
        <w:rPr>
          <w:rFonts w:hint="eastAsia"/>
          <w:color w:val="000000"/>
        </w:rPr>
        <w:t>YS</w:t>
      </w:r>
    </w:p>
    <w:p>
      <w:pPr>
        <w:pStyle w:val="114"/>
        <w:framePr w:wrap="around"/>
        <w:rPr>
          <w:color w:val="000000"/>
        </w:rPr>
      </w:pPr>
      <w:r>
        <w:rPr>
          <w:rFonts w:hint="eastAsia"/>
          <w:color w:val="000000"/>
        </w:rPr>
        <w:t>中华人民共和国</w:t>
      </w:r>
      <w:r>
        <w:rPr>
          <w:color w:val="000000"/>
        </w:rPr>
        <w:t>半导体</w:t>
      </w:r>
      <w:r>
        <w:rPr>
          <w:rFonts w:hint="eastAsia"/>
          <w:color w:val="000000"/>
        </w:rPr>
        <w:t>行业标准</w:t>
      </w:r>
    </w:p>
    <w:p>
      <w:pPr>
        <w:pStyle w:val="51"/>
        <w:framePr w:wrap="around"/>
        <w:rPr>
          <w:color w:val="000000"/>
        </w:rPr>
      </w:pPr>
      <w:r>
        <w:rPr>
          <w:rFonts w:ascii="Times New Roman"/>
          <w:color w:val="000000"/>
        </w:rPr>
        <w:fldChar w:fldCharType="begin">
          <w:ffData>
            <w:name w:val="StdNo0"/>
            <w:enabled/>
            <w:calcOnExit w:val="0"/>
            <w:textInput>
              <w:default w:val="XX"/>
              <w:maxLength w:val="2"/>
            </w:textInput>
          </w:ffData>
        </w:fldChar>
      </w:r>
      <w:bookmarkStart w:id="0" w:name="StdNo0"/>
      <w:r>
        <w:rPr>
          <w:rFonts w:ascii="Times New Roman"/>
          <w:color w:val="000000"/>
        </w:rPr>
        <w:instrText xml:space="preserve"> FORMTEXT </w:instrText>
      </w:r>
      <w:r>
        <w:rPr>
          <w:rFonts w:ascii="Times New Roman"/>
          <w:color w:val="000000"/>
        </w:rPr>
        <w:fldChar w:fldCharType="separate"/>
      </w:r>
      <w:r>
        <w:rPr>
          <w:rFonts w:hint="eastAsia" w:ascii="Times New Roman"/>
          <w:color w:val="000000"/>
        </w:rPr>
        <w:t>YS</w:t>
      </w:r>
      <w:r>
        <w:rPr>
          <w:rFonts w:ascii="Times New Roman"/>
          <w:color w:val="000000"/>
        </w:rPr>
        <w:fldChar w:fldCharType="end"/>
      </w:r>
      <w:bookmarkEnd w:id="0"/>
      <w:r>
        <w:rPr>
          <w:rFonts w:ascii="Times New Roman"/>
          <w:color w:val="000000"/>
        </w:rPr>
        <w:t xml:space="preserve">/T </w:t>
      </w:r>
      <w:r>
        <w:rPr>
          <w:rFonts w:hAnsi="黑体"/>
          <w:color w:val="000000"/>
        </w:rPr>
        <w:t>XXXX</w:t>
      </w:r>
      <w:r>
        <w:rPr>
          <w:color w:val="000000"/>
        </w:rPr>
        <w:t>—</w:t>
      </w:r>
      <w:r>
        <w:rPr>
          <w:color w:val="000000"/>
        </w:rPr>
        <w:fldChar w:fldCharType="begin">
          <w:ffData>
            <w:name w:val="StdNo2"/>
            <w:enabled/>
            <w:calcOnExit w:val="0"/>
            <w:textInput>
              <w:default w:val="XXXX"/>
              <w:maxLength w:val="4"/>
            </w:textInput>
          </w:ffData>
        </w:fldChar>
      </w:r>
      <w:bookmarkStart w:id="1" w:name="StdNo2"/>
      <w:r>
        <w:rPr>
          <w:color w:val="000000"/>
        </w:rPr>
        <w:instrText xml:space="preserve"> FORMTEXT </w:instrText>
      </w:r>
      <w:r>
        <w:rPr>
          <w:color w:val="000000"/>
        </w:rPr>
        <w:fldChar w:fldCharType="separate"/>
      </w:r>
      <w:r>
        <w:rPr>
          <w:color w:val="000000"/>
        </w:rPr>
        <w:t>XXXX</w:t>
      </w:r>
      <w:r>
        <w:rPr>
          <w:color w:val="000000"/>
        </w:rPr>
        <w:fldChar w:fldCharType="end"/>
      </w:r>
      <w:bookmarkEnd w:id="1"/>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0"/>
              <w:framePr w:wrap="around"/>
              <w:rPr>
                <w:color w:val="000000"/>
              </w:rPr>
            </w:pPr>
            <w:r>
              <w:rPr>
                <w:color w:val="000000"/>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r>
              <w:rPr>
                <w:color w:val="000000"/>
              </w:rPr>
              <w:fldChar w:fldCharType="begin">
                <w:ffData>
                  <w:name w:val="DT"/>
                  <w:enabled/>
                  <w:calcOnExit w:val="0"/>
                  <w:textInput/>
                </w:ffData>
              </w:fldChar>
            </w:r>
            <w:bookmarkStart w:id="2" w:name="DT"/>
            <w:r>
              <w:rPr>
                <w:color w:val="000000"/>
              </w:rPr>
              <w:instrText xml:space="preserve"> FORMTEXT </w:instrText>
            </w:r>
            <w:r>
              <w:rPr>
                <w:color w:val="000000"/>
              </w:rPr>
              <w:fldChar w:fldCharType="separate"/>
            </w:r>
            <w:r>
              <w:rPr>
                <w:color w:val="000000"/>
              </w:rPr>
              <w:t>     </w:t>
            </w:r>
            <w:r>
              <w:rPr>
                <w:color w:val="000000"/>
              </w:rPr>
              <w:fldChar w:fldCharType="end"/>
            </w:r>
            <w:bookmarkEnd w:id="2"/>
          </w:p>
        </w:tc>
      </w:tr>
    </w:tbl>
    <w:p>
      <w:pPr>
        <w:pStyle w:val="51"/>
        <w:framePr w:wrap="around"/>
        <w:rPr>
          <w:color w:val="000000"/>
        </w:rPr>
      </w:pPr>
    </w:p>
    <w:p>
      <w:pPr>
        <w:pStyle w:val="51"/>
        <w:framePr w:wrap="around"/>
        <w:rPr>
          <w:color w:val="000000"/>
        </w:rPr>
      </w:pPr>
    </w:p>
    <w:p>
      <w:pPr>
        <w:pStyle w:val="82"/>
        <w:framePr w:wrap="around" w:x="1321" w:y="6301"/>
        <w:rPr>
          <w:color w:val="000000"/>
        </w:rPr>
      </w:pPr>
      <w:r>
        <w:rPr>
          <w:rFonts w:hint="eastAsia"/>
          <w:color w:val="000000"/>
        </w:rPr>
        <w:t>半绝缘砷化镓单晶衬底片</w:t>
      </w:r>
    </w:p>
    <w:p>
      <w:pPr>
        <w:pStyle w:val="155"/>
        <w:framePr w:w="9639" w:h="6917" w:hRule="exact" w:wrap="around" w:vAnchor="page" w:hAnchor="page" w:x="1321" w:y="6301" w:anchorLock="1"/>
        <w:shd w:val="clear" w:color="auto" w:fill="FFFFFF"/>
        <w:spacing w:before="0" w:beforeAutospacing="0" w:after="30" w:afterAutospacing="0" w:line="315" w:lineRule="atLeast"/>
        <w:ind w:left="420" w:firstLine="1890" w:firstLineChars="900"/>
        <w:rPr>
          <w:rFonts w:ascii="Segoe UI" w:hAnsi="Segoe UI" w:cs="Segoe UI"/>
          <w:color w:val="000000"/>
          <w:sz w:val="21"/>
          <w:szCs w:val="21"/>
        </w:rPr>
      </w:pPr>
      <w:r>
        <w:rPr>
          <w:rFonts w:ascii="Segoe UI" w:hAnsi="Segoe UI" w:cs="Segoe UI"/>
          <w:color w:val="000000"/>
          <w:sz w:val="21"/>
          <w:szCs w:val="21"/>
        </w:rPr>
        <w:t>Semi-insulated gallium arsenide single crystal substrate</w:t>
      </w:r>
    </w:p>
    <w:p>
      <w:pPr>
        <w:pStyle w:val="83"/>
        <w:framePr w:wrap="around" w:x="1321" w:y="6301"/>
        <w:rPr>
          <w:color w:val="000000"/>
        </w:rPr>
      </w:pP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wrap="around" w:x="1321" w:y="6301"/>
              <w:rPr>
                <w:color w:val="000000"/>
              </w:rPr>
            </w:pPr>
            <w:r>
              <w:rPr>
                <w:rFonts w:hint="eastAsia"/>
                <w:color w:val="000000"/>
              </w:rPr>
              <w:t>（征求意见稿）</w:t>
            </w:r>
            <w:r>
              <w:rPr>
                <w:color w:val="000000"/>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color w:val="000000"/>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6"/>
              <w:framePr w:wrap="around" w:x="1321" w:y="6301"/>
              <w:rPr>
                <w:color w:val="000000"/>
              </w:rPr>
            </w:pPr>
          </w:p>
          <w:p>
            <w:pPr>
              <w:pStyle w:val="86"/>
              <w:framePr w:wrap="around" w:x="1321" w:y="6301"/>
              <w:rPr>
                <w:color w:val="000000"/>
              </w:rPr>
            </w:pPr>
          </w:p>
          <w:p>
            <w:pPr>
              <w:pStyle w:val="86"/>
              <w:framePr w:wrap="around" w:x="1321" w:y="6301"/>
              <w:rPr>
                <w:rFonts w:ascii="黑体" w:hAnsi="黑体" w:eastAsia="黑体"/>
                <w:color w:val="000000"/>
              </w:rPr>
            </w:pPr>
          </w:p>
        </w:tc>
      </w:tr>
    </w:tbl>
    <w:p>
      <w:pPr>
        <w:pStyle w:val="135"/>
        <w:framePr w:wrap="around" w:hAnchor="page" w:x="1569"/>
        <w:rPr>
          <w:color w:val="000000"/>
        </w:rPr>
      </w:pPr>
      <w:r>
        <w:rPr>
          <w:rFonts w:ascii="黑体"/>
          <w:color w:val="000000"/>
        </w:rPr>
        <w:fldChar w:fldCharType="begin">
          <w:ffData>
            <w:name w:val="FY"/>
            <w:enabled/>
            <w:calcOnExit w:val="0"/>
            <w:entryMacro w:val="ShowHelp8"/>
            <w:textInput>
              <w:default w:val="XXXX"/>
              <w:maxLength w:val="4"/>
            </w:textInput>
          </w:ffData>
        </w:fldChar>
      </w:r>
      <w:bookmarkStart w:id="3"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entryMacro w:val="ShowHelp8"/>
            <w:textInput>
              <w:default w:val="XX"/>
              <w:maxLength w:val="2"/>
            </w:textInput>
          </w:ffData>
        </w:fldChar>
      </w:r>
      <w:bookmarkStart w:id="4"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entryMacro w:val="ShowHelp8"/>
            <w:textInput>
              <w:default w:val="XX"/>
              <w:maxLength w:val="2"/>
            </w:textInput>
          </w:ffData>
        </w:fldChar>
      </w:r>
      <w:bookmarkStart w:id="5"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发布</w:t>
      </w:r>
      <w:r>
        <w:rPr>
          <w:color w:val="000000"/>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36"/>
        <w:framePr w:wrap="around" w:hAnchor="page" w:x="7458"/>
        <w:rPr>
          <w:color w:val="000000"/>
        </w:rPr>
      </w:pPr>
      <w:r>
        <w:rPr>
          <w:rFonts w:ascii="黑体"/>
          <w:color w:val="000000"/>
        </w:rPr>
        <w:fldChar w:fldCharType="begin">
          <w:ffData>
            <w:name w:val="SY"/>
            <w:enabled/>
            <w:calcOnExit w:val="0"/>
            <w:entryMacro w:val="ShowHelp9"/>
            <w:textInput>
              <w:default w:val="XXXX"/>
              <w:maxLength w:val="4"/>
            </w:textInput>
          </w:ffData>
        </w:fldChar>
      </w:r>
      <w:bookmarkStart w:id="6"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6"/>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entryMacro w:val="ShowHelp9"/>
            <w:textInput>
              <w:default w:val="XX"/>
              <w:maxLength w:val="2"/>
            </w:textInput>
          </w:ffData>
        </w:fldChar>
      </w:r>
      <w:bookmarkStart w:id="7"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7"/>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entryMacro w:val="ShowHelp9"/>
            <w:textInput>
              <w:default w:val="XX"/>
              <w:maxLength w:val="2"/>
            </w:textInput>
          </w:ffData>
        </w:fldChar>
      </w:r>
      <w:bookmarkStart w:id="8"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8"/>
      <w:r>
        <w:rPr>
          <w:rFonts w:hint="eastAsia"/>
          <w:color w:val="000000"/>
        </w:rPr>
        <w:t>实施</w:t>
      </w:r>
    </w:p>
    <w:p>
      <w:pPr>
        <w:pStyle w:val="115"/>
        <w:framePr w:wrap="around"/>
        <w:rPr>
          <w:color w:val="000000"/>
        </w:rPr>
      </w:pPr>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中华人民共和国工业和信息化部</w:t>
      </w:r>
      <w:r>
        <w:rPr>
          <w:color w:val="000000"/>
        </w:rPr>
        <w:fldChar w:fldCharType="end"/>
      </w:r>
      <w:r>
        <w:rPr>
          <w:color w:val="000000"/>
        </w:rPr>
        <w:t>   </w:t>
      </w:r>
      <w:r>
        <w:rPr>
          <w:rStyle w:val="77"/>
          <w:rFonts w:hint="eastAsia"/>
          <w:color w:val="000000"/>
        </w:rPr>
        <w:t>发布</w:t>
      </w:r>
    </w:p>
    <w:p>
      <w:pPr>
        <w:pStyle w:val="78"/>
        <w:framePr w:wrap="around"/>
        <w:rPr>
          <w:color w:val="000000"/>
        </w:rPr>
      </w:pPr>
    </w:p>
    <w:p>
      <w:pPr>
        <w:pStyle w:val="26"/>
        <w:rPr>
          <w:color w:val="000000"/>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r>
        <w:rPr>
          <w:color w:val="00000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6"/>
        <w:rPr>
          <w:color w:val="000000"/>
        </w:rPr>
      </w:pPr>
      <w:r>
        <w:rPr>
          <w:rFonts w:hint="eastAsia"/>
          <w:color w:val="000000"/>
        </w:rPr>
        <w:t>前</w:t>
      </w:r>
      <w:bookmarkStart w:id="9" w:name="BKQY"/>
      <w:r>
        <w:rPr>
          <w:rFonts w:hAnsi="黑体"/>
          <w:color w:val="000000"/>
        </w:rPr>
        <w:t>  </w:t>
      </w:r>
      <w:r>
        <w:rPr>
          <w:rFonts w:hint="eastAsia"/>
          <w:color w:val="000000"/>
        </w:rPr>
        <w:t>言</w:t>
      </w:r>
      <w:bookmarkEnd w:id="9"/>
    </w:p>
    <w:p>
      <w:pPr>
        <w:pStyle w:val="26"/>
        <w:rPr>
          <w:rFonts w:hAnsi="宋体"/>
          <w:color w:val="000000"/>
          <w:szCs w:val="21"/>
        </w:rPr>
      </w:pPr>
      <w:r>
        <w:rPr>
          <w:rFonts w:hint="eastAsia" w:hAnsi="宋体"/>
          <w:color w:val="000000"/>
          <w:szCs w:val="21"/>
        </w:rPr>
        <w:t>本文件按照GB/T 1.1—20</w:t>
      </w:r>
      <w:r>
        <w:rPr>
          <w:rFonts w:hAnsi="宋体"/>
          <w:color w:val="000000"/>
          <w:szCs w:val="21"/>
        </w:rPr>
        <w:t>20</w:t>
      </w:r>
      <w:r>
        <w:rPr>
          <w:rFonts w:hint="eastAsia" w:hAnsi="宋体"/>
          <w:color w:val="000000"/>
          <w:szCs w:val="21"/>
        </w:rPr>
        <w:t xml:space="preserve">《标准化工作导则 </w:t>
      </w:r>
      <w:r>
        <w:rPr>
          <w:rFonts w:hAnsi="宋体"/>
          <w:color w:val="000000"/>
          <w:szCs w:val="21"/>
        </w:rPr>
        <w:t xml:space="preserve"> </w:t>
      </w:r>
      <w:r>
        <w:rPr>
          <w:rFonts w:hint="eastAsia" w:hAnsi="宋体"/>
          <w:color w:val="000000"/>
          <w:szCs w:val="21"/>
        </w:rPr>
        <w:t>第1部分：标准化文件的结构和起草规则》的规定起草。</w:t>
      </w:r>
    </w:p>
    <w:p>
      <w:pPr>
        <w:pStyle w:val="26"/>
        <w:rPr>
          <w:color w:val="000000"/>
        </w:rPr>
      </w:pPr>
      <w:r>
        <w:rPr>
          <w:rFonts w:hint="eastAsia"/>
          <w:color w:val="000000"/>
        </w:rPr>
        <w:t>本文件由全国有色金属标准化技术委员会（SAC/TC2</w:t>
      </w:r>
      <w:r>
        <w:rPr>
          <w:color w:val="000000"/>
        </w:rPr>
        <w:t>4</w:t>
      </w:r>
      <w:r>
        <w:rPr>
          <w:rFonts w:hint="eastAsia"/>
          <w:color w:val="000000"/>
        </w:rPr>
        <w:t>3）、全国半导体设备和材料标准化技术委员会材料分技术委员会（SAC/TC203/SC2）提出并归口。</w:t>
      </w:r>
    </w:p>
    <w:p>
      <w:pPr>
        <w:pStyle w:val="26"/>
        <w:rPr>
          <w:color w:val="000000"/>
        </w:rPr>
      </w:pPr>
      <w:r>
        <w:rPr>
          <w:rFonts w:hint="eastAsia"/>
          <w:color w:val="000000"/>
        </w:rPr>
        <w:t>请注意本文件的某些内容可能涉及专利。本文件的发布机构不承担识别专利的责任。</w:t>
      </w:r>
    </w:p>
    <w:p>
      <w:pPr>
        <w:pStyle w:val="26"/>
        <w:rPr>
          <w:color w:val="000000"/>
        </w:rPr>
      </w:pPr>
      <w:r>
        <w:rPr>
          <w:rFonts w:hint="eastAsia"/>
          <w:color w:val="000000"/>
        </w:rPr>
        <w:t>本文件起草单位：广东先导微电子科技有限公司、</w:t>
      </w:r>
      <w:bookmarkStart w:id="10" w:name="OLE_LINK7"/>
      <w:bookmarkStart w:id="11" w:name="OLE_LINK6"/>
      <w:r>
        <w:rPr>
          <w:rFonts w:hint="eastAsia"/>
          <w:color w:val="000000"/>
        </w:rPr>
        <w:t>云南鑫耀半导体</w:t>
      </w:r>
      <w:r>
        <w:rPr>
          <w:color w:val="000000"/>
        </w:rPr>
        <w:t>材料有限公司、中国电子科技集团第十三研究所、</w:t>
      </w:r>
      <w:bookmarkEnd w:id="10"/>
      <w:bookmarkEnd w:id="11"/>
      <w:r>
        <w:rPr>
          <w:color w:val="000000"/>
        </w:rPr>
        <w:t>有研光电新材料有限责任公司</w:t>
      </w:r>
      <w:r>
        <w:rPr>
          <w:rFonts w:hint="eastAsia"/>
          <w:color w:val="000000"/>
        </w:rPr>
        <w:t>。</w:t>
      </w:r>
    </w:p>
    <w:p>
      <w:pPr>
        <w:pStyle w:val="26"/>
        <w:rPr>
          <w:color w:val="000000"/>
        </w:rPr>
      </w:pPr>
      <w:r>
        <w:rPr>
          <w:rFonts w:hint="eastAsia"/>
          <w:color w:val="000000"/>
        </w:rPr>
        <w:t>本文件主要起草人： .</w:t>
      </w:r>
      <w:r>
        <w:rPr>
          <w:color w:val="000000"/>
        </w:rPr>
        <w:t>.....</w:t>
      </w:r>
      <w:r>
        <w:rPr>
          <w:rFonts w:hint="eastAsia"/>
          <w:color w:val="000000"/>
        </w:rPr>
        <w:t>。</w:t>
      </w:r>
    </w:p>
    <w:p>
      <w:pPr>
        <w:pStyle w:val="26"/>
        <w:rPr>
          <w:color w:val="000000"/>
        </w:rPr>
      </w:pPr>
    </w:p>
    <w:p>
      <w:pPr>
        <w:pStyle w:val="26"/>
        <w:rPr>
          <w:color w:val="000000"/>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82"/>
        <w:framePr w:w="0" w:hRule="auto" w:wrap="auto" w:vAnchor="margin" w:hAnchor="text" w:xAlign="left" w:yAlign="inline"/>
        <w:rPr>
          <w:color w:val="000000"/>
          <w:sz w:val="36"/>
          <w:szCs w:val="36"/>
        </w:rPr>
      </w:pPr>
      <w:r>
        <w:rPr>
          <w:rFonts w:hint="eastAsia"/>
          <w:color w:val="000000"/>
        </w:rPr>
        <w:t xml:space="preserve"> </w:t>
      </w:r>
      <w:r>
        <w:rPr>
          <w:color w:val="000000"/>
        </w:rPr>
        <w:t xml:space="preserve"> </w:t>
      </w:r>
      <w:r>
        <w:rPr>
          <w:rFonts w:hint="eastAsia"/>
          <w:color w:val="000000"/>
          <w:sz w:val="36"/>
          <w:szCs w:val="36"/>
        </w:rPr>
        <w:t>半绝缘砷化镓单晶衬底片</w:t>
      </w:r>
    </w:p>
    <w:p>
      <w:pPr>
        <w:pStyle w:val="49"/>
        <w:jc w:val="left"/>
        <w:rPr>
          <w:color w:val="000000"/>
        </w:rPr>
      </w:pPr>
      <w:r>
        <w:rPr>
          <w:rFonts w:hint="eastAsia"/>
          <w:color w:val="000000"/>
        </w:rPr>
        <w:t>范围</w:t>
      </w:r>
    </w:p>
    <w:p>
      <w:pPr>
        <w:pStyle w:val="26"/>
        <w:jc w:val="left"/>
        <w:rPr>
          <w:color w:val="000000"/>
        </w:rPr>
      </w:pPr>
      <w:r>
        <w:rPr>
          <w:color w:val="000000"/>
        </w:rPr>
        <w:t>本</w:t>
      </w:r>
      <w:r>
        <w:rPr>
          <w:rFonts w:hint="eastAsia"/>
          <w:color w:val="000000"/>
        </w:rPr>
        <w:t>文件</w:t>
      </w:r>
      <w:r>
        <w:rPr>
          <w:color w:val="000000"/>
        </w:rPr>
        <w:t>规定了</w:t>
      </w:r>
      <w:r>
        <w:rPr>
          <w:rFonts w:hint="eastAsia"/>
          <w:color w:val="000000"/>
        </w:rPr>
        <w:t>半绝缘砷化镓单晶衬底片</w:t>
      </w:r>
      <w:r>
        <w:rPr>
          <w:color w:val="000000"/>
        </w:rPr>
        <w:t>的</w:t>
      </w:r>
      <w:r>
        <w:rPr>
          <w:rFonts w:hint="eastAsia"/>
          <w:color w:val="000000"/>
        </w:rPr>
        <w:t>分类、技术要求、试验方法、检验规则、标志、包装、</w:t>
      </w:r>
      <w:r>
        <w:rPr>
          <w:color w:val="000000"/>
        </w:rPr>
        <w:t>运输、贮存</w:t>
      </w:r>
      <w:r>
        <w:rPr>
          <w:rFonts w:hint="eastAsia"/>
          <w:color w:val="000000"/>
        </w:rPr>
        <w:t>、随行文件及</w:t>
      </w:r>
      <w:r>
        <w:rPr>
          <w:color w:val="000000"/>
        </w:rPr>
        <w:t>订货单</w:t>
      </w:r>
      <w:r>
        <w:rPr>
          <w:rFonts w:hint="eastAsia"/>
          <w:color w:val="000000"/>
        </w:rPr>
        <w:t>内容。</w:t>
      </w:r>
    </w:p>
    <w:p>
      <w:pPr>
        <w:pStyle w:val="26"/>
        <w:jc w:val="left"/>
        <w:rPr>
          <w:color w:val="000000"/>
        </w:rPr>
      </w:pPr>
      <w:r>
        <w:rPr>
          <w:rFonts w:hint="eastAsia"/>
          <w:color w:val="000000"/>
        </w:rPr>
        <w:t>本文件适用液封直拉法（L</w:t>
      </w:r>
      <w:r>
        <w:rPr>
          <w:color w:val="000000"/>
        </w:rPr>
        <w:t>EC</w:t>
      </w:r>
      <w:r>
        <w:rPr>
          <w:rFonts w:hint="eastAsia"/>
          <w:color w:val="000000"/>
        </w:rPr>
        <w:t>）、垂直梯度冷凝法（V</w:t>
      </w:r>
      <w:r>
        <w:rPr>
          <w:color w:val="000000"/>
        </w:rPr>
        <w:t>GF</w:t>
      </w:r>
      <w:r>
        <w:rPr>
          <w:rFonts w:hint="eastAsia"/>
          <w:color w:val="000000"/>
        </w:rPr>
        <w:t>）、垂直布里奇曼法（V</w:t>
      </w:r>
      <w:r>
        <w:rPr>
          <w:color w:val="000000"/>
        </w:rPr>
        <w:t>B</w:t>
      </w:r>
      <w:r>
        <w:rPr>
          <w:rFonts w:hint="eastAsia"/>
          <w:color w:val="000000"/>
        </w:rPr>
        <w:t>）生长的，用于于</w:t>
      </w:r>
      <w:r>
        <w:rPr>
          <w:color w:val="000000"/>
        </w:rPr>
        <w:t>射频</w:t>
      </w:r>
      <w:r>
        <w:rPr>
          <w:rFonts w:hint="eastAsia"/>
          <w:color w:val="000000"/>
        </w:rPr>
        <w:t>、</w:t>
      </w:r>
      <w:r>
        <w:rPr>
          <w:color w:val="000000"/>
        </w:rPr>
        <w:t>太阳能电池领域的</w:t>
      </w:r>
      <w:r>
        <w:rPr>
          <w:rFonts w:hint="eastAsia"/>
          <w:color w:val="000000"/>
        </w:rPr>
        <w:t>半绝缘砷化镓单晶衬底片。</w:t>
      </w:r>
    </w:p>
    <w:p>
      <w:pPr>
        <w:pStyle w:val="49"/>
        <w:jc w:val="left"/>
        <w:rPr>
          <w:color w:val="000000"/>
        </w:rPr>
      </w:pPr>
      <w:r>
        <w:rPr>
          <w:rFonts w:hint="eastAsia"/>
          <w:color w:val="000000"/>
        </w:rPr>
        <w:t>规范性引用文件</w:t>
      </w:r>
    </w:p>
    <w:p>
      <w:pPr>
        <w:pStyle w:val="26"/>
        <w:jc w:val="left"/>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jc w:val="left"/>
        <w:rPr>
          <w:color w:val="000000"/>
        </w:rPr>
      </w:pPr>
      <w:r>
        <w:rPr>
          <w:color w:val="000000"/>
        </w:rPr>
        <w:t>GB/T 1555</w:t>
      </w:r>
      <w:r>
        <w:rPr>
          <w:rFonts w:hint="eastAsia"/>
          <w:color w:val="000000"/>
        </w:rPr>
        <w:t xml:space="preserve"> </w:t>
      </w:r>
      <w:r>
        <w:rPr>
          <w:color w:val="000000"/>
        </w:rPr>
        <w:t xml:space="preserve"> </w:t>
      </w:r>
      <w:r>
        <w:rPr>
          <w:rFonts w:hint="eastAsia"/>
          <w:color w:val="000000"/>
        </w:rPr>
        <w:t>半导体单晶晶向测定方法</w:t>
      </w:r>
    </w:p>
    <w:p>
      <w:pPr>
        <w:pStyle w:val="26"/>
        <w:jc w:val="left"/>
        <w:rPr>
          <w:color w:val="000000"/>
        </w:rPr>
      </w:pPr>
      <w:r>
        <w:rPr>
          <w:rFonts w:hint="eastAsia"/>
          <w:color w:val="000000"/>
        </w:rPr>
        <w:t xml:space="preserve">GB/T 2828.1  计数抽样检验程序  第1部分 按接收质量限（AQL）检索的逐批检验抽样计划 </w:t>
      </w:r>
    </w:p>
    <w:p>
      <w:pPr>
        <w:pStyle w:val="26"/>
        <w:jc w:val="left"/>
        <w:rPr>
          <w:color w:val="000000"/>
        </w:rPr>
      </w:pPr>
      <w:r>
        <w:rPr>
          <w:rFonts w:hint="eastAsia"/>
          <w:color w:val="000000"/>
        </w:rPr>
        <w:t>GB/T 6618  硅片厚度和总厚度变化测试方法</w:t>
      </w:r>
    </w:p>
    <w:p>
      <w:pPr>
        <w:pStyle w:val="26"/>
        <w:jc w:val="left"/>
        <w:rPr>
          <w:color w:val="000000"/>
        </w:rPr>
      </w:pPr>
      <w:r>
        <w:rPr>
          <w:rFonts w:hint="eastAsia"/>
          <w:color w:val="000000"/>
        </w:rPr>
        <w:t>GB/T 6619  硅片</w:t>
      </w:r>
      <w:r>
        <w:rPr>
          <w:color w:val="000000"/>
        </w:rPr>
        <w:t>弯曲度测试方法</w:t>
      </w:r>
    </w:p>
    <w:p>
      <w:pPr>
        <w:pStyle w:val="26"/>
        <w:jc w:val="left"/>
        <w:rPr>
          <w:color w:val="000000"/>
        </w:rPr>
      </w:pPr>
      <w:r>
        <w:rPr>
          <w:rFonts w:hint="eastAsia"/>
          <w:color w:val="000000"/>
        </w:rPr>
        <w:t>GB/T 6620  硅片翘曲度非接触式测试方法</w:t>
      </w:r>
    </w:p>
    <w:p>
      <w:pPr>
        <w:pStyle w:val="26"/>
        <w:jc w:val="left"/>
        <w:rPr>
          <w:color w:val="000000"/>
        </w:rPr>
      </w:pPr>
      <w:r>
        <w:rPr>
          <w:rFonts w:hint="eastAsia"/>
          <w:color w:val="000000"/>
        </w:rPr>
        <w:t>GB/T 662</w:t>
      </w:r>
      <w:r>
        <w:rPr>
          <w:color w:val="000000"/>
        </w:rPr>
        <w:t xml:space="preserve">1  </w:t>
      </w:r>
      <w:r>
        <w:rPr>
          <w:rFonts w:hint="eastAsia"/>
          <w:color w:val="000000"/>
        </w:rPr>
        <w:t>硅片表面</w:t>
      </w:r>
      <w:r>
        <w:rPr>
          <w:color w:val="000000"/>
        </w:rPr>
        <w:t>平整度测试方法</w:t>
      </w:r>
    </w:p>
    <w:p>
      <w:pPr>
        <w:pStyle w:val="26"/>
        <w:jc w:val="left"/>
        <w:rPr>
          <w:color w:val="000000"/>
        </w:rPr>
      </w:pPr>
      <w:r>
        <w:rPr>
          <w:color w:val="000000"/>
        </w:rPr>
        <w:t>GB/T 6624  硅抛光片表面质量目测检验方法</w:t>
      </w:r>
    </w:p>
    <w:p>
      <w:pPr>
        <w:pStyle w:val="26"/>
        <w:jc w:val="left"/>
        <w:rPr>
          <w:color w:val="000000"/>
        </w:rPr>
      </w:pPr>
      <w:r>
        <w:rPr>
          <w:rFonts w:hint="eastAsia"/>
          <w:color w:val="000000"/>
        </w:rPr>
        <w:t>GB/T 8760  砷化镓</w:t>
      </w:r>
      <w:r>
        <w:rPr>
          <w:color w:val="000000"/>
        </w:rPr>
        <w:t>单晶位错密度的测量方法</w:t>
      </w:r>
    </w:p>
    <w:p>
      <w:pPr>
        <w:pStyle w:val="26"/>
        <w:jc w:val="left"/>
        <w:rPr>
          <w:color w:val="000000"/>
        </w:rPr>
      </w:pPr>
      <w:r>
        <w:rPr>
          <w:rFonts w:hint="eastAsia"/>
          <w:color w:val="000000"/>
        </w:rPr>
        <w:t>G</w:t>
      </w:r>
      <w:r>
        <w:rPr>
          <w:color w:val="000000"/>
        </w:rPr>
        <w:t>B/T 13387  硅及其他电子材料晶片参考面长度测量方法</w:t>
      </w:r>
    </w:p>
    <w:p>
      <w:pPr>
        <w:pStyle w:val="26"/>
        <w:jc w:val="left"/>
        <w:rPr>
          <w:color w:val="000000"/>
        </w:rPr>
      </w:pPr>
      <w:r>
        <w:rPr>
          <w:rFonts w:hint="eastAsia"/>
          <w:color w:val="000000"/>
        </w:rPr>
        <w:t>GB/T 14140  硅片</w:t>
      </w:r>
      <w:r>
        <w:rPr>
          <w:color w:val="000000"/>
        </w:rPr>
        <w:t>直径测量方法</w:t>
      </w:r>
    </w:p>
    <w:p>
      <w:pPr>
        <w:pStyle w:val="26"/>
        <w:jc w:val="left"/>
        <w:rPr>
          <w:color w:val="000000"/>
        </w:rPr>
      </w:pPr>
      <w:r>
        <w:rPr>
          <w:rFonts w:hint="eastAsia"/>
          <w:color w:val="000000"/>
        </w:rPr>
        <w:t>GB/T 14264  半导体材料术语</w:t>
      </w:r>
    </w:p>
    <w:p>
      <w:pPr>
        <w:pStyle w:val="26"/>
        <w:jc w:val="left"/>
        <w:rPr>
          <w:color w:val="000000"/>
        </w:rPr>
      </w:pPr>
      <w:r>
        <w:rPr>
          <w:color w:val="000000"/>
        </w:rPr>
        <w:t xml:space="preserve">GB/T 14844 </w:t>
      </w:r>
      <w:r>
        <w:rPr>
          <w:rFonts w:hint="eastAsia"/>
          <w:color w:val="000000"/>
        </w:rPr>
        <w:t xml:space="preserve"> 半导体材料牌号表示方法</w:t>
      </w:r>
    </w:p>
    <w:p>
      <w:pPr>
        <w:pStyle w:val="26"/>
        <w:jc w:val="left"/>
        <w:rPr>
          <w:color w:val="000000"/>
        </w:rPr>
      </w:pPr>
      <w:r>
        <w:rPr>
          <w:rFonts w:hint="eastAsia"/>
          <w:color w:val="000000"/>
        </w:rPr>
        <w:t>G</w:t>
      </w:r>
      <w:r>
        <w:rPr>
          <w:color w:val="000000"/>
        </w:rPr>
        <w:t>B/T 17170  非掺杂半绝缘砷化镓单晶深能级</w:t>
      </w:r>
      <w:r>
        <w:rPr>
          <w:rFonts w:hint="eastAsia"/>
          <w:color w:val="000000"/>
        </w:rPr>
        <w:t>E</w:t>
      </w:r>
      <w:r>
        <w:rPr>
          <w:color w:val="000000"/>
        </w:rPr>
        <w:t>L2浓度红外吸收测试方法</w:t>
      </w:r>
    </w:p>
    <w:p>
      <w:pPr>
        <w:pStyle w:val="26"/>
        <w:jc w:val="left"/>
        <w:rPr>
          <w:color w:val="000000"/>
        </w:rPr>
      </w:pPr>
      <w:r>
        <w:rPr>
          <w:rFonts w:hint="eastAsia"/>
          <w:color w:val="000000"/>
        </w:rPr>
        <w:t>G</w:t>
      </w:r>
      <w:r>
        <w:rPr>
          <w:color w:val="000000"/>
        </w:rPr>
        <w:t>B/T 19199  半绝缘砷化镓单晶中碳浓度的红外吸收测试方法</w:t>
      </w:r>
    </w:p>
    <w:p>
      <w:pPr>
        <w:pStyle w:val="26"/>
        <w:jc w:val="left"/>
        <w:rPr>
          <w:color w:val="000000"/>
        </w:rPr>
      </w:pPr>
      <w:r>
        <w:rPr>
          <w:rFonts w:hint="eastAsia"/>
          <w:color w:val="000000"/>
        </w:rPr>
        <w:t>G</w:t>
      </w:r>
      <w:r>
        <w:rPr>
          <w:color w:val="000000"/>
        </w:rPr>
        <w:t>B/T 19921  硅抛光片表面颗粒测试方法</w:t>
      </w:r>
      <w:r>
        <w:rPr>
          <w:rFonts w:hint="eastAsia"/>
          <w:color w:val="000000"/>
        </w:rPr>
        <w:t xml:space="preserve"> </w:t>
      </w:r>
    </w:p>
    <w:p>
      <w:pPr>
        <w:pStyle w:val="26"/>
        <w:jc w:val="left"/>
        <w:rPr>
          <w:color w:val="000000"/>
        </w:rPr>
      </w:pPr>
      <w:r>
        <w:rPr>
          <w:rFonts w:hint="eastAsia"/>
          <w:color w:val="000000"/>
        </w:rPr>
        <w:t>GB/T 20228  砷化镓</w:t>
      </w:r>
      <w:r>
        <w:rPr>
          <w:color w:val="000000"/>
        </w:rPr>
        <w:t>单晶</w:t>
      </w:r>
    </w:p>
    <w:p>
      <w:pPr>
        <w:pStyle w:val="26"/>
        <w:jc w:val="left"/>
        <w:rPr>
          <w:color w:val="000000"/>
        </w:rPr>
      </w:pPr>
      <w:r>
        <w:rPr>
          <w:color w:val="000000"/>
        </w:rPr>
        <w:t>GB/T 26067  硅片切口尺寸测试方法</w:t>
      </w:r>
    </w:p>
    <w:p>
      <w:pPr>
        <w:pStyle w:val="26"/>
        <w:jc w:val="left"/>
        <w:rPr>
          <w:color w:val="000000"/>
        </w:rPr>
      </w:pPr>
      <w:r>
        <w:rPr>
          <w:rFonts w:hint="eastAsia"/>
          <w:color w:val="000000"/>
        </w:rPr>
        <w:t xml:space="preserve">SJ/T 11488 </w:t>
      </w:r>
      <w:bookmarkStart w:id="12" w:name="OLE_LINK1"/>
      <w:bookmarkStart w:id="13" w:name="OLE_LINK2"/>
      <w:r>
        <w:rPr>
          <w:rFonts w:hint="eastAsia"/>
          <w:color w:val="000000"/>
        </w:rPr>
        <w:t>半绝缘砷化镓电阻率、霍尔系数和迁移率测试方法</w:t>
      </w:r>
      <w:bookmarkEnd w:id="12"/>
      <w:bookmarkEnd w:id="13"/>
    </w:p>
    <w:p>
      <w:pPr>
        <w:pStyle w:val="49"/>
        <w:jc w:val="left"/>
        <w:rPr>
          <w:color w:val="000000"/>
        </w:rPr>
      </w:pPr>
      <w:bookmarkStart w:id="14" w:name="BKCKWX"/>
      <w:r>
        <w:rPr>
          <w:rFonts w:hint="eastAsia"/>
          <w:color w:val="000000"/>
        </w:rPr>
        <w:t>术语和定义</w:t>
      </w:r>
    </w:p>
    <w:p>
      <w:pPr>
        <w:pStyle w:val="26"/>
        <w:jc w:val="left"/>
        <w:rPr>
          <w:color w:val="000000"/>
        </w:rPr>
      </w:pPr>
      <w:r>
        <w:rPr>
          <w:rFonts w:hint="eastAsia" w:hAnsi="宋体"/>
          <w:color w:val="000000"/>
        </w:rPr>
        <w:t>GB/T 14264界定的术语和定义适用于本文件</w:t>
      </w:r>
      <w:r>
        <w:rPr>
          <w:rFonts w:hint="eastAsia"/>
          <w:color w:val="000000"/>
        </w:rPr>
        <w:t>。</w:t>
      </w:r>
    </w:p>
    <w:p>
      <w:pPr>
        <w:pStyle w:val="26"/>
        <w:jc w:val="left"/>
        <w:rPr>
          <w:color w:val="000000"/>
        </w:rPr>
      </w:pPr>
      <w:r>
        <w:rPr>
          <w:rFonts w:hint="eastAsia"/>
          <w:color w:val="000000"/>
        </w:rPr>
        <w:t>局部光散射体：</w:t>
      </w:r>
      <w:r>
        <w:rPr>
          <w:rFonts w:ascii="å®ä½" w:hAnsi="å®ä½"/>
        </w:rPr>
        <w:t>晶片表面上的一种孤立的离散特征，如颗粒或凹坑等，将导致相对于周围晶圆片表面的光散射强度增加</w:t>
      </w:r>
      <w:r>
        <w:rPr>
          <w:rFonts w:hint="eastAsia"/>
          <w:color w:val="000000"/>
        </w:rPr>
        <w:t>。</w:t>
      </w:r>
    </w:p>
    <w:p>
      <w:pPr>
        <w:pStyle w:val="26"/>
        <w:jc w:val="left"/>
        <w:rPr>
          <w:color w:val="000000"/>
        </w:rPr>
      </w:pPr>
    </w:p>
    <w:p>
      <w:pPr>
        <w:pStyle w:val="49"/>
        <w:jc w:val="left"/>
        <w:rPr>
          <w:color w:val="000000"/>
        </w:rPr>
      </w:pPr>
      <w:r>
        <w:rPr>
          <w:rFonts w:hint="eastAsia"/>
          <w:color w:val="000000"/>
        </w:rPr>
        <w:t>分类</w:t>
      </w:r>
    </w:p>
    <w:p>
      <w:pPr>
        <w:pStyle w:val="46"/>
        <w:ind w:left="0"/>
      </w:pPr>
      <w:r>
        <w:t>牌号</w:t>
      </w:r>
    </w:p>
    <w:p>
      <w:pPr>
        <w:pStyle w:val="49"/>
        <w:numPr>
          <w:ilvl w:val="0"/>
          <w:numId w:val="0"/>
        </w:numPr>
        <w:ind w:firstLine="420" w:firstLineChars="200"/>
        <w:jc w:val="left"/>
        <w:rPr>
          <w:rFonts w:ascii="宋体" w:eastAsia="宋体"/>
          <w:color w:val="000000"/>
        </w:rPr>
      </w:pPr>
      <w:r>
        <w:rPr>
          <w:rFonts w:hint="eastAsia" w:ascii="宋体" w:eastAsia="宋体"/>
          <w:color w:val="000000"/>
        </w:rPr>
        <w:t>半绝缘</w:t>
      </w:r>
      <w:r>
        <w:rPr>
          <w:rFonts w:ascii="宋体" w:eastAsia="宋体"/>
          <w:color w:val="000000"/>
        </w:rPr>
        <w:t>砷化镓</w:t>
      </w:r>
      <w:r>
        <w:rPr>
          <w:rFonts w:hint="eastAsia" w:ascii="宋体" w:eastAsia="宋体"/>
          <w:color w:val="000000"/>
        </w:rPr>
        <w:t>的牌号表示方法参照GB/T 14844的规定执行。</w:t>
      </w:r>
    </w:p>
    <w:p>
      <w:pPr>
        <w:pStyle w:val="46"/>
        <w:ind w:left="0"/>
      </w:pPr>
      <w:r>
        <w:t>规格</w:t>
      </w:r>
    </w:p>
    <w:p>
      <w:pPr>
        <w:pStyle w:val="26"/>
        <w:jc w:val="left"/>
        <w:rPr>
          <w:color w:val="000000"/>
        </w:rPr>
      </w:pPr>
      <w:r>
        <w:rPr>
          <w:rFonts w:hint="eastAsia"/>
          <w:color w:val="000000"/>
        </w:rPr>
        <w:t>半绝缘</w:t>
      </w:r>
      <w:r>
        <w:rPr>
          <w:color w:val="000000"/>
        </w:rPr>
        <w:t>砷化镓按直径</w:t>
      </w:r>
      <w:r>
        <w:rPr>
          <w:rFonts w:hint="eastAsia"/>
          <w:color w:val="000000"/>
        </w:rPr>
        <w:t>分为</w:t>
      </w:r>
      <w:r>
        <w:rPr>
          <w:rFonts w:hint="eastAsia" w:hAnsi="宋体"/>
          <w:color w:val="000000"/>
        </w:rPr>
        <w:t>Ф</w:t>
      </w:r>
      <w:r>
        <w:rPr>
          <w:rFonts w:hint="eastAsia"/>
          <w:color w:val="000000"/>
        </w:rPr>
        <w:t>50.8mm、</w:t>
      </w:r>
      <w:r>
        <w:rPr>
          <w:rFonts w:hint="eastAsia" w:hAnsi="宋体"/>
          <w:color w:val="000000"/>
        </w:rPr>
        <w:t>Ф</w:t>
      </w:r>
      <w:r>
        <w:rPr>
          <w:color w:val="000000"/>
        </w:rPr>
        <w:t>76.2</w:t>
      </w:r>
      <w:r>
        <w:rPr>
          <w:rFonts w:hint="eastAsia"/>
          <w:color w:val="000000"/>
        </w:rPr>
        <w:t>mm、</w:t>
      </w:r>
      <w:r>
        <w:rPr>
          <w:rFonts w:hint="eastAsia" w:hAnsi="宋体"/>
          <w:color w:val="000000"/>
        </w:rPr>
        <w:t>Ф</w:t>
      </w:r>
      <w:r>
        <w:rPr>
          <w:color w:val="000000"/>
        </w:rPr>
        <w:t>100</w:t>
      </w:r>
      <w:r>
        <w:rPr>
          <w:rFonts w:hint="eastAsia"/>
          <w:color w:val="000000"/>
        </w:rPr>
        <w:t>.</w:t>
      </w:r>
      <w:r>
        <w:rPr>
          <w:color w:val="000000"/>
        </w:rPr>
        <w:t>0</w:t>
      </w:r>
      <w:r>
        <w:rPr>
          <w:rFonts w:hint="eastAsia"/>
          <w:color w:val="000000"/>
        </w:rPr>
        <w:t>mm、</w:t>
      </w:r>
      <w:r>
        <w:rPr>
          <w:rFonts w:hint="eastAsia" w:hAnsi="宋体"/>
          <w:color w:val="000000"/>
        </w:rPr>
        <w:t>Ф</w:t>
      </w:r>
      <w:r>
        <w:rPr>
          <w:color w:val="000000"/>
        </w:rPr>
        <w:t>150.0</w:t>
      </w:r>
      <w:r>
        <w:rPr>
          <w:rFonts w:hint="eastAsia"/>
          <w:color w:val="000000"/>
        </w:rPr>
        <w:t>mm、</w:t>
      </w:r>
      <w:r>
        <w:rPr>
          <w:rFonts w:hint="eastAsia" w:hAnsi="宋体"/>
          <w:color w:val="000000"/>
        </w:rPr>
        <w:t>Ф</w:t>
      </w:r>
      <w:r>
        <w:rPr>
          <w:color w:val="000000"/>
        </w:rPr>
        <w:t>200.0</w:t>
      </w:r>
      <w:r>
        <w:rPr>
          <w:rFonts w:hint="eastAsia"/>
          <w:color w:val="000000"/>
        </w:rPr>
        <w:t xml:space="preserve">mm </w:t>
      </w:r>
      <w:r>
        <w:rPr>
          <w:color w:val="000000"/>
        </w:rPr>
        <w:t>5</w:t>
      </w:r>
      <w:r>
        <w:rPr>
          <w:rFonts w:hint="eastAsia"/>
          <w:color w:val="000000"/>
        </w:rPr>
        <w:t>种</w:t>
      </w:r>
      <w:r>
        <w:rPr>
          <w:color w:val="000000"/>
        </w:rPr>
        <w:t>规格，或由供需双方商定</w:t>
      </w:r>
      <w:r>
        <w:rPr>
          <w:rFonts w:hint="eastAsia"/>
          <w:color w:val="000000"/>
        </w:rPr>
        <w:t>。</w:t>
      </w:r>
    </w:p>
    <w:p>
      <w:pPr>
        <w:pStyle w:val="49"/>
        <w:jc w:val="left"/>
        <w:rPr>
          <w:color w:val="000000"/>
        </w:rPr>
      </w:pPr>
      <w:r>
        <w:rPr>
          <w:rFonts w:hint="eastAsia"/>
          <w:color w:val="000000"/>
        </w:rPr>
        <w:t>技术要求</w:t>
      </w:r>
    </w:p>
    <w:p>
      <w:pPr>
        <w:pStyle w:val="46"/>
        <w:ind w:left="0"/>
      </w:pPr>
      <w:r>
        <w:rPr>
          <w:rFonts w:hint="eastAsia"/>
        </w:rPr>
        <w:t>电学性能</w:t>
      </w:r>
    </w:p>
    <w:p>
      <w:pPr>
        <w:pStyle w:val="26"/>
        <w:jc w:val="left"/>
        <w:rPr>
          <w:color w:val="FF0000"/>
        </w:rPr>
      </w:pPr>
      <w:r>
        <w:rPr>
          <w:color w:val="000000"/>
        </w:rPr>
        <w:t>半绝缘砷化镓单晶衬底片电学性能应符合表</w:t>
      </w:r>
      <w:r>
        <w:rPr>
          <w:rFonts w:hint="eastAsia"/>
          <w:color w:val="000000"/>
        </w:rPr>
        <w:t>1的规定，</w:t>
      </w:r>
      <w:r>
        <w:rPr>
          <w:color w:val="000000"/>
        </w:rPr>
        <w:t>电学性能分为</w:t>
      </w:r>
      <w:r>
        <w:rPr>
          <w:rFonts w:hint="eastAsia"/>
          <w:color w:val="000000"/>
        </w:rPr>
        <w:t>：</w:t>
      </w:r>
      <w:r>
        <w:rPr>
          <w:color w:val="000000"/>
        </w:rPr>
        <w:t>非掺和掺</w:t>
      </w:r>
      <w:r>
        <w:rPr>
          <w:rFonts w:hint="eastAsia"/>
          <w:color w:val="000000"/>
        </w:rPr>
        <w:t>C两种。</w:t>
      </w:r>
    </w:p>
    <w:p>
      <w:pPr>
        <w:pStyle w:val="26"/>
        <w:ind w:firstLine="0" w:firstLineChars="0"/>
        <w:jc w:val="left"/>
        <w:rPr>
          <w:rFonts w:ascii="黑体" w:hAnsi="黑体" w:eastAsia="黑体"/>
          <w:color w:val="000000"/>
        </w:rPr>
      </w:pPr>
      <w:r>
        <w:rPr>
          <w:rFonts w:hint="eastAsia"/>
          <w:color w:val="000000"/>
        </w:rPr>
        <w:t xml:space="preserve"> </w:t>
      </w:r>
      <w:r>
        <w:rPr>
          <w:color w:val="000000"/>
        </w:rPr>
        <w:t xml:space="preserve">                                   </w:t>
      </w:r>
      <w:r>
        <w:rPr>
          <w:rFonts w:hint="eastAsia" w:ascii="黑体" w:hAnsi="黑体" w:eastAsia="黑体"/>
          <w:color w:val="000000"/>
        </w:rPr>
        <w:t xml:space="preserve">表 </w:t>
      </w:r>
      <w:r>
        <w:rPr>
          <w:rFonts w:ascii="黑体" w:hAnsi="黑体" w:eastAsia="黑体"/>
          <w:color w:val="000000"/>
        </w:rPr>
        <w:t>1 电学性能</w:t>
      </w:r>
    </w:p>
    <w:tbl>
      <w:tblPr>
        <w:tblStyle w:val="36"/>
        <w:tblW w:w="6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2125"/>
        <w:gridCol w:w="1920"/>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vMerge w:val="restart"/>
            <w:shd w:val="clear" w:color="auto" w:fill="auto"/>
            <w:vAlign w:val="center"/>
          </w:tcPr>
          <w:p>
            <w:pPr>
              <w:pStyle w:val="26"/>
              <w:ind w:left="-20" w:firstLine="0" w:firstLineChars="0"/>
              <w:jc w:val="left"/>
              <w:rPr>
                <w:rFonts w:hAnsi="宋体"/>
                <w:color w:val="000000"/>
                <w:sz w:val="18"/>
                <w:szCs w:val="18"/>
              </w:rPr>
            </w:pPr>
            <w:r>
              <w:rPr>
                <w:rFonts w:hint="eastAsia" w:hAnsi="宋体"/>
                <w:color w:val="000000"/>
                <w:sz w:val="18"/>
                <w:szCs w:val="18"/>
              </w:rPr>
              <w:t>掺杂剂</w:t>
            </w:r>
          </w:p>
        </w:tc>
        <w:tc>
          <w:tcPr>
            <w:tcW w:w="2125" w:type="dxa"/>
            <w:vMerge w:val="restart"/>
            <w:shd w:val="clear" w:color="auto" w:fill="auto"/>
            <w:vAlign w:val="center"/>
          </w:tcPr>
          <w:p>
            <w:pPr>
              <w:pStyle w:val="26"/>
              <w:ind w:left="-20" w:firstLine="540" w:firstLineChars="300"/>
              <w:jc w:val="left"/>
              <w:rPr>
                <w:rFonts w:hAnsi="宋体"/>
                <w:color w:val="000000"/>
                <w:sz w:val="18"/>
                <w:szCs w:val="18"/>
              </w:rPr>
            </w:pPr>
            <w:r>
              <w:rPr>
                <w:rFonts w:hint="eastAsia" w:hAnsi="宋体"/>
                <w:color w:val="000000"/>
                <w:sz w:val="18"/>
                <w:szCs w:val="18"/>
              </w:rPr>
              <w:t xml:space="preserve">项 </w:t>
            </w:r>
            <w:r>
              <w:rPr>
                <w:rFonts w:hAnsi="宋体"/>
                <w:color w:val="000000"/>
                <w:sz w:val="18"/>
                <w:szCs w:val="18"/>
              </w:rPr>
              <w:t xml:space="preserve"> </w:t>
            </w:r>
            <w:r>
              <w:rPr>
                <w:rFonts w:hint="eastAsia" w:hAnsi="宋体"/>
                <w:color w:val="000000"/>
                <w:sz w:val="18"/>
                <w:szCs w:val="18"/>
              </w:rPr>
              <w:t>目</w:t>
            </w:r>
          </w:p>
        </w:tc>
        <w:tc>
          <w:tcPr>
            <w:tcW w:w="3687" w:type="dxa"/>
            <w:gridSpan w:val="2"/>
            <w:tcBorders>
              <w:right w:val="single" w:color="auto" w:sz="4" w:space="0"/>
            </w:tcBorders>
            <w:shd w:val="clear" w:color="auto" w:fill="auto"/>
          </w:tcPr>
          <w:p>
            <w:pPr>
              <w:pStyle w:val="26"/>
              <w:ind w:left="-20" w:firstLine="0" w:firstLineChars="0"/>
              <w:jc w:val="center"/>
              <w:rPr>
                <w:rFonts w:hAnsi="宋体"/>
                <w:color w:val="000000"/>
                <w:sz w:val="18"/>
                <w:szCs w:val="18"/>
              </w:rPr>
            </w:pPr>
            <w:r>
              <w:rPr>
                <w:rFonts w:hint="eastAsia" w:hAnsi="宋体"/>
                <w:color w:val="000000"/>
                <w:sz w:val="18"/>
                <w:szCs w:val="18"/>
              </w:rPr>
              <w:t xml:space="preserve">要 </w:t>
            </w:r>
            <w:r>
              <w:rPr>
                <w:rFonts w:hAnsi="宋体"/>
                <w:color w:val="000000"/>
                <w:sz w:val="18"/>
                <w:szCs w:val="18"/>
              </w:rPr>
              <w:t xml:space="preserve"> </w:t>
            </w:r>
            <w:r>
              <w:rPr>
                <w:rFonts w:hint="eastAsia" w:hAnsi="宋体"/>
                <w:color w:val="000000"/>
                <w:sz w:val="18"/>
                <w:szCs w:val="18"/>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vMerge w:val="continue"/>
            <w:shd w:val="clear" w:color="auto" w:fill="auto"/>
          </w:tcPr>
          <w:p>
            <w:pPr>
              <w:pStyle w:val="26"/>
              <w:ind w:left="-20" w:firstLine="0" w:firstLineChars="0"/>
              <w:jc w:val="center"/>
              <w:rPr>
                <w:rFonts w:hAnsi="宋体"/>
                <w:color w:val="000000"/>
                <w:sz w:val="18"/>
                <w:szCs w:val="18"/>
              </w:rPr>
            </w:pPr>
          </w:p>
        </w:tc>
        <w:tc>
          <w:tcPr>
            <w:tcW w:w="2125" w:type="dxa"/>
            <w:vMerge w:val="continue"/>
            <w:shd w:val="clear" w:color="auto" w:fill="auto"/>
          </w:tcPr>
          <w:p>
            <w:pPr>
              <w:pStyle w:val="26"/>
              <w:ind w:left="-20" w:firstLine="0" w:firstLineChars="0"/>
              <w:jc w:val="center"/>
              <w:rPr>
                <w:rFonts w:hAnsi="宋体"/>
                <w:color w:val="000000"/>
                <w:sz w:val="18"/>
                <w:szCs w:val="18"/>
              </w:rPr>
            </w:pPr>
          </w:p>
        </w:tc>
        <w:tc>
          <w:tcPr>
            <w:tcW w:w="1920" w:type="dxa"/>
            <w:tcBorders>
              <w:right w:val="single" w:color="auto" w:sz="4" w:space="0"/>
            </w:tcBorders>
            <w:shd w:val="clear" w:color="auto" w:fill="auto"/>
          </w:tcPr>
          <w:p>
            <w:pPr>
              <w:pStyle w:val="26"/>
              <w:ind w:left="-20" w:firstLine="0" w:firstLineChars="0"/>
              <w:jc w:val="center"/>
              <w:rPr>
                <w:rFonts w:hAnsi="宋体"/>
                <w:color w:val="000000"/>
                <w:sz w:val="18"/>
                <w:szCs w:val="18"/>
              </w:rPr>
            </w:pPr>
            <w:r>
              <w:rPr>
                <w:rFonts w:hAnsi="宋体"/>
                <w:color w:val="000000"/>
                <w:sz w:val="18"/>
                <w:szCs w:val="18"/>
              </w:rPr>
              <w:fldChar w:fldCharType="begin"/>
            </w:r>
            <w:r>
              <w:rPr>
                <w:rFonts w:hAnsi="宋体"/>
                <w:color w:val="000000"/>
                <w:sz w:val="18"/>
                <w:szCs w:val="18"/>
              </w:rPr>
              <w:instrText xml:space="preserve"> </w:instrText>
            </w:r>
            <w:r>
              <w:rPr>
                <w:rFonts w:hint="eastAsia" w:hAnsi="宋体"/>
                <w:color w:val="000000"/>
                <w:sz w:val="18"/>
                <w:szCs w:val="18"/>
              </w:rPr>
              <w:instrText xml:space="preserve">= 1 \* ROMAN</w:instrText>
            </w:r>
            <w:r>
              <w:rPr>
                <w:rFonts w:hAnsi="宋体"/>
                <w:color w:val="000000"/>
                <w:sz w:val="18"/>
                <w:szCs w:val="18"/>
              </w:rPr>
              <w:instrText xml:space="preserve"> </w:instrText>
            </w:r>
            <w:r>
              <w:rPr>
                <w:rFonts w:hAnsi="宋体"/>
                <w:color w:val="000000"/>
                <w:sz w:val="18"/>
                <w:szCs w:val="18"/>
              </w:rPr>
              <w:fldChar w:fldCharType="separate"/>
            </w:r>
            <w:r>
              <w:rPr>
                <w:rFonts w:hAnsi="宋体"/>
                <w:color w:val="000000"/>
                <w:sz w:val="18"/>
                <w:szCs w:val="18"/>
              </w:rPr>
              <w:t>I</w:t>
            </w:r>
            <w:r>
              <w:rPr>
                <w:rFonts w:hAnsi="宋体"/>
                <w:color w:val="000000"/>
                <w:sz w:val="18"/>
                <w:szCs w:val="18"/>
              </w:rPr>
              <w:fldChar w:fldCharType="end"/>
            </w:r>
          </w:p>
        </w:tc>
        <w:tc>
          <w:tcPr>
            <w:tcW w:w="1767" w:type="dxa"/>
            <w:tcBorders>
              <w:left w:val="single" w:color="auto" w:sz="4" w:space="0"/>
              <w:right w:val="single" w:color="auto" w:sz="4" w:space="0"/>
            </w:tcBorders>
            <w:shd w:val="clear" w:color="auto" w:fill="auto"/>
          </w:tcPr>
          <w:p>
            <w:pPr>
              <w:pStyle w:val="26"/>
              <w:ind w:left="-20" w:firstLine="0" w:firstLineChars="0"/>
              <w:jc w:val="center"/>
              <w:rPr>
                <w:rFonts w:hAnsi="宋体"/>
                <w:color w:val="000000"/>
                <w:sz w:val="18"/>
                <w:szCs w:val="18"/>
              </w:rPr>
            </w:pPr>
            <w:r>
              <w:rPr>
                <w:rFonts w:hAnsi="宋体"/>
                <w:color w:val="000000"/>
                <w:sz w:val="18"/>
                <w:szCs w:val="18"/>
              </w:rPr>
              <w:fldChar w:fldCharType="begin"/>
            </w:r>
            <w:r>
              <w:rPr>
                <w:rFonts w:hAnsi="宋体"/>
                <w:color w:val="000000"/>
                <w:sz w:val="18"/>
                <w:szCs w:val="18"/>
              </w:rPr>
              <w:instrText xml:space="preserve"> </w:instrText>
            </w:r>
            <w:r>
              <w:rPr>
                <w:rFonts w:hint="eastAsia" w:hAnsi="宋体"/>
                <w:color w:val="000000"/>
                <w:sz w:val="18"/>
                <w:szCs w:val="18"/>
              </w:rPr>
              <w:instrText xml:space="preserve">= 2 \* ROMAN</w:instrText>
            </w:r>
            <w:r>
              <w:rPr>
                <w:rFonts w:hAnsi="宋体"/>
                <w:color w:val="000000"/>
                <w:sz w:val="18"/>
                <w:szCs w:val="18"/>
              </w:rPr>
              <w:instrText xml:space="preserve"> </w:instrText>
            </w:r>
            <w:r>
              <w:rPr>
                <w:rFonts w:hAnsi="宋体"/>
                <w:color w:val="000000"/>
                <w:sz w:val="18"/>
                <w:szCs w:val="18"/>
              </w:rPr>
              <w:fldChar w:fldCharType="separate"/>
            </w:r>
            <w:r>
              <w:rPr>
                <w:rFonts w:hAnsi="宋体"/>
                <w:color w:val="000000"/>
                <w:sz w:val="18"/>
                <w:szCs w:val="18"/>
              </w:rPr>
              <w:t>II</w:t>
            </w:r>
            <w:r>
              <w:rPr>
                <w:rFonts w:hAnsi="宋体"/>
                <w:color w:val="000000"/>
                <w:sz w:val="18"/>
                <w:szCs w:val="18"/>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vMerge w:val="restart"/>
            <w:shd w:val="clear" w:color="auto" w:fill="FFFFFF"/>
            <w:vAlign w:val="center"/>
          </w:tcPr>
          <w:p>
            <w:pPr>
              <w:pStyle w:val="26"/>
              <w:ind w:left="-20" w:firstLine="0" w:firstLineChars="0"/>
              <w:jc w:val="center"/>
              <w:rPr>
                <w:rFonts w:hAnsi="宋体"/>
                <w:color w:val="000000"/>
                <w:sz w:val="18"/>
                <w:szCs w:val="18"/>
              </w:rPr>
            </w:pPr>
            <w:r>
              <w:rPr>
                <w:rFonts w:hint="eastAsia" w:hAnsi="宋体"/>
                <w:color w:val="000000"/>
                <w:sz w:val="18"/>
                <w:szCs w:val="18"/>
              </w:rPr>
              <w:t>非掺</w:t>
            </w:r>
          </w:p>
        </w:tc>
        <w:tc>
          <w:tcPr>
            <w:tcW w:w="2125" w:type="dxa"/>
            <w:shd w:val="clear" w:color="auto" w:fill="FFFFFF"/>
          </w:tcPr>
          <w:p>
            <w:pPr>
              <w:pStyle w:val="26"/>
              <w:ind w:left="-20" w:firstLine="0" w:firstLineChars="0"/>
              <w:jc w:val="center"/>
              <w:rPr>
                <w:rFonts w:hAnsi="宋体"/>
                <w:color w:val="000000"/>
                <w:sz w:val="18"/>
                <w:szCs w:val="18"/>
              </w:rPr>
            </w:pPr>
            <w:r>
              <w:rPr>
                <w:rFonts w:hint="eastAsia" w:hAnsi="宋体"/>
                <w:color w:val="000000"/>
                <w:sz w:val="18"/>
                <w:szCs w:val="18"/>
              </w:rPr>
              <w:t xml:space="preserve">电阻率 </w:t>
            </w:r>
            <w:r>
              <w:rPr>
                <w:rFonts w:hAnsi="宋体"/>
                <w:color w:val="000000"/>
                <w:sz w:val="18"/>
                <w:szCs w:val="18"/>
              </w:rPr>
              <w:t xml:space="preserve"> </w:t>
            </w:r>
          </w:p>
          <w:p>
            <w:pPr>
              <w:pStyle w:val="26"/>
              <w:ind w:left="-20" w:firstLine="0" w:firstLineChars="0"/>
              <w:jc w:val="center"/>
              <w:rPr>
                <w:rFonts w:hAnsi="宋体"/>
                <w:color w:val="000000"/>
                <w:sz w:val="18"/>
                <w:szCs w:val="18"/>
              </w:rPr>
            </w:pPr>
            <w:r>
              <w:rPr>
                <w:rFonts w:hint="eastAsia" w:hAnsi="宋体"/>
                <w:color w:val="000000"/>
                <w:sz w:val="18"/>
                <w:szCs w:val="18"/>
              </w:rPr>
              <w:t>Ω</w:t>
            </w:r>
            <w:r>
              <w:t>·</w:t>
            </w:r>
            <w:r>
              <w:rPr>
                <w:rFonts w:hAnsi="宋体"/>
                <w:color w:val="000000"/>
                <w:sz w:val="18"/>
                <w:szCs w:val="18"/>
              </w:rPr>
              <w:t>cm</w:t>
            </w:r>
          </w:p>
        </w:tc>
        <w:tc>
          <w:tcPr>
            <w:tcW w:w="1920" w:type="dxa"/>
            <w:tcBorders>
              <w:right w:val="single" w:color="auto" w:sz="4" w:space="0"/>
            </w:tcBorders>
            <w:shd w:val="clear" w:color="auto" w:fill="FFFFFF"/>
            <w:vAlign w:val="center"/>
          </w:tcPr>
          <w:p>
            <w:pPr>
              <w:pStyle w:val="26"/>
              <w:ind w:left="-20"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2</w:t>
            </w:r>
            <w:r>
              <w:rPr>
                <w:rFonts w:hint="eastAsia" w:hAnsi="宋体"/>
                <w:color w:val="000000"/>
                <w:sz w:val="18"/>
                <w:szCs w:val="18"/>
              </w:rPr>
              <w:t>×</w:t>
            </w:r>
            <w:r>
              <w:rPr>
                <w:rFonts w:hAnsi="宋体"/>
                <w:color w:val="000000"/>
                <w:sz w:val="18"/>
                <w:szCs w:val="18"/>
              </w:rPr>
              <w:t>10</w:t>
            </w:r>
            <w:r>
              <w:rPr>
                <w:rFonts w:hAnsi="宋体"/>
                <w:color w:val="000000"/>
                <w:sz w:val="18"/>
                <w:szCs w:val="18"/>
                <w:vertAlign w:val="superscript"/>
              </w:rPr>
              <w:t>7</w:t>
            </w:r>
          </w:p>
        </w:tc>
        <w:tc>
          <w:tcPr>
            <w:tcW w:w="1767" w:type="dxa"/>
            <w:tcBorders>
              <w:left w:val="single" w:color="auto" w:sz="4" w:space="0"/>
              <w:right w:val="single" w:color="auto" w:sz="4" w:space="0"/>
            </w:tcBorders>
            <w:shd w:val="clear" w:color="auto" w:fill="FFFFFF"/>
            <w:vAlign w:val="center"/>
          </w:tcPr>
          <w:p>
            <w:pPr>
              <w:pStyle w:val="26"/>
              <w:ind w:left="-20" w:firstLine="0" w:firstLineChars="0"/>
              <w:jc w:val="center"/>
              <w:rPr>
                <w:rFonts w:hAnsi="宋体"/>
                <w:color w:val="000000"/>
                <w:sz w:val="18"/>
                <w:szCs w:val="18"/>
              </w:rPr>
            </w:pPr>
            <w:r>
              <w:rPr>
                <w:rFonts w:hint="eastAsia"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vMerge w:val="continue"/>
            <w:shd w:val="clear" w:color="auto" w:fill="FFFFFF"/>
            <w:vAlign w:val="center"/>
          </w:tcPr>
          <w:p>
            <w:pPr>
              <w:pStyle w:val="26"/>
              <w:ind w:left="-20" w:firstLine="0" w:firstLineChars="0"/>
              <w:jc w:val="left"/>
              <w:rPr>
                <w:rFonts w:hAnsi="宋体"/>
                <w:color w:val="000000"/>
                <w:sz w:val="18"/>
                <w:szCs w:val="18"/>
              </w:rPr>
            </w:pPr>
          </w:p>
        </w:tc>
        <w:tc>
          <w:tcPr>
            <w:tcW w:w="2125" w:type="dxa"/>
            <w:shd w:val="clear" w:color="auto" w:fill="FFFFFF"/>
          </w:tcPr>
          <w:p>
            <w:pPr>
              <w:pStyle w:val="26"/>
              <w:ind w:left="-20" w:firstLine="0" w:firstLineChars="0"/>
              <w:jc w:val="center"/>
              <w:rPr>
                <w:rFonts w:hAnsi="宋体"/>
                <w:color w:val="000000"/>
                <w:sz w:val="18"/>
                <w:szCs w:val="18"/>
              </w:rPr>
            </w:pPr>
            <w:r>
              <w:rPr>
                <w:rFonts w:hint="eastAsia" w:hAnsi="宋体"/>
                <w:color w:val="000000"/>
                <w:sz w:val="18"/>
                <w:szCs w:val="18"/>
              </w:rPr>
              <w:t>截面电阻率不均匀性</w:t>
            </w:r>
          </w:p>
          <w:p>
            <w:pPr>
              <w:pStyle w:val="26"/>
              <w:ind w:left="-20" w:firstLine="0" w:firstLineChars="0"/>
              <w:jc w:val="center"/>
              <w:rPr>
                <w:rFonts w:hAnsi="宋体"/>
                <w:color w:val="000000"/>
                <w:sz w:val="18"/>
                <w:szCs w:val="18"/>
              </w:rPr>
            </w:pPr>
            <w:r>
              <w:rPr>
                <w:rFonts w:hint="eastAsia" w:hAnsi="宋体"/>
                <w:color w:val="000000"/>
                <w:sz w:val="18"/>
                <w:szCs w:val="18"/>
              </w:rPr>
              <w:t>%</w:t>
            </w:r>
          </w:p>
        </w:tc>
        <w:tc>
          <w:tcPr>
            <w:tcW w:w="1920" w:type="dxa"/>
            <w:tcBorders>
              <w:right w:val="single" w:color="auto" w:sz="4" w:space="0"/>
            </w:tcBorders>
            <w:shd w:val="clear" w:color="auto" w:fill="FFFFFF"/>
            <w:vAlign w:val="center"/>
          </w:tcPr>
          <w:p>
            <w:pPr>
              <w:pStyle w:val="26"/>
              <w:ind w:left="-20" w:firstLine="0" w:firstLineChars="0"/>
              <w:jc w:val="center"/>
              <w:rPr>
                <w:rFonts w:hAnsi="宋体"/>
                <w:color w:val="000000"/>
                <w:sz w:val="18"/>
                <w:szCs w:val="18"/>
              </w:rPr>
            </w:pPr>
            <w:r>
              <w:rPr>
                <w:rFonts w:hint="eastAsia" w:hAnsi="宋体"/>
                <w:color w:val="000000"/>
                <w:sz w:val="18"/>
                <w:szCs w:val="18"/>
              </w:rPr>
              <w:t>≤1</w:t>
            </w:r>
            <w:r>
              <w:rPr>
                <w:rFonts w:hAnsi="宋体"/>
                <w:color w:val="000000"/>
                <w:sz w:val="18"/>
                <w:szCs w:val="18"/>
              </w:rPr>
              <w:t>5</w:t>
            </w:r>
          </w:p>
        </w:tc>
        <w:tc>
          <w:tcPr>
            <w:tcW w:w="1767" w:type="dxa"/>
            <w:tcBorders>
              <w:left w:val="single" w:color="auto" w:sz="4" w:space="0"/>
              <w:right w:val="single" w:color="auto" w:sz="4" w:space="0"/>
            </w:tcBorders>
            <w:shd w:val="clear" w:color="auto" w:fill="FFFFFF"/>
            <w:vAlign w:val="center"/>
          </w:tcPr>
          <w:p>
            <w:pPr>
              <w:pStyle w:val="26"/>
              <w:ind w:left="-20" w:firstLine="0" w:firstLineChars="0"/>
              <w:jc w:val="center"/>
              <w:rPr>
                <w:rFonts w:hAnsi="宋体"/>
                <w:color w:val="000000"/>
                <w:sz w:val="18"/>
                <w:szCs w:val="18"/>
              </w:rPr>
            </w:pPr>
            <w:r>
              <w:rPr>
                <w:rFonts w:hint="eastAsia"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vMerge w:val="continue"/>
            <w:shd w:val="clear" w:color="auto" w:fill="FFFFFF"/>
            <w:vAlign w:val="center"/>
          </w:tcPr>
          <w:p>
            <w:pPr>
              <w:pStyle w:val="26"/>
              <w:ind w:left="-20" w:firstLine="0" w:firstLineChars="0"/>
              <w:jc w:val="left"/>
              <w:rPr>
                <w:rFonts w:hAnsi="宋体"/>
                <w:color w:val="000000"/>
                <w:sz w:val="18"/>
                <w:szCs w:val="18"/>
              </w:rPr>
            </w:pPr>
          </w:p>
        </w:tc>
        <w:tc>
          <w:tcPr>
            <w:tcW w:w="2125" w:type="dxa"/>
            <w:shd w:val="clear" w:color="auto" w:fill="FFFFFF"/>
          </w:tcPr>
          <w:p>
            <w:pPr>
              <w:pStyle w:val="26"/>
              <w:ind w:left="-20" w:firstLine="0" w:firstLineChars="0"/>
              <w:jc w:val="center"/>
              <w:rPr>
                <w:rFonts w:hAnsi="宋体"/>
                <w:color w:val="000000"/>
                <w:sz w:val="18"/>
                <w:szCs w:val="18"/>
              </w:rPr>
            </w:pPr>
            <w:r>
              <w:rPr>
                <w:rFonts w:hint="eastAsia" w:hAnsi="宋体"/>
                <w:color w:val="000000"/>
                <w:sz w:val="18"/>
                <w:szCs w:val="18"/>
              </w:rPr>
              <w:t xml:space="preserve">霍尔迁移率 </w:t>
            </w:r>
          </w:p>
          <w:p>
            <w:pPr>
              <w:pStyle w:val="26"/>
              <w:ind w:left="-20" w:firstLine="0" w:firstLineChars="0"/>
              <w:jc w:val="center"/>
              <w:rPr>
                <w:rFonts w:hAnsi="宋体"/>
                <w:color w:val="000000"/>
                <w:sz w:val="18"/>
                <w:szCs w:val="18"/>
              </w:rPr>
            </w:pPr>
            <w:r>
              <w:rPr>
                <w:rFonts w:hint="eastAsia" w:hAnsi="宋体"/>
                <w:color w:val="000000"/>
                <w:sz w:val="18"/>
                <w:szCs w:val="18"/>
              </w:rPr>
              <w:t>cm</w:t>
            </w:r>
            <w:r>
              <w:rPr>
                <w:rFonts w:hint="eastAsia" w:hAnsi="宋体"/>
                <w:color w:val="000000"/>
                <w:sz w:val="20"/>
                <w:szCs w:val="18"/>
                <w:vertAlign w:val="superscript"/>
              </w:rPr>
              <w:t>2</w:t>
            </w:r>
            <w:r>
              <w:rPr>
                <w:rFonts w:hint="eastAsia" w:hAnsi="宋体"/>
                <w:color w:val="000000"/>
                <w:sz w:val="18"/>
                <w:szCs w:val="18"/>
              </w:rPr>
              <w:t>/(V</w:t>
            </w:r>
            <w:r>
              <w:t>·</w:t>
            </w:r>
            <w:r>
              <w:rPr>
                <w:rFonts w:hint="eastAsia" w:hAnsi="宋体"/>
                <w:color w:val="000000"/>
                <w:sz w:val="18"/>
                <w:szCs w:val="18"/>
              </w:rPr>
              <w:t>s)</w:t>
            </w:r>
          </w:p>
        </w:tc>
        <w:tc>
          <w:tcPr>
            <w:tcW w:w="1920" w:type="dxa"/>
            <w:tcBorders>
              <w:right w:val="single" w:color="auto" w:sz="4" w:space="0"/>
            </w:tcBorders>
            <w:shd w:val="clear" w:color="auto" w:fill="FFFFFF"/>
            <w:vAlign w:val="center"/>
          </w:tcPr>
          <w:p>
            <w:pPr>
              <w:pStyle w:val="26"/>
              <w:ind w:left="-20" w:firstLine="0" w:firstLineChars="0"/>
              <w:jc w:val="center"/>
              <w:rPr>
                <w:rFonts w:hAnsi="宋体"/>
                <w:color w:val="000000"/>
                <w:sz w:val="18"/>
                <w:szCs w:val="18"/>
              </w:rPr>
            </w:pPr>
            <w:r>
              <w:rPr>
                <w:rFonts w:hint="eastAsia" w:hAnsi="宋体"/>
                <w:color w:val="000000"/>
                <w:sz w:val="18"/>
                <w:szCs w:val="18"/>
              </w:rPr>
              <w:t>≥5</w:t>
            </w:r>
            <w:r>
              <w:rPr>
                <w:rFonts w:hAnsi="宋体"/>
                <w:color w:val="000000"/>
                <w:sz w:val="18"/>
                <w:szCs w:val="18"/>
              </w:rPr>
              <w:t>500</w:t>
            </w:r>
          </w:p>
        </w:tc>
        <w:tc>
          <w:tcPr>
            <w:tcW w:w="1767" w:type="dxa"/>
            <w:tcBorders>
              <w:right w:val="single" w:color="auto" w:sz="4" w:space="0"/>
            </w:tcBorders>
            <w:shd w:val="clear" w:color="auto" w:fill="FFFFFF"/>
            <w:vAlign w:val="center"/>
          </w:tcPr>
          <w:p>
            <w:pPr>
              <w:pStyle w:val="26"/>
              <w:ind w:left="-20" w:firstLine="0" w:firstLineChars="0"/>
              <w:jc w:val="center"/>
              <w:rPr>
                <w:rFonts w:hAnsi="宋体"/>
                <w:color w:val="000000"/>
                <w:sz w:val="18"/>
                <w:szCs w:val="18"/>
              </w:rPr>
            </w:pPr>
            <w:r>
              <w:rPr>
                <w:rFonts w:hint="eastAsia"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vMerge w:val="restart"/>
            <w:shd w:val="clear" w:color="auto" w:fill="auto"/>
            <w:vAlign w:val="center"/>
          </w:tcPr>
          <w:p>
            <w:pPr>
              <w:pStyle w:val="26"/>
              <w:ind w:left="-20" w:firstLine="0" w:firstLineChars="0"/>
              <w:jc w:val="center"/>
              <w:rPr>
                <w:rFonts w:hAnsi="宋体"/>
                <w:color w:val="000000"/>
                <w:sz w:val="18"/>
                <w:szCs w:val="18"/>
              </w:rPr>
            </w:pPr>
            <w:r>
              <w:rPr>
                <w:rFonts w:hint="eastAsia" w:hAnsi="宋体"/>
                <w:color w:val="000000"/>
                <w:sz w:val="18"/>
                <w:szCs w:val="18"/>
              </w:rPr>
              <w:t>C</w:t>
            </w:r>
          </w:p>
        </w:tc>
        <w:tc>
          <w:tcPr>
            <w:tcW w:w="2125" w:type="dxa"/>
            <w:shd w:val="clear" w:color="auto" w:fill="auto"/>
          </w:tcPr>
          <w:p>
            <w:pPr>
              <w:pStyle w:val="26"/>
              <w:ind w:left="-20" w:firstLine="0" w:firstLineChars="0"/>
              <w:jc w:val="center"/>
              <w:rPr>
                <w:rFonts w:hAnsi="宋体"/>
                <w:color w:val="000000"/>
                <w:sz w:val="18"/>
                <w:szCs w:val="18"/>
              </w:rPr>
            </w:pPr>
            <w:r>
              <w:rPr>
                <w:rFonts w:hint="eastAsia" w:hAnsi="宋体"/>
                <w:color w:val="000000"/>
                <w:sz w:val="18"/>
                <w:szCs w:val="18"/>
              </w:rPr>
              <w:t xml:space="preserve">电阻率 </w:t>
            </w:r>
            <w:r>
              <w:rPr>
                <w:rFonts w:hAnsi="宋体"/>
                <w:color w:val="000000"/>
                <w:sz w:val="18"/>
                <w:szCs w:val="18"/>
              </w:rPr>
              <w:t xml:space="preserve"> </w:t>
            </w:r>
          </w:p>
          <w:p>
            <w:pPr>
              <w:pStyle w:val="26"/>
              <w:ind w:left="-20" w:firstLine="0" w:firstLineChars="0"/>
              <w:jc w:val="center"/>
              <w:rPr>
                <w:rFonts w:hAnsi="宋体"/>
                <w:color w:val="000000"/>
                <w:sz w:val="18"/>
                <w:szCs w:val="18"/>
              </w:rPr>
            </w:pPr>
            <w:r>
              <w:rPr>
                <w:rFonts w:hint="eastAsia" w:hAnsi="宋体"/>
                <w:color w:val="000000"/>
                <w:sz w:val="18"/>
                <w:szCs w:val="18"/>
              </w:rPr>
              <w:t>Ω</w:t>
            </w:r>
            <w:r>
              <w:t>·</w:t>
            </w:r>
            <w:r>
              <w:rPr>
                <w:rFonts w:hAnsi="宋体"/>
                <w:color w:val="000000"/>
                <w:sz w:val="18"/>
                <w:szCs w:val="18"/>
              </w:rPr>
              <w:t>cm</w:t>
            </w:r>
          </w:p>
        </w:tc>
        <w:tc>
          <w:tcPr>
            <w:tcW w:w="1920" w:type="dxa"/>
            <w:tcBorders>
              <w:right w:val="single" w:color="auto" w:sz="4" w:space="0"/>
            </w:tcBorders>
            <w:shd w:val="clear" w:color="auto" w:fill="auto"/>
            <w:vAlign w:val="center"/>
          </w:tcPr>
          <w:p>
            <w:pPr>
              <w:pStyle w:val="26"/>
              <w:ind w:left="-20"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w:t>
            </w:r>
            <w:r>
              <w:rPr>
                <w:rFonts w:hint="eastAsia" w:hAnsi="宋体"/>
                <w:color w:val="000000"/>
                <w:sz w:val="18"/>
                <w:szCs w:val="18"/>
              </w:rPr>
              <w:t>×</w:t>
            </w:r>
            <w:r>
              <w:rPr>
                <w:rFonts w:hAnsi="宋体"/>
                <w:color w:val="000000"/>
                <w:sz w:val="18"/>
                <w:szCs w:val="18"/>
              </w:rPr>
              <w:t>10</w:t>
            </w:r>
            <w:r>
              <w:rPr>
                <w:rFonts w:hAnsi="宋体"/>
                <w:color w:val="000000"/>
                <w:sz w:val="18"/>
                <w:szCs w:val="18"/>
                <w:vertAlign w:val="superscript"/>
              </w:rPr>
              <w:t>8</w:t>
            </w:r>
          </w:p>
        </w:tc>
        <w:tc>
          <w:tcPr>
            <w:tcW w:w="1767" w:type="dxa"/>
            <w:tcBorders>
              <w:right w:val="single" w:color="auto" w:sz="4" w:space="0"/>
            </w:tcBorders>
            <w:shd w:val="clear" w:color="auto" w:fill="auto"/>
            <w:vAlign w:val="center"/>
          </w:tcPr>
          <w:p>
            <w:pPr>
              <w:pStyle w:val="26"/>
              <w:ind w:left="-20"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w:t>
            </w:r>
            <w:r>
              <w:rPr>
                <w:rFonts w:hint="eastAsia" w:hAnsi="宋体"/>
                <w:color w:val="000000"/>
                <w:sz w:val="18"/>
                <w:szCs w:val="18"/>
              </w:rPr>
              <w:t>×</w:t>
            </w:r>
            <w:r>
              <w:rPr>
                <w:rFonts w:hAnsi="宋体"/>
                <w:color w:val="000000"/>
                <w:sz w:val="18"/>
                <w:szCs w:val="18"/>
              </w:rPr>
              <w:t>10</w:t>
            </w:r>
            <w:r>
              <w:rPr>
                <w:rFonts w:hAnsi="宋体"/>
                <w:color w:val="000000"/>
                <w:sz w:val="18"/>
                <w:szCs w:val="18"/>
                <w:vertAlign w:val="superscript"/>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vMerge w:val="continue"/>
            <w:shd w:val="clear" w:color="auto" w:fill="auto"/>
          </w:tcPr>
          <w:p>
            <w:pPr>
              <w:pStyle w:val="26"/>
              <w:ind w:left="-20" w:firstLine="0" w:firstLineChars="0"/>
              <w:jc w:val="left"/>
              <w:rPr>
                <w:rFonts w:hAnsi="宋体"/>
                <w:color w:val="000000"/>
                <w:sz w:val="18"/>
                <w:szCs w:val="18"/>
              </w:rPr>
            </w:pPr>
          </w:p>
        </w:tc>
        <w:tc>
          <w:tcPr>
            <w:tcW w:w="2125" w:type="dxa"/>
            <w:shd w:val="clear" w:color="auto" w:fill="auto"/>
          </w:tcPr>
          <w:p>
            <w:pPr>
              <w:pStyle w:val="26"/>
              <w:ind w:left="-20" w:firstLine="0" w:firstLineChars="0"/>
              <w:jc w:val="center"/>
              <w:rPr>
                <w:rFonts w:hAnsi="宋体"/>
                <w:color w:val="000000"/>
                <w:sz w:val="18"/>
                <w:szCs w:val="18"/>
              </w:rPr>
            </w:pPr>
            <w:r>
              <w:rPr>
                <w:rFonts w:hint="eastAsia" w:hAnsi="宋体"/>
                <w:color w:val="000000"/>
                <w:sz w:val="18"/>
                <w:szCs w:val="18"/>
              </w:rPr>
              <w:t>截面电阻率不均匀性</w:t>
            </w:r>
          </w:p>
          <w:p>
            <w:pPr>
              <w:pStyle w:val="26"/>
              <w:ind w:left="-20" w:firstLine="0" w:firstLineChars="0"/>
              <w:jc w:val="center"/>
              <w:rPr>
                <w:rFonts w:hAnsi="宋体"/>
                <w:color w:val="000000"/>
                <w:sz w:val="18"/>
                <w:szCs w:val="18"/>
              </w:rPr>
            </w:pPr>
            <w:r>
              <w:rPr>
                <w:rFonts w:hint="eastAsia" w:hAnsi="宋体"/>
                <w:color w:val="000000"/>
                <w:sz w:val="18"/>
                <w:szCs w:val="18"/>
              </w:rPr>
              <w:t>%</w:t>
            </w:r>
          </w:p>
        </w:tc>
        <w:tc>
          <w:tcPr>
            <w:tcW w:w="1920" w:type="dxa"/>
            <w:tcBorders>
              <w:right w:val="single" w:color="auto" w:sz="4" w:space="0"/>
            </w:tcBorders>
            <w:shd w:val="clear" w:color="auto" w:fill="auto"/>
            <w:vAlign w:val="center"/>
          </w:tcPr>
          <w:p>
            <w:pPr>
              <w:pStyle w:val="26"/>
              <w:ind w:left="-20" w:firstLine="0" w:firstLineChars="0"/>
              <w:jc w:val="center"/>
              <w:rPr>
                <w:rFonts w:hAnsi="宋体"/>
                <w:color w:val="000000"/>
                <w:sz w:val="18"/>
                <w:szCs w:val="18"/>
              </w:rPr>
            </w:pPr>
            <w:r>
              <w:rPr>
                <w:rFonts w:hint="eastAsia" w:hAnsi="宋体"/>
                <w:color w:val="000000"/>
                <w:sz w:val="18"/>
                <w:szCs w:val="18"/>
              </w:rPr>
              <w:t>≤1</w:t>
            </w:r>
            <w:r>
              <w:rPr>
                <w:rFonts w:hAnsi="宋体"/>
                <w:color w:val="000000"/>
                <w:sz w:val="18"/>
                <w:szCs w:val="18"/>
              </w:rPr>
              <w:t>5</w:t>
            </w:r>
          </w:p>
        </w:tc>
        <w:tc>
          <w:tcPr>
            <w:tcW w:w="1767" w:type="dxa"/>
            <w:tcBorders>
              <w:right w:val="single" w:color="auto" w:sz="4" w:space="0"/>
            </w:tcBorders>
            <w:shd w:val="clear" w:color="auto" w:fill="auto"/>
            <w:vAlign w:val="center"/>
          </w:tcPr>
          <w:p>
            <w:pPr>
              <w:pStyle w:val="26"/>
              <w:ind w:left="-20" w:firstLine="0" w:firstLineChars="0"/>
              <w:jc w:val="center"/>
              <w:rPr>
                <w:rFonts w:hAnsi="宋体"/>
                <w:color w:val="000000"/>
                <w:sz w:val="18"/>
                <w:szCs w:val="18"/>
              </w:rPr>
            </w:pPr>
            <w:r>
              <w:rPr>
                <w:rFonts w:hint="eastAsia" w:hAnsi="宋体"/>
                <w:color w:val="000000"/>
                <w:sz w:val="18"/>
                <w:szCs w:val="18"/>
              </w:rPr>
              <w:t>≤1</w:t>
            </w:r>
            <w:r>
              <w:rPr>
                <w:rFonts w:hAnsi="宋体"/>
                <w:color w:val="000000"/>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vMerge w:val="continue"/>
            <w:shd w:val="clear" w:color="auto" w:fill="auto"/>
          </w:tcPr>
          <w:p>
            <w:pPr>
              <w:pStyle w:val="26"/>
              <w:ind w:left="-20" w:firstLine="0" w:firstLineChars="0"/>
              <w:jc w:val="left"/>
              <w:rPr>
                <w:rFonts w:hAnsi="宋体"/>
                <w:color w:val="000000"/>
                <w:sz w:val="18"/>
                <w:szCs w:val="18"/>
              </w:rPr>
            </w:pPr>
          </w:p>
        </w:tc>
        <w:tc>
          <w:tcPr>
            <w:tcW w:w="2125" w:type="dxa"/>
            <w:shd w:val="clear" w:color="auto" w:fill="auto"/>
          </w:tcPr>
          <w:p>
            <w:pPr>
              <w:pStyle w:val="26"/>
              <w:ind w:left="-20" w:firstLine="0" w:firstLineChars="0"/>
              <w:jc w:val="center"/>
              <w:rPr>
                <w:rFonts w:hAnsi="宋体"/>
                <w:color w:val="000000"/>
                <w:sz w:val="18"/>
                <w:szCs w:val="18"/>
              </w:rPr>
            </w:pPr>
            <w:r>
              <w:rPr>
                <w:rFonts w:hint="eastAsia" w:hAnsi="宋体"/>
                <w:color w:val="000000"/>
                <w:sz w:val="18"/>
                <w:szCs w:val="18"/>
              </w:rPr>
              <w:t xml:space="preserve">霍尔迁移率 </w:t>
            </w:r>
          </w:p>
          <w:p>
            <w:pPr>
              <w:pStyle w:val="26"/>
              <w:ind w:left="-20" w:firstLine="0" w:firstLineChars="0"/>
              <w:jc w:val="center"/>
              <w:rPr>
                <w:rFonts w:hAnsi="宋体"/>
                <w:color w:val="000000"/>
                <w:sz w:val="18"/>
                <w:szCs w:val="18"/>
              </w:rPr>
            </w:pPr>
            <w:r>
              <w:rPr>
                <w:rFonts w:hint="eastAsia" w:hAnsi="宋体"/>
                <w:color w:val="000000"/>
                <w:sz w:val="18"/>
                <w:szCs w:val="18"/>
              </w:rPr>
              <w:t>cm</w:t>
            </w:r>
            <w:r>
              <w:rPr>
                <w:rFonts w:hint="eastAsia" w:hAnsi="宋体"/>
                <w:color w:val="000000"/>
                <w:sz w:val="20"/>
                <w:szCs w:val="18"/>
                <w:vertAlign w:val="superscript"/>
              </w:rPr>
              <w:t>2</w:t>
            </w:r>
            <w:r>
              <w:rPr>
                <w:rFonts w:hint="eastAsia" w:hAnsi="宋体"/>
                <w:color w:val="000000"/>
                <w:sz w:val="18"/>
                <w:szCs w:val="18"/>
              </w:rPr>
              <w:t>/(V</w:t>
            </w:r>
            <w:r>
              <w:t>·</w:t>
            </w:r>
            <w:r>
              <w:rPr>
                <w:rFonts w:hint="eastAsia" w:hAnsi="宋体"/>
                <w:color w:val="000000"/>
                <w:sz w:val="18"/>
                <w:szCs w:val="18"/>
              </w:rPr>
              <w:t>s)</w:t>
            </w:r>
          </w:p>
        </w:tc>
        <w:tc>
          <w:tcPr>
            <w:tcW w:w="1920" w:type="dxa"/>
            <w:tcBorders>
              <w:right w:val="single" w:color="auto" w:sz="4" w:space="0"/>
            </w:tcBorders>
            <w:shd w:val="clear" w:color="auto" w:fill="auto"/>
            <w:vAlign w:val="center"/>
          </w:tcPr>
          <w:p>
            <w:pPr>
              <w:pStyle w:val="26"/>
              <w:tabs>
                <w:tab w:val="left" w:pos="821"/>
              </w:tabs>
              <w:ind w:left="-20"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5000</w:t>
            </w:r>
          </w:p>
        </w:tc>
        <w:tc>
          <w:tcPr>
            <w:tcW w:w="1767" w:type="dxa"/>
            <w:tcBorders>
              <w:right w:val="single" w:color="auto" w:sz="4" w:space="0"/>
            </w:tcBorders>
            <w:shd w:val="clear" w:color="auto" w:fill="auto"/>
            <w:vAlign w:val="center"/>
          </w:tcPr>
          <w:p>
            <w:pPr>
              <w:pStyle w:val="26"/>
              <w:ind w:left="-20" w:firstLine="0" w:firstLineChars="0"/>
              <w:jc w:val="center"/>
              <w:rPr>
                <w:rFonts w:hAnsi="宋体"/>
                <w:color w:val="FF0000"/>
                <w:sz w:val="18"/>
                <w:szCs w:val="18"/>
              </w:rPr>
            </w:pPr>
            <w:r>
              <w:rPr>
                <w:rFonts w:hint="eastAsia" w:hAnsi="宋体"/>
                <w:color w:val="000000"/>
                <w:sz w:val="18"/>
                <w:szCs w:val="18"/>
              </w:rPr>
              <w:t>≥</w:t>
            </w:r>
            <w:r>
              <w:rPr>
                <w:rFonts w:hAnsi="宋体"/>
                <w:color w:val="000000"/>
                <w:sz w:val="18"/>
                <w:szCs w:val="18"/>
              </w:rPr>
              <w:t>4000</w:t>
            </w:r>
          </w:p>
        </w:tc>
      </w:tr>
    </w:tbl>
    <w:p>
      <w:pPr>
        <w:pStyle w:val="26"/>
        <w:ind w:firstLine="0" w:firstLineChars="0"/>
        <w:jc w:val="left"/>
        <w:rPr>
          <w:color w:val="000000"/>
        </w:rPr>
      </w:pPr>
      <w:r>
        <w:rPr>
          <w:rFonts w:hint="eastAsia"/>
          <w:color w:val="000000"/>
        </w:rPr>
        <w:t xml:space="preserve"> </w:t>
      </w:r>
      <w:r>
        <w:rPr>
          <w:color w:val="000000"/>
        </w:rPr>
        <w:t xml:space="preserve">     </w:t>
      </w:r>
      <w:r>
        <w:rPr>
          <w:rFonts w:hint="eastAsia"/>
          <w:color w:val="000000"/>
        </w:rPr>
        <w:t xml:space="preserve"> </w:t>
      </w:r>
    </w:p>
    <w:p>
      <w:pPr>
        <w:pStyle w:val="46"/>
        <w:ind w:left="0"/>
      </w:pPr>
      <w:r>
        <w:t>表面晶向及晶向偏离</w:t>
      </w:r>
    </w:p>
    <w:p>
      <w:pPr>
        <w:pStyle w:val="26"/>
        <w:jc w:val="left"/>
        <w:rPr>
          <w:color w:val="000000"/>
        </w:rPr>
      </w:pPr>
      <w:r>
        <w:rPr>
          <w:rFonts w:hint="eastAsia"/>
          <w:color w:val="000000"/>
        </w:rPr>
        <w:t>半绝缘砷化镓单晶衬底片</w:t>
      </w:r>
      <w:r>
        <w:rPr>
          <w:color w:val="000000"/>
        </w:rPr>
        <w:t>的表面晶向为</w:t>
      </w:r>
      <w:r>
        <w:rPr>
          <w:rFonts w:hint="eastAsia" w:hAnsi="宋体"/>
          <w:color w:val="000000"/>
        </w:rPr>
        <w:t>＜</w:t>
      </w:r>
      <w:r>
        <w:rPr>
          <w:rFonts w:hint="eastAsia"/>
          <w:color w:val="000000"/>
        </w:rPr>
        <w:t>100</w:t>
      </w:r>
      <w:r>
        <w:rPr>
          <w:rFonts w:hint="eastAsia" w:hAnsi="宋体"/>
          <w:color w:val="000000"/>
        </w:rPr>
        <w:t>＞</w:t>
      </w:r>
      <w:r>
        <w:rPr>
          <w:rFonts w:hint="eastAsia"/>
          <w:color w:val="000000"/>
        </w:rPr>
        <w:t>，</w:t>
      </w:r>
      <w:r>
        <w:rPr>
          <w:color w:val="000000"/>
        </w:rPr>
        <w:t>晶向偏离不大于</w:t>
      </w:r>
      <w:r>
        <w:rPr>
          <w:rFonts w:hint="eastAsia"/>
          <w:color w:val="000000"/>
        </w:rPr>
        <w:t>0.5°。</w:t>
      </w:r>
    </w:p>
    <w:p>
      <w:pPr>
        <w:pStyle w:val="46"/>
        <w:ind w:left="0"/>
      </w:pPr>
      <w:r>
        <w:t>位错密度</w:t>
      </w:r>
    </w:p>
    <w:p>
      <w:pPr>
        <w:pStyle w:val="26"/>
        <w:jc w:val="left"/>
        <w:rPr>
          <w:rFonts w:hAnsi="宋体"/>
        </w:rPr>
      </w:pPr>
      <w:r>
        <w:rPr>
          <w:rFonts w:hint="eastAsia" w:hAnsi="宋体"/>
        </w:rPr>
        <w:t>半绝缘砷化镓单晶衬底片的位错密度级别及要求应符合表</w:t>
      </w:r>
      <w:r>
        <w:rPr>
          <w:rFonts w:hint="eastAsia"/>
        </w:rPr>
        <w:t>2</w:t>
      </w:r>
      <w:r>
        <w:rPr>
          <w:rFonts w:hint="eastAsia" w:hAnsi="宋体"/>
        </w:rPr>
        <w:t>的规定。</w:t>
      </w:r>
    </w:p>
    <w:p>
      <w:pPr>
        <w:pStyle w:val="26"/>
        <w:jc w:val="left"/>
        <w:rPr>
          <w:color w:val="FF0000"/>
        </w:rPr>
      </w:pPr>
      <w:r>
        <w:rPr>
          <w:rFonts w:hint="eastAsia"/>
          <w:color w:val="000000"/>
        </w:rPr>
        <w:t xml:space="preserve"> </w:t>
      </w:r>
    </w:p>
    <w:p>
      <w:pPr>
        <w:pStyle w:val="26"/>
        <w:ind w:firstLine="3968" w:firstLineChars="1890"/>
        <w:jc w:val="left"/>
        <w:rPr>
          <w:rFonts w:ascii="黑体" w:eastAsia="黑体"/>
          <w:color w:val="000000"/>
          <w:szCs w:val="21"/>
        </w:rPr>
      </w:pPr>
      <w:r>
        <w:rPr>
          <w:rFonts w:hint="eastAsia" w:ascii="黑体" w:eastAsia="黑体"/>
          <w:color w:val="000000"/>
          <w:szCs w:val="21"/>
        </w:rPr>
        <w:t>表 2</w:t>
      </w:r>
      <w:r>
        <w:rPr>
          <w:rFonts w:ascii="黑体" w:eastAsia="黑体"/>
          <w:color w:val="000000"/>
          <w:szCs w:val="21"/>
        </w:rPr>
        <w:t xml:space="preserve"> 位错密度</w:t>
      </w:r>
    </w:p>
    <w:tbl>
      <w:tblPr>
        <w:tblStyle w:val="36"/>
        <w:tblW w:w="6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559"/>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1701" w:type="dxa"/>
            <w:vMerge w:val="restart"/>
            <w:shd w:val="clear" w:color="auto" w:fill="auto"/>
            <w:vAlign w:val="center"/>
          </w:tcPr>
          <w:p>
            <w:pPr>
              <w:pStyle w:val="26"/>
              <w:ind w:firstLine="0" w:firstLineChars="0"/>
              <w:jc w:val="center"/>
              <w:rPr>
                <w:color w:val="000000"/>
                <w:sz w:val="18"/>
                <w:szCs w:val="18"/>
              </w:rPr>
            </w:pPr>
            <w:r>
              <w:rPr>
                <w:rFonts w:hint="eastAsia"/>
                <w:color w:val="000000"/>
                <w:sz w:val="18"/>
                <w:szCs w:val="18"/>
              </w:rPr>
              <w:t>直径</w:t>
            </w:r>
          </w:p>
          <w:p>
            <w:pPr>
              <w:pStyle w:val="26"/>
              <w:ind w:firstLine="0" w:firstLineChars="0"/>
              <w:jc w:val="center"/>
              <w:rPr>
                <w:color w:val="000000"/>
                <w:sz w:val="18"/>
                <w:szCs w:val="18"/>
              </w:rPr>
            </w:pPr>
            <w:r>
              <w:rPr>
                <w:rFonts w:hint="eastAsia"/>
                <w:color w:val="000000"/>
                <w:sz w:val="18"/>
                <w:szCs w:val="18"/>
              </w:rPr>
              <w:t>m</w:t>
            </w:r>
            <w:r>
              <w:rPr>
                <w:color w:val="000000"/>
                <w:sz w:val="18"/>
                <w:szCs w:val="18"/>
              </w:rPr>
              <w:t>m</w:t>
            </w:r>
          </w:p>
        </w:tc>
        <w:tc>
          <w:tcPr>
            <w:tcW w:w="4961" w:type="dxa"/>
            <w:gridSpan w:val="3"/>
            <w:tcBorders>
              <w:bottom w:val="single" w:color="auto" w:sz="4" w:space="0"/>
            </w:tcBorders>
            <w:shd w:val="clear" w:color="auto" w:fill="auto"/>
            <w:vAlign w:val="center"/>
          </w:tcPr>
          <w:p>
            <w:pPr>
              <w:pStyle w:val="26"/>
              <w:widowControl w:val="0"/>
              <w:spacing w:line="240" w:lineRule="exact"/>
              <w:ind w:firstLine="0" w:firstLineChars="0"/>
              <w:jc w:val="center"/>
              <w:rPr>
                <w:color w:val="000000"/>
                <w:sz w:val="18"/>
                <w:szCs w:val="18"/>
              </w:rPr>
            </w:pPr>
            <w:r>
              <w:rPr>
                <w:rFonts w:hint="eastAsia"/>
                <w:color w:val="000000"/>
                <w:sz w:val="18"/>
                <w:szCs w:val="18"/>
              </w:rPr>
              <w:t>位错密度等级及要求</w:t>
            </w:r>
          </w:p>
          <w:p>
            <w:pPr>
              <w:pStyle w:val="26"/>
              <w:widowControl w:val="0"/>
              <w:spacing w:line="240" w:lineRule="exact"/>
              <w:ind w:firstLine="0" w:firstLineChars="0"/>
              <w:jc w:val="center"/>
              <w:rPr>
                <w:color w:val="000000"/>
                <w:sz w:val="18"/>
                <w:szCs w:val="18"/>
              </w:rPr>
            </w:pPr>
            <w:r>
              <w:rPr>
                <w:rFonts w:hint="eastAsia"/>
                <w:color w:val="000000"/>
                <w:sz w:val="18"/>
                <w:szCs w:val="18"/>
              </w:rPr>
              <w:t>cm</w:t>
            </w:r>
            <w:r>
              <w:rPr>
                <w:color w:val="000000"/>
                <w:sz w:val="20"/>
                <w:szCs w:val="18"/>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vMerge w:val="continue"/>
            <w:shd w:val="clear" w:color="auto" w:fill="auto"/>
          </w:tcPr>
          <w:p>
            <w:pPr>
              <w:pStyle w:val="26"/>
              <w:ind w:left="363" w:firstLine="0" w:firstLineChars="0"/>
              <w:jc w:val="center"/>
              <w:rPr>
                <w:color w:val="000000"/>
                <w:sz w:val="18"/>
                <w:szCs w:val="18"/>
              </w:rPr>
            </w:pPr>
          </w:p>
        </w:tc>
        <w:tc>
          <w:tcPr>
            <w:tcW w:w="1559" w:type="dxa"/>
            <w:tcBorders>
              <w:top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sz w:val="18"/>
                <w:szCs w:val="18"/>
              </w:rPr>
              <w:t>I</w:t>
            </w:r>
          </w:p>
        </w:tc>
        <w:tc>
          <w:tcPr>
            <w:tcW w:w="1701" w:type="dxa"/>
            <w:tcBorders>
              <w:left w:val="single" w:color="auto" w:sz="4" w:space="0"/>
            </w:tcBorders>
            <w:shd w:val="clear" w:color="auto" w:fill="auto"/>
            <w:vAlign w:val="center"/>
          </w:tcPr>
          <w:p>
            <w:pPr>
              <w:jc w:val="center"/>
              <w:rPr>
                <w:color w:val="000000"/>
                <w:sz w:val="18"/>
                <w:szCs w:val="18"/>
              </w:rPr>
            </w:pPr>
            <w:r>
              <w:rPr>
                <w:rFonts w:hint="eastAsia"/>
                <w:color w:val="000000"/>
                <w:sz w:val="18"/>
                <w:szCs w:val="18"/>
              </w:rPr>
              <w:t>II</w:t>
            </w:r>
          </w:p>
        </w:tc>
        <w:tc>
          <w:tcPr>
            <w:tcW w:w="1701" w:type="dxa"/>
            <w:tcBorders>
              <w:left w:val="single" w:color="auto" w:sz="4" w:space="0"/>
            </w:tcBorders>
            <w:vAlign w:val="center"/>
          </w:tcPr>
          <w:p>
            <w:pPr>
              <w:jc w:val="center"/>
              <w:rPr>
                <w:color w:val="000000"/>
                <w:sz w:val="18"/>
                <w:szCs w:val="18"/>
              </w:rPr>
            </w:pPr>
            <w:r>
              <w:rPr>
                <w:rFonts w:hint="eastAsia"/>
                <w:color w:val="000000"/>
                <w:sz w:val="18"/>
                <w:szCs w:val="18"/>
              </w:rPr>
              <w:t>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shd w:val="clear" w:color="auto" w:fill="auto"/>
          </w:tcPr>
          <w:p>
            <w:pPr>
              <w:pStyle w:val="26"/>
              <w:ind w:firstLine="0" w:firstLineChars="0"/>
              <w:jc w:val="center"/>
              <w:rPr>
                <w:color w:val="000000"/>
                <w:sz w:val="18"/>
                <w:szCs w:val="18"/>
              </w:rPr>
            </w:pPr>
            <w:r>
              <w:rPr>
                <w:color w:val="000000"/>
                <w:sz w:val="18"/>
                <w:szCs w:val="18"/>
              </w:rPr>
              <w:t>50.8</w:t>
            </w:r>
          </w:p>
        </w:tc>
        <w:tc>
          <w:tcPr>
            <w:tcW w:w="1559" w:type="dxa"/>
            <w:tcBorders>
              <w:right w:val="single" w:color="auto" w:sz="4" w:space="0"/>
            </w:tcBorders>
            <w:shd w:val="clear" w:color="auto" w:fill="auto"/>
            <w:vAlign w:val="center"/>
          </w:tcPr>
          <w:p>
            <w:pPr>
              <w:jc w:val="center"/>
              <w:rPr>
                <w:color w:val="000000"/>
                <w:sz w:val="18"/>
                <w:szCs w:val="18"/>
              </w:rPr>
            </w:pPr>
            <w:r>
              <w:rPr>
                <w:rFonts w:hint="eastAsia"/>
                <w:color w:val="000000"/>
                <w:sz w:val="18"/>
                <w:szCs w:val="18"/>
              </w:rPr>
              <w:t>≤1500</w:t>
            </w:r>
          </w:p>
        </w:tc>
        <w:tc>
          <w:tcPr>
            <w:tcW w:w="1701" w:type="dxa"/>
            <w:tcBorders>
              <w:bottom w:val="single" w:color="auto" w:sz="4" w:space="0"/>
            </w:tcBorders>
            <w:shd w:val="clear" w:color="auto" w:fill="auto"/>
            <w:vAlign w:val="center"/>
          </w:tcPr>
          <w:p>
            <w:pPr>
              <w:widowControl/>
              <w:jc w:val="center"/>
              <w:rPr>
                <w:color w:val="000000"/>
                <w:kern w:val="0"/>
                <w:sz w:val="18"/>
                <w:szCs w:val="18"/>
              </w:rPr>
            </w:pPr>
            <w:r>
              <w:rPr>
                <w:rFonts w:hint="eastAsia"/>
                <w:color w:val="000000"/>
                <w:sz w:val="18"/>
                <w:szCs w:val="18"/>
              </w:rPr>
              <w:t xml:space="preserve">（1500,2000] </w:t>
            </w:r>
          </w:p>
        </w:tc>
        <w:tc>
          <w:tcPr>
            <w:tcW w:w="1701" w:type="dxa"/>
            <w:tcBorders>
              <w:bottom w:val="single" w:color="auto" w:sz="4" w:space="0"/>
            </w:tcBorders>
            <w:vAlign w:val="center"/>
          </w:tcPr>
          <w:p>
            <w:pPr>
              <w:widowControl/>
              <w:jc w:val="center"/>
              <w:rPr>
                <w:color w:val="000000"/>
                <w:kern w:val="0"/>
                <w:sz w:val="18"/>
                <w:szCs w:val="18"/>
              </w:rPr>
            </w:pPr>
            <w:r>
              <w:rPr>
                <w:rFonts w:hint="eastAsia"/>
                <w:color w:val="000000"/>
                <w:sz w:val="18"/>
                <w:szCs w:val="18"/>
              </w:rPr>
              <w:t>（</w:t>
            </w:r>
            <w:r>
              <w:rPr>
                <w:color w:val="000000"/>
                <w:sz w:val="18"/>
                <w:szCs w:val="18"/>
              </w:rPr>
              <w:t>20</w:t>
            </w:r>
            <w:r>
              <w:rPr>
                <w:rFonts w:hint="eastAsia"/>
                <w:color w:val="000000"/>
                <w:sz w:val="18"/>
                <w:szCs w:val="18"/>
              </w:rPr>
              <w:t>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shd w:val="clear" w:color="auto" w:fill="auto"/>
          </w:tcPr>
          <w:p>
            <w:pPr>
              <w:pStyle w:val="26"/>
              <w:ind w:firstLine="0" w:firstLineChars="0"/>
              <w:jc w:val="center"/>
              <w:rPr>
                <w:color w:val="000000"/>
                <w:sz w:val="18"/>
                <w:szCs w:val="18"/>
              </w:rPr>
            </w:pPr>
            <w:r>
              <w:rPr>
                <w:color w:val="000000"/>
                <w:sz w:val="18"/>
                <w:szCs w:val="18"/>
              </w:rPr>
              <w:t>76.2</w:t>
            </w:r>
          </w:p>
        </w:tc>
        <w:tc>
          <w:tcPr>
            <w:tcW w:w="1559" w:type="dxa"/>
            <w:tcBorders>
              <w:right w:val="single" w:color="auto" w:sz="4" w:space="0"/>
            </w:tcBorders>
            <w:shd w:val="clear" w:color="auto" w:fill="auto"/>
            <w:vAlign w:val="center"/>
          </w:tcPr>
          <w:p>
            <w:pPr>
              <w:jc w:val="center"/>
              <w:rPr>
                <w:color w:val="000000"/>
                <w:sz w:val="18"/>
                <w:szCs w:val="18"/>
              </w:rPr>
            </w:pPr>
            <w:r>
              <w:rPr>
                <w:rFonts w:hint="eastAsia"/>
                <w:color w:val="000000"/>
                <w:sz w:val="18"/>
                <w:szCs w:val="18"/>
              </w:rPr>
              <w:t>≤1500</w:t>
            </w:r>
          </w:p>
        </w:tc>
        <w:tc>
          <w:tcPr>
            <w:tcW w:w="1701" w:type="dxa"/>
            <w:tcBorders>
              <w:top w:val="single" w:color="auto" w:sz="4" w:space="0"/>
              <w:bottom w:val="single" w:color="auto" w:sz="4" w:space="0"/>
            </w:tcBorders>
            <w:shd w:val="clear" w:color="auto" w:fill="auto"/>
            <w:vAlign w:val="center"/>
          </w:tcPr>
          <w:p>
            <w:pPr>
              <w:jc w:val="center"/>
              <w:rPr>
                <w:color w:val="000000"/>
                <w:sz w:val="18"/>
                <w:szCs w:val="18"/>
              </w:rPr>
            </w:pPr>
            <w:r>
              <w:rPr>
                <w:rFonts w:hint="eastAsia"/>
                <w:color w:val="000000"/>
                <w:sz w:val="18"/>
                <w:szCs w:val="18"/>
              </w:rPr>
              <w:t xml:space="preserve">（1500,2000] </w:t>
            </w:r>
          </w:p>
        </w:tc>
        <w:tc>
          <w:tcPr>
            <w:tcW w:w="1701" w:type="dxa"/>
            <w:tcBorders>
              <w:top w:val="single" w:color="auto" w:sz="4" w:space="0"/>
              <w:bottom w:val="single" w:color="auto" w:sz="4" w:space="0"/>
            </w:tcBorders>
            <w:vAlign w:val="center"/>
          </w:tcPr>
          <w:p>
            <w:pPr>
              <w:jc w:val="center"/>
              <w:rPr>
                <w:color w:val="000000"/>
                <w:sz w:val="18"/>
                <w:szCs w:val="18"/>
              </w:rPr>
            </w:pPr>
            <w:r>
              <w:rPr>
                <w:rFonts w:hint="eastAsia"/>
                <w:color w:val="000000"/>
                <w:sz w:val="18"/>
                <w:szCs w:val="18"/>
              </w:rPr>
              <w:t>（</w:t>
            </w:r>
            <w:r>
              <w:rPr>
                <w:color w:val="000000"/>
                <w:sz w:val="18"/>
                <w:szCs w:val="18"/>
              </w:rPr>
              <w:t>20</w:t>
            </w:r>
            <w:r>
              <w:rPr>
                <w:rFonts w:hint="eastAsia"/>
                <w:color w:val="000000"/>
                <w:sz w:val="18"/>
                <w:szCs w:val="18"/>
              </w:rPr>
              <w:t>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shd w:val="clear" w:color="auto" w:fill="auto"/>
          </w:tcPr>
          <w:p>
            <w:pPr>
              <w:pStyle w:val="26"/>
              <w:ind w:firstLine="0" w:firstLineChars="0"/>
              <w:jc w:val="center"/>
              <w:rPr>
                <w:color w:val="000000"/>
                <w:sz w:val="18"/>
                <w:szCs w:val="18"/>
              </w:rPr>
            </w:pPr>
            <w:r>
              <w:rPr>
                <w:rFonts w:hint="eastAsia"/>
                <w:color w:val="000000"/>
                <w:sz w:val="18"/>
                <w:szCs w:val="18"/>
              </w:rPr>
              <w:t>1</w:t>
            </w:r>
            <w:r>
              <w:rPr>
                <w:color w:val="000000"/>
                <w:sz w:val="18"/>
                <w:szCs w:val="18"/>
              </w:rPr>
              <w:t>00.0</w:t>
            </w:r>
          </w:p>
        </w:tc>
        <w:tc>
          <w:tcPr>
            <w:tcW w:w="1559" w:type="dxa"/>
            <w:tcBorders>
              <w:right w:val="single" w:color="auto" w:sz="4" w:space="0"/>
            </w:tcBorders>
            <w:shd w:val="clear" w:color="auto" w:fill="auto"/>
            <w:vAlign w:val="center"/>
          </w:tcPr>
          <w:p>
            <w:pPr>
              <w:jc w:val="center"/>
              <w:rPr>
                <w:color w:val="000000"/>
                <w:sz w:val="18"/>
                <w:szCs w:val="18"/>
              </w:rPr>
            </w:pPr>
            <w:r>
              <w:rPr>
                <w:rFonts w:hint="eastAsia"/>
                <w:color w:val="000000"/>
                <w:sz w:val="18"/>
                <w:szCs w:val="18"/>
              </w:rPr>
              <w:t>≤1500</w:t>
            </w:r>
          </w:p>
        </w:tc>
        <w:tc>
          <w:tcPr>
            <w:tcW w:w="1701" w:type="dxa"/>
            <w:tcBorders>
              <w:top w:val="single" w:color="auto" w:sz="4" w:space="0"/>
              <w:bottom w:val="single" w:color="auto" w:sz="4" w:space="0"/>
            </w:tcBorders>
            <w:shd w:val="clear" w:color="auto" w:fill="auto"/>
            <w:vAlign w:val="center"/>
          </w:tcPr>
          <w:p>
            <w:pPr>
              <w:jc w:val="center"/>
              <w:rPr>
                <w:color w:val="000000"/>
                <w:sz w:val="18"/>
                <w:szCs w:val="18"/>
              </w:rPr>
            </w:pPr>
            <w:r>
              <w:rPr>
                <w:rFonts w:hint="eastAsia"/>
                <w:color w:val="000000"/>
                <w:sz w:val="18"/>
                <w:szCs w:val="18"/>
              </w:rPr>
              <w:t xml:space="preserve">（1500,2000] </w:t>
            </w:r>
          </w:p>
        </w:tc>
        <w:tc>
          <w:tcPr>
            <w:tcW w:w="1701" w:type="dxa"/>
            <w:tcBorders>
              <w:top w:val="single" w:color="auto" w:sz="4" w:space="0"/>
              <w:bottom w:val="single" w:color="auto" w:sz="4" w:space="0"/>
            </w:tcBorders>
            <w:vAlign w:val="center"/>
          </w:tcPr>
          <w:p>
            <w:pPr>
              <w:jc w:val="center"/>
              <w:rPr>
                <w:color w:val="000000"/>
                <w:sz w:val="18"/>
                <w:szCs w:val="18"/>
              </w:rPr>
            </w:pPr>
            <w:r>
              <w:rPr>
                <w:rFonts w:hint="eastAsia"/>
                <w:color w:val="000000"/>
                <w:sz w:val="18"/>
                <w:szCs w:val="18"/>
              </w:rPr>
              <w:t>（</w:t>
            </w:r>
            <w:r>
              <w:rPr>
                <w:color w:val="000000"/>
                <w:sz w:val="18"/>
                <w:szCs w:val="18"/>
              </w:rPr>
              <w:t>20</w:t>
            </w:r>
            <w:r>
              <w:rPr>
                <w:rFonts w:hint="eastAsia"/>
                <w:color w:val="000000"/>
                <w:sz w:val="18"/>
                <w:szCs w:val="18"/>
              </w:rPr>
              <w:t>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shd w:val="clear" w:color="auto" w:fill="auto"/>
          </w:tcPr>
          <w:p>
            <w:pPr>
              <w:pStyle w:val="26"/>
              <w:ind w:firstLine="0" w:firstLineChars="0"/>
              <w:jc w:val="center"/>
              <w:rPr>
                <w:color w:val="000000"/>
                <w:sz w:val="18"/>
                <w:szCs w:val="18"/>
              </w:rPr>
            </w:pPr>
            <w:r>
              <w:rPr>
                <w:rFonts w:hint="eastAsia"/>
                <w:color w:val="000000"/>
                <w:sz w:val="18"/>
                <w:szCs w:val="18"/>
              </w:rPr>
              <w:t>1</w:t>
            </w:r>
            <w:r>
              <w:rPr>
                <w:color w:val="000000"/>
                <w:sz w:val="18"/>
                <w:szCs w:val="18"/>
              </w:rPr>
              <w:t>50.0</w:t>
            </w:r>
          </w:p>
        </w:tc>
        <w:tc>
          <w:tcPr>
            <w:tcW w:w="1559" w:type="dxa"/>
            <w:tcBorders>
              <w:right w:val="single" w:color="auto" w:sz="4" w:space="0"/>
            </w:tcBorders>
            <w:shd w:val="clear" w:color="auto" w:fill="auto"/>
            <w:vAlign w:val="center"/>
          </w:tcPr>
          <w:p>
            <w:pPr>
              <w:jc w:val="center"/>
              <w:rPr>
                <w:color w:val="000000"/>
                <w:sz w:val="18"/>
                <w:szCs w:val="18"/>
              </w:rPr>
            </w:pPr>
            <w:r>
              <w:rPr>
                <w:rFonts w:hint="eastAsia"/>
                <w:color w:val="000000"/>
                <w:sz w:val="18"/>
                <w:szCs w:val="18"/>
              </w:rPr>
              <w:t>≤2000</w:t>
            </w:r>
          </w:p>
        </w:tc>
        <w:tc>
          <w:tcPr>
            <w:tcW w:w="1701" w:type="dxa"/>
            <w:tcBorders>
              <w:top w:val="single" w:color="auto" w:sz="4" w:space="0"/>
              <w:bottom w:val="single" w:color="auto" w:sz="4" w:space="0"/>
            </w:tcBorders>
            <w:shd w:val="clear" w:color="auto" w:fill="auto"/>
            <w:vAlign w:val="center"/>
          </w:tcPr>
          <w:p>
            <w:pPr>
              <w:jc w:val="center"/>
              <w:rPr>
                <w:color w:val="000000"/>
                <w:sz w:val="18"/>
                <w:szCs w:val="18"/>
              </w:rPr>
            </w:pPr>
            <w:r>
              <w:rPr>
                <w:rFonts w:hint="eastAsia"/>
                <w:color w:val="000000"/>
                <w:sz w:val="18"/>
                <w:szCs w:val="18"/>
              </w:rPr>
              <w:t xml:space="preserve">（2000,3000] </w:t>
            </w:r>
          </w:p>
        </w:tc>
        <w:tc>
          <w:tcPr>
            <w:tcW w:w="1701" w:type="dxa"/>
            <w:tcBorders>
              <w:top w:val="single" w:color="auto" w:sz="4" w:space="0"/>
              <w:bottom w:val="single" w:color="auto" w:sz="4" w:space="0"/>
            </w:tcBorders>
            <w:vAlign w:val="center"/>
          </w:tcPr>
          <w:p>
            <w:pPr>
              <w:jc w:val="center"/>
              <w:rPr>
                <w:color w:val="000000"/>
                <w:sz w:val="18"/>
                <w:szCs w:val="18"/>
              </w:rPr>
            </w:pPr>
            <w:r>
              <w:rPr>
                <w:rFonts w:hint="eastAsia"/>
                <w:color w:val="000000"/>
                <w:sz w:val="18"/>
                <w:szCs w:val="18"/>
              </w:rPr>
              <w:t>（3000,10000]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shd w:val="clear" w:color="auto" w:fill="auto"/>
          </w:tcPr>
          <w:p>
            <w:pPr>
              <w:pStyle w:val="26"/>
              <w:ind w:firstLine="0" w:firstLineChars="0"/>
              <w:jc w:val="center"/>
              <w:rPr>
                <w:color w:val="000000"/>
                <w:sz w:val="18"/>
                <w:szCs w:val="18"/>
              </w:rPr>
            </w:pPr>
            <w:r>
              <w:rPr>
                <w:rFonts w:hint="eastAsia"/>
                <w:color w:val="000000"/>
                <w:sz w:val="18"/>
                <w:szCs w:val="18"/>
              </w:rPr>
              <w:t>2</w:t>
            </w:r>
            <w:r>
              <w:rPr>
                <w:color w:val="000000"/>
                <w:sz w:val="18"/>
                <w:szCs w:val="18"/>
              </w:rPr>
              <w:t>00.0</w:t>
            </w:r>
          </w:p>
        </w:tc>
        <w:tc>
          <w:tcPr>
            <w:tcW w:w="1559" w:type="dxa"/>
            <w:tcBorders>
              <w:right w:val="single" w:color="auto" w:sz="4" w:space="0"/>
            </w:tcBorders>
            <w:shd w:val="clear" w:color="auto" w:fill="auto"/>
            <w:vAlign w:val="center"/>
          </w:tcPr>
          <w:p>
            <w:pPr>
              <w:jc w:val="center"/>
              <w:rPr>
                <w:color w:val="000000"/>
                <w:sz w:val="18"/>
                <w:szCs w:val="18"/>
              </w:rPr>
            </w:pPr>
            <w:r>
              <w:rPr>
                <w:rFonts w:hint="eastAsia"/>
                <w:color w:val="000000"/>
                <w:sz w:val="18"/>
                <w:szCs w:val="18"/>
              </w:rPr>
              <w:t>≤5000</w:t>
            </w:r>
          </w:p>
        </w:tc>
        <w:tc>
          <w:tcPr>
            <w:tcW w:w="1701" w:type="dxa"/>
            <w:tcBorders>
              <w:top w:val="single" w:color="auto" w:sz="4" w:space="0"/>
              <w:bottom w:val="single" w:color="auto" w:sz="4" w:space="0"/>
            </w:tcBorders>
            <w:shd w:val="clear" w:color="auto" w:fill="auto"/>
            <w:vAlign w:val="center"/>
          </w:tcPr>
          <w:p>
            <w:pPr>
              <w:jc w:val="center"/>
              <w:rPr>
                <w:color w:val="000000"/>
                <w:sz w:val="18"/>
                <w:szCs w:val="18"/>
              </w:rPr>
            </w:pPr>
            <w:r>
              <w:rPr>
                <w:rFonts w:hint="eastAsia"/>
                <w:color w:val="000000"/>
                <w:sz w:val="18"/>
                <w:szCs w:val="18"/>
              </w:rPr>
              <w:t xml:space="preserve">（5000,8000] </w:t>
            </w:r>
          </w:p>
        </w:tc>
        <w:tc>
          <w:tcPr>
            <w:tcW w:w="1701" w:type="dxa"/>
            <w:tcBorders>
              <w:top w:val="single" w:color="auto" w:sz="4" w:space="0"/>
              <w:bottom w:val="single" w:color="auto" w:sz="4" w:space="0"/>
            </w:tcBorders>
            <w:vAlign w:val="center"/>
          </w:tcPr>
          <w:p>
            <w:pPr>
              <w:jc w:val="center"/>
              <w:rPr>
                <w:color w:val="000000"/>
                <w:sz w:val="18"/>
                <w:szCs w:val="18"/>
              </w:rPr>
            </w:pPr>
            <w:r>
              <w:rPr>
                <w:rFonts w:hint="eastAsia"/>
                <w:color w:val="000000"/>
                <w:sz w:val="18"/>
                <w:szCs w:val="18"/>
              </w:rPr>
              <w:t>（8000,12000]</w:t>
            </w:r>
          </w:p>
        </w:tc>
      </w:tr>
    </w:tbl>
    <w:p>
      <w:pPr>
        <w:pStyle w:val="46"/>
        <w:ind w:left="-3" w:leftChars="-136" w:hanging="283" w:hangingChars="135"/>
      </w:pPr>
      <w:r>
        <w:rPr>
          <w:rFonts w:hint="eastAsia"/>
        </w:rPr>
        <w:t>参考</w:t>
      </w:r>
      <w:r>
        <w:t>面的取向、形状和尺寸</w:t>
      </w:r>
    </w:p>
    <w:p>
      <w:pPr>
        <w:pStyle w:val="50"/>
        <w:spacing w:before="156" w:after="156"/>
        <w:ind w:leftChars="-135" w:hanging="283" w:hangingChars="135"/>
        <w:rPr>
          <w:rFonts w:hAnsi="黑体"/>
          <w:color w:val="000000"/>
        </w:rPr>
      </w:pPr>
      <w:r>
        <w:rPr>
          <w:rFonts w:ascii="宋体" w:eastAsia="宋体"/>
          <w:color w:val="000000"/>
          <w:szCs w:val="20"/>
        </w:rPr>
        <w:t>以主副参考面为标准时</w:t>
      </w:r>
      <w:r>
        <w:rPr>
          <w:rFonts w:hint="eastAsia" w:ascii="宋体" w:eastAsia="宋体"/>
          <w:color w:val="000000"/>
          <w:szCs w:val="20"/>
        </w:rPr>
        <w:t>，Ф50.8mm、Ф</w:t>
      </w:r>
      <w:r>
        <w:rPr>
          <w:rFonts w:ascii="宋体" w:eastAsia="宋体"/>
          <w:color w:val="000000"/>
          <w:szCs w:val="20"/>
        </w:rPr>
        <w:t>76.2</w:t>
      </w:r>
      <w:r>
        <w:rPr>
          <w:rFonts w:hint="eastAsia" w:ascii="宋体" w:eastAsia="宋体"/>
          <w:color w:val="000000"/>
          <w:szCs w:val="20"/>
        </w:rPr>
        <w:t>mm、Ф</w:t>
      </w:r>
      <w:r>
        <w:rPr>
          <w:rFonts w:ascii="宋体" w:eastAsia="宋体"/>
          <w:color w:val="000000"/>
          <w:szCs w:val="20"/>
        </w:rPr>
        <w:t>100.0</w:t>
      </w:r>
      <w:r>
        <w:rPr>
          <w:rFonts w:hint="eastAsia" w:ascii="宋体" w:eastAsia="宋体"/>
          <w:color w:val="000000"/>
          <w:szCs w:val="20"/>
        </w:rPr>
        <w:t>mm、Ф</w:t>
      </w:r>
      <w:r>
        <w:rPr>
          <w:rFonts w:ascii="宋体" w:eastAsia="宋体"/>
          <w:color w:val="000000"/>
          <w:szCs w:val="20"/>
        </w:rPr>
        <w:t>150.0mm</w:t>
      </w:r>
      <w:r>
        <w:rPr>
          <w:rFonts w:hint="eastAsia" w:ascii="宋体" w:eastAsia="宋体"/>
          <w:color w:val="000000"/>
          <w:szCs w:val="20"/>
        </w:rPr>
        <w:t>半绝缘砷化镓单晶衬底片</w:t>
      </w:r>
      <w:r>
        <w:rPr>
          <w:rFonts w:ascii="宋体" w:eastAsia="宋体"/>
          <w:color w:val="000000"/>
          <w:szCs w:val="20"/>
        </w:rPr>
        <w:t>参考面的取向、形状和长度</w:t>
      </w:r>
      <w:r>
        <w:rPr>
          <w:rFonts w:hint="eastAsia" w:ascii="宋体" w:eastAsia="宋体"/>
          <w:color w:val="000000"/>
          <w:szCs w:val="20"/>
        </w:rPr>
        <w:t>符合</w:t>
      </w:r>
      <w:r>
        <w:rPr>
          <w:rFonts w:ascii="宋体" w:eastAsia="宋体"/>
          <w:color w:val="000000"/>
          <w:szCs w:val="20"/>
        </w:rPr>
        <w:t>表</w:t>
      </w:r>
      <w:r>
        <w:rPr>
          <w:rFonts w:hint="eastAsia" w:ascii="宋体" w:eastAsia="宋体"/>
          <w:color w:val="000000"/>
          <w:szCs w:val="20"/>
        </w:rPr>
        <w:t>3的要求。</w:t>
      </w:r>
    </w:p>
    <w:p>
      <w:pPr>
        <w:pStyle w:val="26"/>
        <w:ind w:firstLine="2940" w:firstLineChars="1400"/>
        <w:jc w:val="left"/>
        <w:rPr>
          <w:rFonts w:ascii="黑体" w:hAnsi="黑体" w:eastAsia="黑体"/>
          <w:color w:val="000000"/>
        </w:rPr>
      </w:pPr>
      <w:r>
        <w:rPr>
          <w:rFonts w:hint="eastAsia" w:ascii="黑体" w:hAnsi="黑体" w:eastAsia="黑体"/>
          <w:color w:val="000000"/>
        </w:rPr>
        <w:t>表 3</w:t>
      </w:r>
      <w:r>
        <w:rPr>
          <w:rFonts w:ascii="黑体" w:hAnsi="黑体" w:eastAsia="黑体"/>
          <w:color w:val="000000"/>
        </w:rPr>
        <w:t xml:space="preserve"> </w:t>
      </w:r>
      <w:r>
        <w:rPr>
          <w:rFonts w:hint="eastAsia" w:ascii="黑体" w:hAnsi="黑体" w:eastAsia="黑体"/>
          <w:color w:val="000000"/>
        </w:rPr>
        <w:t>参考面的取向、形状和尺寸</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834"/>
        <w:gridCol w:w="1842"/>
        <w:gridCol w:w="198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shd w:val="clear" w:color="auto" w:fill="auto"/>
          </w:tcPr>
          <w:p>
            <w:pPr>
              <w:pStyle w:val="26"/>
              <w:widowControl w:val="0"/>
              <w:ind w:firstLine="0" w:firstLineChars="0"/>
              <w:jc w:val="center"/>
              <w:rPr>
                <w:color w:val="000000"/>
                <w:sz w:val="18"/>
                <w:szCs w:val="18"/>
              </w:rPr>
            </w:pPr>
            <w:r>
              <w:rPr>
                <w:rFonts w:hint="eastAsia"/>
                <w:color w:val="000000"/>
                <w:sz w:val="18"/>
                <w:szCs w:val="18"/>
              </w:rPr>
              <w:t>参数</w:t>
            </w:r>
            <w:r>
              <w:rPr>
                <w:color w:val="000000"/>
                <w:sz w:val="18"/>
                <w:szCs w:val="18"/>
              </w:rPr>
              <w:t>项目</w:t>
            </w:r>
          </w:p>
        </w:tc>
        <w:tc>
          <w:tcPr>
            <w:tcW w:w="7469" w:type="dxa"/>
            <w:gridSpan w:val="4"/>
            <w:shd w:val="clear" w:color="auto" w:fill="auto"/>
          </w:tcPr>
          <w:p>
            <w:pPr>
              <w:pStyle w:val="26"/>
              <w:widowControl w:val="0"/>
              <w:ind w:firstLine="0" w:firstLineChars="0"/>
              <w:jc w:val="center"/>
              <w:rPr>
                <w:sz w:val="18"/>
                <w:szCs w:val="18"/>
              </w:rPr>
            </w:pPr>
            <w:r>
              <w:rPr>
                <w:rFonts w:hint="eastAsia"/>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2" w:type="dxa"/>
            <w:shd w:val="clear" w:color="auto" w:fill="auto"/>
          </w:tcPr>
          <w:p>
            <w:pPr>
              <w:pStyle w:val="26"/>
              <w:widowControl w:val="0"/>
              <w:ind w:firstLine="0" w:firstLineChars="0"/>
              <w:jc w:val="center"/>
              <w:rPr>
                <w:color w:val="000000"/>
                <w:sz w:val="18"/>
                <w:szCs w:val="18"/>
              </w:rPr>
            </w:pPr>
            <w:r>
              <w:rPr>
                <w:rFonts w:hint="eastAsia"/>
                <w:color w:val="000000"/>
                <w:sz w:val="18"/>
                <w:szCs w:val="18"/>
              </w:rPr>
              <w:t>参考面</w:t>
            </w:r>
            <w:r>
              <w:rPr>
                <w:color w:val="000000"/>
                <w:sz w:val="18"/>
                <w:szCs w:val="18"/>
              </w:rPr>
              <w:t>选择</w:t>
            </w:r>
          </w:p>
        </w:tc>
        <w:tc>
          <w:tcPr>
            <w:tcW w:w="3676" w:type="dxa"/>
            <w:gridSpan w:val="2"/>
            <w:shd w:val="clear" w:color="auto" w:fill="auto"/>
          </w:tcPr>
          <w:p>
            <w:pPr>
              <w:pStyle w:val="26"/>
              <w:widowControl w:val="0"/>
              <w:ind w:firstLine="0" w:firstLineChars="0"/>
              <w:jc w:val="center"/>
              <w:rPr>
                <w:sz w:val="18"/>
                <w:szCs w:val="18"/>
              </w:rPr>
            </w:pPr>
            <w:r>
              <w:rPr>
                <w:rFonts w:hint="eastAsia"/>
                <w:sz w:val="18"/>
                <w:szCs w:val="18"/>
              </w:rPr>
              <w:t>V型</w:t>
            </w:r>
            <w:r>
              <w:rPr>
                <w:sz w:val="18"/>
                <w:szCs w:val="18"/>
              </w:rPr>
              <w:t>槽</w:t>
            </w:r>
          </w:p>
        </w:tc>
        <w:tc>
          <w:tcPr>
            <w:tcW w:w="3793" w:type="dxa"/>
            <w:gridSpan w:val="2"/>
            <w:shd w:val="clear" w:color="auto" w:fill="auto"/>
          </w:tcPr>
          <w:p>
            <w:pPr>
              <w:pStyle w:val="26"/>
              <w:widowControl w:val="0"/>
              <w:ind w:firstLine="0" w:firstLineChars="0"/>
              <w:jc w:val="center"/>
              <w:rPr>
                <w:sz w:val="18"/>
                <w:szCs w:val="18"/>
              </w:rPr>
            </w:pPr>
            <w:r>
              <w:rPr>
                <w:rFonts w:hint="eastAsia"/>
                <w:sz w:val="18"/>
                <w:szCs w:val="18"/>
              </w:rPr>
              <w:t>燕尾</w:t>
            </w:r>
            <w:r>
              <w:rPr>
                <w:sz w:val="18"/>
                <w:szCs w:val="18"/>
              </w:rPr>
              <w:t>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shd w:val="clear" w:color="auto" w:fill="auto"/>
            <w:vAlign w:val="center"/>
          </w:tcPr>
          <w:p>
            <w:pPr>
              <w:pStyle w:val="26"/>
              <w:widowControl w:val="0"/>
              <w:ind w:firstLine="0" w:firstLineChars="0"/>
              <w:jc w:val="center"/>
              <w:rPr>
                <w:color w:val="000000"/>
                <w:sz w:val="18"/>
                <w:szCs w:val="18"/>
              </w:rPr>
            </w:pPr>
            <w:r>
              <w:rPr>
                <w:rFonts w:hint="eastAsia"/>
                <w:color w:val="000000"/>
                <w:sz w:val="18"/>
                <w:szCs w:val="18"/>
              </w:rPr>
              <w:t>主</w:t>
            </w:r>
            <w:r>
              <w:rPr>
                <w:color w:val="000000"/>
                <w:sz w:val="18"/>
                <w:szCs w:val="18"/>
              </w:rPr>
              <w:t>参考面取向</w:t>
            </w:r>
          </w:p>
          <w:p>
            <w:pPr>
              <w:pStyle w:val="26"/>
              <w:widowControl w:val="0"/>
              <w:ind w:firstLine="0" w:firstLineChars="0"/>
              <w:jc w:val="center"/>
              <w:rPr>
                <w:color w:val="000000"/>
                <w:sz w:val="18"/>
                <w:szCs w:val="18"/>
              </w:rPr>
            </w:pPr>
            <w:r>
              <w:rPr>
                <w:rFonts w:hint="eastAsia"/>
                <w:sz w:val="18"/>
                <w:szCs w:val="18"/>
              </w:rPr>
              <w:t>°</w:t>
            </w:r>
          </w:p>
        </w:tc>
        <w:tc>
          <w:tcPr>
            <w:tcW w:w="3676" w:type="dxa"/>
            <w:gridSpan w:val="2"/>
            <w:shd w:val="clear" w:color="auto" w:fill="auto"/>
          </w:tcPr>
          <w:p>
            <w:pPr>
              <w:pStyle w:val="26"/>
              <w:widowControl w:val="0"/>
              <w:ind w:firstLine="0" w:firstLineChars="0"/>
              <w:jc w:val="center"/>
              <w:rPr>
                <w:sz w:val="18"/>
                <w:szCs w:val="18"/>
              </w:rPr>
            </w:pPr>
            <w:r>
              <w:rPr>
                <w:rFonts w:hint="eastAsia" w:hAnsi="宋体"/>
                <w:sz w:val="18"/>
                <w:szCs w:val="18"/>
              </w:rPr>
              <w:t>［</w:t>
            </w:r>
            <w:r>
              <w:rPr>
                <w:rFonts w:hint="eastAsia"/>
                <w:sz w:val="18"/>
                <w:szCs w:val="18"/>
              </w:rPr>
              <w:t>0</w:t>
            </w:r>
            <w:r>
              <w:rPr>
                <w:sz w:val="18"/>
                <w:szCs w:val="18"/>
              </w:rPr>
              <w:t xml:space="preserve"> </w:t>
            </w:r>
            <w:r>
              <w:rPr>
                <w:rFonts w:hint="eastAsia"/>
                <w:sz w:val="18"/>
                <w:szCs w:val="18"/>
              </w:rPr>
              <w:t>1</w:t>
            </w:r>
            <w:r>
              <w:rPr>
                <w:sz w:val="18"/>
                <w:szCs w:val="18"/>
              </w:rPr>
              <w:t xml:space="preserve"> </w:t>
            </w:r>
            <m:oMath>
              <m:bar>
                <m:barPr>
                  <m:pos m:val="top"/>
                  <m:ctrlPr>
                    <w:rPr>
                      <w:rFonts w:ascii="Cambria Math" w:hAnsi="Cambria Math"/>
                      <w:sz w:val="18"/>
                      <w:szCs w:val="18"/>
                    </w:rPr>
                  </m:ctrlPr>
                </m:barPr>
                <m:e>
                  <m:r>
                    <m:rPr>
                      <m:sty m:val="p"/>
                    </m:rPr>
                    <w:rPr>
                      <w:rFonts w:ascii="Cambria Math" w:hAnsi="Cambria Math"/>
                      <w:sz w:val="18"/>
                      <w:szCs w:val="18"/>
                    </w:rPr>
                    <m:t>1</m:t>
                  </m:r>
                  <m:ctrlPr>
                    <w:rPr>
                      <w:rFonts w:ascii="Cambria Math" w:hAnsi="Cambria Math"/>
                      <w:sz w:val="18"/>
                      <w:szCs w:val="18"/>
                    </w:rPr>
                  </m:ctrlPr>
                </m:e>
              </m:bar>
            </m:oMath>
            <w:r>
              <w:rPr>
                <w:rFonts w:hint="eastAsia" w:hAnsi="宋体"/>
                <w:sz w:val="18"/>
                <w:szCs w:val="18"/>
              </w:rPr>
              <w:t>］</w:t>
            </w:r>
            <w:r>
              <w:rPr>
                <w:rFonts w:hint="eastAsia"/>
                <w:sz w:val="18"/>
                <w:szCs w:val="18"/>
              </w:rPr>
              <w:t>±0.5属于1个</w:t>
            </w:r>
            <w:r>
              <w:rPr>
                <w:sz w:val="18"/>
                <w:szCs w:val="18"/>
              </w:rPr>
              <w:t>砷面，</w:t>
            </w:r>
          </w:p>
          <w:p>
            <w:pPr>
              <w:pStyle w:val="26"/>
              <w:widowControl w:val="0"/>
              <w:ind w:firstLine="0" w:firstLineChars="0"/>
              <w:jc w:val="center"/>
              <w:rPr>
                <w:sz w:val="18"/>
                <w:szCs w:val="18"/>
              </w:rPr>
            </w:pPr>
            <w:r>
              <w:rPr>
                <w:sz w:val="18"/>
                <w:szCs w:val="18"/>
              </w:rPr>
              <w:t>主参考面垂直于</w:t>
            </w:r>
            <w:r>
              <w:rPr>
                <w:rFonts w:hint="eastAsia"/>
                <w:sz w:val="18"/>
                <w:szCs w:val="18"/>
              </w:rPr>
              <w:t>V型</w:t>
            </w:r>
            <w:r>
              <w:rPr>
                <w:sz w:val="18"/>
                <w:szCs w:val="18"/>
              </w:rPr>
              <w:t>槽</w:t>
            </w:r>
          </w:p>
        </w:tc>
        <w:tc>
          <w:tcPr>
            <w:tcW w:w="3793" w:type="dxa"/>
            <w:gridSpan w:val="2"/>
            <w:shd w:val="clear" w:color="auto" w:fill="auto"/>
          </w:tcPr>
          <w:p>
            <w:pPr>
              <w:pStyle w:val="26"/>
              <w:widowControl w:val="0"/>
              <w:ind w:firstLine="0" w:firstLineChars="0"/>
              <w:jc w:val="center"/>
              <w:rPr>
                <w:sz w:val="18"/>
                <w:szCs w:val="18"/>
              </w:rPr>
            </w:pPr>
            <w:r>
              <w:rPr>
                <w:rFonts w:hint="eastAsia" w:hAnsi="宋体"/>
                <w:sz w:val="18"/>
                <w:szCs w:val="18"/>
              </w:rPr>
              <w:t>［</w:t>
            </w:r>
            <w:r>
              <w:rPr>
                <w:rFonts w:hint="eastAsia"/>
                <w:sz w:val="18"/>
                <w:szCs w:val="18"/>
              </w:rPr>
              <w:t>0</w:t>
            </w:r>
            <m:oMath>
              <m:r>
                <m:rPr>
                  <m:sty m:val="p"/>
                </m:rPr>
                <w:rPr>
                  <w:rFonts w:ascii="Cambria Math" w:hAnsi="Cambria Math"/>
                  <w:sz w:val="18"/>
                  <w:szCs w:val="18"/>
                </w:rPr>
                <m:t xml:space="preserve"> </m:t>
              </m:r>
              <m:bar>
                <m:barPr>
                  <m:pos m:val="top"/>
                  <m:ctrlPr>
                    <w:rPr>
                      <w:rFonts w:ascii="Cambria Math" w:hAnsi="Cambria Math"/>
                      <w:sz w:val="18"/>
                      <w:szCs w:val="18"/>
                    </w:rPr>
                  </m:ctrlPr>
                </m:barPr>
                <m:e>
                  <m:r>
                    <m:rPr>
                      <m:sty m:val="p"/>
                    </m:rPr>
                    <w:rPr>
                      <w:rFonts w:ascii="Cambria Math" w:hAnsi="Cambria Math"/>
                      <w:sz w:val="18"/>
                      <w:szCs w:val="18"/>
                    </w:rPr>
                    <m:t>1</m:t>
                  </m:r>
                  <m:ctrlPr>
                    <w:rPr>
                      <w:rFonts w:ascii="Cambria Math" w:hAnsi="Cambria Math"/>
                      <w:sz w:val="18"/>
                      <w:szCs w:val="18"/>
                    </w:rPr>
                  </m:ctrlPr>
                </m:e>
              </m:bar>
            </m:oMath>
            <w:r>
              <w:rPr>
                <w:rFonts w:hint="eastAsia"/>
                <w:sz w:val="18"/>
                <w:szCs w:val="18"/>
              </w:rPr>
              <w:t xml:space="preserve"> </w:t>
            </w:r>
            <m:oMath>
              <m:bar>
                <m:barPr>
                  <m:pos m:val="top"/>
                  <m:ctrlPr>
                    <w:rPr>
                      <w:rFonts w:ascii="Cambria Math" w:hAnsi="Cambria Math"/>
                      <w:sz w:val="18"/>
                      <w:szCs w:val="18"/>
                    </w:rPr>
                  </m:ctrlPr>
                </m:barPr>
                <m:e>
                  <m:r>
                    <m:rPr>
                      <m:sty m:val="p"/>
                    </m:rPr>
                    <w:rPr>
                      <w:rFonts w:ascii="Cambria Math" w:hAnsi="Cambria Math"/>
                      <w:sz w:val="18"/>
                      <w:szCs w:val="18"/>
                    </w:rPr>
                    <m:t>1</m:t>
                  </m:r>
                  <m:ctrlPr>
                    <w:rPr>
                      <w:rFonts w:ascii="Cambria Math" w:hAnsi="Cambria Math"/>
                      <w:sz w:val="18"/>
                      <w:szCs w:val="18"/>
                    </w:rPr>
                  </m:ctrlPr>
                </m:e>
              </m:bar>
            </m:oMath>
            <w:r>
              <w:rPr>
                <w:rFonts w:hint="eastAsia" w:hAnsi="宋体"/>
                <w:sz w:val="18"/>
                <w:szCs w:val="18"/>
              </w:rPr>
              <w:t>］</w:t>
            </w:r>
            <w:r>
              <w:rPr>
                <w:rFonts w:hint="eastAsia"/>
                <w:sz w:val="18"/>
                <w:szCs w:val="18"/>
              </w:rPr>
              <w:t>±0.5属于1个镓</w:t>
            </w:r>
            <w:r>
              <w:rPr>
                <w:sz w:val="18"/>
                <w:szCs w:val="18"/>
              </w:rPr>
              <w:t>面，</w:t>
            </w:r>
          </w:p>
          <w:p>
            <w:pPr>
              <w:pStyle w:val="26"/>
              <w:widowControl w:val="0"/>
              <w:ind w:firstLine="0" w:firstLineChars="0"/>
              <w:jc w:val="center"/>
              <w:rPr>
                <w:sz w:val="18"/>
                <w:szCs w:val="18"/>
              </w:rPr>
            </w:pPr>
            <w:r>
              <w:rPr>
                <w:sz w:val="18"/>
                <w:szCs w:val="18"/>
              </w:rPr>
              <w:t>主参考面垂直于</w:t>
            </w:r>
            <w:r>
              <w:rPr>
                <w:rFonts w:hint="eastAsia"/>
                <w:sz w:val="18"/>
                <w:szCs w:val="18"/>
              </w:rPr>
              <w:t>燕尾</w:t>
            </w:r>
            <w:r>
              <w:rPr>
                <w:sz w:val="18"/>
                <w:szCs w:val="18"/>
              </w:rPr>
              <w:t>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副参考面取向</w:t>
            </w:r>
          </w:p>
          <w:p>
            <w:pPr>
              <w:pStyle w:val="26"/>
              <w:widowControl w:val="0"/>
              <w:spacing w:line="200" w:lineRule="exact"/>
              <w:ind w:firstLine="0" w:firstLineChars="0"/>
              <w:jc w:val="center"/>
              <w:rPr>
                <w:color w:val="000000"/>
                <w:sz w:val="18"/>
                <w:szCs w:val="18"/>
              </w:rPr>
            </w:pPr>
            <w:r>
              <w:rPr>
                <w:rFonts w:hint="eastAsia"/>
                <w:color w:val="000000"/>
                <w:sz w:val="18"/>
                <w:szCs w:val="18"/>
              </w:rPr>
              <w:t>°</w:t>
            </w:r>
          </w:p>
        </w:tc>
        <w:tc>
          <w:tcPr>
            <w:tcW w:w="3676" w:type="dxa"/>
            <w:gridSpan w:val="2"/>
            <w:shd w:val="clear" w:color="auto" w:fill="auto"/>
            <w:vAlign w:val="center"/>
          </w:tcPr>
          <w:p>
            <w:pPr>
              <w:pStyle w:val="26"/>
              <w:widowControl w:val="0"/>
              <w:ind w:firstLine="0" w:firstLineChars="0"/>
              <w:jc w:val="center"/>
              <w:rPr>
                <w:sz w:val="18"/>
                <w:szCs w:val="18"/>
              </w:rPr>
            </w:pPr>
            <w:r>
              <w:rPr>
                <w:rFonts w:hint="eastAsia"/>
                <w:sz w:val="18"/>
                <w:szCs w:val="18"/>
              </w:rPr>
              <w:t>主面朝上时，从</w:t>
            </w:r>
            <w:r>
              <w:rPr>
                <w:sz w:val="18"/>
                <w:szCs w:val="18"/>
              </w:rPr>
              <w:t>主参考面逆时针转</w:t>
            </w:r>
            <w:r>
              <w:rPr>
                <w:rFonts w:hint="eastAsia"/>
                <w:sz w:val="18"/>
                <w:szCs w:val="18"/>
              </w:rPr>
              <w:t>90</w:t>
            </w:r>
            <w:r>
              <w:rPr>
                <w:sz w:val="18"/>
                <w:szCs w:val="18"/>
              </w:rPr>
              <w:t xml:space="preserve">±0.5 </w:t>
            </w:r>
          </w:p>
        </w:tc>
        <w:tc>
          <w:tcPr>
            <w:tcW w:w="3793" w:type="dxa"/>
            <w:gridSpan w:val="2"/>
            <w:shd w:val="clear" w:color="auto" w:fill="auto"/>
            <w:vAlign w:val="center"/>
          </w:tcPr>
          <w:p>
            <w:pPr>
              <w:pStyle w:val="26"/>
              <w:widowControl w:val="0"/>
              <w:ind w:firstLine="0" w:firstLineChars="0"/>
              <w:jc w:val="center"/>
              <w:rPr>
                <w:sz w:val="18"/>
                <w:szCs w:val="18"/>
              </w:rPr>
            </w:pPr>
            <w:r>
              <w:rPr>
                <w:rFonts w:hint="eastAsia"/>
                <w:sz w:val="18"/>
                <w:szCs w:val="18"/>
              </w:rPr>
              <w:t>从</w:t>
            </w:r>
            <w:r>
              <w:rPr>
                <w:sz w:val="18"/>
                <w:szCs w:val="18"/>
              </w:rPr>
              <w:t>主参考面</w:t>
            </w:r>
            <w:r>
              <w:rPr>
                <w:rFonts w:hint="eastAsia"/>
                <w:sz w:val="18"/>
                <w:szCs w:val="18"/>
              </w:rPr>
              <w:t>顺</w:t>
            </w:r>
            <w:r>
              <w:rPr>
                <w:sz w:val="18"/>
                <w:szCs w:val="18"/>
              </w:rPr>
              <w:t>时针转</w:t>
            </w:r>
            <w:r>
              <w:rPr>
                <w:rFonts w:hint="eastAsia"/>
                <w:sz w:val="18"/>
                <w:szCs w:val="18"/>
              </w:rPr>
              <w:t>90</w:t>
            </w:r>
            <w:r>
              <w:rPr>
                <w:sz w:val="18"/>
                <w:szCs w:val="18"/>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规格</w:t>
            </w:r>
          </w:p>
        </w:tc>
        <w:tc>
          <w:tcPr>
            <w:tcW w:w="1834" w:type="dxa"/>
            <w:shd w:val="clear" w:color="auto" w:fill="auto"/>
            <w:vAlign w:val="center"/>
          </w:tcPr>
          <w:p>
            <w:pPr>
              <w:pStyle w:val="26"/>
              <w:widowControl w:val="0"/>
              <w:ind w:firstLine="0" w:firstLineChars="0"/>
              <w:jc w:val="center"/>
              <w:rPr>
                <w:color w:val="000000"/>
                <w:sz w:val="18"/>
                <w:szCs w:val="18"/>
              </w:rPr>
            </w:pPr>
            <w:r>
              <w:rPr>
                <w:rFonts w:hint="eastAsia" w:hAnsi="宋体"/>
                <w:color w:val="000000"/>
                <w:sz w:val="18"/>
                <w:szCs w:val="18"/>
              </w:rPr>
              <w:t>Ф</w:t>
            </w:r>
            <w:r>
              <w:rPr>
                <w:rFonts w:hint="eastAsia"/>
                <w:color w:val="000000"/>
                <w:sz w:val="18"/>
                <w:szCs w:val="18"/>
              </w:rPr>
              <w:t>50.8 mm</w:t>
            </w:r>
          </w:p>
        </w:tc>
        <w:tc>
          <w:tcPr>
            <w:tcW w:w="1842" w:type="dxa"/>
            <w:shd w:val="clear" w:color="auto" w:fill="auto"/>
            <w:vAlign w:val="center"/>
          </w:tcPr>
          <w:p>
            <w:pPr>
              <w:pStyle w:val="26"/>
              <w:widowControl w:val="0"/>
              <w:ind w:firstLine="0" w:firstLineChars="0"/>
              <w:jc w:val="center"/>
              <w:rPr>
                <w:color w:val="000000"/>
                <w:sz w:val="18"/>
                <w:szCs w:val="18"/>
              </w:rPr>
            </w:pPr>
            <w:r>
              <w:rPr>
                <w:rFonts w:hint="eastAsia" w:hAnsi="宋体"/>
                <w:color w:val="000000"/>
                <w:sz w:val="18"/>
                <w:szCs w:val="18"/>
              </w:rPr>
              <w:t>Ф</w:t>
            </w:r>
            <w:r>
              <w:rPr>
                <w:color w:val="000000"/>
                <w:sz w:val="18"/>
                <w:szCs w:val="18"/>
              </w:rPr>
              <w:t>76.2</w:t>
            </w:r>
            <w:r>
              <w:rPr>
                <w:rFonts w:hint="eastAsia"/>
                <w:color w:val="000000"/>
                <w:sz w:val="18"/>
                <w:szCs w:val="18"/>
              </w:rPr>
              <w:t xml:space="preserve"> mm</w:t>
            </w:r>
          </w:p>
        </w:tc>
        <w:tc>
          <w:tcPr>
            <w:tcW w:w="1985" w:type="dxa"/>
            <w:shd w:val="clear" w:color="auto" w:fill="auto"/>
            <w:vAlign w:val="center"/>
          </w:tcPr>
          <w:p>
            <w:pPr>
              <w:pStyle w:val="26"/>
              <w:widowControl w:val="0"/>
              <w:ind w:firstLine="0" w:firstLineChars="0"/>
              <w:jc w:val="center"/>
              <w:rPr>
                <w:color w:val="000000"/>
                <w:sz w:val="18"/>
                <w:szCs w:val="18"/>
              </w:rPr>
            </w:pPr>
            <w:r>
              <w:rPr>
                <w:rFonts w:hint="eastAsia" w:hAnsi="宋体"/>
                <w:color w:val="000000"/>
                <w:sz w:val="18"/>
                <w:szCs w:val="18"/>
              </w:rPr>
              <w:t>Ф</w:t>
            </w:r>
            <w:r>
              <w:rPr>
                <w:color w:val="000000"/>
                <w:sz w:val="18"/>
                <w:szCs w:val="18"/>
              </w:rPr>
              <w:t>100.0</w:t>
            </w:r>
            <w:r>
              <w:rPr>
                <w:rFonts w:hint="eastAsia"/>
                <w:color w:val="000000"/>
                <w:sz w:val="18"/>
                <w:szCs w:val="18"/>
              </w:rPr>
              <w:t xml:space="preserve"> mm</w:t>
            </w:r>
          </w:p>
        </w:tc>
        <w:tc>
          <w:tcPr>
            <w:tcW w:w="1808" w:type="dxa"/>
            <w:shd w:val="clear" w:color="auto" w:fill="auto"/>
            <w:vAlign w:val="center"/>
          </w:tcPr>
          <w:p>
            <w:pPr>
              <w:pStyle w:val="26"/>
              <w:widowControl w:val="0"/>
              <w:ind w:firstLine="0" w:firstLineChars="0"/>
              <w:jc w:val="center"/>
              <w:rPr>
                <w:color w:val="000000"/>
                <w:sz w:val="18"/>
                <w:szCs w:val="18"/>
              </w:rPr>
            </w:pPr>
            <w:r>
              <w:rPr>
                <w:rFonts w:hint="eastAsia" w:hAnsi="宋体"/>
                <w:color w:val="000000"/>
                <w:sz w:val="18"/>
                <w:szCs w:val="18"/>
              </w:rPr>
              <w:t>Ф</w:t>
            </w:r>
            <w:r>
              <w:rPr>
                <w:color w:val="000000"/>
                <w:sz w:val="18"/>
                <w:szCs w:val="18"/>
              </w:rPr>
              <w:t>150.0</w:t>
            </w:r>
            <w:r>
              <w:rPr>
                <w:rFonts w:hint="eastAsia"/>
                <w:color w:val="000000"/>
                <w:sz w:val="18"/>
                <w:szCs w:val="18"/>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主</w:t>
            </w:r>
            <w:r>
              <w:rPr>
                <w:color w:val="000000"/>
                <w:sz w:val="18"/>
                <w:szCs w:val="18"/>
              </w:rPr>
              <w:t>参考面长度</w:t>
            </w:r>
          </w:p>
          <w:p>
            <w:pPr>
              <w:pStyle w:val="26"/>
              <w:widowControl w:val="0"/>
              <w:spacing w:line="200" w:lineRule="exact"/>
              <w:ind w:firstLine="0" w:firstLineChars="0"/>
              <w:jc w:val="center"/>
              <w:rPr>
                <w:color w:val="000000"/>
                <w:sz w:val="18"/>
                <w:szCs w:val="18"/>
              </w:rPr>
            </w:pPr>
            <w:r>
              <w:rPr>
                <w:color w:val="000000"/>
                <w:sz w:val="18"/>
                <w:szCs w:val="18"/>
              </w:rPr>
              <w:t>mm</w:t>
            </w:r>
          </w:p>
        </w:tc>
        <w:tc>
          <w:tcPr>
            <w:tcW w:w="1834" w:type="dxa"/>
            <w:shd w:val="clear" w:color="auto" w:fill="auto"/>
            <w:vAlign w:val="center"/>
          </w:tcPr>
          <w:p>
            <w:pPr>
              <w:pStyle w:val="26"/>
              <w:widowControl w:val="0"/>
              <w:ind w:firstLine="0" w:firstLineChars="0"/>
              <w:jc w:val="center"/>
              <w:rPr>
                <w:color w:val="000000"/>
                <w:sz w:val="18"/>
                <w:szCs w:val="18"/>
              </w:rPr>
            </w:pPr>
            <w:r>
              <w:rPr>
                <w:rFonts w:hint="eastAsia"/>
                <w:color w:val="000000"/>
                <w:sz w:val="18"/>
                <w:szCs w:val="18"/>
              </w:rPr>
              <w:t>16±1</w:t>
            </w:r>
          </w:p>
        </w:tc>
        <w:tc>
          <w:tcPr>
            <w:tcW w:w="1842" w:type="dxa"/>
            <w:shd w:val="clear" w:color="auto" w:fill="auto"/>
            <w:vAlign w:val="center"/>
          </w:tcPr>
          <w:p>
            <w:pPr>
              <w:pStyle w:val="26"/>
              <w:widowControl w:val="0"/>
              <w:ind w:firstLine="0" w:firstLineChars="0"/>
              <w:jc w:val="center"/>
              <w:rPr>
                <w:color w:val="000000"/>
                <w:sz w:val="18"/>
                <w:szCs w:val="18"/>
              </w:rPr>
            </w:pPr>
            <w:r>
              <w:rPr>
                <w:color w:val="000000"/>
                <w:sz w:val="18"/>
                <w:szCs w:val="18"/>
              </w:rPr>
              <w:t>22</w:t>
            </w:r>
            <w:r>
              <w:rPr>
                <w:rFonts w:hint="eastAsia"/>
                <w:color w:val="000000"/>
                <w:sz w:val="18"/>
                <w:szCs w:val="18"/>
              </w:rPr>
              <w:t>±1</w:t>
            </w:r>
          </w:p>
        </w:tc>
        <w:tc>
          <w:tcPr>
            <w:tcW w:w="1985" w:type="dxa"/>
            <w:shd w:val="clear" w:color="auto" w:fill="auto"/>
            <w:vAlign w:val="center"/>
          </w:tcPr>
          <w:p>
            <w:pPr>
              <w:pStyle w:val="26"/>
              <w:widowControl w:val="0"/>
              <w:ind w:firstLine="0" w:firstLineChars="0"/>
              <w:jc w:val="center"/>
              <w:rPr>
                <w:color w:val="000000"/>
                <w:sz w:val="18"/>
                <w:szCs w:val="18"/>
              </w:rPr>
            </w:pPr>
            <w:r>
              <w:rPr>
                <w:color w:val="000000"/>
                <w:sz w:val="18"/>
                <w:szCs w:val="18"/>
              </w:rPr>
              <w:t>32</w:t>
            </w:r>
            <w:r>
              <w:rPr>
                <w:rFonts w:hint="eastAsia"/>
                <w:color w:val="000000"/>
                <w:sz w:val="18"/>
                <w:szCs w:val="18"/>
              </w:rPr>
              <w:t>±1</w:t>
            </w:r>
          </w:p>
        </w:tc>
        <w:tc>
          <w:tcPr>
            <w:tcW w:w="1808" w:type="dxa"/>
            <w:shd w:val="clear" w:color="auto" w:fill="auto"/>
            <w:vAlign w:val="center"/>
          </w:tcPr>
          <w:p>
            <w:pPr>
              <w:pStyle w:val="26"/>
              <w:widowControl w:val="0"/>
              <w:ind w:firstLine="0" w:firstLineChars="0"/>
              <w:jc w:val="center"/>
              <w:rPr>
                <w:color w:val="000000"/>
                <w:sz w:val="18"/>
                <w:szCs w:val="18"/>
              </w:rPr>
            </w:pPr>
            <w:r>
              <w:rPr>
                <w:color w:val="000000"/>
                <w:sz w:val="18"/>
                <w:szCs w:val="18"/>
              </w:rPr>
              <w:t>47.5±2.5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副参考</w:t>
            </w:r>
            <w:r>
              <w:rPr>
                <w:color w:val="000000"/>
                <w:sz w:val="18"/>
                <w:szCs w:val="18"/>
              </w:rPr>
              <w:t>面长度</w:t>
            </w:r>
          </w:p>
          <w:p>
            <w:pPr>
              <w:pStyle w:val="26"/>
              <w:widowControl w:val="0"/>
              <w:spacing w:line="200" w:lineRule="exact"/>
              <w:ind w:firstLine="0" w:firstLineChars="0"/>
              <w:jc w:val="center"/>
              <w:rPr>
                <w:b/>
                <w:color w:val="000000"/>
                <w:sz w:val="18"/>
                <w:szCs w:val="18"/>
              </w:rPr>
            </w:pPr>
            <w:r>
              <w:rPr>
                <w:color w:val="000000"/>
                <w:sz w:val="18"/>
                <w:szCs w:val="18"/>
              </w:rPr>
              <w:t>mm</w:t>
            </w:r>
          </w:p>
        </w:tc>
        <w:tc>
          <w:tcPr>
            <w:tcW w:w="1834" w:type="dxa"/>
            <w:shd w:val="clear" w:color="auto" w:fill="auto"/>
            <w:vAlign w:val="center"/>
          </w:tcPr>
          <w:p>
            <w:pPr>
              <w:pStyle w:val="26"/>
              <w:widowControl w:val="0"/>
              <w:ind w:firstLine="0" w:firstLineChars="0"/>
              <w:jc w:val="center"/>
              <w:rPr>
                <w:color w:val="000000"/>
                <w:sz w:val="18"/>
                <w:szCs w:val="18"/>
              </w:rPr>
            </w:pPr>
            <w:r>
              <w:rPr>
                <w:color w:val="000000"/>
                <w:sz w:val="18"/>
                <w:szCs w:val="18"/>
              </w:rPr>
              <w:t>8</w:t>
            </w:r>
            <w:r>
              <w:rPr>
                <w:rFonts w:hint="eastAsia"/>
                <w:color w:val="000000"/>
                <w:sz w:val="18"/>
                <w:szCs w:val="18"/>
              </w:rPr>
              <w:t>±1</w:t>
            </w:r>
          </w:p>
        </w:tc>
        <w:tc>
          <w:tcPr>
            <w:tcW w:w="1842" w:type="dxa"/>
            <w:shd w:val="clear" w:color="auto" w:fill="auto"/>
            <w:vAlign w:val="center"/>
          </w:tcPr>
          <w:p>
            <w:pPr>
              <w:pStyle w:val="26"/>
              <w:widowControl w:val="0"/>
              <w:ind w:firstLine="0" w:firstLineChars="0"/>
              <w:jc w:val="center"/>
              <w:rPr>
                <w:color w:val="000000"/>
                <w:sz w:val="18"/>
                <w:szCs w:val="18"/>
              </w:rPr>
            </w:pPr>
            <w:r>
              <w:rPr>
                <w:color w:val="000000"/>
                <w:sz w:val="18"/>
                <w:szCs w:val="18"/>
              </w:rPr>
              <w:t>11</w:t>
            </w:r>
            <w:r>
              <w:rPr>
                <w:rFonts w:hint="eastAsia"/>
                <w:color w:val="000000"/>
                <w:sz w:val="18"/>
                <w:szCs w:val="18"/>
              </w:rPr>
              <w:t>±1</w:t>
            </w:r>
          </w:p>
        </w:tc>
        <w:tc>
          <w:tcPr>
            <w:tcW w:w="1985" w:type="dxa"/>
            <w:shd w:val="clear" w:color="auto" w:fill="auto"/>
            <w:vAlign w:val="center"/>
          </w:tcPr>
          <w:p>
            <w:pPr>
              <w:pStyle w:val="26"/>
              <w:widowControl w:val="0"/>
              <w:ind w:firstLine="0" w:firstLineChars="0"/>
              <w:jc w:val="center"/>
              <w:rPr>
                <w:color w:val="000000"/>
                <w:sz w:val="18"/>
                <w:szCs w:val="18"/>
              </w:rPr>
            </w:pPr>
            <w:r>
              <w:rPr>
                <w:color w:val="000000"/>
                <w:sz w:val="18"/>
                <w:szCs w:val="18"/>
              </w:rPr>
              <w:t>18</w:t>
            </w:r>
            <w:r>
              <w:rPr>
                <w:rFonts w:hint="eastAsia"/>
                <w:color w:val="000000"/>
                <w:sz w:val="18"/>
                <w:szCs w:val="18"/>
              </w:rPr>
              <w:t>±1</w:t>
            </w:r>
          </w:p>
        </w:tc>
        <w:tc>
          <w:tcPr>
            <w:tcW w:w="1808" w:type="dxa"/>
            <w:shd w:val="clear" w:color="auto" w:fill="auto"/>
            <w:vAlign w:val="center"/>
          </w:tcPr>
          <w:p>
            <w:pPr>
              <w:pStyle w:val="26"/>
              <w:widowControl w:val="0"/>
              <w:ind w:firstLine="0" w:firstLineChars="0"/>
              <w:jc w:val="center"/>
              <w:rPr>
                <w:color w:val="000000"/>
                <w:sz w:val="18"/>
                <w:szCs w:val="18"/>
              </w:rPr>
            </w:pPr>
            <w:r>
              <w:rPr>
                <w:color w:val="000000"/>
                <w:sz w:val="18"/>
                <w:szCs w:val="18"/>
              </w:rPr>
              <w:t>30±2</w:t>
            </w:r>
          </w:p>
        </w:tc>
      </w:tr>
    </w:tbl>
    <w:p>
      <w:pPr>
        <w:pStyle w:val="50"/>
        <w:spacing w:before="156" w:after="156"/>
        <w:ind w:leftChars="-135" w:hanging="283" w:hangingChars="135"/>
        <w:rPr>
          <w:rFonts w:ascii="宋体" w:eastAsia="宋体"/>
          <w:color w:val="000000"/>
          <w:szCs w:val="20"/>
        </w:rPr>
      </w:pPr>
      <w:r>
        <w:rPr>
          <w:rFonts w:hint="eastAsia" w:ascii="宋体" w:eastAsia="宋体"/>
          <w:color w:val="000000"/>
          <w:szCs w:val="20"/>
        </w:rPr>
        <w:t>以</w:t>
      </w:r>
      <w:r>
        <w:rPr>
          <w:rFonts w:ascii="宋体" w:eastAsia="宋体"/>
          <w:color w:val="000000"/>
          <w:szCs w:val="20"/>
        </w:rPr>
        <w:t>V型切口（Notch）</w:t>
      </w:r>
      <w:r>
        <w:rPr>
          <w:rFonts w:hint="eastAsia" w:ascii="宋体" w:eastAsia="宋体"/>
          <w:color w:val="000000"/>
          <w:szCs w:val="20"/>
        </w:rPr>
        <w:t>为标准时，Ф</w:t>
      </w:r>
      <w:r>
        <w:rPr>
          <w:rFonts w:ascii="宋体" w:eastAsia="宋体"/>
          <w:color w:val="000000"/>
          <w:szCs w:val="20"/>
        </w:rPr>
        <w:t>150</w:t>
      </w:r>
      <w:r>
        <w:rPr>
          <w:rFonts w:hint="eastAsia" w:ascii="宋体" w:eastAsia="宋体"/>
          <w:color w:val="000000"/>
          <w:szCs w:val="20"/>
        </w:rPr>
        <w:t>.</w:t>
      </w:r>
      <w:r>
        <w:rPr>
          <w:rFonts w:ascii="宋体" w:eastAsia="宋体"/>
          <w:color w:val="000000"/>
          <w:szCs w:val="20"/>
        </w:rPr>
        <w:t>0</w:t>
      </w:r>
      <w:r>
        <w:rPr>
          <w:rFonts w:hint="eastAsia" w:ascii="宋体" w:eastAsia="宋体"/>
          <w:color w:val="000000"/>
          <w:szCs w:val="20"/>
        </w:rPr>
        <w:t>mm、Ф2</w:t>
      </w:r>
      <w:r>
        <w:rPr>
          <w:rFonts w:ascii="宋体" w:eastAsia="宋体"/>
          <w:color w:val="000000"/>
          <w:szCs w:val="20"/>
        </w:rPr>
        <w:t>00.0mm</w:t>
      </w:r>
      <w:r>
        <w:rPr>
          <w:rFonts w:hint="eastAsia" w:ascii="宋体" w:eastAsia="宋体"/>
          <w:color w:val="000000"/>
          <w:szCs w:val="20"/>
        </w:rPr>
        <w:t>半绝缘砷化镓单晶衬底片</w:t>
      </w:r>
      <w:r>
        <w:rPr>
          <w:rFonts w:ascii="宋体" w:eastAsia="宋体"/>
          <w:color w:val="000000"/>
          <w:szCs w:val="20"/>
        </w:rPr>
        <w:t>参考面的取向、形状和尺寸应符合表</w:t>
      </w:r>
      <w:r>
        <w:rPr>
          <w:rFonts w:hint="eastAsia" w:ascii="宋体" w:eastAsia="宋体"/>
          <w:color w:val="000000"/>
          <w:szCs w:val="20"/>
        </w:rPr>
        <w:t>4的</w:t>
      </w:r>
      <w:r>
        <w:rPr>
          <w:rFonts w:ascii="宋体" w:eastAsia="宋体"/>
          <w:color w:val="000000"/>
          <w:szCs w:val="20"/>
        </w:rPr>
        <w:t>规定。</w:t>
      </w:r>
    </w:p>
    <w:p>
      <w:pPr>
        <w:pStyle w:val="26"/>
        <w:ind w:firstLine="3360" w:firstLineChars="1600"/>
        <w:jc w:val="left"/>
        <w:rPr>
          <w:rFonts w:ascii="黑体" w:hAnsi="黑体" w:eastAsia="黑体"/>
          <w:color w:val="000000"/>
        </w:rPr>
      </w:pPr>
      <w:r>
        <w:rPr>
          <w:rFonts w:hint="eastAsia" w:ascii="黑体" w:hAnsi="黑体" w:eastAsia="黑体"/>
          <w:color w:val="000000"/>
        </w:rPr>
        <w:t>表 4</w:t>
      </w:r>
      <w:r>
        <w:rPr>
          <w:rFonts w:ascii="黑体" w:hAnsi="黑体" w:eastAsia="黑体"/>
          <w:color w:val="000000"/>
        </w:rPr>
        <w:t xml:space="preserve"> </w:t>
      </w:r>
      <w:r>
        <w:rPr>
          <w:rFonts w:hint="eastAsia" w:ascii="黑体" w:hAnsi="黑体" w:eastAsia="黑体"/>
          <w:color w:val="000000"/>
        </w:rPr>
        <w:t>参考面的取向、形状和尺寸</w:t>
      </w:r>
    </w:p>
    <w:tbl>
      <w:tblPr>
        <w:tblStyle w:val="36"/>
        <w:tblW w:w="7655" w:type="dxa"/>
        <w:tblInd w:w="1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8"/>
        <w:gridCol w:w="1810"/>
        <w:gridCol w:w="212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2018" w:type="dxa"/>
            <w:vMerge w:val="restart"/>
            <w:shd w:val="clear" w:color="auto" w:fill="auto"/>
            <w:vAlign w:val="center"/>
          </w:tcPr>
          <w:p>
            <w:pPr>
              <w:pStyle w:val="26"/>
              <w:ind w:left="363" w:firstLine="360" w:firstLineChars="0"/>
              <w:rPr>
                <w:color w:val="000000"/>
                <w:sz w:val="18"/>
                <w:szCs w:val="18"/>
              </w:rPr>
            </w:pPr>
            <w:r>
              <w:rPr>
                <w:rFonts w:hint="eastAsia"/>
                <w:color w:val="000000"/>
                <w:sz w:val="18"/>
                <w:szCs w:val="18"/>
              </w:rPr>
              <w:t>直径</w:t>
            </w:r>
          </w:p>
          <w:p>
            <w:pPr>
              <w:pStyle w:val="26"/>
              <w:ind w:left="363" w:firstLine="379" w:firstLineChars="211"/>
              <w:rPr>
                <w:color w:val="000000"/>
                <w:sz w:val="18"/>
                <w:szCs w:val="18"/>
              </w:rPr>
            </w:pPr>
            <w:r>
              <w:rPr>
                <w:rFonts w:hint="eastAsia"/>
                <w:color w:val="000000"/>
                <w:sz w:val="18"/>
                <w:szCs w:val="18"/>
              </w:rPr>
              <w:t>mm</w:t>
            </w:r>
          </w:p>
        </w:tc>
        <w:tc>
          <w:tcPr>
            <w:tcW w:w="5637" w:type="dxa"/>
            <w:gridSpan w:val="3"/>
            <w:shd w:val="clear" w:color="auto" w:fill="auto"/>
          </w:tcPr>
          <w:p>
            <w:pPr>
              <w:pStyle w:val="26"/>
              <w:ind w:firstLine="0" w:firstLineChars="0"/>
              <w:jc w:val="center"/>
              <w:rPr>
                <w:color w:val="000000"/>
                <w:sz w:val="18"/>
                <w:szCs w:val="18"/>
              </w:rPr>
            </w:pPr>
            <w:r>
              <w:rPr>
                <w:rFonts w:hint="eastAsia"/>
                <w:color w:val="000000"/>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2018" w:type="dxa"/>
            <w:vMerge w:val="continue"/>
            <w:shd w:val="clear" w:color="auto" w:fill="auto"/>
          </w:tcPr>
          <w:p>
            <w:pPr>
              <w:pStyle w:val="26"/>
              <w:ind w:left="363" w:firstLine="0" w:firstLineChars="0"/>
              <w:jc w:val="left"/>
              <w:rPr>
                <w:color w:val="000000"/>
                <w:sz w:val="18"/>
                <w:szCs w:val="18"/>
              </w:rPr>
            </w:pPr>
          </w:p>
        </w:tc>
        <w:tc>
          <w:tcPr>
            <w:tcW w:w="1810" w:type="dxa"/>
            <w:tcBorders>
              <w:right w:val="single" w:color="auto" w:sz="4" w:space="0"/>
            </w:tcBorders>
            <w:shd w:val="clear" w:color="auto" w:fill="auto"/>
            <w:vAlign w:val="bottom"/>
          </w:tcPr>
          <w:p>
            <w:pPr>
              <w:pStyle w:val="26"/>
              <w:widowControl w:val="0"/>
              <w:spacing w:line="200" w:lineRule="exact"/>
              <w:ind w:firstLine="0" w:firstLineChars="0"/>
              <w:jc w:val="center"/>
              <w:rPr>
                <w:color w:val="000000"/>
                <w:sz w:val="18"/>
                <w:szCs w:val="18"/>
              </w:rPr>
            </w:pPr>
            <w:r>
              <w:rPr>
                <w:rFonts w:hint="eastAsia"/>
                <w:color w:val="000000"/>
                <w:sz w:val="18"/>
                <w:szCs w:val="18"/>
              </w:rPr>
              <w:t>取向</w:t>
            </w:r>
          </w:p>
          <w:p>
            <w:pPr>
              <w:pStyle w:val="26"/>
              <w:widowControl w:val="0"/>
              <w:spacing w:line="200" w:lineRule="exact"/>
              <w:ind w:firstLine="0" w:firstLineChars="0"/>
              <w:jc w:val="center"/>
              <w:rPr>
                <w:color w:val="000000"/>
                <w:sz w:val="18"/>
                <w:szCs w:val="18"/>
              </w:rPr>
            </w:pPr>
            <w:r>
              <w:rPr>
                <w:rFonts w:hint="eastAsia"/>
                <w:color w:val="000000"/>
                <w:sz w:val="18"/>
                <w:szCs w:val="18"/>
              </w:rPr>
              <w:t xml:space="preserve"> °</w:t>
            </w:r>
          </w:p>
        </w:tc>
        <w:tc>
          <w:tcPr>
            <w:tcW w:w="2126" w:type="dxa"/>
            <w:tcBorders>
              <w:left w:val="single" w:color="auto" w:sz="4" w:space="0"/>
              <w:right w:val="single" w:color="auto" w:sz="4" w:space="0"/>
            </w:tcBorders>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深度</w:t>
            </w:r>
          </w:p>
          <w:p>
            <w:pPr>
              <w:pStyle w:val="26"/>
              <w:widowControl w:val="0"/>
              <w:spacing w:line="200" w:lineRule="exact"/>
              <w:ind w:firstLine="0" w:firstLineChars="0"/>
              <w:jc w:val="center"/>
              <w:rPr>
                <w:color w:val="000000"/>
                <w:sz w:val="18"/>
                <w:szCs w:val="18"/>
              </w:rPr>
            </w:pPr>
            <w:r>
              <w:rPr>
                <w:color w:val="000000"/>
                <w:sz w:val="18"/>
                <w:szCs w:val="18"/>
              </w:rPr>
              <w:t>mm</w:t>
            </w:r>
          </w:p>
        </w:tc>
        <w:tc>
          <w:tcPr>
            <w:tcW w:w="1701" w:type="dxa"/>
            <w:tcBorders>
              <w:left w:val="single" w:color="auto" w:sz="4" w:space="0"/>
            </w:tcBorders>
            <w:shd w:val="clear" w:color="auto" w:fill="auto"/>
            <w:vAlign w:val="bottom"/>
          </w:tcPr>
          <w:p>
            <w:pPr>
              <w:pStyle w:val="26"/>
              <w:widowControl w:val="0"/>
              <w:spacing w:line="200" w:lineRule="exact"/>
              <w:ind w:firstLine="0" w:firstLineChars="0"/>
              <w:jc w:val="center"/>
              <w:rPr>
                <w:color w:val="000000"/>
                <w:sz w:val="18"/>
                <w:szCs w:val="18"/>
              </w:rPr>
            </w:pPr>
            <w:r>
              <w:rPr>
                <w:rFonts w:hint="eastAsia"/>
                <w:color w:val="000000"/>
                <w:sz w:val="18"/>
                <w:szCs w:val="18"/>
              </w:rPr>
              <w:t>开角</w:t>
            </w:r>
          </w:p>
          <w:p>
            <w:pPr>
              <w:pStyle w:val="26"/>
              <w:widowControl w:val="0"/>
              <w:spacing w:line="200" w:lineRule="exact"/>
              <w:ind w:firstLine="0" w:firstLineChars="0"/>
              <w:jc w:val="center"/>
              <w:rPr>
                <w:color w:val="000000"/>
                <w:sz w:val="18"/>
                <w:szCs w:val="18"/>
              </w:rPr>
            </w:pPr>
            <w:r>
              <w:rPr>
                <w:rFonts w:hint="eastAsia"/>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8" w:type="dxa"/>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Ф</w:t>
            </w:r>
            <w:r>
              <w:rPr>
                <w:color w:val="000000"/>
                <w:sz w:val="18"/>
                <w:szCs w:val="18"/>
              </w:rPr>
              <w:t>150</w:t>
            </w:r>
            <w:r>
              <w:rPr>
                <w:rFonts w:hint="eastAsia"/>
                <w:color w:val="000000"/>
                <w:sz w:val="18"/>
                <w:szCs w:val="18"/>
              </w:rPr>
              <w:t>.</w:t>
            </w:r>
            <w:r>
              <w:rPr>
                <w:color w:val="000000"/>
                <w:sz w:val="18"/>
                <w:szCs w:val="18"/>
              </w:rPr>
              <w:t>0</w:t>
            </w:r>
          </w:p>
        </w:tc>
        <w:tc>
          <w:tcPr>
            <w:tcW w:w="1810" w:type="dxa"/>
            <w:tcBorders>
              <w:right w:val="single" w:color="auto" w:sz="4" w:space="0"/>
            </w:tcBorders>
            <w:shd w:val="clear" w:color="auto" w:fill="auto"/>
            <w:vAlign w:val="center"/>
          </w:tcPr>
          <w:p>
            <w:pPr>
              <w:pStyle w:val="26"/>
              <w:ind w:firstLine="0" w:firstLineChars="0"/>
              <w:jc w:val="center"/>
              <w:rPr>
                <w:color w:val="000000"/>
                <w:sz w:val="18"/>
                <w:szCs w:val="18"/>
              </w:rPr>
            </w:pPr>
            <w:r>
              <w:rPr>
                <w:rFonts w:hint="eastAsia" w:hAnsi="宋体"/>
                <w:color w:val="000000"/>
                <w:sz w:val="18"/>
                <w:szCs w:val="18"/>
              </w:rPr>
              <w:t>［</w:t>
            </w:r>
            <w:r>
              <w:rPr>
                <w:color w:val="000000"/>
                <w:sz w:val="18"/>
                <w:szCs w:val="18"/>
              </w:rPr>
              <w:t>010</w:t>
            </w:r>
            <w:r>
              <w:rPr>
                <w:rFonts w:hint="eastAsia" w:hAnsi="宋体"/>
                <w:color w:val="000000"/>
                <w:sz w:val="18"/>
                <w:szCs w:val="18"/>
              </w:rPr>
              <w:t>］±2</w:t>
            </w:r>
          </w:p>
        </w:tc>
        <w:tc>
          <w:tcPr>
            <w:tcW w:w="2126" w:type="dxa"/>
            <w:tcBorders>
              <w:right w:val="single" w:color="auto" w:sz="4" w:space="0"/>
            </w:tcBorders>
            <w:shd w:val="clear" w:color="auto" w:fill="auto"/>
            <w:vAlign w:val="center"/>
          </w:tcPr>
          <w:p>
            <w:pPr>
              <w:pStyle w:val="26"/>
              <w:ind w:firstLine="0" w:firstLineChars="0"/>
              <w:jc w:val="center"/>
              <w:rPr>
                <w:color w:val="000000"/>
                <w:sz w:val="18"/>
                <w:szCs w:val="18"/>
              </w:rPr>
            </w:pPr>
            <w:r>
              <w:rPr>
                <w:rFonts w:hint="eastAsia"/>
                <w:color w:val="000000"/>
                <w:sz w:val="18"/>
                <w:szCs w:val="18"/>
              </w:rPr>
              <w:t>1</w:t>
            </w:r>
            <w:r>
              <w:rPr>
                <w:color w:val="000000"/>
                <w:sz w:val="18"/>
                <w:szCs w:val="18"/>
              </w:rPr>
              <w:t>+0.25/-0</w:t>
            </w:r>
          </w:p>
        </w:tc>
        <w:tc>
          <w:tcPr>
            <w:tcW w:w="1701" w:type="dxa"/>
            <w:shd w:val="clear" w:color="auto" w:fill="auto"/>
            <w:vAlign w:val="center"/>
          </w:tcPr>
          <w:p>
            <w:pPr>
              <w:pStyle w:val="26"/>
              <w:ind w:firstLine="0" w:firstLineChars="0"/>
              <w:jc w:val="center"/>
              <w:rPr>
                <w:color w:val="000000"/>
                <w:sz w:val="18"/>
                <w:szCs w:val="18"/>
              </w:rPr>
            </w:pPr>
            <w:r>
              <w:rPr>
                <w:rFonts w:hint="eastAsia"/>
                <w:color w:val="000000"/>
                <w:sz w:val="18"/>
                <w:szCs w:val="18"/>
              </w:rPr>
              <w:t>9</w:t>
            </w:r>
            <w:r>
              <w:rPr>
                <w:color w:val="000000"/>
                <w:sz w:val="18"/>
                <w:szCs w:val="18"/>
              </w:rPr>
              <w:t>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8" w:type="dxa"/>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Ф2</w:t>
            </w:r>
            <w:r>
              <w:rPr>
                <w:color w:val="000000"/>
                <w:sz w:val="18"/>
                <w:szCs w:val="18"/>
              </w:rPr>
              <w:t xml:space="preserve">00.0 </w:t>
            </w:r>
          </w:p>
        </w:tc>
        <w:tc>
          <w:tcPr>
            <w:tcW w:w="1810" w:type="dxa"/>
            <w:tcBorders>
              <w:right w:val="single" w:color="auto" w:sz="4" w:space="0"/>
            </w:tcBorders>
            <w:shd w:val="clear" w:color="auto" w:fill="auto"/>
            <w:vAlign w:val="center"/>
          </w:tcPr>
          <w:p>
            <w:pPr>
              <w:pStyle w:val="26"/>
              <w:ind w:firstLine="0" w:firstLineChars="0"/>
              <w:jc w:val="center"/>
              <w:rPr>
                <w:color w:val="000000"/>
                <w:sz w:val="18"/>
                <w:szCs w:val="18"/>
              </w:rPr>
            </w:pPr>
            <w:r>
              <w:rPr>
                <w:rFonts w:hint="eastAsia" w:hAnsi="宋体"/>
                <w:color w:val="000000"/>
                <w:sz w:val="18"/>
                <w:szCs w:val="18"/>
              </w:rPr>
              <w:t>［</w:t>
            </w:r>
            <w:r>
              <w:rPr>
                <w:color w:val="000000"/>
                <w:sz w:val="18"/>
                <w:szCs w:val="18"/>
              </w:rPr>
              <w:t>010</w:t>
            </w:r>
            <w:r>
              <w:rPr>
                <w:rFonts w:hint="eastAsia" w:hAnsi="宋体"/>
                <w:color w:val="000000"/>
                <w:sz w:val="18"/>
                <w:szCs w:val="18"/>
              </w:rPr>
              <w:t>］±2</w:t>
            </w:r>
          </w:p>
        </w:tc>
        <w:tc>
          <w:tcPr>
            <w:tcW w:w="2126" w:type="dxa"/>
            <w:tcBorders>
              <w:right w:val="single" w:color="auto" w:sz="4" w:space="0"/>
            </w:tcBorders>
            <w:shd w:val="clear" w:color="auto" w:fill="auto"/>
            <w:vAlign w:val="center"/>
          </w:tcPr>
          <w:p>
            <w:pPr>
              <w:pStyle w:val="26"/>
              <w:ind w:firstLine="0" w:firstLineChars="0"/>
              <w:jc w:val="center"/>
              <w:rPr>
                <w:color w:val="000000"/>
                <w:sz w:val="18"/>
                <w:szCs w:val="18"/>
              </w:rPr>
            </w:pPr>
            <w:r>
              <w:rPr>
                <w:rFonts w:hint="eastAsia"/>
                <w:color w:val="000000"/>
                <w:sz w:val="18"/>
                <w:szCs w:val="18"/>
              </w:rPr>
              <w:t>1</w:t>
            </w:r>
            <w:r>
              <w:rPr>
                <w:color w:val="000000"/>
                <w:sz w:val="18"/>
                <w:szCs w:val="18"/>
              </w:rPr>
              <w:t>+0.25/-0</w:t>
            </w:r>
          </w:p>
        </w:tc>
        <w:tc>
          <w:tcPr>
            <w:tcW w:w="1701" w:type="dxa"/>
            <w:tcBorders>
              <w:bottom w:val="single" w:color="auto" w:sz="4" w:space="0"/>
            </w:tcBorders>
            <w:shd w:val="clear" w:color="auto" w:fill="auto"/>
            <w:vAlign w:val="center"/>
          </w:tcPr>
          <w:p>
            <w:pPr>
              <w:pStyle w:val="26"/>
              <w:ind w:firstLine="0" w:firstLineChars="0"/>
              <w:jc w:val="center"/>
              <w:rPr>
                <w:color w:val="000000"/>
                <w:sz w:val="18"/>
                <w:szCs w:val="18"/>
              </w:rPr>
            </w:pPr>
            <w:r>
              <w:rPr>
                <w:rFonts w:hint="eastAsia"/>
                <w:color w:val="000000"/>
                <w:sz w:val="18"/>
                <w:szCs w:val="18"/>
              </w:rPr>
              <w:t>9</w:t>
            </w:r>
            <w:r>
              <w:rPr>
                <w:color w:val="000000"/>
                <w:sz w:val="18"/>
                <w:szCs w:val="18"/>
              </w:rPr>
              <w:t>0+5/-1</w:t>
            </w:r>
          </w:p>
        </w:tc>
      </w:tr>
    </w:tbl>
    <w:p>
      <w:pPr>
        <w:pStyle w:val="46"/>
        <w:ind w:left="0" w:leftChars="-135" w:hanging="283" w:hangingChars="135"/>
      </w:pPr>
      <w:r>
        <w:rPr>
          <w:rFonts w:hint="eastAsia"/>
        </w:rPr>
        <w:t>外形</w:t>
      </w:r>
      <w:r>
        <w:t>几何尺寸</w:t>
      </w:r>
      <w:r>
        <w:rPr>
          <w:rFonts w:hint="eastAsia"/>
        </w:rPr>
        <w:t xml:space="preserve"> </w:t>
      </w:r>
    </w:p>
    <w:p>
      <w:pPr>
        <w:pStyle w:val="46"/>
        <w:numPr>
          <w:ilvl w:val="0"/>
          <w:numId w:val="0"/>
        </w:numPr>
        <w:ind w:firstLine="210" w:firstLineChars="100"/>
      </w:pPr>
      <w:r>
        <w:rPr>
          <w:rFonts w:hint="eastAsia" w:ascii="宋体" w:eastAsia="宋体"/>
          <w:color w:val="000000"/>
          <w:szCs w:val="20"/>
        </w:rPr>
        <w:t>半绝缘砷化镓单晶衬底片的外形</w:t>
      </w:r>
      <w:r>
        <w:rPr>
          <w:rFonts w:ascii="宋体" w:eastAsia="宋体"/>
          <w:color w:val="000000"/>
          <w:szCs w:val="20"/>
        </w:rPr>
        <w:t>几何尺寸</w:t>
      </w:r>
      <w:r>
        <w:rPr>
          <w:rFonts w:hint="eastAsia" w:ascii="宋体" w:eastAsia="宋体"/>
          <w:color w:val="000000"/>
          <w:szCs w:val="20"/>
        </w:rPr>
        <w:t>应符合表5的要求。</w:t>
      </w:r>
    </w:p>
    <w:p>
      <w:pPr>
        <w:pStyle w:val="26"/>
        <w:ind w:firstLine="3780" w:firstLineChars="1800"/>
        <w:jc w:val="left"/>
        <w:rPr>
          <w:rFonts w:ascii="黑体" w:hAnsi="黑体" w:eastAsia="黑体"/>
          <w:color w:val="000000"/>
        </w:rPr>
      </w:pPr>
      <w:r>
        <w:rPr>
          <w:rFonts w:hint="eastAsia" w:ascii="黑体" w:hAnsi="黑体" w:eastAsia="黑体"/>
          <w:color w:val="000000"/>
        </w:rPr>
        <w:t xml:space="preserve">表 </w:t>
      </w:r>
      <w:r>
        <w:rPr>
          <w:rFonts w:ascii="黑体" w:hAnsi="黑体" w:eastAsia="黑体"/>
          <w:color w:val="000000"/>
        </w:rPr>
        <w:t>5 外形几何尺寸</w:t>
      </w:r>
    </w:p>
    <w:tbl>
      <w:tblPr>
        <w:tblStyle w:val="36"/>
        <w:tblW w:w="92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1"/>
        <w:gridCol w:w="1418"/>
        <w:gridCol w:w="1559"/>
        <w:gridCol w:w="1559"/>
        <w:gridCol w:w="1560"/>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1" w:type="dxa"/>
            <w:vMerge w:val="restart"/>
            <w:shd w:val="clear" w:color="auto" w:fill="auto"/>
            <w:vAlign w:val="center"/>
          </w:tcPr>
          <w:p>
            <w:pPr>
              <w:pStyle w:val="26"/>
              <w:ind w:left="-2" w:leftChars="-1" w:firstLine="547" w:firstLineChars="304"/>
              <w:jc w:val="left"/>
              <w:rPr>
                <w:rFonts w:hAnsi="宋体"/>
                <w:color w:val="000000"/>
                <w:sz w:val="18"/>
                <w:szCs w:val="18"/>
              </w:rPr>
            </w:pPr>
            <w:r>
              <w:rPr>
                <w:rFonts w:hint="eastAsia" w:hAnsi="宋体"/>
                <w:color w:val="000000"/>
                <w:sz w:val="18"/>
                <w:szCs w:val="18"/>
              </w:rPr>
              <w:t>项目</w:t>
            </w:r>
          </w:p>
        </w:tc>
        <w:tc>
          <w:tcPr>
            <w:tcW w:w="7368" w:type="dxa"/>
            <w:gridSpan w:val="5"/>
            <w:shd w:val="clear" w:color="auto" w:fill="auto"/>
          </w:tcPr>
          <w:p>
            <w:pPr>
              <w:pStyle w:val="26"/>
              <w:ind w:firstLine="0" w:firstLineChars="0"/>
              <w:jc w:val="center"/>
              <w:rPr>
                <w:rFonts w:hAnsi="宋体"/>
                <w:color w:val="000000"/>
                <w:sz w:val="18"/>
                <w:szCs w:val="18"/>
              </w:rPr>
            </w:pPr>
            <w:r>
              <w:rPr>
                <w:rFonts w:hint="eastAsia" w:hAnsi="宋体"/>
                <w:color w:val="000000"/>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1" w:type="dxa"/>
            <w:vMerge w:val="continue"/>
            <w:shd w:val="clear" w:color="auto" w:fill="auto"/>
            <w:vAlign w:val="center"/>
          </w:tcPr>
          <w:p>
            <w:pPr>
              <w:pStyle w:val="26"/>
              <w:ind w:left="544" w:firstLine="0" w:firstLineChars="0"/>
              <w:jc w:val="left"/>
              <w:rPr>
                <w:rFonts w:hAnsi="宋体"/>
                <w:color w:val="000000"/>
                <w:sz w:val="18"/>
                <w:szCs w:val="18"/>
              </w:rPr>
            </w:pPr>
          </w:p>
        </w:tc>
        <w:tc>
          <w:tcPr>
            <w:tcW w:w="1418" w:type="dxa"/>
            <w:tcBorders>
              <w:right w:val="single" w:color="auto" w:sz="4" w:space="0"/>
            </w:tcBorders>
            <w:shd w:val="clear" w:color="auto" w:fill="auto"/>
          </w:tcPr>
          <w:p>
            <w:pPr>
              <w:pStyle w:val="26"/>
              <w:ind w:firstLine="0" w:firstLineChars="0"/>
              <w:jc w:val="center"/>
              <w:rPr>
                <w:rFonts w:hAnsi="宋体"/>
                <w:color w:val="000000"/>
                <w:sz w:val="18"/>
                <w:szCs w:val="18"/>
              </w:rPr>
            </w:pPr>
            <w:r>
              <w:rPr>
                <w:rFonts w:hint="eastAsia" w:hAnsi="宋体"/>
                <w:color w:val="000000"/>
                <w:sz w:val="18"/>
                <w:szCs w:val="18"/>
              </w:rPr>
              <w:t>Ф50.8mm</w:t>
            </w:r>
          </w:p>
        </w:tc>
        <w:tc>
          <w:tcPr>
            <w:tcW w:w="1559" w:type="dxa"/>
            <w:tcBorders>
              <w:left w:val="single" w:color="auto" w:sz="4" w:space="0"/>
              <w:right w:val="single" w:color="auto" w:sz="4" w:space="0"/>
            </w:tcBorders>
            <w:shd w:val="clear" w:color="auto" w:fill="auto"/>
          </w:tcPr>
          <w:p>
            <w:pPr>
              <w:pStyle w:val="26"/>
              <w:widowControl w:val="0"/>
              <w:ind w:firstLine="0" w:firstLineChars="0"/>
              <w:jc w:val="center"/>
              <w:rPr>
                <w:rFonts w:hAnsi="宋体"/>
                <w:color w:val="000000"/>
                <w:sz w:val="18"/>
                <w:szCs w:val="18"/>
              </w:rPr>
            </w:pPr>
            <w:r>
              <w:rPr>
                <w:rFonts w:hint="eastAsia" w:hAnsi="宋体"/>
                <w:color w:val="000000"/>
                <w:sz w:val="18"/>
                <w:szCs w:val="18"/>
              </w:rPr>
              <w:t>Ф</w:t>
            </w:r>
            <w:r>
              <w:rPr>
                <w:rFonts w:hAnsi="宋体"/>
                <w:color w:val="000000"/>
                <w:sz w:val="18"/>
                <w:szCs w:val="18"/>
              </w:rPr>
              <w:t>76.2</w:t>
            </w:r>
            <w:r>
              <w:rPr>
                <w:rFonts w:hint="eastAsia" w:hAnsi="宋体"/>
                <w:color w:val="000000"/>
                <w:sz w:val="18"/>
                <w:szCs w:val="18"/>
              </w:rPr>
              <w:t>mm</w:t>
            </w:r>
          </w:p>
        </w:tc>
        <w:tc>
          <w:tcPr>
            <w:tcW w:w="1559" w:type="dxa"/>
            <w:tcBorders>
              <w:left w:val="single" w:color="auto" w:sz="4" w:space="0"/>
              <w:right w:val="single" w:color="auto" w:sz="4" w:space="0"/>
            </w:tcBorders>
            <w:shd w:val="clear" w:color="auto" w:fill="auto"/>
          </w:tcPr>
          <w:p>
            <w:pPr>
              <w:pStyle w:val="26"/>
              <w:widowControl w:val="0"/>
              <w:ind w:firstLine="0" w:firstLineChars="0"/>
              <w:jc w:val="center"/>
              <w:rPr>
                <w:rFonts w:hAnsi="宋体"/>
                <w:color w:val="000000"/>
                <w:sz w:val="18"/>
                <w:szCs w:val="18"/>
              </w:rPr>
            </w:pPr>
            <w:r>
              <w:rPr>
                <w:rFonts w:hint="eastAsia" w:hAnsi="宋体"/>
                <w:color w:val="000000"/>
                <w:sz w:val="18"/>
                <w:szCs w:val="18"/>
              </w:rPr>
              <w:t>Ф</w:t>
            </w:r>
            <w:r>
              <w:rPr>
                <w:rFonts w:hAnsi="宋体"/>
                <w:color w:val="000000"/>
                <w:sz w:val="18"/>
                <w:szCs w:val="18"/>
              </w:rPr>
              <w:t>100.0</w:t>
            </w:r>
            <w:r>
              <w:rPr>
                <w:rFonts w:hint="eastAsia" w:hAnsi="宋体"/>
                <w:color w:val="000000"/>
                <w:sz w:val="18"/>
                <w:szCs w:val="18"/>
              </w:rPr>
              <w:t>mm</w:t>
            </w:r>
          </w:p>
        </w:tc>
        <w:tc>
          <w:tcPr>
            <w:tcW w:w="1560" w:type="dxa"/>
            <w:tcBorders>
              <w:left w:val="single" w:color="auto" w:sz="4" w:space="0"/>
            </w:tcBorders>
            <w:shd w:val="clear" w:color="auto" w:fill="auto"/>
          </w:tcPr>
          <w:p>
            <w:pPr>
              <w:pStyle w:val="26"/>
              <w:ind w:firstLine="0" w:firstLineChars="0"/>
              <w:jc w:val="center"/>
              <w:rPr>
                <w:rFonts w:hAnsi="宋体"/>
                <w:color w:val="000000"/>
                <w:sz w:val="18"/>
                <w:szCs w:val="18"/>
              </w:rPr>
            </w:pPr>
            <w:r>
              <w:rPr>
                <w:rFonts w:hint="eastAsia" w:hAnsi="宋体"/>
                <w:color w:val="000000"/>
                <w:sz w:val="18"/>
                <w:szCs w:val="18"/>
              </w:rPr>
              <w:t>Ф</w:t>
            </w:r>
            <w:r>
              <w:rPr>
                <w:rFonts w:hAnsi="宋体"/>
                <w:color w:val="000000"/>
                <w:sz w:val="18"/>
                <w:szCs w:val="18"/>
              </w:rPr>
              <w:t>150.0</w:t>
            </w:r>
            <w:r>
              <w:rPr>
                <w:rFonts w:hint="eastAsia" w:hAnsi="宋体"/>
                <w:color w:val="000000"/>
                <w:sz w:val="18"/>
                <w:szCs w:val="18"/>
              </w:rPr>
              <w:t>mm</w:t>
            </w:r>
          </w:p>
        </w:tc>
        <w:tc>
          <w:tcPr>
            <w:tcW w:w="1272" w:type="dxa"/>
            <w:tcBorders>
              <w:left w:val="single" w:color="auto" w:sz="4" w:space="0"/>
            </w:tcBorders>
          </w:tcPr>
          <w:p>
            <w:pPr>
              <w:pStyle w:val="26"/>
              <w:ind w:firstLine="0" w:firstLineChars="0"/>
              <w:jc w:val="center"/>
              <w:rPr>
                <w:rFonts w:hAnsi="宋体"/>
                <w:sz w:val="18"/>
                <w:szCs w:val="18"/>
              </w:rPr>
            </w:pPr>
            <w:r>
              <w:rPr>
                <w:rFonts w:hint="eastAsia" w:hAnsi="宋体"/>
                <w:sz w:val="18"/>
                <w:szCs w:val="18"/>
              </w:rPr>
              <w:t>Ф</w:t>
            </w:r>
            <w:r>
              <w:rPr>
                <w:rFonts w:hAnsi="宋体"/>
                <w:sz w:val="18"/>
                <w:szCs w:val="18"/>
              </w:rPr>
              <w:t>200.0</w:t>
            </w:r>
            <w:r>
              <w:rPr>
                <w:rFonts w:hint="eastAsia" w:hAnsi="宋体"/>
                <w:sz w:val="18"/>
                <w:szCs w:val="18"/>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931" w:type="dxa"/>
            <w:shd w:val="clear" w:color="auto" w:fill="auto"/>
            <w:vAlign w:val="bottom"/>
          </w:tcPr>
          <w:p>
            <w:pPr>
              <w:pStyle w:val="26"/>
              <w:widowControl w:val="0"/>
              <w:spacing w:line="200" w:lineRule="exact"/>
              <w:ind w:firstLine="0" w:firstLineChars="0"/>
              <w:jc w:val="center"/>
              <w:rPr>
                <w:color w:val="000000"/>
                <w:sz w:val="18"/>
                <w:szCs w:val="18"/>
              </w:rPr>
            </w:pPr>
            <w:r>
              <w:rPr>
                <w:rFonts w:hint="eastAsia"/>
                <w:color w:val="000000"/>
                <w:sz w:val="18"/>
                <w:szCs w:val="18"/>
              </w:rPr>
              <w:t>直径</w:t>
            </w:r>
            <w:r>
              <w:rPr>
                <w:color w:val="000000"/>
                <w:sz w:val="18"/>
                <w:szCs w:val="18"/>
              </w:rPr>
              <w:t>及</w:t>
            </w:r>
            <w:r>
              <w:rPr>
                <w:rFonts w:hint="eastAsia"/>
                <w:color w:val="000000"/>
                <w:sz w:val="18"/>
                <w:szCs w:val="18"/>
              </w:rPr>
              <w:t>允许</w:t>
            </w:r>
            <w:r>
              <w:rPr>
                <w:color w:val="000000"/>
                <w:sz w:val="18"/>
                <w:szCs w:val="18"/>
              </w:rPr>
              <w:t xml:space="preserve">偏差 </w:t>
            </w:r>
          </w:p>
          <w:p>
            <w:pPr>
              <w:pStyle w:val="26"/>
              <w:widowControl w:val="0"/>
              <w:spacing w:line="200" w:lineRule="exact"/>
              <w:ind w:firstLine="0" w:firstLineChars="0"/>
              <w:jc w:val="center"/>
              <w:rPr>
                <w:color w:val="000000"/>
                <w:sz w:val="18"/>
                <w:szCs w:val="18"/>
              </w:rPr>
            </w:pPr>
            <w:r>
              <w:rPr>
                <w:color w:val="000000"/>
                <w:sz w:val="18"/>
                <w:szCs w:val="18"/>
              </w:rPr>
              <w:t>mm</w:t>
            </w:r>
          </w:p>
        </w:tc>
        <w:tc>
          <w:tcPr>
            <w:tcW w:w="1418" w:type="dxa"/>
            <w:tcBorders>
              <w:right w:val="single" w:color="auto" w:sz="4" w:space="0"/>
            </w:tcBorders>
            <w:shd w:val="clear" w:color="auto" w:fill="auto"/>
          </w:tcPr>
          <w:p>
            <w:pPr>
              <w:pStyle w:val="26"/>
              <w:ind w:firstLine="0" w:firstLineChars="0"/>
              <w:jc w:val="center"/>
              <w:rPr>
                <w:rFonts w:hAnsi="宋体"/>
                <w:color w:val="000000"/>
                <w:sz w:val="18"/>
                <w:szCs w:val="18"/>
              </w:rPr>
            </w:pPr>
            <w:r>
              <w:rPr>
                <w:rFonts w:hint="eastAsia" w:hAnsi="宋体"/>
                <w:color w:val="000000"/>
                <w:sz w:val="18"/>
                <w:szCs w:val="18"/>
              </w:rPr>
              <w:t>50.8±0.2</w:t>
            </w:r>
          </w:p>
        </w:tc>
        <w:tc>
          <w:tcPr>
            <w:tcW w:w="1559" w:type="dxa"/>
            <w:tcBorders>
              <w:left w:val="single" w:color="auto" w:sz="4" w:space="0"/>
              <w:right w:val="single" w:color="auto" w:sz="4" w:space="0"/>
            </w:tcBorders>
            <w:shd w:val="clear" w:color="auto" w:fill="auto"/>
          </w:tcPr>
          <w:p>
            <w:pPr>
              <w:pStyle w:val="26"/>
              <w:ind w:firstLine="0" w:firstLineChars="0"/>
              <w:jc w:val="center"/>
              <w:rPr>
                <w:rFonts w:hAnsi="宋体"/>
                <w:color w:val="000000"/>
                <w:sz w:val="18"/>
                <w:szCs w:val="18"/>
              </w:rPr>
            </w:pPr>
            <w:r>
              <w:rPr>
                <w:rFonts w:hAnsi="宋体"/>
                <w:color w:val="000000"/>
                <w:sz w:val="18"/>
                <w:szCs w:val="18"/>
              </w:rPr>
              <w:t>76.2</w:t>
            </w:r>
            <w:r>
              <w:rPr>
                <w:rFonts w:hint="eastAsia" w:hAnsi="宋体"/>
                <w:color w:val="000000"/>
                <w:sz w:val="18"/>
                <w:szCs w:val="18"/>
              </w:rPr>
              <w:t>±0.2</w:t>
            </w:r>
          </w:p>
        </w:tc>
        <w:tc>
          <w:tcPr>
            <w:tcW w:w="1559" w:type="dxa"/>
            <w:tcBorders>
              <w:left w:val="single" w:color="auto" w:sz="4" w:space="0"/>
              <w:right w:val="single" w:color="auto" w:sz="4" w:space="0"/>
            </w:tcBorders>
            <w:shd w:val="clear" w:color="auto" w:fill="auto"/>
          </w:tcPr>
          <w:p>
            <w:pPr>
              <w:pStyle w:val="26"/>
              <w:ind w:firstLine="0" w:firstLineChars="0"/>
              <w:jc w:val="center"/>
              <w:rPr>
                <w:rFonts w:hAnsi="宋体"/>
                <w:color w:val="000000"/>
                <w:sz w:val="18"/>
                <w:szCs w:val="18"/>
              </w:rPr>
            </w:pPr>
            <w:r>
              <w:rPr>
                <w:rFonts w:hAnsi="宋体"/>
                <w:color w:val="000000"/>
                <w:sz w:val="18"/>
                <w:szCs w:val="18"/>
              </w:rPr>
              <w:t>100.0</w:t>
            </w:r>
            <w:r>
              <w:rPr>
                <w:rFonts w:hint="eastAsia" w:hAnsi="宋体"/>
                <w:color w:val="000000"/>
                <w:sz w:val="18"/>
                <w:szCs w:val="18"/>
              </w:rPr>
              <w:t>±0.2</w:t>
            </w:r>
          </w:p>
        </w:tc>
        <w:tc>
          <w:tcPr>
            <w:tcW w:w="1560" w:type="dxa"/>
            <w:tcBorders>
              <w:left w:val="single" w:color="auto" w:sz="4" w:space="0"/>
            </w:tcBorders>
            <w:shd w:val="clear" w:color="auto" w:fill="auto"/>
          </w:tcPr>
          <w:p>
            <w:pPr>
              <w:pStyle w:val="26"/>
              <w:ind w:firstLine="0" w:firstLineChars="0"/>
              <w:jc w:val="center"/>
              <w:rPr>
                <w:rFonts w:hAnsi="宋体"/>
                <w:color w:val="000000"/>
                <w:sz w:val="18"/>
                <w:szCs w:val="18"/>
              </w:rPr>
            </w:pPr>
            <w:r>
              <w:rPr>
                <w:rFonts w:hint="eastAsia" w:hAnsi="宋体"/>
                <w:color w:val="000000"/>
                <w:sz w:val="18"/>
                <w:szCs w:val="18"/>
              </w:rPr>
              <w:t>150</w:t>
            </w:r>
            <w:r>
              <w:rPr>
                <w:rFonts w:hAnsi="宋体"/>
                <w:color w:val="000000"/>
                <w:sz w:val="18"/>
                <w:szCs w:val="18"/>
              </w:rPr>
              <w:t>.0</w:t>
            </w:r>
            <w:r>
              <w:rPr>
                <w:rFonts w:hint="eastAsia" w:hAnsi="宋体"/>
                <w:color w:val="000000"/>
                <w:sz w:val="18"/>
                <w:szCs w:val="18"/>
              </w:rPr>
              <w:t>±0.2</w:t>
            </w:r>
          </w:p>
        </w:tc>
        <w:tc>
          <w:tcPr>
            <w:tcW w:w="1272" w:type="dxa"/>
            <w:tcBorders>
              <w:left w:val="single" w:color="auto" w:sz="4" w:space="0"/>
            </w:tcBorders>
          </w:tcPr>
          <w:p>
            <w:pPr>
              <w:pStyle w:val="26"/>
              <w:ind w:firstLine="0" w:firstLineChars="0"/>
              <w:jc w:val="center"/>
              <w:rPr>
                <w:rFonts w:hAnsi="宋体"/>
                <w:sz w:val="18"/>
                <w:szCs w:val="18"/>
              </w:rPr>
            </w:pPr>
            <w:r>
              <w:rPr>
                <w:rFonts w:hAnsi="宋体"/>
                <w:sz w:val="18"/>
                <w:szCs w:val="18"/>
              </w:rPr>
              <w:t>200.0</w:t>
            </w:r>
            <w:r>
              <w:rPr>
                <w:rFonts w:hint="eastAsia" w:hAnsi="宋体"/>
                <w:sz w:val="18"/>
                <w:szCs w:val="1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1931" w:type="dxa"/>
            <w:shd w:val="clear" w:color="auto" w:fill="auto"/>
            <w:vAlign w:val="bottom"/>
          </w:tcPr>
          <w:p>
            <w:pPr>
              <w:pStyle w:val="26"/>
              <w:widowControl w:val="0"/>
              <w:spacing w:line="200" w:lineRule="exact"/>
              <w:ind w:firstLine="0" w:firstLineChars="0"/>
              <w:jc w:val="center"/>
              <w:rPr>
                <w:color w:val="000000"/>
                <w:sz w:val="18"/>
                <w:szCs w:val="18"/>
              </w:rPr>
            </w:pPr>
            <w:r>
              <w:rPr>
                <w:rFonts w:hint="eastAsia"/>
                <w:color w:val="000000"/>
                <w:sz w:val="18"/>
                <w:szCs w:val="18"/>
              </w:rPr>
              <w:t>厚度</w:t>
            </w:r>
            <w:r>
              <w:rPr>
                <w:color w:val="000000"/>
                <w:sz w:val="18"/>
                <w:szCs w:val="18"/>
              </w:rPr>
              <w:t xml:space="preserve">及允许偏差 </w:t>
            </w:r>
          </w:p>
          <w:p>
            <w:pPr>
              <w:pStyle w:val="26"/>
              <w:widowControl w:val="0"/>
              <w:spacing w:line="200" w:lineRule="exact"/>
              <w:ind w:firstLine="0" w:firstLineChars="0"/>
              <w:jc w:val="center"/>
              <w:rPr>
                <w:color w:val="000000"/>
                <w:sz w:val="18"/>
                <w:szCs w:val="18"/>
              </w:rPr>
            </w:pPr>
            <w:r>
              <w:rPr>
                <w:rFonts w:hint="eastAsia"/>
                <w:color w:val="000000"/>
                <w:sz w:val="18"/>
                <w:szCs w:val="18"/>
              </w:rPr>
              <w:t>um</w:t>
            </w:r>
          </w:p>
        </w:tc>
        <w:tc>
          <w:tcPr>
            <w:tcW w:w="1418" w:type="dxa"/>
            <w:tcBorders>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Ansi="宋体"/>
                <w:color w:val="000000"/>
                <w:sz w:val="18"/>
                <w:szCs w:val="18"/>
              </w:rPr>
              <w:t>(350~500</w:t>
            </w:r>
            <w:r>
              <w:rPr>
                <w:rFonts w:hint="eastAsia" w:hAnsi="宋体"/>
                <w:color w:val="000000"/>
                <w:sz w:val="18"/>
                <w:szCs w:val="18"/>
              </w:rPr>
              <w:t>）±</w:t>
            </w:r>
            <w:r>
              <w:rPr>
                <w:rFonts w:hAnsi="宋体"/>
                <w:color w:val="000000"/>
                <w:sz w:val="18"/>
                <w:szCs w:val="18"/>
              </w:rPr>
              <w:t>25</w:t>
            </w:r>
          </w:p>
        </w:tc>
        <w:tc>
          <w:tcPr>
            <w:tcW w:w="1559" w:type="dxa"/>
            <w:tcBorders>
              <w:left w:val="single" w:color="auto" w:sz="4" w:space="0"/>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Ansi="宋体"/>
                <w:color w:val="000000"/>
                <w:sz w:val="18"/>
                <w:szCs w:val="18"/>
              </w:rPr>
              <w:t>(350</w:t>
            </w:r>
            <w:r>
              <w:rPr>
                <w:rFonts w:hint="eastAsia" w:hAnsi="宋体"/>
                <w:color w:val="000000"/>
                <w:sz w:val="18"/>
                <w:szCs w:val="18"/>
              </w:rPr>
              <w:t>~600</w:t>
            </w:r>
            <w:r>
              <w:rPr>
                <w:rFonts w:hAnsi="宋体"/>
                <w:color w:val="000000"/>
                <w:sz w:val="18"/>
                <w:szCs w:val="18"/>
              </w:rPr>
              <w:t>)</w:t>
            </w:r>
            <w:r>
              <w:rPr>
                <w:rFonts w:hint="eastAsia" w:hAnsi="宋体"/>
                <w:color w:val="000000"/>
                <w:sz w:val="18"/>
                <w:szCs w:val="18"/>
              </w:rPr>
              <w:t xml:space="preserve"> ±</w:t>
            </w:r>
            <w:r>
              <w:rPr>
                <w:rFonts w:hAnsi="宋体"/>
                <w:color w:val="000000"/>
                <w:sz w:val="18"/>
                <w:szCs w:val="18"/>
              </w:rPr>
              <w:t>25</w:t>
            </w:r>
          </w:p>
        </w:tc>
        <w:tc>
          <w:tcPr>
            <w:tcW w:w="1559" w:type="dxa"/>
            <w:tcBorders>
              <w:left w:val="single" w:color="auto" w:sz="4" w:space="0"/>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Ansi="宋体"/>
                <w:color w:val="000000"/>
                <w:sz w:val="18"/>
                <w:szCs w:val="18"/>
              </w:rPr>
              <w:t>(375~675)</w:t>
            </w:r>
            <w:r>
              <w:rPr>
                <w:rFonts w:hint="eastAsia" w:hAnsi="宋体"/>
                <w:color w:val="000000"/>
                <w:sz w:val="18"/>
                <w:szCs w:val="18"/>
              </w:rPr>
              <w:t xml:space="preserve"> ±</w:t>
            </w:r>
            <w:r>
              <w:rPr>
                <w:rFonts w:hAnsi="宋体"/>
                <w:color w:val="000000"/>
                <w:sz w:val="18"/>
                <w:szCs w:val="18"/>
              </w:rPr>
              <w:t>25</w:t>
            </w:r>
          </w:p>
        </w:tc>
        <w:tc>
          <w:tcPr>
            <w:tcW w:w="1560" w:type="dxa"/>
            <w:tcBorders>
              <w:lef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525~675</w:t>
            </w:r>
            <w:r>
              <w:rPr>
                <w:rFonts w:hint="eastAsia" w:hAnsi="宋体"/>
                <w:color w:val="000000"/>
                <w:sz w:val="18"/>
                <w:szCs w:val="18"/>
              </w:rPr>
              <w:t>）±25</w:t>
            </w:r>
          </w:p>
        </w:tc>
        <w:tc>
          <w:tcPr>
            <w:tcW w:w="1272" w:type="dxa"/>
            <w:tcBorders>
              <w:left w:val="single" w:color="auto" w:sz="4" w:space="0"/>
            </w:tcBorders>
            <w:vAlign w:val="center"/>
          </w:tcPr>
          <w:p>
            <w:pPr>
              <w:pStyle w:val="26"/>
              <w:ind w:firstLine="0" w:firstLineChars="0"/>
              <w:jc w:val="center"/>
              <w:rPr>
                <w:rFonts w:hAnsi="宋体"/>
                <w:sz w:val="18"/>
                <w:szCs w:val="18"/>
              </w:rPr>
            </w:pPr>
            <w:r>
              <w:rPr>
                <w:rFonts w:hAnsi="宋体"/>
                <w:sz w:val="18"/>
                <w:szCs w:val="18"/>
              </w:rPr>
              <w:t>675</w:t>
            </w:r>
            <w:r>
              <w:rPr>
                <w:rFonts w:hint="eastAsia" w:hAnsi="宋体"/>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931" w:type="dxa"/>
            <w:tcBorders>
              <w:bottom w:val="single" w:color="auto" w:sz="4" w:space="0"/>
            </w:tcBorders>
            <w:shd w:val="clear" w:color="auto" w:fill="auto"/>
            <w:vAlign w:val="bottom"/>
          </w:tcPr>
          <w:p>
            <w:pPr>
              <w:pStyle w:val="26"/>
              <w:widowControl w:val="0"/>
              <w:spacing w:line="200" w:lineRule="exact"/>
              <w:ind w:firstLine="0" w:firstLineChars="0"/>
              <w:jc w:val="center"/>
              <w:rPr>
                <w:color w:val="000000"/>
                <w:sz w:val="18"/>
                <w:szCs w:val="18"/>
              </w:rPr>
            </w:pPr>
            <w:r>
              <w:rPr>
                <w:rFonts w:hint="eastAsia"/>
                <w:color w:val="000000"/>
                <w:sz w:val="18"/>
                <w:szCs w:val="18"/>
              </w:rPr>
              <w:t>总</w:t>
            </w:r>
            <w:r>
              <w:rPr>
                <w:color w:val="000000"/>
                <w:sz w:val="18"/>
                <w:szCs w:val="18"/>
              </w:rPr>
              <w:t>厚度</w:t>
            </w:r>
            <w:r>
              <w:rPr>
                <w:rFonts w:hint="eastAsia"/>
                <w:color w:val="000000"/>
                <w:sz w:val="18"/>
                <w:szCs w:val="18"/>
              </w:rPr>
              <w:t>变化（</w:t>
            </w:r>
            <w:r>
              <w:rPr>
                <w:color w:val="000000"/>
                <w:sz w:val="18"/>
                <w:szCs w:val="18"/>
              </w:rPr>
              <w:t>TTV</w:t>
            </w:r>
            <w:r>
              <w:rPr>
                <w:rFonts w:hint="eastAsia"/>
                <w:color w:val="000000"/>
                <w:sz w:val="18"/>
                <w:szCs w:val="18"/>
              </w:rPr>
              <w:t>）</w:t>
            </w:r>
          </w:p>
          <w:p>
            <w:pPr>
              <w:pStyle w:val="26"/>
              <w:widowControl w:val="0"/>
              <w:spacing w:line="200" w:lineRule="exact"/>
              <w:ind w:firstLine="0" w:firstLineChars="0"/>
              <w:jc w:val="center"/>
              <w:rPr>
                <w:color w:val="000000"/>
                <w:sz w:val="18"/>
                <w:szCs w:val="18"/>
              </w:rPr>
            </w:pPr>
            <w:r>
              <w:rPr>
                <w:color w:val="000000"/>
                <w:sz w:val="18"/>
                <w:szCs w:val="18"/>
              </w:rPr>
              <w:t>um</w:t>
            </w:r>
          </w:p>
        </w:tc>
        <w:tc>
          <w:tcPr>
            <w:tcW w:w="1418" w:type="dxa"/>
            <w:tcBorders>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8</w:t>
            </w:r>
          </w:p>
        </w:tc>
        <w:tc>
          <w:tcPr>
            <w:tcW w:w="1559" w:type="dxa"/>
            <w:tcBorders>
              <w:left w:val="single" w:color="auto" w:sz="4" w:space="0"/>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559" w:type="dxa"/>
            <w:tcBorders>
              <w:left w:val="single" w:color="auto" w:sz="4" w:space="0"/>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560" w:type="dxa"/>
            <w:tcBorders>
              <w:lef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272" w:type="dxa"/>
            <w:tcBorders>
              <w:left w:val="single" w:color="auto" w:sz="4" w:space="0"/>
            </w:tcBorders>
            <w:vAlign w:val="center"/>
          </w:tcPr>
          <w:p>
            <w:pPr>
              <w:pStyle w:val="26"/>
              <w:ind w:firstLine="0" w:firstLineChars="0"/>
              <w:jc w:val="center"/>
              <w:rPr>
                <w:rFonts w:hAnsi="宋体"/>
                <w:sz w:val="18"/>
                <w:szCs w:val="18"/>
              </w:rPr>
            </w:pPr>
            <w:r>
              <w:rPr>
                <w:rFonts w:hint="eastAsia" w:hAnsi="宋体"/>
                <w:sz w:val="18"/>
                <w:szCs w:val="18"/>
              </w:rPr>
              <w:t>≤</w:t>
            </w:r>
            <w:r>
              <w:rPr>
                <w:rFonts w:hAnsi="宋体"/>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931" w:type="dxa"/>
            <w:tcBorders>
              <w:top w:val="single" w:color="auto" w:sz="4" w:space="0"/>
              <w:bottom w:val="single" w:color="auto" w:sz="4" w:space="0"/>
            </w:tcBorders>
            <w:shd w:val="clear" w:color="auto" w:fill="auto"/>
            <w:vAlign w:val="bottom"/>
          </w:tcPr>
          <w:p>
            <w:pPr>
              <w:pStyle w:val="26"/>
              <w:widowControl w:val="0"/>
              <w:spacing w:line="200" w:lineRule="exact"/>
              <w:ind w:firstLine="0" w:firstLineChars="0"/>
              <w:jc w:val="center"/>
              <w:rPr>
                <w:color w:val="000000"/>
                <w:sz w:val="18"/>
                <w:szCs w:val="18"/>
              </w:rPr>
            </w:pPr>
            <w:r>
              <w:rPr>
                <w:rFonts w:hint="eastAsia"/>
                <w:color w:val="000000"/>
                <w:sz w:val="18"/>
                <w:szCs w:val="18"/>
              </w:rPr>
              <w:t>总指示读数（T</w:t>
            </w:r>
            <w:r>
              <w:rPr>
                <w:color w:val="000000"/>
                <w:sz w:val="18"/>
                <w:szCs w:val="18"/>
              </w:rPr>
              <w:t>IR</w:t>
            </w:r>
            <w:r>
              <w:rPr>
                <w:rFonts w:hint="eastAsia"/>
                <w:color w:val="000000"/>
                <w:sz w:val="18"/>
                <w:szCs w:val="18"/>
              </w:rPr>
              <w:t>）</w:t>
            </w:r>
          </w:p>
          <w:p>
            <w:pPr>
              <w:pStyle w:val="26"/>
              <w:widowControl w:val="0"/>
              <w:spacing w:line="200" w:lineRule="exact"/>
              <w:ind w:firstLine="0" w:firstLineChars="0"/>
              <w:jc w:val="center"/>
              <w:rPr>
                <w:color w:val="000000"/>
                <w:sz w:val="18"/>
                <w:szCs w:val="18"/>
              </w:rPr>
            </w:pPr>
            <w:r>
              <w:rPr>
                <w:color w:val="000000"/>
                <w:sz w:val="18"/>
                <w:szCs w:val="18"/>
              </w:rPr>
              <w:t>um</w:t>
            </w:r>
          </w:p>
        </w:tc>
        <w:tc>
          <w:tcPr>
            <w:tcW w:w="1418" w:type="dxa"/>
            <w:tcBorders>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6</w:t>
            </w:r>
          </w:p>
        </w:tc>
        <w:tc>
          <w:tcPr>
            <w:tcW w:w="1559" w:type="dxa"/>
            <w:tcBorders>
              <w:left w:val="single" w:color="auto" w:sz="4" w:space="0"/>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8</w:t>
            </w:r>
          </w:p>
        </w:tc>
        <w:tc>
          <w:tcPr>
            <w:tcW w:w="1559" w:type="dxa"/>
            <w:tcBorders>
              <w:left w:val="single" w:color="auto" w:sz="4" w:space="0"/>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560" w:type="dxa"/>
            <w:tcBorders>
              <w:lef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272" w:type="dxa"/>
            <w:tcBorders>
              <w:left w:val="single" w:color="auto" w:sz="4" w:space="0"/>
            </w:tcBorders>
            <w:vAlign w:val="center"/>
          </w:tcPr>
          <w:p>
            <w:pPr>
              <w:pStyle w:val="26"/>
              <w:ind w:firstLine="0" w:firstLineChars="0"/>
              <w:jc w:val="center"/>
              <w:rPr>
                <w:rFonts w:hAnsi="宋体"/>
                <w:sz w:val="18"/>
                <w:szCs w:val="18"/>
              </w:rPr>
            </w:pPr>
            <w:r>
              <w:rPr>
                <w:rFonts w:hint="eastAsia" w:hAnsi="宋体"/>
                <w:sz w:val="18"/>
                <w:szCs w:val="18"/>
              </w:rPr>
              <w:t>≤</w:t>
            </w:r>
            <w:r>
              <w:rPr>
                <w:rFonts w:hAnsi="宋体"/>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931" w:type="dxa"/>
            <w:tcBorders>
              <w:top w:val="single" w:color="auto" w:sz="4" w:space="0"/>
              <w:bottom w:val="single" w:color="auto" w:sz="4" w:space="0"/>
            </w:tcBorders>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弯曲度（</w:t>
            </w:r>
            <w:r>
              <w:rPr>
                <w:color w:val="000000"/>
                <w:sz w:val="18"/>
                <w:szCs w:val="18"/>
              </w:rPr>
              <w:t>BOW</w:t>
            </w:r>
            <w:r>
              <w:rPr>
                <w:rFonts w:hint="eastAsia"/>
                <w:color w:val="000000"/>
                <w:sz w:val="18"/>
                <w:szCs w:val="18"/>
              </w:rPr>
              <w:t>）</w:t>
            </w:r>
          </w:p>
          <w:p>
            <w:pPr>
              <w:pStyle w:val="26"/>
              <w:widowControl w:val="0"/>
              <w:spacing w:line="200" w:lineRule="exact"/>
              <w:ind w:firstLine="0" w:firstLineChars="0"/>
              <w:jc w:val="center"/>
              <w:rPr>
                <w:color w:val="000000"/>
                <w:sz w:val="18"/>
                <w:szCs w:val="18"/>
              </w:rPr>
            </w:pPr>
            <w:r>
              <w:rPr>
                <w:color w:val="000000"/>
                <w:sz w:val="18"/>
                <w:szCs w:val="18"/>
              </w:rPr>
              <w:t>um</w:t>
            </w:r>
          </w:p>
        </w:tc>
        <w:tc>
          <w:tcPr>
            <w:tcW w:w="1418" w:type="dxa"/>
            <w:tcBorders>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559" w:type="dxa"/>
            <w:tcBorders>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559" w:type="dxa"/>
            <w:tcBorders>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560" w:type="dxa"/>
            <w:tcBorders>
              <w:lef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272" w:type="dxa"/>
            <w:tcBorders>
              <w:left w:val="single" w:color="auto" w:sz="4" w:space="0"/>
            </w:tcBorders>
            <w:vAlign w:val="center"/>
          </w:tcPr>
          <w:p>
            <w:pPr>
              <w:pStyle w:val="26"/>
              <w:ind w:firstLine="0" w:firstLineChars="0"/>
              <w:jc w:val="center"/>
              <w:rPr>
                <w:rFonts w:hAnsi="宋体"/>
                <w:sz w:val="18"/>
                <w:szCs w:val="18"/>
              </w:rPr>
            </w:pPr>
            <w:r>
              <w:rPr>
                <w:rFonts w:hint="eastAsia" w:hAnsi="宋体"/>
                <w:sz w:val="18"/>
                <w:szCs w:val="18"/>
              </w:rPr>
              <w:t>≤</w:t>
            </w:r>
            <w:r>
              <w:rPr>
                <w:rFonts w:hAnsi="宋体"/>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931" w:type="dxa"/>
            <w:tcBorders>
              <w:top w:val="single" w:color="auto" w:sz="4" w:space="0"/>
              <w:bottom w:val="single" w:color="auto" w:sz="4" w:space="0"/>
            </w:tcBorders>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翘曲度（</w:t>
            </w:r>
            <w:r>
              <w:rPr>
                <w:color w:val="000000"/>
                <w:sz w:val="18"/>
                <w:szCs w:val="18"/>
              </w:rPr>
              <w:t>Warp</w:t>
            </w:r>
            <w:r>
              <w:rPr>
                <w:rFonts w:hint="eastAsia"/>
                <w:color w:val="000000"/>
                <w:sz w:val="18"/>
                <w:szCs w:val="18"/>
              </w:rPr>
              <w:t>）</w:t>
            </w:r>
          </w:p>
          <w:p>
            <w:pPr>
              <w:pStyle w:val="26"/>
              <w:widowControl w:val="0"/>
              <w:spacing w:line="200" w:lineRule="exact"/>
              <w:ind w:firstLine="0" w:firstLineChars="0"/>
              <w:jc w:val="center"/>
              <w:rPr>
                <w:color w:val="000000"/>
                <w:sz w:val="18"/>
                <w:szCs w:val="18"/>
              </w:rPr>
            </w:pPr>
            <w:r>
              <w:rPr>
                <w:color w:val="000000"/>
                <w:sz w:val="18"/>
                <w:szCs w:val="18"/>
              </w:rPr>
              <w:t>um</w:t>
            </w:r>
          </w:p>
        </w:tc>
        <w:tc>
          <w:tcPr>
            <w:tcW w:w="1418" w:type="dxa"/>
            <w:tcBorders>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559" w:type="dxa"/>
            <w:tcBorders>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559" w:type="dxa"/>
            <w:tcBorders>
              <w:righ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10</w:t>
            </w:r>
          </w:p>
        </w:tc>
        <w:tc>
          <w:tcPr>
            <w:tcW w:w="1560" w:type="dxa"/>
            <w:tcBorders>
              <w:left w:val="single" w:color="auto" w:sz="4" w:space="0"/>
            </w:tcBorders>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w:t>
            </w:r>
            <w:r>
              <w:rPr>
                <w:rFonts w:hAnsi="宋体"/>
                <w:color w:val="000000"/>
                <w:sz w:val="18"/>
                <w:szCs w:val="18"/>
              </w:rPr>
              <w:t>15</w:t>
            </w:r>
          </w:p>
        </w:tc>
        <w:tc>
          <w:tcPr>
            <w:tcW w:w="1272" w:type="dxa"/>
            <w:tcBorders>
              <w:left w:val="single" w:color="auto" w:sz="4" w:space="0"/>
            </w:tcBorders>
            <w:vAlign w:val="center"/>
          </w:tcPr>
          <w:p>
            <w:pPr>
              <w:pStyle w:val="26"/>
              <w:ind w:firstLine="0" w:firstLineChars="0"/>
              <w:jc w:val="center"/>
              <w:rPr>
                <w:rFonts w:hAnsi="宋体"/>
                <w:sz w:val="18"/>
                <w:szCs w:val="18"/>
              </w:rPr>
            </w:pPr>
            <w:r>
              <w:rPr>
                <w:rFonts w:hint="eastAsia" w:hAnsi="宋体"/>
                <w:sz w:val="18"/>
                <w:szCs w:val="18"/>
              </w:rPr>
              <w:t>≤</w:t>
            </w:r>
            <w:r>
              <w:rPr>
                <w:rFonts w:hAnsi="宋体"/>
                <w:sz w:val="18"/>
                <w:szCs w:val="18"/>
              </w:rPr>
              <w:t>15</w:t>
            </w:r>
          </w:p>
        </w:tc>
      </w:tr>
    </w:tbl>
    <w:p>
      <w:pPr>
        <w:pStyle w:val="46"/>
        <w:numPr>
          <w:ilvl w:val="0"/>
          <w:numId w:val="0"/>
        </w:numPr>
        <w:rPr>
          <w:rFonts w:ascii="宋体" w:eastAsia="宋体"/>
          <w:szCs w:val="20"/>
        </w:rPr>
      </w:pPr>
      <w:r>
        <w:rPr>
          <w:rFonts w:hint="eastAsia" w:ascii="宋体" w:eastAsia="宋体"/>
          <w:szCs w:val="20"/>
        </w:rPr>
        <w:t>注： T</w:t>
      </w:r>
      <w:r>
        <w:rPr>
          <w:rFonts w:ascii="宋体" w:eastAsia="宋体"/>
          <w:szCs w:val="20"/>
        </w:rPr>
        <w:t>TV</w:t>
      </w:r>
      <w:r>
        <w:rPr>
          <w:rFonts w:hint="eastAsia" w:ascii="宋体" w:eastAsia="宋体"/>
          <w:szCs w:val="20"/>
        </w:rPr>
        <w:t>、T</w:t>
      </w:r>
      <w:r>
        <w:rPr>
          <w:rFonts w:ascii="宋体" w:eastAsia="宋体"/>
          <w:szCs w:val="20"/>
        </w:rPr>
        <w:t>IR</w:t>
      </w:r>
      <w:r>
        <w:rPr>
          <w:rFonts w:hint="eastAsia" w:ascii="宋体" w:eastAsia="宋体"/>
          <w:szCs w:val="20"/>
        </w:rPr>
        <w:t>、B</w:t>
      </w:r>
      <w:r>
        <w:rPr>
          <w:rFonts w:ascii="宋体" w:eastAsia="宋体"/>
          <w:szCs w:val="20"/>
        </w:rPr>
        <w:t>OW</w:t>
      </w:r>
      <w:r>
        <w:rPr>
          <w:rFonts w:hint="eastAsia" w:ascii="宋体" w:eastAsia="宋体"/>
          <w:szCs w:val="20"/>
        </w:rPr>
        <w:t xml:space="preserve"> 、Warp需将单晶衬底片边缘去除3</w:t>
      </w:r>
      <w:r>
        <w:rPr>
          <w:rFonts w:ascii="宋体" w:eastAsia="宋体"/>
          <w:szCs w:val="20"/>
        </w:rPr>
        <w:t>mm计算</w:t>
      </w:r>
      <w:r>
        <w:rPr>
          <w:rFonts w:hint="eastAsia" w:ascii="宋体" w:eastAsia="宋体"/>
          <w:szCs w:val="20"/>
        </w:rPr>
        <w:t>。</w:t>
      </w:r>
    </w:p>
    <w:p>
      <w:pPr>
        <w:pStyle w:val="46"/>
        <w:ind w:left="0"/>
      </w:pPr>
      <w:r>
        <w:rPr>
          <w:rFonts w:hint="eastAsia"/>
        </w:rPr>
        <w:t>碳</w:t>
      </w:r>
      <w:r>
        <w:t>原子浓度和深能级缺陷</w:t>
      </w:r>
      <w:r>
        <w:rPr>
          <w:rFonts w:hint="eastAsia"/>
        </w:rPr>
        <w:t>EL2浓度</w:t>
      </w:r>
    </w:p>
    <w:p>
      <w:pPr>
        <w:pStyle w:val="26"/>
        <w:jc w:val="left"/>
        <w:rPr>
          <w:color w:val="000000"/>
        </w:rPr>
      </w:pPr>
      <w:r>
        <w:rPr>
          <w:rFonts w:hint="eastAsia"/>
          <w:color w:val="000000"/>
        </w:rPr>
        <w:t>掺C半绝缘</w:t>
      </w:r>
      <w:r>
        <w:rPr>
          <w:color w:val="000000"/>
        </w:rPr>
        <w:t>砷化镓</w:t>
      </w:r>
      <w:r>
        <w:rPr>
          <w:rFonts w:hint="eastAsia"/>
          <w:color w:val="000000"/>
        </w:rPr>
        <w:t>代位碳</w:t>
      </w:r>
      <w:r>
        <w:rPr>
          <w:color w:val="000000"/>
        </w:rPr>
        <w:t>原子浓度和</w:t>
      </w:r>
      <w:r>
        <w:rPr>
          <w:rFonts w:hint="eastAsia"/>
          <w:color w:val="000000"/>
        </w:rPr>
        <w:t>单晶</w:t>
      </w:r>
      <w:r>
        <w:rPr>
          <w:color w:val="000000"/>
        </w:rPr>
        <w:t>深能级</w:t>
      </w:r>
      <w:r>
        <w:rPr>
          <w:rFonts w:hint="eastAsia"/>
          <w:color w:val="000000"/>
        </w:rPr>
        <w:t>EL2浓度</w:t>
      </w:r>
      <w:r>
        <w:rPr>
          <w:color w:val="000000"/>
        </w:rPr>
        <w:t>的要求应符合</w:t>
      </w:r>
      <w:r>
        <w:rPr>
          <w:rFonts w:hint="eastAsia"/>
          <w:color w:val="000000"/>
        </w:rPr>
        <w:t>表</w:t>
      </w:r>
      <w:r>
        <w:rPr>
          <w:color w:val="000000"/>
        </w:rPr>
        <w:t>6</w:t>
      </w:r>
      <w:r>
        <w:rPr>
          <w:rFonts w:hint="eastAsia"/>
          <w:color w:val="000000"/>
        </w:rPr>
        <w:t>的</w:t>
      </w:r>
      <w:r>
        <w:rPr>
          <w:color w:val="000000"/>
        </w:rPr>
        <w:t>规定。</w:t>
      </w:r>
    </w:p>
    <w:p>
      <w:pPr>
        <w:pStyle w:val="46"/>
        <w:numPr>
          <w:ilvl w:val="0"/>
          <w:numId w:val="0"/>
        </w:numPr>
        <w:ind w:left="2693"/>
      </w:pPr>
      <w:r>
        <w:rPr>
          <w:rFonts w:hint="eastAsia"/>
        </w:rPr>
        <w:t xml:space="preserve">表 </w:t>
      </w:r>
      <w:r>
        <w:t>6 碳原子浓度和深能级缺陷</w:t>
      </w:r>
      <w:r>
        <w:rPr>
          <w:rFonts w:hint="eastAsia"/>
        </w:rPr>
        <w:t>E</w:t>
      </w:r>
      <w:r>
        <w:t>L2浓度</w:t>
      </w:r>
    </w:p>
    <w:tbl>
      <w:tblPr>
        <w:tblStyle w:val="36"/>
        <w:tblW w:w="0" w:type="auto"/>
        <w:tblInd w:w="20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2515" w:type="dxa"/>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项目</w:t>
            </w:r>
          </w:p>
        </w:tc>
        <w:tc>
          <w:tcPr>
            <w:tcW w:w="2977" w:type="dxa"/>
            <w:shd w:val="clear" w:color="auto" w:fill="auto"/>
          </w:tcPr>
          <w:p>
            <w:pPr>
              <w:pStyle w:val="26"/>
              <w:ind w:firstLine="0" w:firstLineChars="0"/>
              <w:jc w:val="center"/>
              <w:rPr>
                <w:rFonts w:hAnsi="宋体"/>
                <w:color w:val="000000"/>
                <w:sz w:val="18"/>
                <w:szCs w:val="18"/>
              </w:rPr>
            </w:pPr>
            <w:r>
              <w:rPr>
                <w:rFonts w:hint="eastAsia" w:hAnsi="宋体"/>
                <w:color w:val="000000"/>
                <w:sz w:val="18"/>
                <w:szCs w:val="18"/>
              </w:rPr>
              <w:t xml:space="preserve">要求 </w:t>
            </w:r>
            <w:r>
              <w:rPr>
                <w:rFonts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2515" w:type="dxa"/>
            <w:shd w:val="clear" w:color="auto" w:fill="auto"/>
            <w:vAlign w:val="center"/>
          </w:tcPr>
          <w:p>
            <w:pPr>
              <w:pStyle w:val="26"/>
              <w:widowControl w:val="0"/>
              <w:ind w:firstLine="0" w:firstLineChars="0"/>
              <w:jc w:val="center"/>
              <w:rPr>
                <w:color w:val="000000"/>
                <w:sz w:val="18"/>
                <w:szCs w:val="18"/>
              </w:rPr>
            </w:pPr>
            <w:r>
              <w:rPr>
                <w:rFonts w:hint="eastAsia"/>
                <w:color w:val="000000"/>
                <w:sz w:val="18"/>
                <w:szCs w:val="18"/>
              </w:rPr>
              <w:t>碳</w:t>
            </w:r>
            <w:r>
              <w:rPr>
                <w:color w:val="000000"/>
                <w:sz w:val="18"/>
                <w:szCs w:val="18"/>
              </w:rPr>
              <w:t>原子浓度</w:t>
            </w:r>
            <w:r>
              <w:rPr>
                <w:rFonts w:hint="eastAsia"/>
                <w:color w:val="000000"/>
                <w:sz w:val="18"/>
                <w:szCs w:val="18"/>
              </w:rPr>
              <w:t xml:space="preserve">  </w:t>
            </w:r>
          </w:p>
          <w:p>
            <w:pPr>
              <w:pStyle w:val="26"/>
              <w:widowControl w:val="0"/>
              <w:ind w:firstLine="0" w:firstLineChars="0"/>
              <w:jc w:val="center"/>
              <w:rPr>
                <w:color w:val="000000"/>
                <w:sz w:val="18"/>
                <w:szCs w:val="18"/>
              </w:rPr>
            </w:pPr>
            <w:r>
              <w:rPr>
                <w:color w:val="000000"/>
                <w:sz w:val="18"/>
                <w:szCs w:val="18"/>
              </w:rPr>
              <w:t>cm</w:t>
            </w:r>
            <w:r>
              <w:rPr>
                <w:rFonts w:hint="eastAsia"/>
                <w:color w:val="000000"/>
                <w:sz w:val="20"/>
                <w:szCs w:val="18"/>
                <w:vertAlign w:val="superscript"/>
              </w:rPr>
              <w:t>-</w:t>
            </w:r>
            <w:r>
              <w:rPr>
                <w:color w:val="000000"/>
                <w:sz w:val="20"/>
                <w:szCs w:val="18"/>
                <w:vertAlign w:val="superscript"/>
              </w:rPr>
              <w:t>3</w:t>
            </w:r>
          </w:p>
        </w:tc>
        <w:tc>
          <w:tcPr>
            <w:tcW w:w="2977" w:type="dxa"/>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（0.5</w:t>
            </w:r>
            <w:r>
              <w:rPr>
                <w:rFonts w:hAnsi="宋体"/>
                <w:color w:val="000000"/>
                <w:sz w:val="18"/>
                <w:szCs w:val="18"/>
              </w:rPr>
              <w:t>~20</w:t>
            </w:r>
            <w:r>
              <w:rPr>
                <w:rFonts w:hint="eastAsia" w:hAnsi="宋体"/>
                <w:color w:val="000000"/>
                <w:sz w:val="18"/>
                <w:szCs w:val="18"/>
              </w:rPr>
              <w:t>）×</w:t>
            </w:r>
            <w:r>
              <w:rPr>
                <w:rFonts w:hAnsi="宋体"/>
                <w:color w:val="000000"/>
                <w:sz w:val="18"/>
                <w:szCs w:val="18"/>
              </w:rPr>
              <w:t>10</w:t>
            </w:r>
            <w:r>
              <w:rPr>
                <w:rFonts w:hAnsi="宋体"/>
                <w:color w:val="000000"/>
                <w:sz w:val="20"/>
                <w:szCs w:val="18"/>
                <w:vertAlign w:val="superscript"/>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2515" w:type="dxa"/>
            <w:shd w:val="clear" w:color="auto" w:fill="auto"/>
            <w:vAlign w:val="center"/>
          </w:tcPr>
          <w:p>
            <w:pPr>
              <w:pStyle w:val="26"/>
              <w:widowControl w:val="0"/>
              <w:ind w:firstLine="0" w:firstLineChars="0"/>
              <w:jc w:val="center"/>
              <w:rPr>
                <w:color w:val="000000"/>
                <w:sz w:val="18"/>
                <w:szCs w:val="18"/>
              </w:rPr>
            </w:pPr>
            <w:r>
              <w:rPr>
                <w:color w:val="000000"/>
                <w:sz w:val="18"/>
                <w:szCs w:val="18"/>
              </w:rPr>
              <w:t>深能级缺陷</w:t>
            </w:r>
            <w:r>
              <w:rPr>
                <w:rFonts w:hint="eastAsia"/>
                <w:color w:val="000000"/>
                <w:sz w:val="18"/>
                <w:szCs w:val="18"/>
              </w:rPr>
              <w:t xml:space="preserve">EL2浓度  </w:t>
            </w:r>
          </w:p>
          <w:p>
            <w:pPr>
              <w:pStyle w:val="26"/>
              <w:widowControl w:val="0"/>
              <w:ind w:firstLine="0" w:firstLineChars="0"/>
              <w:jc w:val="center"/>
              <w:rPr>
                <w:color w:val="000000"/>
                <w:sz w:val="18"/>
                <w:szCs w:val="18"/>
              </w:rPr>
            </w:pPr>
            <w:r>
              <w:rPr>
                <w:color w:val="000000"/>
                <w:sz w:val="18"/>
                <w:szCs w:val="18"/>
              </w:rPr>
              <w:t>cm</w:t>
            </w:r>
            <w:r>
              <w:rPr>
                <w:rFonts w:hint="eastAsia"/>
                <w:color w:val="000000"/>
                <w:sz w:val="20"/>
                <w:szCs w:val="18"/>
                <w:vertAlign w:val="superscript"/>
              </w:rPr>
              <w:t>-</w:t>
            </w:r>
            <w:r>
              <w:rPr>
                <w:color w:val="000000"/>
                <w:sz w:val="20"/>
                <w:szCs w:val="18"/>
                <w:vertAlign w:val="superscript"/>
              </w:rPr>
              <w:t>3</w:t>
            </w:r>
          </w:p>
        </w:tc>
        <w:tc>
          <w:tcPr>
            <w:tcW w:w="2977" w:type="dxa"/>
            <w:shd w:val="clear" w:color="auto" w:fill="auto"/>
            <w:vAlign w:val="center"/>
          </w:tcPr>
          <w:p>
            <w:pPr>
              <w:pStyle w:val="26"/>
              <w:ind w:firstLine="0" w:firstLineChars="0"/>
              <w:jc w:val="center"/>
              <w:rPr>
                <w:rFonts w:hAnsi="宋体"/>
                <w:color w:val="000000"/>
                <w:sz w:val="18"/>
                <w:szCs w:val="18"/>
              </w:rPr>
            </w:pPr>
            <w:r>
              <w:rPr>
                <w:rFonts w:hint="eastAsia" w:hAnsi="宋体"/>
                <w:color w:val="000000"/>
                <w:sz w:val="18"/>
                <w:szCs w:val="18"/>
              </w:rPr>
              <w:t>≤2.</w:t>
            </w:r>
            <w:r>
              <w:rPr>
                <w:rFonts w:hAnsi="宋体"/>
                <w:color w:val="000000"/>
                <w:sz w:val="18"/>
                <w:szCs w:val="18"/>
              </w:rPr>
              <w:t>0</w:t>
            </w:r>
            <w:r>
              <w:rPr>
                <w:rFonts w:hint="eastAsia" w:hAnsi="宋体"/>
                <w:color w:val="000000"/>
                <w:sz w:val="18"/>
                <w:szCs w:val="18"/>
              </w:rPr>
              <w:t>×</w:t>
            </w:r>
            <w:r>
              <w:rPr>
                <w:rFonts w:hAnsi="宋体"/>
                <w:color w:val="000000"/>
                <w:sz w:val="18"/>
                <w:szCs w:val="18"/>
              </w:rPr>
              <w:t>10</w:t>
            </w:r>
            <w:r>
              <w:rPr>
                <w:rFonts w:hAnsi="宋体"/>
                <w:color w:val="000000"/>
                <w:sz w:val="20"/>
                <w:szCs w:val="18"/>
                <w:vertAlign w:val="superscript"/>
              </w:rPr>
              <w:t>16</w:t>
            </w:r>
          </w:p>
        </w:tc>
      </w:tr>
    </w:tbl>
    <w:p>
      <w:pPr>
        <w:pStyle w:val="46"/>
        <w:ind w:left="0"/>
      </w:pPr>
      <w:r>
        <w:rPr>
          <w:rFonts w:hint="eastAsia"/>
        </w:rPr>
        <w:t>表面</w:t>
      </w:r>
      <w:r>
        <w:t>质量</w:t>
      </w:r>
      <w:r>
        <w:rPr>
          <w:rFonts w:hint="eastAsia"/>
        </w:rPr>
        <w:t xml:space="preserve"> </w:t>
      </w:r>
    </w:p>
    <w:p>
      <w:pPr>
        <w:pStyle w:val="26"/>
        <w:jc w:val="left"/>
        <w:rPr>
          <w:color w:val="000000"/>
        </w:rPr>
      </w:pPr>
      <w:r>
        <w:t>半绝缘砷化镓单晶衬底片表面质量应符合表</w:t>
      </w:r>
      <w:r>
        <w:rPr>
          <w:rFonts w:hint="eastAsia"/>
        </w:rPr>
        <w:t>7的要求。</w:t>
      </w:r>
      <w:r>
        <w:rPr>
          <w:rFonts w:hint="eastAsia"/>
          <w:color w:val="000000"/>
        </w:rPr>
        <w:t xml:space="preserve"> </w:t>
      </w:r>
    </w:p>
    <w:p>
      <w:pPr>
        <w:pStyle w:val="26"/>
        <w:ind w:firstLine="4216" w:firstLineChars="2000"/>
        <w:jc w:val="left"/>
        <w:rPr>
          <w:rFonts w:ascii="黑体" w:hAnsi="黑体" w:eastAsia="黑体"/>
          <w:b/>
        </w:rPr>
      </w:pPr>
      <w:r>
        <w:rPr>
          <w:rFonts w:ascii="黑体" w:hAnsi="黑体" w:eastAsia="黑体"/>
          <w:b/>
        </w:rPr>
        <w:t>表</w:t>
      </w:r>
      <w:r>
        <w:rPr>
          <w:rFonts w:hint="eastAsia" w:ascii="黑体" w:hAnsi="黑体" w:eastAsia="黑体"/>
          <w:b/>
        </w:rPr>
        <w:t xml:space="preserve"> 7</w:t>
      </w:r>
      <w:r>
        <w:rPr>
          <w:rFonts w:ascii="黑体" w:hAnsi="黑体" w:eastAsia="黑体"/>
          <w:b/>
        </w:rPr>
        <w:t xml:space="preserve"> </w:t>
      </w:r>
      <w:r>
        <w:rPr>
          <w:rFonts w:hint="eastAsia" w:ascii="黑体" w:hAnsi="黑体" w:eastAsia="黑体"/>
          <w:b/>
        </w:rPr>
        <w:t>表面质量</w:t>
      </w:r>
    </w:p>
    <w:tbl>
      <w:tblPr>
        <w:tblStyle w:val="36"/>
        <w:tblW w:w="779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234"/>
        <w:gridCol w:w="2151"/>
        <w:gridCol w:w="660"/>
        <w:gridCol w:w="660"/>
        <w:gridCol w:w="751"/>
        <w:gridCol w:w="751"/>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7" w:type="dxa"/>
            <w:gridSpan w:val="3"/>
            <w:shd w:val="clear" w:color="auto" w:fill="auto"/>
          </w:tcPr>
          <w:p>
            <w:pPr>
              <w:jc w:val="center"/>
              <w:rPr>
                <w:rFonts w:ascii="宋体" w:hAnsi="宋体"/>
                <w:sz w:val="20"/>
                <w:szCs w:val="21"/>
              </w:rPr>
            </w:pPr>
            <w:r>
              <w:rPr>
                <w:rFonts w:ascii="宋体" w:hAnsi="宋体"/>
                <w:sz w:val="20"/>
                <w:szCs w:val="21"/>
              </w:rPr>
              <w:t>项目</w:t>
            </w:r>
          </w:p>
        </w:tc>
        <w:tc>
          <w:tcPr>
            <w:tcW w:w="3573" w:type="dxa"/>
            <w:gridSpan w:val="5"/>
            <w:shd w:val="clear" w:color="auto" w:fill="auto"/>
          </w:tcPr>
          <w:p>
            <w:pPr>
              <w:jc w:val="center"/>
              <w:rPr>
                <w:rFonts w:ascii="宋体" w:hAnsi="宋体"/>
                <w:sz w:val="20"/>
                <w:szCs w:val="21"/>
              </w:rPr>
            </w:pPr>
            <w:r>
              <w:rPr>
                <w:rFonts w:ascii="宋体" w:hAnsi="宋体"/>
                <w:sz w:val="2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shd w:val="clear" w:color="auto" w:fill="auto"/>
          </w:tcPr>
          <w:p>
            <w:pPr>
              <w:jc w:val="left"/>
              <w:rPr>
                <w:rFonts w:ascii="宋体" w:hAnsi="宋体"/>
                <w:sz w:val="20"/>
                <w:szCs w:val="21"/>
              </w:rPr>
            </w:pPr>
          </w:p>
          <w:p>
            <w:pPr>
              <w:jc w:val="left"/>
              <w:rPr>
                <w:rFonts w:ascii="宋体" w:hAnsi="宋体"/>
                <w:sz w:val="20"/>
                <w:szCs w:val="21"/>
              </w:rPr>
            </w:pPr>
          </w:p>
          <w:p>
            <w:pPr>
              <w:jc w:val="center"/>
              <w:rPr>
                <w:rFonts w:ascii="宋体" w:hAnsi="宋体"/>
                <w:sz w:val="20"/>
                <w:szCs w:val="21"/>
              </w:rPr>
            </w:pPr>
          </w:p>
          <w:p>
            <w:pPr>
              <w:jc w:val="center"/>
              <w:rPr>
                <w:rFonts w:ascii="宋体" w:hAnsi="宋体"/>
                <w:sz w:val="20"/>
                <w:szCs w:val="21"/>
              </w:rPr>
            </w:pPr>
          </w:p>
          <w:p>
            <w:pPr>
              <w:jc w:val="center"/>
              <w:rPr>
                <w:rFonts w:ascii="宋体" w:hAnsi="宋体"/>
                <w:sz w:val="20"/>
                <w:szCs w:val="21"/>
              </w:rPr>
            </w:pPr>
          </w:p>
          <w:p>
            <w:pPr>
              <w:jc w:val="center"/>
              <w:rPr>
                <w:rFonts w:ascii="宋体" w:hAnsi="宋体"/>
                <w:sz w:val="20"/>
                <w:szCs w:val="21"/>
              </w:rPr>
            </w:pPr>
          </w:p>
          <w:p>
            <w:pPr>
              <w:jc w:val="center"/>
              <w:rPr>
                <w:rFonts w:ascii="宋体" w:hAnsi="宋体"/>
                <w:sz w:val="20"/>
                <w:szCs w:val="21"/>
              </w:rPr>
            </w:pPr>
          </w:p>
          <w:p>
            <w:pPr>
              <w:jc w:val="center"/>
              <w:rPr>
                <w:rFonts w:ascii="宋体" w:hAnsi="宋体"/>
                <w:sz w:val="20"/>
                <w:szCs w:val="21"/>
              </w:rPr>
            </w:pPr>
            <w:r>
              <w:rPr>
                <w:rFonts w:ascii="宋体" w:hAnsi="宋体"/>
                <w:sz w:val="20"/>
                <w:szCs w:val="21"/>
              </w:rPr>
              <w:t>正</w:t>
            </w:r>
          </w:p>
          <w:p>
            <w:pPr>
              <w:jc w:val="center"/>
              <w:rPr>
                <w:rFonts w:ascii="宋体" w:hAnsi="宋体"/>
                <w:sz w:val="20"/>
                <w:szCs w:val="21"/>
              </w:rPr>
            </w:pPr>
            <w:r>
              <w:rPr>
                <w:rFonts w:ascii="宋体" w:hAnsi="宋体"/>
                <w:sz w:val="20"/>
                <w:szCs w:val="21"/>
              </w:rPr>
              <w:t>表</w:t>
            </w:r>
          </w:p>
          <w:p>
            <w:pPr>
              <w:jc w:val="center"/>
              <w:rPr>
                <w:rFonts w:ascii="宋体" w:hAnsi="宋体"/>
                <w:sz w:val="20"/>
                <w:szCs w:val="21"/>
              </w:rPr>
            </w:pPr>
            <w:r>
              <w:rPr>
                <w:rFonts w:ascii="宋体" w:hAnsi="宋体"/>
                <w:sz w:val="20"/>
                <w:szCs w:val="21"/>
              </w:rPr>
              <w:t>面</w:t>
            </w:r>
          </w:p>
        </w:tc>
        <w:tc>
          <w:tcPr>
            <w:tcW w:w="3385" w:type="dxa"/>
            <w:gridSpan w:val="2"/>
            <w:shd w:val="clear" w:color="auto" w:fill="auto"/>
          </w:tcPr>
          <w:p>
            <w:pPr>
              <w:jc w:val="center"/>
              <w:rPr>
                <w:rFonts w:ascii="宋体" w:hAnsi="宋体"/>
                <w:sz w:val="20"/>
                <w:szCs w:val="21"/>
              </w:rPr>
            </w:pPr>
            <w:r>
              <w:rPr>
                <w:rFonts w:ascii="宋体" w:hAnsi="宋体"/>
                <w:sz w:val="20"/>
                <w:szCs w:val="21"/>
              </w:rPr>
              <w:t>划伤</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浅</w:t>
            </w:r>
            <w:r>
              <w:rPr>
                <w:rFonts w:ascii="宋体" w:hAnsi="宋体"/>
                <w:sz w:val="20"/>
                <w:szCs w:val="21"/>
              </w:rPr>
              <w:t>蚀坑</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ascii="宋体" w:hAnsi="宋体"/>
                <w:sz w:val="20"/>
                <w:szCs w:val="21"/>
              </w:rPr>
              <w:t>雾</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ascii="宋体" w:hAnsi="宋体"/>
                <w:sz w:val="20"/>
                <w:szCs w:val="21"/>
              </w:rPr>
              <w:t>空洞</w:t>
            </w:r>
            <w:r>
              <w:rPr>
                <w:rFonts w:hint="eastAsia" w:ascii="宋体" w:hAnsi="宋体"/>
                <w:sz w:val="20"/>
                <w:szCs w:val="21"/>
              </w:rPr>
              <w:t>/</w:t>
            </w:r>
            <w:r>
              <w:rPr>
                <w:rFonts w:ascii="宋体" w:hAnsi="宋体"/>
                <w:sz w:val="20"/>
                <w:szCs w:val="21"/>
              </w:rPr>
              <w:t>孔隙</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沾污</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32" w:type="dxa"/>
            <w:vMerge w:val="continue"/>
            <w:shd w:val="clear" w:color="auto" w:fill="auto"/>
          </w:tcPr>
          <w:p>
            <w:pPr>
              <w:jc w:val="left"/>
              <w:rPr>
                <w:rFonts w:ascii="宋体" w:hAnsi="宋体"/>
                <w:sz w:val="20"/>
                <w:szCs w:val="21"/>
              </w:rPr>
            </w:pPr>
          </w:p>
        </w:tc>
        <w:tc>
          <w:tcPr>
            <w:tcW w:w="1234" w:type="dxa"/>
            <w:vMerge w:val="restart"/>
            <w:shd w:val="clear" w:color="auto" w:fill="auto"/>
            <w:vAlign w:val="center"/>
          </w:tcPr>
          <w:p>
            <w:pPr>
              <w:jc w:val="center"/>
              <w:rPr>
                <w:rFonts w:ascii="宋体" w:hAnsi="宋体"/>
                <w:sz w:val="20"/>
                <w:szCs w:val="21"/>
              </w:rPr>
            </w:pPr>
            <w:r>
              <w:rPr>
                <w:rFonts w:hint="eastAsia" w:ascii="宋体" w:hAnsi="宋体"/>
                <w:color w:val="000000"/>
              </w:rPr>
              <w:t>局部光散射体</w:t>
            </w:r>
          </w:p>
        </w:tc>
        <w:tc>
          <w:tcPr>
            <w:tcW w:w="2151" w:type="dxa"/>
            <w:shd w:val="clear" w:color="auto" w:fill="auto"/>
            <w:vAlign w:val="center"/>
          </w:tcPr>
          <w:p>
            <w:pPr>
              <w:pStyle w:val="26"/>
              <w:widowControl w:val="0"/>
              <w:spacing w:line="200" w:lineRule="exact"/>
              <w:ind w:firstLine="0" w:firstLineChars="0"/>
              <w:jc w:val="center"/>
              <w:rPr>
                <w:color w:val="000000"/>
                <w:sz w:val="18"/>
                <w:szCs w:val="18"/>
              </w:rPr>
            </w:pPr>
            <w:r>
              <w:rPr>
                <w:color w:val="000000"/>
                <w:sz w:val="18"/>
                <w:szCs w:val="18"/>
              </w:rPr>
              <w:t>衬底直径</w:t>
            </w:r>
          </w:p>
          <w:p>
            <w:pPr>
              <w:pStyle w:val="26"/>
              <w:widowControl w:val="0"/>
              <w:spacing w:line="200" w:lineRule="exact"/>
              <w:ind w:firstLine="0" w:firstLineChars="0"/>
              <w:jc w:val="center"/>
              <w:rPr>
                <w:color w:val="000000"/>
                <w:sz w:val="18"/>
                <w:szCs w:val="18"/>
              </w:rPr>
            </w:pPr>
            <w:r>
              <w:rPr>
                <w:rFonts w:hint="eastAsia"/>
                <w:color w:val="000000"/>
                <w:sz w:val="18"/>
                <w:szCs w:val="18"/>
              </w:rPr>
              <w:t>mm</w:t>
            </w:r>
          </w:p>
        </w:tc>
        <w:tc>
          <w:tcPr>
            <w:tcW w:w="660" w:type="dxa"/>
            <w:shd w:val="clear" w:color="auto" w:fill="auto"/>
            <w:vAlign w:val="center"/>
          </w:tcPr>
          <w:p>
            <w:pPr>
              <w:jc w:val="center"/>
              <w:rPr>
                <w:rFonts w:ascii="宋体" w:hAnsi="宋体"/>
                <w:sz w:val="20"/>
                <w:szCs w:val="21"/>
              </w:rPr>
            </w:pPr>
            <w:r>
              <w:rPr>
                <w:rFonts w:hint="eastAsia" w:ascii="宋体" w:hAnsi="宋体"/>
                <w:sz w:val="20"/>
                <w:szCs w:val="21"/>
              </w:rPr>
              <w:t>5</w:t>
            </w:r>
            <w:r>
              <w:rPr>
                <w:rFonts w:ascii="宋体" w:hAnsi="宋体"/>
                <w:sz w:val="20"/>
                <w:szCs w:val="21"/>
              </w:rPr>
              <w:t>0.8</w:t>
            </w:r>
          </w:p>
        </w:tc>
        <w:tc>
          <w:tcPr>
            <w:tcW w:w="660" w:type="dxa"/>
            <w:shd w:val="clear" w:color="auto" w:fill="auto"/>
            <w:vAlign w:val="center"/>
          </w:tcPr>
          <w:p>
            <w:pPr>
              <w:jc w:val="center"/>
              <w:rPr>
                <w:rFonts w:ascii="宋体" w:hAnsi="宋体"/>
                <w:sz w:val="20"/>
                <w:szCs w:val="21"/>
              </w:rPr>
            </w:pPr>
            <w:r>
              <w:rPr>
                <w:rFonts w:hint="eastAsia" w:ascii="宋体" w:hAnsi="宋体"/>
                <w:sz w:val="20"/>
                <w:szCs w:val="21"/>
              </w:rPr>
              <w:t>7</w:t>
            </w:r>
            <w:r>
              <w:rPr>
                <w:rFonts w:ascii="宋体" w:hAnsi="宋体"/>
                <w:sz w:val="20"/>
                <w:szCs w:val="21"/>
              </w:rPr>
              <w:t>6.2</w:t>
            </w:r>
          </w:p>
        </w:tc>
        <w:tc>
          <w:tcPr>
            <w:tcW w:w="751" w:type="dxa"/>
            <w:shd w:val="clear" w:color="auto" w:fill="auto"/>
            <w:vAlign w:val="center"/>
          </w:tcPr>
          <w:p>
            <w:pPr>
              <w:jc w:val="center"/>
              <w:rPr>
                <w:rFonts w:ascii="宋体" w:hAnsi="宋体"/>
                <w:sz w:val="20"/>
                <w:szCs w:val="21"/>
              </w:rPr>
            </w:pPr>
            <w:r>
              <w:rPr>
                <w:rFonts w:ascii="宋体" w:hAnsi="宋体"/>
                <w:sz w:val="20"/>
                <w:szCs w:val="21"/>
              </w:rPr>
              <w:t>100.0</w:t>
            </w:r>
          </w:p>
        </w:tc>
        <w:tc>
          <w:tcPr>
            <w:tcW w:w="751" w:type="dxa"/>
            <w:shd w:val="clear" w:color="auto" w:fill="auto"/>
            <w:vAlign w:val="center"/>
          </w:tcPr>
          <w:p>
            <w:pPr>
              <w:jc w:val="center"/>
              <w:rPr>
                <w:rFonts w:ascii="宋体" w:hAnsi="宋体"/>
                <w:sz w:val="20"/>
                <w:szCs w:val="21"/>
              </w:rPr>
            </w:pPr>
            <w:r>
              <w:rPr>
                <w:rFonts w:hint="eastAsia" w:ascii="宋体" w:hAnsi="宋体"/>
                <w:sz w:val="20"/>
                <w:szCs w:val="21"/>
              </w:rPr>
              <w:t>1</w:t>
            </w:r>
            <w:r>
              <w:rPr>
                <w:rFonts w:ascii="宋体" w:hAnsi="宋体"/>
                <w:sz w:val="20"/>
                <w:szCs w:val="21"/>
              </w:rPr>
              <w:t>50.0</w:t>
            </w:r>
          </w:p>
        </w:tc>
        <w:tc>
          <w:tcPr>
            <w:tcW w:w="751" w:type="dxa"/>
            <w:shd w:val="clear" w:color="auto" w:fill="auto"/>
            <w:vAlign w:val="center"/>
          </w:tcPr>
          <w:p>
            <w:pPr>
              <w:jc w:val="center"/>
              <w:rPr>
                <w:rFonts w:ascii="宋体" w:hAnsi="宋体"/>
                <w:sz w:val="20"/>
                <w:szCs w:val="21"/>
              </w:rPr>
            </w:pPr>
            <w:r>
              <w:rPr>
                <w:rFonts w:hint="eastAsia" w:ascii="宋体" w:hAnsi="宋体"/>
                <w:sz w:val="20"/>
                <w:szCs w:val="21"/>
              </w:rPr>
              <w:t>2</w:t>
            </w:r>
            <w:r>
              <w:rPr>
                <w:rFonts w:ascii="宋体" w:hAnsi="宋体"/>
                <w:sz w:val="2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1234" w:type="dxa"/>
            <w:vMerge w:val="continue"/>
            <w:shd w:val="clear" w:color="auto" w:fill="auto"/>
          </w:tcPr>
          <w:p>
            <w:pPr>
              <w:jc w:val="center"/>
              <w:rPr>
                <w:rFonts w:ascii="宋体" w:hAnsi="宋体"/>
                <w:sz w:val="20"/>
                <w:szCs w:val="21"/>
              </w:rPr>
            </w:pPr>
          </w:p>
        </w:tc>
        <w:tc>
          <w:tcPr>
            <w:tcW w:w="2151" w:type="dxa"/>
            <w:shd w:val="clear" w:color="auto" w:fill="auto"/>
            <w:vAlign w:val="center"/>
          </w:tcPr>
          <w:p>
            <w:pPr>
              <w:pStyle w:val="26"/>
              <w:widowControl w:val="0"/>
              <w:spacing w:line="200" w:lineRule="exact"/>
              <w:ind w:firstLine="0" w:firstLineChars="0"/>
              <w:jc w:val="center"/>
              <w:rPr>
                <w:color w:val="000000"/>
                <w:sz w:val="18"/>
                <w:szCs w:val="18"/>
              </w:rPr>
            </w:pPr>
            <w:r>
              <w:rPr>
                <w:rFonts w:hint="eastAsia"/>
                <w:color w:val="000000"/>
                <w:sz w:val="18"/>
                <w:szCs w:val="18"/>
              </w:rPr>
              <w:t>数量</w:t>
            </w:r>
            <w:r>
              <w:rPr>
                <w:rFonts w:hAnsi="宋体"/>
                <w:sz w:val="20"/>
                <w:szCs w:val="21"/>
              </w:rPr>
              <w:t>（</w:t>
            </w:r>
            <w:r>
              <w:rPr>
                <w:rFonts w:ascii="Arial" w:hAnsi="Arial" w:cs="Arial"/>
                <w:color w:val="333333"/>
                <w:sz w:val="20"/>
                <w:shd w:val="clear" w:color="auto" w:fill="FFFFFF"/>
              </w:rPr>
              <w:t>Φ</w:t>
            </w:r>
            <w:r>
              <w:rPr>
                <w:rFonts w:hint="eastAsia" w:hAnsi="宋体"/>
                <w:sz w:val="20"/>
                <w:szCs w:val="21"/>
              </w:rPr>
              <w:t>≥0</w:t>
            </w:r>
            <w:r>
              <w:rPr>
                <w:rFonts w:hAnsi="宋体"/>
                <w:sz w:val="20"/>
                <w:szCs w:val="21"/>
              </w:rPr>
              <w:t>.3μm</w:t>
            </w:r>
            <w:r>
              <w:rPr>
                <w:rFonts w:hint="eastAsia" w:hAnsi="宋体"/>
                <w:sz w:val="20"/>
                <w:szCs w:val="21"/>
              </w:rPr>
              <w:t>）</w:t>
            </w:r>
          </w:p>
          <w:p>
            <w:pPr>
              <w:pStyle w:val="26"/>
              <w:widowControl w:val="0"/>
              <w:spacing w:line="200" w:lineRule="exact"/>
              <w:ind w:firstLine="0" w:firstLineChars="0"/>
              <w:jc w:val="center"/>
              <w:rPr>
                <w:color w:val="000000"/>
                <w:sz w:val="18"/>
                <w:szCs w:val="18"/>
              </w:rPr>
            </w:pPr>
            <w:r>
              <w:rPr>
                <w:rFonts w:hint="eastAsia"/>
                <w:color w:val="000000"/>
                <w:sz w:val="18"/>
                <w:szCs w:val="18"/>
              </w:rPr>
              <w:t>个/</w:t>
            </w:r>
            <w:r>
              <w:rPr>
                <w:color w:val="000000"/>
                <w:sz w:val="18"/>
                <w:szCs w:val="18"/>
              </w:rPr>
              <w:t>片</w:t>
            </w:r>
          </w:p>
        </w:tc>
        <w:tc>
          <w:tcPr>
            <w:tcW w:w="660" w:type="dxa"/>
            <w:shd w:val="clear" w:color="auto" w:fill="auto"/>
            <w:vAlign w:val="center"/>
          </w:tcPr>
          <w:p>
            <w:pPr>
              <w:jc w:val="center"/>
              <w:rPr>
                <w:rFonts w:ascii="宋体" w:hAnsi="宋体"/>
                <w:sz w:val="20"/>
                <w:szCs w:val="21"/>
              </w:rPr>
            </w:pPr>
            <w:r>
              <w:rPr>
                <w:rFonts w:ascii="宋体" w:hAnsi="宋体"/>
                <w:sz w:val="20"/>
                <w:szCs w:val="21"/>
              </w:rPr>
              <w:t>≤50</w:t>
            </w:r>
          </w:p>
        </w:tc>
        <w:tc>
          <w:tcPr>
            <w:tcW w:w="660" w:type="dxa"/>
            <w:shd w:val="clear" w:color="auto" w:fill="auto"/>
            <w:vAlign w:val="center"/>
          </w:tcPr>
          <w:p>
            <w:pPr>
              <w:jc w:val="center"/>
              <w:rPr>
                <w:rFonts w:ascii="宋体" w:hAnsi="宋体"/>
                <w:sz w:val="20"/>
                <w:szCs w:val="21"/>
              </w:rPr>
            </w:pPr>
            <w:r>
              <w:rPr>
                <w:rFonts w:ascii="宋体" w:hAnsi="宋体"/>
                <w:sz w:val="20"/>
                <w:szCs w:val="21"/>
              </w:rPr>
              <w:t>≤50</w:t>
            </w:r>
          </w:p>
        </w:tc>
        <w:tc>
          <w:tcPr>
            <w:tcW w:w="751" w:type="dxa"/>
            <w:shd w:val="clear" w:color="auto" w:fill="auto"/>
            <w:vAlign w:val="center"/>
          </w:tcPr>
          <w:p>
            <w:pPr>
              <w:jc w:val="center"/>
              <w:rPr>
                <w:rFonts w:ascii="宋体" w:hAnsi="宋体"/>
                <w:sz w:val="20"/>
                <w:szCs w:val="21"/>
              </w:rPr>
            </w:pPr>
            <w:r>
              <w:rPr>
                <w:rFonts w:ascii="宋体" w:hAnsi="宋体"/>
                <w:sz w:val="20"/>
                <w:szCs w:val="21"/>
              </w:rPr>
              <w:t>≤100</w:t>
            </w:r>
          </w:p>
        </w:tc>
        <w:tc>
          <w:tcPr>
            <w:tcW w:w="751" w:type="dxa"/>
            <w:shd w:val="clear" w:color="auto" w:fill="auto"/>
            <w:vAlign w:val="center"/>
          </w:tcPr>
          <w:p>
            <w:pPr>
              <w:jc w:val="center"/>
              <w:rPr>
                <w:rFonts w:ascii="宋体" w:hAnsi="宋体"/>
                <w:b/>
                <w:sz w:val="20"/>
                <w:szCs w:val="21"/>
              </w:rPr>
            </w:pPr>
            <w:r>
              <w:rPr>
                <w:rFonts w:ascii="宋体" w:hAnsi="宋体"/>
                <w:sz w:val="20"/>
                <w:szCs w:val="21"/>
              </w:rPr>
              <w:t>≤100</w:t>
            </w:r>
          </w:p>
        </w:tc>
        <w:tc>
          <w:tcPr>
            <w:tcW w:w="751" w:type="dxa"/>
            <w:shd w:val="clear" w:color="auto" w:fill="auto"/>
            <w:vAlign w:val="center"/>
          </w:tcPr>
          <w:p>
            <w:pPr>
              <w:jc w:val="center"/>
              <w:rPr>
                <w:rFonts w:ascii="宋体" w:hAnsi="宋体"/>
                <w:sz w:val="20"/>
                <w:szCs w:val="21"/>
              </w:rPr>
            </w:pPr>
            <w:r>
              <w:rPr>
                <w:rFonts w:ascii="宋体" w:hAnsi="宋体"/>
                <w:sz w:val="2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崩边（</w:t>
            </w:r>
            <w:r>
              <w:rPr>
                <w:rFonts w:hint="eastAsia" w:ascii="宋体" w:hAnsi="宋体" w:cs="宋体"/>
                <w:kern w:val="0"/>
                <w:sz w:val="20"/>
                <w:szCs w:val="21"/>
              </w:rPr>
              <w:t>≥0.3mm ×0.3mm</w:t>
            </w:r>
            <w:r>
              <w:rPr>
                <w:rFonts w:hint="eastAsia" w:ascii="宋体" w:hAnsi="宋体"/>
                <w:sz w:val="20"/>
                <w:szCs w:val="21"/>
              </w:rPr>
              <w:t>）</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裂纹</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凹坑</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镓夹杂/沉淀</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橘皮</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线痕</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条纹</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孪晶</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shd w:val="clear" w:color="auto" w:fill="auto"/>
            <w:vAlign w:val="center"/>
          </w:tcPr>
          <w:p>
            <w:pPr>
              <w:jc w:val="center"/>
              <w:rPr>
                <w:rFonts w:ascii="宋体" w:hAnsi="宋体"/>
                <w:sz w:val="20"/>
                <w:szCs w:val="21"/>
              </w:rPr>
            </w:pPr>
          </w:p>
          <w:p>
            <w:pPr>
              <w:jc w:val="center"/>
              <w:rPr>
                <w:rFonts w:ascii="宋体" w:hAnsi="宋体"/>
                <w:sz w:val="20"/>
                <w:szCs w:val="21"/>
              </w:rPr>
            </w:pPr>
            <w:r>
              <w:rPr>
                <w:rFonts w:hint="eastAsia" w:ascii="宋体" w:hAnsi="宋体"/>
                <w:sz w:val="20"/>
                <w:szCs w:val="21"/>
              </w:rPr>
              <w:t>背</w:t>
            </w:r>
          </w:p>
          <w:p>
            <w:pPr>
              <w:jc w:val="center"/>
              <w:rPr>
                <w:rFonts w:ascii="宋体" w:hAnsi="宋体"/>
                <w:sz w:val="20"/>
                <w:szCs w:val="21"/>
              </w:rPr>
            </w:pPr>
            <w:r>
              <w:rPr>
                <w:rFonts w:hint="eastAsia" w:ascii="宋体" w:hAnsi="宋体"/>
                <w:sz w:val="20"/>
                <w:szCs w:val="21"/>
              </w:rPr>
              <w:t>面</w:t>
            </w: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线痕</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center"/>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裂纹</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孪晶</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镓夹杂/</w:t>
            </w:r>
            <w:r>
              <w:rPr>
                <w:rFonts w:ascii="宋体" w:hAnsi="宋体"/>
                <w:sz w:val="20"/>
                <w:szCs w:val="21"/>
              </w:rPr>
              <w:t>沉淀</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shd w:val="clear" w:color="auto" w:fill="auto"/>
          </w:tcPr>
          <w:p>
            <w:pPr>
              <w:jc w:val="left"/>
              <w:rPr>
                <w:rFonts w:ascii="宋体" w:hAnsi="宋体"/>
                <w:sz w:val="20"/>
                <w:szCs w:val="21"/>
              </w:rPr>
            </w:pPr>
          </w:p>
        </w:tc>
        <w:tc>
          <w:tcPr>
            <w:tcW w:w="3385" w:type="dxa"/>
            <w:gridSpan w:val="2"/>
            <w:shd w:val="clear" w:color="auto" w:fill="auto"/>
          </w:tcPr>
          <w:p>
            <w:pPr>
              <w:jc w:val="center"/>
              <w:rPr>
                <w:rFonts w:ascii="宋体" w:hAnsi="宋体"/>
                <w:sz w:val="20"/>
                <w:szCs w:val="21"/>
              </w:rPr>
            </w:pPr>
            <w:r>
              <w:rPr>
                <w:rFonts w:hint="eastAsia" w:ascii="宋体" w:hAnsi="宋体"/>
                <w:sz w:val="20"/>
                <w:szCs w:val="21"/>
              </w:rPr>
              <w:t>崩边（</w:t>
            </w:r>
            <w:r>
              <w:rPr>
                <w:rFonts w:hint="eastAsia" w:ascii="宋体" w:hAnsi="宋体" w:cs="宋体"/>
                <w:kern w:val="0"/>
                <w:sz w:val="20"/>
                <w:szCs w:val="21"/>
              </w:rPr>
              <w:t>≥0.3mm ×0.3mm</w:t>
            </w:r>
            <w:r>
              <w:rPr>
                <w:rFonts w:hint="eastAsia" w:ascii="宋体" w:hAnsi="宋体"/>
                <w:sz w:val="20"/>
                <w:szCs w:val="21"/>
              </w:rPr>
              <w:t>）</w:t>
            </w:r>
          </w:p>
        </w:tc>
        <w:tc>
          <w:tcPr>
            <w:tcW w:w="3573" w:type="dxa"/>
            <w:gridSpan w:val="5"/>
            <w:shd w:val="clear" w:color="auto" w:fill="auto"/>
          </w:tcPr>
          <w:p>
            <w:pPr>
              <w:jc w:val="center"/>
              <w:rPr>
                <w:rFonts w:ascii="宋体" w:hAnsi="宋体"/>
                <w:sz w:val="20"/>
                <w:szCs w:val="21"/>
              </w:rPr>
            </w:pPr>
            <w:r>
              <w:rPr>
                <w:rFonts w:ascii="宋体" w:hAnsi="宋体"/>
                <w:sz w:val="20"/>
                <w:szCs w:val="21"/>
              </w:rPr>
              <w:t>无</w:t>
            </w:r>
          </w:p>
        </w:tc>
      </w:tr>
    </w:tbl>
    <w:p>
      <w:pPr>
        <w:ind w:firstLine="1000" w:firstLineChars="500"/>
      </w:pPr>
      <w:r>
        <w:rPr>
          <w:rFonts w:hint="eastAsia" w:ascii="宋体" w:hAnsi="宋体"/>
          <w:sz w:val="20"/>
          <w:szCs w:val="21"/>
        </w:rPr>
        <w:t>注</w:t>
      </w:r>
      <w:r>
        <w:rPr>
          <w:rFonts w:hint="eastAsia"/>
          <w:color w:val="000000"/>
        </w:rPr>
        <w:t>：局部光散射体数量计数需将单晶衬底片边缘去除3</w:t>
      </w:r>
      <w:r>
        <w:rPr>
          <w:color w:val="000000"/>
        </w:rPr>
        <w:t>mm计算</w:t>
      </w:r>
      <w:r>
        <w:rPr>
          <w:rFonts w:hint="eastAsia"/>
          <w:color w:val="000000"/>
        </w:rPr>
        <w:t>。</w:t>
      </w:r>
    </w:p>
    <w:p>
      <w:pPr>
        <w:pStyle w:val="46"/>
        <w:ind w:left="0"/>
      </w:pPr>
      <w:r>
        <w:rPr>
          <w:rFonts w:hint="eastAsia"/>
        </w:rPr>
        <w:t>其他</w:t>
      </w:r>
    </w:p>
    <w:p>
      <w:pPr>
        <w:pStyle w:val="26"/>
        <w:jc w:val="left"/>
        <w:rPr>
          <w:color w:val="000000"/>
        </w:rPr>
      </w:pPr>
      <w:r>
        <w:rPr>
          <w:rFonts w:hint="eastAsia"/>
          <w:color w:val="000000"/>
        </w:rPr>
        <w:t>需方如对半绝缘</w:t>
      </w:r>
      <w:r>
        <w:rPr>
          <w:color w:val="000000"/>
        </w:rPr>
        <w:t>砷化镓单晶</w:t>
      </w:r>
      <w:r>
        <w:rPr>
          <w:rFonts w:hint="eastAsia"/>
          <w:color w:val="000000"/>
        </w:rPr>
        <w:t>衬底片的技术指标有其他要求，应由</w:t>
      </w:r>
      <w:r>
        <w:rPr>
          <w:rFonts w:hAnsi="宋体"/>
        </w:rPr>
        <w:t>供需双方</w:t>
      </w:r>
      <w:r>
        <w:rPr>
          <w:rFonts w:hint="eastAsia" w:hAnsi="宋体"/>
        </w:rPr>
        <w:t>协商</w:t>
      </w:r>
      <w:r>
        <w:rPr>
          <w:rFonts w:hAnsi="宋体"/>
        </w:rPr>
        <w:t>确定</w:t>
      </w:r>
      <w:r>
        <w:rPr>
          <w:rFonts w:hint="eastAsia"/>
          <w:color w:val="000000"/>
        </w:rPr>
        <w:t>。</w:t>
      </w:r>
    </w:p>
    <w:p>
      <w:pPr>
        <w:pStyle w:val="49"/>
        <w:jc w:val="left"/>
        <w:rPr>
          <w:color w:val="000000"/>
        </w:rPr>
      </w:pPr>
      <w:bookmarkStart w:id="15" w:name="_Toc58915727"/>
      <w:bookmarkStart w:id="16" w:name="_Toc41299123"/>
      <w:r>
        <w:rPr>
          <w:rFonts w:hint="eastAsia"/>
          <w:color w:val="000000"/>
        </w:rPr>
        <w:t>试验方法</w:t>
      </w:r>
      <w:bookmarkEnd w:id="15"/>
      <w:bookmarkEnd w:id="16"/>
    </w:p>
    <w:p>
      <w:pPr>
        <w:pStyle w:val="46"/>
        <w:ind w:left="0"/>
      </w:pPr>
      <w:bookmarkStart w:id="17" w:name="_Toc58915728"/>
      <w:bookmarkStart w:id="18" w:name="_Toc41299124"/>
      <w:r>
        <w:rPr>
          <w:rFonts w:hint="eastAsia"/>
        </w:rPr>
        <w:t>电学</w:t>
      </w:r>
      <w:r>
        <w:t>性能</w:t>
      </w:r>
    </w:p>
    <w:p>
      <w:pPr>
        <w:pStyle w:val="50"/>
        <w:spacing w:before="156" w:after="156"/>
        <w:rPr>
          <w:color w:val="000000"/>
        </w:rPr>
      </w:pPr>
      <w:r>
        <w:rPr>
          <w:rFonts w:hint="eastAsia"/>
          <w:color w:val="000000"/>
        </w:rPr>
        <w:t>电阻</w:t>
      </w:r>
      <w:r>
        <w:rPr>
          <w:color w:val="000000"/>
        </w:rPr>
        <w:t>率</w:t>
      </w:r>
    </w:p>
    <w:p>
      <w:pPr>
        <w:pStyle w:val="50"/>
        <w:numPr>
          <w:ilvl w:val="0"/>
          <w:numId w:val="0"/>
        </w:numPr>
        <w:spacing w:before="156" w:after="156"/>
        <w:ind w:firstLine="420" w:firstLineChars="200"/>
        <w:rPr>
          <w:rFonts w:ascii="宋体" w:hAnsi="宋体" w:eastAsia="宋体"/>
          <w:color w:val="000000"/>
        </w:rPr>
      </w:pPr>
      <w:r>
        <w:rPr>
          <w:rFonts w:hint="eastAsia" w:ascii="宋体" w:hAnsi="宋体" w:eastAsia="宋体"/>
          <w:color w:val="000000"/>
        </w:rPr>
        <w:t>半绝缘砷化镓单晶衬底片</w:t>
      </w:r>
      <w:r>
        <w:rPr>
          <w:rFonts w:ascii="宋体" w:hAnsi="宋体" w:eastAsia="宋体"/>
          <w:color w:val="000000"/>
        </w:rPr>
        <w:t>的电阻率检测按</w:t>
      </w:r>
      <w:r>
        <w:rPr>
          <w:rFonts w:hint="eastAsia" w:ascii="宋体" w:eastAsia="宋体"/>
          <w:color w:val="000000"/>
          <w:szCs w:val="20"/>
        </w:rPr>
        <w:t>SJ/T 11488</w:t>
      </w:r>
      <w:r>
        <w:rPr>
          <w:rFonts w:hint="eastAsia" w:ascii="宋体" w:hAnsi="宋体" w:eastAsia="宋体"/>
          <w:color w:val="000000"/>
        </w:rPr>
        <w:t>规定的</w:t>
      </w:r>
      <w:r>
        <w:rPr>
          <w:rFonts w:ascii="宋体" w:hAnsi="宋体" w:eastAsia="宋体"/>
          <w:color w:val="000000"/>
        </w:rPr>
        <w:t>方法测量。</w:t>
      </w:r>
    </w:p>
    <w:p>
      <w:pPr>
        <w:pStyle w:val="50"/>
        <w:spacing w:before="156" w:after="156"/>
        <w:rPr>
          <w:color w:val="000000"/>
        </w:rPr>
      </w:pPr>
      <w:r>
        <w:rPr>
          <w:rFonts w:hint="eastAsia"/>
          <w:color w:val="000000"/>
        </w:rPr>
        <w:t>截面电阻率不均匀性</w:t>
      </w:r>
    </w:p>
    <w:p>
      <w:pPr>
        <w:pStyle w:val="50"/>
        <w:numPr>
          <w:ilvl w:val="0"/>
          <w:numId w:val="0"/>
        </w:numPr>
        <w:spacing w:before="156" w:after="156"/>
        <w:ind w:firstLine="420" w:firstLineChars="200"/>
        <w:rPr>
          <w:rFonts w:ascii="宋体" w:hAnsi="宋体" w:eastAsia="宋体"/>
          <w:color w:val="000000"/>
        </w:rPr>
      </w:pPr>
      <w:r>
        <w:rPr>
          <w:rFonts w:hint="eastAsia" w:ascii="宋体" w:hAnsi="宋体" w:eastAsia="宋体"/>
          <w:color w:val="000000"/>
        </w:rPr>
        <w:t>半绝缘砷化镓单晶衬底片截面</w:t>
      </w:r>
      <w:r>
        <w:rPr>
          <w:rFonts w:ascii="宋体" w:hAnsi="宋体" w:eastAsia="宋体"/>
          <w:color w:val="000000"/>
        </w:rPr>
        <w:t>电阻率不均匀性根据电阻率测试结果按公式</w:t>
      </w:r>
      <w:r>
        <w:rPr>
          <w:rFonts w:hint="eastAsia" w:ascii="宋体" w:hAnsi="宋体" w:eastAsia="宋体"/>
          <w:color w:val="000000"/>
        </w:rPr>
        <w:t>（1）、（2）进行计算，电阻率测试点在砷化镓单晶截面沿直径方向均匀取5点，即中心取1点，左右各取2点，如图1所示</w:t>
      </w:r>
      <w:r>
        <w:rPr>
          <w:rFonts w:ascii="宋体" w:hAnsi="宋体" w:eastAsia="宋体"/>
          <w:color w:val="000000"/>
        </w:rPr>
        <w:t>。</w:t>
      </w:r>
    </w:p>
    <w:p>
      <w:pPr>
        <w:pStyle w:val="26"/>
      </w:pPr>
      <w:r>
        <w:t>砷化镓单晶平均电阻率按公式</w:t>
      </w:r>
      <w:r>
        <w:rPr>
          <w:rFonts w:hint="eastAsia"/>
        </w:rPr>
        <w:t>（1）计算：</w:t>
      </w:r>
    </w:p>
    <w:p>
      <w:pPr>
        <w:pStyle w:val="26"/>
        <w:rPr>
          <w:rFonts w:hint="eastAsia" w:eastAsia="宋体"/>
          <w:lang w:eastAsia="zh-CN"/>
        </w:rPr>
      </w:pPr>
      <w:r>
        <mc:AlternateContent>
          <mc:Choice Requires="wps">
            <w:drawing>
              <wp:anchor distT="45720" distB="45720" distL="114300" distR="114300" simplePos="0" relativeHeight="251664384" behindDoc="1" locked="0" layoutInCell="1" allowOverlap="1">
                <wp:simplePos x="0" y="0"/>
                <wp:positionH relativeFrom="column">
                  <wp:posOffset>3502025</wp:posOffset>
                </wp:positionH>
                <wp:positionV relativeFrom="paragraph">
                  <wp:posOffset>255270</wp:posOffset>
                </wp:positionV>
                <wp:extent cx="2519045" cy="1404620"/>
                <wp:effectExtent l="0" t="0" r="0" b="635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19142" cy="1404620"/>
                        </a:xfrm>
                        <a:prstGeom prst="rect">
                          <a:avLst/>
                        </a:prstGeom>
                        <a:solidFill>
                          <a:srgbClr val="FFFFFF"/>
                        </a:solidFill>
                        <a:ln w="9525">
                          <a:noFill/>
                          <a:miter lim="800000"/>
                        </a:ln>
                      </wps:spPr>
                      <wps:txbx>
                        <w:txbxContent>
                          <w:p>
                            <w:pPr>
                              <w:ind w:firstLine="90" w:firstLineChars="50"/>
                            </w:pPr>
                            <w:r>
                              <w:rPr>
                                <w:rFonts w:hint="eastAsia" w:ascii="宋体" w:hAnsi="宋体"/>
                                <w:sz w:val="18"/>
                              </w:rPr>
                              <w:t>……………………………………………</w:t>
                            </w:r>
                            <w:r>
                              <w:t xml:space="preserve"> (1)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5.75pt;margin-top:20.1pt;height:110.6pt;width:198.35pt;z-index:-251652096;mso-width-relative:page;mso-height-relative:margin;mso-height-percent:200;" fillcolor="#FFFFFF" filled="t" stroked="f" coordsize="21600,21600" o:gfxdata="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CvADTZAAAACgEAAA8AAAAAAAAAAQAgAAAAIgAAAGRycy9k&#10;b3ducmV2LnhtbFBLAQIUABQAAAAIAIdO4kBUnGDsOgIAAFUEAAAOAAAAAAAAAAEAIAAAACgBAABk&#10;cnMvZTJvRG9jLnhtbFBLBQYAAAAABgAGAFkBAADUBQAAAAA=&#10;">
                <v:fill on="t" focussize="0,0"/>
                <v:stroke on="f" miterlimit="8" joinstyle="miter"/>
                <v:imagedata o:title=""/>
                <o:lock v:ext="edit" aspectratio="f"/>
                <v:textbox style="mso-fit-shape-to-text:t;">
                  <w:txbxContent>
                    <w:p>
                      <w:pPr>
                        <w:ind w:firstLine="90" w:firstLineChars="50"/>
                      </w:pPr>
                      <w:r>
                        <w:rPr>
                          <w:rFonts w:hint="eastAsia" w:ascii="宋体" w:hAnsi="宋体"/>
                          <w:sz w:val="18"/>
                        </w:rPr>
                        <w:t>……………………………………………</w:t>
                      </w:r>
                      <w:r>
                        <w:t xml:space="preserve"> (1)</w:t>
                      </w:r>
                    </w:p>
                  </w:txbxContent>
                </v:textbox>
              </v:shape>
            </w:pict>
          </mc:Fallback>
        </mc:AlternateContent>
      </w:r>
      <w:r>
        <w:rPr>
          <w:rFonts w:hint="eastAsia"/>
        </w:rPr>
        <w:t xml:space="preserve"> </w:t>
      </w:r>
      <w:r>
        <w:t xml:space="preserve">                                   </w:t>
      </w:r>
    </w:p>
    <w:p>
      <w:pPr>
        <w:pStyle w:val="26"/>
      </w:pPr>
      <m:oMathPara>
        <m:oMath>
          <m:acc>
            <m:accPr>
              <m:chr m:val="̅"/>
              <m:ctrlPr>
                <w:rPr>
                  <w:rFonts w:ascii="Cambria Math" w:hAnsi="Cambria Math"/>
                  <w:i/>
                  <w:sz w:val="18"/>
                </w:rPr>
              </m:ctrlPr>
            </m:accPr>
            <m:e>
              <m:r>
                <m:rPr/>
                <w:rPr>
                  <w:rFonts w:ascii="Cambria Math" w:hAnsi="Cambria Math"/>
                  <w:sz w:val="18"/>
                </w:rPr>
                <m:t>ρ</m:t>
              </m:r>
              <m:ctrlPr>
                <w:rPr>
                  <w:rFonts w:ascii="Cambria Math" w:hAnsi="Cambria Math"/>
                  <w:i/>
                  <w:sz w:val="18"/>
                </w:rPr>
              </m:ctrlPr>
            </m:e>
          </m:acc>
          <m:r>
            <m:rPr/>
            <w:rPr>
              <w:rFonts w:ascii="Cambria Math" w:hAnsi="Cambria Math"/>
              <w:sz w:val="18"/>
            </w:rPr>
            <m:t xml:space="preserve"> </m:t>
          </m:r>
          <m:r>
            <m:rPr>
              <m:sty m:val="p"/>
            </m:rPr>
            <w:rPr>
              <w:rFonts w:hint="eastAsia" w:ascii="Cambria Math" w:hAnsi="Cambria Math"/>
              <w:sz w:val="18"/>
            </w:rPr>
            <m:t xml:space="preserve"> =</m:t>
          </m:r>
          <m:r>
            <m:rPr>
              <m:sty m:val="p"/>
            </m:rPr>
            <w:rPr>
              <w:rFonts w:ascii="Cambria Math" w:hAnsi="Cambria Math" w:eastAsiaTheme="minorEastAsia"/>
              <w:sz w:val="18"/>
            </w:rPr>
            <m:t xml:space="preserve"> </m:t>
          </m:r>
          <m:f>
            <m:fPr>
              <m:ctrlPr>
                <w:rPr>
                  <w:rFonts w:ascii="Cambria Math" w:hAnsi="Cambria Math" w:eastAsiaTheme="minorEastAsia"/>
                  <w:sz w:val="18"/>
                </w:rPr>
              </m:ctrlPr>
            </m:fPr>
            <m:num>
              <m:r>
                <m:rPr>
                  <m:sty m:val="p"/>
                </m:rPr>
                <w:rPr>
                  <w:rFonts w:ascii="Cambria Math" w:hAnsi="Cambria Math" w:eastAsiaTheme="minorEastAsia"/>
                  <w:sz w:val="18"/>
                </w:rPr>
                <m:t>1</m:t>
              </m:r>
              <m:ctrlPr>
                <w:rPr>
                  <w:rFonts w:ascii="Cambria Math" w:hAnsi="Cambria Math" w:eastAsiaTheme="minorEastAsia"/>
                  <w:sz w:val="18"/>
                </w:rPr>
              </m:ctrlPr>
            </m:num>
            <m:den>
              <m:r>
                <m:rPr>
                  <m:sty m:val="p"/>
                </m:rPr>
                <w:rPr>
                  <w:rFonts w:ascii="Cambria Math" w:hAnsi="Cambria Math" w:eastAsiaTheme="minorEastAsia"/>
                  <w:sz w:val="18"/>
                </w:rPr>
                <m:t>n</m:t>
              </m:r>
              <m:ctrlPr>
                <w:rPr>
                  <w:rFonts w:ascii="Cambria Math" w:hAnsi="Cambria Math" w:eastAsiaTheme="minorEastAsia"/>
                  <w:sz w:val="18"/>
                </w:rPr>
              </m:ctrlPr>
            </m:den>
          </m:f>
          <m:r>
            <m:rPr/>
            <w:rPr>
              <w:rFonts w:ascii="Cambria Math" w:hAnsi="Cambria Math" w:eastAsiaTheme="minorEastAsia"/>
              <w:sz w:val="18"/>
            </w:rPr>
            <m:t xml:space="preserve"> </m:t>
          </m:r>
          <m:nary>
            <m:naryPr>
              <m:chr m:val="∑"/>
              <m:grow m:val="1"/>
              <m:limLoc m:val="undOvr"/>
              <m:ctrlPr>
                <w:rPr>
                  <w:rFonts w:ascii="Cambria Math" w:hAnsi="Cambria Math" w:eastAsiaTheme="minorEastAsia"/>
                  <w:sz w:val="18"/>
                </w:rPr>
              </m:ctrlPr>
            </m:naryPr>
            <m:sub>
              <m:r>
                <m:rPr/>
                <w:rPr>
                  <w:rFonts w:ascii="Cambria Math" w:hAnsi="Cambria Math" w:eastAsiaTheme="minorEastAsia"/>
                  <w:sz w:val="18"/>
                </w:rPr>
                <m:t>i=1</m:t>
              </m:r>
              <m:ctrlPr>
                <w:rPr>
                  <w:rFonts w:ascii="Cambria Math" w:hAnsi="Cambria Math" w:eastAsiaTheme="minorEastAsia"/>
                  <w:sz w:val="18"/>
                </w:rPr>
              </m:ctrlPr>
            </m:sub>
            <m:sup>
              <m:r>
                <m:rPr/>
                <w:rPr>
                  <w:rFonts w:ascii="Cambria Math" w:hAnsi="Cambria Math" w:eastAsiaTheme="minorEastAsia"/>
                  <w:sz w:val="18"/>
                </w:rPr>
                <m:t>n</m:t>
              </m:r>
              <m:ctrlPr>
                <w:rPr>
                  <w:rFonts w:ascii="Cambria Math" w:hAnsi="Cambria Math" w:eastAsiaTheme="minorEastAsia"/>
                  <w:sz w:val="18"/>
                </w:rPr>
              </m:ctrlPr>
            </m:sup>
            <m:e>
              <m:r>
                <m:rPr/>
                <w:rPr>
                  <w:rFonts w:ascii="Cambria Math" w:hAnsi="Cambria Math" w:eastAsiaTheme="minorEastAsia"/>
                  <w:sz w:val="18"/>
                </w:rPr>
                <m:t>ρi</m:t>
              </m:r>
              <m:ctrlPr>
                <w:rPr>
                  <w:rFonts w:ascii="Cambria Math" w:hAnsi="Cambria Math" w:eastAsiaTheme="minorEastAsia"/>
                  <w:sz w:val="18"/>
                </w:rPr>
              </m:ctrlPr>
            </m:e>
          </m:nary>
        </m:oMath>
      </m:oMathPara>
    </w:p>
    <w:p>
      <w:pPr>
        <w:pStyle w:val="26"/>
      </w:pPr>
      <w:r>
        <w:t>式中</w:t>
      </w:r>
      <w:r>
        <w:rPr>
          <w:rFonts w:hint="eastAsia"/>
        </w:rPr>
        <w:t>：</w:t>
      </w:r>
    </w:p>
    <w:p>
      <w:pPr>
        <w:pStyle w:val="26"/>
        <w:ind w:firstLineChars="0"/>
      </w:pPr>
      <m:oMath>
        <m:acc>
          <m:accPr>
            <m:chr m:val="̅"/>
            <m:ctrlPr>
              <w:rPr>
                <w:rFonts w:ascii="Cambria Math" w:hAnsi="Cambria Math"/>
                <w:i/>
              </w:rPr>
            </m:ctrlPr>
          </m:accPr>
          <m:e>
            <m:r>
              <m:rPr/>
              <w:rPr>
                <w:rFonts w:ascii="Cambria Math" w:hAnsi="Cambria Math"/>
              </w:rPr>
              <m:t>ρ</m:t>
            </m:r>
            <m:ctrlPr>
              <w:rPr>
                <w:rFonts w:ascii="Cambria Math" w:hAnsi="Cambria Math"/>
                <w:i/>
              </w:rPr>
            </m:ctrlPr>
          </m:e>
        </m:acc>
        <m:r>
          <m:rPr/>
          <w:rPr>
            <w:rFonts w:ascii="Cambria Math" w:hAnsi="Cambria Math"/>
          </w:rPr>
          <m:t xml:space="preserve"> </m:t>
        </m:r>
      </m:oMath>
      <w:r>
        <w:rPr>
          <w:rFonts w:hint="eastAsia"/>
        </w:rPr>
        <w:t xml:space="preserve"> </w:t>
      </w:r>
      <w:r>
        <w:t>——平均电阻率</w:t>
      </w:r>
      <w:r>
        <w:rPr>
          <w:rFonts w:hint="eastAsia"/>
        </w:rPr>
        <w:t>，</w:t>
      </w:r>
      <w:r>
        <w:t>单位为欧姆厘米</w:t>
      </w:r>
      <w:r>
        <w:rPr>
          <w:rFonts w:hint="eastAsia"/>
        </w:rPr>
        <w:t>（</w:t>
      </w:r>
      <w:r>
        <w:rPr>
          <w:rFonts w:hint="eastAsia" w:hAnsi="宋体"/>
          <w:color w:val="000000"/>
          <w:sz w:val="18"/>
          <w:szCs w:val="18"/>
        </w:rPr>
        <w:t>Ω</w:t>
      </w:r>
      <w:r>
        <w:t>·</w:t>
      </w:r>
      <w:r>
        <w:rPr>
          <w:rFonts w:hAnsi="宋体"/>
          <w:color w:val="000000"/>
          <w:sz w:val="18"/>
          <w:szCs w:val="18"/>
        </w:rPr>
        <w:t>cm</w:t>
      </w:r>
      <w:r>
        <w:rPr>
          <w:rFonts w:hint="eastAsia"/>
        </w:rPr>
        <w:t>）；</w:t>
      </w:r>
    </w:p>
    <w:p>
      <w:pPr>
        <w:pStyle w:val="26"/>
        <w:ind w:firstLineChars="0"/>
      </w:pPr>
      <w:r>
        <w:rPr>
          <w:i/>
        </w:rPr>
        <w:t>ρ</w:t>
      </w:r>
      <w:r>
        <w:rPr>
          <w:i/>
          <w:vertAlign w:val="subscript"/>
        </w:rPr>
        <w:t>i</w:t>
      </w:r>
      <w:r>
        <w:rPr>
          <w:vertAlign w:val="subscript"/>
        </w:rPr>
        <w:t xml:space="preserve">  </w:t>
      </w:r>
      <w:r>
        <w:t>——第</w:t>
      </w:r>
      <w:r>
        <w:rPr>
          <w:rFonts w:hint="eastAsia"/>
          <w:i/>
        </w:rPr>
        <w:t>i</w:t>
      </w:r>
      <w:r>
        <w:t>个测量点电阻率</w:t>
      </w:r>
      <w:r>
        <w:rPr>
          <w:rFonts w:hint="eastAsia"/>
        </w:rPr>
        <w:t>，</w:t>
      </w:r>
      <w:r>
        <w:t>单位为欧姆厘米</w:t>
      </w:r>
      <w:r>
        <w:rPr>
          <w:rFonts w:hint="eastAsia"/>
        </w:rPr>
        <w:t>（</w:t>
      </w:r>
      <w:r>
        <w:rPr>
          <w:rFonts w:hint="eastAsia" w:hAnsi="宋体"/>
          <w:color w:val="000000"/>
          <w:sz w:val="18"/>
          <w:szCs w:val="18"/>
        </w:rPr>
        <w:t>Ω</w:t>
      </w:r>
      <w:r>
        <w:t>·</w:t>
      </w:r>
      <w:r>
        <w:rPr>
          <w:rFonts w:hAnsi="宋体"/>
          <w:color w:val="000000"/>
          <w:sz w:val="18"/>
          <w:szCs w:val="18"/>
        </w:rPr>
        <w:t>cm</w:t>
      </w:r>
      <w:r>
        <w:rPr>
          <w:rFonts w:hint="eastAsia"/>
        </w:rPr>
        <w:t>）；</w:t>
      </w:r>
    </w:p>
    <w:p>
      <w:pPr>
        <w:pStyle w:val="26"/>
        <w:ind w:firstLine="424" w:firstLineChars="202"/>
      </w:pPr>
      <w:r>
        <w:rPr>
          <w:i/>
        </w:rPr>
        <w:t xml:space="preserve">I </w:t>
      </w:r>
      <w:r>
        <w:t>——测试点数目</w:t>
      </w:r>
      <w:r>
        <w:rPr>
          <w:rFonts w:hint="eastAsia"/>
        </w:rPr>
        <w:t>，</w:t>
      </w:r>
      <w:r>
        <w:rPr>
          <w:rFonts w:hint="eastAsia"/>
          <w:i/>
        </w:rPr>
        <w:t>i</w:t>
      </w:r>
      <w:r>
        <w:rPr>
          <w:rFonts w:hint="eastAsia"/>
        </w:rPr>
        <w:t>=</w:t>
      </w:r>
      <w:r>
        <w:t>1</w:t>
      </w:r>
      <w:r>
        <w:rPr>
          <w:rFonts w:ascii="Times New Roman"/>
        </w:rPr>
        <w:t>~</w:t>
      </w:r>
      <w:r>
        <w:t>5</w:t>
      </w:r>
      <w:r>
        <w:rPr>
          <w:rFonts w:hint="eastAsia"/>
        </w:rPr>
        <w:t>。</w:t>
      </w:r>
    </w:p>
    <w:p>
      <w:pPr>
        <w:pStyle w:val="26"/>
        <w:ind w:firstLineChars="0"/>
      </w:pPr>
      <w:r>
        <w:rPr>
          <w:rFonts w:hint="eastAsia"/>
        </w:rPr>
        <w:t>截面电阻率不均匀性按公式（2）计算：</w:t>
      </w:r>
    </w:p>
    <w:p>
      <w:pPr>
        <w:pStyle w:val="26"/>
        <w:ind w:firstLineChars="0"/>
      </w:pPr>
      <w:r>
        <mc:AlternateContent>
          <mc:Choice Requires="wps">
            <w:drawing>
              <wp:anchor distT="45720" distB="45720" distL="114300" distR="114300" simplePos="0" relativeHeight="251665408" behindDoc="1" locked="0" layoutInCell="1" allowOverlap="1">
                <wp:simplePos x="0" y="0"/>
                <wp:positionH relativeFrom="column">
                  <wp:posOffset>4062730</wp:posOffset>
                </wp:positionH>
                <wp:positionV relativeFrom="paragraph">
                  <wp:posOffset>69850</wp:posOffset>
                </wp:positionV>
                <wp:extent cx="2519045" cy="1404620"/>
                <wp:effectExtent l="0" t="0" r="0" b="635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19142" cy="1404620"/>
                        </a:xfrm>
                        <a:prstGeom prst="rect">
                          <a:avLst/>
                        </a:prstGeom>
                        <a:solidFill>
                          <a:srgbClr val="FFFFFF"/>
                        </a:solidFill>
                        <a:ln w="9525">
                          <a:noFill/>
                          <a:miter lim="800000"/>
                        </a:ln>
                      </wps:spPr>
                      <wps:txbx>
                        <w:txbxContent>
                          <w:p>
                            <w:pPr>
                              <w:ind w:firstLine="90" w:firstLineChars="50"/>
                            </w:pPr>
                            <w:r>
                              <w:rPr>
                                <w:rFonts w:hint="eastAsia" w:ascii="宋体" w:hAnsi="宋体"/>
                                <w:sz w:val="18"/>
                              </w:rPr>
                              <w:t>………………………………</w:t>
                            </w:r>
                            <w:r>
                              <w:t xml:space="preserve"> (2)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9.9pt;margin-top:5.5pt;height:110.6pt;width:198.35pt;z-index:-251651072;mso-width-relative:page;mso-height-relative:margin;mso-height-percent:200;" fillcolor="#FFFFFF" filled="t" stroked="f" coordsize="21600,21600" o:gfxdata="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NypOnYAAAACwEAAA8AAAAAAAAAAQAgAAAAIgAAAGRycy9kb3du&#10;cmV2LnhtbFBLAQIUABQAAAAIAIdO4kBlBvJ1OAIAAFMEAAAOAAAAAAAAAAEAIAAAACcBAABkcnMv&#10;ZTJvRG9jLnhtbFBLBQYAAAAABgAGAFkBAADRBQAAAAA=&#10;">
                <v:fill on="t" focussize="0,0"/>
                <v:stroke on="f" miterlimit="8" joinstyle="miter"/>
                <v:imagedata o:title=""/>
                <o:lock v:ext="edit" aspectratio="f"/>
                <v:textbox style="mso-fit-shape-to-text:t;">
                  <w:txbxContent>
                    <w:p>
                      <w:pPr>
                        <w:ind w:firstLine="90" w:firstLineChars="50"/>
                      </w:pPr>
                      <w:r>
                        <w:rPr>
                          <w:rFonts w:hint="eastAsia" w:ascii="宋体" w:hAnsi="宋体"/>
                          <w:sz w:val="18"/>
                        </w:rPr>
                        <w:t>………………………………</w:t>
                      </w:r>
                      <w:r>
                        <w:t xml:space="preserve"> (2)</w:t>
                      </w:r>
                    </w:p>
                  </w:txbxContent>
                </v:textbox>
              </v:shape>
            </w:pict>
          </mc:Fallback>
        </mc:AlternateContent>
      </w:r>
      <w:r>
        <w:rPr>
          <w:rFonts w:hint="eastAsia"/>
        </w:rPr>
        <w:t xml:space="preserve"> </w:t>
      </w:r>
      <w:r>
        <w:t xml:space="preserve">                                </w:t>
      </w:r>
      <w:r>
        <w:rPr>
          <w:rFonts w:hint="eastAsia"/>
          <w:i/>
        </w:rPr>
        <w:t>ρ</w:t>
      </w:r>
      <w:r>
        <w:rPr>
          <w:rFonts w:hint="eastAsia"/>
          <w:i/>
          <w:vertAlign w:val="subscript"/>
        </w:rPr>
        <w:t>d</w:t>
      </w:r>
      <w:r>
        <w:rPr>
          <w:i/>
          <w:vertAlign w:val="subscript"/>
        </w:rPr>
        <w:t xml:space="preserve"> </w:t>
      </w:r>
      <w:r>
        <w:rPr>
          <w:sz w:val="36"/>
          <w:vertAlign w:val="subscript"/>
        </w:rPr>
        <w:t xml:space="preserve"> =</w:t>
      </w:r>
      <w:r>
        <w:t xml:space="preserve"> </w:t>
      </w:r>
      <m:oMath>
        <m:f>
          <m:fPr>
            <m:ctrlPr>
              <w:rPr>
                <w:rFonts w:ascii="Cambria Math" w:hAnsi="Cambria Math" w:eastAsiaTheme="majorEastAsia"/>
                <w:szCs w:val="21"/>
              </w:rPr>
            </m:ctrlPr>
          </m:fPr>
          <m:num>
            <m:r>
              <m:rPr>
                <m:sty m:val="p"/>
              </m:rPr>
              <w:rPr>
                <w:rFonts w:ascii="Cambria Math" w:hAnsi="Cambria Math" w:cs="Cambria Math" w:eastAsiaTheme="majorEastAsia"/>
                <w:szCs w:val="21"/>
              </w:rPr>
              <m:t xml:space="preserve"> </m:t>
            </m:r>
            <m:sSub>
              <m:sSubPr>
                <m:ctrlPr>
                  <w:rPr>
                    <w:rFonts w:ascii="Cambria Math" w:hAnsi="Cambria Math" w:eastAsia="Cambria Math"/>
                    <w:vertAlign w:val="subscript"/>
                  </w:rPr>
                </m:ctrlPr>
              </m:sSubPr>
              <m:e>
                <m:r>
                  <m:rPr/>
                  <w:rPr>
                    <w:rFonts w:hint="eastAsia" w:ascii="Cambria Math" w:hAnsi="Cambria Math" w:eastAsiaTheme="majorEastAsia"/>
                    <w:vertAlign w:val="subscript"/>
                  </w:rPr>
                  <m:t>ρ</m:t>
                </m:r>
                <m:ctrlPr>
                  <w:rPr>
                    <w:rFonts w:ascii="Cambria Math" w:hAnsi="Cambria Math" w:eastAsia="Cambria Math"/>
                    <w:vertAlign w:val="subscript"/>
                  </w:rPr>
                </m:ctrlPr>
              </m:e>
              <m:sub>
                <m:r>
                  <m:rPr/>
                  <w:rPr>
                    <w:rFonts w:ascii="Cambria Math" w:hAnsi="Cambria Math" w:eastAsiaTheme="majorEastAsia"/>
                    <w:vertAlign w:val="subscript"/>
                  </w:rPr>
                  <m:t>max</m:t>
                </m:r>
                <m:ctrlPr>
                  <w:rPr>
                    <w:rFonts w:ascii="Cambria Math" w:hAnsi="Cambria Math" w:eastAsia="Cambria Math"/>
                    <w:vertAlign w:val="subscript"/>
                  </w:rPr>
                </m:ctrlPr>
              </m:sub>
            </m:sSub>
            <m:r>
              <m:rPr>
                <m:sty m:val="p"/>
              </m:rPr>
              <w:rPr>
                <w:rFonts w:ascii="MS Gothic" w:hAnsi="MS Gothic" w:cs="MS Gothic" w:eastAsiaTheme="majorEastAsia"/>
                <w:vertAlign w:val="subscript"/>
              </w:rPr>
              <m:t>−</m:t>
            </m:r>
            <m:sSub>
              <m:sSubPr>
                <m:ctrlPr>
                  <w:rPr>
                    <w:rFonts w:ascii="Cambria Math" w:hAnsi="Cambria Math" w:eastAsia="Cambria Math"/>
                    <w:vertAlign w:val="subscript"/>
                  </w:rPr>
                </m:ctrlPr>
              </m:sSubPr>
              <m:e>
                <m:r>
                  <m:rPr/>
                  <w:rPr>
                    <w:rFonts w:hint="eastAsia" w:ascii="Cambria Math" w:hAnsi="Cambria Math" w:eastAsiaTheme="majorEastAsia"/>
                    <w:vertAlign w:val="subscript"/>
                  </w:rPr>
                  <m:t>ρ</m:t>
                </m:r>
                <m:ctrlPr>
                  <w:rPr>
                    <w:rFonts w:ascii="Cambria Math" w:hAnsi="Cambria Math" w:eastAsia="Cambria Math"/>
                    <w:vertAlign w:val="subscript"/>
                  </w:rPr>
                </m:ctrlPr>
              </m:e>
              <m:sub>
                <m:r>
                  <m:rPr/>
                  <w:rPr>
                    <w:rFonts w:ascii="Cambria Math" w:hAnsi="Cambria Math" w:eastAsiaTheme="majorEastAsia"/>
                    <w:vertAlign w:val="subscript"/>
                  </w:rPr>
                  <m:t>min</m:t>
                </m:r>
                <m:ctrlPr>
                  <w:rPr>
                    <w:rFonts w:ascii="Cambria Math" w:hAnsi="Cambria Math" w:eastAsia="Cambria Math"/>
                    <w:vertAlign w:val="subscript"/>
                  </w:rPr>
                </m:ctrlPr>
              </m:sub>
            </m:sSub>
            <m:r>
              <m:rPr>
                <m:sty m:val="p"/>
              </m:rPr>
              <w:rPr>
                <w:rFonts w:ascii="Cambria Math" w:hAnsi="Cambria Math" w:eastAsiaTheme="majorEastAsia"/>
                <w:vertAlign w:val="subscript"/>
              </w:rPr>
              <m:t xml:space="preserve"> </m:t>
            </m:r>
            <m:ctrlPr>
              <w:rPr>
                <w:rFonts w:ascii="Cambria Math" w:hAnsi="Cambria Math" w:eastAsiaTheme="majorEastAsia"/>
                <w:szCs w:val="21"/>
              </w:rPr>
            </m:ctrlPr>
          </m:num>
          <m:den>
            <m:acc>
              <m:accPr>
                <m:chr m:val="̅"/>
                <m:ctrlPr>
                  <w:rPr>
                    <w:rFonts w:ascii="Cambria Math" w:hAnsi="Cambria Math"/>
                    <w:i/>
                  </w:rPr>
                </m:ctrlPr>
              </m:accPr>
              <m:e>
                <m:r>
                  <m:rPr/>
                  <w:rPr>
                    <w:rFonts w:ascii="Cambria Math" w:hAnsi="Cambria Math"/>
                  </w:rPr>
                  <m:t>ρ</m:t>
                </m:r>
                <m:ctrlPr>
                  <w:rPr>
                    <w:rFonts w:ascii="Cambria Math" w:hAnsi="Cambria Math"/>
                    <w:i/>
                  </w:rPr>
                </m:ctrlPr>
              </m:e>
            </m:acc>
            <m:ctrlPr>
              <w:rPr>
                <w:rFonts w:ascii="Cambria Math" w:hAnsi="Cambria Math" w:eastAsiaTheme="majorEastAsia"/>
                <w:szCs w:val="21"/>
              </w:rPr>
            </m:ctrlPr>
          </m:den>
        </m:f>
      </m:oMath>
      <w:r>
        <w:rPr>
          <w:rFonts w:hint="eastAsia"/>
          <w:szCs w:val="21"/>
        </w:rPr>
        <w:t xml:space="preserve"> ×1</w:t>
      </w:r>
      <w:r>
        <w:rPr>
          <w:szCs w:val="21"/>
        </w:rPr>
        <w:t>00</w:t>
      </w:r>
      <w:r>
        <w:rPr>
          <w:rFonts w:hint="eastAsia"/>
          <w:szCs w:val="21"/>
        </w:rPr>
        <w:t>%</w:t>
      </w:r>
    </w:p>
    <w:p>
      <w:pPr>
        <w:pStyle w:val="26"/>
        <w:ind w:firstLineChars="0"/>
      </w:pPr>
      <w:r>
        <w:t>式中</w:t>
      </w:r>
      <w:r>
        <w:rPr>
          <w:rFonts w:hint="eastAsia"/>
        </w:rPr>
        <w:t>：</w:t>
      </w:r>
    </w:p>
    <w:p>
      <w:pPr>
        <w:pStyle w:val="26"/>
        <w:ind w:firstLineChars="0"/>
      </w:pPr>
      <w:r>
        <w:rPr>
          <w:rFonts w:hint="eastAsia"/>
          <w:i/>
        </w:rPr>
        <w:t>ρ</w:t>
      </w:r>
      <w:r>
        <w:rPr>
          <w:rFonts w:hint="eastAsia"/>
          <w:i/>
          <w:vertAlign w:val="subscript"/>
        </w:rPr>
        <w:t>d</w:t>
      </w:r>
      <w:r>
        <w:rPr>
          <w:i/>
          <w:vertAlign w:val="subscript"/>
        </w:rPr>
        <w:t xml:space="preserve"> </w:t>
      </w:r>
      <w:r>
        <w:rPr>
          <w:vertAlign w:val="subscript"/>
        </w:rPr>
        <w:t xml:space="preserve">  </w:t>
      </w:r>
      <w:r>
        <w:t>——截面电阻率不均匀性</w:t>
      </w:r>
      <w:r>
        <w:rPr>
          <w:rFonts w:hint="eastAsia"/>
        </w:rPr>
        <w:t>；</w:t>
      </w:r>
    </w:p>
    <w:p>
      <w:pPr>
        <w:pStyle w:val="26"/>
        <w:ind w:firstLineChars="0"/>
      </w:pPr>
      <w:r>
        <w:rPr>
          <w:rFonts w:hint="eastAsia"/>
          <w:i/>
        </w:rPr>
        <w:t>ρ</w:t>
      </w:r>
      <w:r>
        <w:rPr>
          <w:rFonts w:hint="eastAsia"/>
          <w:i/>
          <w:vertAlign w:val="subscript"/>
        </w:rPr>
        <w:t>max</w:t>
      </w:r>
      <w:r>
        <w:rPr>
          <w:vertAlign w:val="subscript"/>
        </w:rPr>
        <w:t xml:space="preserve"> </w:t>
      </w:r>
      <w:r>
        <w:t>——截面电阻率</w:t>
      </w:r>
      <w:r>
        <w:rPr>
          <w:rFonts w:hint="eastAsia"/>
        </w:rPr>
        <w:t>最大值，单位为欧姆厘米（</w:t>
      </w:r>
      <w:r>
        <w:rPr>
          <w:rFonts w:hint="eastAsia" w:hAnsi="宋体"/>
          <w:color w:val="000000"/>
          <w:sz w:val="18"/>
          <w:szCs w:val="18"/>
        </w:rPr>
        <w:t>Ω</w:t>
      </w:r>
      <w:r>
        <w:t>·</w:t>
      </w:r>
      <w:r>
        <w:rPr>
          <w:rFonts w:hAnsi="宋体"/>
          <w:color w:val="000000"/>
          <w:sz w:val="18"/>
          <w:szCs w:val="18"/>
        </w:rPr>
        <w:t>cm</w:t>
      </w:r>
      <w:r>
        <w:rPr>
          <w:rFonts w:hint="eastAsia"/>
        </w:rPr>
        <w:t>）；</w:t>
      </w:r>
    </w:p>
    <w:p>
      <w:pPr>
        <w:pStyle w:val="26"/>
        <w:ind w:firstLineChars="0"/>
      </w:pPr>
      <w:r>
        <w:rPr>
          <w:rFonts w:hint="eastAsia"/>
          <w:i/>
        </w:rPr>
        <w:t>ρ</w:t>
      </w:r>
      <w:r>
        <w:rPr>
          <w:rFonts w:hint="eastAsia"/>
          <w:i/>
          <w:vertAlign w:val="subscript"/>
        </w:rPr>
        <w:t>min</w:t>
      </w:r>
      <w:r>
        <w:rPr>
          <w:i/>
          <w:vertAlign w:val="subscript"/>
        </w:rPr>
        <w:t xml:space="preserve"> </w:t>
      </w:r>
      <w:r>
        <w:t>——截面电阻率</w:t>
      </w:r>
      <w:r>
        <w:rPr>
          <w:rFonts w:hint="eastAsia"/>
        </w:rPr>
        <w:t>最小值，单位为欧姆厘米（</w:t>
      </w:r>
      <w:r>
        <w:rPr>
          <w:rFonts w:hint="eastAsia" w:hAnsi="宋体"/>
          <w:color w:val="000000"/>
          <w:sz w:val="18"/>
          <w:szCs w:val="18"/>
        </w:rPr>
        <w:t>Ω</w:t>
      </w:r>
      <w:r>
        <w:t>·</w:t>
      </w:r>
      <w:r>
        <w:rPr>
          <w:rFonts w:hAnsi="宋体"/>
          <w:color w:val="000000"/>
          <w:sz w:val="18"/>
          <w:szCs w:val="18"/>
        </w:rPr>
        <w:t>cm</w:t>
      </w:r>
      <w:r>
        <w:rPr>
          <w:rFonts w:hint="eastAsia"/>
        </w:rPr>
        <w:t>）；</w:t>
      </w:r>
    </w:p>
    <w:p>
      <w:pPr>
        <w:pStyle w:val="26"/>
        <w:ind w:firstLine="426" w:firstLineChars="0"/>
      </w:pPr>
      <m:oMath>
        <m:acc>
          <m:accPr>
            <m:chr m:val="̅"/>
            <m:ctrlPr>
              <w:rPr>
                <w:rFonts w:ascii="Cambria Math" w:hAnsi="Cambria Math"/>
                <w:i/>
              </w:rPr>
            </m:ctrlPr>
          </m:accPr>
          <m:e>
            <m:r>
              <m:rPr/>
              <w:rPr>
                <w:rFonts w:ascii="Cambria Math" w:hAnsi="Cambria Math"/>
              </w:rPr>
              <m:t>ρ</m:t>
            </m:r>
            <m:ctrlPr>
              <w:rPr>
                <w:rFonts w:ascii="Cambria Math" w:hAnsi="Cambria Math"/>
                <w:i/>
              </w:rPr>
            </m:ctrlPr>
          </m:e>
        </m:acc>
        <m:r>
          <m:rPr/>
          <w:rPr>
            <w:rFonts w:ascii="Cambria Math" w:hAnsi="Cambria Math"/>
          </w:rPr>
          <m:t xml:space="preserve"> </m:t>
        </m:r>
      </m:oMath>
      <w:r>
        <w:rPr>
          <w:rFonts w:hint="eastAsia"/>
        </w:rPr>
        <w:t xml:space="preserve"> </w:t>
      </w:r>
      <w:r>
        <w:t xml:space="preserve"> —— </w:t>
      </w:r>
      <w:r>
        <w:rPr>
          <w:rFonts w:hint="eastAsia"/>
        </w:rPr>
        <w:t>平均</w:t>
      </w:r>
      <w:r>
        <w:t>电阻率</w:t>
      </w:r>
      <w:r>
        <w:rPr>
          <w:rFonts w:hint="eastAsia"/>
        </w:rPr>
        <w:t>，单位为欧姆厘米（</w:t>
      </w:r>
      <w:r>
        <w:rPr>
          <w:rFonts w:hint="eastAsia" w:hAnsi="宋体"/>
          <w:color w:val="000000"/>
          <w:sz w:val="18"/>
          <w:szCs w:val="18"/>
        </w:rPr>
        <w:t>Ω</w:t>
      </w:r>
      <w:r>
        <w:t>·</w:t>
      </w:r>
      <w:r>
        <w:rPr>
          <w:rFonts w:hAnsi="宋体"/>
          <w:color w:val="000000"/>
          <w:sz w:val="18"/>
          <w:szCs w:val="18"/>
        </w:rPr>
        <w:t>cm</w:t>
      </w:r>
      <w:r>
        <w:rPr>
          <w:rFonts w:hint="eastAsia"/>
        </w:rPr>
        <w:t>）。</w:t>
      </w:r>
    </w:p>
    <w:p>
      <w:pPr>
        <w:pStyle w:val="26"/>
        <w:ind w:firstLineChars="0"/>
      </w:pPr>
      <w:r>
        <w:drawing>
          <wp:anchor distT="0" distB="0" distL="114300" distR="114300" simplePos="0" relativeHeight="251666432" behindDoc="1" locked="0" layoutInCell="1" allowOverlap="1">
            <wp:simplePos x="0" y="0"/>
            <wp:positionH relativeFrom="column">
              <wp:posOffset>1870075</wp:posOffset>
            </wp:positionH>
            <wp:positionV relativeFrom="paragraph">
              <wp:posOffset>41910</wp:posOffset>
            </wp:positionV>
            <wp:extent cx="2137410" cy="1921510"/>
            <wp:effectExtent l="0" t="0" r="0" b="317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39158" cy="1923097"/>
                    </a:xfrm>
                    <a:prstGeom prst="rect">
                      <a:avLst/>
                    </a:prstGeom>
                  </pic:spPr>
                </pic:pic>
              </a:graphicData>
            </a:graphic>
          </wp:anchor>
        </w:drawing>
      </w:r>
    </w:p>
    <w:p>
      <w:pPr>
        <w:pStyle w:val="26"/>
        <w:ind w:firstLineChars="0"/>
      </w:pPr>
    </w:p>
    <w:p>
      <w:pPr>
        <w:pStyle w:val="26"/>
        <w:ind w:firstLineChars="0"/>
      </w:pPr>
    </w:p>
    <w:p>
      <w:pPr>
        <w:pStyle w:val="26"/>
        <w:ind w:firstLineChars="0"/>
      </w:pPr>
    </w:p>
    <w:p>
      <w:pPr>
        <w:pStyle w:val="26"/>
        <w:ind w:firstLineChars="0"/>
      </w:pPr>
    </w:p>
    <w:p>
      <w:pPr>
        <w:pStyle w:val="26"/>
        <w:ind w:firstLineChars="0"/>
      </w:pPr>
    </w:p>
    <w:p>
      <w:pPr>
        <w:pStyle w:val="26"/>
        <w:ind w:firstLineChars="0"/>
      </w:pPr>
    </w:p>
    <w:p>
      <w:pPr>
        <w:pStyle w:val="26"/>
        <w:ind w:firstLineChars="0"/>
      </w:pPr>
    </w:p>
    <w:p>
      <w:pPr>
        <w:pStyle w:val="26"/>
        <w:ind w:firstLineChars="0"/>
      </w:pPr>
    </w:p>
    <w:p>
      <w:pPr>
        <w:pStyle w:val="26"/>
        <w:ind w:firstLineChars="0"/>
      </w:pPr>
    </w:p>
    <w:p>
      <w:pPr>
        <w:pStyle w:val="50"/>
        <w:spacing w:before="156" w:after="156"/>
        <w:rPr>
          <w:color w:val="000000"/>
        </w:rPr>
      </w:pPr>
      <w:r>
        <w:rPr>
          <w:rFonts w:hint="eastAsia"/>
          <w:color w:val="000000"/>
        </w:rPr>
        <w:t>霍尔迁移率</w:t>
      </w:r>
    </w:p>
    <w:p>
      <w:pPr>
        <w:pStyle w:val="46"/>
        <w:numPr>
          <w:ilvl w:val="0"/>
          <w:numId w:val="0"/>
        </w:numPr>
        <w:ind w:left="426"/>
        <w:outlineLvl w:val="3"/>
        <w:rPr>
          <w:rFonts w:ascii="宋体" w:eastAsia="宋体"/>
          <w:color w:val="000000"/>
          <w:szCs w:val="20"/>
        </w:rPr>
      </w:pPr>
      <w:r>
        <w:rPr>
          <w:rFonts w:hint="eastAsia" w:ascii="宋体" w:hAnsi="宋体" w:eastAsia="宋体"/>
          <w:color w:val="000000"/>
        </w:rPr>
        <w:t>半绝缘砷化镓单晶衬底片</w:t>
      </w:r>
      <w:r>
        <w:rPr>
          <w:rFonts w:ascii="宋体" w:hAnsi="宋体" w:eastAsia="宋体"/>
          <w:color w:val="000000"/>
        </w:rPr>
        <w:t>的</w:t>
      </w:r>
      <w:r>
        <w:rPr>
          <w:rFonts w:hint="eastAsia" w:ascii="宋体" w:eastAsia="宋体"/>
          <w:color w:val="000000"/>
          <w:szCs w:val="20"/>
        </w:rPr>
        <w:t>电子霍尔迁移率</w:t>
      </w:r>
      <w:r>
        <w:rPr>
          <w:rFonts w:ascii="宋体" w:eastAsia="宋体"/>
          <w:color w:val="000000"/>
          <w:szCs w:val="20"/>
        </w:rPr>
        <w:t>检测</w:t>
      </w:r>
      <w:r>
        <w:rPr>
          <w:rFonts w:ascii="宋体" w:hAnsi="宋体" w:eastAsia="宋体"/>
          <w:color w:val="000000"/>
        </w:rPr>
        <w:t>按</w:t>
      </w:r>
      <w:r>
        <w:rPr>
          <w:rFonts w:hint="eastAsia" w:ascii="宋体" w:eastAsia="宋体"/>
          <w:color w:val="000000"/>
          <w:szCs w:val="20"/>
        </w:rPr>
        <w:t xml:space="preserve">SJ/ T 11488 </w:t>
      </w:r>
      <w:r>
        <w:rPr>
          <w:rFonts w:hint="eastAsia" w:ascii="宋体" w:hAnsi="宋体" w:eastAsia="宋体"/>
          <w:color w:val="000000"/>
        </w:rPr>
        <w:t>规定的</w:t>
      </w:r>
      <w:r>
        <w:rPr>
          <w:rFonts w:ascii="宋体" w:hAnsi="宋体" w:eastAsia="宋体"/>
          <w:color w:val="000000"/>
        </w:rPr>
        <w:t>方法测</w:t>
      </w:r>
      <w:r>
        <w:rPr>
          <w:rFonts w:hint="eastAsia" w:ascii="宋体" w:hAnsi="宋体" w:eastAsia="宋体"/>
          <w:color w:val="000000"/>
        </w:rPr>
        <w:t>定</w:t>
      </w:r>
      <w:r>
        <w:rPr>
          <w:rFonts w:ascii="宋体" w:hAnsi="宋体" w:eastAsia="宋体"/>
          <w:color w:val="000000"/>
        </w:rPr>
        <w:t>。</w:t>
      </w:r>
    </w:p>
    <w:p>
      <w:pPr>
        <w:pStyle w:val="46"/>
        <w:ind w:left="0"/>
      </w:pPr>
      <w:r>
        <w:rPr>
          <w:rFonts w:hint="eastAsia"/>
        </w:rPr>
        <w:t>表面晶向</w:t>
      </w:r>
      <w:r>
        <w:t>及晶向偏离</w:t>
      </w:r>
    </w:p>
    <w:p>
      <w:pPr>
        <w:pStyle w:val="26"/>
        <w:jc w:val="left"/>
        <w:rPr>
          <w:color w:val="000000"/>
        </w:rPr>
      </w:pPr>
      <w:r>
        <w:rPr>
          <w:rFonts w:hint="eastAsia"/>
          <w:color w:val="000000"/>
        </w:rPr>
        <w:t>半绝缘砷化镓单晶衬底片表面</w:t>
      </w:r>
      <w:r>
        <w:rPr>
          <w:color w:val="000000"/>
        </w:rPr>
        <w:t>晶向及晶向偏离检测按</w:t>
      </w:r>
      <w:r>
        <w:rPr>
          <w:rFonts w:hint="eastAsia"/>
          <w:color w:val="000000"/>
        </w:rPr>
        <w:t>GB/T1555</w:t>
      </w:r>
      <w:r>
        <w:rPr>
          <w:color w:val="000000"/>
        </w:rPr>
        <w:t xml:space="preserve"> </w:t>
      </w:r>
      <w:r>
        <w:rPr>
          <w:rFonts w:hint="eastAsia"/>
          <w:color w:val="000000"/>
        </w:rPr>
        <w:t>规定</w:t>
      </w:r>
      <w:r>
        <w:rPr>
          <w:color w:val="000000"/>
        </w:rPr>
        <w:t>的</w:t>
      </w:r>
      <w:r>
        <w:rPr>
          <w:rFonts w:hAnsi="宋体"/>
          <w:color w:val="000000"/>
        </w:rPr>
        <w:t>方法测量</w:t>
      </w:r>
      <w:r>
        <w:rPr>
          <w:color w:val="000000"/>
        </w:rPr>
        <w:t>。</w:t>
      </w:r>
    </w:p>
    <w:p>
      <w:pPr>
        <w:pStyle w:val="46"/>
        <w:ind w:left="0"/>
      </w:pPr>
      <w:r>
        <w:rPr>
          <w:rFonts w:hint="eastAsia"/>
        </w:rPr>
        <w:t>位错密度</w:t>
      </w:r>
    </w:p>
    <w:p>
      <w:pPr>
        <w:pStyle w:val="26"/>
        <w:jc w:val="left"/>
        <w:rPr>
          <w:color w:val="000000"/>
        </w:rPr>
      </w:pPr>
      <w:r>
        <w:rPr>
          <w:rFonts w:hint="eastAsia"/>
          <w:color w:val="000000"/>
        </w:rPr>
        <w:t>半绝缘砷化镓单晶衬底片位错</w:t>
      </w:r>
      <w:r>
        <w:rPr>
          <w:color w:val="000000"/>
        </w:rPr>
        <w:t>密度检测按</w:t>
      </w:r>
      <w:r>
        <w:rPr>
          <w:rFonts w:hint="eastAsia"/>
          <w:color w:val="000000"/>
        </w:rPr>
        <w:t>GB/T 8760规定</w:t>
      </w:r>
      <w:r>
        <w:rPr>
          <w:color w:val="000000"/>
        </w:rPr>
        <w:t>的</w:t>
      </w:r>
      <w:r>
        <w:rPr>
          <w:rFonts w:hAnsi="宋体"/>
          <w:color w:val="000000"/>
        </w:rPr>
        <w:t>方法测量</w:t>
      </w:r>
      <w:r>
        <w:rPr>
          <w:rFonts w:hint="eastAsia"/>
          <w:color w:val="000000"/>
        </w:rPr>
        <w:t>。</w:t>
      </w:r>
    </w:p>
    <w:p>
      <w:pPr>
        <w:pStyle w:val="46"/>
        <w:ind w:left="0"/>
      </w:pPr>
      <w:r>
        <w:t>参</w:t>
      </w:r>
      <w:r>
        <w:rPr>
          <w:rFonts w:hint="eastAsia"/>
        </w:rPr>
        <w:t>考</w:t>
      </w:r>
      <w:r>
        <w:t>面取向、形状和</w:t>
      </w:r>
      <w:r>
        <w:rPr>
          <w:rFonts w:hint="eastAsia"/>
        </w:rPr>
        <w:t xml:space="preserve">尺寸 </w:t>
      </w:r>
      <w:r>
        <w:t xml:space="preserve">   </w:t>
      </w:r>
    </w:p>
    <w:p>
      <w:pPr>
        <w:pStyle w:val="67"/>
      </w:pPr>
      <w:r>
        <w:rPr>
          <w:rFonts w:hint="eastAsia"/>
        </w:rPr>
        <w:t>半绝缘砷化镓单晶衬底片</w:t>
      </w:r>
      <w:r>
        <w:t>的主</w:t>
      </w:r>
      <w:r>
        <w:rPr>
          <w:rFonts w:hint="eastAsia"/>
        </w:rPr>
        <w:t>、</w:t>
      </w:r>
      <w:r>
        <w:t>副参考面取向的</w:t>
      </w:r>
      <w:r>
        <w:rPr>
          <w:rFonts w:hint="eastAsia"/>
        </w:rPr>
        <w:t>检测</w:t>
      </w:r>
      <w:r>
        <w:t>按</w:t>
      </w:r>
      <w:r>
        <w:rPr>
          <w:rFonts w:hint="eastAsia"/>
        </w:rPr>
        <w:t>GB/T</w:t>
      </w:r>
      <w:r>
        <w:t xml:space="preserve"> 13388 </w:t>
      </w:r>
      <w:r>
        <w:rPr>
          <w:rFonts w:hint="eastAsia"/>
        </w:rPr>
        <w:t>规定的</w:t>
      </w:r>
      <w:r>
        <w:t>测量方法</w:t>
      </w:r>
      <w:r>
        <w:rPr>
          <w:rFonts w:hint="eastAsia"/>
        </w:rPr>
        <w:t>测量。</w:t>
      </w:r>
    </w:p>
    <w:p>
      <w:pPr>
        <w:pStyle w:val="67"/>
        <w:rPr>
          <w:color w:val="000000"/>
        </w:rPr>
      </w:pPr>
      <w:r>
        <w:rPr>
          <w:rFonts w:hint="eastAsia"/>
          <w:color w:val="000000"/>
        </w:rPr>
        <w:t>半绝缘砷化镓单晶衬底片的</w:t>
      </w:r>
      <w:r>
        <w:rPr>
          <w:color w:val="000000"/>
        </w:rPr>
        <w:t>参考</w:t>
      </w:r>
      <w:r>
        <w:rPr>
          <w:rFonts w:hint="eastAsia"/>
          <w:color w:val="000000"/>
        </w:rPr>
        <w:t>面</w:t>
      </w:r>
      <w:r>
        <w:rPr>
          <w:rFonts w:hint="eastAsia"/>
        </w:rPr>
        <w:t>V</w:t>
      </w:r>
      <w:r>
        <w:t>型切口</w:t>
      </w:r>
      <w:r>
        <w:rPr>
          <w:rFonts w:hint="eastAsia"/>
        </w:rPr>
        <w:t>（Notch）</w:t>
      </w:r>
      <w:r>
        <w:rPr>
          <w:color w:val="000000"/>
        </w:rPr>
        <w:t>形状及尺寸按</w:t>
      </w:r>
      <w:r>
        <w:rPr>
          <w:rFonts w:hint="eastAsia"/>
          <w:color w:val="000000"/>
        </w:rPr>
        <w:t>G</w:t>
      </w:r>
      <w:r>
        <w:rPr>
          <w:color w:val="000000"/>
        </w:rPr>
        <w:t>B/T26067规定的</w:t>
      </w:r>
      <w:r>
        <w:rPr>
          <w:rFonts w:hAnsi="宋体"/>
          <w:color w:val="000000"/>
        </w:rPr>
        <w:t>方法测量</w:t>
      </w:r>
      <w:r>
        <w:rPr>
          <w:color w:val="000000"/>
        </w:rPr>
        <w:t>。</w:t>
      </w:r>
    </w:p>
    <w:p>
      <w:pPr>
        <w:pStyle w:val="67"/>
      </w:pPr>
      <w:r>
        <w:rPr>
          <w:rFonts w:hint="eastAsia"/>
          <w:color w:val="000000"/>
        </w:rPr>
        <w:t>半绝缘砷化镓单晶衬底片的</w:t>
      </w:r>
      <w:r>
        <w:rPr>
          <w:color w:val="000000"/>
        </w:rPr>
        <w:t>参考面长度测量按</w:t>
      </w:r>
      <w:r>
        <w:rPr>
          <w:rFonts w:hint="eastAsia"/>
          <w:color w:val="000000"/>
        </w:rPr>
        <w:t>GB/T13387规定</w:t>
      </w:r>
      <w:r>
        <w:rPr>
          <w:color w:val="000000"/>
        </w:rPr>
        <w:t>的</w:t>
      </w:r>
      <w:r>
        <w:rPr>
          <w:rFonts w:hAnsi="宋体"/>
          <w:color w:val="000000"/>
        </w:rPr>
        <w:t>方法测量</w:t>
      </w:r>
      <w:r>
        <w:rPr>
          <w:color w:val="000000"/>
        </w:rPr>
        <w:t>。</w:t>
      </w:r>
    </w:p>
    <w:p>
      <w:pPr>
        <w:pStyle w:val="46"/>
        <w:ind w:left="0"/>
      </w:pPr>
      <w:r>
        <w:t>外形几何尺寸</w:t>
      </w:r>
    </w:p>
    <w:p>
      <w:pPr>
        <w:pStyle w:val="67"/>
        <w:rPr>
          <w:color w:val="000000"/>
        </w:rPr>
      </w:pPr>
      <w:r>
        <w:rPr>
          <w:rFonts w:hint="eastAsia"/>
          <w:color w:val="000000"/>
        </w:rPr>
        <w:t>半绝缘砷化镓单晶衬底片的</w:t>
      </w:r>
      <w:r>
        <w:rPr>
          <w:color w:val="000000"/>
        </w:rPr>
        <w:t>直径及允许偏差按</w:t>
      </w:r>
      <w:r>
        <w:rPr>
          <w:rFonts w:hint="eastAsia"/>
          <w:color w:val="000000"/>
        </w:rPr>
        <w:t>GB/T</w:t>
      </w:r>
      <w:r>
        <w:rPr>
          <w:color w:val="000000"/>
        </w:rPr>
        <w:t xml:space="preserve"> </w:t>
      </w:r>
      <w:r>
        <w:rPr>
          <w:rFonts w:hint="eastAsia"/>
          <w:color w:val="000000"/>
        </w:rPr>
        <w:t>14140规定</w:t>
      </w:r>
      <w:r>
        <w:rPr>
          <w:color w:val="000000"/>
        </w:rPr>
        <w:t>的</w:t>
      </w:r>
      <w:r>
        <w:rPr>
          <w:rFonts w:hAnsi="宋体"/>
          <w:color w:val="000000"/>
        </w:rPr>
        <w:t>方法测量</w:t>
      </w:r>
      <w:r>
        <w:rPr>
          <w:rFonts w:hint="eastAsia"/>
          <w:color w:val="000000"/>
        </w:rPr>
        <w:t>。</w:t>
      </w:r>
    </w:p>
    <w:p>
      <w:pPr>
        <w:pStyle w:val="67"/>
        <w:rPr>
          <w:color w:val="000000"/>
        </w:rPr>
      </w:pPr>
      <w:r>
        <w:rPr>
          <w:rFonts w:hint="eastAsia"/>
          <w:color w:val="000000"/>
        </w:rPr>
        <w:t>半绝缘砷化镓单晶衬底片的</w:t>
      </w:r>
      <w:r>
        <w:rPr>
          <w:color w:val="000000"/>
        </w:rPr>
        <w:t>厚度及允许偏差按</w:t>
      </w:r>
      <w:r>
        <w:rPr>
          <w:rFonts w:hint="eastAsia"/>
          <w:color w:val="000000"/>
        </w:rPr>
        <w:t>GB/T</w:t>
      </w:r>
      <w:r>
        <w:rPr>
          <w:color w:val="000000"/>
        </w:rPr>
        <w:t xml:space="preserve"> </w:t>
      </w:r>
      <w:r>
        <w:rPr>
          <w:rFonts w:hint="eastAsia"/>
          <w:color w:val="000000"/>
        </w:rPr>
        <w:t>6618规定</w:t>
      </w:r>
      <w:r>
        <w:rPr>
          <w:color w:val="000000"/>
        </w:rPr>
        <w:t>的</w:t>
      </w:r>
      <w:r>
        <w:rPr>
          <w:rFonts w:hAnsi="宋体"/>
          <w:color w:val="000000"/>
        </w:rPr>
        <w:t>方法测量</w:t>
      </w:r>
      <w:r>
        <w:rPr>
          <w:color w:val="000000"/>
        </w:rPr>
        <w:t>。</w:t>
      </w:r>
    </w:p>
    <w:p>
      <w:pPr>
        <w:pStyle w:val="67"/>
        <w:rPr>
          <w:color w:val="000000"/>
        </w:rPr>
      </w:pPr>
      <w:r>
        <w:rPr>
          <w:rFonts w:hint="eastAsia"/>
          <w:color w:val="000000"/>
        </w:rPr>
        <w:t>半绝缘砷化镓单晶衬底片的</w:t>
      </w:r>
      <w:r>
        <w:rPr>
          <w:color w:val="000000"/>
        </w:rPr>
        <w:t>总厚度变化按</w:t>
      </w:r>
      <w:r>
        <w:rPr>
          <w:rFonts w:hint="eastAsia"/>
          <w:color w:val="000000"/>
        </w:rPr>
        <w:t>GB/T</w:t>
      </w:r>
      <w:r>
        <w:rPr>
          <w:color w:val="000000"/>
        </w:rPr>
        <w:t xml:space="preserve"> </w:t>
      </w:r>
      <w:r>
        <w:rPr>
          <w:rFonts w:hint="eastAsia"/>
          <w:color w:val="000000"/>
        </w:rPr>
        <w:t>6618规定</w:t>
      </w:r>
      <w:r>
        <w:rPr>
          <w:color w:val="000000"/>
        </w:rPr>
        <w:t>的</w:t>
      </w:r>
      <w:r>
        <w:rPr>
          <w:rFonts w:hAnsi="宋体"/>
          <w:color w:val="000000"/>
        </w:rPr>
        <w:t>方法测量</w:t>
      </w:r>
      <w:r>
        <w:rPr>
          <w:color w:val="000000"/>
        </w:rPr>
        <w:t>。</w:t>
      </w:r>
    </w:p>
    <w:p>
      <w:pPr>
        <w:pStyle w:val="67"/>
      </w:pPr>
      <w:r>
        <w:rPr>
          <w:rFonts w:hint="eastAsia"/>
          <w:color w:val="000000"/>
        </w:rPr>
        <w:t>半绝缘砷化镓单晶衬底片的总</w:t>
      </w:r>
      <w:r>
        <w:rPr>
          <w:color w:val="000000"/>
        </w:rPr>
        <w:t>指示读数按GB/T 6621</w:t>
      </w:r>
      <w:r>
        <w:rPr>
          <w:rFonts w:hint="eastAsia"/>
          <w:color w:val="000000"/>
        </w:rPr>
        <w:t>规定</w:t>
      </w:r>
      <w:r>
        <w:rPr>
          <w:color w:val="000000"/>
        </w:rPr>
        <w:t>的</w:t>
      </w:r>
      <w:r>
        <w:rPr>
          <w:rFonts w:hAnsi="宋体"/>
          <w:color w:val="000000"/>
        </w:rPr>
        <w:t>方法测量</w:t>
      </w:r>
      <w:r>
        <w:rPr>
          <w:rFonts w:hint="eastAsia"/>
          <w:color w:val="000000"/>
        </w:rPr>
        <w:t>。</w:t>
      </w:r>
    </w:p>
    <w:p>
      <w:pPr>
        <w:pStyle w:val="67"/>
      </w:pPr>
      <w:r>
        <w:rPr>
          <w:rFonts w:hint="eastAsia"/>
          <w:color w:val="000000"/>
        </w:rPr>
        <w:t>半绝缘砷化镓单晶衬底片的</w:t>
      </w:r>
      <w:r>
        <w:rPr>
          <w:color w:val="000000"/>
        </w:rPr>
        <w:t>弯曲度</w:t>
      </w:r>
      <w:r>
        <w:rPr>
          <w:rFonts w:hint="eastAsia"/>
          <w:color w:val="000000"/>
        </w:rPr>
        <w:t>GB/T 6619规定</w:t>
      </w:r>
      <w:r>
        <w:rPr>
          <w:color w:val="000000"/>
        </w:rPr>
        <w:t>的</w:t>
      </w:r>
      <w:r>
        <w:rPr>
          <w:rFonts w:hAnsi="宋体"/>
          <w:color w:val="000000"/>
        </w:rPr>
        <w:t>方法测量</w:t>
      </w:r>
      <w:r>
        <w:rPr>
          <w:color w:val="000000"/>
        </w:rPr>
        <w:t>。</w:t>
      </w:r>
    </w:p>
    <w:p>
      <w:pPr>
        <w:pStyle w:val="67"/>
      </w:pPr>
      <w:r>
        <w:rPr>
          <w:rFonts w:hint="eastAsia"/>
          <w:color w:val="000000"/>
        </w:rPr>
        <w:t>半绝缘砷化镓单晶衬底片的</w:t>
      </w:r>
      <w:r>
        <w:rPr>
          <w:color w:val="000000"/>
        </w:rPr>
        <w:t>翘曲度按</w:t>
      </w:r>
      <w:r>
        <w:rPr>
          <w:rFonts w:hint="eastAsia"/>
          <w:color w:val="000000"/>
        </w:rPr>
        <w:t>GB/T</w:t>
      </w:r>
      <w:r>
        <w:rPr>
          <w:color w:val="000000"/>
        </w:rPr>
        <w:t xml:space="preserve"> </w:t>
      </w:r>
      <w:r>
        <w:rPr>
          <w:rFonts w:hint="eastAsia"/>
          <w:color w:val="000000"/>
        </w:rPr>
        <w:t>6620规定</w:t>
      </w:r>
      <w:r>
        <w:rPr>
          <w:color w:val="000000"/>
        </w:rPr>
        <w:t>的</w:t>
      </w:r>
      <w:r>
        <w:rPr>
          <w:rFonts w:hAnsi="宋体"/>
          <w:color w:val="000000"/>
        </w:rPr>
        <w:t>方法测量</w:t>
      </w:r>
      <w:r>
        <w:rPr>
          <w:rFonts w:hint="eastAsia"/>
          <w:color w:val="000000"/>
        </w:rPr>
        <w:t>。</w:t>
      </w:r>
    </w:p>
    <w:p>
      <w:pPr>
        <w:pStyle w:val="67"/>
        <w:numPr>
          <w:ilvl w:val="0"/>
          <w:numId w:val="0"/>
        </w:numPr>
      </w:pPr>
    </w:p>
    <w:p>
      <w:pPr>
        <w:pStyle w:val="46"/>
        <w:ind w:left="0"/>
      </w:pPr>
      <w:r>
        <w:rPr>
          <w:rFonts w:hint="eastAsia"/>
        </w:rPr>
        <w:t>碳</w:t>
      </w:r>
      <w:r>
        <w:t>原子浓度和深能级缺陷</w:t>
      </w:r>
      <w:r>
        <w:rPr>
          <w:rFonts w:hint="eastAsia"/>
        </w:rPr>
        <w:t>EL2浓度</w:t>
      </w:r>
    </w:p>
    <w:p>
      <w:pPr>
        <w:pStyle w:val="50"/>
        <w:spacing w:before="156" w:after="156"/>
        <w:rPr>
          <w:rFonts w:ascii="宋体" w:hAnsi="宋体" w:eastAsia="宋体"/>
          <w:color w:val="000000"/>
        </w:rPr>
      </w:pPr>
      <w:r>
        <w:rPr>
          <w:rFonts w:ascii="宋体" w:hAnsi="宋体" w:eastAsia="宋体"/>
          <w:color w:val="000000"/>
        </w:rPr>
        <w:t>半绝缘砷化镓单晶中碳浓度</w:t>
      </w:r>
      <w:r>
        <w:rPr>
          <w:rFonts w:hint="eastAsia" w:ascii="宋体" w:hAnsi="宋体" w:eastAsia="宋体"/>
          <w:color w:val="000000"/>
        </w:rPr>
        <w:t>G</w:t>
      </w:r>
      <w:r>
        <w:rPr>
          <w:rFonts w:ascii="宋体" w:hAnsi="宋体" w:eastAsia="宋体"/>
          <w:color w:val="000000"/>
        </w:rPr>
        <w:t>B/T 19199规定的方法测量</w:t>
      </w:r>
      <w:r>
        <w:rPr>
          <w:rFonts w:hint="eastAsia" w:ascii="宋体" w:hAnsi="宋体" w:eastAsia="宋体"/>
          <w:color w:val="000000"/>
        </w:rPr>
        <w:t>。</w:t>
      </w:r>
    </w:p>
    <w:p>
      <w:pPr>
        <w:pStyle w:val="50"/>
        <w:spacing w:before="156" w:after="156"/>
        <w:rPr>
          <w:rFonts w:ascii="宋体" w:hAnsi="宋体" w:eastAsia="宋体"/>
          <w:color w:val="000000"/>
        </w:rPr>
      </w:pPr>
      <w:r>
        <w:rPr>
          <w:rFonts w:ascii="宋体" w:hAnsi="宋体" w:eastAsia="宋体"/>
          <w:color w:val="000000"/>
        </w:rPr>
        <w:t>非掺杂半绝缘砷化镓单晶深能级</w:t>
      </w:r>
      <w:r>
        <w:rPr>
          <w:rFonts w:hint="eastAsia" w:ascii="宋体" w:hAnsi="宋体" w:eastAsia="宋体"/>
          <w:color w:val="000000"/>
        </w:rPr>
        <w:t>E</w:t>
      </w:r>
      <w:r>
        <w:rPr>
          <w:rFonts w:ascii="宋体" w:hAnsi="宋体" w:eastAsia="宋体"/>
          <w:color w:val="000000"/>
        </w:rPr>
        <w:t>L2浓度</w:t>
      </w:r>
      <w:r>
        <w:rPr>
          <w:rFonts w:hint="eastAsia" w:ascii="宋体" w:hAnsi="宋体" w:eastAsia="宋体"/>
          <w:color w:val="000000"/>
        </w:rPr>
        <w:t>G</w:t>
      </w:r>
      <w:r>
        <w:rPr>
          <w:rFonts w:ascii="宋体" w:hAnsi="宋体" w:eastAsia="宋体"/>
          <w:color w:val="000000"/>
        </w:rPr>
        <w:t>B/T 17170</w:t>
      </w:r>
      <w:r>
        <w:rPr>
          <w:rFonts w:hint="eastAsia" w:ascii="宋体" w:hAnsi="宋体" w:eastAsia="宋体"/>
          <w:color w:val="000000"/>
        </w:rPr>
        <w:t>规定的</w:t>
      </w:r>
      <w:r>
        <w:rPr>
          <w:rFonts w:ascii="宋体" w:hAnsi="宋体" w:eastAsia="宋体"/>
          <w:color w:val="000000"/>
        </w:rPr>
        <w:t>方法测量</w:t>
      </w:r>
      <w:r>
        <w:rPr>
          <w:rFonts w:hint="eastAsia" w:ascii="宋体" w:hAnsi="宋体" w:eastAsia="宋体"/>
          <w:color w:val="000000"/>
        </w:rPr>
        <w:t>。</w:t>
      </w:r>
    </w:p>
    <w:p>
      <w:pPr>
        <w:pStyle w:val="46"/>
        <w:ind w:left="0"/>
      </w:pPr>
      <w:r>
        <w:rPr>
          <w:rFonts w:hint="eastAsia"/>
        </w:rPr>
        <w:t>表面</w:t>
      </w:r>
      <w:r>
        <w:t>质量</w:t>
      </w:r>
    </w:p>
    <w:p>
      <w:pPr>
        <w:pStyle w:val="50"/>
        <w:spacing w:before="156" w:after="156"/>
        <w:rPr>
          <w:rFonts w:ascii="宋体" w:hAnsi="宋体" w:eastAsia="宋体"/>
          <w:color w:val="000000"/>
        </w:rPr>
      </w:pPr>
      <w:r>
        <w:rPr>
          <w:rFonts w:hint="eastAsia" w:ascii="宋体" w:hAnsi="宋体" w:eastAsia="宋体"/>
          <w:color w:val="000000"/>
        </w:rPr>
        <w:t>半绝缘砷化镓单晶衬底片表面</w:t>
      </w:r>
      <w:r>
        <w:rPr>
          <w:rFonts w:ascii="宋体" w:hAnsi="宋体" w:eastAsia="宋体"/>
          <w:color w:val="000000"/>
        </w:rPr>
        <w:t>质量检测</w:t>
      </w:r>
      <w:r>
        <w:rPr>
          <w:rFonts w:hint="eastAsia" w:ascii="宋体" w:hAnsi="宋体" w:eastAsia="宋体"/>
          <w:color w:val="000000"/>
        </w:rPr>
        <w:t>参考GB/T</w:t>
      </w:r>
      <w:r>
        <w:rPr>
          <w:rFonts w:ascii="宋体" w:hAnsi="宋体" w:eastAsia="宋体"/>
          <w:color w:val="000000"/>
        </w:rPr>
        <w:t xml:space="preserve"> </w:t>
      </w:r>
      <w:r>
        <w:rPr>
          <w:rFonts w:hint="eastAsia" w:ascii="宋体" w:hAnsi="宋体" w:eastAsia="宋体"/>
          <w:color w:val="000000"/>
        </w:rPr>
        <w:t>6624规定</w:t>
      </w:r>
      <w:r>
        <w:rPr>
          <w:rFonts w:ascii="宋体" w:hAnsi="宋体" w:eastAsia="宋体"/>
          <w:color w:val="000000"/>
        </w:rPr>
        <w:t>的方法测量</w:t>
      </w:r>
      <w:r>
        <w:rPr>
          <w:rFonts w:hint="eastAsia" w:ascii="宋体" w:hAnsi="宋体" w:eastAsia="宋体"/>
          <w:color w:val="000000"/>
        </w:rPr>
        <w:t>。</w:t>
      </w:r>
    </w:p>
    <w:p>
      <w:pPr>
        <w:pStyle w:val="50"/>
        <w:spacing w:before="156" w:after="156"/>
        <w:rPr>
          <w:rFonts w:ascii="宋体" w:hAnsi="宋体" w:eastAsia="宋体"/>
          <w:color w:val="000000"/>
        </w:rPr>
      </w:pPr>
      <w:r>
        <w:rPr>
          <w:rFonts w:hint="eastAsia" w:ascii="宋体" w:hAnsi="宋体" w:eastAsia="宋体"/>
          <w:color w:val="000000"/>
        </w:rPr>
        <w:t>半绝缘砷化镓单晶衬底片的局部光散射体数量</w:t>
      </w:r>
      <w:r>
        <w:rPr>
          <w:rFonts w:ascii="宋体" w:hAnsi="宋体" w:eastAsia="宋体"/>
          <w:color w:val="000000"/>
        </w:rPr>
        <w:t>按</w:t>
      </w:r>
      <w:r>
        <w:rPr>
          <w:rFonts w:hint="eastAsia" w:ascii="宋体" w:hAnsi="宋体" w:eastAsia="宋体"/>
          <w:color w:val="000000"/>
        </w:rPr>
        <w:t>GB/T</w:t>
      </w:r>
      <w:r>
        <w:rPr>
          <w:rFonts w:ascii="宋体" w:hAnsi="宋体" w:eastAsia="宋体"/>
          <w:color w:val="000000"/>
        </w:rPr>
        <w:t xml:space="preserve"> </w:t>
      </w:r>
      <w:r>
        <w:rPr>
          <w:rFonts w:hint="eastAsia" w:ascii="宋体" w:hAnsi="宋体" w:eastAsia="宋体"/>
          <w:color w:val="000000"/>
        </w:rPr>
        <w:t>19921规定</w:t>
      </w:r>
      <w:r>
        <w:rPr>
          <w:rFonts w:ascii="宋体" w:hAnsi="宋体" w:eastAsia="宋体"/>
          <w:color w:val="000000"/>
        </w:rPr>
        <w:t>的方法测量</w:t>
      </w:r>
      <w:r>
        <w:rPr>
          <w:rFonts w:hint="eastAsia" w:ascii="宋体" w:hAnsi="宋体" w:eastAsia="宋体"/>
          <w:color w:val="000000"/>
        </w:rPr>
        <w:t>。</w:t>
      </w:r>
    </w:p>
    <w:bookmarkEnd w:id="17"/>
    <w:bookmarkEnd w:id="18"/>
    <w:p>
      <w:pPr>
        <w:pStyle w:val="49"/>
        <w:jc w:val="left"/>
      </w:pPr>
      <w:r>
        <w:rPr>
          <w:rFonts w:hint="eastAsia"/>
        </w:rPr>
        <w:t>检验规则</w:t>
      </w:r>
    </w:p>
    <w:p>
      <w:pPr>
        <w:pStyle w:val="46"/>
        <w:ind w:left="0"/>
      </w:pPr>
      <w:bookmarkStart w:id="19" w:name="_Hlk50798013"/>
      <w:r>
        <w:rPr>
          <w:rFonts w:hint="eastAsia"/>
        </w:rPr>
        <w:t>检查和验收</w:t>
      </w:r>
    </w:p>
    <w:p>
      <w:pPr>
        <w:pStyle w:val="50"/>
        <w:spacing w:before="156" w:after="156"/>
        <w:rPr>
          <w:rFonts w:ascii="宋体" w:eastAsia="宋体"/>
          <w:color w:val="000000"/>
          <w:szCs w:val="20"/>
        </w:rPr>
      </w:pPr>
      <w:r>
        <w:rPr>
          <w:rFonts w:hint="eastAsia" w:ascii="宋体" w:eastAsia="宋体"/>
          <w:color w:val="000000"/>
          <w:szCs w:val="20"/>
        </w:rPr>
        <w:t>产品应由供方质量监督部门进行检验，保证产品质量符合本标准和订货单的规定，并填写产品质量证明书。</w:t>
      </w:r>
    </w:p>
    <w:p>
      <w:pPr>
        <w:pStyle w:val="50"/>
        <w:spacing w:before="156" w:after="156"/>
        <w:rPr>
          <w:rFonts w:ascii="宋体" w:eastAsia="宋体"/>
          <w:color w:val="000000"/>
          <w:szCs w:val="20"/>
        </w:rPr>
      </w:pPr>
      <w:r>
        <w:rPr>
          <w:rFonts w:hint="eastAsia" w:ascii="宋体" w:eastAsia="宋体"/>
          <w:color w:val="000000"/>
          <w:szCs w:val="20"/>
        </w:rPr>
        <w:t>需方可对收到的产品按本标准的规定进行检验，若检验结果与本标准或订货单的规定不符时，应在收到产品之日起</w:t>
      </w:r>
      <w:r>
        <w:rPr>
          <w:rFonts w:ascii="宋体" w:eastAsia="宋体"/>
          <w:color w:val="000000"/>
          <w:szCs w:val="20"/>
        </w:rPr>
        <w:t>3</w:t>
      </w:r>
      <w:r>
        <w:rPr>
          <w:rFonts w:hint="eastAsia" w:ascii="宋体" w:eastAsia="宋体"/>
          <w:color w:val="000000"/>
          <w:szCs w:val="20"/>
        </w:rPr>
        <w:t>个月内向供方提出，由供需双方协商解决。</w:t>
      </w:r>
    </w:p>
    <w:p>
      <w:pPr>
        <w:pStyle w:val="46"/>
        <w:ind w:left="0"/>
      </w:pPr>
      <w:r>
        <w:rPr>
          <w:rFonts w:hint="eastAsia"/>
        </w:rPr>
        <w:t>组批</w:t>
      </w:r>
    </w:p>
    <w:p>
      <w:pPr>
        <w:pStyle w:val="26"/>
        <w:jc w:val="left"/>
        <w:rPr>
          <w:color w:val="000000"/>
        </w:rPr>
      </w:pPr>
      <w:r>
        <w:rPr>
          <w:rFonts w:hint="eastAsia"/>
          <w:color w:val="000000"/>
        </w:rPr>
        <w:t>半绝缘砷化镓单晶衬底片应成批提交验收，每批应由同一砷化镓单晶加工而成的、具有相同几何参数的产品组成。</w:t>
      </w:r>
    </w:p>
    <w:p>
      <w:pPr>
        <w:pStyle w:val="46"/>
        <w:ind w:left="0"/>
      </w:pPr>
      <w:r>
        <w:rPr>
          <w:rFonts w:hint="eastAsia"/>
        </w:rPr>
        <w:t>检验项目</w:t>
      </w:r>
      <w:r>
        <w:t>及</w:t>
      </w:r>
      <w:r>
        <w:rPr>
          <w:rFonts w:hint="eastAsia"/>
        </w:rPr>
        <w:t>规则</w:t>
      </w:r>
    </w:p>
    <w:p>
      <w:pPr>
        <w:pStyle w:val="50"/>
        <w:spacing w:before="156" w:after="156"/>
        <w:rPr>
          <w:rFonts w:hAnsi="黑体"/>
        </w:rPr>
      </w:pPr>
      <w:r>
        <w:rPr>
          <w:rFonts w:ascii="宋体" w:eastAsia="宋体"/>
          <w:color w:val="000000"/>
          <w:szCs w:val="20"/>
        </w:rPr>
        <w:t>半绝缘砷化镓单晶衬底的电学性能</w:t>
      </w:r>
      <w:r>
        <w:rPr>
          <w:rFonts w:hint="eastAsia" w:ascii="宋体" w:eastAsia="宋体"/>
          <w:color w:val="000000"/>
          <w:szCs w:val="20"/>
        </w:rPr>
        <w:t>、表面</w:t>
      </w:r>
      <w:r>
        <w:rPr>
          <w:rFonts w:ascii="宋体" w:eastAsia="宋体"/>
          <w:color w:val="000000"/>
          <w:szCs w:val="20"/>
        </w:rPr>
        <w:t>晶向及晶向偏离</w:t>
      </w:r>
      <w:r>
        <w:rPr>
          <w:rFonts w:hint="eastAsia" w:ascii="宋体" w:eastAsia="宋体"/>
          <w:color w:val="000000"/>
          <w:szCs w:val="20"/>
        </w:rPr>
        <w:t>、</w:t>
      </w:r>
      <w:r>
        <w:rPr>
          <w:rFonts w:ascii="宋体" w:eastAsia="宋体"/>
          <w:color w:val="000000"/>
          <w:szCs w:val="20"/>
        </w:rPr>
        <w:t>位错密度</w:t>
      </w:r>
      <w:r>
        <w:rPr>
          <w:rFonts w:hint="eastAsia" w:ascii="宋体" w:eastAsia="宋体"/>
          <w:color w:val="000000"/>
          <w:szCs w:val="20"/>
        </w:rPr>
        <w:t>、碳</w:t>
      </w:r>
      <w:r>
        <w:rPr>
          <w:rFonts w:ascii="宋体" w:eastAsia="宋体"/>
          <w:color w:val="000000"/>
          <w:szCs w:val="20"/>
        </w:rPr>
        <w:t>原子浓度和深能级缺陷</w:t>
      </w:r>
      <w:r>
        <w:rPr>
          <w:rFonts w:hint="eastAsia" w:ascii="宋体" w:eastAsia="宋体"/>
          <w:color w:val="000000"/>
          <w:szCs w:val="20"/>
        </w:rPr>
        <w:t>EL2浓度应符合表8的要求。</w:t>
      </w:r>
    </w:p>
    <w:p>
      <w:pPr>
        <w:pStyle w:val="67"/>
        <w:numPr>
          <w:ilvl w:val="0"/>
          <w:numId w:val="0"/>
        </w:numPr>
        <w:spacing w:line="480" w:lineRule="auto"/>
        <w:ind w:firstLine="3150" w:firstLineChars="1500"/>
        <w:rPr>
          <w:rFonts w:ascii="黑体" w:hAnsi="黑体" w:eastAsia="黑体"/>
          <w:color w:val="000000"/>
        </w:rPr>
      </w:pPr>
      <w:r>
        <w:rPr>
          <w:rFonts w:hint="eastAsia" w:ascii="黑体" w:hAnsi="黑体" w:eastAsia="黑体"/>
          <w:color w:val="000000"/>
        </w:rPr>
        <w:t>表8</w:t>
      </w:r>
      <w:r>
        <w:rPr>
          <w:rFonts w:ascii="黑体" w:hAnsi="黑体" w:eastAsia="黑体"/>
          <w:color w:val="000000"/>
        </w:rPr>
        <w:t xml:space="preserve"> </w:t>
      </w:r>
      <w:r>
        <w:rPr>
          <w:rFonts w:hint="eastAsia" w:ascii="黑体" w:hAnsi="黑体" w:eastAsia="黑体"/>
          <w:color w:val="000000"/>
        </w:rPr>
        <w:t>检验项目及规则</w:t>
      </w:r>
    </w:p>
    <w:tbl>
      <w:tblPr>
        <w:tblStyle w:val="3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3"/>
        <w:gridCol w:w="2303"/>
        <w:gridCol w:w="2870"/>
        <w:gridCol w:w="1816"/>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703" w:type="dxa"/>
            <w:shd w:val="clear" w:color="auto" w:fill="auto"/>
          </w:tcPr>
          <w:p>
            <w:pPr>
              <w:pStyle w:val="67"/>
              <w:numPr>
                <w:ilvl w:val="0"/>
                <w:numId w:val="0"/>
              </w:numPr>
              <w:spacing w:line="480" w:lineRule="auto"/>
              <w:rPr>
                <w:color w:val="000000"/>
                <w:sz w:val="18"/>
                <w:szCs w:val="18"/>
              </w:rPr>
            </w:pPr>
            <w:r>
              <w:rPr>
                <w:rFonts w:hint="eastAsia"/>
                <w:color w:val="000000"/>
                <w:sz w:val="18"/>
                <w:szCs w:val="18"/>
              </w:rPr>
              <w:t>序号</w:t>
            </w:r>
          </w:p>
        </w:tc>
        <w:tc>
          <w:tcPr>
            <w:tcW w:w="2303" w:type="dxa"/>
            <w:shd w:val="clear" w:color="auto" w:fill="auto"/>
          </w:tcPr>
          <w:p>
            <w:pPr>
              <w:pStyle w:val="67"/>
              <w:numPr>
                <w:ilvl w:val="0"/>
                <w:numId w:val="0"/>
              </w:numPr>
              <w:spacing w:line="480" w:lineRule="auto"/>
              <w:jc w:val="center"/>
              <w:rPr>
                <w:color w:val="000000"/>
                <w:sz w:val="18"/>
                <w:szCs w:val="18"/>
              </w:rPr>
            </w:pPr>
            <w:r>
              <w:rPr>
                <w:rFonts w:hint="eastAsia"/>
                <w:color w:val="000000"/>
                <w:sz w:val="18"/>
                <w:szCs w:val="18"/>
              </w:rPr>
              <w:t>检验</w:t>
            </w:r>
            <w:r>
              <w:rPr>
                <w:color w:val="000000"/>
                <w:sz w:val="18"/>
                <w:szCs w:val="18"/>
              </w:rPr>
              <w:t>项目</w:t>
            </w:r>
          </w:p>
        </w:tc>
        <w:tc>
          <w:tcPr>
            <w:tcW w:w="2870" w:type="dxa"/>
            <w:shd w:val="clear" w:color="auto" w:fill="auto"/>
          </w:tcPr>
          <w:p>
            <w:pPr>
              <w:pStyle w:val="67"/>
              <w:numPr>
                <w:ilvl w:val="0"/>
                <w:numId w:val="0"/>
              </w:numPr>
              <w:spacing w:line="480" w:lineRule="auto"/>
              <w:jc w:val="center"/>
              <w:rPr>
                <w:color w:val="000000"/>
                <w:sz w:val="18"/>
                <w:szCs w:val="18"/>
              </w:rPr>
            </w:pPr>
            <w:r>
              <w:rPr>
                <w:rFonts w:hint="eastAsia"/>
                <w:color w:val="000000"/>
                <w:sz w:val="18"/>
                <w:szCs w:val="18"/>
              </w:rPr>
              <w:t>抽样方法</w:t>
            </w:r>
          </w:p>
        </w:tc>
        <w:tc>
          <w:tcPr>
            <w:tcW w:w="1816" w:type="dxa"/>
            <w:tcBorders>
              <w:right w:val="single" w:color="auto" w:sz="4" w:space="0"/>
            </w:tcBorders>
            <w:shd w:val="clear" w:color="auto" w:fill="auto"/>
          </w:tcPr>
          <w:p>
            <w:pPr>
              <w:pStyle w:val="67"/>
              <w:numPr>
                <w:ilvl w:val="0"/>
                <w:numId w:val="0"/>
              </w:numPr>
              <w:spacing w:line="480" w:lineRule="auto"/>
              <w:jc w:val="center"/>
              <w:rPr>
                <w:color w:val="000000"/>
                <w:sz w:val="18"/>
                <w:szCs w:val="18"/>
              </w:rPr>
            </w:pPr>
            <w:r>
              <w:rPr>
                <w:rFonts w:hint="eastAsia"/>
                <w:color w:val="000000"/>
                <w:sz w:val="18"/>
                <w:szCs w:val="18"/>
              </w:rPr>
              <w:t>技术要求条款号</w:t>
            </w:r>
          </w:p>
        </w:tc>
        <w:tc>
          <w:tcPr>
            <w:tcW w:w="1545" w:type="dxa"/>
            <w:tcBorders>
              <w:left w:val="single" w:color="auto" w:sz="4" w:space="0"/>
            </w:tcBorders>
            <w:shd w:val="clear" w:color="auto" w:fill="auto"/>
          </w:tcPr>
          <w:p>
            <w:pPr>
              <w:pStyle w:val="67"/>
              <w:numPr>
                <w:ilvl w:val="0"/>
                <w:numId w:val="0"/>
              </w:numPr>
              <w:spacing w:line="480" w:lineRule="auto"/>
              <w:jc w:val="center"/>
              <w:rPr>
                <w:color w:val="000000"/>
                <w:sz w:val="18"/>
                <w:szCs w:val="18"/>
              </w:rPr>
            </w:pPr>
            <w:r>
              <w:rPr>
                <w:rFonts w:hint="eastAsia"/>
                <w:color w:val="000000"/>
                <w:sz w:val="18"/>
                <w:szCs w:val="18"/>
              </w:rPr>
              <w:t>检验方法条款号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3" w:type="dxa"/>
            <w:shd w:val="clear" w:color="auto" w:fill="auto"/>
          </w:tcPr>
          <w:p>
            <w:pPr>
              <w:pStyle w:val="67"/>
              <w:numPr>
                <w:ilvl w:val="0"/>
                <w:numId w:val="0"/>
              </w:numPr>
              <w:spacing w:line="480" w:lineRule="auto"/>
              <w:jc w:val="center"/>
              <w:rPr>
                <w:color w:val="000000"/>
                <w:sz w:val="18"/>
                <w:szCs w:val="18"/>
              </w:rPr>
            </w:pPr>
            <w:r>
              <w:rPr>
                <w:rFonts w:hint="eastAsia"/>
                <w:color w:val="000000"/>
                <w:sz w:val="18"/>
                <w:szCs w:val="18"/>
              </w:rPr>
              <w:t>1</w:t>
            </w:r>
          </w:p>
        </w:tc>
        <w:tc>
          <w:tcPr>
            <w:tcW w:w="2303" w:type="dxa"/>
            <w:shd w:val="clear" w:color="auto" w:fill="auto"/>
            <w:vAlign w:val="center"/>
          </w:tcPr>
          <w:p>
            <w:pPr>
              <w:pStyle w:val="67"/>
              <w:numPr>
                <w:ilvl w:val="0"/>
                <w:numId w:val="0"/>
              </w:numPr>
              <w:spacing w:line="480" w:lineRule="auto"/>
              <w:jc w:val="center"/>
              <w:rPr>
                <w:color w:val="000000"/>
                <w:sz w:val="18"/>
                <w:szCs w:val="18"/>
              </w:rPr>
            </w:pPr>
            <w:r>
              <w:rPr>
                <w:rFonts w:hint="eastAsia"/>
                <w:color w:val="000000"/>
                <w:sz w:val="18"/>
                <w:szCs w:val="18"/>
              </w:rPr>
              <w:t>电阻率</w:t>
            </w:r>
          </w:p>
        </w:tc>
        <w:tc>
          <w:tcPr>
            <w:tcW w:w="2870" w:type="dxa"/>
            <w:vMerge w:val="restart"/>
            <w:shd w:val="clear" w:color="auto" w:fill="auto"/>
          </w:tcPr>
          <w:p>
            <w:pPr>
              <w:pStyle w:val="67"/>
              <w:numPr>
                <w:ilvl w:val="0"/>
                <w:numId w:val="0"/>
              </w:numPr>
              <w:rPr>
                <w:color w:val="000000"/>
                <w:sz w:val="18"/>
                <w:szCs w:val="18"/>
              </w:rPr>
            </w:pPr>
            <w:r>
              <w:rPr>
                <w:rFonts w:hint="eastAsia"/>
                <w:color w:val="000000"/>
                <w:sz w:val="18"/>
                <w:szCs w:val="18"/>
              </w:rPr>
              <w:t>6片</w:t>
            </w:r>
            <w:r>
              <w:rPr>
                <w:color w:val="000000"/>
                <w:sz w:val="18"/>
                <w:szCs w:val="18"/>
              </w:rPr>
              <w:t>（</w:t>
            </w:r>
            <w:r>
              <w:rPr>
                <w:rFonts w:hint="eastAsia"/>
                <w:color w:val="000000"/>
                <w:sz w:val="18"/>
                <w:szCs w:val="18"/>
              </w:rPr>
              <w:t>指</w:t>
            </w:r>
            <w:r>
              <w:rPr>
                <w:color w:val="000000"/>
                <w:sz w:val="18"/>
                <w:szCs w:val="18"/>
              </w:rPr>
              <w:t>由</w:t>
            </w:r>
            <w:r>
              <w:rPr>
                <w:rFonts w:hint="eastAsia"/>
                <w:color w:val="000000"/>
                <w:sz w:val="18"/>
                <w:szCs w:val="18"/>
              </w:rPr>
              <w:t>1根</w:t>
            </w:r>
            <w:r>
              <w:rPr>
                <w:color w:val="000000"/>
                <w:sz w:val="18"/>
                <w:szCs w:val="18"/>
              </w:rPr>
              <w:t>晶锭头和尾部所</w:t>
            </w:r>
            <w:r>
              <w:rPr>
                <w:rFonts w:hint="eastAsia"/>
                <w:color w:val="000000"/>
                <w:sz w:val="18"/>
                <w:szCs w:val="18"/>
              </w:rPr>
              <w:t>切</w:t>
            </w:r>
            <w:r>
              <w:rPr>
                <w:color w:val="000000"/>
                <w:sz w:val="18"/>
                <w:szCs w:val="18"/>
              </w:rPr>
              <w:t>各</w:t>
            </w:r>
            <w:r>
              <w:rPr>
                <w:rFonts w:hint="eastAsia"/>
                <w:color w:val="000000"/>
                <w:sz w:val="18"/>
                <w:szCs w:val="18"/>
              </w:rPr>
              <w:t>1片</w:t>
            </w:r>
            <w:r>
              <w:rPr>
                <w:color w:val="000000"/>
                <w:sz w:val="18"/>
                <w:szCs w:val="18"/>
              </w:rPr>
              <w:t>晶片的圆心</w:t>
            </w:r>
            <w:r>
              <w:rPr>
                <w:rFonts w:hint="eastAsia"/>
                <w:color w:val="000000"/>
                <w:sz w:val="18"/>
                <w:szCs w:val="18"/>
              </w:rPr>
              <w:t>点</w:t>
            </w:r>
            <w:r>
              <w:rPr>
                <w:color w:val="000000"/>
                <w:sz w:val="18"/>
                <w:szCs w:val="18"/>
              </w:rPr>
              <w:t>、</w:t>
            </w:r>
            <w:r>
              <w:rPr>
                <w:rFonts w:hint="eastAsia"/>
                <w:color w:val="000000"/>
                <w:sz w:val="18"/>
                <w:szCs w:val="18"/>
              </w:rPr>
              <w:t>1/2半径点</w:t>
            </w:r>
            <w:r>
              <w:rPr>
                <w:color w:val="000000"/>
                <w:sz w:val="18"/>
                <w:szCs w:val="18"/>
              </w:rPr>
              <w:t>和</w:t>
            </w:r>
            <w:r>
              <w:rPr>
                <w:rFonts w:hint="eastAsia"/>
                <w:color w:val="000000"/>
                <w:sz w:val="18"/>
                <w:szCs w:val="18"/>
              </w:rPr>
              <w:t>1/3半径</w:t>
            </w:r>
            <w:r>
              <w:rPr>
                <w:color w:val="000000"/>
                <w:sz w:val="18"/>
                <w:szCs w:val="18"/>
              </w:rPr>
              <w:t>点上所取得共</w:t>
            </w:r>
            <w:r>
              <w:rPr>
                <w:rFonts w:hint="eastAsia"/>
                <w:color w:val="000000"/>
                <w:sz w:val="18"/>
                <w:szCs w:val="18"/>
              </w:rPr>
              <w:t>6个</w:t>
            </w:r>
            <w:r>
              <w:rPr>
                <w:color w:val="000000"/>
                <w:sz w:val="18"/>
                <w:szCs w:val="18"/>
              </w:rPr>
              <w:t>测试样</w:t>
            </w:r>
            <w:r>
              <w:rPr>
                <w:rFonts w:hint="eastAsia"/>
                <w:color w:val="000000"/>
                <w:sz w:val="18"/>
                <w:szCs w:val="18"/>
              </w:rPr>
              <w:t>片，其中</w:t>
            </w:r>
            <w:r>
              <w:rPr>
                <w:rFonts w:hint="eastAsia" w:hAnsi="宋体"/>
                <w:color w:val="000000"/>
                <w:sz w:val="18"/>
                <w:szCs w:val="18"/>
              </w:rPr>
              <w:t>截面电阻率不均匀性头尾片分别测5点</w:t>
            </w:r>
            <w:r>
              <w:rPr>
                <w:color w:val="000000"/>
                <w:sz w:val="18"/>
                <w:szCs w:val="18"/>
              </w:rPr>
              <w:t>）</w:t>
            </w:r>
          </w:p>
        </w:tc>
        <w:tc>
          <w:tcPr>
            <w:tcW w:w="1816" w:type="dxa"/>
            <w:shd w:val="clear" w:color="auto" w:fill="auto"/>
            <w:vAlign w:val="center"/>
          </w:tcPr>
          <w:p>
            <w:pPr>
              <w:pStyle w:val="67"/>
              <w:numPr>
                <w:ilvl w:val="0"/>
                <w:numId w:val="0"/>
              </w:numPr>
              <w:spacing w:line="480" w:lineRule="auto"/>
              <w:jc w:val="center"/>
              <w:rPr>
                <w:color w:val="000000"/>
                <w:sz w:val="18"/>
                <w:szCs w:val="18"/>
              </w:rPr>
            </w:pPr>
            <w:r>
              <w:rPr>
                <w:color w:val="000000"/>
                <w:sz w:val="18"/>
                <w:szCs w:val="18"/>
              </w:rPr>
              <w:t>5.1</w:t>
            </w:r>
          </w:p>
        </w:tc>
        <w:tc>
          <w:tcPr>
            <w:tcW w:w="1545" w:type="dxa"/>
            <w:shd w:val="clear" w:color="auto" w:fill="auto"/>
            <w:vAlign w:val="center"/>
          </w:tcPr>
          <w:p>
            <w:pPr>
              <w:pStyle w:val="67"/>
              <w:numPr>
                <w:ilvl w:val="0"/>
                <w:numId w:val="0"/>
              </w:numPr>
              <w:spacing w:line="480" w:lineRule="auto"/>
              <w:jc w:val="center"/>
              <w:rPr>
                <w:color w:val="000000"/>
                <w:sz w:val="18"/>
                <w:szCs w:val="18"/>
              </w:rPr>
            </w:pPr>
            <w:r>
              <w:rPr>
                <w:color w:val="000000"/>
                <w:sz w:val="18"/>
                <w:szCs w:val="18"/>
              </w:rPr>
              <w:t>6</w:t>
            </w:r>
            <w:r>
              <w:rPr>
                <w:rFonts w:hint="eastAsia"/>
                <w:color w:val="000000"/>
                <w:sz w:val="18"/>
                <w:szCs w:val="18"/>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3" w:type="dxa"/>
            <w:shd w:val="clear" w:color="auto" w:fill="auto"/>
          </w:tcPr>
          <w:p>
            <w:pPr>
              <w:pStyle w:val="67"/>
              <w:numPr>
                <w:ilvl w:val="0"/>
                <w:numId w:val="0"/>
              </w:numPr>
              <w:spacing w:line="480" w:lineRule="auto"/>
              <w:jc w:val="center"/>
              <w:rPr>
                <w:color w:val="000000"/>
                <w:sz w:val="18"/>
                <w:szCs w:val="18"/>
              </w:rPr>
            </w:pPr>
            <w:r>
              <w:rPr>
                <w:rFonts w:hint="eastAsia"/>
                <w:color w:val="000000"/>
                <w:sz w:val="18"/>
                <w:szCs w:val="18"/>
              </w:rPr>
              <w:t>2</w:t>
            </w:r>
          </w:p>
        </w:tc>
        <w:tc>
          <w:tcPr>
            <w:tcW w:w="2303" w:type="dxa"/>
            <w:shd w:val="clear" w:color="auto" w:fill="auto"/>
            <w:vAlign w:val="center"/>
          </w:tcPr>
          <w:p>
            <w:pPr>
              <w:pStyle w:val="26"/>
              <w:ind w:left="-20" w:firstLine="0" w:firstLineChars="0"/>
              <w:jc w:val="center"/>
              <w:rPr>
                <w:color w:val="000000"/>
                <w:sz w:val="18"/>
                <w:szCs w:val="18"/>
              </w:rPr>
            </w:pPr>
            <w:r>
              <w:rPr>
                <w:rFonts w:hint="eastAsia" w:hAnsi="宋体"/>
                <w:color w:val="000000"/>
                <w:sz w:val="18"/>
                <w:szCs w:val="18"/>
              </w:rPr>
              <w:t>截面电阻率不均匀性</w:t>
            </w:r>
          </w:p>
        </w:tc>
        <w:tc>
          <w:tcPr>
            <w:tcW w:w="2870" w:type="dxa"/>
            <w:vMerge w:val="continue"/>
            <w:shd w:val="clear" w:color="auto" w:fill="auto"/>
          </w:tcPr>
          <w:p>
            <w:pPr>
              <w:pStyle w:val="67"/>
              <w:numPr>
                <w:ilvl w:val="0"/>
                <w:numId w:val="0"/>
              </w:numPr>
              <w:rPr>
                <w:color w:val="000000"/>
                <w:sz w:val="18"/>
                <w:szCs w:val="18"/>
              </w:rPr>
            </w:pPr>
          </w:p>
        </w:tc>
        <w:tc>
          <w:tcPr>
            <w:tcW w:w="1816" w:type="dxa"/>
            <w:shd w:val="clear" w:color="auto" w:fill="auto"/>
            <w:vAlign w:val="center"/>
          </w:tcPr>
          <w:p>
            <w:pPr>
              <w:pStyle w:val="67"/>
              <w:numPr>
                <w:ilvl w:val="0"/>
                <w:numId w:val="0"/>
              </w:numPr>
              <w:spacing w:line="480" w:lineRule="auto"/>
              <w:jc w:val="center"/>
              <w:rPr>
                <w:color w:val="000000"/>
                <w:sz w:val="18"/>
                <w:szCs w:val="18"/>
              </w:rPr>
            </w:pPr>
            <w:r>
              <w:rPr>
                <w:rFonts w:hint="eastAsia"/>
                <w:color w:val="000000"/>
                <w:sz w:val="18"/>
                <w:szCs w:val="18"/>
              </w:rPr>
              <w:t>5</w:t>
            </w:r>
            <w:r>
              <w:rPr>
                <w:color w:val="000000"/>
                <w:sz w:val="18"/>
                <w:szCs w:val="18"/>
              </w:rPr>
              <w:t>.1</w:t>
            </w:r>
          </w:p>
        </w:tc>
        <w:tc>
          <w:tcPr>
            <w:tcW w:w="1545" w:type="dxa"/>
            <w:shd w:val="clear" w:color="auto" w:fill="auto"/>
            <w:vAlign w:val="center"/>
          </w:tcPr>
          <w:p>
            <w:pPr>
              <w:pStyle w:val="67"/>
              <w:numPr>
                <w:ilvl w:val="0"/>
                <w:numId w:val="0"/>
              </w:numPr>
              <w:spacing w:line="480" w:lineRule="auto"/>
              <w:jc w:val="center"/>
              <w:rPr>
                <w:color w:val="000000"/>
                <w:sz w:val="18"/>
                <w:szCs w:val="18"/>
              </w:rPr>
            </w:pPr>
            <w:r>
              <w:rPr>
                <w:rFonts w:hint="eastAsia"/>
                <w:color w:val="000000"/>
                <w:sz w:val="18"/>
                <w:szCs w:val="18"/>
              </w:rPr>
              <w:t>6</w:t>
            </w:r>
            <w:r>
              <w:rPr>
                <w:color w:val="000000"/>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3" w:type="dxa"/>
            <w:shd w:val="clear" w:color="auto" w:fill="auto"/>
          </w:tcPr>
          <w:p>
            <w:pPr>
              <w:pStyle w:val="67"/>
              <w:numPr>
                <w:ilvl w:val="0"/>
                <w:numId w:val="0"/>
              </w:numPr>
              <w:spacing w:line="480" w:lineRule="auto"/>
              <w:jc w:val="center"/>
              <w:rPr>
                <w:color w:val="000000"/>
                <w:sz w:val="18"/>
                <w:szCs w:val="18"/>
              </w:rPr>
            </w:pPr>
            <w:r>
              <w:rPr>
                <w:color w:val="000000"/>
                <w:sz w:val="18"/>
                <w:szCs w:val="18"/>
              </w:rPr>
              <w:t>3</w:t>
            </w:r>
          </w:p>
        </w:tc>
        <w:tc>
          <w:tcPr>
            <w:tcW w:w="2303" w:type="dxa"/>
            <w:shd w:val="clear" w:color="auto" w:fill="auto"/>
            <w:vAlign w:val="center"/>
          </w:tcPr>
          <w:p>
            <w:pPr>
              <w:pStyle w:val="67"/>
              <w:numPr>
                <w:ilvl w:val="0"/>
                <w:numId w:val="0"/>
              </w:numPr>
              <w:spacing w:line="480" w:lineRule="auto"/>
              <w:jc w:val="center"/>
              <w:rPr>
                <w:color w:val="000000"/>
                <w:sz w:val="18"/>
                <w:szCs w:val="18"/>
              </w:rPr>
            </w:pPr>
            <w:r>
              <w:rPr>
                <w:color w:val="000000"/>
                <w:sz w:val="18"/>
                <w:szCs w:val="18"/>
              </w:rPr>
              <w:t>霍尔迁移率</w:t>
            </w:r>
          </w:p>
        </w:tc>
        <w:tc>
          <w:tcPr>
            <w:tcW w:w="2870" w:type="dxa"/>
            <w:vMerge w:val="continue"/>
            <w:shd w:val="clear" w:color="auto" w:fill="auto"/>
          </w:tcPr>
          <w:p>
            <w:pPr>
              <w:pStyle w:val="67"/>
              <w:numPr>
                <w:ilvl w:val="0"/>
                <w:numId w:val="0"/>
              </w:numPr>
              <w:spacing w:line="480" w:lineRule="auto"/>
              <w:rPr>
                <w:color w:val="000000"/>
                <w:sz w:val="18"/>
                <w:szCs w:val="18"/>
              </w:rPr>
            </w:pPr>
          </w:p>
        </w:tc>
        <w:tc>
          <w:tcPr>
            <w:tcW w:w="1816" w:type="dxa"/>
            <w:shd w:val="clear" w:color="auto" w:fill="auto"/>
            <w:vAlign w:val="center"/>
          </w:tcPr>
          <w:p>
            <w:pPr>
              <w:pStyle w:val="67"/>
              <w:numPr>
                <w:ilvl w:val="0"/>
                <w:numId w:val="0"/>
              </w:numPr>
              <w:spacing w:line="480" w:lineRule="auto"/>
              <w:jc w:val="center"/>
              <w:rPr>
                <w:color w:val="000000"/>
                <w:sz w:val="18"/>
                <w:szCs w:val="18"/>
              </w:rPr>
            </w:pPr>
            <w:r>
              <w:rPr>
                <w:color w:val="000000"/>
                <w:sz w:val="18"/>
                <w:szCs w:val="18"/>
              </w:rPr>
              <w:t>5.1</w:t>
            </w:r>
            <w:r>
              <w:rPr>
                <w:rFonts w:hint="eastAsia"/>
                <w:color w:val="000000"/>
                <w:sz w:val="18"/>
                <w:szCs w:val="18"/>
              </w:rPr>
              <w:t xml:space="preserve"> </w:t>
            </w:r>
          </w:p>
        </w:tc>
        <w:tc>
          <w:tcPr>
            <w:tcW w:w="1545" w:type="dxa"/>
            <w:shd w:val="clear" w:color="auto" w:fill="auto"/>
            <w:vAlign w:val="center"/>
          </w:tcPr>
          <w:p>
            <w:pPr>
              <w:pStyle w:val="67"/>
              <w:numPr>
                <w:ilvl w:val="0"/>
                <w:numId w:val="0"/>
              </w:numPr>
              <w:spacing w:line="480" w:lineRule="auto"/>
              <w:jc w:val="center"/>
              <w:rPr>
                <w:color w:val="000000"/>
                <w:sz w:val="18"/>
                <w:szCs w:val="18"/>
              </w:rPr>
            </w:pPr>
            <w:r>
              <w:rPr>
                <w:color w:val="000000"/>
                <w:sz w:val="18"/>
                <w:szCs w:val="18"/>
              </w:rPr>
              <w:t>6</w:t>
            </w:r>
            <w:r>
              <w:rPr>
                <w:rFonts w:hint="eastAsia"/>
                <w:color w:val="000000"/>
                <w:sz w:val="18"/>
                <w:szCs w:val="18"/>
              </w:rPr>
              <w:t>.1.</w:t>
            </w:r>
            <w:r>
              <w:rPr>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3" w:type="dxa"/>
            <w:shd w:val="clear" w:color="auto" w:fill="auto"/>
          </w:tcPr>
          <w:p>
            <w:pPr>
              <w:pStyle w:val="67"/>
              <w:numPr>
                <w:ilvl w:val="0"/>
                <w:numId w:val="0"/>
              </w:numPr>
              <w:spacing w:line="480" w:lineRule="auto"/>
              <w:jc w:val="center"/>
              <w:rPr>
                <w:color w:val="000000"/>
                <w:sz w:val="18"/>
                <w:szCs w:val="18"/>
              </w:rPr>
            </w:pPr>
            <w:r>
              <w:rPr>
                <w:color w:val="000000"/>
                <w:sz w:val="18"/>
                <w:szCs w:val="18"/>
              </w:rPr>
              <w:t>4</w:t>
            </w:r>
          </w:p>
        </w:tc>
        <w:tc>
          <w:tcPr>
            <w:tcW w:w="2303" w:type="dxa"/>
            <w:shd w:val="clear" w:color="auto" w:fill="auto"/>
            <w:vAlign w:val="center"/>
          </w:tcPr>
          <w:p>
            <w:pPr>
              <w:pStyle w:val="67"/>
              <w:numPr>
                <w:ilvl w:val="0"/>
                <w:numId w:val="0"/>
              </w:numPr>
              <w:spacing w:line="480" w:lineRule="auto"/>
              <w:jc w:val="center"/>
              <w:rPr>
                <w:color w:val="000000"/>
                <w:sz w:val="18"/>
                <w:szCs w:val="18"/>
              </w:rPr>
            </w:pPr>
            <w:r>
              <w:rPr>
                <w:rFonts w:hint="eastAsia"/>
                <w:color w:val="000000"/>
                <w:sz w:val="18"/>
                <w:szCs w:val="18"/>
              </w:rPr>
              <w:t>表面</w:t>
            </w:r>
            <w:r>
              <w:rPr>
                <w:color w:val="000000"/>
                <w:sz w:val="18"/>
                <w:szCs w:val="18"/>
              </w:rPr>
              <w:t>晶向及晶向偏离</w:t>
            </w:r>
          </w:p>
        </w:tc>
        <w:tc>
          <w:tcPr>
            <w:tcW w:w="2870" w:type="dxa"/>
            <w:vMerge w:val="restart"/>
            <w:shd w:val="clear" w:color="auto" w:fill="auto"/>
          </w:tcPr>
          <w:p>
            <w:pPr>
              <w:pStyle w:val="67"/>
              <w:numPr>
                <w:ilvl w:val="0"/>
                <w:numId w:val="0"/>
              </w:numPr>
              <w:rPr>
                <w:color w:val="000000"/>
                <w:sz w:val="18"/>
                <w:szCs w:val="18"/>
              </w:rPr>
            </w:pPr>
          </w:p>
          <w:p>
            <w:pPr>
              <w:pStyle w:val="67"/>
              <w:numPr>
                <w:ilvl w:val="0"/>
                <w:numId w:val="0"/>
              </w:numPr>
              <w:rPr>
                <w:color w:val="000000"/>
                <w:sz w:val="18"/>
                <w:szCs w:val="18"/>
              </w:rPr>
            </w:pPr>
            <w:r>
              <w:rPr>
                <w:rFonts w:hint="eastAsia"/>
                <w:color w:val="000000"/>
                <w:sz w:val="18"/>
                <w:szCs w:val="18"/>
              </w:rPr>
              <w:t>2片</w:t>
            </w:r>
            <w:r>
              <w:rPr>
                <w:color w:val="000000"/>
                <w:sz w:val="18"/>
                <w:szCs w:val="18"/>
              </w:rPr>
              <w:t>（</w:t>
            </w:r>
            <w:r>
              <w:rPr>
                <w:rFonts w:hint="eastAsia"/>
                <w:color w:val="000000"/>
                <w:sz w:val="18"/>
                <w:szCs w:val="18"/>
              </w:rPr>
              <w:t>指1根</w:t>
            </w:r>
            <w:r>
              <w:rPr>
                <w:color w:val="000000"/>
                <w:sz w:val="18"/>
                <w:szCs w:val="18"/>
              </w:rPr>
              <w:t>晶锭头部所切的、进行电性能测量后晶片剩余所取的测试样块）</w:t>
            </w:r>
          </w:p>
        </w:tc>
        <w:tc>
          <w:tcPr>
            <w:tcW w:w="1816" w:type="dxa"/>
            <w:shd w:val="clear" w:color="auto" w:fill="auto"/>
            <w:vAlign w:val="center"/>
          </w:tcPr>
          <w:p>
            <w:pPr>
              <w:pStyle w:val="67"/>
              <w:numPr>
                <w:ilvl w:val="0"/>
                <w:numId w:val="0"/>
              </w:numPr>
              <w:spacing w:line="480" w:lineRule="auto"/>
              <w:jc w:val="center"/>
              <w:rPr>
                <w:color w:val="000000"/>
                <w:sz w:val="18"/>
                <w:szCs w:val="18"/>
              </w:rPr>
            </w:pPr>
            <w:r>
              <w:rPr>
                <w:color w:val="000000"/>
                <w:sz w:val="18"/>
                <w:szCs w:val="18"/>
              </w:rPr>
              <w:t>5.2</w:t>
            </w:r>
          </w:p>
        </w:tc>
        <w:tc>
          <w:tcPr>
            <w:tcW w:w="1545" w:type="dxa"/>
            <w:shd w:val="clear" w:color="auto" w:fill="auto"/>
            <w:vAlign w:val="center"/>
          </w:tcPr>
          <w:p>
            <w:pPr>
              <w:pStyle w:val="67"/>
              <w:numPr>
                <w:ilvl w:val="0"/>
                <w:numId w:val="0"/>
              </w:numPr>
              <w:spacing w:line="480" w:lineRule="auto"/>
              <w:jc w:val="center"/>
              <w:rPr>
                <w:color w:val="000000"/>
                <w:sz w:val="18"/>
                <w:szCs w:val="18"/>
              </w:rPr>
            </w:pPr>
            <w:r>
              <w:rPr>
                <w:color w:val="000000"/>
                <w:sz w:val="18"/>
                <w:szCs w:val="18"/>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3" w:type="dxa"/>
            <w:shd w:val="clear" w:color="auto" w:fill="auto"/>
          </w:tcPr>
          <w:p>
            <w:pPr>
              <w:pStyle w:val="67"/>
              <w:numPr>
                <w:ilvl w:val="0"/>
                <w:numId w:val="0"/>
              </w:numPr>
              <w:spacing w:line="480" w:lineRule="auto"/>
              <w:jc w:val="center"/>
              <w:rPr>
                <w:color w:val="000000"/>
                <w:sz w:val="18"/>
                <w:szCs w:val="18"/>
              </w:rPr>
            </w:pPr>
            <w:r>
              <w:rPr>
                <w:color w:val="000000"/>
                <w:sz w:val="18"/>
                <w:szCs w:val="18"/>
              </w:rPr>
              <w:t>5</w:t>
            </w:r>
          </w:p>
        </w:tc>
        <w:tc>
          <w:tcPr>
            <w:tcW w:w="2303" w:type="dxa"/>
            <w:shd w:val="clear" w:color="auto" w:fill="auto"/>
            <w:vAlign w:val="center"/>
          </w:tcPr>
          <w:p>
            <w:pPr>
              <w:pStyle w:val="67"/>
              <w:numPr>
                <w:ilvl w:val="0"/>
                <w:numId w:val="0"/>
              </w:numPr>
              <w:spacing w:line="480" w:lineRule="auto"/>
              <w:jc w:val="center"/>
              <w:rPr>
                <w:color w:val="000000"/>
                <w:sz w:val="18"/>
                <w:szCs w:val="18"/>
              </w:rPr>
            </w:pPr>
            <w:r>
              <w:rPr>
                <w:rFonts w:hint="eastAsia"/>
                <w:color w:val="000000"/>
                <w:sz w:val="18"/>
                <w:szCs w:val="18"/>
              </w:rPr>
              <w:t>位错</w:t>
            </w:r>
            <w:r>
              <w:rPr>
                <w:color w:val="000000"/>
                <w:sz w:val="18"/>
                <w:szCs w:val="18"/>
              </w:rPr>
              <w:t>密度</w:t>
            </w:r>
          </w:p>
        </w:tc>
        <w:tc>
          <w:tcPr>
            <w:tcW w:w="2870" w:type="dxa"/>
            <w:vMerge w:val="continue"/>
            <w:shd w:val="clear" w:color="auto" w:fill="auto"/>
          </w:tcPr>
          <w:p>
            <w:pPr>
              <w:pStyle w:val="67"/>
              <w:rPr>
                <w:color w:val="000000"/>
                <w:sz w:val="18"/>
                <w:szCs w:val="18"/>
              </w:rPr>
            </w:pPr>
          </w:p>
        </w:tc>
        <w:tc>
          <w:tcPr>
            <w:tcW w:w="1816" w:type="dxa"/>
            <w:shd w:val="clear" w:color="auto" w:fill="auto"/>
            <w:vAlign w:val="center"/>
          </w:tcPr>
          <w:p>
            <w:pPr>
              <w:pStyle w:val="67"/>
              <w:numPr>
                <w:ilvl w:val="0"/>
                <w:numId w:val="0"/>
              </w:numPr>
              <w:spacing w:line="480" w:lineRule="auto"/>
              <w:jc w:val="center"/>
              <w:rPr>
                <w:color w:val="000000"/>
                <w:sz w:val="18"/>
                <w:szCs w:val="18"/>
              </w:rPr>
            </w:pPr>
            <w:r>
              <w:rPr>
                <w:color w:val="000000"/>
                <w:sz w:val="18"/>
                <w:szCs w:val="18"/>
              </w:rPr>
              <w:t>5.3</w:t>
            </w:r>
          </w:p>
        </w:tc>
        <w:tc>
          <w:tcPr>
            <w:tcW w:w="1545" w:type="dxa"/>
            <w:shd w:val="clear" w:color="auto" w:fill="auto"/>
            <w:vAlign w:val="center"/>
          </w:tcPr>
          <w:p>
            <w:pPr>
              <w:pStyle w:val="67"/>
              <w:numPr>
                <w:ilvl w:val="0"/>
                <w:numId w:val="0"/>
              </w:numPr>
              <w:spacing w:line="480" w:lineRule="auto"/>
              <w:jc w:val="center"/>
              <w:rPr>
                <w:color w:val="000000"/>
                <w:sz w:val="18"/>
                <w:szCs w:val="18"/>
              </w:rPr>
            </w:pPr>
            <w:r>
              <w:rPr>
                <w:color w:val="000000"/>
                <w:sz w:val="18"/>
                <w:szCs w:val="18"/>
              </w:rPr>
              <w:t>6</w:t>
            </w:r>
            <w:r>
              <w:rPr>
                <w:rFonts w:hint="eastAsia"/>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3" w:type="dxa"/>
            <w:shd w:val="clear" w:color="auto" w:fill="auto"/>
          </w:tcPr>
          <w:p>
            <w:pPr>
              <w:pStyle w:val="67"/>
              <w:numPr>
                <w:ilvl w:val="0"/>
                <w:numId w:val="0"/>
              </w:numPr>
              <w:spacing w:line="480" w:lineRule="auto"/>
              <w:jc w:val="center"/>
              <w:rPr>
                <w:color w:val="000000"/>
                <w:sz w:val="18"/>
                <w:szCs w:val="18"/>
              </w:rPr>
            </w:pPr>
            <w:r>
              <w:rPr>
                <w:color w:val="000000"/>
                <w:sz w:val="18"/>
                <w:szCs w:val="18"/>
              </w:rPr>
              <w:t>6</w:t>
            </w:r>
          </w:p>
        </w:tc>
        <w:tc>
          <w:tcPr>
            <w:tcW w:w="2303" w:type="dxa"/>
            <w:shd w:val="clear" w:color="auto" w:fill="auto"/>
            <w:vAlign w:val="center"/>
          </w:tcPr>
          <w:p>
            <w:pPr>
              <w:pStyle w:val="46"/>
              <w:numPr>
                <w:ilvl w:val="0"/>
                <w:numId w:val="0"/>
              </w:numPr>
              <w:spacing w:before="0" w:beforeLines="0" w:after="0" w:afterLines="0" w:line="240" w:lineRule="exact"/>
              <w:jc w:val="center"/>
              <w:rPr>
                <w:rFonts w:ascii="宋体" w:eastAsia="宋体"/>
                <w:color w:val="000000"/>
                <w:sz w:val="18"/>
                <w:szCs w:val="18"/>
              </w:rPr>
            </w:pPr>
            <w:r>
              <w:rPr>
                <w:rFonts w:hint="eastAsia" w:ascii="宋体" w:eastAsia="宋体"/>
                <w:color w:val="000000"/>
                <w:sz w:val="18"/>
                <w:szCs w:val="18"/>
              </w:rPr>
              <w:t>碳</w:t>
            </w:r>
            <w:r>
              <w:rPr>
                <w:rFonts w:ascii="宋体" w:eastAsia="宋体"/>
                <w:color w:val="000000"/>
                <w:sz w:val="18"/>
                <w:szCs w:val="18"/>
              </w:rPr>
              <w:t>原子浓度和深能级缺陷</w:t>
            </w:r>
            <w:r>
              <w:rPr>
                <w:rFonts w:hint="eastAsia" w:ascii="宋体" w:eastAsia="宋体"/>
                <w:color w:val="000000"/>
                <w:sz w:val="18"/>
                <w:szCs w:val="18"/>
              </w:rPr>
              <w:t>EL2浓度</w:t>
            </w:r>
          </w:p>
        </w:tc>
        <w:tc>
          <w:tcPr>
            <w:tcW w:w="2870" w:type="dxa"/>
            <w:vMerge w:val="continue"/>
            <w:shd w:val="clear" w:color="auto" w:fill="auto"/>
          </w:tcPr>
          <w:p>
            <w:pPr>
              <w:pStyle w:val="67"/>
              <w:numPr>
                <w:ilvl w:val="0"/>
                <w:numId w:val="0"/>
              </w:numPr>
              <w:rPr>
                <w:color w:val="000000"/>
                <w:sz w:val="18"/>
                <w:szCs w:val="18"/>
              </w:rPr>
            </w:pPr>
          </w:p>
        </w:tc>
        <w:tc>
          <w:tcPr>
            <w:tcW w:w="1816" w:type="dxa"/>
            <w:tcBorders>
              <w:right w:val="single" w:color="auto" w:sz="4" w:space="0"/>
            </w:tcBorders>
            <w:shd w:val="clear" w:color="auto" w:fill="auto"/>
            <w:vAlign w:val="center"/>
          </w:tcPr>
          <w:p>
            <w:pPr>
              <w:pStyle w:val="67"/>
              <w:numPr>
                <w:ilvl w:val="0"/>
                <w:numId w:val="0"/>
              </w:numPr>
              <w:spacing w:line="480" w:lineRule="auto"/>
              <w:jc w:val="center"/>
              <w:rPr>
                <w:color w:val="000000"/>
                <w:sz w:val="18"/>
                <w:szCs w:val="18"/>
              </w:rPr>
            </w:pPr>
            <w:r>
              <w:rPr>
                <w:rFonts w:hint="eastAsia"/>
                <w:color w:val="000000"/>
                <w:sz w:val="18"/>
                <w:szCs w:val="18"/>
              </w:rPr>
              <w:t>5</w:t>
            </w:r>
            <w:r>
              <w:rPr>
                <w:color w:val="000000"/>
                <w:sz w:val="18"/>
                <w:szCs w:val="18"/>
              </w:rPr>
              <w:t>.6</w:t>
            </w:r>
          </w:p>
        </w:tc>
        <w:tc>
          <w:tcPr>
            <w:tcW w:w="1545" w:type="dxa"/>
            <w:tcBorders>
              <w:left w:val="single" w:color="auto" w:sz="4" w:space="0"/>
            </w:tcBorders>
            <w:shd w:val="clear" w:color="auto" w:fill="auto"/>
            <w:vAlign w:val="center"/>
          </w:tcPr>
          <w:p>
            <w:pPr>
              <w:pStyle w:val="67"/>
              <w:numPr>
                <w:ilvl w:val="0"/>
                <w:numId w:val="0"/>
              </w:numPr>
              <w:spacing w:line="480" w:lineRule="auto"/>
              <w:jc w:val="center"/>
              <w:rPr>
                <w:color w:val="000000"/>
                <w:sz w:val="18"/>
                <w:szCs w:val="18"/>
              </w:rPr>
            </w:pPr>
            <w:r>
              <w:rPr>
                <w:rFonts w:hint="eastAsia"/>
                <w:color w:val="000000"/>
                <w:sz w:val="18"/>
                <w:szCs w:val="18"/>
              </w:rPr>
              <w:t>6</w:t>
            </w:r>
            <w:r>
              <w:rPr>
                <w:color w:val="000000"/>
                <w:sz w:val="18"/>
                <w:szCs w:val="18"/>
              </w:rPr>
              <w:t>.6</w:t>
            </w:r>
          </w:p>
        </w:tc>
      </w:tr>
    </w:tbl>
    <w:p>
      <w:pPr>
        <w:pStyle w:val="50"/>
        <w:spacing w:before="156" w:after="156"/>
        <w:rPr>
          <w:rFonts w:ascii="宋体" w:eastAsia="宋体"/>
          <w:color w:val="000000"/>
          <w:szCs w:val="20"/>
        </w:rPr>
      </w:pPr>
      <w:r>
        <w:rPr>
          <w:rFonts w:hint="eastAsia" w:ascii="宋体" w:eastAsia="宋体"/>
          <w:color w:val="000000"/>
          <w:szCs w:val="20"/>
        </w:rPr>
        <w:t>每批衬底</w:t>
      </w:r>
      <w:r>
        <w:rPr>
          <w:rFonts w:ascii="宋体" w:eastAsia="宋体"/>
          <w:color w:val="000000"/>
          <w:szCs w:val="20"/>
        </w:rPr>
        <w:t>如属</w:t>
      </w:r>
      <w:r>
        <w:rPr>
          <w:rFonts w:hint="eastAsia" w:ascii="宋体" w:eastAsia="宋体"/>
          <w:color w:val="000000"/>
          <w:szCs w:val="20"/>
        </w:rPr>
        <w:t>非破坏性检验项目的检测取样按GB/T 2828.1一般检查水平Ⅱ，正常检查一次抽样方案进行，或由供需双方协商确定的抽样方案进行。</w:t>
      </w:r>
    </w:p>
    <w:p>
      <w:pPr>
        <w:pStyle w:val="50"/>
        <w:spacing w:before="156" w:after="156"/>
      </w:pPr>
      <w:r>
        <w:rPr>
          <w:rFonts w:hint="eastAsia" w:ascii="宋体" w:eastAsia="宋体"/>
          <w:color w:val="000000"/>
          <w:szCs w:val="20"/>
        </w:rPr>
        <w:t>每个</w:t>
      </w:r>
      <w:r>
        <w:rPr>
          <w:rFonts w:ascii="宋体" w:eastAsia="宋体"/>
          <w:color w:val="000000"/>
          <w:szCs w:val="20"/>
        </w:rPr>
        <w:t>检验批半绝缘砷化镓单晶衬底片的参考面取向</w:t>
      </w:r>
      <w:r>
        <w:rPr>
          <w:rFonts w:hint="eastAsia" w:ascii="宋体" w:eastAsia="宋体"/>
          <w:color w:val="000000"/>
          <w:szCs w:val="20"/>
        </w:rPr>
        <w:t>、形状和</w:t>
      </w:r>
      <w:r>
        <w:rPr>
          <w:rFonts w:ascii="宋体" w:eastAsia="宋体"/>
          <w:color w:val="000000"/>
          <w:szCs w:val="20"/>
        </w:rPr>
        <w:t>尺寸及外形几何尺寸</w:t>
      </w:r>
      <w:r>
        <w:rPr>
          <w:rFonts w:hint="eastAsia" w:ascii="宋体" w:eastAsia="宋体"/>
          <w:color w:val="000000"/>
          <w:szCs w:val="20"/>
        </w:rPr>
        <w:t>、</w:t>
      </w:r>
      <w:r>
        <w:rPr>
          <w:rFonts w:ascii="宋体" w:eastAsia="宋体"/>
          <w:color w:val="000000"/>
          <w:szCs w:val="20"/>
        </w:rPr>
        <w:t>表面质量的检验项目</w:t>
      </w:r>
      <w:r>
        <w:rPr>
          <w:rFonts w:hint="eastAsia" w:ascii="宋体" w:eastAsia="宋体"/>
          <w:color w:val="000000"/>
          <w:szCs w:val="20"/>
        </w:rPr>
        <w:t>及</w:t>
      </w:r>
      <w:r>
        <w:rPr>
          <w:rFonts w:ascii="宋体" w:eastAsia="宋体"/>
          <w:color w:val="000000"/>
          <w:szCs w:val="20"/>
        </w:rPr>
        <w:t>规则</w:t>
      </w:r>
      <w:r>
        <w:rPr>
          <w:rFonts w:hint="eastAsia" w:ascii="宋体" w:eastAsia="宋体"/>
          <w:color w:val="000000"/>
          <w:szCs w:val="20"/>
        </w:rPr>
        <w:t>据</w:t>
      </w:r>
      <w:r>
        <w:rPr>
          <w:rFonts w:ascii="宋体" w:eastAsia="宋体"/>
          <w:color w:val="000000"/>
          <w:szCs w:val="20"/>
        </w:rPr>
        <w:t>应符合表</w:t>
      </w:r>
      <w:r>
        <w:rPr>
          <w:rFonts w:hint="eastAsia" w:ascii="宋体" w:eastAsia="宋体"/>
          <w:color w:val="000000"/>
          <w:szCs w:val="20"/>
        </w:rPr>
        <w:t>9的</w:t>
      </w:r>
      <w:r>
        <w:rPr>
          <w:rFonts w:ascii="宋体" w:eastAsia="宋体"/>
          <w:color w:val="000000"/>
          <w:szCs w:val="20"/>
        </w:rPr>
        <w:t>规定。抽样</w:t>
      </w:r>
      <w:r>
        <w:rPr>
          <w:rFonts w:hint="eastAsia" w:ascii="宋体" w:eastAsia="宋体"/>
          <w:color w:val="000000"/>
          <w:szCs w:val="20"/>
        </w:rPr>
        <w:t>方案</w:t>
      </w:r>
      <w:r>
        <w:rPr>
          <w:rFonts w:ascii="宋体" w:eastAsia="宋体"/>
          <w:color w:val="000000"/>
          <w:szCs w:val="20"/>
        </w:rPr>
        <w:t>按</w:t>
      </w:r>
      <w:r>
        <w:rPr>
          <w:rFonts w:hint="eastAsia" w:ascii="宋体" w:eastAsia="宋体"/>
          <w:color w:val="000000"/>
          <w:szCs w:val="20"/>
        </w:rPr>
        <w:t>GB/T2828.1一次</w:t>
      </w:r>
      <w:r>
        <w:rPr>
          <w:rFonts w:ascii="宋体" w:eastAsia="宋体"/>
          <w:color w:val="000000"/>
          <w:szCs w:val="20"/>
        </w:rPr>
        <w:t>正常抽样方案进行</w:t>
      </w:r>
      <w:r>
        <w:rPr>
          <w:rFonts w:hint="eastAsia" w:ascii="宋体" w:eastAsia="宋体"/>
          <w:color w:val="000000"/>
          <w:szCs w:val="20"/>
        </w:rPr>
        <w:t>。</w:t>
      </w:r>
    </w:p>
    <w:p>
      <w:pPr>
        <w:pStyle w:val="67"/>
        <w:numPr>
          <w:ilvl w:val="0"/>
          <w:numId w:val="0"/>
        </w:numPr>
        <w:spacing w:line="480" w:lineRule="auto"/>
        <w:ind w:firstLine="3360" w:firstLineChars="1600"/>
        <w:rPr>
          <w:rFonts w:ascii="黑体" w:hAnsi="黑体" w:eastAsia="黑体"/>
          <w:color w:val="000000"/>
        </w:rPr>
      </w:pPr>
      <w:r>
        <w:rPr>
          <w:rFonts w:hint="eastAsia" w:ascii="黑体" w:hAnsi="黑体" w:eastAsia="黑体"/>
          <w:color w:val="000000"/>
        </w:rPr>
        <w:t>表9</w:t>
      </w:r>
      <w:r>
        <w:rPr>
          <w:rFonts w:ascii="黑体" w:hAnsi="黑体" w:eastAsia="黑体"/>
          <w:color w:val="000000"/>
        </w:rPr>
        <w:t xml:space="preserve"> 检验项目及规则</w:t>
      </w:r>
    </w:p>
    <w:tbl>
      <w:tblPr>
        <w:tblStyle w:val="36"/>
        <w:tblW w:w="4591" w:type="pct"/>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773"/>
        <w:gridCol w:w="1452"/>
        <w:gridCol w:w="1885"/>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24" w:type="pct"/>
            <w:vMerge w:val="restart"/>
            <w:vAlign w:val="center"/>
          </w:tcPr>
          <w:p>
            <w:pPr>
              <w:pStyle w:val="26"/>
              <w:ind w:firstLine="0" w:firstLineChars="0"/>
              <w:jc w:val="left"/>
              <w:rPr>
                <w:rFonts w:hAnsi="宋体"/>
                <w:color w:val="000000"/>
                <w:sz w:val="18"/>
                <w:szCs w:val="18"/>
              </w:rPr>
            </w:pPr>
            <w:r>
              <w:rPr>
                <w:rFonts w:hint="eastAsia" w:hAnsi="宋体"/>
                <w:color w:val="000000"/>
                <w:sz w:val="18"/>
                <w:szCs w:val="18"/>
              </w:rPr>
              <w:t>序号</w:t>
            </w:r>
          </w:p>
        </w:tc>
        <w:tc>
          <w:tcPr>
            <w:tcW w:w="1578" w:type="pct"/>
            <w:vMerge w:val="restart"/>
            <w:vAlign w:val="center"/>
          </w:tcPr>
          <w:p>
            <w:pPr>
              <w:pStyle w:val="26"/>
              <w:ind w:firstLine="0" w:firstLineChars="0"/>
              <w:jc w:val="center"/>
              <w:rPr>
                <w:rFonts w:hAnsi="宋体"/>
                <w:color w:val="000000"/>
                <w:sz w:val="18"/>
                <w:szCs w:val="18"/>
              </w:rPr>
            </w:pPr>
            <w:r>
              <w:rPr>
                <w:rFonts w:hint="eastAsia" w:hAnsi="宋体"/>
                <w:color w:val="000000"/>
                <w:sz w:val="18"/>
                <w:szCs w:val="18"/>
              </w:rPr>
              <w:t>检验项目</w:t>
            </w:r>
          </w:p>
        </w:tc>
        <w:tc>
          <w:tcPr>
            <w:tcW w:w="826" w:type="pct"/>
            <w:vMerge w:val="restart"/>
            <w:vAlign w:val="center"/>
          </w:tcPr>
          <w:p>
            <w:pPr>
              <w:pStyle w:val="26"/>
              <w:ind w:firstLine="0" w:firstLineChars="0"/>
              <w:jc w:val="center"/>
              <w:rPr>
                <w:rFonts w:hAnsi="宋体"/>
                <w:color w:val="000000"/>
                <w:sz w:val="18"/>
                <w:szCs w:val="18"/>
              </w:rPr>
            </w:pPr>
            <w:r>
              <w:rPr>
                <w:rFonts w:hint="eastAsia" w:hAnsi="宋体"/>
                <w:color w:val="000000"/>
                <w:sz w:val="18"/>
                <w:szCs w:val="18"/>
              </w:rPr>
              <w:t>抽样方法</w:t>
            </w:r>
          </w:p>
        </w:tc>
        <w:tc>
          <w:tcPr>
            <w:tcW w:w="1073" w:type="pct"/>
            <w:vMerge w:val="restart"/>
            <w:vAlign w:val="center"/>
          </w:tcPr>
          <w:p>
            <w:pPr>
              <w:pStyle w:val="26"/>
              <w:ind w:firstLine="0" w:firstLineChars="0"/>
              <w:jc w:val="center"/>
              <w:rPr>
                <w:rFonts w:hAnsi="宋体"/>
                <w:color w:val="000000"/>
                <w:sz w:val="18"/>
                <w:szCs w:val="18"/>
              </w:rPr>
            </w:pPr>
            <w:r>
              <w:rPr>
                <w:rFonts w:hint="eastAsia" w:hAnsi="宋体"/>
                <w:color w:val="000000"/>
                <w:sz w:val="18"/>
                <w:szCs w:val="18"/>
              </w:rPr>
              <w:t>要求条款</w:t>
            </w:r>
            <w:r>
              <w:rPr>
                <w:rFonts w:hAnsi="宋体"/>
                <w:color w:val="000000"/>
                <w:sz w:val="18"/>
                <w:szCs w:val="18"/>
              </w:rPr>
              <w:t>号</w:t>
            </w:r>
          </w:p>
        </w:tc>
        <w:tc>
          <w:tcPr>
            <w:tcW w:w="1199" w:type="pct"/>
            <w:vMerge w:val="restart"/>
            <w:vAlign w:val="center"/>
          </w:tcPr>
          <w:p>
            <w:pPr>
              <w:pStyle w:val="26"/>
              <w:ind w:firstLine="0" w:firstLineChars="0"/>
              <w:jc w:val="center"/>
              <w:rPr>
                <w:rFonts w:hAnsi="宋体"/>
                <w:color w:val="000000"/>
                <w:sz w:val="18"/>
                <w:szCs w:val="18"/>
              </w:rPr>
            </w:pPr>
            <w:r>
              <w:rPr>
                <w:rFonts w:hint="eastAsia"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24" w:type="pct"/>
            <w:vMerge w:val="continue"/>
            <w:vAlign w:val="center"/>
          </w:tcPr>
          <w:p>
            <w:pPr>
              <w:pStyle w:val="26"/>
              <w:ind w:firstLine="0" w:firstLineChars="0"/>
              <w:jc w:val="left"/>
              <w:rPr>
                <w:rFonts w:hAnsi="宋体"/>
                <w:color w:val="000000"/>
                <w:sz w:val="18"/>
                <w:szCs w:val="18"/>
              </w:rPr>
            </w:pPr>
          </w:p>
        </w:tc>
        <w:tc>
          <w:tcPr>
            <w:tcW w:w="1578" w:type="pct"/>
            <w:vMerge w:val="continue"/>
            <w:vAlign w:val="center"/>
          </w:tcPr>
          <w:p>
            <w:pPr>
              <w:pStyle w:val="26"/>
              <w:ind w:firstLine="0" w:firstLineChars="0"/>
              <w:jc w:val="left"/>
              <w:rPr>
                <w:rFonts w:hAnsi="宋体"/>
                <w:color w:val="000000"/>
                <w:sz w:val="18"/>
                <w:szCs w:val="18"/>
              </w:rPr>
            </w:pPr>
          </w:p>
        </w:tc>
        <w:tc>
          <w:tcPr>
            <w:tcW w:w="826" w:type="pct"/>
            <w:vMerge w:val="continue"/>
            <w:vAlign w:val="center"/>
          </w:tcPr>
          <w:p>
            <w:pPr>
              <w:pStyle w:val="26"/>
              <w:ind w:firstLine="0" w:firstLineChars="0"/>
              <w:jc w:val="left"/>
              <w:rPr>
                <w:rFonts w:hAnsi="宋体"/>
                <w:color w:val="000000"/>
                <w:sz w:val="18"/>
                <w:szCs w:val="18"/>
              </w:rPr>
            </w:pPr>
          </w:p>
        </w:tc>
        <w:tc>
          <w:tcPr>
            <w:tcW w:w="1073" w:type="pct"/>
            <w:vMerge w:val="continue"/>
            <w:vAlign w:val="center"/>
          </w:tcPr>
          <w:p>
            <w:pPr>
              <w:pStyle w:val="26"/>
              <w:ind w:firstLine="0" w:firstLineChars="0"/>
              <w:jc w:val="left"/>
              <w:rPr>
                <w:rFonts w:hAnsi="宋体"/>
                <w:color w:val="000000"/>
                <w:sz w:val="18"/>
                <w:szCs w:val="18"/>
              </w:rPr>
            </w:pPr>
          </w:p>
        </w:tc>
        <w:tc>
          <w:tcPr>
            <w:tcW w:w="1199" w:type="pct"/>
            <w:vMerge w:val="continue"/>
            <w:vAlign w:val="center"/>
          </w:tcPr>
          <w:p>
            <w:pPr>
              <w:pStyle w:val="26"/>
              <w:ind w:firstLine="0" w:firstLineChars="0"/>
              <w:jc w:val="left"/>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pPr>
              <w:pStyle w:val="26"/>
              <w:ind w:firstLine="0" w:firstLineChars="0"/>
              <w:jc w:val="center"/>
              <w:rPr>
                <w:rFonts w:hAnsi="宋体"/>
                <w:color w:val="000000"/>
                <w:sz w:val="18"/>
                <w:szCs w:val="18"/>
              </w:rPr>
            </w:pPr>
            <w:r>
              <w:rPr>
                <w:rFonts w:hAnsi="宋体"/>
                <w:color w:val="000000"/>
                <w:sz w:val="18"/>
                <w:szCs w:val="18"/>
              </w:rPr>
              <w:t>1</w:t>
            </w:r>
          </w:p>
        </w:tc>
        <w:tc>
          <w:tcPr>
            <w:tcW w:w="1578" w:type="pct"/>
            <w:vAlign w:val="center"/>
          </w:tcPr>
          <w:p>
            <w:pPr>
              <w:pStyle w:val="26"/>
              <w:ind w:firstLine="0" w:firstLineChars="0"/>
              <w:jc w:val="center"/>
              <w:rPr>
                <w:rFonts w:hAnsi="宋体"/>
                <w:color w:val="000000"/>
                <w:sz w:val="18"/>
                <w:szCs w:val="18"/>
              </w:rPr>
            </w:pPr>
            <w:r>
              <w:rPr>
                <w:rFonts w:hint="eastAsia" w:hAnsi="宋体"/>
                <w:color w:val="000000"/>
                <w:sz w:val="18"/>
                <w:szCs w:val="18"/>
              </w:rPr>
              <w:t>参考面</w:t>
            </w:r>
            <w:r>
              <w:rPr>
                <w:rFonts w:hAnsi="宋体"/>
                <w:color w:val="000000"/>
                <w:sz w:val="18"/>
                <w:szCs w:val="18"/>
              </w:rPr>
              <w:t>取向、形状和尺寸</w:t>
            </w:r>
          </w:p>
        </w:tc>
        <w:tc>
          <w:tcPr>
            <w:tcW w:w="826" w:type="pct"/>
            <w:vMerge w:val="restart"/>
            <w:vAlign w:val="center"/>
          </w:tcPr>
          <w:p>
            <w:pPr>
              <w:pStyle w:val="26"/>
              <w:ind w:firstLine="0" w:firstLineChars="0"/>
              <w:jc w:val="center"/>
              <w:rPr>
                <w:rFonts w:hAnsi="宋体"/>
                <w:color w:val="000000"/>
                <w:sz w:val="18"/>
                <w:szCs w:val="18"/>
              </w:rPr>
            </w:pPr>
            <w:r>
              <w:rPr>
                <w:rFonts w:hint="eastAsia" w:hAnsi="宋体"/>
                <w:color w:val="000000"/>
                <w:sz w:val="18"/>
                <w:szCs w:val="18"/>
              </w:rPr>
              <w:t>G</w:t>
            </w:r>
            <w:r>
              <w:rPr>
                <w:rFonts w:hAnsi="宋体"/>
                <w:color w:val="000000"/>
                <w:sz w:val="18"/>
                <w:szCs w:val="18"/>
              </w:rPr>
              <w:t>B/T2828 IL=</w:t>
            </w:r>
            <w:r>
              <w:rPr>
                <w:rFonts w:hAnsi="宋体"/>
                <w:color w:val="000000"/>
                <w:sz w:val="18"/>
                <w:szCs w:val="18"/>
              </w:rPr>
              <w:fldChar w:fldCharType="begin"/>
            </w:r>
            <w:r>
              <w:rPr>
                <w:rFonts w:hAnsi="宋体"/>
                <w:color w:val="000000"/>
                <w:sz w:val="18"/>
                <w:szCs w:val="18"/>
              </w:rPr>
              <w:instrText xml:space="preserve"> </w:instrText>
            </w:r>
            <w:r>
              <w:rPr>
                <w:rFonts w:hint="eastAsia" w:hAnsi="宋体"/>
                <w:color w:val="000000"/>
                <w:sz w:val="18"/>
                <w:szCs w:val="18"/>
              </w:rPr>
              <w:instrText xml:space="preserve">= 2 \* ROMAN</w:instrText>
            </w:r>
            <w:r>
              <w:rPr>
                <w:rFonts w:hAnsi="宋体"/>
                <w:color w:val="000000"/>
                <w:sz w:val="18"/>
                <w:szCs w:val="18"/>
              </w:rPr>
              <w:instrText xml:space="preserve"> </w:instrText>
            </w:r>
            <w:r>
              <w:rPr>
                <w:rFonts w:hAnsi="宋体"/>
                <w:color w:val="000000"/>
                <w:sz w:val="18"/>
                <w:szCs w:val="18"/>
              </w:rPr>
              <w:fldChar w:fldCharType="separate"/>
            </w:r>
            <w:r>
              <w:rPr>
                <w:rFonts w:hAnsi="宋体"/>
                <w:color w:val="000000"/>
                <w:sz w:val="18"/>
                <w:szCs w:val="18"/>
              </w:rPr>
              <w:t>II</w:t>
            </w:r>
            <w:r>
              <w:rPr>
                <w:rFonts w:hAnsi="宋体"/>
                <w:color w:val="000000"/>
                <w:sz w:val="18"/>
                <w:szCs w:val="18"/>
              </w:rPr>
              <w:fldChar w:fldCharType="end"/>
            </w:r>
          </w:p>
        </w:tc>
        <w:tc>
          <w:tcPr>
            <w:tcW w:w="1073" w:type="pct"/>
            <w:vAlign w:val="center"/>
          </w:tcPr>
          <w:p>
            <w:pPr>
              <w:pStyle w:val="26"/>
              <w:ind w:firstLine="0" w:firstLineChars="0"/>
              <w:jc w:val="center"/>
              <w:rPr>
                <w:rFonts w:hAnsi="宋体"/>
                <w:color w:val="000000"/>
                <w:sz w:val="18"/>
                <w:szCs w:val="18"/>
              </w:rPr>
            </w:pPr>
            <w:r>
              <w:rPr>
                <w:rFonts w:hAnsi="宋体"/>
                <w:color w:val="000000"/>
                <w:sz w:val="18"/>
                <w:szCs w:val="18"/>
              </w:rPr>
              <w:t>5.4</w:t>
            </w:r>
          </w:p>
        </w:tc>
        <w:tc>
          <w:tcPr>
            <w:tcW w:w="1199" w:type="pct"/>
            <w:vAlign w:val="center"/>
          </w:tcPr>
          <w:p>
            <w:pPr>
              <w:pStyle w:val="26"/>
              <w:ind w:firstLine="0" w:firstLineChars="0"/>
              <w:jc w:val="center"/>
              <w:rPr>
                <w:rFonts w:hAnsi="宋体"/>
                <w:color w:val="000000"/>
                <w:sz w:val="18"/>
                <w:szCs w:val="18"/>
              </w:rPr>
            </w:pPr>
            <w:r>
              <w:rPr>
                <w:rFonts w:hAnsi="宋体"/>
                <w:color w:val="000000"/>
                <w:sz w:val="18"/>
                <w:szCs w:val="18"/>
              </w:rPr>
              <w:t>6.4.1</w:t>
            </w:r>
            <w:r>
              <w:rPr>
                <w:rFonts w:hint="eastAsia" w:hAnsi="宋体"/>
                <w:color w:val="000000"/>
                <w:sz w:val="18"/>
                <w:szCs w:val="18"/>
              </w:rPr>
              <w:t>、</w:t>
            </w:r>
            <w:r>
              <w:rPr>
                <w:rFonts w:hAnsi="宋体"/>
                <w:color w:val="000000"/>
                <w:sz w:val="18"/>
                <w:szCs w:val="18"/>
              </w:rPr>
              <w:t>6.4.2</w:t>
            </w:r>
            <w:r>
              <w:rPr>
                <w:rFonts w:hint="eastAsia" w:hAnsi="宋体"/>
                <w:color w:val="000000"/>
                <w:sz w:val="18"/>
                <w:szCs w:val="18"/>
              </w:rPr>
              <w:t>、6</w:t>
            </w:r>
            <w:r>
              <w:rPr>
                <w:rFonts w:hAnsi="宋体"/>
                <w:color w:val="000000"/>
                <w:sz w:val="18"/>
                <w:szCs w:val="1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pPr>
              <w:pStyle w:val="26"/>
              <w:ind w:firstLine="0" w:firstLineChars="0"/>
              <w:jc w:val="center"/>
              <w:rPr>
                <w:rFonts w:hAnsi="宋体"/>
                <w:color w:val="000000"/>
                <w:sz w:val="18"/>
                <w:szCs w:val="18"/>
              </w:rPr>
            </w:pPr>
            <w:r>
              <w:rPr>
                <w:rFonts w:hint="eastAsia" w:hAnsi="宋体"/>
                <w:color w:val="000000"/>
                <w:sz w:val="18"/>
                <w:szCs w:val="18"/>
              </w:rPr>
              <w:t>2</w:t>
            </w:r>
          </w:p>
        </w:tc>
        <w:tc>
          <w:tcPr>
            <w:tcW w:w="1578" w:type="pct"/>
            <w:vAlign w:val="center"/>
          </w:tcPr>
          <w:p>
            <w:pPr>
              <w:pStyle w:val="26"/>
              <w:ind w:firstLine="0" w:firstLineChars="0"/>
              <w:jc w:val="center"/>
              <w:rPr>
                <w:rFonts w:hAnsi="宋体"/>
                <w:color w:val="000000"/>
                <w:sz w:val="18"/>
                <w:szCs w:val="18"/>
              </w:rPr>
            </w:pPr>
            <w:r>
              <w:rPr>
                <w:rFonts w:hint="eastAsia" w:hAnsi="宋体"/>
                <w:color w:val="000000"/>
                <w:sz w:val="18"/>
                <w:szCs w:val="18"/>
              </w:rPr>
              <w:t>直径及允许偏差</w:t>
            </w:r>
          </w:p>
        </w:tc>
        <w:tc>
          <w:tcPr>
            <w:tcW w:w="826" w:type="pct"/>
            <w:vMerge w:val="continue"/>
            <w:vAlign w:val="center"/>
          </w:tcPr>
          <w:p>
            <w:pPr>
              <w:pStyle w:val="26"/>
              <w:ind w:firstLine="0" w:firstLineChars="0"/>
              <w:jc w:val="center"/>
              <w:rPr>
                <w:rFonts w:hAnsi="宋体"/>
                <w:color w:val="000000"/>
                <w:sz w:val="18"/>
                <w:szCs w:val="18"/>
              </w:rPr>
            </w:pPr>
          </w:p>
        </w:tc>
        <w:tc>
          <w:tcPr>
            <w:tcW w:w="1073" w:type="pct"/>
            <w:vAlign w:val="center"/>
          </w:tcPr>
          <w:p>
            <w:pPr>
              <w:pStyle w:val="26"/>
              <w:ind w:firstLine="0" w:firstLineChars="0"/>
              <w:jc w:val="center"/>
              <w:rPr>
                <w:rFonts w:hAnsi="宋体"/>
                <w:color w:val="000000"/>
                <w:sz w:val="18"/>
                <w:szCs w:val="18"/>
              </w:rPr>
            </w:pPr>
            <w:r>
              <w:rPr>
                <w:rFonts w:hAnsi="宋体"/>
                <w:color w:val="000000"/>
                <w:sz w:val="18"/>
                <w:szCs w:val="18"/>
              </w:rPr>
              <w:t>5.5</w:t>
            </w:r>
            <w:r>
              <w:rPr>
                <w:rFonts w:hint="eastAsia" w:hAnsi="宋体"/>
                <w:color w:val="000000"/>
                <w:sz w:val="18"/>
                <w:szCs w:val="18"/>
              </w:rPr>
              <w:t>的</w:t>
            </w:r>
            <w:r>
              <w:rPr>
                <w:rFonts w:hAnsi="宋体"/>
                <w:color w:val="000000"/>
                <w:sz w:val="18"/>
                <w:szCs w:val="18"/>
              </w:rPr>
              <w:t>表中第</w:t>
            </w:r>
            <w:r>
              <w:rPr>
                <w:rFonts w:hint="eastAsia" w:hAnsi="宋体"/>
                <w:color w:val="000000"/>
                <w:sz w:val="18"/>
                <w:szCs w:val="18"/>
              </w:rPr>
              <w:t>1项</w:t>
            </w:r>
          </w:p>
        </w:tc>
        <w:tc>
          <w:tcPr>
            <w:tcW w:w="1199" w:type="pct"/>
            <w:vAlign w:val="center"/>
          </w:tcPr>
          <w:p>
            <w:pPr>
              <w:pStyle w:val="26"/>
              <w:ind w:firstLine="0" w:firstLineChars="0"/>
              <w:jc w:val="center"/>
              <w:rPr>
                <w:rFonts w:hAnsi="宋体"/>
                <w:color w:val="000000"/>
                <w:sz w:val="18"/>
                <w:szCs w:val="18"/>
              </w:rPr>
            </w:pPr>
            <w:r>
              <w:rPr>
                <w:rFonts w:hAnsi="宋体"/>
                <w:color w:val="000000"/>
                <w:sz w:val="18"/>
                <w:szCs w:val="18"/>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pPr>
              <w:pStyle w:val="26"/>
              <w:ind w:firstLine="0" w:firstLineChars="0"/>
              <w:jc w:val="center"/>
              <w:rPr>
                <w:rFonts w:hAnsi="宋体"/>
                <w:color w:val="000000"/>
                <w:sz w:val="18"/>
                <w:szCs w:val="18"/>
              </w:rPr>
            </w:pPr>
            <w:r>
              <w:rPr>
                <w:rFonts w:hAnsi="宋体"/>
                <w:color w:val="000000"/>
                <w:sz w:val="18"/>
                <w:szCs w:val="18"/>
              </w:rPr>
              <w:t>3</w:t>
            </w:r>
          </w:p>
        </w:tc>
        <w:tc>
          <w:tcPr>
            <w:tcW w:w="1578" w:type="pct"/>
            <w:vAlign w:val="center"/>
          </w:tcPr>
          <w:p>
            <w:pPr>
              <w:pStyle w:val="26"/>
              <w:ind w:firstLine="0" w:firstLineChars="0"/>
              <w:jc w:val="center"/>
              <w:rPr>
                <w:rFonts w:hAnsi="宋体"/>
                <w:color w:val="000000"/>
                <w:sz w:val="18"/>
                <w:szCs w:val="18"/>
              </w:rPr>
            </w:pPr>
            <w:r>
              <w:rPr>
                <w:rFonts w:hint="eastAsia" w:hAnsi="宋体"/>
                <w:color w:val="000000"/>
                <w:sz w:val="18"/>
                <w:szCs w:val="18"/>
              </w:rPr>
              <w:t>厚度及允许偏差和总厚度变化</w:t>
            </w:r>
          </w:p>
        </w:tc>
        <w:tc>
          <w:tcPr>
            <w:tcW w:w="826" w:type="pct"/>
            <w:vMerge w:val="continue"/>
            <w:vAlign w:val="center"/>
          </w:tcPr>
          <w:p>
            <w:pPr>
              <w:pStyle w:val="26"/>
              <w:ind w:firstLine="0" w:firstLineChars="0"/>
              <w:jc w:val="center"/>
              <w:rPr>
                <w:rFonts w:hAnsi="宋体"/>
                <w:color w:val="000000"/>
                <w:sz w:val="18"/>
                <w:szCs w:val="18"/>
              </w:rPr>
            </w:pPr>
          </w:p>
        </w:tc>
        <w:tc>
          <w:tcPr>
            <w:tcW w:w="1073" w:type="pct"/>
            <w:vAlign w:val="center"/>
          </w:tcPr>
          <w:p>
            <w:pPr>
              <w:pStyle w:val="26"/>
              <w:ind w:firstLine="0" w:firstLineChars="0"/>
              <w:jc w:val="center"/>
              <w:rPr>
                <w:rFonts w:hAnsi="宋体"/>
                <w:color w:val="000000"/>
                <w:sz w:val="18"/>
                <w:szCs w:val="18"/>
              </w:rPr>
            </w:pPr>
            <w:r>
              <w:rPr>
                <w:rFonts w:hAnsi="宋体"/>
                <w:color w:val="000000"/>
                <w:sz w:val="18"/>
                <w:szCs w:val="18"/>
              </w:rPr>
              <w:t>5.5</w:t>
            </w:r>
            <w:r>
              <w:rPr>
                <w:rFonts w:hint="eastAsia" w:hAnsi="宋体"/>
                <w:color w:val="000000"/>
                <w:sz w:val="18"/>
                <w:szCs w:val="18"/>
              </w:rPr>
              <w:t>的</w:t>
            </w:r>
            <w:r>
              <w:rPr>
                <w:rFonts w:hAnsi="宋体"/>
                <w:color w:val="000000"/>
                <w:sz w:val="18"/>
                <w:szCs w:val="18"/>
              </w:rPr>
              <w:t>表中第2</w:t>
            </w:r>
            <w:r>
              <w:rPr>
                <w:rFonts w:hint="eastAsia" w:hAnsi="宋体"/>
                <w:color w:val="000000"/>
                <w:sz w:val="18"/>
                <w:szCs w:val="18"/>
              </w:rPr>
              <w:t>、</w:t>
            </w:r>
            <w:r>
              <w:rPr>
                <w:rFonts w:hAnsi="宋体"/>
                <w:color w:val="000000"/>
                <w:sz w:val="18"/>
                <w:szCs w:val="18"/>
              </w:rPr>
              <w:t>3</w:t>
            </w:r>
            <w:r>
              <w:rPr>
                <w:rFonts w:hint="eastAsia" w:hAnsi="宋体"/>
                <w:color w:val="000000"/>
                <w:sz w:val="18"/>
                <w:szCs w:val="18"/>
              </w:rPr>
              <w:t>项</w:t>
            </w:r>
          </w:p>
        </w:tc>
        <w:tc>
          <w:tcPr>
            <w:tcW w:w="1199" w:type="pct"/>
            <w:vAlign w:val="center"/>
          </w:tcPr>
          <w:p>
            <w:pPr>
              <w:pStyle w:val="26"/>
              <w:ind w:firstLine="0" w:firstLineChars="0"/>
              <w:jc w:val="center"/>
              <w:rPr>
                <w:rFonts w:hAnsi="宋体"/>
                <w:color w:val="000000"/>
                <w:sz w:val="18"/>
                <w:szCs w:val="18"/>
              </w:rPr>
            </w:pPr>
            <w:r>
              <w:rPr>
                <w:rFonts w:hAnsi="宋体"/>
                <w:color w:val="000000"/>
                <w:sz w:val="18"/>
                <w:szCs w:val="18"/>
              </w:rPr>
              <w:t>6.5</w:t>
            </w:r>
            <w:r>
              <w:rPr>
                <w:rFonts w:hint="eastAsia" w:hAnsi="宋体"/>
                <w:color w:val="000000"/>
                <w:sz w:val="18"/>
                <w:szCs w:val="18"/>
              </w:rPr>
              <w:t>.</w:t>
            </w:r>
            <w:r>
              <w:rPr>
                <w:rFonts w:hAnsi="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pPr>
              <w:pStyle w:val="26"/>
              <w:ind w:firstLine="0" w:firstLineChars="0"/>
              <w:jc w:val="center"/>
              <w:rPr>
                <w:rFonts w:hAnsi="宋体"/>
                <w:color w:val="000000"/>
                <w:sz w:val="18"/>
                <w:szCs w:val="18"/>
              </w:rPr>
            </w:pPr>
            <w:r>
              <w:rPr>
                <w:rFonts w:hAnsi="宋体"/>
                <w:color w:val="000000"/>
                <w:sz w:val="18"/>
                <w:szCs w:val="18"/>
              </w:rPr>
              <w:t>4</w:t>
            </w:r>
          </w:p>
        </w:tc>
        <w:tc>
          <w:tcPr>
            <w:tcW w:w="1578" w:type="pct"/>
            <w:vAlign w:val="center"/>
          </w:tcPr>
          <w:p>
            <w:pPr>
              <w:pStyle w:val="26"/>
              <w:ind w:firstLine="0" w:firstLineChars="0"/>
              <w:jc w:val="center"/>
              <w:rPr>
                <w:rFonts w:hAnsi="宋体"/>
                <w:color w:val="000000"/>
                <w:sz w:val="18"/>
                <w:szCs w:val="18"/>
              </w:rPr>
            </w:pPr>
            <w:r>
              <w:rPr>
                <w:rFonts w:hint="eastAsia" w:hAnsi="宋体"/>
                <w:color w:val="000000"/>
                <w:sz w:val="18"/>
                <w:szCs w:val="18"/>
              </w:rPr>
              <w:t>总指示读数</w:t>
            </w:r>
          </w:p>
        </w:tc>
        <w:tc>
          <w:tcPr>
            <w:tcW w:w="826" w:type="pct"/>
            <w:vMerge w:val="continue"/>
            <w:vAlign w:val="center"/>
          </w:tcPr>
          <w:p>
            <w:pPr>
              <w:pStyle w:val="26"/>
              <w:ind w:firstLine="0" w:firstLineChars="0"/>
              <w:jc w:val="center"/>
              <w:rPr>
                <w:rFonts w:hAnsi="宋体"/>
                <w:color w:val="000000"/>
                <w:sz w:val="18"/>
                <w:szCs w:val="18"/>
              </w:rPr>
            </w:pPr>
          </w:p>
        </w:tc>
        <w:tc>
          <w:tcPr>
            <w:tcW w:w="1073" w:type="pct"/>
            <w:vAlign w:val="center"/>
          </w:tcPr>
          <w:p>
            <w:pPr>
              <w:pStyle w:val="26"/>
              <w:ind w:firstLine="0" w:firstLineChars="0"/>
              <w:jc w:val="center"/>
              <w:rPr>
                <w:rFonts w:hAnsi="宋体"/>
                <w:color w:val="000000"/>
                <w:sz w:val="18"/>
                <w:szCs w:val="18"/>
              </w:rPr>
            </w:pPr>
            <w:r>
              <w:rPr>
                <w:rFonts w:hAnsi="宋体"/>
                <w:color w:val="000000"/>
                <w:sz w:val="18"/>
                <w:szCs w:val="18"/>
              </w:rPr>
              <w:t>5.5</w:t>
            </w:r>
            <w:r>
              <w:rPr>
                <w:rFonts w:hint="eastAsia" w:hAnsi="宋体"/>
                <w:color w:val="000000"/>
                <w:sz w:val="18"/>
                <w:szCs w:val="18"/>
              </w:rPr>
              <w:t>的</w:t>
            </w:r>
            <w:r>
              <w:rPr>
                <w:rFonts w:hAnsi="宋体"/>
                <w:color w:val="000000"/>
                <w:sz w:val="18"/>
                <w:szCs w:val="18"/>
              </w:rPr>
              <w:t>表中第</w:t>
            </w:r>
            <w:r>
              <w:rPr>
                <w:rFonts w:hint="eastAsia" w:hAnsi="宋体"/>
                <w:color w:val="000000"/>
                <w:sz w:val="18"/>
                <w:szCs w:val="18"/>
              </w:rPr>
              <w:t>4项</w:t>
            </w:r>
          </w:p>
        </w:tc>
        <w:tc>
          <w:tcPr>
            <w:tcW w:w="1199" w:type="pct"/>
            <w:vAlign w:val="center"/>
          </w:tcPr>
          <w:p>
            <w:pPr>
              <w:pStyle w:val="26"/>
              <w:ind w:firstLine="0" w:firstLineChars="0"/>
              <w:jc w:val="center"/>
              <w:rPr>
                <w:rFonts w:hAnsi="宋体"/>
                <w:color w:val="000000"/>
                <w:sz w:val="18"/>
                <w:szCs w:val="18"/>
              </w:rPr>
            </w:pPr>
            <w:r>
              <w:rPr>
                <w:rFonts w:hAnsi="宋体"/>
                <w:color w:val="000000"/>
                <w:sz w:val="18"/>
                <w:szCs w:val="18"/>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pPr>
              <w:pStyle w:val="26"/>
              <w:ind w:firstLine="0" w:firstLineChars="0"/>
              <w:jc w:val="center"/>
              <w:rPr>
                <w:rFonts w:hAnsi="宋体"/>
                <w:color w:val="000000"/>
                <w:sz w:val="18"/>
                <w:szCs w:val="18"/>
              </w:rPr>
            </w:pPr>
            <w:r>
              <w:rPr>
                <w:rFonts w:hAnsi="宋体"/>
                <w:color w:val="000000"/>
                <w:sz w:val="18"/>
                <w:szCs w:val="18"/>
              </w:rPr>
              <w:t>5</w:t>
            </w:r>
          </w:p>
        </w:tc>
        <w:tc>
          <w:tcPr>
            <w:tcW w:w="1578" w:type="pct"/>
            <w:vAlign w:val="center"/>
          </w:tcPr>
          <w:p>
            <w:pPr>
              <w:pStyle w:val="26"/>
              <w:ind w:firstLine="0" w:firstLineChars="0"/>
              <w:jc w:val="center"/>
              <w:rPr>
                <w:rFonts w:hAnsi="宋体"/>
                <w:color w:val="000000"/>
                <w:sz w:val="18"/>
                <w:szCs w:val="18"/>
              </w:rPr>
            </w:pPr>
            <w:r>
              <w:rPr>
                <w:rFonts w:hint="eastAsia" w:hAnsi="宋体"/>
                <w:color w:val="000000"/>
                <w:sz w:val="18"/>
                <w:szCs w:val="18"/>
              </w:rPr>
              <w:t>弯曲度</w:t>
            </w:r>
          </w:p>
        </w:tc>
        <w:tc>
          <w:tcPr>
            <w:tcW w:w="826" w:type="pct"/>
            <w:vMerge w:val="continue"/>
            <w:vAlign w:val="center"/>
          </w:tcPr>
          <w:p>
            <w:pPr>
              <w:pStyle w:val="26"/>
              <w:ind w:firstLine="0" w:firstLineChars="0"/>
              <w:jc w:val="center"/>
              <w:rPr>
                <w:rFonts w:hAnsi="宋体"/>
                <w:color w:val="000000"/>
                <w:sz w:val="18"/>
                <w:szCs w:val="18"/>
              </w:rPr>
            </w:pPr>
          </w:p>
        </w:tc>
        <w:tc>
          <w:tcPr>
            <w:tcW w:w="1073" w:type="pct"/>
            <w:vAlign w:val="center"/>
          </w:tcPr>
          <w:p>
            <w:pPr>
              <w:pStyle w:val="26"/>
              <w:ind w:firstLine="0" w:firstLineChars="0"/>
              <w:jc w:val="center"/>
              <w:rPr>
                <w:rFonts w:hAnsi="宋体"/>
                <w:color w:val="000000"/>
                <w:sz w:val="18"/>
                <w:szCs w:val="18"/>
              </w:rPr>
            </w:pPr>
            <w:r>
              <w:rPr>
                <w:rFonts w:hAnsi="宋体"/>
                <w:color w:val="000000"/>
                <w:sz w:val="18"/>
                <w:szCs w:val="18"/>
              </w:rPr>
              <w:t>5.5</w:t>
            </w:r>
            <w:r>
              <w:rPr>
                <w:rFonts w:hint="eastAsia" w:hAnsi="宋体"/>
                <w:color w:val="000000"/>
                <w:sz w:val="18"/>
                <w:szCs w:val="18"/>
              </w:rPr>
              <w:t>的</w:t>
            </w:r>
            <w:r>
              <w:rPr>
                <w:rFonts w:hAnsi="宋体"/>
                <w:color w:val="000000"/>
                <w:sz w:val="18"/>
                <w:szCs w:val="18"/>
              </w:rPr>
              <w:t>表中第5</w:t>
            </w:r>
            <w:r>
              <w:rPr>
                <w:rFonts w:hint="eastAsia" w:hAnsi="宋体"/>
                <w:color w:val="000000"/>
                <w:sz w:val="18"/>
                <w:szCs w:val="18"/>
              </w:rPr>
              <w:t>项</w:t>
            </w:r>
          </w:p>
        </w:tc>
        <w:tc>
          <w:tcPr>
            <w:tcW w:w="1199" w:type="pct"/>
            <w:vAlign w:val="center"/>
          </w:tcPr>
          <w:p>
            <w:pPr>
              <w:pStyle w:val="26"/>
              <w:ind w:firstLine="0" w:firstLineChars="0"/>
              <w:jc w:val="center"/>
              <w:rPr>
                <w:rFonts w:hAnsi="宋体"/>
                <w:color w:val="000000"/>
                <w:sz w:val="18"/>
                <w:szCs w:val="18"/>
              </w:rPr>
            </w:pPr>
            <w:r>
              <w:rPr>
                <w:rFonts w:hAnsi="宋体"/>
                <w:color w:val="000000"/>
                <w:sz w:val="18"/>
                <w:szCs w:val="18"/>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pPr>
              <w:pStyle w:val="26"/>
              <w:ind w:firstLine="0" w:firstLineChars="0"/>
              <w:jc w:val="center"/>
              <w:rPr>
                <w:rFonts w:hAnsi="宋体"/>
                <w:color w:val="000000"/>
                <w:sz w:val="18"/>
                <w:szCs w:val="18"/>
              </w:rPr>
            </w:pPr>
            <w:r>
              <w:rPr>
                <w:rFonts w:hAnsi="宋体"/>
                <w:color w:val="000000"/>
                <w:sz w:val="18"/>
                <w:szCs w:val="18"/>
              </w:rPr>
              <w:t>6</w:t>
            </w:r>
          </w:p>
        </w:tc>
        <w:tc>
          <w:tcPr>
            <w:tcW w:w="1578" w:type="pct"/>
            <w:vAlign w:val="center"/>
          </w:tcPr>
          <w:p>
            <w:pPr>
              <w:pStyle w:val="26"/>
              <w:ind w:firstLine="0" w:firstLineChars="0"/>
              <w:jc w:val="center"/>
              <w:rPr>
                <w:rFonts w:hAnsi="宋体"/>
                <w:color w:val="000000"/>
                <w:sz w:val="18"/>
                <w:szCs w:val="18"/>
              </w:rPr>
            </w:pPr>
            <w:r>
              <w:rPr>
                <w:rFonts w:hint="eastAsia" w:hAnsi="宋体"/>
                <w:color w:val="000000"/>
                <w:sz w:val="18"/>
                <w:szCs w:val="18"/>
              </w:rPr>
              <w:t>翘曲度</w:t>
            </w:r>
          </w:p>
        </w:tc>
        <w:tc>
          <w:tcPr>
            <w:tcW w:w="826" w:type="pct"/>
            <w:vMerge w:val="continue"/>
            <w:vAlign w:val="center"/>
          </w:tcPr>
          <w:p>
            <w:pPr>
              <w:pStyle w:val="26"/>
              <w:ind w:firstLine="0" w:firstLineChars="0"/>
              <w:jc w:val="center"/>
              <w:rPr>
                <w:rFonts w:hAnsi="宋体"/>
                <w:color w:val="000000"/>
                <w:sz w:val="18"/>
                <w:szCs w:val="18"/>
              </w:rPr>
            </w:pPr>
          </w:p>
        </w:tc>
        <w:tc>
          <w:tcPr>
            <w:tcW w:w="1073" w:type="pct"/>
            <w:vAlign w:val="center"/>
          </w:tcPr>
          <w:p>
            <w:pPr>
              <w:pStyle w:val="26"/>
              <w:ind w:firstLine="0" w:firstLineChars="0"/>
              <w:jc w:val="center"/>
              <w:rPr>
                <w:rFonts w:hAnsi="宋体"/>
                <w:color w:val="000000"/>
                <w:sz w:val="18"/>
                <w:szCs w:val="18"/>
              </w:rPr>
            </w:pPr>
            <w:r>
              <w:rPr>
                <w:rFonts w:hAnsi="宋体"/>
                <w:color w:val="000000"/>
                <w:sz w:val="18"/>
                <w:szCs w:val="18"/>
              </w:rPr>
              <w:t>5.5</w:t>
            </w:r>
            <w:r>
              <w:rPr>
                <w:rFonts w:hint="eastAsia" w:hAnsi="宋体"/>
                <w:color w:val="000000"/>
                <w:sz w:val="18"/>
                <w:szCs w:val="18"/>
              </w:rPr>
              <w:t>的</w:t>
            </w:r>
            <w:r>
              <w:rPr>
                <w:rFonts w:hAnsi="宋体"/>
                <w:color w:val="000000"/>
                <w:sz w:val="18"/>
                <w:szCs w:val="18"/>
              </w:rPr>
              <w:t>表中第6</w:t>
            </w:r>
            <w:r>
              <w:rPr>
                <w:rFonts w:hint="eastAsia" w:hAnsi="宋体"/>
                <w:color w:val="000000"/>
                <w:sz w:val="18"/>
                <w:szCs w:val="18"/>
              </w:rPr>
              <w:t>项</w:t>
            </w:r>
          </w:p>
        </w:tc>
        <w:tc>
          <w:tcPr>
            <w:tcW w:w="1199" w:type="pct"/>
            <w:vAlign w:val="center"/>
          </w:tcPr>
          <w:p>
            <w:pPr>
              <w:pStyle w:val="26"/>
              <w:ind w:firstLine="0" w:firstLineChars="0"/>
              <w:jc w:val="center"/>
              <w:rPr>
                <w:rFonts w:hAnsi="宋体"/>
                <w:color w:val="000000"/>
                <w:sz w:val="18"/>
                <w:szCs w:val="18"/>
              </w:rPr>
            </w:pPr>
            <w:r>
              <w:rPr>
                <w:rFonts w:hint="eastAsia" w:hAnsi="宋体"/>
                <w:color w:val="000000"/>
                <w:sz w:val="18"/>
                <w:szCs w:val="18"/>
              </w:rPr>
              <w:t>6</w:t>
            </w:r>
            <w:r>
              <w:rPr>
                <w:rFonts w:hAnsi="宋体"/>
                <w:color w:val="000000"/>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pPr>
              <w:pStyle w:val="26"/>
              <w:ind w:firstLine="0" w:firstLineChars="0"/>
              <w:jc w:val="center"/>
              <w:rPr>
                <w:rFonts w:hAnsi="宋体"/>
                <w:color w:val="000000"/>
                <w:sz w:val="18"/>
                <w:szCs w:val="18"/>
              </w:rPr>
            </w:pPr>
            <w:r>
              <w:rPr>
                <w:rFonts w:hint="eastAsia" w:hAnsi="宋体"/>
                <w:color w:val="000000"/>
                <w:sz w:val="18"/>
                <w:szCs w:val="18"/>
              </w:rPr>
              <w:t>7</w:t>
            </w:r>
          </w:p>
        </w:tc>
        <w:tc>
          <w:tcPr>
            <w:tcW w:w="1578" w:type="pct"/>
            <w:vAlign w:val="center"/>
          </w:tcPr>
          <w:p>
            <w:pPr>
              <w:pStyle w:val="26"/>
              <w:ind w:firstLine="0" w:firstLineChars="0"/>
              <w:jc w:val="center"/>
              <w:rPr>
                <w:rFonts w:hAnsi="宋体"/>
                <w:color w:val="000000"/>
                <w:sz w:val="18"/>
                <w:szCs w:val="18"/>
              </w:rPr>
            </w:pPr>
            <w:r>
              <w:rPr>
                <w:rFonts w:hint="eastAsia" w:hAnsi="宋体"/>
                <w:color w:val="000000"/>
                <w:sz w:val="18"/>
                <w:szCs w:val="18"/>
              </w:rPr>
              <w:t>表面质量</w:t>
            </w:r>
          </w:p>
        </w:tc>
        <w:tc>
          <w:tcPr>
            <w:tcW w:w="826" w:type="pct"/>
            <w:vMerge w:val="continue"/>
            <w:vAlign w:val="center"/>
          </w:tcPr>
          <w:p>
            <w:pPr>
              <w:pStyle w:val="26"/>
              <w:ind w:firstLine="0" w:firstLineChars="0"/>
              <w:jc w:val="center"/>
              <w:rPr>
                <w:rFonts w:hAnsi="宋体"/>
                <w:color w:val="000000"/>
                <w:sz w:val="18"/>
                <w:szCs w:val="18"/>
              </w:rPr>
            </w:pPr>
          </w:p>
        </w:tc>
        <w:tc>
          <w:tcPr>
            <w:tcW w:w="1073" w:type="pct"/>
            <w:vAlign w:val="center"/>
          </w:tcPr>
          <w:p>
            <w:pPr>
              <w:pStyle w:val="26"/>
              <w:ind w:firstLine="0" w:firstLineChars="0"/>
              <w:jc w:val="center"/>
              <w:rPr>
                <w:rFonts w:hAnsi="宋体"/>
                <w:color w:val="000000"/>
                <w:sz w:val="18"/>
                <w:szCs w:val="18"/>
              </w:rPr>
            </w:pPr>
            <w:r>
              <w:rPr>
                <w:rFonts w:hAnsi="宋体"/>
                <w:color w:val="000000"/>
                <w:sz w:val="18"/>
                <w:szCs w:val="18"/>
              </w:rPr>
              <w:t>5.7</w:t>
            </w:r>
          </w:p>
        </w:tc>
        <w:tc>
          <w:tcPr>
            <w:tcW w:w="1199" w:type="pct"/>
            <w:vAlign w:val="center"/>
          </w:tcPr>
          <w:p>
            <w:pPr>
              <w:pStyle w:val="26"/>
              <w:ind w:firstLine="0" w:firstLineChars="0"/>
              <w:jc w:val="center"/>
              <w:rPr>
                <w:rFonts w:hAnsi="宋体"/>
                <w:color w:val="000000"/>
                <w:sz w:val="18"/>
                <w:szCs w:val="18"/>
              </w:rPr>
            </w:pPr>
            <w:r>
              <w:rPr>
                <w:rFonts w:hint="eastAsia" w:hAnsi="宋体"/>
                <w:color w:val="000000"/>
                <w:sz w:val="18"/>
                <w:szCs w:val="18"/>
              </w:rPr>
              <w:t>6</w:t>
            </w:r>
            <w:r>
              <w:rPr>
                <w:rFonts w:hAnsi="宋体"/>
                <w:color w:val="000000"/>
                <w:sz w:val="18"/>
                <w:szCs w:val="18"/>
              </w:rPr>
              <w:t>.7</w:t>
            </w:r>
          </w:p>
        </w:tc>
      </w:tr>
    </w:tbl>
    <w:p>
      <w:pPr>
        <w:pStyle w:val="46"/>
        <w:ind w:left="0"/>
      </w:pPr>
      <w:r>
        <w:rPr>
          <w:rFonts w:hint="eastAsia"/>
        </w:rPr>
        <w:t>检验结果的判定</w:t>
      </w:r>
    </w:p>
    <w:p>
      <w:pPr>
        <w:pStyle w:val="67"/>
        <w:numPr>
          <w:ilvl w:val="0"/>
          <w:numId w:val="0"/>
        </w:numPr>
        <w:ind w:firstLine="420" w:firstLineChars="200"/>
        <w:rPr>
          <w:color w:val="000000"/>
        </w:rPr>
      </w:pPr>
      <w:r>
        <w:rPr>
          <w:rFonts w:hint="eastAsia"/>
          <w:color w:val="000000"/>
        </w:rPr>
        <w:t>若表</w:t>
      </w:r>
      <w:r>
        <w:rPr>
          <w:color w:val="000000"/>
        </w:rPr>
        <w:t>8</w:t>
      </w:r>
      <w:r>
        <w:rPr>
          <w:rFonts w:hint="eastAsia"/>
          <w:color w:val="000000"/>
        </w:rPr>
        <w:t>中</w:t>
      </w:r>
      <w:r>
        <w:rPr>
          <w:color w:val="000000"/>
        </w:rPr>
        <w:t>的6</w:t>
      </w:r>
      <w:r>
        <w:rPr>
          <w:rFonts w:hint="eastAsia"/>
          <w:color w:val="000000"/>
        </w:rPr>
        <w:t>项检验</w:t>
      </w:r>
      <w:r>
        <w:rPr>
          <w:color w:val="000000"/>
        </w:rPr>
        <w:t>中有一项检验不合格，则判定</w:t>
      </w:r>
      <w:r>
        <w:rPr>
          <w:rFonts w:hint="eastAsia"/>
          <w:color w:val="000000"/>
        </w:rPr>
        <w:t>该半绝缘砷化镓单晶衬底片</w:t>
      </w:r>
      <w:r>
        <w:rPr>
          <w:color w:val="000000"/>
        </w:rPr>
        <w:t>检验批不合格</w:t>
      </w:r>
      <w:r>
        <w:rPr>
          <w:rFonts w:hint="eastAsia"/>
          <w:color w:val="000000"/>
        </w:rPr>
        <w:t>。</w:t>
      </w:r>
    </w:p>
    <w:p>
      <w:pPr>
        <w:pStyle w:val="67"/>
        <w:numPr>
          <w:ilvl w:val="0"/>
          <w:numId w:val="0"/>
        </w:numPr>
        <w:ind w:firstLine="420" w:firstLineChars="200"/>
        <w:rPr>
          <w:color w:val="000000"/>
        </w:rPr>
      </w:pPr>
      <w:r>
        <w:rPr>
          <w:rFonts w:hint="eastAsia"/>
          <w:color w:val="000000"/>
        </w:rPr>
        <w:t>表</w:t>
      </w:r>
      <w:r>
        <w:rPr>
          <w:color w:val="000000"/>
        </w:rPr>
        <w:t>9</w:t>
      </w:r>
      <w:r>
        <w:rPr>
          <w:rFonts w:hint="eastAsia"/>
          <w:color w:val="000000"/>
        </w:rPr>
        <w:t>中</w:t>
      </w:r>
      <w:r>
        <w:rPr>
          <w:color w:val="000000"/>
        </w:rPr>
        <w:t>的项目按</w:t>
      </w:r>
      <w:r>
        <w:rPr>
          <w:rFonts w:hint="eastAsia"/>
          <w:color w:val="000000"/>
        </w:rPr>
        <w:t>G</w:t>
      </w:r>
      <w:r>
        <w:rPr>
          <w:color w:val="000000"/>
        </w:rPr>
        <w:t>B</w:t>
      </w:r>
      <w:r>
        <w:rPr>
          <w:rFonts w:hint="eastAsia"/>
          <w:color w:val="000000"/>
        </w:rPr>
        <w:t>/</w:t>
      </w:r>
      <w:r>
        <w:rPr>
          <w:color w:val="000000"/>
        </w:rPr>
        <w:t>T2828 IL=</w:t>
      </w:r>
      <w:r>
        <w:rPr>
          <w:color w:val="000000"/>
        </w:rPr>
        <w:fldChar w:fldCharType="begin"/>
      </w:r>
      <w:r>
        <w:rPr>
          <w:color w:val="000000"/>
        </w:rPr>
        <w:instrText xml:space="preserve"> </w:instrText>
      </w:r>
      <w:r>
        <w:rPr>
          <w:rFonts w:hint="eastAsia"/>
          <w:color w:val="000000"/>
        </w:rPr>
        <w:instrText xml:space="preserve">= 2 \* ROMAN</w:instrText>
      </w:r>
      <w:r>
        <w:rPr>
          <w:color w:val="000000"/>
        </w:rPr>
        <w:instrText xml:space="preserve"> </w:instrText>
      </w:r>
      <w:r>
        <w:rPr>
          <w:color w:val="000000"/>
        </w:rPr>
        <w:fldChar w:fldCharType="separate"/>
      </w:r>
      <w:r>
        <w:rPr>
          <w:color w:val="000000"/>
        </w:rPr>
        <w:t>II</w:t>
      </w:r>
      <w:r>
        <w:rPr>
          <w:color w:val="000000"/>
        </w:rPr>
        <w:fldChar w:fldCharType="end"/>
      </w:r>
      <w:r>
        <w:rPr>
          <w:color w:val="000000"/>
        </w:rPr>
        <w:t xml:space="preserve"> AQL</w:t>
      </w:r>
      <w:r>
        <w:rPr>
          <w:rFonts w:hint="eastAsia"/>
          <w:color w:val="000000"/>
        </w:rPr>
        <w:t>=</w:t>
      </w:r>
      <w:r>
        <w:rPr>
          <w:color w:val="000000"/>
        </w:rPr>
        <w:t>1.0进行抽样检验判定</w:t>
      </w:r>
      <w:r>
        <w:rPr>
          <w:rFonts w:hint="eastAsia"/>
          <w:color w:val="000000"/>
        </w:rPr>
        <w:t>，</w:t>
      </w:r>
      <w:r>
        <w:rPr>
          <w:color w:val="000000"/>
        </w:rPr>
        <w:t>如中有任何一项检验不合格，</w:t>
      </w:r>
      <w:r>
        <w:rPr>
          <w:rFonts w:hint="eastAsia"/>
          <w:color w:val="000000"/>
        </w:rPr>
        <w:t>供方</w:t>
      </w:r>
      <w:r>
        <w:rPr>
          <w:color w:val="000000"/>
        </w:rPr>
        <w:t>可对非破坏性检验项目中的不合格项进行逐片检验</w:t>
      </w:r>
      <w:r>
        <w:rPr>
          <w:rFonts w:hint="eastAsia"/>
          <w:color w:val="000000"/>
        </w:rPr>
        <w:t>，</w:t>
      </w:r>
      <w:r>
        <w:rPr>
          <w:color w:val="000000"/>
        </w:rPr>
        <w:t>除去不合格品后</w:t>
      </w:r>
      <w:r>
        <w:rPr>
          <w:rFonts w:hint="eastAsia"/>
          <w:color w:val="000000"/>
        </w:rPr>
        <w:t>，</w:t>
      </w:r>
      <w:r>
        <w:rPr>
          <w:color w:val="000000"/>
        </w:rPr>
        <w:t>合格品可以重新组批</w:t>
      </w:r>
      <w:r>
        <w:rPr>
          <w:rFonts w:hint="eastAsia"/>
          <w:color w:val="000000"/>
        </w:rPr>
        <w:t>。</w:t>
      </w:r>
    </w:p>
    <w:bookmarkEnd w:id="19"/>
    <w:p>
      <w:pPr>
        <w:pStyle w:val="49"/>
        <w:jc w:val="left"/>
      </w:pPr>
      <w:bookmarkStart w:id="20" w:name="_Toc41299125"/>
      <w:bookmarkStart w:id="21" w:name="_Toc58915729"/>
      <w:r>
        <w:rPr>
          <w:rFonts w:hint="eastAsia"/>
        </w:rPr>
        <w:t>标志、包装、运输、</w:t>
      </w:r>
      <w:bookmarkEnd w:id="20"/>
      <w:bookmarkEnd w:id="21"/>
      <w:r>
        <w:rPr>
          <w:rFonts w:hint="eastAsia"/>
        </w:rPr>
        <w:t>贮存和随行文件</w:t>
      </w:r>
    </w:p>
    <w:p>
      <w:pPr>
        <w:pStyle w:val="46"/>
        <w:ind w:left="0"/>
      </w:pPr>
      <w:bookmarkStart w:id="22" w:name="_Hlk50798143"/>
      <w:r>
        <w:rPr>
          <w:rFonts w:hint="eastAsia"/>
        </w:rPr>
        <w:t>标志</w:t>
      </w:r>
    </w:p>
    <w:p>
      <w:pPr>
        <w:pStyle w:val="50"/>
        <w:spacing w:before="156" w:after="156"/>
        <w:rPr>
          <w:rFonts w:hAnsi="黑体"/>
        </w:rPr>
      </w:pPr>
      <w:r>
        <w:t>在检验合格的</w:t>
      </w:r>
      <w:r>
        <w:rPr>
          <w:rFonts w:hint="eastAsia"/>
        </w:rPr>
        <w:t>半绝缘砷化镓单晶衬底片外</w:t>
      </w:r>
      <w:r>
        <w:t>包装</w:t>
      </w:r>
      <w:r>
        <w:rPr>
          <w:rFonts w:hint="eastAsia"/>
        </w:rPr>
        <w:t>袋</w:t>
      </w:r>
      <w:r>
        <w:t>上张贴标签</w:t>
      </w:r>
      <w:r>
        <w:rPr>
          <w:rFonts w:hint="eastAsia"/>
        </w:rPr>
        <w:t>，其上</w:t>
      </w:r>
      <w:r>
        <w:t>注明：</w:t>
      </w:r>
    </w:p>
    <w:p>
      <w:pPr>
        <w:pStyle w:val="67"/>
        <w:numPr>
          <w:ilvl w:val="0"/>
          <w:numId w:val="20"/>
        </w:numPr>
        <w:rPr>
          <w:color w:val="000000"/>
        </w:rPr>
      </w:pPr>
      <w:r>
        <w:rPr>
          <w:rFonts w:hint="eastAsia"/>
          <w:color w:val="000000"/>
        </w:rPr>
        <w:t>产品名称；</w:t>
      </w:r>
    </w:p>
    <w:p>
      <w:pPr>
        <w:pStyle w:val="67"/>
        <w:numPr>
          <w:ilvl w:val="0"/>
          <w:numId w:val="20"/>
        </w:numPr>
        <w:rPr>
          <w:color w:val="000000"/>
        </w:rPr>
      </w:pPr>
      <w:r>
        <w:rPr>
          <w:rFonts w:hint="eastAsia"/>
          <w:color w:val="000000"/>
        </w:rPr>
        <w:t>产品批号；</w:t>
      </w:r>
    </w:p>
    <w:p>
      <w:pPr>
        <w:pStyle w:val="67"/>
        <w:numPr>
          <w:ilvl w:val="0"/>
          <w:numId w:val="20"/>
        </w:numPr>
        <w:rPr>
          <w:color w:val="000000"/>
        </w:rPr>
      </w:pPr>
      <w:r>
        <w:rPr>
          <w:rFonts w:hint="eastAsia"/>
          <w:color w:val="000000"/>
        </w:rPr>
        <w:t>产品数量；</w:t>
      </w:r>
    </w:p>
    <w:p>
      <w:pPr>
        <w:pStyle w:val="67"/>
        <w:numPr>
          <w:ilvl w:val="0"/>
          <w:numId w:val="20"/>
        </w:numPr>
        <w:rPr>
          <w:color w:val="000000"/>
        </w:rPr>
      </w:pPr>
      <w:r>
        <w:rPr>
          <w:rFonts w:hint="eastAsia"/>
          <w:color w:val="000000"/>
        </w:rPr>
        <w:t>生产日期；</w:t>
      </w:r>
    </w:p>
    <w:p>
      <w:pPr>
        <w:pStyle w:val="67"/>
        <w:numPr>
          <w:ilvl w:val="0"/>
          <w:numId w:val="20"/>
        </w:numPr>
        <w:rPr>
          <w:color w:val="000000"/>
        </w:rPr>
      </w:pPr>
      <w:r>
        <w:rPr>
          <w:color w:val="000000"/>
        </w:rPr>
        <w:t>其他</w:t>
      </w:r>
      <w:r>
        <w:rPr>
          <w:rFonts w:hint="eastAsia"/>
          <w:color w:val="000000"/>
        </w:rPr>
        <w:t>。</w:t>
      </w:r>
    </w:p>
    <w:p>
      <w:pPr>
        <w:pStyle w:val="67"/>
        <w:numPr>
          <w:ilvl w:val="0"/>
          <w:numId w:val="0"/>
        </w:numPr>
        <w:rPr>
          <w:rFonts w:ascii="黑体" w:eastAsia="黑体"/>
        </w:rPr>
      </w:pPr>
      <w:r>
        <w:rPr>
          <w:rFonts w:hint="eastAsia" w:ascii="黑体" w:eastAsia="黑体"/>
        </w:rPr>
        <w:t>8</w:t>
      </w:r>
      <w:r>
        <w:rPr>
          <w:rFonts w:ascii="黑体" w:eastAsia="黑体"/>
        </w:rPr>
        <w:t>.1.2</w:t>
      </w:r>
      <w:r>
        <w:rPr>
          <w:rFonts w:hint="eastAsia" w:ascii="黑体" w:eastAsia="黑体"/>
        </w:rPr>
        <w:t>产品应</w:t>
      </w:r>
      <w:r>
        <w:rPr>
          <w:rFonts w:ascii="黑体" w:eastAsia="黑体"/>
        </w:rPr>
        <w:t>成</w:t>
      </w:r>
      <w:r>
        <w:rPr>
          <w:rFonts w:hint="eastAsia" w:ascii="黑体" w:eastAsia="黑体"/>
        </w:rPr>
        <w:t>箱包装</w:t>
      </w:r>
      <w:r>
        <w:rPr>
          <w:rFonts w:ascii="黑体" w:eastAsia="黑体"/>
        </w:rPr>
        <w:t>，每箱</w:t>
      </w:r>
      <w:r>
        <w:rPr>
          <w:rFonts w:hint="eastAsia" w:ascii="黑体" w:eastAsia="黑体"/>
        </w:rPr>
        <w:t>外侧应注明</w:t>
      </w:r>
      <w:r>
        <w:rPr>
          <w:rFonts w:ascii="黑体" w:eastAsia="黑体"/>
        </w:rPr>
        <w:t>：</w:t>
      </w:r>
    </w:p>
    <w:p>
      <w:pPr>
        <w:pStyle w:val="67"/>
        <w:numPr>
          <w:ilvl w:val="0"/>
          <w:numId w:val="21"/>
        </w:numPr>
        <w:rPr>
          <w:color w:val="000000"/>
        </w:rPr>
      </w:pPr>
      <w:r>
        <w:rPr>
          <w:rFonts w:hint="eastAsia"/>
          <w:color w:val="000000"/>
        </w:rPr>
        <w:t>供方名称、</w:t>
      </w:r>
      <w:r>
        <w:rPr>
          <w:color w:val="000000"/>
        </w:rPr>
        <w:t>地址</w:t>
      </w:r>
      <w:r>
        <w:rPr>
          <w:rFonts w:hint="eastAsia"/>
          <w:color w:val="000000"/>
        </w:rPr>
        <w:t>、</w:t>
      </w:r>
      <w:r>
        <w:rPr>
          <w:color w:val="000000"/>
        </w:rPr>
        <w:t>电话</w:t>
      </w:r>
      <w:r>
        <w:rPr>
          <w:rFonts w:hint="eastAsia"/>
          <w:color w:val="000000"/>
        </w:rPr>
        <w:t>、</w:t>
      </w:r>
      <w:r>
        <w:rPr>
          <w:color w:val="000000"/>
        </w:rPr>
        <w:t>商标；</w:t>
      </w:r>
    </w:p>
    <w:p>
      <w:pPr>
        <w:pStyle w:val="67"/>
        <w:numPr>
          <w:ilvl w:val="0"/>
          <w:numId w:val="21"/>
        </w:numPr>
        <w:rPr>
          <w:color w:val="000000"/>
        </w:rPr>
      </w:pPr>
      <w:r>
        <w:rPr>
          <w:rFonts w:hint="eastAsia"/>
          <w:color w:val="000000"/>
        </w:rPr>
        <w:t>产品名称；</w:t>
      </w:r>
    </w:p>
    <w:p>
      <w:pPr>
        <w:pStyle w:val="67"/>
        <w:numPr>
          <w:ilvl w:val="0"/>
          <w:numId w:val="21"/>
        </w:numPr>
        <w:rPr>
          <w:color w:val="000000"/>
        </w:rPr>
      </w:pPr>
      <w:r>
        <w:rPr>
          <w:rFonts w:hint="eastAsia"/>
          <w:color w:val="000000"/>
        </w:rPr>
        <w:t>产品数量或净重；</w:t>
      </w:r>
    </w:p>
    <w:p>
      <w:pPr>
        <w:pStyle w:val="67"/>
        <w:numPr>
          <w:ilvl w:val="0"/>
          <w:numId w:val="21"/>
        </w:numPr>
        <w:rPr>
          <w:color w:val="000000"/>
        </w:rPr>
      </w:pPr>
      <w:r>
        <w:rPr>
          <w:rFonts w:hint="eastAsia"/>
          <w:color w:val="000000"/>
        </w:rPr>
        <w:t>“小心轻放”“防潮”“易碎”“堆叠层数”标志</w:t>
      </w:r>
      <w:r>
        <w:rPr>
          <w:color w:val="000000"/>
        </w:rPr>
        <w:t>或字样</w:t>
      </w:r>
      <w:r>
        <w:rPr>
          <w:rFonts w:hint="eastAsia"/>
          <w:color w:val="000000"/>
        </w:rPr>
        <w:t>；</w:t>
      </w:r>
    </w:p>
    <w:p>
      <w:pPr>
        <w:pStyle w:val="67"/>
        <w:numPr>
          <w:ilvl w:val="0"/>
          <w:numId w:val="21"/>
        </w:numPr>
        <w:rPr>
          <w:color w:val="000000"/>
        </w:rPr>
      </w:pPr>
      <w:r>
        <w:rPr>
          <w:rFonts w:hint="eastAsia"/>
          <w:color w:val="000000"/>
        </w:rPr>
        <w:t>其他。</w:t>
      </w:r>
    </w:p>
    <w:p>
      <w:pPr>
        <w:pStyle w:val="67"/>
        <w:numPr>
          <w:ilvl w:val="0"/>
          <w:numId w:val="0"/>
        </w:numPr>
        <w:rPr>
          <w:color w:val="000000"/>
        </w:rPr>
      </w:pPr>
    </w:p>
    <w:p>
      <w:pPr>
        <w:pStyle w:val="46"/>
        <w:numPr>
          <w:ilvl w:val="0"/>
          <w:numId w:val="0"/>
        </w:numPr>
        <w:rPr>
          <w:color w:val="000000"/>
        </w:rPr>
      </w:pPr>
      <w:bookmarkStart w:id="23" w:name="_Hlk51325480"/>
      <w:bookmarkStart w:id="24" w:name="_Hlk51325470"/>
      <w:r>
        <w:rPr>
          <w:rFonts w:hint="eastAsia"/>
          <w:color w:val="000000"/>
        </w:rPr>
        <w:t>8</w:t>
      </w:r>
      <w:r>
        <w:rPr>
          <w:color w:val="000000"/>
        </w:rPr>
        <w:t>.2</w:t>
      </w:r>
      <w:r>
        <w:rPr>
          <w:rFonts w:hint="eastAsia"/>
          <w:color w:val="000000"/>
        </w:rPr>
        <w:t>包装</w:t>
      </w:r>
    </w:p>
    <w:p>
      <w:pPr>
        <w:pStyle w:val="67"/>
        <w:numPr>
          <w:ilvl w:val="0"/>
          <w:numId w:val="0"/>
        </w:numPr>
        <w:ind w:left="-141" w:leftChars="-67" w:firstLine="140" w:firstLineChars="67"/>
        <w:rPr>
          <w:color w:val="000000"/>
        </w:rPr>
      </w:pPr>
      <w:r>
        <w:rPr>
          <w:rFonts w:hint="eastAsia"/>
          <w:color w:val="000000"/>
        </w:rPr>
        <w:t>8.2.1单片圆盒包装：清洗干净的衬底片正表面朝下放入特制的聚乙烯/PC圆形包装盒里，每盒1片，放置压环合盖后用塑料袋、铝箔袋分别充氮气密封，再将包装盒放入四周有珍珠棉或海绵防护的包装箱中封箱。</w:t>
      </w:r>
    </w:p>
    <w:p>
      <w:pPr>
        <w:pStyle w:val="67"/>
        <w:numPr>
          <w:ilvl w:val="0"/>
          <w:numId w:val="0"/>
        </w:numPr>
        <w:ind w:left="-141" w:leftChars="-67" w:firstLine="140" w:firstLineChars="67"/>
        <w:rPr>
          <w:color w:val="000000"/>
        </w:rPr>
      </w:pPr>
      <w:r>
        <w:rPr>
          <w:rFonts w:hint="eastAsia"/>
          <w:color w:val="000000"/>
        </w:rPr>
        <w:t>8</w:t>
      </w:r>
      <w:r>
        <w:rPr>
          <w:color w:val="000000"/>
        </w:rPr>
        <w:t>.2.2卡塞盒包装</w:t>
      </w:r>
      <w:r>
        <w:rPr>
          <w:rFonts w:hint="eastAsia"/>
          <w:color w:val="000000"/>
        </w:rPr>
        <w:t>：清洗干净的衬底片依序放入特制的聚乙烯卡塞盒中，每个卡塞放置2</w:t>
      </w:r>
      <w:r>
        <w:rPr>
          <w:color w:val="000000"/>
        </w:rPr>
        <w:t>5片</w:t>
      </w:r>
      <w:r>
        <w:rPr>
          <w:rFonts w:hint="eastAsia"/>
          <w:color w:val="000000"/>
        </w:rPr>
        <w:t>或根据客户要求放置数量，正表面朝</w:t>
      </w:r>
      <w:r>
        <w:rPr>
          <w:color w:val="000000"/>
        </w:rPr>
        <w:t>U端</w:t>
      </w:r>
      <w:r>
        <w:rPr>
          <w:rFonts w:hint="eastAsia"/>
          <w:color w:val="000000"/>
        </w:rPr>
        <w:t>，</w:t>
      </w:r>
      <w:r>
        <w:rPr>
          <w:color w:val="000000"/>
        </w:rPr>
        <w:t>背面朝</w:t>
      </w:r>
      <w:r>
        <w:rPr>
          <w:rFonts w:hint="eastAsia"/>
          <w:color w:val="000000"/>
        </w:rPr>
        <w:t>H端，合盖后用塑料袋、铝箔袋分别充氮气密封，然后再将卡塞盒放入四周有珍珠棉或海绵防护的包装箱中封箱。</w:t>
      </w:r>
    </w:p>
    <w:p>
      <w:pPr>
        <w:pStyle w:val="67"/>
        <w:numPr>
          <w:ilvl w:val="0"/>
          <w:numId w:val="0"/>
        </w:numPr>
        <w:ind w:left="-141" w:leftChars="-67" w:firstLine="140" w:firstLineChars="67"/>
        <w:rPr>
          <w:color w:val="000000"/>
        </w:rPr>
      </w:pPr>
      <w:r>
        <w:rPr>
          <w:rFonts w:hint="eastAsia"/>
          <w:color w:val="000000"/>
        </w:rPr>
        <w:t>8</w:t>
      </w:r>
      <w:r>
        <w:rPr>
          <w:color w:val="000000"/>
        </w:rPr>
        <w:t>.2.3</w:t>
      </w:r>
      <w:r>
        <w:rPr>
          <w:rFonts w:hint="eastAsia"/>
          <w:color w:val="000000"/>
        </w:rPr>
        <w:t>产品的包装也可由供需双方协商确定。</w:t>
      </w:r>
    </w:p>
    <w:bookmarkEnd w:id="23"/>
    <w:p>
      <w:pPr>
        <w:pStyle w:val="46"/>
        <w:numPr>
          <w:ilvl w:val="0"/>
          <w:numId w:val="0"/>
        </w:numPr>
        <w:ind w:leftChars="-67" w:hanging="140" w:hangingChars="67"/>
        <w:rPr>
          <w:color w:val="000000"/>
        </w:rPr>
      </w:pPr>
      <w:bookmarkStart w:id="25" w:name="_Hlk51323546"/>
      <w:r>
        <w:rPr>
          <w:rFonts w:hint="eastAsia"/>
          <w:color w:val="000000"/>
        </w:rPr>
        <w:t>8</w:t>
      </w:r>
      <w:r>
        <w:rPr>
          <w:color w:val="000000"/>
        </w:rPr>
        <w:t>.3</w:t>
      </w:r>
      <w:r>
        <w:rPr>
          <w:rFonts w:hint="eastAsia"/>
          <w:color w:val="000000"/>
        </w:rPr>
        <w:t>运输</w:t>
      </w:r>
    </w:p>
    <w:p>
      <w:pPr>
        <w:pStyle w:val="26"/>
        <w:jc w:val="left"/>
        <w:rPr>
          <w:color w:val="000000"/>
        </w:rPr>
      </w:pPr>
      <w:r>
        <w:rPr>
          <w:rFonts w:hint="eastAsia"/>
          <w:color w:val="000000"/>
        </w:rPr>
        <w:t>产品在运输过程中应轻装轻卸，勿压勿挤，并采取防震、防潮措施。</w:t>
      </w:r>
    </w:p>
    <w:bookmarkEnd w:id="25"/>
    <w:p>
      <w:pPr>
        <w:pStyle w:val="46"/>
        <w:numPr>
          <w:ilvl w:val="0"/>
          <w:numId w:val="0"/>
        </w:numPr>
        <w:ind w:leftChars="-67" w:hanging="140" w:hangingChars="67"/>
        <w:rPr>
          <w:color w:val="000000"/>
        </w:rPr>
      </w:pPr>
      <w:bookmarkStart w:id="26" w:name="_Hlk51325504"/>
      <w:r>
        <w:rPr>
          <w:rFonts w:hint="eastAsia"/>
          <w:color w:val="000000"/>
        </w:rPr>
        <w:t>8</w:t>
      </w:r>
      <w:r>
        <w:rPr>
          <w:color w:val="000000"/>
        </w:rPr>
        <w:t>.4</w:t>
      </w:r>
      <w:r>
        <w:rPr>
          <w:rFonts w:hint="eastAsia"/>
          <w:color w:val="000000"/>
        </w:rPr>
        <w:t>贮存</w:t>
      </w:r>
    </w:p>
    <w:p>
      <w:pPr>
        <w:pStyle w:val="26"/>
        <w:jc w:val="left"/>
        <w:rPr>
          <w:color w:val="000000"/>
        </w:rPr>
      </w:pPr>
      <w:r>
        <w:rPr>
          <w:rFonts w:hint="eastAsia"/>
          <w:color w:val="000000"/>
        </w:rPr>
        <w:t>产品应贮存在清洁、干燥的环境中。</w:t>
      </w:r>
      <w:bookmarkEnd w:id="24"/>
      <w:bookmarkEnd w:id="26"/>
    </w:p>
    <w:p>
      <w:pPr>
        <w:pStyle w:val="46"/>
        <w:numPr>
          <w:ilvl w:val="0"/>
          <w:numId w:val="0"/>
        </w:numPr>
        <w:ind w:leftChars="-67" w:hanging="140" w:hangingChars="67"/>
        <w:rPr>
          <w:color w:val="000000"/>
        </w:rPr>
      </w:pPr>
      <w:r>
        <w:rPr>
          <w:rFonts w:hint="eastAsia"/>
          <w:color w:val="000000"/>
        </w:rPr>
        <w:t>8</w:t>
      </w:r>
      <w:r>
        <w:rPr>
          <w:color w:val="000000"/>
        </w:rPr>
        <w:t>.5</w:t>
      </w:r>
      <w:r>
        <w:rPr>
          <w:rFonts w:hint="eastAsia"/>
          <w:color w:val="000000"/>
        </w:rPr>
        <w:t>随行文件</w:t>
      </w:r>
    </w:p>
    <w:p>
      <w:pPr>
        <w:pStyle w:val="67"/>
        <w:numPr>
          <w:ilvl w:val="0"/>
          <w:numId w:val="0"/>
        </w:numPr>
        <w:ind w:firstLine="420"/>
        <w:rPr>
          <w:color w:val="000000"/>
        </w:rPr>
      </w:pPr>
      <w:r>
        <w:rPr>
          <w:rFonts w:hint="eastAsia"/>
          <w:color w:val="000000"/>
        </w:rPr>
        <w:t>每批产品</w:t>
      </w:r>
      <w:r>
        <w:rPr>
          <w:color w:val="000000"/>
        </w:rPr>
        <w:t>应附有</w:t>
      </w:r>
      <w:r>
        <w:rPr>
          <w:rFonts w:hint="eastAsia"/>
          <w:color w:val="000000"/>
        </w:rPr>
        <w:t>随行文件，其中除应包括供方信息、产品信息、本文件编号、出厂日期或包装日期外，还宜包括：</w:t>
      </w:r>
    </w:p>
    <w:bookmarkEnd w:id="14"/>
    <w:p>
      <w:pPr>
        <w:pStyle w:val="67"/>
        <w:numPr>
          <w:ilvl w:val="0"/>
          <w:numId w:val="22"/>
        </w:numPr>
        <w:rPr>
          <w:color w:val="000000"/>
        </w:rPr>
      </w:pPr>
      <w:r>
        <w:rPr>
          <w:rFonts w:hint="eastAsia"/>
          <w:color w:val="000000"/>
        </w:rPr>
        <w:t>产品质量证明书，内容如下：</w:t>
      </w:r>
    </w:p>
    <w:p>
      <w:pPr>
        <w:pStyle w:val="67"/>
        <w:numPr>
          <w:ilvl w:val="0"/>
          <w:numId w:val="23"/>
        </w:numPr>
        <w:rPr>
          <w:color w:val="000000"/>
        </w:rPr>
      </w:pPr>
      <w:r>
        <w:rPr>
          <w:color w:val="000000"/>
        </w:rPr>
        <w:t>产品名称</w:t>
      </w:r>
    </w:p>
    <w:p>
      <w:pPr>
        <w:pStyle w:val="67"/>
        <w:numPr>
          <w:ilvl w:val="0"/>
          <w:numId w:val="23"/>
        </w:numPr>
        <w:rPr>
          <w:color w:val="000000"/>
        </w:rPr>
      </w:pPr>
      <w:r>
        <w:rPr>
          <w:rFonts w:hint="eastAsia"/>
          <w:color w:val="000000"/>
        </w:rPr>
        <w:t>产品的主要性能及技术参数；</w:t>
      </w:r>
    </w:p>
    <w:p>
      <w:pPr>
        <w:pStyle w:val="67"/>
        <w:numPr>
          <w:ilvl w:val="0"/>
          <w:numId w:val="23"/>
        </w:numPr>
        <w:rPr>
          <w:color w:val="000000"/>
        </w:rPr>
      </w:pPr>
      <w:r>
        <w:rPr>
          <w:rFonts w:hint="eastAsia"/>
          <w:color w:val="000000"/>
        </w:rPr>
        <w:t>产品特点；</w:t>
      </w:r>
    </w:p>
    <w:p>
      <w:pPr>
        <w:pStyle w:val="67"/>
        <w:numPr>
          <w:ilvl w:val="0"/>
          <w:numId w:val="24"/>
        </w:numPr>
        <w:rPr>
          <w:color w:val="000000"/>
        </w:rPr>
      </w:pPr>
      <w:r>
        <w:rPr>
          <w:rFonts w:hint="eastAsia"/>
          <w:color w:val="000000"/>
        </w:rPr>
        <w:t>产品批号；</w:t>
      </w:r>
    </w:p>
    <w:p>
      <w:pPr>
        <w:pStyle w:val="67"/>
        <w:numPr>
          <w:ilvl w:val="0"/>
          <w:numId w:val="24"/>
        </w:numPr>
        <w:rPr>
          <w:color w:val="000000"/>
        </w:rPr>
      </w:pPr>
      <w:r>
        <w:rPr>
          <w:color w:val="000000"/>
        </w:rPr>
        <w:t>产品获得的质量认证或带供方技术监督部门检</w:t>
      </w:r>
      <w:r>
        <w:rPr>
          <w:rFonts w:hint="eastAsia"/>
          <w:color w:val="000000"/>
        </w:rPr>
        <w:t>印</w:t>
      </w:r>
      <w:r>
        <w:rPr>
          <w:color w:val="000000"/>
        </w:rPr>
        <w:t>的各项分析检验结果</w:t>
      </w:r>
      <w:r>
        <w:rPr>
          <w:rFonts w:hint="eastAsia"/>
          <w:color w:val="000000"/>
        </w:rPr>
        <w:t>。</w:t>
      </w:r>
    </w:p>
    <w:p>
      <w:pPr>
        <w:pStyle w:val="67"/>
        <w:numPr>
          <w:ilvl w:val="0"/>
          <w:numId w:val="22"/>
        </w:numPr>
        <w:rPr>
          <w:color w:val="000000"/>
        </w:rPr>
      </w:pPr>
      <w:r>
        <w:rPr>
          <w:rFonts w:hint="eastAsia"/>
          <w:color w:val="000000"/>
        </w:rPr>
        <w:t>产品使用说明：正确搬运、使用、贮存方法等。</w:t>
      </w:r>
    </w:p>
    <w:p>
      <w:pPr>
        <w:pStyle w:val="67"/>
        <w:numPr>
          <w:ilvl w:val="0"/>
          <w:numId w:val="22"/>
        </w:numPr>
        <w:rPr>
          <w:color w:val="000000"/>
        </w:rPr>
      </w:pPr>
      <w:r>
        <w:rPr>
          <w:rFonts w:hint="eastAsia"/>
          <w:color w:val="000000"/>
        </w:rPr>
        <w:t>其他。</w:t>
      </w:r>
    </w:p>
    <w:bookmarkEnd w:id="22"/>
    <w:p>
      <w:pPr>
        <w:pStyle w:val="49"/>
        <w:numPr>
          <w:ilvl w:val="0"/>
          <w:numId w:val="0"/>
        </w:numPr>
        <w:jc w:val="left"/>
        <w:rPr>
          <w:color w:val="000000"/>
        </w:rPr>
      </w:pPr>
      <w:r>
        <w:rPr>
          <w:rFonts w:hint="eastAsia"/>
          <w:color w:val="000000"/>
        </w:rPr>
        <w:t>9订货单内容</w:t>
      </w:r>
    </w:p>
    <w:p>
      <w:pPr>
        <w:pStyle w:val="67"/>
        <w:numPr>
          <w:ilvl w:val="0"/>
          <w:numId w:val="0"/>
        </w:numPr>
        <w:ind w:firstLine="420" w:firstLineChars="200"/>
        <w:rPr>
          <w:color w:val="000000"/>
        </w:rPr>
      </w:pPr>
      <w:r>
        <w:rPr>
          <w:rFonts w:hint="eastAsia"/>
          <w:color w:val="000000"/>
        </w:rPr>
        <w:t>需方可根据自身的需要，在订购本文件所列产品的订货单内，列出以下内容</w:t>
      </w:r>
      <w:r>
        <w:rPr>
          <w:color w:val="000000"/>
        </w:rPr>
        <w:t>：</w:t>
      </w:r>
    </w:p>
    <w:p>
      <w:pPr>
        <w:pStyle w:val="67"/>
        <w:numPr>
          <w:ilvl w:val="0"/>
          <w:numId w:val="25"/>
        </w:numPr>
        <w:rPr>
          <w:color w:val="000000"/>
        </w:rPr>
      </w:pPr>
      <w:r>
        <w:rPr>
          <w:rFonts w:hint="eastAsia"/>
          <w:color w:val="000000"/>
        </w:rPr>
        <w:t>产品名称；</w:t>
      </w:r>
    </w:p>
    <w:p>
      <w:pPr>
        <w:pStyle w:val="67"/>
        <w:numPr>
          <w:ilvl w:val="0"/>
          <w:numId w:val="25"/>
        </w:numPr>
        <w:rPr>
          <w:color w:val="000000"/>
        </w:rPr>
      </w:pPr>
      <w:r>
        <w:rPr>
          <w:rFonts w:hint="eastAsia"/>
          <w:color w:val="000000"/>
        </w:rPr>
        <w:t>产品技术要求；</w:t>
      </w:r>
    </w:p>
    <w:p>
      <w:pPr>
        <w:pStyle w:val="67"/>
        <w:numPr>
          <w:ilvl w:val="0"/>
          <w:numId w:val="25"/>
        </w:numPr>
        <w:rPr>
          <w:color w:val="000000"/>
        </w:rPr>
      </w:pPr>
      <w:r>
        <w:rPr>
          <w:rFonts w:hint="eastAsia"/>
          <w:color w:val="000000"/>
        </w:rPr>
        <w:t>产品</w:t>
      </w:r>
      <w:r>
        <w:rPr>
          <w:color w:val="000000"/>
        </w:rPr>
        <w:t>数量</w:t>
      </w:r>
      <w:r>
        <w:rPr>
          <w:rFonts w:hint="eastAsia"/>
          <w:color w:val="000000"/>
        </w:rPr>
        <w:t>；</w:t>
      </w:r>
    </w:p>
    <w:p>
      <w:pPr>
        <w:pStyle w:val="67"/>
        <w:numPr>
          <w:ilvl w:val="0"/>
          <w:numId w:val="25"/>
        </w:numPr>
        <w:rPr>
          <w:color w:val="000000"/>
        </w:rPr>
      </w:pPr>
      <w:r>
        <w:rPr>
          <w:rFonts w:hint="eastAsia"/>
          <w:color w:val="000000"/>
        </w:rPr>
        <w:t>本文件编号；</w:t>
      </w:r>
    </w:p>
    <w:p>
      <w:pPr>
        <w:pStyle w:val="67"/>
        <w:numPr>
          <w:ilvl w:val="0"/>
          <w:numId w:val="25"/>
        </w:numPr>
        <w:rPr>
          <w:color w:val="000000"/>
        </w:rPr>
      </w:pPr>
      <w:r>
        <w:rPr>
          <w:rFonts w:hint="eastAsia"/>
          <w:color w:val="000000"/>
        </w:rPr>
        <w:t>本文件中要求在订货单中注明的内容；</w:t>
      </w:r>
    </w:p>
    <w:p>
      <w:pPr>
        <w:pStyle w:val="67"/>
        <w:numPr>
          <w:ilvl w:val="0"/>
          <w:numId w:val="25"/>
        </w:numPr>
        <w:rPr>
          <w:color w:val="000000"/>
        </w:rPr>
      </w:pPr>
      <w:r>
        <w:rPr>
          <w:rFonts w:hint="eastAsia"/>
          <w:color w:val="000000"/>
        </w:rPr>
        <w:t>其他。</w:t>
      </w: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r>
        <w:rPr>
          <w:sz w:val="21"/>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170815</wp:posOffset>
                </wp:positionV>
                <wp:extent cx="2527935" cy="0"/>
                <wp:effectExtent l="0" t="6350" r="0" b="6350"/>
                <wp:wrapNone/>
                <wp:docPr id="1" name="直接连接符 1"/>
                <wp:cNvGraphicFramePr/>
                <a:graphic xmlns:a="http://schemas.openxmlformats.org/drawingml/2006/main">
                  <a:graphicData uri="http://schemas.microsoft.com/office/word/2010/wordprocessingShape">
                    <wps:wsp>
                      <wps:cNvCnPr/>
                      <wps:spPr>
                        <a:xfrm>
                          <a:off x="1840865" y="4544695"/>
                          <a:ext cx="252793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9.8pt;margin-top:13.45pt;height:0pt;width:199.05pt;z-index:251661312;mso-width-relative:page;mso-height-relative:page;" filled="f" stroked="t" coordsize="21600,21600" o:gfxdata="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uEPl9gAAAAJAQAADwAAAAAAAAABACAAAAAiAAAAZHJzL2Rvd25yZXYueG1sUEsBAhQA&#10;FAAAAAgAh07iQB7Nq9vyAQAAvgMAAA4AAAAAAAAAAQAgAAAAJwEAAGRycy9lMm9Eb2MueG1sUEsF&#10;BgAAAAAGAAYAWQEAAIsFAAAAAA==&#10;">
                <v:fill on="f" focussize="0,0"/>
                <v:stroke weight="1pt" color="#000000 [3213]" miterlimit="8" joinstyle="miter"/>
                <v:imagedata o:title=""/>
                <o:lock v:ext="edit" aspectratio="f"/>
              </v:line>
            </w:pict>
          </mc:Fallback>
        </mc:AlternateContent>
      </w: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bookmarkStart w:id="27" w:name="_GoBack"/>
      <w:bookmarkEnd w:id="27"/>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p>
      <w:pPr>
        <w:pStyle w:val="67"/>
        <w:numPr>
          <w:ilvl w:val="0"/>
          <w:numId w:val="0"/>
        </w:numPr>
        <w:rPr>
          <w:color w:val="000000"/>
        </w:rPr>
      </w:pPr>
    </w:p>
    <w:sectPr>
      <w:pgSz w:w="11906" w:h="16838"/>
      <w:pgMar w:top="567" w:right="1134" w:bottom="1702"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å®ä½">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23846"/>
      <w:docPartObj>
        <w:docPartGallery w:val="AutoText"/>
      </w:docPartObj>
    </w:sdtPr>
    <w:sdtContent>
      <w:p>
        <w:pPr>
          <w:pStyle w:val="20"/>
        </w:pPr>
        <w:r>
          <w:fldChar w:fldCharType="begin"/>
        </w:r>
        <w:r>
          <w:instrText xml:space="preserve">PAGE   \* MERGEFORMAT</w:instrText>
        </w:r>
        <w:r>
          <w:fldChar w:fldCharType="separate"/>
        </w:r>
        <w:r>
          <w:rPr>
            <w:lang w:val="zh-CN"/>
          </w:rPr>
          <w:t>8</w:t>
        </w:r>
        <w:r>
          <w:fldChar w:fldCharType="end"/>
        </w:r>
      </w:p>
    </w:sdtContent>
  </w:sdt>
  <w:p>
    <w:pPr>
      <w:pStyle w:val="72"/>
      <w:ind w:left="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917754"/>
      <w:docPartObj>
        <w:docPartGallery w:val="AutoText"/>
      </w:docPartObj>
    </w:sdtPr>
    <w:sdtContent>
      <w:p>
        <w:pPr>
          <w:pStyle w:val="20"/>
        </w:pPr>
        <w:r>
          <w:fldChar w:fldCharType="begin"/>
        </w:r>
        <w:r>
          <w:instrText xml:space="preserve">PAGE   \* MERGEFORMAT</w:instrText>
        </w:r>
        <w:r>
          <w:fldChar w:fldCharType="separate"/>
        </w:r>
        <w:r>
          <w:rPr>
            <w:lang w:val="zh-CN"/>
          </w:rPr>
          <w:t>7</w:t>
        </w:r>
        <w:r>
          <w:fldChar w:fldCharType="end"/>
        </w:r>
      </w:p>
    </w:sdtContent>
  </w:sdt>
  <w:p>
    <w:pPr>
      <w:pStyle w:val="4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YS/T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rFonts w:hint="eastAsia"/>
      </w:rPr>
      <w:t>YS/T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9D61A3"/>
    <w:multiLevelType w:val="multilevel"/>
    <w:tmpl w:val="029D61A3"/>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50"/>
      <w:suff w:val="nothing"/>
      <w:lvlText w:val="%1%2.%3　"/>
      <w:lvlJc w:val="left"/>
      <w:pPr>
        <w:ind w:left="0" w:firstLine="0"/>
      </w:pPr>
      <w:rPr>
        <w:rFonts w:hint="eastAsia" w:ascii="黑体" w:hAnsi="Times New Roman" w:eastAsia="黑体"/>
        <w:b w:val="0"/>
        <w:i w:val="0"/>
        <w:sz w:val="21"/>
      </w:rPr>
    </w:lvl>
    <w:lvl w:ilvl="3" w:tentative="0">
      <w:start w:val="1"/>
      <w:numFmt w:val="decimal"/>
      <w:pStyle w:val="145"/>
      <w:suff w:val="nothing"/>
      <w:lvlText w:val="%1%2.%3.%4　"/>
      <w:lvlJc w:val="left"/>
      <w:pPr>
        <w:ind w:left="0" w:firstLine="0"/>
      </w:pPr>
      <w:rPr>
        <w:rFonts w:hint="eastAsia" w:ascii="黑体" w:hAnsi="Times New Roman" w:eastAsia="黑体"/>
        <w:b w:val="0"/>
        <w:i w:val="0"/>
        <w:sz w:val="21"/>
      </w:rPr>
    </w:lvl>
    <w:lvl w:ilvl="4" w:tentative="0">
      <w:start w:val="1"/>
      <w:numFmt w:val="decimal"/>
      <w:pStyle w:val="146"/>
      <w:suff w:val="nothing"/>
      <w:lvlText w:val="%1%2.%3.%4.%5　"/>
      <w:lvlJc w:val="left"/>
      <w:pPr>
        <w:ind w:left="0" w:firstLine="0"/>
      </w:pPr>
      <w:rPr>
        <w:rFonts w:hint="eastAsia" w:ascii="黑体" w:hAnsi="Times New Roman" w:eastAsia="黑体"/>
        <w:b w:val="0"/>
        <w:i w:val="0"/>
        <w:sz w:val="21"/>
      </w:rPr>
    </w:lvl>
    <w:lvl w:ilvl="5" w:tentative="0">
      <w:start w:val="1"/>
      <w:numFmt w:val="decimal"/>
      <w:pStyle w:val="147"/>
      <w:suff w:val="nothing"/>
      <w:lvlText w:val="%1%2.%3.%4.%5.%6　"/>
      <w:lvlJc w:val="left"/>
      <w:pPr>
        <w:ind w:left="0" w:firstLine="0"/>
      </w:pPr>
      <w:rPr>
        <w:rFonts w:hint="eastAsia" w:ascii="黑体" w:hAnsi="Times New Roman" w:eastAsia="黑体"/>
        <w:b w:val="0"/>
        <w:i w:val="0"/>
        <w:sz w:val="21"/>
      </w:rPr>
    </w:lvl>
    <w:lvl w:ilvl="6" w:tentative="0">
      <w:start w:val="1"/>
      <w:numFmt w:val="decimal"/>
      <w:pStyle w:val="1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79102AD"/>
    <w:multiLevelType w:val="multilevel"/>
    <w:tmpl w:val="079102AD"/>
    <w:lvl w:ilvl="0" w:tentative="0">
      <w:start w:val="1"/>
      <w:numFmt w:val="decimal"/>
      <w:pStyle w:val="6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2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5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2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69"/>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8">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269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284"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672287F"/>
    <w:multiLevelType w:val="multilevel"/>
    <w:tmpl w:val="2672287F"/>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3">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4">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1C2755D"/>
    <w:multiLevelType w:val="multilevel"/>
    <w:tmpl w:val="41C2755D"/>
    <w:lvl w:ilvl="0" w:tentative="0">
      <w:start w:val="1"/>
      <w:numFmt w:val="lowerLetter"/>
      <w:pStyle w:val="6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6">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B733A5F"/>
    <w:multiLevelType w:val="multilevel"/>
    <w:tmpl w:val="4B733A5F"/>
    <w:lvl w:ilvl="0" w:tentative="0">
      <w:start w:val="1"/>
      <w:numFmt w:val="decimal"/>
      <w:pStyle w:val="6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8">
    <w:nsid w:val="557C2AF5"/>
    <w:multiLevelType w:val="multilevel"/>
    <w:tmpl w:val="557C2AF5"/>
    <w:lvl w:ilvl="0" w:tentative="0">
      <w:start w:val="1"/>
      <w:numFmt w:val="decimal"/>
      <w:pStyle w:val="13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0">
    <w:nsid w:val="646260FA"/>
    <w:multiLevelType w:val="multilevel"/>
    <w:tmpl w:val="646260FA"/>
    <w:lvl w:ilvl="0" w:tentative="0">
      <w:start w:val="1"/>
      <w:numFmt w:val="decimal"/>
      <w:pStyle w:val="131"/>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21">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61"/>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abstractNum w:abstractNumId="24">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9"/>
  </w:num>
  <w:num w:numId="3">
    <w:abstractNumId w:val="8"/>
  </w:num>
  <w:num w:numId="4">
    <w:abstractNumId w:val="11"/>
  </w:num>
  <w:num w:numId="5">
    <w:abstractNumId w:val="5"/>
  </w:num>
  <w:num w:numId="6">
    <w:abstractNumId w:val="15"/>
  </w:num>
  <w:num w:numId="7">
    <w:abstractNumId w:val="23"/>
  </w:num>
  <w:num w:numId="8">
    <w:abstractNumId w:val="3"/>
  </w:num>
  <w:num w:numId="9">
    <w:abstractNumId w:val="17"/>
  </w:num>
  <w:num w:numId="10">
    <w:abstractNumId w:val="7"/>
  </w:num>
  <w:num w:numId="11">
    <w:abstractNumId w:val="21"/>
  </w:num>
  <w:num w:numId="12">
    <w:abstractNumId w:val="19"/>
  </w:num>
  <w:num w:numId="13">
    <w:abstractNumId w:val="22"/>
  </w:num>
  <w:num w:numId="14">
    <w:abstractNumId w:val="10"/>
  </w:num>
  <w:num w:numId="15">
    <w:abstractNumId w:val="4"/>
  </w:num>
  <w:num w:numId="16">
    <w:abstractNumId w:val="6"/>
  </w:num>
  <w:num w:numId="17">
    <w:abstractNumId w:val="20"/>
  </w:num>
  <w:num w:numId="18">
    <w:abstractNumId w:val="18"/>
  </w:num>
  <w:num w:numId="19">
    <w:abstractNumId w:val="2"/>
  </w:num>
  <w:num w:numId="20">
    <w:abstractNumId w:val="0"/>
  </w:num>
  <w:num w:numId="21">
    <w:abstractNumId w:val="1"/>
  </w:num>
  <w:num w:numId="22">
    <w:abstractNumId w:val="24"/>
  </w:num>
  <w:num w:numId="23">
    <w:abstractNumId w:val="13"/>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035925"/>
    <w:rsid w:val="000000C4"/>
    <w:rsid w:val="00000244"/>
    <w:rsid w:val="000008DE"/>
    <w:rsid w:val="00000A3C"/>
    <w:rsid w:val="00000D81"/>
    <w:rsid w:val="0000185F"/>
    <w:rsid w:val="00003A03"/>
    <w:rsid w:val="00003A30"/>
    <w:rsid w:val="0000586F"/>
    <w:rsid w:val="0000602C"/>
    <w:rsid w:val="00006A4A"/>
    <w:rsid w:val="00006C3A"/>
    <w:rsid w:val="00010AF2"/>
    <w:rsid w:val="00010BEC"/>
    <w:rsid w:val="00011001"/>
    <w:rsid w:val="00011155"/>
    <w:rsid w:val="00011DB9"/>
    <w:rsid w:val="00012937"/>
    <w:rsid w:val="00012D4C"/>
    <w:rsid w:val="00013D86"/>
    <w:rsid w:val="00013E02"/>
    <w:rsid w:val="00016133"/>
    <w:rsid w:val="00016323"/>
    <w:rsid w:val="000174C9"/>
    <w:rsid w:val="00017C78"/>
    <w:rsid w:val="00020216"/>
    <w:rsid w:val="0002143C"/>
    <w:rsid w:val="00021BEB"/>
    <w:rsid w:val="000229B6"/>
    <w:rsid w:val="0002344A"/>
    <w:rsid w:val="000249C7"/>
    <w:rsid w:val="00025A65"/>
    <w:rsid w:val="0002655A"/>
    <w:rsid w:val="000266E7"/>
    <w:rsid w:val="000268E1"/>
    <w:rsid w:val="00026C31"/>
    <w:rsid w:val="00026CFD"/>
    <w:rsid w:val="00027280"/>
    <w:rsid w:val="0002768F"/>
    <w:rsid w:val="000278E4"/>
    <w:rsid w:val="00031052"/>
    <w:rsid w:val="0003200E"/>
    <w:rsid w:val="000320A7"/>
    <w:rsid w:val="00032EC2"/>
    <w:rsid w:val="000331DF"/>
    <w:rsid w:val="00033212"/>
    <w:rsid w:val="00034125"/>
    <w:rsid w:val="00034C1B"/>
    <w:rsid w:val="00035121"/>
    <w:rsid w:val="00035925"/>
    <w:rsid w:val="000360F3"/>
    <w:rsid w:val="00036CB3"/>
    <w:rsid w:val="00037319"/>
    <w:rsid w:val="00037637"/>
    <w:rsid w:val="00040790"/>
    <w:rsid w:val="00040CF8"/>
    <w:rsid w:val="00042EE0"/>
    <w:rsid w:val="00043F2F"/>
    <w:rsid w:val="0004410F"/>
    <w:rsid w:val="00045AF8"/>
    <w:rsid w:val="00047F00"/>
    <w:rsid w:val="00050AB2"/>
    <w:rsid w:val="00050D85"/>
    <w:rsid w:val="00050E3D"/>
    <w:rsid w:val="00051917"/>
    <w:rsid w:val="00051A0B"/>
    <w:rsid w:val="00053488"/>
    <w:rsid w:val="00053A0E"/>
    <w:rsid w:val="000544B4"/>
    <w:rsid w:val="00054FEF"/>
    <w:rsid w:val="000556A7"/>
    <w:rsid w:val="00055706"/>
    <w:rsid w:val="00057BEC"/>
    <w:rsid w:val="0006253A"/>
    <w:rsid w:val="00067CDF"/>
    <w:rsid w:val="00070223"/>
    <w:rsid w:val="00070471"/>
    <w:rsid w:val="00070A09"/>
    <w:rsid w:val="00071782"/>
    <w:rsid w:val="000742FD"/>
    <w:rsid w:val="000746D1"/>
    <w:rsid w:val="00074FBE"/>
    <w:rsid w:val="0007546E"/>
    <w:rsid w:val="00075696"/>
    <w:rsid w:val="00076839"/>
    <w:rsid w:val="000772AC"/>
    <w:rsid w:val="0008002A"/>
    <w:rsid w:val="00080F3A"/>
    <w:rsid w:val="00081335"/>
    <w:rsid w:val="00083A09"/>
    <w:rsid w:val="00084683"/>
    <w:rsid w:val="000855F0"/>
    <w:rsid w:val="00087071"/>
    <w:rsid w:val="000872C9"/>
    <w:rsid w:val="0009005E"/>
    <w:rsid w:val="00091056"/>
    <w:rsid w:val="00091811"/>
    <w:rsid w:val="00091D31"/>
    <w:rsid w:val="00092208"/>
    <w:rsid w:val="000924C8"/>
    <w:rsid w:val="00092857"/>
    <w:rsid w:val="000939DF"/>
    <w:rsid w:val="000949E5"/>
    <w:rsid w:val="00094C99"/>
    <w:rsid w:val="00094CC0"/>
    <w:rsid w:val="000952CA"/>
    <w:rsid w:val="00097428"/>
    <w:rsid w:val="00097AE4"/>
    <w:rsid w:val="00097DB7"/>
    <w:rsid w:val="00097E49"/>
    <w:rsid w:val="000A1367"/>
    <w:rsid w:val="000A20A9"/>
    <w:rsid w:val="000A21B4"/>
    <w:rsid w:val="000A2D55"/>
    <w:rsid w:val="000A3535"/>
    <w:rsid w:val="000A3A2A"/>
    <w:rsid w:val="000A3CB2"/>
    <w:rsid w:val="000A45C7"/>
    <w:rsid w:val="000A48B1"/>
    <w:rsid w:val="000A4CD8"/>
    <w:rsid w:val="000B1628"/>
    <w:rsid w:val="000B265E"/>
    <w:rsid w:val="000B3143"/>
    <w:rsid w:val="000B3343"/>
    <w:rsid w:val="000B45FD"/>
    <w:rsid w:val="000C02AA"/>
    <w:rsid w:val="000C045E"/>
    <w:rsid w:val="000C1567"/>
    <w:rsid w:val="000C1939"/>
    <w:rsid w:val="000C2637"/>
    <w:rsid w:val="000C466B"/>
    <w:rsid w:val="000C5525"/>
    <w:rsid w:val="000C6B05"/>
    <w:rsid w:val="000C6DD6"/>
    <w:rsid w:val="000C73D4"/>
    <w:rsid w:val="000C7995"/>
    <w:rsid w:val="000D095E"/>
    <w:rsid w:val="000D0DBB"/>
    <w:rsid w:val="000D107E"/>
    <w:rsid w:val="000D18D5"/>
    <w:rsid w:val="000D1F72"/>
    <w:rsid w:val="000D2A01"/>
    <w:rsid w:val="000D2BFC"/>
    <w:rsid w:val="000D3D4C"/>
    <w:rsid w:val="000D4B54"/>
    <w:rsid w:val="000D4C3F"/>
    <w:rsid w:val="000D4F51"/>
    <w:rsid w:val="000D695A"/>
    <w:rsid w:val="000D6B58"/>
    <w:rsid w:val="000D718B"/>
    <w:rsid w:val="000E0C46"/>
    <w:rsid w:val="000E1927"/>
    <w:rsid w:val="000E1D88"/>
    <w:rsid w:val="000E31CF"/>
    <w:rsid w:val="000E3289"/>
    <w:rsid w:val="000E3718"/>
    <w:rsid w:val="000E3A5B"/>
    <w:rsid w:val="000E5447"/>
    <w:rsid w:val="000E6344"/>
    <w:rsid w:val="000E6788"/>
    <w:rsid w:val="000E71C1"/>
    <w:rsid w:val="000E7C21"/>
    <w:rsid w:val="000F030C"/>
    <w:rsid w:val="000F129C"/>
    <w:rsid w:val="000F2325"/>
    <w:rsid w:val="000F2F39"/>
    <w:rsid w:val="000F373F"/>
    <w:rsid w:val="000F4386"/>
    <w:rsid w:val="000F558D"/>
    <w:rsid w:val="000F5829"/>
    <w:rsid w:val="000F5B79"/>
    <w:rsid w:val="000F5F99"/>
    <w:rsid w:val="000F6207"/>
    <w:rsid w:val="000F6FD0"/>
    <w:rsid w:val="000F7194"/>
    <w:rsid w:val="000F77EA"/>
    <w:rsid w:val="00102B26"/>
    <w:rsid w:val="00102DD2"/>
    <w:rsid w:val="0010360F"/>
    <w:rsid w:val="001041AC"/>
    <w:rsid w:val="00104C43"/>
    <w:rsid w:val="00104FBC"/>
    <w:rsid w:val="001056DE"/>
    <w:rsid w:val="0010661D"/>
    <w:rsid w:val="001074ED"/>
    <w:rsid w:val="00107736"/>
    <w:rsid w:val="00107FE0"/>
    <w:rsid w:val="00111745"/>
    <w:rsid w:val="00111AC3"/>
    <w:rsid w:val="001124C0"/>
    <w:rsid w:val="001128A7"/>
    <w:rsid w:val="00112CF3"/>
    <w:rsid w:val="00112E10"/>
    <w:rsid w:val="00113880"/>
    <w:rsid w:val="00114873"/>
    <w:rsid w:val="0011685F"/>
    <w:rsid w:val="00116C30"/>
    <w:rsid w:val="001175D8"/>
    <w:rsid w:val="00117C1A"/>
    <w:rsid w:val="00120904"/>
    <w:rsid w:val="00121B6F"/>
    <w:rsid w:val="00122D6D"/>
    <w:rsid w:val="0012394D"/>
    <w:rsid w:val="00123D78"/>
    <w:rsid w:val="00124397"/>
    <w:rsid w:val="00124CF2"/>
    <w:rsid w:val="00125854"/>
    <w:rsid w:val="00125F93"/>
    <w:rsid w:val="001261E9"/>
    <w:rsid w:val="0012715E"/>
    <w:rsid w:val="001274CB"/>
    <w:rsid w:val="00130A03"/>
    <w:rsid w:val="0013175F"/>
    <w:rsid w:val="00131FC3"/>
    <w:rsid w:val="00132407"/>
    <w:rsid w:val="00134639"/>
    <w:rsid w:val="00134C4A"/>
    <w:rsid w:val="00135506"/>
    <w:rsid w:val="0013629F"/>
    <w:rsid w:val="0013701E"/>
    <w:rsid w:val="0013767B"/>
    <w:rsid w:val="00137855"/>
    <w:rsid w:val="00140CFE"/>
    <w:rsid w:val="00143DC3"/>
    <w:rsid w:val="00144E68"/>
    <w:rsid w:val="00145B11"/>
    <w:rsid w:val="00146569"/>
    <w:rsid w:val="001507A1"/>
    <w:rsid w:val="0015102D"/>
    <w:rsid w:val="001512B4"/>
    <w:rsid w:val="001515C4"/>
    <w:rsid w:val="00151763"/>
    <w:rsid w:val="001548FA"/>
    <w:rsid w:val="00154C10"/>
    <w:rsid w:val="00155A30"/>
    <w:rsid w:val="00155CCF"/>
    <w:rsid w:val="00155F40"/>
    <w:rsid w:val="001563EA"/>
    <w:rsid w:val="00156500"/>
    <w:rsid w:val="00157BE6"/>
    <w:rsid w:val="00160694"/>
    <w:rsid w:val="00160B87"/>
    <w:rsid w:val="00160C51"/>
    <w:rsid w:val="001611C0"/>
    <w:rsid w:val="001620A5"/>
    <w:rsid w:val="00163634"/>
    <w:rsid w:val="00163DEA"/>
    <w:rsid w:val="00164358"/>
    <w:rsid w:val="00164419"/>
    <w:rsid w:val="001649EF"/>
    <w:rsid w:val="00164B11"/>
    <w:rsid w:val="00164C91"/>
    <w:rsid w:val="00164E53"/>
    <w:rsid w:val="00164EBC"/>
    <w:rsid w:val="0016699D"/>
    <w:rsid w:val="001669E5"/>
    <w:rsid w:val="00166B3F"/>
    <w:rsid w:val="00167473"/>
    <w:rsid w:val="00167D23"/>
    <w:rsid w:val="0017013E"/>
    <w:rsid w:val="001713C1"/>
    <w:rsid w:val="0017168A"/>
    <w:rsid w:val="00171C36"/>
    <w:rsid w:val="00172051"/>
    <w:rsid w:val="00172B3A"/>
    <w:rsid w:val="00175159"/>
    <w:rsid w:val="00176208"/>
    <w:rsid w:val="00181580"/>
    <w:rsid w:val="001818A5"/>
    <w:rsid w:val="0018211B"/>
    <w:rsid w:val="0018212B"/>
    <w:rsid w:val="00182447"/>
    <w:rsid w:val="001828B2"/>
    <w:rsid w:val="00182B1F"/>
    <w:rsid w:val="001840D3"/>
    <w:rsid w:val="00185096"/>
    <w:rsid w:val="00186831"/>
    <w:rsid w:val="00187DD6"/>
    <w:rsid w:val="001900F8"/>
    <w:rsid w:val="00190946"/>
    <w:rsid w:val="00191258"/>
    <w:rsid w:val="001916A8"/>
    <w:rsid w:val="001917A3"/>
    <w:rsid w:val="00191896"/>
    <w:rsid w:val="00191A52"/>
    <w:rsid w:val="00191D23"/>
    <w:rsid w:val="00192680"/>
    <w:rsid w:val="00193037"/>
    <w:rsid w:val="00193A2C"/>
    <w:rsid w:val="001942B6"/>
    <w:rsid w:val="0019454D"/>
    <w:rsid w:val="001948DF"/>
    <w:rsid w:val="00194B95"/>
    <w:rsid w:val="00195DA8"/>
    <w:rsid w:val="00196734"/>
    <w:rsid w:val="001A288E"/>
    <w:rsid w:val="001A36E5"/>
    <w:rsid w:val="001A38E8"/>
    <w:rsid w:val="001A4794"/>
    <w:rsid w:val="001A64A8"/>
    <w:rsid w:val="001A76C5"/>
    <w:rsid w:val="001B06A0"/>
    <w:rsid w:val="001B081C"/>
    <w:rsid w:val="001B228A"/>
    <w:rsid w:val="001B2BB4"/>
    <w:rsid w:val="001B2C8E"/>
    <w:rsid w:val="001B35F2"/>
    <w:rsid w:val="001B4855"/>
    <w:rsid w:val="001B6DC2"/>
    <w:rsid w:val="001C00FD"/>
    <w:rsid w:val="001C149C"/>
    <w:rsid w:val="001C21AC"/>
    <w:rsid w:val="001C21E0"/>
    <w:rsid w:val="001C2558"/>
    <w:rsid w:val="001C2D8F"/>
    <w:rsid w:val="001C47BA"/>
    <w:rsid w:val="001C55A8"/>
    <w:rsid w:val="001C59EA"/>
    <w:rsid w:val="001C644A"/>
    <w:rsid w:val="001C76BD"/>
    <w:rsid w:val="001C7C81"/>
    <w:rsid w:val="001D2225"/>
    <w:rsid w:val="001D350D"/>
    <w:rsid w:val="001D3DF5"/>
    <w:rsid w:val="001D406C"/>
    <w:rsid w:val="001D4089"/>
    <w:rsid w:val="001D41EE"/>
    <w:rsid w:val="001D487F"/>
    <w:rsid w:val="001D5384"/>
    <w:rsid w:val="001D5450"/>
    <w:rsid w:val="001D5641"/>
    <w:rsid w:val="001D5DFA"/>
    <w:rsid w:val="001D6B3D"/>
    <w:rsid w:val="001E00FA"/>
    <w:rsid w:val="001E0380"/>
    <w:rsid w:val="001E13B1"/>
    <w:rsid w:val="001E195F"/>
    <w:rsid w:val="001E1EC6"/>
    <w:rsid w:val="001E2FFE"/>
    <w:rsid w:val="001E4ADB"/>
    <w:rsid w:val="001E52A6"/>
    <w:rsid w:val="001E5635"/>
    <w:rsid w:val="001E5F3E"/>
    <w:rsid w:val="001E65E4"/>
    <w:rsid w:val="001E67C1"/>
    <w:rsid w:val="001F135F"/>
    <w:rsid w:val="001F27D0"/>
    <w:rsid w:val="001F3A19"/>
    <w:rsid w:val="001F3F4A"/>
    <w:rsid w:val="001F3FA8"/>
    <w:rsid w:val="001F41C7"/>
    <w:rsid w:val="001F50F0"/>
    <w:rsid w:val="001F57B2"/>
    <w:rsid w:val="001F7AB5"/>
    <w:rsid w:val="001F7CC0"/>
    <w:rsid w:val="00201622"/>
    <w:rsid w:val="00203A7A"/>
    <w:rsid w:val="002053D0"/>
    <w:rsid w:val="00205504"/>
    <w:rsid w:val="0020567F"/>
    <w:rsid w:val="00206840"/>
    <w:rsid w:val="002069AF"/>
    <w:rsid w:val="00210447"/>
    <w:rsid w:val="002116B0"/>
    <w:rsid w:val="00212086"/>
    <w:rsid w:val="002146C5"/>
    <w:rsid w:val="00214787"/>
    <w:rsid w:val="00214BEF"/>
    <w:rsid w:val="00215D14"/>
    <w:rsid w:val="00216740"/>
    <w:rsid w:val="00216A25"/>
    <w:rsid w:val="00220A99"/>
    <w:rsid w:val="00220C00"/>
    <w:rsid w:val="00222DB5"/>
    <w:rsid w:val="00224129"/>
    <w:rsid w:val="0022476F"/>
    <w:rsid w:val="0022502A"/>
    <w:rsid w:val="00226A7F"/>
    <w:rsid w:val="00230D9D"/>
    <w:rsid w:val="00231F47"/>
    <w:rsid w:val="00234467"/>
    <w:rsid w:val="002357B3"/>
    <w:rsid w:val="00237D8D"/>
    <w:rsid w:val="00241DA2"/>
    <w:rsid w:val="00242A30"/>
    <w:rsid w:val="0024429F"/>
    <w:rsid w:val="00244FCD"/>
    <w:rsid w:val="00245B28"/>
    <w:rsid w:val="00246AA9"/>
    <w:rsid w:val="002477D0"/>
    <w:rsid w:val="00247FEE"/>
    <w:rsid w:val="00250E7D"/>
    <w:rsid w:val="002529A8"/>
    <w:rsid w:val="00255CBD"/>
    <w:rsid w:val="002565D5"/>
    <w:rsid w:val="002570AC"/>
    <w:rsid w:val="0025798C"/>
    <w:rsid w:val="002600A9"/>
    <w:rsid w:val="002622C0"/>
    <w:rsid w:val="00262DB2"/>
    <w:rsid w:val="00263153"/>
    <w:rsid w:val="0026399F"/>
    <w:rsid w:val="0026495A"/>
    <w:rsid w:val="00265ECD"/>
    <w:rsid w:val="002662A1"/>
    <w:rsid w:val="0026674D"/>
    <w:rsid w:val="00266830"/>
    <w:rsid w:val="0026707A"/>
    <w:rsid w:val="00267CF9"/>
    <w:rsid w:val="00271812"/>
    <w:rsid w:val="00271DBD"/>
    <w:rsid w:val="00272B27"/>
    <w:rsid w:val="00273687"/>
    <w:rsid w:val="00273BC5"/>
    <w:rsid w:val="0027474C"/>
    <w:rsid w:val="00274D10"/>
    <w:rsid w:val="00275F08"/>
    <w:rsid w:val="00276BDF"/>
    <w:rsid w:val="002778AE"/>
    <w:rsid w:val="002805BD"/>
    <w:rsid w:val="0028269A"/>
    <w:rsid w:val="00283590"/>
    <w:rsid w:val="00284635"/>
    <w:rsid w:val="00284AC1"/>
    <w:rsid w:val="00285175"/>
    <w:rsid w:val="0028538C"/>
    <w:rsid w:val="00286973"/>
    <w:rsid w:val="00291004"/>
    <w:rsid w:val="00291958"/>
    <w:rsid w:val="002933C6"/>
    <w:rsid w:val="00293A46"/>
    <w:rsid w:val="00294E70"/>
    <w:rsid w:val="00295D22"/>
    <w:rsid w:val="00296557"/>
    <w:rsid w:val="0029774B"/>
    <w:rsid w:val="002A10F1"/>
    <w:rsid w:val="002A1924"/>
    <w:rsid w:val="002A1E58"/>
    <w:rsid w:val="002A4CD7"/>
    <w:rsid w:val="002A570B"/>
    <w:rsid w:val="002A5D2F"/>
    <w:rsid w:val="002A7420"/>
    <w:rsid w:val="002B0519"/>
    <w:rsid w:val="002B05E9"/>
    <w:rsid w:val="002B0955"/>
    <w:rsid w:val="002B0F12"/>
    <w:rsid w:val="002B1308"/>
    <w:rsid w:val="002B14BC"/>
    <w:rsid w:val="002B1CC7"/>
    <w:rsid w:val="002B2491"/>
    <w:rsid w:val="002B2A20"/>
    <w:rsid w:val="002B2FFE"/>
    <w:rsid w:val="002B3C5D"/>
    <w:rsid w:val="002B4554"/>
    <w:rsid w:val="002B55DE"/>
    <w:rsid w:val="002B5E02"/>
    <w:rsid w:val="002B6BA1"/>
    <w:rsid w:val="002B76C9"/>
    <w:rsid w:val="002B7BF6"/>
    <w:rsid w:val="002B7D3A"/>
    <w:rsid w:val="002C013F"/>
    <w:rsid w:val="002C1FE9"/>
    <w:rsid w:val="002C55AB"/>
    <w:rsid w:val="002C658F"/>
    <w:rsid w:val="002C673A"/>
    <w:rsid w:val="002C72D8"/>
    <w:rsid w:val="002C7B11"/>
    <w:rsid w:val="002D11FA"/>
    <w:rsid w:val="002D15EF"/>
    <w:rsid w:val="002D2CAF"/>
    <w:rsid w:val="002D2EBB"/>
    <w:rsid w:val="002D428E"/>
    <w:rsid w:val="002D4DAB"/>
    <w:rsid w:val="002D4EB2"/>
    <w:rsid w:val="002D65AA"/>
    <w:rsid w:val="002E08D7"/>
    <w:rsid w:val="002E0DDF"/>
    <w:rsid w:val="002E1B10"/>
    <w:rsid w:val="002E1B8F"/>
    <w:rsid w:val="002E1DFA"/>
    <w:rsid w:val="002E25C3"/>
    <w:rsid w:val="002E2906"/>
    <w:rsid w:val="002E2A8E"/>
    <w:rsid w:val="002E2B5B"/>
    <w:rsid w:val="002E3D9D"/>
    <w:rsid w:val="002E3EF3"/>
    <w:rsid w:val="002E40CF"/>
    <w:rsid w:val="002E47A0"/>
    <w:rsid w:val="002E4CBF"/>
    <w:rsid w:val="002E4D99"/>
    <w:rsid w:val="002E5635"/>
    <w:rsid w:val="002E5F9B"/>
    <w:rsid w:val="002E610A"/>
    <w:rsid w:val="002E64C3"/>
    <w:rsid w:val="002E6A2C"/>
    <w:rsid w:val="002F0168"/>
    <w:rsid w:val="002F08BF"/>
    <w:rsid w:val="002F0BEF"/>
    <w:rsid w:val="002F1D8C"/>
    <w:rsid w:val="002F1E5B"/>
    <w:rsid w:val="002F21DA"/>
    <w:rsid w:val="002F2BA8"/>
    <w:rsid w:val="002F3390"/>
    <w:rsid w:val="002F5B0F"/>
    <w:rsid w:val="002F5DEC"/>
    <w:rsid w:val="002F7778"/>
    <w:rsid w:val="002F79DF"/>
    <w:rsid w:val="00300AFA"/>
    <w:rsid w:val="003011BC"/>
    <w:rsid w:val="00301F39"/>
    <w:rsid w:val="0030247B"/>
    <w:rsid w:val="00303319"/>
    <w:rsid w:val="00304B87"/>
    <w:rsid w:val="00305A65"/>
    <w:rsid w:val="003069AB"/>
    <w:rsid w:val="003072AE"/>
    <w:rsid w:val="003106D4"/>
    <w:rsid w:val="00310DDA"/>
    <w:rsid w:val="0031126E"/>
    <w:rsid w:val="00314373"/>
    <w:rsid w:val="003148A9"/>
    <w:rsid w:val="00314981"/>
    <w:rsid w:val="00315C23"/>
    <w:rsid w:val="00316223"/>
    <w:rsid w:val="00322A90"/>
    <w:rsid w:val="00324352"/>
    <w:rsid w:val="003245ED"/>
    <w:rsid w:val="0032507C"/>
    <w:rsid w:val="003253E7"/>
    <w:rsid w:val="00325926"/>
    <w:rsid w:val="00327A8A"/>
    <w:rsid w:val="003316A3"/>
    <w:rsid w:val="0033214F"/>
    <w:rsid w:val="00333658"/>
    <w:rsid w:val="00336610"/>
    <w:rsid w:val="003372E8"/>
    <w:rsid w:val="00337EFA"/>
    <w:rsid w:val="003406D9"/>
    <w:rsid w:val="00340C49"/>
    <w:rsid w:val="00340D81"/>
    <w:rsid w:val="00341039"/>
    <w:rsid w:val="00341606"/>
    <w:rsid w:val="00342B63"/>
    <w:rsid w:val="00343000"/>
    <w:rsid w:val="00343BA3"/>
    <w:rsid w:val="00343F73"/>
    <w:rsid w:val="00345060"/>
    <w:rsid w:val="003470EF"/>
    <w:rsid w:val="00350394"/>
    <w:rsid w:val="00350795"/>
    <w:rsid w:val="0035081D"/>
    <w:rsid w:val="00350FE2"/>
    <w:rsid w:val="00351E48"/>
    <w:rsid w:val="00351FAF"/>
    <w:rsid w:val="0035323B"/>
    <w:rsid w:val="00353D0D"/>
    <w:rsid w:val="00354A49"/>
    <w:rsid w:val="00354A5F"/>
    <w:rsid w:val="00354A6B"/>
    <w:rsid w:val="00355C47"/>
    <w:rsid w:val="00356B80"/>
    <w:rsid w:val="003575E3"/>
    <w:rsid w:val="003609D2"/>
    <w:rsid w:val="003612AE"/>
    <w:rsid w:val="00361CD4"/>
    <w:rsid w:val="00361FBA"/>
    <w:rsid w:val="00362207"/>
    <w:rsid w:val="00363F22"/>
    <w:rsid w:val="00364A7B"/>
    <w:rsid w:val="003653AF"/>
    <w:rsid w:val="00365D1C"/>
    <w:rsid w:val="00365D70"/>
    <w:rsid w:val="00365F89"/>
    <w:rsid w:val="003666B0"/>
    <w:rsid w:val="00372938"/>
    <w:rsid w:val="00373E2A"/>
    <w:rsid w:val="00374DD8"/>
    <w:rsid w:val="0037549B"/>
    <w:rsid w:val="00375564"/>
    <w:rsid w:val="003807D3"/>
    <w:rsid w:val="0038124C"/>
    <w:rsid w:val="00382126"/>
    <w:rsid w:val="00382D60"/>
    <w:rsid w:val="00383191"/>
    <w:rsid w:val="0038676F"/>
    <w:rsid w:val="00386DED"/>
    <w:rsid w:val="00387706"/>
    <w:rsid w:val="00390126"/>
    <w:rsid w:val="003912E7"/>
    <w:rsid w:val="003917F8"/>
    <w:rsid w:val="00392200"/>
    <w:rsid w:val="00392251"/>
    <w:rsid w:val="003924BC"/>
    <w:rsid w:val="003938CA"/>
    <w:rsid w:val="00393947"/>
    <w:rsid w:val="003953C9"/>
    <w:rsid w:val="00396BE4"/>
    <w:rsid w:val="00396DCB"/>
    <w:rsid w:val="00397049"/>
    <w:rsid w:val="00397C49"/>
    <w:rsid w:val="00397E56"/>
    <w:rsid w:val="003A0C0B"/>
    <w:rsid w:val="003A1D05"/>
    <w:rsid w:val="003A2275"/>
    <w:rsid w:val="003A3AB7"/>
    <w:rsid w:val="003A4355"/>
    <w:rsid w:val="003A51D7"/>
    <w:rsid w:val="003A5229"/>
    <w:rsid w:val="003A535A"/>
    <w:rsid w:val="003A55CE"/>
    <w:rsid w:val="003A5B0E"/>
    <w:rsid w:val="003A6A4F"/>
    <w:rsid w:val="003A7088"/>
    <w:rsid w:val="003A776C"/>
    <w:rsid w:val="003B0033"/>
    <w:rsid w:val="003B00DF"/>
    <w:rsid w:val="003B02DA"/>
    <w:rsid w:val="003B0395"/>
    <w:rsid w:val="003B0643"/>
    <w:rsid w:val="003B1275"/>
    <w:rsid w:val="003B1778"/>
    <w:rsid w:val="003B1DCC"/>
    <w:rsid w:val="003B308A"/>
    <w:rsid w:val="003B492E"/>
    <w:rsid w:val="003B5F9B"/>
    <w:rsid w:val="003B6A13"/>
    <w:rsid w:val="003B7846"/>
    <w:rsid w:val="003B7CB1"/>
    <w:rsid w:val="003C11CB"/>
    <w:rsid w:val="003C1947"/>
    <w:rsid w:val="003C2313"/>
    <w:rsid w:val="003C2DEB"/>
    <w:rsid w:val="003C480C"/>
    <w:rsid w:val="003C75F3"/>
    <w:rsid w:val="003C76EA"/>
    <w:rsid w:val="003C78A3"/>
    <w:rsid w:val="003D0517"/>
    <w:rsid w:val="003D0811"/>
    <w:rsid w:val="003D2148"/>
    <w:rsid w:val="003D2A9B"/>
    <w:rsid w:val="003D5703"/>
    <w:rsid w:val="003D5ADE"/>
    <w:rsid w:val="003D65C8"/>
    <w:rsid w:val="003D73A8"/>
    <w:rsid w:val="003D7B0D"/>
    <w:rsid w:val="003E0142"/>
    <w:rsid w:val="003E02D0"/>
    <w:rsid w:val="003E10C8"/>
    <w:rsid w:val="003E1867"/>
    <w:rsid w:val="003E39B2"/>
    <w:rsid w:val="003E530E"/>
    <w:rsid w:val="003E5729"/>
    <w:rsid w:val="003E5738"/>
    <w:rsid w:val="003E6835"/>
    <w:rsid w:val="003E78FA"/>
    <w:rsid w:val="003F239D"/>
    <w:rsid w:val="003F26CC"/>
    <w:rsid w:val="003F3806"/>
    <w:rsid w:val="003F4318"/>
    <w:rsid w:val="003F4436"/>
    <w:rsid w:val="003F4EE0"/>
    <w:rsid w:val="003F6A2A"/>
    <w:rsid w:val="003F6DBB"/>
    <w:rsid w:val="003F6E56"/>
    <w:rsid w:val="003F79F1"/>
    <w:rsid w:val="00402153"/>
    <w:rsid w:val="004029C6"/>
    <w:rsid w:val="00402FC1"/>
    <w:rsid w:val="00403DA6"/>
    <w:rsid w:val="00404636"/>
    <w:rsid w:val="00404E79"/>
    <w:rsid w:val="0040577C"/>
    <w:rsid w:val="004064C1"/>
    <w:rsid w:val="00411017"/>
    <w:rsid w:val="00411FEA"/>
    <w:rsid w:val="00412F50"/>
    <w:rsid w:val="00414DEC"/>
    <w:rsid w:val="004159EC"/>
    <w:rsid w:val="00415AB9"/>
    <w:rsid w:val="00416D41"/>
    <w:rsid w:val="00420A41"/>
    <w:rsid w:val="00421216"/>
    <w:rsid w:val="004226B3"/>
    <w:rsid w:val="0042272F"/>
    <w:rsid w:val="0042298F"/>
    <w:rsid w:val="00425082"/>
    <w:rsid w:val="00425D53"/>
    <w:rsid w:val="00426554"/>
    <w:rsid w:val="00426DB1"/>
    <w:rsid w:val="00427539"/>
    <w:rsid w:val="0042775B"/>
    <w:rsid w:val="0043029C"/>
    <w:rsid w:val="0043035D"/>
    <w:rsid w:val="00430E7A"/>
    <w:rsid w:val="00431BB6"/>
    <w:rsid w:val="00431DEB"/>
    <w:rsid w:val="00433DA9"/>
    <w:rsid w:val="00434396"/>
    <w:rsid w:val="0043450E"/>
    <w:rsid w:val="00435995"/>
    <w:rsid w:val="00436354"/>
    <w:rsid w:val="00437852"/>
    <w:rsid w:val="00437955"/>
    <w:rsid w:val="004413FD"/>
    <w:rsid w:val="0044251F"/>
    <w:rsid w:val="0044274B"/>
    <w:rsid w:val="00442E90"/>
    <w:rsid w:val="004445C3"/>
    <w:rsid w:val="00444FD9"/>
    <w:rsid w:val="00446626"/>
    <w:rsid w:val="00446B29"/>
    <w:rsid w:val="00446C01"/>
    <w:rsid w:val="00447025"/>
    <w:rsid w:val="00447CF4"/>
    <w:rsid w:val="00450760"/>
    <w:rsid w:val="0045126B"/>
    <w:rsid w:val="00451276"/>
    <w:rsid w:val="004515BC"/>
    <w:rsid w:val="00453F9A"/>
    <w:rsid w:val="0045405F"/>
    <w:rsid w:val="004549CF"/>
    <w:rsid w:val="004560DA"/>
    <w:rsid w:val="004566D9"/>
    <w:rsid w:val="00460ED2"/>
    <w:rsid w:val="00461B68"/>
    <w:rsid w:val="00462492"/>
    <w:rsid w:val="0046364E"/>
    <w:rsid w:val="00464F3B"/>
    <w:rsid w:val="0046550E"/>
    <w:rsid w:val="004658CF"/>
    <w:rsid w:val="00466350"/>
    <w:rsid w:val="00466CCF"/>
    <w:rsid w:val="00466FD0"/>
    <w:rsid w:val="00467BF4"/>
    <w:rsid w:val="00471E91"/>
    <w:rsid w:val="00472C59"/>
    <w:rsid w:val="00473AE8"/>
    <w:rsid w:val="00474675"/>
    <w:rsid w:val="0047470C"/>
    <w:rsid w:val="00477802"/>
    <w:rsid w:val="004800A1"/>
    <w:rsid w:val="004802E9"/>
    <w:rsid w:val="0048428D"/>
    <w:rsid w:val="00485154"/>
    <w:rsid w:val="00485435"/>
    <w:rsid w:val="004866EB"/>
    <w:rsid w:val="00487248"/>
    <w:rsid w:val="00487B98"/>
    <w:rsid w:val="00487C24"/>
    <w:rsid w:val="00491BF4"/>
    <w:rsid w:val="00493681"/>
    <w:rsid w:val="00493C34"/>
    <w:rsid w:val="0049496F"/>
    <w:rsid w:val="00495D20"/>
    <w:rsid w:val="00495F00"/>
    <w:rsid w:val="004966F2"/>
    <w:rsid w:val="00496DAE"/>
    <w:rsid w:val="004A08B7"/>
    <w:rsid w:val="004A0AA4"/>
    <w:rsid w:val="004A300D"/>
    <w:rsid w:val="004A35F9"/>
    <w:rsid w:val="004A3D58"/>
    <w:rsid w:val="004A5325"/>
    <w:rsid w:val="004A63C7"/>
    <w:rsid w:val="004A6945"/>
    <w:rsid w:val="004A6F67"/>
    <w:rsid w:val="004A742F"/>
    <w:rsid w:val="004B05A6"/>
    <w:rsid w:val="004B24A3"/>
    <w:rsid w:val="004B24C1"/>
    <w:rsid w:val="004B3422"/>
    <w:rsid w:val="004B399C"/>
    <w:rsid w:val="004B3CD8"/>
    <w:rsid w:val="004B4711"/>
    <w:rsid w:val="004B5762"/>
    <w:rsid w:val="004B62D9"/>
    <w:rsid w:val="004C1B31"/>
    <w:rsid w:val="004C292F"/>
    <w:rsid w:val="004C2B6C"/>
    <w:rsid w:val="004C4F94"/>
    <w:rsid w:val="004C5D02"/>
    <w:rsid w:val="004C6E71"/>
    <w:rsid w:val="004C7350"/>
    <w:rsid w:val="004C763E"/>
    <w:rsid w:val="004D2186"/>
    <w:rsid w:val="004D617E"/>
    <w:rsid w:val="004D6594"/>
    <w:rsid w:val="004D7171"/>
    <w:rsid w:val="004D7426"/>
    <w:rsid w:val="004D7DC3"/>
    <w:rsid w:val="004E1B7A"/>
    <w:rsid w:val="004E31B1"/>
    <w:rsid w:val="004E3A1C"/>
    <w:rsid w:val="004F0C65"/>
    <w:rsid w:val="004F1089"/>
    <w:rsid w:val="004F2DCD"/>
    <w:rsid w:val="004F43C0"/>
    <w:rsid w:val="004F5976"/>
    <w:rsid w:val="004F6434"/>
    <w:rsid w:val="004F65B0"/>
    <w:rsid w:val="004F6A91"/>
    <w:rsid w:val="0050491B"/>
    <w:rsid w:val="00505E8D"/>
    <w:rsid w:val="005069B3"/>
    <w:rsid w:val="00507BB7"/>
    <w:rsid w:val="00507E35"/>
    <w:rsid w:val="00510280"/>
    <w:rsid w:val="00510BAB"/>
    <w:rsid w:val="005118B8"/>
    <w:rsid w:val="00513D73"/>
    <w:rsid w:val="00514A43"/>
    <w:rsid w:val="0051531A"/>
    <w:rsid w:val="00515609"/>
    <w:rsid w:val="005174E5"/>
    <w:rsid w:val="00517C33"/>
    <w:rsid w:val="00520B56"/>
    <w:rsid w:val="00520C43"/>
    <w:rsid w:val="00521C8B"/>
    <w:rsid w:val="00522393"/>
    <w:rsid w:val="005224E9"/>
    <w:rsid w:val="00522620"/>
    <w:rsid w:val="005227A6"/>
    <w:rsid w:val="00523290"/>
    <w:rsid w:val="0052357A"/>
    <w:rsid w:val="0052516F"/>
    <w:rsid w:val="00525656"/>
    <w:rsid w:val="00525B5D"/>
    <w:rsid w:val="00525D28"/>
    <w:rsid w:val="0052617A"/>
    <w:rsid w:val="00527AF3"/>
    <w:rsid w:val="00530F05"/>
    <w:rsid w:val="00531BEB"/>
    <w:rsid w:val="00532C17"/>
    <w:rsid w:val="005332C6"/>
    <w:rsid w:val="005335D8"/>
    <w:rsid w:val="0053474C"/>
    <w:rsid w:val="005347D0"/>
    <w:rsid w:val="00534C02"/>
    <w:rsid w:val="005362CD"/>
    <w:rsid w:val="00536EA1"/>
    <w:rsid w:val="00537AF0"/>
    <w:rsid w:val="0054264B"/>
    <w:rsid w:val="00543786"/>
    <w:rsid w:val="005472CA"/>
    <w:rsid w:val="00550EA9"/>
    <w:rsid w:val="0055162D"/>
    <w:rsid w:val="0055233A"/>
    <w:rsid w:val="00552762"/>
    <w:rsid w:val="00552807"/>
    <w:rsid w:val="0055327B"/>
    <w:rsid w:val="005533D7"/>
    <w:rsid w:val="00554048"/>
    <w:rsid w:val="00554955"/>
    <w:rsid w:val="00560BEE"/>
    <w:rsid w:val="00561A26"/>
    <w:rsid w:val="00562463"/>
    <w:rsid w:val="00563A71"/>
    <w:rsid w:val="005641E8"/>
    <w:rsid w:val="0056616B"/>
    <w:rsid w:val="00567054"/>
    <w:rsid w:val="005703DE"/>
    <w:rsid w:val="00571655"/>
    <w:rsid w:val="00573067"/>
    <w:rsid w:val="00573C17"/>
    <w:rsid w:val="00574A31"/>
    <w:rsid w:val="00575716"/>
    <w:rsid w:val="0057613C"/>
    <w:rsid w:val="0057709E"/>
    <w:rsid w:val="00577F38"/>
    <w:rsid w:val="0058159B"/>
    <w:rsid w:val="00581BCD"/>
    <w:rsid w:val="005821EC"/>
    <w:rsid w:val="00583994"/>
    <w:rsid w:val="005839F1"/>
    <w:rsid w:val="0058464E"/>
    <w:rsid w:val="00590418"/>
    <w:rsid w:val="00590AF8"/>
    <w:rsid w:val="00590C29"/>
    <w:rsid w:val="00591590"/>
    <w:rsid w:val="00591612"/>
    <w:rsid w:val="005921AB"/>
    <w:rsid w:val="00594D6D"/>
    <w:rsid w:val="00594EAA"/>
    <w:rsid w:val="005976D8"/>
    <w:rsid w:val="00597F8C"/>
    <w:rsid w:val="005A01CB"/>
    <w:rsid w:val="005A0DB0"/>
    <w:rsid w:val="005A12AD"/>
    <w:rsid w:val="005A29E7"/>
    <w:rsid w:val="005A413D"/>
    <w:rsid w:val="005A5012"/>
    <w:rsid w:val="005A58FF"/>
    <w:rsid w:val="005A5A15"/>
    <w:rsid w:val="005A5E56"/>
    <w:rsid w:val="005A5EAF"/>
    <w:rsid w:val="005A64C0"/>
    <w:rsid w:val="005B05E4"/>
    <w:rsid w:val="005B0728"/>
    <w:rsid w:val="005B0A2A"/>
    <w:rsid w:val="005B113F"/>
    <w:rsid w:val="005B1820"/>
    <w:rsid w:val="005B3197"/>
    <w:rsid w:val="005B3C11"/>
    <w:rsid w:val="005B42DD"/>
    <w:rsid w:val="005B6F47"/>
    <w:rsid w:val="005C081C"/>
    <w:rsid w:val="005C1C28"/>
    <w:rsid w:val="005C21F3"/>
    <w:rsid w:val="005C2D00"/>
    <w:rsid w:val="005C6348"/>
    <w:rsid w:val="005C6A08"/>
    <w:rsid w:val="005C6C55"/>
    <w:rsid w:val="005C6DB5"/>
    <w:rsid w:val="005C6F42"/>
    <w:rsid w:val="005D2A0A"/>
    <w:rsid w:val="005D3352"/>
    <w:rsid w:val="005D3B66"/>
    <w:rsid w:val="005D49FF"/>
    <w:rsid w:val="005D515C"/>
    <w:rsid w:val="005D5773"/>
    <w:rsid w:val="005D6773"/>
    <w:rsid w:val="005E0AB7"/>
    <w:rsid w:val="005E1825"/>
    <w:rsid w:val="005E19E7"/>
    <w:rsid w:val="005E1CC3"/>
    <w:rsid w:val="005E47CA"/>
    <w:rsid w:val="005E6288"/>
    <w:rsid w:val="005F04E9"/>
    <w:rsid w:val="005F128D"/>
    <w:rsid w:val="005F1A56"/>
    <w:rsid w:val="005F215D"/>
    <w:rsid w:val="005F2212"/>
    <w:rsid w:val="005F3281"/>
    <w:rsid w:val="005F5420"/>
    <w:rsid w:val="005F55E8"/>
    <w:rsid w:val="005F6EB8"/>
    <w:rsid w:val="005F7D18"/>
    <w:rsid w:val="006015AE"/>
    <w:rsid w:val="00605FA3"/>
    <w:rsid w:val="00607CE4"/>
    <w:rsid w:val="00610984"/>
    <w:rsid w:val="00610C0B"/>
    <w:rsid w:val="00610DFD"/>
    <w:rsid w:val="00611DEA"/>
    <w:rsid w:val="00612086"/>
    <w:rsid w:val="006133F9"/>
    <w:rsid w:val="00613F81"/>
    <w:rsid w:val="00615609"/>
    <w:rsid w:val="006166C1"/>
    <w:rsid w:val="0061716C"/>
    <w:rsid w:val="006173CF"/>
    <w:rsid w:val="00617478"/>
    <w:rsid w:val="0062197F"/>
    <w:rsid w:val="006243A1"/>
    <w:rsid w:val="00624496"/>
    <w:rsid w:val="00625098"/>
    <w:rsid w:val="0062581A"/>
    <w:rsid w:val="00625C53"/>
    <w:rsid w:val="00625EDB"/>
    <w:rsid w:val="006274DE"/>
    <w:rsid w:val="00630E57"/>
    <w:rsid w:val="00631518"/>
    <w:rsid w:val="00632B32"/>
    <w:rsid w:val="00632E56"/>
    <w:rsid w:val="006334BD"/>
    <w:rsid w:val="0063482D"/>
    <w:rsid w:val="00634BEA"/>
    <w:rsid w:val="00635CBA"/>
    <w:rsid w:val="00636889"/>
    <w:rsid w:val="00636D97"/>
    <w:rsid w:val="00636FB2"/>
    <w:rsid w:val="00637E47"/>
    <w:rsid w:val="006402AE"/>
    <w:rsid w:val="006403D7"/>
    <w:rsid w:val="0064077E"/>
    <w:rsid w:val="00641D6F"/>
    <w:rsid w:val="00642129"/>
    <w:rsid w:val="0064338B"/>
    <w:rsid w:val="006441A0"/>
    <w:rsid w:val="00644DCE"/>
    <w:rsid w:val="00645DEC"/>
    <w:rsid w:val="00646542"/>
    <w:rsid w:val="00646BBC"/>
    <w:rsid w:val="006504F4"/>
    <w:rsid w:val="00650574"/>
    <w:rsid w:val="0065268C"/>
    <w:rsid w:val="00654BC9"/>
    <w:rsid w:val="00654ECF"/>
    <w:rsid w:val="00655217"/>
    <w:rsid w:val="006552FD"/>
    <w:rsid w:val="00656D7B"/>
    <w:rsid w:val="00656EDA"/>
    <w:rsid w:val="00656F64"/>
    <w:rsid w:val="00660E14"/>
    <w:rsid w:val="006618B4"/>
    <w:rsid w:val="00661D9F"/>
    <w:rsid w:val="00661FFD"/>
    <w:rsid w:val="0066356A"/>
    <w:rsid w:val="00663AF3"/>
    <w:rsid w:val="00665107"/>
    <w:rsid w:val="00665978"/>
    <w:rsid w:val="006659A0"/>
    <w:rsid w:val="00665D98"/>
    <w:rsid w:val="00666B59"/>
    <w:rsid w:val="00666B6C"/>
    <w:rsid w:val="006724CB"/>
    <w:rsid w:val="00674961"/>
    <w:rsid w:val="006754B3"/>
    <w:rsid w:val="006760FE"/>
    <w:rsid w:val="00681DDF"/>
    <w:rsid w:val="00682682"/>
    <w:rsid w:val="00682702"/>
    <w:rsid w:val="00682FD4"/>
    <w:rsid w:val="00685960"/>
    <w:rsid w:val="0068610B"/>
    <w:rsid w:val="00686A25"/>
    <w:rsid w:val="00687D8D"/>
    <w:rsid w:val="00690F5E"/>
    <w:rsid w:val="00691485"/>
    <w:rsid w:val="00691832"/>
    <w:rsid w:val="00692368"/>
    <w:rsid w:val="00694ADE"/>
    <w:rsid w:val="00694B20"/>
    <w:rsid w:val="00695062"/>
    <w:rsid w:val="00696EBC"/>
    <w:rsid w:val="00697A20"/>
    <w:rsid w:val="00697EFD"/>
    <w:rsid w:val="006A0725"/>
    <w:rsid w:val="006A20B8"/>
    <w:rsid w:val="006A251E"/>
    <w:rsid w:val="006A295C"/>
    <w:rsid w:val="006A2BD5"/>
    <w:rsid w:val="006A2C83"/>
    <w:rsid w:val="006A2EBC"/>
    <w:rsid w:val="006A3DFE"/>
    <w:rsid w:val="006A4288"/>
    <w:rsid w:val="006A48D6"/>
    <w:rsid w:val="006A4903"/>
    <w:rsid w:val="006A5C19"/>
    <w:rsid w:val="006A5EA0"/>
    <w:rsid w:val="006A6707"/>
    <w:rsid w:val="006A670B"/>
    <w:rsid w:val="006A783B"/>
    <w:rsid w:val="006A7B33"/>
    <w:rsid w:val="006B049B"/>
    <w:rsid w:val="006B0A33"/>
    <w:rsid w:val="006B0DE3"/>
    <w:rsid w:val="006B0E65"/>
    <w:rsid w:val="006B1458"/>
    <w:rsid w:val="006B1A85"/>
    <w:rsid w:val="006B1BE3"/>
    <w:rsid w:val="006B2775"/>
    <w:rsid w:val="006B2F0C"/>
    <w:rsid w:val="006B3272"/>
    <w:rsid w:val="006B4E13"/>
    <w:rsid w:val="006B5ADB"/>
    <w:rsid w:val="006B75DD"/>
    <w:rsid w:val="006B7C56"/>
    <w:rsid w:val="006B7E4C"/>
    <w:rsid w:val="006C023B"/>
    <w:rsid w:val="006C26C2"/>
    <w:rsid w:val="006C2CA4"/>
    <w:rsid w:val="006C3A01"/>
    <w:rsid w:val="006C3F13"/>
    <w:rsid w:val="006C40A5"/>
    <w:rsid w:val="006C5557"/>
    <w:rsid w:val="006C55BA"/>
    <w:rsid w:val="006C63E7"/>
    <w:rsid w:val="006C672D"/>
    <w:rsid w:val="006C67E0"/>
    <w:rsid w:val="006C7ABA"/>
    <w:rsid w:val="006D05E0"/>
    <w:rsid w:val="006D0D60"/>
    <w:rsid w:val="006D1122"/>
    <w:rsid w:val="006D131D"/>
    <w:rsid w:val="006D1965"/>
    <w:rsid w:val="006D3311"/>
    <w:rsid w:val="006D3C00"/>
    <w:rsid w:val="006D5523"/>
    <w:rsid w:val="006D7930"/>
    <w:rsid w:val="006D7AC6"/>
    <w:rsid w:val="006E3675"/>
    <w:rsid w:val="006E49A9"/>
    <w:rsid w:val="006E4A7F"/>
    <w:rsid w:val="006E5216"/>
    <w:rsid w:val="006E603E"/>
    <w:rsid w:val="006E636B"/>
    <w:rsid w:val="006F0CEF"/>
    <w:rsid w:val="006F1F0F"/>
    <w:rsid w:val="006F1F1B"/>
    <w:rsid w:val="006F2949"/>
    <w:rsid w:val="006F2D9D"/>
    <w:rsid w:val="006F3147"/>
    <w:rsid w:val="006F411E"/>
    <w:rsid w:val="006F537E"/>
    <w:rsid w:val="006F5879"/>
    <w:rsid w:val="006F617B"/>
    <w:rsid w:val="006F66A9"/>
    <w:rsid w:val="006F6FDD"/>
    <w:rsid w:val="006F74DD"/>
    <w:rsid w:val="006F7CA0"/>
    <w:rsid w:val="007015EE"/>
    <w:rsid w:val="0070360C"/>
    <w:rsid w:val="00703813"/>
    <w:rsid w:val="00704DF6"/>
    <w:rsid w:val="00705E31"/>
    <w:rsid w:val="00705F17"/>
    <w:rsid w:val="0070651C"/>
    <w:rsid w:val="00706C03"/>
    <w:rsid w:val="007102D6"/>
    <w:rsid w:val="00710518"/>
    <w:rsid w:val="007118FE"/>
    <w:rsid w:val="00711FFC"/>
    <w:rsid w:val="007132A3"/>
    <w:rsid w:val="007147D7"/>
    <w:rsid w:val="0071486B"/>
    <w:rsid w:val="00716421"/>
    <w:rsid w:val="0072113F"/>
    <w:rsid w:val="00722F3B"/>
    <w:rsid w:val="0072357C"/>
    <w:rsid w:val="00723F09"/>
    <w:rsid w:val="00724EFB"/>
    <w:rsid w:val="00725032"/>
    <w:rsid w:val="00725A71"/>
    <w:rsid w:val="00725EA7"/>
    <w:rsid w:val="00726E84"/>
    <w:rsid w:val="007303A0"/>
    <w:rsid w:val="00732419"/>
    <w:rsid w:val="0073278E"/>
    <w:rsid w:val="007328EA"/>
    <w:rsid w:val="00733071"/>
    <w:rsid w:val="00733179"/>
    <w:rsid w:val="00734196"/>
    <w:rsid w:val="00735138"/>
    <w:rsid w:val="00735BD1"/>
    <w:rsid w:val="00736430"/>
    <w:rsid w:val="00736A8E"/>
    <w:rsid w:val="00740B0F"/>
    <w:rsid w:val="007419C3"/>
    <w:rsid w:val="00741D7E"/>
    <w:rsid w:val="00742557"/>
    <w:rsid w:val="00742775"/>
    <w:rsid w:val="00742855"/>
    <w:rsid w:val="007429E7"/>
    <w:rsid w:val="00742A59"/>
    <w:rsid w:val="0074322F"/>
    <w:rsid w:val="007433C6"/>
    <w:rsid w:val="00745755"/>
    <w:rsid w:val="007459A8"/>
    <w:rsid w:val="00746549"/>
    <w:rsid w:val="007467A7"/>
    <w:rsid w:val="007469DD"/>
    <w:rsid w:val="0074741B"/>
    <w:rsid w:val="0074759E"/>
    <w:rsid w:val="007478EA"/>
    <w:rsid w:val="007509CF"/>
    <w:rsid w:val="00753036"/>
    <w:rsid w:val="00753D2B"/>
    <w:rsid w:val="00753EBC"/>
    <w:rsid w:val="0075415C"/>
    <w:rsid w:val="007545D9"/>
    <w:rsid w:val="0075539D"/>
    <w:rsid w:val="007559BF"/>
    <w:rsid w:val="00756562"/>
    <w:rsid w:val="00756668"/>
    <w:rsid w:val="00756764"/>
    <w:rsid w:val="0075705B"/>
    <w:rsid w:val="00760096"/>
    <w:rsid w:val="00760C6C"/>
    <w:rsid w:val="0076172E"/>
    <w:rsid w:val="007620F6"/>
    <w:rsid w:val="00763502"/>
    <w:rsid w:val="0076352F"/>
    <w:rsid w:val="00764089"/>
    <w:rsid w:val="007656A5"/>
    <w:rsid w:val="00765DF6"/>
    <w:rsid w:val="00771132"/>
    <w:rsid w:val="00771499"/>
    <w:rsid w:val="00775AE0"/>
    <w:rsid w:val="00775EED"/>
    <w:rsid w:val="007765A0"/>
    <w:rsid w:val="007766EE"/>
    <w:rsid w:val="00776EBA"/>
    <w:rsid w:val="00781D64"/>
    <w:rsid w:val="0078213C"/>
    <w:rsid w:val="007836FB"/>
    <w:rsid w:val="007847BA"/>
    <w:rsid w:val="007847F7"/>
    <w:rsid w:val="007861D8"/>
    <w:rsid w:val="007913AB"/>
    <w:rsid w:val="007914F7"/>
    <w:rsid w:val="00792641"/>
    <w:rsid w:val="00792D05"/>
    <w:rsid w:val="00793D8B"/>
    <w:rsid w:val="00794D6C"/>
    <w:rsid w:val="007951D6"/>
    <w:rsid w:val="00795ADC"/>
    <w:rsid w:val="00795D4F"/>
    <w:rsid w:val="0079663C"/>
    <w:rsid w:val="007A0327"/>
    <w:rsid w:val="007A0385"/>
    <w:rsid w:val="007A05E3"/>
    <w:rsid w:val="007A24EE"/>
    <w:rsid w:val="007A3118"/>
    <w:rsid w:val="007A3229"/>
    <w:rsid w:val="007A4D4B"/>
    <w:rsid w:val="007B0388"/>
    <w:rsid w:val="007B1625"/>
    <w:rsid w:val="007B221D"/>
    <w:rsid w:val="007B3309"/>
    <w:rsid w:val="007B4C3C"/>
    <w:rsid w:val="007B58C0"/>
    <w:rsid w:val="007B6161"/>
    <w:rsid w:val="007B642F"/>
    <w:rsid w:val="007B69F8"/>
    <w:rsid w:val="007B706E"/>
    <w:rsid w:val="007B71EB"/>
    <w:rsid w:val="007B7658"/>
    <w:rsid w:val="007C45B5"/>
    <w:rsid w:val="007C53EB"/>
    <w:rsid w:val="007C5419"/>
    <w:rsid w:val="007C5639"/>
    <w:rsid w:val="007C6205"/>
    <w:rsid w:val="007C686A"/>
    <w:rsid w:val="007C728E"/>
    <w:rsid w:val="007C737E"/>
    <w:rsid w:val="007D0A79"/>
    <w:rsid w:val="007D2268"/>
    <w:rsid w:val="007D2754"/>
    <w:rsid w:val="007D2C53"/>
    <w:rsid w:val="007D2FBC"/>
    <w:rsid w:val="007D3D60"/>
    <w:rsid w:val="007D6EAE"/>
    <w:rsid w:val="007D6F7F"/>
    <w:rsid w:val="007D70D4"/>
    <w:rsid w:val="007E1980"/>
    <w:rsid w:val="007E2146"/>
    <w:rsid w:val="007E305C"/>
    <w:rsid w:val="007E4B76"/>
    <w:rsid w:val="007E52CB"/>
    <w:rsid w:val="007E5EA8"/>
    <w:rsid w:val="007E6262"/>
    <w:rsid w:val="007E67D9"/>
    <w:rsid w:val="007E693D"/>
    <w:rsid w:val="007E6BFA"/>
    <w:rsid w:val="007F03AC"/>
    <w:rsid w:val="007F0CF1"/>
    <w:rsid w:val="007F0DDB"/>
    <w:rsid w:val="007F12A5"/>
    <w:rsid w:val="007F1A2E"/>
    <w:rsid w:val="007F2042"/>
    <w:rsid w:val="007F33A5"/>
    <w:rsid w:val="007F376E"/>
    <w:rsid w:val="007F4CF1"/>
    <w:rsid w:val="007F4FDE"/>
    <w:rsid w:val="007F5854"/>
    <w:rsid w:val="007F598F"/>
    <w:rsid w:val="007F60F9"/>
    <w:rsid w:val="007F6A96"/>
    <w:rsid w:val="007F758D"/>
    <w:rsid w:val="007F7D52"/>
    <w:rsid w:val="008002F7"/>
    <w:rsid w:val="008004D2"/>
    <w:rsid w:val="00800D48"/>
    <w:rsid w:val="008018D0"/>
    <w:rsid w:val="008029D1"/>
    <w:rsid w:val="00803A06"/>
    <w:rsid w:val="0080654C"/>
    <w:rsid w:val="008071C6"/>
    <w:rsid w:val="00807531"/>
    <w:rsid w:val="00807732"/>
    <w:rsid w:val="00810734"/>
    <w:rsid w:val="00810994"/>
    <w:rsid w:val="00812802"/>
    <w:rsid w:val="008129CF"/>
    <w:rsid w:val="008138C7"/>
    <w:rsid w:val="00813917"/>
    <w:rsid w:val="00814104"/>
    <w:rsid w:val="00815CE5"/>
    <w:rsid w:val="008167EA"/>
    <w:rsid w:val="00816E08"/>
    <w:rsid w:val="00817A00"/>
    <w:rsid w:val="00820B9A"/>
    <w:rsid w:val="00821E9D"/>
    <w:rsid w:val="00821EB0"/>
    <w:rsid w:val="00822D1A"/>
    <w:rsid w:val="0082317A"/>
    <w:rsid w:val="00823418"/>
    <w:rsid w:val="00823654"/>
    <w:rsid w:val="008241EE"/>
    <w:rsid w:val="00825950"/>
    <w:rsid w:val="00827900"/>
    <w:rsid w:val="00830353"/>
    <w:rsid w:val="00830A5A"/>
    <w:rsid w:val="00831175"/>
    <w:rsid w:val="00831917"/>
    <w:rsid w:val="00832539"/>
    <w:rsid w:val="00833450"/>
    <w:rsid w:val="00835052"/>
    <w:rsid w:val="00835DB3"/>
    <w:rsid w:val="00836083"/>
    <w:rsid w:val="0083617B"/>
    <w:rsid w:val="008365AF"/>
    <w:rsid w:val="00836704"/>
    <w:rsid w:val="00836EFE"/>
    <w:rsid w:val="0083705E"/>
    <w:rsid w:val="008371BD"/>
    <w:rsid w:val="00837725"/>
    <w:rsid w:val="00837FAF"/>
    <w:rsid w:val="0084063C"/>
    <w:rsid w:val="0084259D"/>
    <w:rsid w:val="00843652"/>
    <w:rsid w:val="00843781"/>
    <w:rsid w:val="0084388B"/>
    <w:rsid w:val="00844E0B"/>
    <w:rsid w:val="00846647"/>
    <w:rsid w:val="00846E97"/>
    <w:rsid w:val="008504A8"/>
    <w:rsid w:val="00850628"/>
    <w:rsid w:val="0085186F"/>
    <w:rsid w:val="00851E6C"/>
    <w:rsid w:val="00852153"/>
    <w:rsid w:val="00852531"/>
    <w:rsid w:val="0085282E"/>
    <w:rsid w:val="00853524"/>
    <w:rsid w:val="008538F3"/>
    <w:rsid w:val="00853EED"/>
    <w:rsid w:val="0085461A"/>
    <w:rsid w:val="00857704"/>
    <w:rsid w:val="00860D63"/>
    <w:rsid w:val="008620AA"/>
    <w:rsid w:val="00864B30"/>
    <w:rsid w:val="00864E2F"/>
    <w:rsid w:val="00865003"/>
    <w:rsid w:val="0086544E"/>
    <w:rsid w:val="0086572D"/>
    <w:rsid w:val="008675F4"/>
    <w:rsid w:val="00867F5E"/>
    <w:rsid w:val="008701BA"/>
    <w:rsid w:val="00871049"/>
    <w:rsid w:val="008711FC"/>
    <w:rsid w:val="0087198C"/>
    <w:rsid w:val="00871DE6"/>
    <w:rsid w:val="008725EF"/>
    <w:rsid w:val="00872C1F"/>
    <w:rsid w:val="00873458"/>
    <w:rsid w:val="0087388B"/>
    <w:rsid w:val="00873B42"/>
    <w:rsid w:val="00873D8F"/>
    <w:rsid w:val="00876A37"/>
    <w:rsid w:val="00877B12"/>
    <w:rsid w:val="0088051B"/>
    <w:rsid w:val="008813A4"/>
    <w:rsid w:val="008837AC"/>
    <w:rsid w:val="00885176"/>
    <w:rsid w:val="008856D8"/>
    <w:rsid w:val="0088599A"/>
    <w:rsid w:val="00887A05"/>
    <w:rsid w:val="00887D5D"/>
    <w:rsid w:val="00890295"/>
    <w:rsid w:val="008918D4"/>
    <w:rsid w:val="00891FA5"/>
    <w:rsid w:val="00892E82"/>
    <w:rsid w:val="008932F8"/>
    <w:rsid w:val="0089434B"/>
    <w:rsid w:val="008946E2"/>
    <w:rsid w:val="00894747"/>
    <w:rsid w:val="0089559F"/>
    <w:rsid w:val="0089590B"/>
    <w:rsid w:val="008972DF"/>
    <w:rsid w:val="00897500"/>
    <w:rsid w:val="008979FA"/>
    <w:rsid w:val="008A2146"/>
    <w:rsid w:val="008A2733"/>
    <w:rsid w:val="008A286B"/>
    <w:rsid w:val="008A35C6"/>
    <w:rsid w:val="008A3CB3"/>
    <w:rsid w:val="008A3D50"/>
    <w:rsid w:val="008A4582"/>
    <w:rsid w:val="008A64B0"/>
    <w:rsid w:val="008B16EC"/>
    <w:rsid w:val="008B1CB0"/>
    <w:rsid w:val="008B29C0"/>
    <w:rsid w:val="008B30C0"/>
    <w:rsid w:val="008B3225"/>
    <w:rsid w:val="008B70B5"/>
    <w:rsid w:val="008B7B07"/>
    <w:rsid w:val="008C1B58"/>
    <w:rsid w:val="008C2C67"/>
    <w:rsid w:val="008C39AE"/>
    <w:rsid w:val="008C3E78"/>
    <w:rsid w:val="008C508C"/>
    <w:rsid w:val="008C5611"/>
    <w:rsid w:val="008C590D"/>
    <w:rsid w:val="008C6175"/>
    <w:rsid w:val="008C653C"/>
    <w:rsid w:val="008C7476"/>
    <w:rsid w:val="008C7821"/>
    <w:rsid w:val="008D0221"/>
    <w:rsid w:val="008D02BB"/>
    <w:rsid w:val="008D093B"/>
    <w:rsid w:val="008D0A50"/>
    <w:rsid w:val="008D254B"/>
    <w:rsid w:val="008D4125"/>
    <w:rsid w:val="008D42DB"/>
    <w:rsid w:val="008D4B69"/>
    <w:rsid w:val="008D56A1"/>
    <w:rsid w:val="008D5C85"/>
    <w:rsid w:val="008D602E"/>
    <w:rsid w:val="008D6D76"/>
    <w:rsid w:val="008D79E8"/>
    <w:rsid w:val="008E031B"/>
    <w:rsid w:val="008E11ED"/>
    <w:rsid w:val="008E1EED"/>
    <w:rsid w:val="008E2135"/>
    <w:rsid w:val="008E2EC5"/>
    <w:rsid w:val="008E2F36"/>
    <w:rsid w:val="008E607A"/>
    <w:rsid w:val="008E699F"/>
    <w:rsid w:val="008E7029"/>
    <w:rsid w:val="008E76E7"/>
    <w:rsid w:val="008E7EF6"/>
    <w:rsid w:val="008F1948"/>
    <w:rsid w:val="008F1A97"/>
    <w:rsid w:val="008F1F98"/>
    <w:rsid w:val="008F3594"/>
    <w:rsid w:val="008F4862"/>
    <w:rsid w:val="008F4E51"/>
    <w:rsid w:val="008F5B9B"/>
    <w:rsid w:val="008F5BE2"/>
    <w:rsid w:val="008F6758"/>
    <w:rsid w:val="008F77F1"/>
    <w:rsid w:val="0090057C"/>
    <w:rsid w:val="00902A76"/>
    <w:rsid w:val="00902DE7"/>
    <w:rsid w:val="009034C2"/>
    <w:rsid w:val="009037F8"/>
    <w:rsid w:val="009040DD"/>
    <w:rsid w:val="009056EB"/>
    <w:rsid w:val="00905A8A"/>
    <w:rsid w:val="00905B47"/>
    <w:rsid w:val="00906138"/>
    <w:rsid w:val="0090723C"/>
    <w:rsid w:val="0090737F"/>
    <w:rsid w:val="00910619"/>
    <w:rsid w:val="00910C3B"/>
    <w:rsid w:val="00912CE2"/>
    <w:rsid w:val="0091331C"/>
    <w:rsid w:val="00913FEE"/>
    <w:rsid w:val="00917E95"/>
    <w:rsid w:val="009203DF"/>
    <w:rsid w:val="009205BB"/>
    <w:rsid w:val="00921C7A"/>
    <w:rsid w:val="009228C9"/>
    <w:rsid w:val="0092292E"/>
    <w:rsid w:val="00923AEB"/>
    <w:rsid w:val="009255F5"/>
    <w:rsid w:val="00926632"/>
    <w:rsid w:val="00926D4B"/>
    <w:rsid w:val="009279DE"/>
    <w:rsid w:val="00927D5A"/>
    <w:rsid w:val="00930116"/>
    <w:rsid w:val="00931C8E"/>
    <w:rsid w:val="009336BC"/>
    <w:rsid w:val="0093538C"/>
    <w:rsid w:val="009360B6"/>
    <w:rsid w:val="00936699"/>
    <w:rsid w:val="009367BE"/>
    <w:rsid w:val="0093779A"/>
    <w:rsid w:val="00940E29"/>
    <w:rsid w:val="00941374"/>
    <w:rsid w:val="00941B53"/>
    <w:rsid w:val="0094212C"/>
    <w:rsid w:val="009433BA"/>
    <w:rsid w:val="00943981"/>
    <w:rsid w:val="00943B3E"/>
    <w:rsid w:val="00944430"/>
    <w:rsid w:val="0094468D"/>
    <w:rsid w:val="00947A83"/>
    <w:rsid w:val="00950166"/>
    <w:rsid w:val="00950974"/>
    <w:rsid w:val="00951FF7"/>
    <w:rsid w:val="009528F8"/>
    <w:rsid w:val="00953691"/>
    <w:rsid w:val="00953A66"/>
    <w:rsid w:val="00954689"/>
    <w:rsid w:val="009556E0"/>
    <w:rsid w:val="00956C63"/>
    <w:rsid w:val="00956CDE"/>
    <w:rsid w:val="00957528"/>
    <w:rsid w:val="009576E1"/>
    <w:rsid w:val="009579F4"/>
    <w:rsid w:val="00957A4E"/>
    <w:rsid w:val="0096088F"/>
    <w:rsid w:val="00960D14"/>
    <w:rsid w:val="00960DEB"/>
    <w:rsid w:val="009617C9"/>
    <w:rsid w:val="00961920"/>
    <w:rsid w:val="00961C93"/>
    <w:rsid w:val="00962474"/>
    <w:rsid w:val="00962BA8"/>
    <w:rsid w:val="00963045"/>
    <w:rsid w:val="00963FEB"/>
    <w:rsid w:val="00965324"/>
    <w:rsid w:val="00966E21"/>
    <w:rsid w:val="00967537"/>
    <w:rsid w:val="0097091E"/>
    <w:rsid w:val="0097108F"/>
    <w:rsid w:val="009726D4"/>
    <w:rsid w:val="00972C7F"/>
    <w:rsid w:val="0097401D"/>
    <w:rsid w:val="00974760"/>
    <w:rsid w:val="00974CB8"/>
    <w:rsid w:val="009753F7"/>
    <w:rsid w:val="009760D3"/>
    <w:rsid w:val="0097622F"/>
    <w:rsid w:val="00977132"/>
    <w:rsid w:val="009817A3"/>
    <w:rsid w:val="009819B8"/>
    <w:rsid w:val="00981A4B"/>
    <w:rsid w:val="0098213B"/>
    <w:rsid w:val="009823DA"/>
    <w:rsid w:val="00982501"/>
    <w:rsid w:val="00983007"/>
    <w:rsid w:val="0098437D"/>
    <w:rsid w:val="00984C15"/>
    <w:rsid w:val="00986451"/>
    <w:rsid w:val="00986536"/>
    <w:rsid w:val="00986AC3"/>
    <w:rsid w:val="00986CA5"/>
    <w:rsid w:val="00987569"/>
    <w:rsid w:val="009877D3"/>
    <w:rsid w:val="00987F01"/>
    <w:rsid w:val="0099119A"/>
    <w:rsid w:val="00993AB7"/>
    <w:rsid w:val="00994E8F"/>
    <w:rsid w:val="009951DC"/>
    <w:rsid w:val="009959BB"/>
    <w:rsid w:val="00995ECB"/>
    <w:rsid w:val="00997158"/>
    <w:rsid w:val="009A06F8"/>
    <w:rsid w:val="009A167F"/>
    <w:rsid w:val="009A1D0A"/>
    <w:rsid w:val="009A1EEA"/>
    <w:rsid w:val="009A257D"/>
    <w:rsid w:val="009A34EC"/>
    <w:rsid w:val="009A3A7C"/>
    <w:rsid w:val="009A5003"/>
    <w:rsid w:val="009A7DF7"/>
    <w:rsid w:val="009B0267"/>
    <w:rsid w:val="009B03EA"/>
    <w:rsid w:val="009B10D5"/>
    <w:rsid w:val="009B13CD"/>
    <w:rsid w:val="009B2437"/>
    <w:rsid w:val="009B2ADB"/>
    <w:rsid w:val="009B2E24"/>
    <w:rsid w:val="009B346D"/>
    <w:rsid w:val="009B4DE2"/>
    <w:rsid w:val="009B603A"/>
    <w:rsid w:val="009B65DC"/>
    <w:rsid w:val="009B7E64"/>
    <w:rsid w:val="009C07EF"/>
    <w:rsid w:val="009C12DD"/>
    <w:rsid w:val="009C266D"/>
    <w:rsid w:val="009C2D0E"/>
    <w:rsid w:val="009C3DAC"/>
    <w:rsid w:val="009C42E0"/>
    <w:rsid w:val="009C56AF"/>
    <w:rsid w:val="009C59E0"/>
    <w:rsid w:val="009C5CBB"/>
    <w:rsid w:val="009C7E49"/>
    <w:rsid w:val="009D1C80"/>
    <w:rsid w:val="009D209B"/>
    <w:rsid w:val="009D25E7"/>
    <w:rsid w:val="009D2715"/>
    <w:rsid w:val="009D5362"/>
    <w:rsid w:val="009D540C"/>
    <w:rsid w:val="009D5FE9"/>
    <w:rsid w:val="009D6C21"/>
    <w:rsid w:val="009D7D5E"/>
    <w:rsid w:val="009E1415"/>
    <w:rsid w:val="009E1606"/>
    <w:rsid w:val="009E16DE"/>
    <w:rsid w:val="009E1CB7"/>
    <w:rsid w:val="009E2464"/>
    <w:rsid w:val="009E42C2"/>
    <w:rsid w:val="009E453B"/>
    <w:rsid w:val="009E460A"/>
    <w:rsid w:val="009E4A21"/>
    <w:rsid w:val="009E4D90"/>
    <w:rsid w:val="009E5A3D"/>
    <w:rsid w:val="009E6116"/>
    <w:rsid w:val="009E7579"/>
    <w:rsid w:val="009F138E"/>
    <w:rsid w:val="009F2A75"/>
    <w:rsid w:val="009F2B29"/>
    <w:rsid w:val="009F360A"/>
    <w:rsid w:val="009F3735"/>
    <w:rsid w:val="009F3AB4"/>
    <w:rsid w:val="009F5DEF"/>
    <w:rsid w:val="009F60B0"/>
    <w:rsid w:val="009F7846"/>
    <w:rsid w:val="00A02C84"/>
    <w:rsid w:val="00A02E43"/>
    <w:rsid w:val="00A02FD0"/>
    <w:rsid w:val="00A030DE"/>
    <w:rsid w:val="00A050CB"/>
    <w:rsid w:val="00A065F9"/>
    <w:rsid w:val="00A06718"/>
    <w:rsid w:val="00A069B4"/>
    <w:rsid w:val="00A07B3B"/>
    <w:rsid w:val="00A07F34"/>
    <w:rsid w:val="00A105B8"/>
    <w:rsid w:val="00A10BA2"/>
    <w:rsid w:val="00A1333C"/>
    <w:rsid w:val="00A13A4C"/>
    <w:rsid w:val="00A153D5"/>
    <w:rsid w:val="00A1641E"/>
    <w:rsid w:val="00A1663B"/>
    <w:rsid w:val="00A20EE1"/>
    <w:rsid w:val="00A211AB"/>
    <w:rsid w:val="00A217A6"/>
    <w:rsid w:val="00A21DA0"/>
    <w:rsid w:val="00A22154"/>
    <w:rsid w:val="00A22443"/>
    <w:rsid w:val="00A2491A"/>
    <w:rsid w:val="00A24E56"/>
    <w:rsid w:val="00A258C0"/>
    <w:rsid w:val="00A25C38"/>
    <w:rsid w:val="00A2605F"/>
    <w:rsid w:val="00A26143"/>
    <w:rsid w:val="00A274B2"/>
    <w:rsid w:val="00A31463"/>
    <w:rsid w:val="00A31687"/>
    <w:rsid w:val="00A31BB0"/>
    <w:rsid w:val="00A33367"/>
    <w:rsid w:val="00A334DA"/>
    <w:rsid w:val="00A33B9B"/>
    <w:rsid w:val="00A340FE"/>
    <w:rsid w:val="00A3544A"/>
    <w:rsid w:val="00A358DD"/>
    <w:rsid w:val="00A36059"/>
    <w:rsid w:val="00A36BBE"/>
    <w:rsid w:val="00A37409"/>
    <w:rsid w:val="00A40F81"/>
    <w:rsid w:val="00A42369"/>
    <w:rsid w:val="00A4307A"/>
    <w:rsid w:val="00A430F4"/>
    <w:rsid w:val="00A43310"/>
    <w:rsid w:val="00A43671"/>
    <w:rsid w:val="00A4380F"/>
    <w:rsid w:val="00A46781"/>
    <w:rsid w:val="00A46F45"/>
    <w:rsid w:val="00A47040"/>
    <w:rsid w:val="00A47AAA"/>
    <w:rsid w:val="00A47E06"/>
    <w:rsid w:val="00A47EBB"/>
    <w:rsid w:val="00A5054B"/>
    <w:rsid w:val="00A51505"/>
    <w:rsid w:val="00A51776"/>
    <w:rsid w:val="00A51CDD"/>
    <w:rsid w:val="00A52B47"/>
    <w:rsid w:val="00A52FAE"/>
    <w:rsid w:val="00A54AA0"/>
    <w:rsid w:val="00A55402"/>
    <w:rsid w:val="00A55586"/>
    <w:rsid w:val="00A55E22"/>
    <w:rsid w:val="00A56AF7"/>
    <w:rsid w:val="00A57C1F"/>
    <w:rsid w:val="00A62CD2"/>
    <w:rsid w:val="00A645F9"/>
    <w:rsid w:val="00A647F8"/>
    <w:rsid w:val="00A657B8"/>
    <w:rsid w:val="00A65D78"/>
    <w:rsid w:val="00A65EA4"/>
    <w:rsid w:val="00A66DAA"/>
    <w:rsid w:val="00A6730D"/>
    <w:rsid w:val="00A70D9C"/>
    <w:rsid w:val="00A71625"/>
    <w:rsid w:val="00A71B9B"/>
    <w:rsid w:val="00A72DCC"/>
    <w:rsid w:val="00A733C2"/>
    <w:rsid w:val="00A74437"/>
    <w:rsid w:val="00A748BF"/>
    <w:rsid w:val="00A74C44"/>
    <w:rsid w:val="00A74CE2"/>
    <w:rsid w:val="00A751C7"/>
    <w:rsid w:val="00A75488"/>
    <w:rsid w:val="00A76CB6"/>
    <w:rsid w:val="00A806CD"/>
    <w:rsid w:val="00A80D22"/>
    <w:rsid w:val="00A8277F"/>
    <w:rsid w:val="00A82D6C"/>
    <w:rsid w:val="00A83081"/>
    <w:rsid w:val="00A836C1"/>
    <w:rsid w:val="00A83A3A"/>
    <w:rsid w:val="00A850E8"/>
    <w:rsid w:val="00A85610"/>
    <w:rsid w:val="00A86F87"/>
    <w:rsid w:val="00A87844"/>
    <w:rsid w:val="00A87F80"/>
    <w:rsid w:val="00A90017"/>
    <w:rsid w:val="00A91334"/>
    <w:rsid w:val="00A923E9"/>
    <w:rsid w:val="00A9259D"/>
    <w:rsid w:val="00A935DD"/>
    <w:rsid w:val="00A95527"/>
    <w:rsid w:val="00A956E2"/>
    <w:rsid w:val="00A95834"/>
    <w:rsid w:val="00A95873"/>
    <w:rsid w:val="00A95DFF"/>
    <w:rsid w:val="00A970D1"/>
    <w:rsid w:val="00A97B28"/>
    <w:rsid w:val="00A97E37"/>
    <w:rsid w:val="00A97E93"/>
    <w:rsid w:val="00AA006C"/>
    <w:rsid w:val="00AA038C"/>
    <w:rsid w:val="00AA1517"/>
    <w:rsid w:val="00AA164B"/>
    <w:rsid w:val="00AA2306"/>
    <w:rsid w:val="00AA260C"/>
    <w:rsid w:val="00AA397E"/>
    <w:rsid w:val="00AA4341"/>
    <w:rsid w:val="00AA47B8"/>
    <w:rsid w:val="00AA4932"/>
    <w:rsid w:val="00AA5025"/>
    <w:rsid w:val="00AA528C"/>
    <w:rsid w:val="00AA531C"/>
    <w:rsid w:val="00AA58F6"/>
    <w:rsid w:val="00AA5905"/>
    <w:rsid w:val="00AA6B01"/>
    <w:rsid w:val="00AA7A09"/>
    <w:rsid w:val="00AB0015"/>
    <w:rsid w:val="00AB0FDC"/>
    <w:rsid w:val="00AB2175"/>
    <w:rsid w:val="00AB38EC"/>
    <w:rsid w:val="00AB3B50"/>
    <w:rsid w:val="00AB481A"/>
    <w:rsid w:val="00AB50E0"/>
    <w:rsid w:val="00AB60F9"/>
    <w:rsid w:val="00AB7FB6"/>
    <w:rsid w:val="00AC05B1"/>
    <w:rsid w:val="00AC1FFA"/>
    <w:rsid w:val="00AC3584"/>
    <w:rsid w:val="00AC3E91"/>
    <w:rsid w:val="00AC4F28"/>
    <w:rsid w:val="00AC5EB0"/>
    <w:rsid w:val="00AC7E3F"/>
    <w:rsid w:val="00AD1B4B"/>
    <w:rsid w:val="00AD2F1F"/>
    <w:rsid w:val="00AD356C"/>
    <w:rsid w:val="00AD3C60"/>
    <w:rsid w:val="00AD474F"/>
    <w:rsid w:val="00AD608B"/>
    <w:rsid w:val="00AD6785"/>
    <w:rsid w:val="00AD711D"/>
    <w:rsid w:val="00AE15F4"/>
    <w:rsid w:val="00AE2914"/>
    <w:rsid w:val="00AE2D52"/>
    <w:rsid w:val="00AE3580"/>
    <w:rsid w:val="00AE4A83"/>
    <w:rsid w:val="00AE5FA9"/>
    <w:rsid w:val="00AE6D15"/>
    <w:rsid w:val="00AE70E7"/>
    <w:rsid w:val="00AE713E"/>
    <w:rsid w:val="00AF1D66"/>
    <w:rsid w:val="00AF1F4C"/>
    <w:rsid w:val="00AF201C"/>
    <w:rsid w:val="00AF2B08"/>
    <w:rsid w:val="00AF4BE0"/>
    <w:rsid w:val="00AF5941"/>
    <w:rsid w:val="00B00F7D"/>
    <w:rsid w:val="00B0191C"/>
    <w:rsid w:val="00B0267C"/>
    <w:rsid w:val="00B04182"/>
    <w:rsid w:val="00B0428A"/>
    <w:rsid w:val="00B04421"/>
    <w:rsid w:val="00B05B22"/>
    <w:rsid w:val="00B06476"/>
    <w:rsid w:val="00B068A4"/>
    <w:rsid w:val="00B06DA2"/>
    <w:rsid w:val="00B07AE3"/>
    <w:rsid w:val="00B07F31"/>
    <w:rsid w:val="00B100B6"/>
    <w:rsid w:val="00B1052E"/>
    <w:rsid w:val="00B108E2"/>
    <w:rsid w:val="00B10C13"/>
    <w:rsid w:val="00B111EF"/>
    <w:rsid w:val="00B11430"/>
    <w:rsid w:val="00B11453"/>
    <w:rsid w:val="00B1160F"/>
    <w:rsid w:val="00B12A66"/>
    <w:rsid w:val="00B12BE4"/>
    <w:rsid w:val="00B12FB6"/>
    <w:rsid w:val="00B147C4"/>
    <w:rsid w:val="00B20859"/>
    <w:rsid w:val="00B23542"/>
    <w:rsid w:val="00B24005"/>
    <w:rsid w:val="00B248B1"/>
    <w:rsid w:val="00B24A73"/>
    <w:rsid w:val="00B25ED5"/>
    <w:rsid w:val="00B25F1D"/>
    <w:rsid w:val="00B25F42"/>
    <w:rsid w:val="00B25F90"/>
    <w:rsid w:val="00B2608E"/>
    <w:rsid w:val="00B26714"/>
    <w:rsid w:val="00B27C96"/>
    <w:rsid w:val="00B27FA9"/>
    <w:rsid w:val="00B32DAD"/>
    <w:rsid w:val="00B32E0C"/>
    <w:rsid w:val="00B3310D"/>
    <w:rsid w:val="00B33159"/>
    <w:rsid w:val="00B3351E"/>
    <w:rsid w:val="00B33746"/>
    <w:rsid w:val="00B353EB"/>
    <w:rsid w:val="00B35A70"/>
    <w:rsid w:val="00B40337"/>
    <w:rsid w:val="00B41B25"/>
    <w:rsid w:val="00B42775"/>
    <w:rsid w:val="00B42AC2"/>
    <w:rsid w:val="00B437EC"/>
    <w:rsid w:val="00B438DB"/>
    <w:rsid w:val="00B439C4"/>
    <w:rsid w:val="00B441E5"/>
    <w:rsid w:val="00B4535E"/>
    <w:rsid w:val="00B46C91"/>
    <w:rsid w:val="00B50C88"/>
    <w:rsid w:val="00B50F8E"/>
    <w:rsid w:val="00B52A8C"/>
    <w:rsid w:val="00B52AB9"/>
    <w:rsid w:val="00B52D1A"/>
    <w:rsid w:val="00B531FF"/>
    <w:rsid w:val="00B53F5A"/>
    <w:rsid w:val="00B557BD"/>
    <w:rsid w:val="00B56FF0"/>
    <w:rsid w:val="00B609FA"/>
    <w:rsid w:val="00B60FDD"/>
    <w:rsid w:val="00B61457"/>
    <w:rsid w:val="00B6223D"/>
    <w:rsid w:val="00B6230A"/>
    <w:rsid w:val="00B6271F"/>
    <w:rsid w:val="00B62975"/>
    <w:rsid w:val="00B636A8"/>
    <w:rsid w:val="00B64099"/>
    <w:rsid w:val="00B665C6"/>
    <w:rsid w:val="00B70B1D"/>
    <w:rsid w:val="00B710B5"/>
    <w:rsid w:val="00B72074"/>
    <w:rsid w:val="00B72808"/>
    <w:rsid w:val="00B73449"/>
    <w:rsid w:val="00B734F3"/>
    <w:rsid w:val="00B74956"/>
    <w:rsid w:val="00B75884"/>
    <w:rsid w:val="00B76705"/>
    <w:rsid w:val="00B77B84"/>
    <w:rsid w:val="00B805AF"/>
    <w:rsid w:val="00B818CB"/>
    <w:rsid w:val="00B81ABB"/>
    <w:rsid w:val="00B8247C"/>
    <w:rsid w:val="00B82B6E"/>
    <w:rsid w:val="00B82EFB"/>
    <w:rsid w:val="00B834EB"/>
    <w:rsid w:val="00B869EC"/>
    <w:rsid w:val="00B903C2"/>
    <w:rsid w:val="00B90569"/>
    <w:rsid w:val="00B90AA1"/>
    <w:rsid w:val="00B91458"/>
    <w:rsid w:val="00B91735"/>
    <w:rsid w:val="00B92541"/>
    <w:rsid w:val="00B93159"/>
    <w:rsid w:val="00B9397A"/>
    <w:rsid w:val="00B93E22"/>
    <w:rsid w:val="00B95715"/>
    <w:rsid w:val="00B961AE"/>
    <w:rsid w:val="00B9633D"/>
    <w:rsid w:val="00B966E7"/>
    <w:rsid w:val="00B969BA"/>
    <w:rsid w:val="00B970F2"/>
    <w:rsid w:val="00B97632"/>
    <w:rsid w:val="00B97FA4"/>
    <w:rsid w:val="00BA044E"/>
    <w:rsid w:val="00BA23C1"/>
    <w:rsid w:val="00BA2EBE"/>
    <w:rsid w:val="00BA3180"/>
    <w:rsid w:val="00BA31DD"/>
    <w:rsid w:val="00BA4364"/>
    <w:rsid w:val="00BA4FE5"/>
    <w:rsid w:val="00BA5F08"/>
    <w:rsid w:val="00BA6181"/>
    <w:rsid w:val="00BA63E8"/>
    <w:rsid w:val="00BA6F27"/>
    <w:rsid w:val="00BB0251"/>
    <w:rsid w:val="00BB0F28"/>
    <w:rsid w:val="00BB2656"/>
    <w:rsid w:val="00BB3EA3"/>
    <w:rsid w:val="00BB3EC3"/>
    <w:rsid w:val="00BB458A"/>
    <w:rsid w:val="00BB50F8"/>
    <w:rsid w:val="00BB5895"/>
    <w:rsid w:val="00BB7CB8"/>
    <w:rsid w:val="00BB7FE2"/>
    <w:rsid w:val="00BC0DBC"/>
    <w:rsid w:val="00BC0F5E"/>
    <w:rsid w:val="00BC10BA"/>
    <w:rsid w:val="00BC11DD"/>
    <w:rsid w:val="00BC18F4"/>
    <w:rsid w:val="00BC1D97"/>
    <w:rsid w:val="00BC1E9C"/>
    <w:rsid w:val="00BC2E69"/>
    <w:rsid w:val="00BC36C0"/>
    <w:rsid w:val="00BC3B09"/>
    <w:rsid w:val="00BC56B5"/>
    <w:rsid w:val="00BC5D19"/>
    <w:rsid w:val="00BC61DB"/>
    <w:rsid w:val="00BC6704"/>
    <w:rsid w:val="00BC6ECF"/>
    <w:rsid w:val="00BC7320"/>
    <w:rsid w:val="00BD00D3"/>
    <w:rsid w:val="00BD0485"/>
    <w:rsid w:val="00BD06E6"/>
    <w:rsid w:val="00BD103D"/>
    <w:rsid w:val="00BD1659"/>
    <w:rsid w:val="00BD385A"/>
    <w:rsid w:val="00BD3AA9"/>
    <w:rsid w:val="00BD3B7B"/>
    <w:rsid w:val="00BD4A18"/>
    <w:rsid w:val="00BD4B31"/>
    <w:rsid w:val="00BD4E00"/>
    <w:rsid w:val="00BD5F4B"/>
    <w:rsid w:val="00BD6DB2"/>
    <w:rsid w:val="00BD705F"/>
    <w:rsid w:val="00BD7E14"/>
    <w:rsid w:val="00BE11CF"/>
    <w:rsid w:val="00BE21AB"/>
    <w:rsid w:val="00BE3168"/>
    <w:rsid w:val="00BE391F"/>
    <w:rsid w:val="00BE3E90"/>
    <w:rsid w:val="00BE45B3"/>
    <w:rsid w:val="00BE4655"/>
    <w:rsid w:val="00BE4D30"/>
    <w:rsid w:val="00BE4FF6"/>
    <w:rsid w:val="00BE5411"/>
    <w:rsid w:val="00BE55CB"/>
    <w:rsid w:val="00BE5A2D"/>
    <w:rsid w:val="00BF0654"/>
    <w:rsid w:val="00BF2B31"/>
    <w:rsid w:val="00BF37BA"/>
    <w:rsid w:val="00BF617A"/>
    <w:rsid w:val="00BF65F1"/>
    <w:rsid w:val="00C01B2E"/>
    <w:rsid w:val="00C01BDA"/>
    <w:rsid w:val="00C02F78"/>
    <w:rsid w:val="00C02FE4"/>
    <w:rsid w:val="00C0379D"/>
    <w:rsid w:val="00C038A7"/>
    <w:rsid w:val="00C03931"/>
    <w:rsid w:val="00C05004"/>
    <w:rsid w:val="00C05FE3"/>
    <w:rsid w:val="00C063D5"/>
    <w:rsid w:val="00C07430"/>
    <w:rsid w:val="00C076A4"/>
    <w:rsid w:val="00C13B26"/>
    <w:rsid w:val="00C146F5"/>
    <w:rsid w:val="00C15583"/>
    <w:rsid w:val="00C158A4"/>
    <w:rsid w:val="00C17113"/>
    <w:rsid w:val="00C178C0"/>
    <w:rsid w:val="00C20FD4"/>
    <w:rsid w:val="00C2136D"/>
    <w:rsid w:val="00C2144A"/>
    <w:rsid w:val="00C214EE"/>
    <w:rsid w:val="00C2314B"/>
    <w:rsid w:val="00C24971"/>
    <w:rsid w:val="00C249EB"/>
    <w:rsid w:val="00C24EE7"/>
    <w:rsid w:val="00C267A0"/>
    <w:rsid w:val="00C26BE5"/>
    <w:rsid w:val="00C26E4D"/>
    <w:rsid w:val="00C27909"/>
    <w:rsid w:val="00C27B03"/>
    <w:rsid w:val="00C30570"/>
    <w:rsid w:val="00C314E1"/>
    <w:rsid w:val="00C3186C"/>
    <w:rsid w:val="00C31D67"/>
    <w:rsid w:val="00C32A62"/>
    <w:rsid w:val="00C32E99"/>
    <w:rsid w:val="00C3405B"/>
    <w:rsid w:val="00C34397"/>
    <w:rsid w:val="00C35035"/>
    <w:rsid w:val="00C3572E"/>
    <w:rsid w:val="00C35D4C"/>
    <w:rsid w:val="00C37239"/>
    <w:rsid w:val="00C37AFC"/>
    <w:rsid w:val="00C4030D"/>
    <w:rsid w:val="00C405F2"/>
    <w:rsid w:val="00C4095D"/>
    <w:rsid w:val="00C41C24"/>
    <w:rsid w:val="00C43AFE"/>
    <w:rsid w:val="00C43C7E"/>
    <w:rsid w:val="00C44054"/>
    <w:rsid w:val="00C44716"/>
    <w:rsid w:val="00C44BB2"/>
    <w:rsid w:val="00C44D65"/>
    <w:rsid w:val="00C46835"/>
    <w:rsid w:val="00C47620"/>
    <w:rsid w:val="00C50094"/>
    <w:rsid w:val="00C55FF8"/>
    <w:rsid w:val="00C569D8"/>
    <w:rsid w:val="00C601D2"/>
    <w:rsid w:val="00C61759"/>
    <w:rsid w:val="00C64347"/>
    <w:rsid w:val="00C64E30"/>
    <w:rsid w:val="00C65053"/>
    <w:rsid w:val="00C65B85"/>
    <w:rsid w:val="00C65BCC"/>
    <w:rsid w:val="00C65D1E"/>
    <w:rsid w:val="00C66610"/>
    <w:rsid w:val="00C66970"/>
    <w:rsid w:val="00C67E4E"/>
    <w:rsid w:val="00C717B3"/>
    <w:rsid w:val="00C72755"/>
    <w:rsid w:val="00C733E1"/>
    <w:rsid w:val="00C73DF9"/>
    <w:rsid w:val="00C73E4C"/>
    <w:rsid w:val="00C74A1F"/>
    <w:rsid w:val="00C76843"/>
    <w:rsid w:val="00C768C1"/>
    <w:rsid w:val="00C77CBA"/>
    <w:rsid w:val="00C80374"/>
    <w:rsid w:val="00C80744"/>
    <w:rsid w:val="00C815DE"/>
    <w:rsid w:val="00C8257C"/>
    <w:rsid w:val="00C82818"/>
    <w:rsid w:val="00C82D18"/>
    <w:rsid w:val="00C83B33"/>
    <w:rsid w:val="00C85CFA"/>
    <w:rsid w:val="00C85F6A"/>
    <w:rsid w:val="00C8691C"/>
    <w:rsid w:val="00C870BD"/>
    <w:rsid w:val="00C90A4D"/>
    <w:rsid w:val="00C91B0B"/>
    <w:rsid w:val="00C938AE"/>
    <w:rsid w:val="00C9401F"/>
    <w:rsid w:val="00C9647D"/>
    <w:rsid w:val="00C9781E"/>
    <w:rsid w:val="00C97C3E"/>
    <w:rsid w:val="00CA0115"/>
    <w:rsid w:val="00CA0B96"/>
    <w:rsid w:val="00CA1530"/>
    <w:rsid w:val="00CA168A"/>
    <w:rsid w:val="00CA1C2A"/>
    <w:rsid w:val="00CA215B"/>
    <w:rsid w:val="00CA25E7"/>
    <w:rsid w:val="00CA357E"/>
    <w:rsid w:val="00CA3EF0"/>
    <w:rsid w:val="00CA44F9"/>
    <w:rsid w:val="00CA4A69"/>
    <w:rsid w:val="00CA7655"/>
    <w:rsid w:val="00CB0B29"/>
    <w:rsid w:val="00CB10BE"/>
    <w:rsid w:val="00CB2B8F"/>
    <w:rsid w:val="00CB3FD9"/>
    <w:rsid w:val="00CB4131"/>
    <w:rsid w:val="00CB5671"/>
    <w:rsid w:val="00CB6128"/>
    <w:rsid w:val="00CB645D"/>
    <w:rsid w:val="00CB655D"/>
    <w:rsid w:val="00CB6694"/>
    <w:rsid w:val="00CB6F1C"/>
    <w:rsid w:val="00CC056C"/>
    <w:rsid w:val="00CC061F"/>
    <w:rsid w:val="00CC0BC2"/>
    <w:rsid w:val="00CC1181"/>
    <w:rsid w:val="00CC2DD8"/>
    <w:rsid w:val="00CC3AEB"/>
    <w:rsid w:val="00CC3E0C"/>
    <w:rsid w:val="00CC3ED1"/>
    <w:rsid w:val="00CC453A"/>
    <w:rsid w:val="00CC4A64"/>
    <w:rsid w:val="00CC4DEE"/>
    <w:rsid w:val="00CC5550"/>
    <w:rsid w:val="00CC58D3"/>
    <w:rsid w:val="00CC5AE9"/>
    <w:rsid w:val="00CC6A62"/>
    <w:rsid w:val="00CC6F48"/>
    <w:rsid w:val="00CC75EF"/>
    <w:rsid w:val="00CC784D"/>
    <w:rsid w:val="00CD06D9"/>
    <w:rsid w:val="00CD3115"/>
    <w:rsid w:val="00CD33C3"/>
    <w:rsid w:val="00CD3647"/>
    <w:rsid w:val="00CD3C14"/>
    <w:rsid w:val="00CD4413"/>
    <w:rsid w:val="00CD51CD"/>
    <w:rsid w:val="00CD596A"/>
    <w:rsid w:val="00CD5F94"/>
    <w:rsid w:val="00CD609A"/>
    <w:rsid w:val="00CD6351"/>
    <w:rsid w:val="00CD7B92"/>
    <w:rsid w:val="00CE1F26"/>
    <w:rsid w:val="00CE406F"/>
    <w:rsid w:val="00CE416D"/>
    <w:rsid w:val="00CE4D92"/>
    <w:rsid w:val="00CE6159"/>
    <w:rsid w:val="00CE6167"/>
    <w:rsid w:val="00CF0BE0"/>
    <w:rsid w:val="00CF0CF9"/>
    <w:rsid w:val="00CF2F04"/>
    <w:rsid w:val="00CF3520"/>
    <w:rsid w:val="00CF4A22"/>
    <w:rsid w:val="00CF537B"/>
    <w:rsid w:val="00CF5501"/>
    <w:rsid w:val="00CF5633"/>
    <w:rsid w:val="00D00112"/>
    <w:rsid w:val="00D02C23"/>
    <w:rsid w:val="00D02F01"/>
    <w:rsid w:val="00D0337B"/>
    <w:rsid w:val="00D03EFF"/>
    <w:rsid w:val="00D03F71"/>
    <w:rsid w:val="00D04DAF"/>
    <w:rsid w:val="00D057BE"/>
    <w:rsid w:val="00D06B38"/>
    <w:rsid w:val="00D079B2"/>
    <w:rsid w:val="00D105C4"/>
    <w:rsid w:val="00D114E9"/>
    <w:rsid w:val="00D123DB"/>
    <w:rsid w:val="00D12FE6"/>
    <w:rsid w:val="00D14522"/>
    <w:rsid w:val="00D17465"/>
    <w:rsid w:val="00D178EF"/>
    <w:rsid w:val="00D17EAD"/>
    <w:rsid w:val="00D22B2A"/>
    <w:rsid w:val="00D23917"/>
    <w:rsid w:val="00D24206"/>
    <w:rsid w:val="00D25A6E"/>
    <w:rsid w:val="00D31E3A"/>
    <w:rsid w:val="00D32BF2"/>
    <w:rsid w:val="00D3357F"/>
    <w:rsid w:val="00D345BB"/>
    <w:rsid w:val="00D3767D"/>
    <w:rsid w:val="00D40868"/>
    <w:rsid w:val="00D40C8F"/>
    <w:rsid w:val="00D4201E"/>
    <w:rsid w:val="00D429C6"/>
    <w:rsid w:val="00D4489F"/>
    <w:rsid w:val="00D44E48"/>
    <w:rsid w:val="00D45C04"/>
    <w:rsid w:val="00D47748"/>
    <w:rsid w:val="00D50889"/>
    <w:rsid w:val="00D50CB8"/>
    <w:rsid w:val="00D5369F"/>
    <w:rsid w:val="00D54CC3"/>
    <w:rsid w:val="00D54D40"/>
    <w:rsid w:val="00D55DA9"/>
    <w:rsid w:val="00D56825"/>
    <w:rsid w:val="00D56896"/>
    <w:rsid w:val="00D56CF6"/>
    <w:rsid w:val="00D57BF4"/>
    <w:rsid w:val="00D60143"/>
    <w:rsid w:val="00D6041A"/>
    <w:rsid w:val="00D606DC"/>
    <w:rsid w:val="00D60A77"/>
    <w:rsid w:val="00D61FC5"/>
    <w:rsid w:val="00D633EB"/>
    <w:rsid w:val="00D63614"/>
    <w:rsid w:val="00D639E8"/>
    <w:rsid w:val="00D63B1E"/>
    <w:rsid w:val="00D63E2D"/>
    <w:rsid w:val="00D643E0"/>
    <w:rsid w:val="00D64B9C"/>
    <w:rsid w:val="00D65CFD"/>
    <w:rsid w:val="00D665E3"/>
    <w:rsid w:val="00D6681E"/>
    <w:rsid w:val="00D669E8"/>
    <w:rsid w:val="00D704F3"/>
    <w:rsid w:val="00D71064"/>
    <w:rsid w:val="00D72228"/>
    <w:rsid w:val="00D734A5"/>
    <w:rsid w:val="00D74F99"/>
    <w:rsid w:val="00D750FA"/>
    <w:rsid w:val="00D7605B"/>
    <w:rsid w:val="00D77030"/>
    <w:rsid w:val="00D77D96"/>
    <w:rsid w:val="00D82FF7"/>
    <w:rsid w:val="00D83205"/>
    <w:rsid w:val="00D847FE"/>
    <w:rsid w:val="00D877AE"/>
    <w:rsid w:val="00D9028F"/>
    <w:rsid w:val="00D9089E"/>
    <w:rsid w:val="00D915E7"/>
    <w:rsid w:val="00D929AC"/>
    <w:rsid w:val="00D9350B"/>
    <w:rsid w:val="00D942CA"/>
    <w:rsid w:val="00D95A3C"/>
    <w:rsid w:val="00D964EA"/>
    <w:rsid w:val="00D966D0"/>
    <w:rsid w:val="00D96D3D"/>
    <w:rsid w:val="00D97240"/>
    <w:rsid w:val="00D97414"/>
    <w:rsid w:val="00D97510"/>
    <w:rsid w:val="00D97D16"/>
    <w:rsid w:val="00DA0AFB"/>
    <w:rsid w:val="00DA0C59"/>
    <w:rsid w:val="00DA3991"/>
    <w:rsid w:val="00DA54EF"/>
    <w:rsid w:val="00DA5EF7"/>
    <w:rsid w:val="00DA6A88"/>
    <w:rsid w:val="00DA749E"/>
    <w:rsid w:val="00DA7BC7"/>
    <w:rsid w:val="00DB150B"/>
    <w:rsid w:val="00DB2D96"/>
    <w:rsid w:val="00DB3B22"/>
    <w:rsid w:val="00DB3FF5"/>
    <w:rsid w:val="00DB4CF7"/>
    <w:rsid w:val="00DB5C57"/>
    <w:rsid w:val="00DB661F"/>
    <w:rsid w:val="00DB68C4"/>
    <w:rsid w:val="00DB715F"/>
    <w:rsid w:val="00DB7E6C"/>
    <w:rsid w:val="00DC0D3D"/>
    <w:rsid w:val="00DC0E35"/>
    <w:rsid w:val="00DC3973"/>
    <w:rsid w:val="00DC469C"/>
    <w:rsid w:val="00DC4C96"/>
    <w:rsid w:val="00DC55E6"/>
    <w:rsid w:val="00DC6BF3"/>
    <w:rsid w:val="00DD1755"/>
    <w:rsid w:val="00DD1B44"/>
    <w:rsid w:val="00DD24F0"/>
    <w:rsid w:val="00DD33B3"/>
    <w:rsid w:val="00DD3475"/>
    <w:rsid w:val="00DD48E4"/>
    <w:rsid w:val="00DD5A29"/>
    <w:rsid w:val="00DD5D9D"/>
    <w:rsid w:val="00DD63A7"/>
    <w:rsid w:val="00DD672E"/>
    <w:rsid w:val="00DD7A2D"/>
    <w:rsid w:val="00DE01F5"/>
    <w:rsid w:val="00DE053A"/>
    <w:rsid w:val="00DE0CEB"/>
    <w:rsid w:val="00DE2C52"/>
    <w:rsid w:val="00DE35CB"/>
    <w:rsid w:val="00DE3694"/>
    <w:rsid w:val="00DE409C"/>
    <w:rsid w:val="00DE45AA"/>
    <w:rsid w:val="00DE61C2"/>
    <w:rsid w:val="00DF0245"/>
    <w:rsid w:val="00DF0949"/>
    <w:rsid w:val="00DF09CB"/>
    <w:rsid w:val="00DF1A0F"/>
    <w:rsid w:val="00DF21E9"/>
    <w:rsid w:val="00DF2277"/>
    <w:rsid w:val="00DF2F0D"/>
    <w:rsid w:val="00DF3D70"/>
    <w:rsid w:val="00DF4B8A"/>
    <w:rsid w:val="00DF602E"/>
    <w:rsid w:val="00DF6DC5"/>
    <w:rsid w:val="00DF76B8"/>
    <w:rsid w:val="00E000D8"/>
    <w:rsid w:val="00E002D1"/>
    <w:rsid w:val="00E00F14"/>
    <w:rsid w:val="00E01003"/>
    <w:rsid w:val="00E0130B"/>
    <w:rsid w:val="00E03741"/>
    <w:rsid w:val="00E03E52"/>
    <w:rsid w:val="00E050F2"/>
    <w:rsid w:val="00E062AE"/>
    <w:rsid w:val="00E06386"/>
    <w:rsid w:val="00E10A8E"/>
    <w:rsid w:val="00E14092"/>
    <w:rsid w:val="00E1420B"/>
    <w:rsid w:val="00E1563C"/>
    <w:rsid w:val="00E16991"/>
    <w:rsid w:val="00E17B6A"/>
    <w:rsid w:val="00E20480"/>
    <w:rsid w:val="00E20D0C"/>
    <w:rsid w:val="00E22018"/>
    <w:rsid w:val="00E23CCC"/>
    <w:rsid w:val="00E24244"/>
    <w:rsid w:val="00E24EB4"/>
    <w:rsid w:val="00E251BD"/>
    <w:rsid w:val="00E25505"/>
    <w:rsid w:val="00E256F2"/>
    <w:rsid w:val="00E25F96"/>
    <w:rsid w:val="00E2663B"/>
    <w:rsid w:val="00E275ED"/>
    <w:rsid w:val="00E27C2F"/>
    <w:rsid w:val="00E27E64"/>
    <w:rsid w:val="00E30406"/>
    <w:rsid w:val="00E30790"/>
    <w:rsid w:val="00E320ED"/>
    <w:rsid w:val="00E326F1"/>
    <w:rsid w:val="00E32E1E"/>
    <w:rsid w:val="00E331AB"/>
    <w:rsid w:val="00E33AFB"/>
    <w:rsid w:val="00E33B55"/>
    <w:rsid w:val="00E34218"/>
    <w:rsid w:val="00E34B34"/>
    <w:rsid w:val="00E34CDB"/>
    <w:rsid w:val="00E35B05"/>
    <w:rsid w:val="00E374B5"/>
    <w:rsid w:val="00E40549"/>
    <w:rsid w:val="00E40B96"/>
    <w:rsid w:val="00E41056"/>
    <w:rsid w:val="00E411C0"/>
    <w:rsid w:val="00E43241"/>
    <w:rsid w:val="00E43AF2"/>
    <w:rsid w:val="00E44C93"/>
    <w:rsid w:val="00E46282"/>
    <w:rsid w:val="00E46AF2"/>
    <w:rsid w:val="00E46D61"/>
    <w:rsid w:val="00E46EA7"/>
    <w:rsid w:val="00E50216"/>
    <w:rsid w:val="00E505AF"/>
    <w:rsid w:val="00E5216E"/>
    <w:rsid w:val="00E52F7F"/>
    <w:rsid w:val="00E5383E"/>
    <w:rsid w:val="00E550E6"/>
    <w:rsid w:val="00E55CDE"/>
    <w:rsid w:val="00E61FFD"/>
    <w:rsid w:val="00E63743"/>
    <w:rsid w:val="00E656DC"/>
    <w:rsid w:val="00E66EB3"/>
    <w:rsid w:val="00E675D8"/>
    <w:rsid w:val="00E70EC2"/>
    <w:rsid w:val="00E71EDB"/>
    <w:rsid w:val="00E72C50"/>
    <w:rsid w:val="00E733E5"/>
    <w:rsid w:val="00E7441F"/>
    <w:rsid w:val="00E745DC"/>
    <w:rsid w:val="00E7560D"/>
    <w:rsid w:val="00E76EDC"/>
    <w:rsid w:val="00E7766B"/>
    <w:rsid w:val="00E77D16"/>
    <w:rsid w:val="00E8001A"/>
    <w:rsid w:val="00E80825"/>
    <w:rsid w:val="00E80DC6"/>
    <w:rsid w:val="00E80E8C"/>
    <w:rsid w:val="00E8108B"/>
    <w:rsid w:val="00E8192E"/>
    <w:rsid w:val="00E82344"/>
    <w:rsid w:val="00E8283D"/>
    <w:rsid w:val="00E82924"/>
    <w:rsid w:val="00E83EDC"/>
    <w:rsid w:val="00E83FC3"/>
    <w:rsid w:val="00E83FEE"/>
    <w:rsid w:val="00E84515"/>
    <w:rsid w:val="00E84C82"/>
    <w:rsid w:val="00E84CD1"/>
    <w:rsid w:val="00E84D64"/>
    <w:rsid w:val="00E8525E"/>
    <w:rsid w:val="00E86A83"/>
    <w:rsid w:val="00E87408"/>
    <w:rsid w:val="00E914C4"/>
    <w:rsid w:val="00E9211F"/>
    <w:rsid w:val="00E934F5"/>
    <w:rsid w:val="00E93CF0"/>
    <w:rsid w:val="00E93DB6"/>
    <w:rsid w:val="00E9478D"/>
    <w:rsid w:val="00E95CF9"/>
    <w:rsid w:val="00E96961"/>
    <w:rsid w:val="00E96E47"/>
    <w:rsid w:val="00E973B3"/>
    <w:rsid w:val="00E97E47"/>
    <w:rsid w:val="00EA0849"/>
    <w:rsid w:val="00EA0C61"/>
    <w:rsid w:val="00EA1216"/>
    <w:rsid w:val="00EA13A7"/>
    <w:rsid w:val="00EA15F7"/>
    <w:rsid w:val="00EA1856"/>
    <w:rsid w:val="00EA2979"/>
    <w:rsid w:val="00EA2C86"/>
    <w:rsid w:val="00EA30AC"/>
    <w:rsid w:val="00EA4FF6"/>
    <w:rsid w:val="00EA72EC"/>
    <w:rsid w:val="00EA72F3"/>
    <w:rsid w:val="00EA74BC"/>
    <w:rsid w:val="00EA7B96"/>
    <w:rsid w:val="00EB0783"/>
    <w:rsid w:val="00EB11CB"/>
    <w:rsid w:val="00EB153D"/>
    <w:rsid w:val="00EB1545"/>
    <w:rsid w:val="00EB1BFA"/>
    <w:rsid w:val="00EB275A"/>
    <w:rsid w:val="00EB4BB1"/>
    <w:rsid w:val="00EB64C1"/>
    <w:rsid w:val="00EB676D"/>
    <w:rsid w:val="00EB755F"/>
    <w:rsid w:val="00EB786A"/>
    <w:rsid w:val="00EB79BC"/>
    <w:rsid w:val="00EC03DE"/>
    <w:rsid w:val="00EC09D1"/>
    <w:rsid w:val="00EC0C16"/>
    <w:rsid w:val="00EC1578"/>
    <w:rsid w:val="00EC181C"/>
    <w:rsid w:val="00EC1C72"/>
    <w:rsid w:val="00EC20F1"/>
    <w:rsid w:val="00EC31D9"/>
    <w:rsid w:val="00EC3CC9"/>
    <w:rsid w:val="00EC4C97"/>
    <w:rsid w:val="00EC680A"/>
    <w:rsid w:val="00ED1883"/>
    <w:rsid w:val="00ED333D"/>
    <w:rsid w:val="00ED3CFB"/>
    <w:rsid w:val="00ED6113"/>
    <w:rsid w:val="00ED6198"/>
    <w:rsid w:val="00ED628C"/>
    <w:rsid w:val="00ED670E"/>
    <w:rsid w:val="00EE0570"/>
    <w:rsid w:val="00EE2080"/>
    <w:rsid w:val="00EE2BED"/>
    <w:rsid w:val="00EE374B"/>
    <w:rsid w:val="00EE3F2B"/>
    <w:rsid w:val="00EE5175"/>
    <w:rsid w:val="00EE5590"/>
    <w:rsid w:val="00EE6FDA"/>
    <w:rsid w:val="00EE7545"/>
    <w:rsid w:val="00EF0200"/>
    <w:rsid w:val="00EF0428"/>
    <w:rsid w:val="00EF09E7"/>
    <w:rsid w:val="00EF1A0F"/>
    <w:rsid w:val="00EF1B73"/>
    <w:rsid w:val="00EF2DB8"/>
    <w:rsid w:val="00EF3DA8"/>
    <w:rsid w:val="00EF4318"/>
    <w:rsid w:val="00F00DC9"/>
    <w:rsid w:val="00F02ACA"/>
    <w:rsid w:val="00F03841"/>
    <w:rsid w:val="00F04CB1"/>
    <w:rsid w:val="00F06607"/>
    <w:rsid w:val="00F06E49"/>
    <w:rsid w:val="00F0713E"/>
    <w:rsid w:val="00F07AD6"/>
    <w:rsid w:val="00F07CF0"/>
    <w:rsid w:val="00F117D6"/>
    <w:rsid w:val="00F11BB5"/>
    <w:rsid w:val="00F12038"/>
    <w:rsid w:val="00F12BDC"/>
    <w:rsid w:val="00F12CC5"/>
    <w:rsid w:val="00F132E5"/>
    <w:rsid w:val="00F1417B"/>
    <w:rsid w:val="00F1547C"/>
    <w:rsid w:val="00F15D2E"/>
    <w:rsid w:val="00F16A0A"/>
    <w:rsid w:val="00F17D72"/>
    <w:rsid w:val="00F2134C"/>
    <w:rsid w:val="00F23A57"/>
    <w:rsid w:val="00F23DF1"/>
    <w:rsid w:val="00F244AB"/>
    <w:rsid w:val="00F26F53"/>
    <w:rsid w:val="00F313F8"/>
    <w:rsid w:val="00F336E2"/>
    <w:rsid w:val="00F34795"/>
    <w:rsid w:val="00F34B99"/>
    <w:rsid w:val="00F34C9C"/>
    <w:rsid w:val="00F350BD"/>
    <w:rsid w:val="00F35527"/>
    <w:rsid w:val="00F376BE"/>
    <w:rsid w:val="00F402F7"/>
    <w:rsid w:val="00F40CED"/>
    <w:rsid w:val="00F41269"/>
    <w:rsid w:val="00F41720"/>
    <w:rsid w:val="00F41B2D"/>
    <w:rsid w:val="00F4248C"/>
    <w:rsid w:val="00F435B5"/>
    <w:rsid w:val="00F45D74"/>
    <w:rsid w:val="00F45E63"/>
    <w:rsid w:val="00F50084"/>
    <w:rsid w:val="00F5123A"/>
    <w:rsid w:val="00F520C6"/>
    <w:rsid w:val="00F5237D"/>
    <w:rsid w:val="00F524C7"/>
    <w:rsid w:val="00F52DAB"/>
    <w:rsid w:val="00F53B81"/>
    <w:rsid w:val="00F54331"/>
    <w:rsid w:val="00F543F0"/>
    <w:rsid w:val="00F5717E"/>
    <w:rsid w:val="00F5754E"/>
    <w:rsid w:val="00F575A2"/>
    <w:rsid w:val="00F57847"/>
    <w:rsid w:val="00F604BA"/>
    <w:rsid w:val="00F60B16"/>
    <w:rsid w:val="00F6236F"/>
    <w:rsid w:val="00F63F03"/>
    <w:rsid w:val="00F642C1"/>
    <w:rsid w:val="00F64D28"/>
    <w:rsid w:val="00F64DDF"/>
    <w:rsid w:val="00F6592D"/>
    <w:rsid w:val="00F65BF9"/>
    <w:rsid w:val="00F67F37"/>
    <w:rsid w:val="00F70A29"/>
    <w:rsid w:val="00F712C0"/>
    <w:rsid w:val="00F71A0B"/>
    <w:rsid w:val="00F71A72"/>
    <w:rsid w:val="00F7259A"/>
    <w:rsid w:val="00F74BD4"/>
    <w:rsid w:val="00F75222"/>
    <w:rsid w:val="00F7685B"/>
    <w:rsid w:val="00F77DA6"/>
    <w:rsid w:val="00F80F3F"/>
    <w:rsid w:val="00F811E5"/>
    <w:rsid w:val="00F81D29"/>
    <w:rsid w:val="00F830C5"/>
    <w:rsid w:val="00F84A65"/>
    <w:rsid w:val="00F8620B"/>
    <w:rsid w:val="00F8695D"/>
    <w:rsid w:val="00F91034"/>
    <w:rsid w:val="00F91134"/>
    <w:rsid w:val="00F91C4D"/>
    <w:rsid w:val="00F92FD9"/>
    <w:rsid w:val="00F94920"/>
    <w:rsid w:val="00F95689"/>
    <w:rsid w:val="00F962CA"/>
    <w:rsid w:val="00F96C82"/>
    <w:rsid w:val="00F97324"/>
    <w:rsid w:val="00FA0BD7"/>
    <w:rsid w:val="00FA0F26"/>
    <w:rsid w:val="00FA208B"/>
    <w:rsid w:val="00FA2662"/>
    <w:rsid w:val="00FA34B1"/>
    <w:rsid w:val="00FA3A92"/>
    <w:rsid w:val="00FA3C1D"/>
    <w:rsid w:val="00FA4738"/>
    <w:rsid w:val="00FA61DC"/>
    <w:rsid w:val="00FA627D"/>
    <w:rsid w:val="00FA6607"/>
    <w:rsid w:val="00FA6684"/>
    <w:rsid w:val="00FA6ECC"/>
    <w:rsid w:val="00FA731E"/>
    <w:rsid w:val="00FB20FD"/>
    <w:rsid w:val="00FB2258"/>
    <w:rsid w:val="00FB2B38"/>
    <w:rsid w:val="00FB30F6"/>
    <w:rsid w:val="00FB4AAA"/>
    <w:rsid w:val="00FB4F37"/>
    <w:rsid w:val="00FB54D0"/>
    <w:rsid w:val="00FB5B46"/>
    <w:rsid w:val="00FC0E55"/>
    <w:rsid w:val="00FC1C56"/>
    <w:rsid w:val="00FC318F"/>
    <w:rsid w:val="00FC3E0E"/>
    <w:rsid w:val="00FC3FCD"/>
    <w:rsid w:val="00FC4511"/>
    <w:rsid w:val="00FC53C8"/>
    <w:rsid w:val="00FC5F3F"/>
    <w:rsid w:val="00FC6358"/>
    <w:rsid w:val="00FC66EF"/>
    <w:rsid w:val="00FC68C5"/>
    <w:rsid w:val="00FC6A29"/>
    <w:rsid w:val="00FC6C6C"/>
    <w:rsid w:val="00FC76C1"/>
    <w:rsid w:val="00FC7AC6"/>
    <w:rsid w:val="00FD01A8"/>
    <w:rsid w:val="00FD0A5F"/>
    <w:rsid w:val="00FD1AE8"/>
    <w:rsid w:val="00FD320D"/>
    <w:rsid w:val="00FD4160"/>
    <w:rsid w:val="00FD544F"/>
    <w:rsid w:val="00FD5F05"/>
    <w:rsid w:val="00FD7F6D"/>
    <w:rsid w:val="00FE23DE"/>
    <w:rsid w:val="00FE2599"/>
    <w:rsid w:val="00FE2F01"/>
    <w:rsid w:val="00FE3E0C"/>
    <w:rsid w:val="00FE4079"/>
    <w:rsid w:val="00FE4806"/>
    <w:rsid w:val="00FE48F4"/>
    <w:rsid w:val="00FE66C9"/>
    <w:rsid w:val="00FF19ED"/>
    <w:rsid w:val="00FF3C8A"/>
    <w:rsid w:val="00FF43AD"/>
    <w:rsid w:val="00FF4448"/>
    <w:rsid w:val="00FF5733"/>
    <w:rsid w:val="00FF597A"/>
    <w:rsid w:val="00FF5B08"/>
    <w:rsid w:val="00FF5B35"/>
    <w:rsid w:val="00FF5BB8"/>
    <w:rsid w:val="00FF61E3"/>
    <w:rsid w:val="00FF623B"/>
    <w:rsid w:val="00FF6813"/>
    <w:rsid w:val="00FF6C1B"/>
    <w:rsid w:val="00FF7A2F"/>
    <w:rsid w:val="00FF7E0E"/>
    <w:rsid w:val="2100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5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Normal Indent"/>
    <w:basedOn w:val="1"/>
    <w:qFormat/>
    <w:uiPriority w:val="0"/>
    <w:pPr>
      <w:adjustRightInd w:val="0"/>
      <w:spacing w:line="360" w:lineRule="atLeast"/>
      <w:ind w:firstLine="420"/>
      <w:jc w:val="left"/>
      <w:textAlignment w:val="baseline"/>
    </w:pPr>
    <w:rPr>
      <w:kern w:val="0"/>
      <w:sz w:val="24"/>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uiPriority w:val="0"/>
    <w:pPr>
      <w:ind w:left="1050" w:hanging="210"/>
      <w:jc w:val="left"/>
    </w:pPr>
    <w:rPr>
      <w:rFonts w:ascii="Calibri" w:hAnsi="Calibri"/>
      <w:sz w:val="20"/>
      <w:szCs w:val="20"/>
    </w:rPr>
  </w:style>
  <w:style w:type="paragraph" w:styleId="8">
    <w:name w:val="Document Map"/>
    <w:basedOn w:val="1"/>
    <w:semiHidden/>
    <w:uiPriority w:val="0"/>
    <w:pPr>
      <w:shd w:val="clear" w:color="auto" w:fill="000080"/>
    </w:pPr>
  </w:style>
  <w:style w:type="paragraph" w:styleId="9">
    <w:name w:val="annotation text"/>
    <w:basedOn w:val="1"/>
    <w:link w:val="151"/>
    <w:uiPriority w:val="0"/>
    <w:pPr>
      <w:jc w:val="left"/>
    </w:pPr>
    <w:rPr>
      <w:lang w:val="zh-CN" w:eastAsia="zh-CN"/>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142"/>
    <w:qFormat/>
    <w:uiPriority w:val="0"/>
    <w:pPr>
      <w:spacing w:after="120"/>
    </w:pPr>
    <w:rPr>
      <w:lang w:val="zh-CN" w:eastAsia="zh-CN"/>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0" w:firstLineChars="100"/>
      <w:jc w:val="left"/>
    </w:pPr>
    <w:rPr>
      <w:rFonts w:ascii="宋体"/>
      <w:szCs w:val="21"/>
    </w:rPr>
  </w:style>
  <w:style w:type="paragraph" w:styleId="15">
    <w:name w:val="Plain Text"/>
    <w:basedOn w:val="1"/>
    <w:link w:val="158"/>
    <w:qFormat/>
    <w:uiPriority w:val="0"/>
    <w:rPr>
      <w:rFonts w:ascii="宋体" w:hAnsi="Courier New"/>
      <w:szCs w:val="20"/>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uiPriority w:val="0"/>
    <w:pPr>
      <w:ind w:left="630" w:hanging="210"/>
      <w:jc w:val="left"/>
    </w:pPr>
    <w:rPr>
      <w:rFonts w:ascii="Calibri" w:hAnsi="Calibri"/>
      <w:sz w:val="20"/>
      <w:szCs w:val="20"/>
    </w:rPr>
  </w:style>
  <w:style w:type="paragraph" w:styleId="18">
    <w:name w:val="endnote text"/>
    <w:basedOn w:val="1"/>
    <w:semiHidden/>
    <w:uiPriority w:val="0"/>
    <w:pPr>
      <w:snapToGrid w:val="0"/>
      <w:jc w:val="left"/>
    </w:pPr>
  </w:style>
  <w:style w:type="paragraph" w:styleId="19">
    <w:name w:val="Balloon Text"/>
    <w:basedOn w:val="1"/>
    <w:link w:val="144"/>
    <w:uiPriority w:val="0"/>
    <w:rPr>
      <w:sz w:val="18"/>
      <w:szCs w:val="18"/>
      <w:lang w:val="zh-CN" w:eastAsia="zh-CN"/>
    </w:rPr>
  </w:style>
  <w:style w:type="paragraph" w:styleId="20">
    <w:name w:val="footer"/>
    <w:basedOn w:val="1"/>
    <w:link w:val="161"/>
    <w:qFormat/>
    <w:uiPriority w:val="99"/>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3">
    <w:name w:val="toc 4"/>
    <w:basedOn w:val="1"/>
    <w:next w:val="1"/>
    <w:semiHidden/>
    <w:uiPriority w:val="0"/>
    <w:pPr>
      <w:tabs>
        <w:tab w:val="right" w:leader="dot" w:pos="9241"/>
      </w:tabs>
      <w:ind w:firstLine="200"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0"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uiPriority w:val="0"/>
    <w:pPr>
      <w:ind w:left="1890" w:hanging="210"/>
      <w:jc w:val="left"/>
    </w:pPr>
    <w:rPr>
      <w:rFonts w:ascii="Calibri" w:hAnsi="Calibri"/>
      <w:sz w:val="20"/>
      <w:szCs w:val="20"/>
    </w:rPr>
  </w:style>
  <w:style w:type="paragraph" w:styleId="31">
    <w:name w:val="toc 2"/>
    <w:basedOn w:val="1"/>
    <w:next w:val="1"/>
    <w:semiHidden/>
    <w:qFormat/>
    <w:uiPriority w:val="0"/>
    <w:pPr>
      <w:tabs>
        <w:tab w:val="right" w:leader="dot" w:pos="9242"/>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9"/>
    <w:next w:val="9"/>
    <w:link w:val="152"/>
    <w:qFormat/>
    <w:uiPriority w:val="0"/>
    <w:rPr>
      <w:b/>
      <w:bCs/>
    </w:rPr>
  </w:style>
  <w:style w:type="paragraph" w:styleId="35">
    <w:name w:val="Body Text First Indent"/>
    <w:basedOn w:val="11"/>
    <w:link w:val="143"/>
    <w:uiPriority w:val="0"/>
    <w:pPr>
      <w:adjustRightInd w:val="0"/>
      <w:spacing w:after="0" w:line="240" w:lineRule="atLeast"/>
      <w:jc w:val="left"/>
      <w:textAlignment w:val="baseline"/>
    </w:pPr>
    <w:rPr>
      <w:rFonts w:ascii="宋体" w:hAnsi="宋体"/>
      <w:color w:val="000000"/>
    </w:rPr>
  </w:style>
  <w:style w:type="table" w:styleId="37">
    <w:name w:val="Table Grid"/>
    <w:basedOn w:val="36"/>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semiHidden/>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Emphasis"/>
    <w:qFormat/>
    <w:uiPriority w:val="20"/>
    <w:rPr>
      <w:color w:val="CC0000"/>
    </w:rPr>
  </w:style>
  <w:style w:type="character" w:styleId="42">
    <w:name w:val="Hyperlink"/>
    <w:qFormat/>
    <w:uiPriority w:val="0"/>
    <w:rPr>
      <w:color w:val="0000FF"/>
      <w:spacing w:val="0"/>
      <w:w w:val="100"/>
      <w:szCs w:val="21"/>
      <w:u w:val="single"/>
    </w:rPr>
  </w:style>
  <w:style w:type="character" w:styleId="43">
    <w:name w:val="annotation reference"/>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6"/>
    <w:qFormat/>
    <w:uiPriority w:val="0"/>
    <w:rPr>
      <w:rFonts w:ascii="宋体"/>
      <w:sz w:val="21"/>
      <w:lang w:val="en-US" w:eastAsia="zh-CN" w:bidi="ar-SA"/>
    </w:rPr>
  </w:style>
  <w:style w:type="paragraph" w:customStyle="1" w:styleId="46">
    <w:name w:val="一级条标题"/>
    <w:next w:val="26"/>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6"/>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6"/>
    <w:uiPriority w:val="0"/>
    <w:pPr>
      <w:numPr>
        <w:ilvl w:val="2"/>
      </w:numPr>
      <w:spacing w:before="50" w:after="50"/>
      <w:ind w:left="0"/>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6"/>
    <w:qFormat/>
    <w:uiPriority w:val="0"/>
    <w:pPr>
      <w:numPr>
        <w:ilvl w:val="3"/>
      </w:numPr>
      <w:outlineLvl w:val="4"/>
    </w:pPr>
  </w:style>
  <w:style w:type="paragraph" w:customStyle="1" w:styleId="56">
    <w:name w:val="示例"/>
    <w:next w:val="57"/>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57">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59">
    <w:name w:val="四级条标题"/>
    <w:basedOn w:val="55"/>
    <w:next w:val="26"/>
    <w:qFormat/>
    <w:uiPriority w:val="0"/>
    <w:pPr>
      <w:numPr>
        <w:ilvl w:val="4"/>
      </w:numPr>
      <w:outlineLvl w:val="5"/>
    </w:pPr>
  </w:style>
  <w:style w:type="paragraph" w:customStyle="1" w:styleId="60">
    <w:name w:val="五级条标题"/>
    <w:basedOn w:val="59"/>
    <w:next w:val="26"/>
    <w:qFormat/>
    <w:uiPriority w:val="0"/>
    <w:pPr>
      <w:numPr>
        <w:ilvl w:val="5"/>
      </w:numPr>
      <w:outlineLvl w:val="6"/>
    </w:pPr>
  </w:style>
  <w:style w:type="paragraph" w:customStyle="1" w:styleId="61">
    <w:name w:val="注："/>
    <w:next w:val="26"/>
    <w:uiPriority w:val="0"/>
    <w:pPr>
      <w:widowControl w:val="0"/>
      <w:numPr>
        <w:ilvl w:val="0"/>
        <w:numId w:val="7"/>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62">
    <w:name w:val="注×："/>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4"/>
      </w:numPr>
    </w:pPr>
    <w:rPr>
      <w:rFonts w:ascii="宋体"/>
      <w:szCs w:val="21"/>
    </w:rPr>
  </w:style>
  <w:style w:type="paragraph" w:customStyle="1" w:styleId="65">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66">
    <w:name w:val="示例×："/>
    <w:basedOn w:val="49"/>
    <w:qFormat/>
    <w:uiPriority w:val="0"/>
    <w:pPr>
      <w:numPr>
        <w:numId w:val="9"/>
      </w:numPr>
      <w:spacing w:before="0" w:beforeLines="0" w:after="0" w:afterLines="0"/>
      <w:outlineLvl w:val="9"/>
    </w:pPr>
    <w:rPr>
      <w:rFonts w:ascii="宋体" w:eastAsia="宋体"/>
      <w:sz w:val="18"/>
      <w:szCs w:val="18"/>
    </w:rPr>
  </w:style>
  <w:style w:type="paragraph" w:customStyle="1" w:styleId="67">
    <w:name w:val="二级无"/>
    <w:basedOn w:val="50"/>
    <w:qFormat/>
    <w:uiPriority w:val="0"/>
    <w:pPr>
      <w:spacing w:before="0" w:beforeLines="0" w:after="0" w:afterLines="0"/>
    </w:pPr>
    <w:rPr>
      <w:rFonts w:ascii="宋体" w:eastAsia="宋体"/>
    </w:rPr>
  </w:style>
  <w:style w:type="paragraph" w:customStyle="1" w:styleId="68">
    <w:name w:val="注：（正文）"/>
    <w:basedOn w:val="61"/>
    <w:next w:val="26"/>
    <w:uiPriority w:val="0"/>
  </w:style>
  <w:style w:type="paragraph" w:customStyle="1" w:styleId="69">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qFormat/>
    <w:uiPriority w:val="0"/>
    <w:rPr>
      <w:rFonts w:ascii="黑体" w:eastAsia="黑体"/>
      <w:spacing w:val="85"/>
      <w:w w:val="100"/>
      <w:position w:val="3"/>
      <w:sz w:val="28"/>
      <w:szCs w:val="28"/>
    </w:rPr>
  </w:style>
  <w:style w:type="paragraph" w:customStyle="1" w:styleId="78">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uiPriority w:val="0"/>
    <w:pPr>
      <w:framePr w:wrap="around"/>
      <w:spacing w:before="370" w:line="400" w:lineRule="exact"/>
    </w:pPr>
    <w:rPr>
      <w:rFonts w:ascii="Times New Roman"/>
      <w:sz w:val="28"/>
      <w:szCs w:val="28"/>
    </w:rPr>
  </w:style>
  <w:style w:type="paragraph" w:customStyle="1" w:styleId="84">
    <w:name w:val="封面一致性程度标识"/>
    <w:basedOn w:val="83"/>
    <w:qFormat/>
    <w:uiPriority w:val="0"/>
    <w:pPr>
      <w:framePr w:wrap="around"/>
      <w:spacing w:before="440"/>
    </w:pPr>
    <w:rPr>
      <w:rFonts w:ascii="宋体" w:eastAsia="宋体"/>
    </w:rPr>
  </w:style>
  <w:style w:type="paragraph" w:customStyle="1" w:styleId="85">
    <w:name w:val="封面标准文稿类别"/>
    <w:basedOn w:val="84"/>
    <w:qFormat/>
    <w:uiPriority w:val="0"/>
    <w:pPr>
      <w:framePr w:wrap="around"/>
      <w:spacing w:after="160" w:line="240" w:lineRule="auto"/>
    </w:pPr>
    <w:rPr>
      <w:sz w:val="24"/>
    </w:rPr>
  </w:style>
  <w:style w:type="paragraph" w:customStyle="1" w:styleId="86">
    <w:name w:val="封面标准文稿编辑信息"/>
    <w:basedOn w:val="85"/>
    <w:qFormat/>
    <w:uiPriority w:val="0"/>
    <w:pPr>
      <w:framePr w:wrap="around"/>
      <w:spacing w:before="180" w:line="180" w:lineRule="exact"/>
    </w:pPr>
    <w:rPr>
      <w:sz w:val="21"/>
    </w:rPr>
  </w:style>
  <w:style w:type="paragraph" w:customStyle="1" w:styleId="87">
    <w:name w:val="封面正文"/>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6"/>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6"/>
    <w:next w:val="26"/>
    <w:qFormat/>
    <w:uiPriority w:val="0"/>
    <w:pPr>
      <w:ind w:firstLine="0" w:firstLineChars="0"/>
      <w:jc w:val="center"/>
    </w:pPr>
    <w:rPr>
      <w:rFonts w:ascii="黑体" w:eastAsia="黑体"/>
    </w:rPr>
  </w:style>
  <w:style w:type="paragraph" w:customStyle="1" w:styleId="90">
    <w:name w:val="附录表标号"/>
    <w:basedOn w:val="1"/>
    <w:next w:val="26"/>
    <w:uiPriority w:val="0"/>
    <w:pPr>
      <w:numPr>
        <w:ilvl w:val="0"/>
        <w:numId w:val="12"/>
      </w:numPr>
      <w:tabs>
        <w:tab w:val="clear" w:pos="0"/>
      </w:tabs>
      <w:spacing w:line="14" w:lineRule="exact"/>
      <w:ind w:left="811" w:hanging="448"/>
      <w:jc w:val="center"/>
      <w:outlineLvl w:val="0"/>
    </w:pPr>
    <w:rPr>
      <w:color w:val="FFFFFF"/>
    </w:rPr>
  </w:style>
  <w:style w:type="paragraph" w:customStyle="1" w:styleId="91">
    <w:name w:val="附录表标题"/>
    <w:basedOn w:val="1"/>
    <w:next w:val="26"/>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2">
    <w:name w:val="附录二级条标题"/>
    <w:basedOn w:val="1"/>
    <w:next w:val="26"/>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3">
    <w:name w:val="附录二级无"/>
    <w:basedOn w:val="92"/>
    <w:qFormat/>
    <w:uiPriority w:val="0"/>
    <w:pPr>
      <w:tabs>
        <w:tab w:val="clear" w:pos="360"/>
      </w:tabs>
      <w:spacing w:before="0" w:beforeLines="0" w:after="0" w:afterLines="0"/>
    </w:pPr>
    <w:rPr>
      <w:rFonts w:ascii="宋体" w:eastAsia="宋体"/>
      <w:szCs w:val="21"/>
    </w:rPr>
  </w:style>
  <w:style w:type="paragraph" w:customStyle="1" w:styleId="94">
    <w:name w:val="附录公式"/>
    <w:basedOn w:val="26"/>
    <w:next w:val="26"/>
    <w:link w:val="95"/>
    <w:qFormat/>
    <w:uiPriority w:val="0"/>
  </w:style>
  <w:style w:type="character" w:customStyle="1" w:styleId="95">
    <w:name w:val="附录公式 Char"/>
    <w:basedOn w:val="45"/>
    <w:link w:val="94"/>
    <w:uiPriority w:val="0"/>
    <w:rPr>
      <w:rFonts w:ascii="宋体"/>
      <w:sz w:val="21"/>
      <w:lang w:val="en-US" w:eastAsia="zh-CN" w:bidi="ar-SA"/>
    </w:rPr>
  </w:style>
  <w:style w:type="paragraph" w:customStyle="1" w:styleId="96">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6"/>
    <w:qFormat/>
    <w:uiPriority w:val="0"/>
    <w:pPr>
      <w:numPr>
        <w:ilvl w:val="4"/>
      </w:numPr>
      <w:outlineLvl w:val="4"/>
    </w:pPr>
  </w:style>
  <w:style w:type="paragraph" w:customStyle="1" w:styleId="98">
    <w:name w:val="附录三级无"/>
    <w:basedOn w:val="97"/>
    <w:qFormat/>
    <w:uiPriority w:val="0"/>
    <w:pPr>
      <w:tabs>
        <w:tab w:val="clear" w:pos="360"/>
      </w:tabs>
      <w:spacing w:before="0" w:beforeLines="0" w:after="0" w:afterLines="0"/>
    </w:pPr>
    <w:rPr>
      <w:rFonts w:ascii="宋体" w:eastAsia="宋体"/>
      <w:szCs w:val="21"/>
    </w:rPr>
  </w:style>
  <w:style w:type="paragraph" w:customStyle="1" w:styleId="99">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0">
    <w:name w:val="附录四级条标题"/>
    <w:basedOn w:val="97"/>
    <w:next w:val="26"/>
    <w:uiPriority w:val="0"/>
    <w:pPr>
      <w:numPr>
        <w:ilvl w:val="5"/>
      </w:numPr>
      <w:outlineLvl w:val="5"/>
    </w:pPr>
  </w:style>
  <w:style w:type="paragraph" w:customStyle="1" w:styleId="101">
    <w:name w:val="附录四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3">
    <w:name w:val="附录图标题"/>
    <w:basedOn w:val="1"/>
    <w:next w:val="26"/>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4">
    <w:name w:val="附录五级条标题"/>
    <w:basedOn w:val="100"/>
    <w:next w:val="26"/>
    <w:uiPriority w:val="0"/>
    <w:pPr>
      <w:numPr>
        <w:ilvl w:val="6"/>
      </w:numPr>
      <w:outlineLvl w:val="6"/>
    </w:pPr>
  </w:style>
  <w:style w:type="paragraph" w:customStyle="1" w:styleId="105">
    <w:name w:val="附录五级无"/>
    <w:basedOn w:val="104"/>
    <w:uiPriority w:val="0"/>
    <w:pPr>
      <w:tabs>
        <w:tab w:val="clear" w:pos="360"/>
      </w:tabs>
      <w:spacing w:before="0" w:beforeLines="0" w:after="0" w:afterLines="0"/>
    </w:pPr>
    <w:rPr>
      <w:rFonts w:ascii="宋体" w:eastAsia="宋体"/>
      <w:szCs w:val="21"/>
    </w:rPr>
  </w:style>
  <w:style w:type="paragraph" w:customStyle="1" w:styleId="106">
    <w:name w:val="附录章标题"/>
    <w:next w:val="26"/>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6"/>
    <w:qFormat/>
    <w:uiPriority w:val="0"/>
    <w:pPr>
      <w:numPr>
        <w:ilvl w:val="2"/>
      </w:numPr>
      <w:autoSpaceDN w:val="0"/>
      <w:spacing w:before="50" w:beforeLines="50" w:after="50" w:afterLines="50"/>
      <w:outlineLvl w:val="2"/>
    </w:pPr>
  </w:style>
  <w:style w:type="paragraph" w:customStyle="1" w:styleId="108">
    <w:name w:val="附录一级无"/>
    <w:basedOn w:val="107"/>
    <w:qFormat/>
    <w:uiPriority w:val="0"/>
    <w:pPr>
      <w:tabs>
        <w:tab w:val="clear" w:pos="360"/>
      </w:tabs>
      <w:spacing w:before="0" w:beforeLines="0" w:after="0" w:afterLines="0"/>
    </w:pPr>
    <w:rPr>
      <w:rFonts w:ascii="宋体" w:eastAsia="宋体"/>
      <w:szCs w:val="21"/>
    </w:rPr>
  </w:style>
  <w:style w:type="paragraph" w:customStyle="1" w:styleId="109">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qFormat/>
    <w:uiPriority w:val="0"/>
    <w:pPr>
      <w:framePr w:w="6101" w:wrap="around"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qFormat/>
    <w:uiPriority w:val="0"/>
    <w:pPr>
      <w:framePr w:wrap="around" w:y="15310"/>
      <w:spacing w:line="0" w:lineRule="atLeast"/>
    </w:pPr>
    <w:rPr>
      <w:rFonts w:ascii="黑体" w:eastAsia="黑体"/>
      <w:b w:val="0"/>
    </w:rPr>
  </w:style>
  <w:style w:type="paragraph" w:customStyle="1" w:styleId="116">
    <w:name w:val="前言、引言标题"/>
    <w:next w:val="26"/>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5"/>
    <w:qFormat/>
    <w:uiPriority w:val="0"/>
    <w:pPr>
      <w:spacing w:before="0" w:beforeLines="0" w:after="0" w:afterLines="0"/>
    </w:pPr>
    <w:rPr>
      <w:rFonts w:ascii="宋体" w:eastAsia="宋体"/>
    </w:rPr>
  </w:style>
  <w:style w:type="paragraph" w:customStyle="1" w:styleId="118">
    <w:name w:val="实施日期"/>
    <w:basedOn w:val="79"/>
    <w:uiPriority w:val="0"/>
    <w:pPr>
      <w:framePr w:wrap="around" w:vAnchor="page" w:hAnchor="text"/>
      <w:jc w:val="right"/>
    </w:pPr>
  </w:style>
  <w:style w:type="paragraph" w:customStyle="1" w:styleId="119">
    <w:name w:val="示例后文字"/>
    <w:basedOn w:val="26"/>
    <w:next w:val="26"/>
    <w:qFormat/>
    <w:uiPriority w:val="0"/>
    <w:pPr>
      <w:ind w:firstLine="360"/>
    </w:pPr>
    <w:rPr>
      <w:sz w:val="18"/>
    </w:rPr>
  </w:style>
  <w:style w:type="paragraph" w:customStyle="1" w:styleId="120">
    <w:name w:val="首示例"/>
    <w:next w:val="26"/>
    <w:link w:val="121"/>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1">
    <w:name w:val="首示例 Char"/>
    <w:link w:val="120"/>
    <w:qFormat/>
    <w:uiPriority w:val="0"/>
    <w:rPr>
      <w:rFonts w:ascii="宋体" w:hAnsi="宋体"/>
      <w:kern w:val="2"/>
      <w:sz w:val="18"/>
      <w:szCs w:val="18"/>
    </w:rPr>
  </w:style>
  <w:style w:type="paragraph" w:customStyle="1" w:styleId="122">
    <w:name w:val="四级无"/>
    <w:basedOn w:val="59"/>
    <w:qFormat/>
    <w:uiPriority w:val="0"/>
    <w:pPr>
      <w:spacing w:before="0" w:beforeLines="0" w:after="0" w:afterLines="0"/>
    </w:pPr>
    <w:rPr>
      <w:rFonts w:ascii="宋体" w:eastAsia="宋体"/>
    </w:rPr>
  </w:style>
  <w:style w:type="paragraph" w:customStyle="1" w:styleId="123">
    <w:name w:val="条文脚注"/>
    <w:basedOn w:val="27"/>
    <w:qFormat/>
    <w:uiPriority w:val="0"/>
    <w:pPr>
      <w:numPr>
        <w:numId w:val="0"/>
      </w:numPr>
      <w:jc w:val="both"/>
    </w:pPr>
  </w:style>
  <w:style w:type="paragraph" w:customStyle="1" w:styleId="124">
    <w:name w:val="图标脚注说明"/>
    <w:basedOn w:val="26"/>
    <w:qFormat/>
    <w:uiPriority w:val="0"/>
    <w:pPr>
      <w:ind w:left="840" w:hanging="420" w:firstLineChars="0"/>
    </w:pPr>
    <w:rPr>
      <w:sz w:val="18"/>
      <w:szCs w:val="18"/>
    </w:rPr>
  </w:style>
  <w:style w:type="paragraph" w:customStyle="1" w:styleId="125">
    <w:name w:val="图表脚注说明"/>
    <w:basedOn w:val="1"/>
    <w:uiPriority w:val="0"/>
    <w:pPr>
      <w:numPr>
        <w:ilvl w:val="0"/>
        <w:numId w:val="16"/>
      </w:numPr>
    </w:pPr>
    <w:rPr>
      <w:rFonts w:ascii="宋体"/>
      <w:sz w:val="18"/>
      <w:szCs w:val="18"/>
    </w:rPr>
  </w:style>
  <w:style w:type="paragraph" w:customStyle="1" w:styleId="126">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qFormat/>
    <w:uiPriority w:val="0"/>
    <w:pPr>
      <w:spacing w:before="0" w:beforeLines="0" w:after="0" w:afterLines="0"/>
    </w:pPr>
    <w:rPr>
      <w:rFonts w:ascii="宋体" w:eastAsia="宋体"/>
    </w:rPr>
  </w:style>
  <w:style w:type="paragraph" w:customStyle="1" w:styleId="129">
    <w:name w:val="一级无"/>
    <w:basedOn w:val="46"/>
    <w:uiPriority w:val="0"/>
    <w:pPr>
      <w:spacing w:before="0" w:beforeLines="0" w:after="0" w:afterLines="0"/>
    </w:pPr>
    <w:rPr>
      <w:rFonts w:ascii="宋体" w:eastAsia="宋体"/>
    </w:rPr>
  </w:style>
  <w:style w:type="character" w:customStyle="1" w:styleId="130">
    <w:name w:val="已访问的超链接1"/>
    <w:uiPriority w:val="0"/>
    <w:rPr>
      <w:color w:val="800080"/>
      <w:u w:val="single"/>
    </w:rPr>
  </w:style>
  <w:style w:type="paragraph" w:customStyle="1" w:styleId="131">
    <w:name w:val="正文表标题"/>
    <w:next w:val="26"/>
    <w:qFormat/>
    <w:uiPriority w:val="0"/>
    <w:pPr>
      <w:numPr>
        <w:ilvl w:val="0"/>
        <w:numId w:val="17"/>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32">
    <w:name w:val="正文公式编号制表符"/>
    <w:basedOn w:val="26"/>
    <w:next w:val="26"/>
    <w:qFormat/>
    <w:uiPriority w:val="0"/>
    <w:pPr>
      <w:ind w:firstLine="0" w:firstLineChars="0"/>
    </w:pPr>
  </w:style>
  <w:style w:type="paragraph" w:customStyle="1" w:styleId="133">
    <w:name w:val="正文图标题"/>
    <w:next w:val="26"/>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终结线"/>
    <w:basedOn w:val="1"/>
    <w:uiPriority w:val="0"/>
    <w:pPr>
      <w:framePr w:hSpace="181" w:vSpace="181" w:wrap="around" w:vAnchor="text" w:hAnchor="margin" w:xAlign="center" w:y="285"/>
    </w:pPr>
  </w:style>
  <w:style w:type="paragraph" w:customStyle="1" w:styleId="135">
    <w:name w:val="其他发布日期"/>
    <w:basedOn w:val="79"/>
    <w:uiPriority w:val="0"/>
    <w:pPr>
      <w:framePr w:wrap="around" w:vAnchor="page" w:hAnchor="text" w:x="1419"/>
    </w:pPr>
  </w:style>
  <w:style w:type="paragraph" w:customStyle="1" w:styleId="136">
    <w:name w:val="其他实施日期"/>
    <w:basedOn w:val="118"/>
    <w:qFormat/>
    <w:uiPriority w:val="0"/>
    <w:pPr>
      <w:framePr w:wrap="around"/>
    </w:pPr>
  </w:style>
  <w:style w:type="paragraph" w:customStyle="1" w:styleId="137">
    <w:name w:val="封面标准名称2"/>
    <w:basedOn w:val="82"/>
    <w:qFormat/>
    <w:uiPriority w:val="0"/>
    <w:pPr>
      <w:framePr w:wrap="around" w:y="4469"/>
      <w:spacing w:before="630" w:beforeLines="630"/>
    </w:pPr>
  </w:style>
  <w:style w:type="paragraph" w:customStyle="1" w:styleId="138">
    <w:name w:val="封面标准英文名称2"/>
    <w:basedOn w:val="83"/>
    <w:qFormat/>
    <w:uiPriority w:val="0"/>
    <w:pPr>
      <w:framePr w:wrap="around" w:y="4469"/>
    </w:pPr>
  </w:style>
  <w:style w:type="paragraph" w:customStyle="1" w:styleId="139">
    <w:name w:val="封面一致性程度标识2"/>
    <w:basedOn w:val="84"/>
    <w:qFormat/>
    <w:uiPriority w:val="0"/>
    <w:pPr>
      <w:framePr w:wrap="around" w:y="4469"/>
    </w:pPr>
  </w:style>
  <w:style w:type="paragraph" w:customStyle="1" w:styleId="140">
    <w:name w:val="封面标准文稿类别2"/>
    <w:basedOn w:val="85"/>
    <w:uiPriority w:val="0"/>
    <w:pPr>
      <w:framePr w:wrap="around" w:y="4469"/>
    </w:pPr>
  </w:style>
  <w:style w:type="paragraph" w:customStyle="1" w:styleId="141">
    <w:name w:val="封面标准文稿编辑信息2"/>
    <w:basedOn w:val="86"/>
    <w:uiPriority w:val="0"/>
    <w:pPr>
      <w:framePr w:wrap="around" w:y="4469"/>
    </w:pPr>
  </w:style>
  <w:style w:type="character" w:customStyle="1" w:styleId="142">
    <w:name w:val="正文文本 Char"/>
    <w:link w:val="11"/>
    <w:qFormat/>
    <w:uiPriority w:val="0"/>
    <w:rPr>
      <w:kern w:val="2"/>
      <w:sz w:val="21"/>
      <w:szCs w:val="24"/>
    </w:rPr>
  </w:style>
  <w:style w:type="character" w:customStyle="1" w:styleId="143">
    <w:name w:val="正文首行缩进 Char"/>
    <w:link w:val="35"/>
    <w:uiPriority w:val="0"/>
    <w:rPr>
      <w:rFonts w:ascii="宋体" w:hAnsi="宋体"/>
      <w:color w:val="000000"/>
      <w:kern w:val="2"/>
      <w:sz w:val="21"/>
      <w:szCs w:val="24"/>
    </w:rPr>
  </w:style>
  <w:style w:type="character" w:customStyle="1" w:styleId="144">
    <w:name w:val="批注框文本 Char"/>
    <w:link w:val="19"/>
    <w:qFormat/>
    <w:uiPriority w:val="0"/>
    <w:rPr>
      <w:kern w:val="2"/>
      <w:sz w:val="18"/>
      <w:szCs w:val="18"/>
    </w:rPr>
  </w:style>
  <w:style w:type="paragraph" w:customStyle="1" w:styleId="145">
    <w:name w:val="二级无标题条"/>
    <w:basedOn w:val="1"/>
    <w:qFormat/>
    <w:uiPriority w:val="0"/>
    <w:pPr>
      <w:numPr>
        <w:ilvl w:val="3"/>
        <w:numId w:val="19"/>
      </w:numPr>
    </w:pPr>
  </w:style>
  <w:style w:type="paragraph" w:customStyle="1" w:styleId="146">
    <w:name w:val="三级无标题条"/>
    <w:basedOn w:val="1"/>
    <w:qFormat/>
    <w:uiPriority w:val="0"/>
    <w:pPr>
      <w:numPr>
        <w:ilvl w:val="4"/>
        <w:numId w:val="19"/>
      </w:numPr>
    </w:pPr>
  </w:style>
  <w:style w:type="paragraph" w:customStyle="1" w:styleId="147">
    <w:name w:val="四级无标题条"/>
    <w:basedOn w:val="1"/>
    <w:qFormat/>
    <w:uiPriority w:val="0"/>
    <w:pPr>
      <w:numPr>
        <w:ilvl w:val="5"/>
        <w:numId w:val="19"/>
      </w:numPr>
    </w:pPr>
  </w:style>
  <w:style w:type="paragraph" w:customStyle="1" w:styleId="148">
    <w:name w:val="图表脚注"/>
    <w:next w:val="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49">
    <w:name w:val="五级无标题条"/>
    <w:basedOn w:val="1"/>
    <w:qFormat/>
    <w:uiPriority w:val="0"/>
    <w:pPr>
      <w:numPr>
        <w:ilvl w:val="6"/>
        <w:numId w:val="19"/>
      </w:numPr>
    </w:pPr>
  </w:style>
  <w:style w:type="paragraph" w:customStyle="1" w:styleId="150">
    <w:name w:val="一级无标题条"/>
    <w:basedOn w:val="1"/>
    <w:uiPriority w:val="0"/>
    <w:pPr>
      <w:numPr>
        <w:ilvl w:val="2"/>
        <w:numId w:val="19"/>
      </w:numPr>
    </w:pPr>
  </w:style>
  <w:style w:type="character" w:customStyle="1" w:styleId="151">
    <w:name w:val="批注文字 Char"/>
    <w:link w:val="9"/>
    <w:uiPriority w:val="0"/>
    <w:rPr>
      <w:kern w:val="2"/>
      <w:sz w:val="21"/>
      <w:szCs w:val="24"/>
    </w:rPr>
  </w:style>
  <w:style w:type="character" w:customStyle="1" w:styleId="152">
    <w:name w:val="批注主题 Char"/>
    <w:link w:val="34"/>
    <w:qFormat/>
    <w:uiPriority w:val="0"/>
    <w:rPr>
      <w:b/>
      <w:bCs/>
      <w:kern w:val="2"/>
      <w:sz w:val="21"/>
      <w:szCs w:val="24"/>
    </w:rPr>
  </w:style>
  <w:style w:type="paragraph" w:customStyle="1" w:styleId="1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155">
    <w:name w:val="src"/>
    <w:basedOn w:val="1"/>
    <w:uiPriority w:val="0"/>
    <w:pPr>
      <w:widowControl/>
      <w:spacing w:before="100" w:beforeAutospacing="1" w:after="100" w:afterAutospacing="1"/>
      <w:jc w:val="left"/>
    </w:pPr>
    <w:rPr>
      <w:rFonts w:ascii="宋体" w:hAnsi="宋体" w:cs="宋体"/>
      <w:kern w:val="0"/>
      <w:sz w:val="24"/>
    </w:rPr>
  </w:style>
  <w:style w:type="character" w:customStyle="1" w:styleId="156">
    <w:name w:val="标题 1 Char"/>
    <w:link w:val="2"/>
    <w:qFormat/>
    <w:uiPriority w:val="9"/>
    <w:rPr>
      <w:rFonts w:ascii="宋体" w:hAnsi="宋体" w:cs="宋体"/>
      <w:b/>
      <w:bCs/>
      <w:kern w:val="36"/>
      <w:sz w:val="48"/>
      <w:szCs w:val="48"/>
    </w:rPr>
  </w:style>
  <w:style w:type="table" w:customStyle="1" w:styleId="157">
    <w:name w:val="网格型1"/>
    <w:basedOn w:val="36"/>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8">
    <w:name w:val="纯文本 Char"/>
    <w:link w:val="15"/>
    <w:qFormat/>
    <w:uiPriority w:val="0"/>
    <w:rPr>
      <w:rFonts w:ascii="宋体" w:hAnsi="Courier New"/>
      <w:kern w:val="2"/>
      <w:sz w:val="21"/>
    </w:rPr>
  </w:style>
  <w:style w:type="paragraph" w:styleId="159">
    <w:name w:val="List Paragraph"/>
    <w:basedOn w:val="1"/>
    <w:qFormat/>
    <w:uiPriority w:val="34"/>
    <w:pPr>
      <w:ind w:firstLine="420" w:firstLineChars="200"/>
    </w:pPr>
  </w:style>
  <w:style w:type="character" w:styleId="160">
    <w:name w:val="Placeholder Text"/>
    <w:basedOn w:val="38"/>
    <w:semiHidden/>
    <w:uiPriority w:val="99"/>
    <w:rPr>
      <w:color w:val="808080"/>
    </w:rPr>
  </w:style>
  <w:style w:type="character" w:customStyle="1" w:styleId="161">
    <w:name w:val="页脚 Char"/>
    <w:basedOn w:val="38"/>
    <w:link w:val="20"/>
    <w:qFormat/>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AA9FD-BFAC-45FE-972D-44CB2654AB8C}">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13</Pages>
  <Words>1006</Words>
  <Characters>5739</Characters>
  <Lines>47</Lines>
  <Paragraphs>13</Paragraphs>
  <TotalTime>9</TotalTime>
  <ScaleCrop>false</ScaleCrop>
  <LinksUpToDate>false</LinksUpToDate>
  <CharactersWithSpaces>6732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2023-09-07T07:28:00Z</dcterms:created>
  <dc:creator>CNIS</dc:creator>
  <cp:lastModifiedBy>素素</cp:lastModifiedBy>
  <cp:lastPrinted>2023-07-24T05:37:00Z</cp:lastPrinted>
  <dcterms:modified xsi:type="dcterms:W3CDTF">2023-09-08T02:54:13Z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1771CD9DACDA4FB199741E3C59980E26_12</vt:lpwstr>
  </property>
</Properties>
</file>