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sz w:val="72"/>
          <w:szCs w:val="72"/>
        </w:rPr>
      </w:pPr>
    </w:p>
    <w:p>
      <w:pPr>
        <w:rPr>
          <w:rFonts w:ascii="Times New Roman" w:hAnsi="Times New Roman" w:cs="Times New Roman"/>
          <w:sz w:val="72"/>
          <w:szCs w:val="72"/>
        </w:rPr>
      </w:pPr>
    </w:p>
    <w:p>
      <w:pPr>
        <w:rPr>
          <w:rFonts w:ascii="Times New Roman" w:hAnsi="Times New Roman" w:cs="Times New Roman"/>
          <w:sz w:val="72"/>
          <w:szCs w:val="72"/>
        </w:rPr>
      </w:pPr>
    </w:p>
    <w:p>
      <w:pPr>
        <w:rPr>
          <w:rFonts w:ascii="Times New Roman" w:hAnsi="Times New Roman" w:cs="Times New Roman"/>
          <w:sz w:val="72"/>
          <w:szCs w:val="72"/>
        </w:rPr>
      </w:pPr>
    </w:p>
    <w:p>
      <w:pPr>
        <w:spacing w:line="360" w:lineRule="auto"/>
        <w:jc w:val="center"/>
        <w:rPr>
          <w:rFonts w:ascii="Times New Roman" w:hAnsi="Times New Roman" w:cs="Times New Roman"/>
          <w:b/>
          <w:sz w:val="48"/>
          <w:szCs w:val="48"/>
        </w:rPr>
      </w:pPr>
      <w:r>
        <w:rPr>
          <w:rFonts w:hint="eastAsia" w:ascii="Times New Roman" w:hAnsi="Times New Roman" w:cs="Times New Roman"/>
          <w:b/>
          <w:sz w:val="48"/>
          <w:szCs w:val="48"/>
        </w:rPr>
        <w:t>有色金属协会标准</w:t>
      </w:r>
    </w:p>
    <w:p>
      <w:pPr>
        <w:spacing w:line="360" w:lineRule="auto"/>
        <w:jc w:val="center"/>
        <w:rPr>
          <w:rFonts w:ascii="Times New Roman" w:hAnsi="Times New Roman" w:cs="Times New Roman"/>
          <w:b/>
          <w:sz w:val="48"/>
          <w:szCs w:val="48"/>
        </w:rPr>
      </w:pPr>
      <w:r>
        <w:rPr>
          <w:rFonts w:ascii="Times New Roman" w:hAnsi="Times New Roman" w:cs="Times New Roman"/>
          <w:b/>
          <w:sz w:val="48"/>
          <w:szCs w:val="48"/>
        </w:rPr>
        <w:t xml:space="preserve">《绿色设计产品评价技术规范 </w:t>
      </w:r>
      <w:r>
        <w:rPr>
          <w:rFonts w:hint="eastAsia" w:ascii="Times New Roman" w:hAnsi="Times New Roman" w:cs="Times New Roman"/>
          <w:b/>
          <w:sz w:val="48"/>
          <w:szCs w:val="48"/>
        </w:rPr>
        <w:t>钴酸锂</w:t>
      </w:r>
      <w:r>
        <w:rPr>
          <w:rFonts w:ascii="Times New Roman" w:hAnsi="Times New Roman" w:cs="Times New Roman"/>
          <w:b/>
          <w:sz w:val="48"/>
          <w:szCs w:val="48"/>
        </w:rPr>
        <w:t>》</w:t>
      </w:r>
    </w:p>
    <w:p>
      <w:pPr>
        <w:spacing w:line="360" w:lineRule="auto"/>
        <w:jc w:val="center"/>
        <w:rPr>
          <w:rFonts w:ascii="Times New Roman" w:hAnsi="Times New Roman" w:cs="Times New Roman"/>
          <w:b/>
          <w:sz w:val="48"/>
          <w:szCs w:val="48"/>
        </w:rPr>
      </w:pPr>
      <w:r>
        <w:rPr>
          <w:rFonts w:ascii="Times New Roman" w:hAnsi="Times New Roman" w:cs="Times New Roman"/>
          <w:b/>
          <w:sz w:val="48"/>
          <w:szCs w:val="48"/>
        </w:rPr>
        <w:t>编制说明</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2"/>
      </w:pPr>
    </w:p>
    <w:p>
      <w:pPr>
        <w:rPr>
          <w:rFonts w:ascii="Times New Roman" w:hAnsi="Times New Roman" w:cs="Times New Roman"/>
        </w:rPr>
      </w:pPr>
    </w:p>
    <w:p>
      <w:pPr>
        <w:jc w:val="center"/>
        <w:rPr>
          <w:rFonts w:ascii="Times New Roman" w:hAnsi="Times New Roman" w:cs="Times New Roman"/>
          <w:b/>
          <w:sz w:val="44"/>
          <w:szCs w:val="44"/>
        </w:rPr>
      </w:pPr>
      <w:r>
        <w:rPr>
          <w:rFonts w:ascii="Times New Roman" w:hAnsi="Times New Roman" w:cs="Times New Roman"/>
          <w:b/>
          <w:sz w:val="44"/>
          <w:szCs w:val="44"/>
        </w:rPr>
        <w:t>（</w:t>
      </w:r>
      <w:r>
        <w:rPr>
          <w:rFonts w:hint="eastAsia" w:ascii="Times New Roman" w:hAnsi="Times New Roman" w:cs="Times New Roman"/>
          <w:b/>
          <w:sz w:val="44"/>
          <w:szCs w:val="44"/>
          <w:lang w:eastAsia="zh-CN"/>
        </w:rPr>
        <w:t>送</w:t>
      </w:r>
      <w:r>
        <w:rPr>
          <w:rFonts w:ascii="Times New Roman" w:hAnsi="Times New Roman" w:cs="Times New Roman"/>
          <w:b/>
          <w:sz w:val="44"/>
          <w:szCs w:val="44"/>
        </w:rPr>
        <w:t>审稿）</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2"/>
      </w:pPr>
    </w:p>
    <w:p>
      <w:pPr>
        <w:rPr>
          <w:rFonts w:ascii="Times New Roman" w:hAnsi="Times New Roman" w:cs="Times New Roman"/>
        </w:rPr>
      </w:pPr>
    </w:p>
    <w:p>
      <w:pPr>
        <w:pStyle w:val="2"/>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jc w:val="center"/>
        <w:rPr>
          <w:rFonts w:ascii="Times New Roman" w:hAnsi="Times New Roman" w:cs="Times New Roman"/>
          <w:b/>
          <w:sz w:val="32"/>
          <w:szCs w:val="32"/>
        </w:rPr>
      </w:pPr>
      <w:r>
        <w:rPr>
          <w:rFonts w:ascii="Times New Roman" w:hAnsi="Times New Roman" w:cs="Times New Roman"/>
          <w:b/>
          <w:sz w:val="32"/>
          <w:szCs w:val="32"/>
        </w:rPr>
        <w:t>湖南邦普循环科技有限公司</w:t>
      </w:r>
    </w:p>
    <w:p>
      <w:pPr>
        <w:jc w:val="center"/>
        <w:rPr>
          <w:rFonts w:ascii="Times New Roman" w:hAnsi="Times New Roman" w:cs="Times New Roman"/>
          <w:b/>
          <w:sz w:val="32"/>
          <w:szCs w:val="32"/>
        </w:rPr>
      </w:pPr>
      <w:r>
        <w:rPr>
          <w:rFonts w:ascii="Times New Roman" w:hAnsi="Times New Roman" w:cs="Times New Roman"/>
          <w:b/>
          <w:sz w:val="32"/>
          <w:szCs w:val="32"/>
        </w:rPr>
        <w:t>2023年</w:t>
      </w:r>
      <w:r>
        <w:rPr>
          <w:rFonts w:hint="eastAsia" w:ascii="Times New Roman" w:hAnsi="Times New Roman" w:cs="Times New Roman"/>
          <w:b/>
          <w:sz w:val="32"/>
          <w:szCs w:val="32"/>
          <w:lang w:val="en-US" w:eastAsia="zh-CN"/>
        </w:rPr>
        <w:t>8</w:t>
      </w:r>
      <w:r>
        <w:rPr>
          <w:rFonts w:ascii="Times New Roman" w:hAnsi="Times New Roman" w:cs="Times New Roman"/>
          <w:b/>
          <w:sz w:val="32"/>
          <w:szCs w:val="32"/>
        </w:rPr>
        <w:t>月</w:t>
      </w:r>
      <w:r>
        <w:rPr>
          <w:rFonts w:ascii="Times New Roman" w:hAnsi="Times New Roman" w:cs="Times New Roman"/>
          <w:b/>
          <w:sz w:val="32"/>
          <w:szCs w:val="32"/>
        </w:rPr>
        <w:br w:type="page"/>
      </w:r>
    </w:p>
    <w:p>
      <w:pPr>
        <w:pStyle w:val="3"/>
        <w:spacing w:before="156" w:after="156"/>
        <w:rPr>
          <w:rFonts w:hint="default"/>
        </w:rPr>
      </w:pPr>
      <w:r>
        <w:rPr>
          <w:rFonts w:hint="default"/>
        </w:rPr>
        <w:t>一、工作简况</w:t>
      </w:r>
    </w:p>
    <w:p>
      <w:pPr>
        <w:pStyle w:val="4"/>
        <w:bidi w:val="0"/>
      </w:pPr>
      <w:r>
        <w:t>1.1 任务来源</w:t>
      </w:r>
    </w:p>
    <w:p>
      <w:pPr>
        <w:pStyle w:val="19"/>
        <w:widowControl/>
        <w:spacing w:beforeAutospacing="0" w:afterAutospacing="0" w:line="360" w:lineRule="auto"/>
        <w:ind w:firstLine="480" w:firstLineChars="200"/>
        <w:jc w:val="both"/>
        <w:rPr>
          <w:rFonts w:ascii="Times New Roman" w:hAnsi="Times New Roman" w:eastAsia="宋体"/>
          <w:szCs w:val="24"/>
        </w:rPr>
      </w:pPr>
      <w:r>
        <w:rPr>
          <w:rFonts w:ascii="Times New Roman" w:hAnsi="Times New Roman" w:eastAsia="宋体"/>
          <w:color w:val="000000"/>
          <w:szCs w:val="24"/>
        </w:rPr>
        <w:t>根据中国有色金属工业协会《关于下达2022第三批协会标准制修订计划的通知》（中色协科字[2022]85号）</w:t>
      </w:r>
      <w:r>
        <w:rPr>
          <w:rFonts w:hint="eastAsia" w:ascii="Times New Roman" w:hAnsi="Times New Roman" w:eastAsia="宋体"/>
          <w:color w:val="000000"/>
          <w:szCs w:val="24"/>
        </w:rPr>
        <w:t>的文件</w:t>
      </w:r>
      <w:r>
        <w:rPr>
          <w:rFonts w:ascii="Times New Roman" w:hAnsi="Times New Roman" w:eastAsia="宋体"/>
          <w:color w:val="000000"/>
          <w:szCs w:val="24"/>
        </w:rPr>
        <w:t xml:space="preserve">精神，有色金属协会标准《绿色设计产品评价技术规范 </w:t>
      </w:r>
      <w:r>
        <w:rPr>
          <w:rFonts w:hint="eastAsia" w:ascii="Times New Roman" w:hAnsi="Times New Roman" w:eastAsia="宋体"/>
          <w:color w:val="000000"/>
          <w:szCs w:val="24"/>
        </w:rPr>
        <w:t>钴酸锂</w:t>
      </w:r>
      <w:r>
        <w:rPr>
          <w:rFonts w:ascii="Times New Roman" w:hAnsi="Times New Roman" w:eastAsia="宋体"/>
          <w:color w:val="000000"/>
          <w:szCs w:val="24"/>
        </w:rPr>
        <w:t>》</w:t>
      </w:r>
      <w:r>
        <w:rPr>
          <w:rFonts w:hint="eastAsia" w:ascii="Times New Roman" w:hAnsi="Times New Roman" w:eastAsia="宋体"/>
          <w:color w:val="000000"/>
          <w:szCs w:val="24"/>
        </w:rPr>
        <w:t>获得立项</w:t>
      </w:r>
      <w:r>
        <w:rPr>
          <w:rFonts w:ascii="Times New Roman" w:hAnsi="Times New Roman" w:eastAsia="宋体"/>
          <w:color w:val="000000"/>
          <w:szCs w:val="24"/>
        </w:rPr>
        <w:t>，项</w:t>
      </w:r>
      <w:r>
        <w:rPr>
          <w:rFonts w:ascii="Times New Roman" w:hAnsi="Times New Roman" w:eastAsia="宋体"/>
          <w:szCs w:val="24"/>
        </w:rPr>
        <w:t>目计划编号</w:t>
      </w:r>
      <w:r>
        <w:rPr>
          <w:rFonts w:ascii="Times New Roman" w:hAnsi="Times New Roman" w:eastAsia="宋体"/>
          <w:color w:val="000000"/>
          <w:szCs w:val="24"/>
        </w:rPr>
        <w:t>2022-050-T/CNIA，</w:t>
      </w:r>
      <w:r>
        <w:rPr>
          <w:rFonts w:ascii="Times New Roman" w:hAnsi="Times New Roman" w:eastAsia="宋体"/>
          <w:szCs w:val="24"/>
        </w:rPr>
        <w:t>计划完成年限为2023年。</w:t>
      </w:r>
    </w:p>
    <w:p>
      <w:pPr>
        <w:pStyle w:val="19"/>
        <w:widowControl/>
        <w:spacing w:beforeAutospacing="0" w:afterAutospacing="0" w:line="360" w:lineRule="auto"/>
        <w:ind w:firstLine="480" w:firstLineChars="200"/>
        <w:jc w:val="both"/>
        <w:rPr>
          <w:rFonts w:ascii="Times New Roman" w:hAnsi="Times New Roman" w:eastAsia="宋体"/>
          <w:szCs w:val="24"/>
        </w:rPr>
      </w:pPr>
      <w:r>
        <w:rPr>
          <w:rFonts w:hint="eastAsia" w:ascii="Times New Roman" w:hAnsi="Times New Roman" w:eastAsia="宋体"/>
          <w:szCs w:val="24"/>
        </w:rPr>
        <w:t>标准由湖南邦普循环科技有限公司负责牵头起草，参与起草单位有：格林美（无锡）能源材料有限公司、</w:t>
      </w:r>
      <w:r>
        <w:rPr>
          <w:rFonts w:hint="eastAsia" w:ascii="Times New Roman" w:hAnsi="Times New Roman" w:eastAsia="宋体"/>
          <w:szCs w:val="24"/>
          <w:lang w:eastAsia="zh-CN"/>
        </w:rPr>
        <w:t>浙江</w:t>
      </w:r>
      <w:r>
        <w:rPr>
          <w:rFonts w:hint="eastAsia" w:ascii="Times New Roman" w:hAnsi="Times New Roman" w:eastAsia="宋体"/>
          <w:szCs w:val="24"/>
        </w:rPr>
        <w:t>巴莫科技有限责任公司、江门市科恒实业股份有限公司、湖南长远锂科股份有限公司、</w:t>
      </w:r>
      <w:r>
        <w:rPr>
          <w:rFonts w:hint="eastAsia" w:ascii="Times New Roman" w:hAnsi="Times New Roman" w:eastAsia="宋体"/>
          <w:szCs w:val="24"/>
          <w:lang w:eastAsia="zh-CN"/>
        </w:rPr>
        <w:t>江苏当升材料科技有限公司、</w:t>
      </w:r>
      <w:r>
        <w:rPr>
          <w:rFonts w:hint="eastAsia" w:ascii="Times New Roman" w:hAnsi="Times New Roman" w:eastAsia="宋体"/>
          <w:szCs w:val="24"/>
        </w:rPr>
        <w:t>广东邦普循环科技有限公司、深圳海关技术中心。</w:t>
      </w:r>
    </w:p>
    <w:p>
      <w:pPr>
        <w:pStyle w:val="4"/>
        <w:spacing w:before="156" w:after="156"/>
      </w:pPr>
      <w:r>
        <w:t>1.2 主要参加单位和工作成员及其所做工作</w:t>
      </w:r>
    </w:p>
    <w:p>
      <w:pPr>
        <w:pStyle w:val="5"/>
      </w:pPr>
      <w:r>
        <w:t>1.2.1 起草单位简介</w:t>
      </w:r>
    </w:p>
    <w:p>
      <w:pPr>
        <w:pStyle w:val="19"/>
        <w:widowControl/>
        <w:spacing w:beforeAutospacing="0" w:afterAutospacing="0" w:line="360" w:lineRule="auto"/>
        <w:ind w:firstLine="480" w:firstLineChars="200"/>
        <w:jc w:val="both"/>
        <w:rPr>
          <w:rFonts w:ascii="Times New Roman" w:hAnsi="Times New Roman" w:eastAsia="宋体"/>
          <w:color w:val="000000"/>
          <w:szCs w:val="24"/>
        </w:rPr>
      </w:pPr>
      <w:r>
        <w:rPr>
          <w:rFonts w:hint="eastAsia" w:ascii="Times New Roman" w:hAnsi="Times New Roman" w:eastAsia="宋体"/>
          <w:color w:val="000000"/>
          <w:szCs w:val="24"/>
        </w:rPr>
        <w:t>湖南</w:t>
      </w:r>
      <w:r>
        <w:rPr>
          <w:rFonts w:ascii="Times New Roman" w:hAnsi="Times New Roman" w:eastAsia="宋体"/>
          <w:color w:val="000000"/>
          <w:szCs w:val="24"/>
        </w:rPr>
        <w:t>邦普</w:t>
      </w:r>
      <w:r>
        <w:rPr>
          <w:rFonts w:hint="eastAsia" w:ascii="Times New Roman" w:hAnsi="Times New Roman" w:eastAsia="宋体"/>
          <w:color w:val="000000"/>
          <w:szCs w:val="24"/>
        </w:rPr>
        <w:t>循环科技有限公司是广东邦普循环科技有限公司（以下简称“邦普循环”）的子公司，邦普循环创立于2005年，是国内领先的废旧电池循环利用企业，聚焦回收业务、资源业务与材料业务，为电池全生命周期管理提供一站式闭环解决方案和服务。</w:t>
      </w:r>
    </w:p>
    <w:p>
      <w:pPr>
        <w:pStyle w:val="19"/>
        <w:widowControl/>
        <w:spacing w:beforeAutospacing="0" w:afterAutospacing="0" w:line="360" w:lineRule="auto"/>
        <w:ind w:firstLine="480" w:firstLineChars="200"/>
        <w:jc w:val="both"/>
        <w:rPr>
          <w:rFonts w:ascii="Times New Roman" w:hAnsi="Times New Roman" w:eastAsia="宋体"/>
          <w:color w:val="000000"/>
          <w:szCs w:val="24"/>
        </w:rPr>
      </w:pPr>
      <w:r>
        <w:rPr>
          <w:rFonts w:ascii="Times New Roman" w:hAnsi="Times New Roman" w:eastAsia="宋体"/>
          <w:color w:val="000000"/>
          <w:szCs w:val="24"/>
        </w:rPr>
        <w:t>通过几年的快速发展，</w:t>
      </w:r>
      <w:r>
        <w:rPr>
          <w:rFonts w:hint="eastAsia" w:ascii="Times New Roman" w:hAnsi="Times New Roman" w:eastAsia="宋体"/>
          <w:color w:val="000000"/>
          <w:szCs w:val="24"/>
        </w:rPr>
        <w:t>邦普循环</w:t>
      </w:r>
      <w:r>
        <w:rPr>
          <w:rFonts w:ascii="Times New Roman" w:hAnsi="Times New Roman" w:eastAsia="宋体"/>
          <w:color w:val="000000"/>
          <w:szCs w:val="24"/>
        </w:rPr>
        <w:t>已形成</w:t>
      </w:r>
      <w:r>
        <w:rPr>
          <w:rFonts w:hint="eastAsia" w:ascii="Times New Roman" w:hAnsi="Times New Roman" w:eastAsia="宋体"/>
          <w:color w:val="000000"/>
          <w:szCs w:val="24"/>
        </w:rPr>
        <w:t>“</w:t>
      </w:r>
      <w:r>
        <w:rPr>
          <w:rFonts w:ascii="Times New Roman" w:hAnsi="Times New Roman" w:eastAsia="宋体"/>
          <w:color w:val="000000"/>
          <w:szCs w:val="24"/>
        </w:rPr>
        <w:t>电池循环、载体循环和循环服务</w:t>
      </w:r>
      <w:r>
        <w:rPr>
          <w:rFonts w:hint="eastAsia" w:ascii="Times New Roman" w:hAnsi="Times New Roman" w:eastAsia="宋体"/>
          <w:color w:val="000000"/>
          <w:szCs w:val="24"/>
        </w:rPr>
        <w:t>”</w:t>
      </w:r>
      <w:r>
        <w:rPr>
          <w:rFonts w:ascii="Times New Roman" w:hAnsi="Times New Roman" w:eastAsia="宋体"/>
          <w:color w:val="000000"/>
          <w:szCs w:val="24"/>
        </w:rPr>
        <w:t>三大产业板块，专业从事数码电池（手机和笔记本电脑等数码电子产品用充电电池）和动力电池（电动汽车用动力电池）回收处理、梯度储能利用；传统报废汽车回收拆解、关键零部件再制造；以及高端电池材料和汽车功能瓶颈材料的工业生产、商业化循环服务解决方案的提供。</w:t>
      </w:r>
    </w:p>
    <w:p>
      <w:pPr>
        <w:pStyle w:val="19"/>
        <w:widowControl/>
        <w:spacing w:beforeAutospacing="0" w:afterAutospacing="0" w:line="360" w:lineRule="auto"/>
        <w:ind w:firstLine="480" w:firstLineChars="200"/>
        <w:jc w:val="both"/>
        <w:rPr>
          <w:rFonts w:ascii="Times New Roman" w:hAnsi="Times New Roman" w:eastAsia="宋体"/>
          <w:color w:val="000000"/>
          <w:szCs w:val="24"/>
        </w:rPr>
      </w:pPr>
      <w:r>
        <w:rPr>
          <w:rFonts w:ascii="Times New Roman" w:hAnsi="Times New Roman" w:eastAsia="宋体"/>
          <w:color w:val="000000"/>
          <w:szCs w:val="24"/>
        </w:rPr>
        <w:t>目前</w:t>
      </w:r>
      <w:r>
        <w:rPr>
          <w:rFonts w:hint="eastAsia" w:ascii="Times New Roman" w:hAnsi="Times New Roman" w:eastAsia="宋体"/>
          <w:color w:val="000000"/>
          <w:szCs w:val="24"/>
        </w:rPr>
        <w:t>邦普循环</w:t>
      </w:r>
      <w:r>
        <w:rPr>
          <w:rFonts w:ascii="Times New Roman" w:hAnsi="Times New Roman" w:eastAsia="宋体"/>
          <w:color w:val="000000"/>
          <w:szCs w:val="24"/>
        </w:rPr>
        <w:t>年回收处理废旧电池产能为30000吨/年、年生产镍钴锰酸锂12000吨，钴酸锂3000吨</w:t>
      </w:r>
      <w:r>
        <w:rPr>
          <w:rFonts w:hint="eastAsia" w:ascii="Times New Roman" w:hAnsi="Times New Roman" w:eastAsia="宋体"/>
          <w:color w:val="000000"/>
          <w:szCs w:val="24"/>
          <w:lang w:eastAsia="zh-CN"/>
        </w:rPr>
        <w:t>，</w:t>
      </w:r>
      <w:r>
        <w:rPr>
          <w:rFonts w:hint="eastAsia" w:ascii="Times New Roman" w:hAnsi="Times New Roman" w:cs="Times New Roman"/>
          <w:kern w:val="0"/>
          <w:sz w:val="24"/>
          <w:szCs w:val="24"/>
          <w:lang w:val="en-US" w:eastAsia="zh-CN" w:bidi="ar"/>
        </w:rPr>
        <w:t>磷酸铁锂10000吨</w:t>
      </w:r>
      <w:r>
        <w:rPr>
          <w:rFonts w:ascii="Times New Roman" w:hAnsi="Times New Roman" w:eastAsia="宋体"/>
          <w:color w:val="000000"/>
          <w:szCs w:val="24"/>
        </w:rPr>
        <w:t>；总收率超过98.58%，回收处理规模和资源循环产能已跃居亚洲前列。</w:t>
      </w:r>
      <w:r>
        <w:rPr>
          <w:rFonts w:hint="eastAsia" w:ascii="Times New Roman" w:hAnsi="Times New Roman" w:eastAsia="宋体"/>
          <w:color w:val="000000"/>
          <w:szCs w:val="24"/>
        </w:rPr>
        <w:t>邦普循环</w:t>
      </w:r>
      <w:r>
        <w:rPr>
          <w:rFonts w:ascii="Times New Roman" w:hAnsi="Times New Roman" w:eastAsia="宋体"/>
          <w:color w:val="000000"/>
          <w:szCs w:val="24"/>
        </w:rPr>
        <w:t>通过独创的</w:t>
      </w:r>
      <w:r>
        <w:rPr>
          <w:rFonts w:hint="eastAsia" w:ascii="Times New Roman" w:hAnsi="Times New Roman" w:eastAsia="宋体"/>
          <w:color w:val="000000"/>
          <w:szCs w:val="24"/>
        </w:rPr>
        <w:t>“</w:t>
      </w:r>
      <w:r>
        <w:rPr>
          <w:rFonts w:ascii="Times New Roman" w:hAnsi="Times New Roman" w:eastAsia="宋体"/>
          <w:color w:val="000000"/>
          <w:szCs w:val="24"/>
        </w:rPr>
        <w:t>逆向产品定位设计</w:t>
      </w:r>
      <w:r>
        <w:rPr>
          <w:rFonts w:hint="eastAsia" w:ascii="Times New Roman" w:hAnsi="Times New Roman" w:eastAsia="宋体"/>
          <w:color w:val="000000"/>
          <w:szCs w:val="24"/>
        </w:rPr>
        <w:t>”</w:t>
      </w:r>
      <w:r>
        <w:rPr>
          <w:rFonts w:ascii="Times New Roman" w:hAnsi="Times New Roman" w:eastAsia="宋体"/>
          <w:color w:val="000000"/>
          <w:szCs w:val="24"/>
        </w:rPr>
        <w:t>技术，在全球废旧电池回收领域率先破解</w:t>
      </w:r>
      <w:r>
        <w:rPr>
          <w:rFonts w:hint="eastAsia" w:ascii="Times New Roman" w:hAnsi="Times New Roman" w:eastAsia="宋体"/>
          <w:color w:val="000000"/>
          <w:szCs w:val="24"/>
        </w:rPr>
        <w:t>“</w:t>
      </w:r>
      <w:r>
        <w:rPr>
          <w:rFonts w:ascii="Times New Roman" w:hAnsi="Times New Roman" w:eastAsia="宋体"/>
          <w:color w:val="000000"/>
          <w:szCs w:val="24"/>
        </w:rPr>
        <w:t>废料还原</w:t>
      </w:r>
      <w:r>
        <w:rPr>
          <w:rFonts w:hint="eastAsia" w:ascii="Times New Roman" w:hAnsi="Times New Roman" w:eastAsia="宋体"/>
          <w:color w:val="000000"/>
          <w:szCs w:val="24"/>
        </w:rPr>
        <w:t>”</w:t>
      </w:r>
      <w:r>
        <w:rPr>
          <w:rFonts w:ascii="Times New Roman" w:hAnsi="Times New Roman" w:eastAsia="宋体"/>
          <w:color w:val="000000"/>
          <w:szCs w:val="24"/>
        </w:rPr>
        <w:t>的行业性难题，并成功开发和掌握了废料与原料对接的</w:t>
      </w:r>
      <w:r>
        <w:rPr>
          <w:rFonts w:hint="eastAsia" w:ascii="Times New Roman" w:hAnsi="Times New Roman" w:eastAsia="宋体"/>
          <w:color w:val="000000"/>
          <w:szCs w:val="24"/>
        </w:rPr>
        <w:t>“</w:t>
      </w:r>
      <w:r>
        <w:rPr>
          <w:rFonts w:ascii="Times New Roman" w:hAnsi="Times New Roman" w:eastAsia="宋体"/>
          <w:color w:val="000000"/>
          <w:szCs w:val="24"/>
        </w:rPr>
        <w:t>定向循环</w:t>
      </w:r>
      <w:r>
        <w:rPr>
          <w:rFonts w:hint="eastAsia" w:ascii="Times New Roman" w:hAnsi="Times New Roman" w:eastAsia="宋体"/>
          <w:color w:val="000000"/>
          <w:szCs w:val="24"/>
        </w:rPr>
        <w:t>”</w:t>
      </w:r>
      <w:r>
        <w:rPr>
          <w:rFonts w:ascii="Times New Roman" w:hAnsi="Times New Roman" w:eastAsia="宋体"/>
          <w:color w:val="000000"/>
          <w:szCs w:val="24"/>
        </w:rPr>
        <w:t>核心技术，一举成为回收行业为数不多的新材料企业。</w:t>
      </w:r>
    </w:p>
    <w:p>
      <w:pPr>
        <w:pStyle w:val="19"/>
        <w:widowControl/>
        <w:spacing w:beforeAutospacing="0" w:afterAutospacing="0" w:line="360" w:lineRule="auto"/>
        <w:ind w:firstLine="480" w:firstLineChars="200"/>
        <w:jc w:val="both"/>
        <w:rPr>
          <w:rFonts w:ascii="Times New Roman" w:hAnsi="Times New Roman" w:eastAsia="宋体"/>
          <w:color w:val="000000"/>
          <w:szCs w:val="24"/>
        </w:rPr>
      </w:pPr>
      <w:r>
        <w:rPr>
          <w:rFonts w:hint="eastAsia" w:ascii="Times New Roman" w:hAnsi="Times New Roman" w:eastAsia="宋体"/>
          <w:color w:val="000000"/>
          <w:szCs w:val="24"/>
        </w:rPr>
        <w:t>邦普循环</w:t>
      </w:r>
      <w:r>
        <w:rPr>
          <w:rFonts w:ascii="Times New Roman" w:hAnsi="Times New Roman" w:eastAsia="宋体"/>
          <w:color w:val="000000"/>
          <w:szCs w:val="24"/>
        </w:rPr>
        <w:t>是国内同时拥有电池回收和汽车回收双料资质的资源综合利用企业。</w:t>
      </w:r>
      <w:r>
        <w:rPr>
          <w:rFonts w:hint="eastAsia" w:ascii="Times New Roman" w:hAnsi="Times New Roman" w:eastAsia="宋体"/>
          <w:color w:val="000000"/>
          <w:szCs w:val="24"/>
        </w:rPr>
        <w:t>邦普循环</w:t>
      </w:r>
      <w:r>
        <w:rPr>
          <w:rFonts w:ascii="Times New Roman" w:hAnsi="Times New Roman" w:eastAsia="宋体"/>
          <w:color w:val="000000"/>
          <w:szCs w:val="24"/>
        </w:rPr>
        <w:t>围绕电池和汽车回收产业，作为广东省创新型试点企业和战略性新兴产业骨干培育企业，已全面投入电动汽车全产业链循环服务解决方案的研究，以</w:t>
      </w:r>
      <w:r>
        <w:rPr>
          <w:rFonts w:hint="eastAsia" w:ascii="Times New Roman" w:hAnsi="Times New Roman" w:eastAsia="宋体"/>
          <w:color w:val="000000"/>
          <w:szCs w:val="24"/>
        </w:rPr>
        <w:t>“</w:t>
      </w:r>
      <w:r>
        <w:rPr>
          <w:rFonts w:ascii="Times New Roman" w:hAnsi="Times New Roman" w:eastAsia="宋体"/>
          <w:color w:val="000000"/>
          <w:szCs w:val="24"/>
        </w:rPr>
        <w:t>静脉回收</w:t>
      </w:r>
      <w:r>
        <w:rPr>
          <w:rFonts w:hint="eastAsia" w:ascii="Times New Roman" w:hAnsi="Times New Roman" w:eastAsia="宋体"/>
          <w:color w:val="000000"/>
          <w:szCs w:val="24"/>
        </w:rPr>
        <w:t>”</w:t>
      </w:r>
      <w:r>
        <w:rPr>
          <w:rFonts w:ascii="Times New Roman" w:hAnsi="Times New Roman" w:eastAsia="宋体"/>
          <w:color w:val="000000"/>
          <w:szCs w:val="24"/>
        </w:rPr>
        <w:t>推动</w:t>
      </w:r>
      <w:r>
        <w:rPr>
          <w:rFonts w:hint="eastAsia" w:ascii="Times New Roman" w:hAnsi="Times New Roman" w:eastAsia="宋体"/>
          <w:color w:val="000000"/>
          <w:szCs w:val="24"/>
        </w:rPr>
        <w:t>“</w:t>
      </w:r>
      <w:r>
        <w:rPr>
          <w:rFonts w:ascii="Times New Roman" w:hAnsi="Times New Roman" w:eastAsia="宋体"/>
          <w:color w:val="000000"/>
          <w:szCs w:val="24"/>
        </w:rPr>
        <w:t>动脉制造</w:t>
      </w:r>
      <w:r>
        <w:rPr>
          <w:rFonts w:hint="eastAsia" w:ascii="Times New Roman" w:hAnsi="Times New Roman" w:eastAsia="宋体"/>
          <w:color w:val="000000"/>
          <w:szCs w:val="24"/>
        </w:rPr>
        <w:t>”</w:t>
      </w:r>
      <w:r>
        <w:rPr>
          <w:rFonts w:ascii="Times New Roman" w:hAnsi="Times New Roman" w:eastAsia="宋体"/>
          <w:color w:val="000000"/>
          <w:szCs w:val="24"/>
        </w:rPr>
        <w:t>产业升级，为国家</w:t>
      </w:r>
      <w:r>
        <w:rPr>
          <w:rFonts w:hint="eastAsia" w:ascii="Times New Roman" w:hAnsi="Times New Roman" w:eastAsia="宋体"/>
          <w:color w:val="000000"/>
          <w:szCs w:val="24"/>
        </w:rPr>
        <w:t>“</w:t>
      </w:r>
      <w:r>
        <w:rPr>
          <w:rFonts w:ascii="Times New Roman" w:hAnsi="Times New Roman" w:eastAsia="宋体"/>
          <w:color w:val="000000"/>
          <w:szCs w:val="24"/>
        </w:rPr>
        <w:t>循环经济</w:t>
      </w:r>
      <w:r>
        <w:rPr>
          <w:rFonts w:hint="eastAsia" w:ascii="Times New Roman" w:hAnsi="Times New Roman" w:eastAsia="宋体"/>
          <w:color w:val="000000"/>
          <w:szCs w:val="24"/>
        </w:rPr>
        <w:t>”</w:t>
      </w:r>
      <w:r>
        <w:rPr>
          <w:rFonts w:ascii="Times New Roman" w:hAnsi="Times New Roman" w:eastAsia="宋体"/>
          <w:color w:val="000000"/>
          <w:szCs w:val="24"/>
        </w:rPr>
        <w:t>和</w:t>
      </w:r>
      <w:r>
        <w:rPr>
          <w:rFonts w:hint="eastAsia" w:ascii="Times New Roman" w:hAnsi="Times New Roman" w:eastAsia="宋体"/>
          <w:color w:val="000000"/>
          <w:szCs w:val="24"/>
        </w:rPr>
        <w:t>“</w:t>
      </w:r>
      <w:r>
        <w:rPr>
          <w:rFonts w:ascii="Times New Roman" w:hAnsi="Times New Roman" w:eastAsia="宋体"/>
          <w:color w:val="000000"/>
          <w:szCs w:val="24"/>
        </w:rPr>
        <w:t>低碳经济</w:t>
      </w:r>
      <w:r>
        <w:rPr>
          <w:rFonts w:hint="eastAsia" w:ascii="Times New Roman" w:hAnsi="Times New Roman" w:eastAsia="宋体"/>
          <w:color w:val="000000"/>
          <w:szCs w:val="24"/>
        </w:rPr>
        <w:t>”</w:t>
      </w:r>
      <w:r>
        <w:rPr>
          <w:rFonts w:ascii="Times New Roman" w:hAnsi="Times New Roman" w:eastAsia="宋体"/>
          <w:color w:val="000000"/>
          <w:szCs w:val="24"/>
        </w:rPr>
        <w:t>多做贡献。</w:t>
      </w:r>
    </w:p>
    <w:p>
      <w:pPr>
        <w:pStyle w:val="5"/>
      </w:pPr>
      <w:r>
        <w:rPr>
          <w:rFonts w:hint="eastAsia"/>
        </w:rPr>
        <w:t>1</w:t>
      </w:r>
      <w:r>
        <w:t xml:space="preserve">.2.2 </w:t>
      </w:r>
      <w:r>
        <w:rPr>
          <w:rFonts w:hint="eastAsia"/>
        </w:rPr>
        <w:t>主要参加单位情况</w:t>
      </w:r>
    </w:p>
    <w:p>
      <w:pPr>
        <w:pStyle w:val="19"/>
        <w:widowControl/>
        <w:spacing w:beforeAutospacing="0" w:afterAutospacing="0" w:line="360" w:lineRule="auto"/>
        <w:ind w:firstLine="480" w:firstLineChars="200"/>
        <w:rPr>
          <w:rFonts w:hint="eastAsia" w:ascii="Times New Roman" w:hAnsi="Times New Roman" w:eastAsia="宋体"/>
          <w:color w:val="000000"/>
          <w:szCs w:val="24"/>
        </w:rPr>
      </w:pPr>
      <w:r>
        <w:rPr>
          <w:rFonts w:hint="eastAsia" w:ascii="Times New Roman" w:hAnsi="Times New Roman" w:eastAsia="宋体"/>
          <w:color w:val="000000"/>
          <w:szCs w:val="24"/>
        </w:rPr>
        <w:t>湖南邦普循环科技有限公司，作为标准的牵头单位，负责组织开展标准的研制工作，包括前期调研、文献查询、框架内容调整、技术分析、技术调研等工作，同时积极组织参加标准的启动、讨论、论证、预审、审查等会议，对标准的研制过程具有决定性贡献。</w:t>
      </w:r>
    </w:p>
    <w:p>
      <w:pPr>
        <w:pStyle w:val="19"/>
        <w:widowControl/>
        <w:spacing w:beforeAutospacing="0" w:afterAutospacing="0" w:line="360" w:lineRule="auto"/>
        <w:ind w:firstLine="480" w:firstLineChars="200"/>
        <w:rPr>
          <w:rFonts w:ascii="Times New Roman" w:hAnsi="Times New Roman" w:eastAsia="宋体"/>
          <w:color w:val="000000"/>
          <w:szCs w:val="24"/>
        </w:rPr>
      </w:pPr>
      <w:r>
        <w:rPr>
          <w:rFonts w:hint="eastAsia" w:ascii="Times New Roman" w:hAnsi="Times New Roman" w:eastAsia="宋体"/>
          <w:color w:val="000000"/>
          <w:szCs w:val="24"/>
        </w:rPr>
        <w:t>格林美（无锡）能源材料有限公司、</w:t>
      </w:r>
      <w:r>
        <w:rPr>
          <w:rFonts w:hint="eastAsia" w:ascii="Times New Roman" w:hAnsi="Times New Roman" w:eastAsia="宋体"/>
          <w:color w:val="000000"/>
          <w:szCs w:val="24"/>
          <w:lang w:eastAsia="zh-CN"/>
        </w:rPr>
        <w:t>浙江</w:t>
      </w:r>
      <w:r>
        <w:rPr>
          <w:rFonts w:hint="eastAsia" w:ascii="Times New Roman" w:hAnsi="Times New Roman" w:eastAsia="宋体"/>
          <w:color w:val="000000"/>
          <w:szCs w:val="24"/>
        </w:rPr>
        <w:t>巴莫科技有限责任公司、江门市科恒实业股份有限公司</w:t>
      </w:r>
      <w:bookmarkStart w:id="2" w:name="_GoBack"/>
      <w:bookmarkEnd w:id="2"/>
      <w:r>
        <w:rPr>
          <w:rFonts w:hint="eastAsia" w:ascii="Times New Roman" w:hAnsi="Times New Roman" w:eastAsia="宋体"/>
          <w:color w:val="000000"/>
          <w:szCs w:val="24"/>
        </w:rPr>
        <w:t>、湖南长远锂科股份有限公司、</w:t>
      </w:r>
      <w:r>
        <w:rPr>
          <w:rFonts w:hint="eastAsia" w:ascii="Times New Roman" w:hAnsi="Times New Roman" w:eastAsia="宋体"/>
          <w:szCs w:val="24"/>
          <w:lang w:eastAsia="zh-CN"/>
        </w:rPr>
        <w:t>江苏当升材料科技有限公司、</w:t>
      </w:r>
      <w:r>
        <w:rPr>
          <w:rFonts w:hint="eastAsia" w:ascii="Times New Roman" w:hAnsi="Times New Roman" w:eastAsia="宋体"/>
          <w:color w:val="000000"/>
          <w:szCs w:val="24"/>
        </w:rPr>
        <w:t>广东邦普循环科技有限公司、深圳海关技术中心，作为标准的主要参编单位，积极参与标准的研制工作，包括前期调研、文献查询、框架内容调整、技术分析、技术调研等工作，同时积极组织参加标准的启动、讨论、论证、预审、审查等会议，对标准的研制过程具有十分重要的贡献。</w:t>
      </w:r>
    </w:p>
    <w:p>
      <w:pPr>
        <w:pStyle w:val="5"/>
      </w:pPr>
      <w:r>
        <w:rPr>
          <w:rFonts w:hint="eastAsia"/>
        </w:rPr>
        <w:t>1</w:t>
      </w:r>
      <w:r>
        <w:t xml:space="preserve">.2.3 </w:t>
      </w:r>
      <w:r>
        <w:rPr>
          <w:rFonts w:hint="eastAsia"/>
        </w:rPr>
        <w:t>主要工作成员所负责的工作情况</w:t>
      </w:r>
    </w:p>
    <w:p>
      <w:pPr>
        <w:spacing w:line="360" w:lineRule="auto"/>
        <w:ind w:firstLine="480" w:firstLineChars="200"/>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本标准主要起草人及其工作职责见表1。</w:t>
      </w:r>
    </w:p>
    <w:p>
      <w:pPr>
        <w:widowControl/>
        <w:numPr>
          <w:ilvl w:val="1"/>
          <w:numId w:val="0"/>
        </w:numPr>
        <w:adjustRightInd w:val="0"/>
        <w:snapToGrid w:val="0"/>
        <w:spacing w:before="156" w:beforeLines="50" w:after="156" w:afterLines="50"/>
        <w:jc w:val="center"/>
        <w:rPr>
          <w:rFonts w:ascii="黑体" w:hAnsi="黑体" w:eastAsia="黑体" w:cs="Times New Roman"/>
          <w:kern w:val="0"/>
          <w:szCs w:val="20"/>
        </w:rPr>
      </w:pPr>
      <w:r>
        <w:rPr>
          <w:rFonts w:hint="eastAsia" w:ascii="黑体" w:hAnsi="黑体" w:eastAsia="黑体" w:cs="Times New Roman"/>
          <w:kern w:val="0"/>
          <w:szCs w:val="20"/>
        </w:rPr>
        <w:t>表1 主要</w:t>
      </w:r>
      <w:r>
        <w:rPr>
          <w:rFonts w:ascii="黑体" w:hAnsi="黑体" w:eastAsia="黑体" w:cs="Times New Roman"/>
          <w:kern w:val="0"/>
          <w:szCs w:val="20"/>
        </w:rPr>
        <w:t>起草人及工作职责</w:t>
      </w:r>
    </w:p>
    <w:tbl>
      <w:tblPr>
        <w:tblStyle w:val="21"/>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3013"/>
        <w:gridCol w:w="550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52" w:type="dxa"/>
            <w:shd w:val="clear" w:color="auto" w:fill="auto"/>
            <w:vAlign w:val="center"/>
          </w:tcPr>
          <w:p>
            <w:pPr>
              <w:jc w:val="center"/>
              <w:rPr>
                <w:rFonts w:ascii="Times New Roman" w:hAnsi="Times New Roman" w:eastAsia="宋体" w:cs="Times New Roman"/>
                <w:b/>
                <w:bCs/>
                <w:szCs w:val="21"/>
              </w:rPr>
            </w:pPr>
            <w:r>
              <w:rPr>
                <w:rFonts w:hint="eastAsia" w:ascii="Times New Roman" w:hAnsi="Times New Roman" w:eastAsia="宋体" w:cs="Times New Roman"/>
                <w:b/>
                <w:bCs/>
                <w:szCs w:val="21"/>
              </w:rPr>
              <w:t>起草</w:t>
            </w:r>
            <w:r>
              <w:rPr>
                <w:rFonts w:ascii="Times New Roman" w:hAnsi="Times New Roman" w:eastAsia="宋体" w:cs="Times New Roman"/>
                <w:b/>
                <w:bCs/>
                <w:szCs w:val="21"/>
              </w:rPr>
              <w:t>人</w:t>
            </w:r>
          </w:p>
        </w:tc>
        <w:tc>
          <w:tcPr>
            <w:tcW w:w="5794" w:type="dxa"/>
            <w:shd w:val="clear" w:color="auto" w:fill="auto"/>
            <w:vAlign w:val="center"/>
          </w:tcPr>
          <w:p>
            <w:pPr>
              <w:jc w:val="center"/>
              <w:rPr>
                <w:rFonts w:ascii="Times New Roman" w:hAnsi="Times New Roman" w:eastAsia="宋体" w:cs="Times New Roman"/>
                <w:b/>
                <w:bCs/>
                <w:szCs w:val="21"/>
              </w:rPr>
            </w:pPr>
            <w:r>
              <w:rPr>
                <w:rFonts w:hint="eastAsia" w:ascii="Times New Roman" w:hAnsi="Times New Roman" w:eastAsia="宋体" w:cs="Times New Roman"/>
                <w:b/>
                <w:bCs/>
                <w:szCs w:val="21"/>
              </w:rPr>
              <w:t>工作</w:t>
            </w:r>
            <w:r>
              <w:rPr>
                <w:rFonts w:ascii="Times New Roman" w:hAnsi="Times New Roman" w:eastAsia="宋体" w:cs="Times New Roman"/>
                <w:b/>
                <w:bCs/>
                <w:szCs w:val="21"/>
              </w:rPr>
              <w:t>职责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3152" w:type="dxa"/>
            <w:tcBorders>
              <w:bottom w:val="single" w:color="auto" w:sz="6" w:space="0"/>
            </w:tcBorders>
            <w:shd w:val="clear" w:color="auto" w:fill="auto"/>
            <w:vAlign w:val="center"/>
          </w:tcPr>
          <w:p>
            <w:pPr>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万思成</w:t>
            </w:r>
          </w:p>
        </w:tc>
        <w:tc>
          <w:tcPr>
            <w:tcW w:w="5794" w:type="dxa"/>
            <w:tcBorders>
              <w:bottom w:val="single" w:color="auto" w:sz="6" w:space="0"/>
            </w:tcBorders>
            <w:shd w:val="clear" w:color="auto" w:fill="auto"/>
            <w:vAlign w:val="center"/>
          </w:tcPr>
          <w:p>
            <w:pPr>
              <w:rPr>
                <w:rFonts w:ascii="Times New Roman" w:hAnsi="Times New Roman" w:eastAsia="宋体" w:cs="Times New Roman"/>
                <w:szCs w:val="21"/>
              </w:rPr>
            </w:pPr>
            <w:r>
              <w:rPr>
                <w:rFonts w:hint="eastAsia" w:ascii="Times New Roman" w:hAnsi="Times New Roman" w:eastAsia="宋体" w:cs="Times New Roman"/>
                <w:szCs w:val="21"/>
              </w:rPr>
              <w:t>主导开展标准研制，负责</w:t>
            </w:r>
            <w:r>
              <w:rPr>
                <w:rFonts w:ascii="Times New Roman" w:hAnsi="Times New Roman" w:eastAsia="宋体" w:cs="Times New Roman"/>
                <w:szCs w:val="21"/>
              </w:rPr>
              <w:t>标准文本、标准编制说明的撰写</w:t>
            </w:r>
            <w:r>
              <w:rPr>
                <w:rFonts w:hint="eastAsia" w:ascii="Times New Roman" w:hAnsi="Times New Roman" w:eastAsia="宋体" w:cs="Times New Roman"/>
                <w:szCs w:val="21"/>
              </w:rPr>
              <w:t>，意见</w:t>
            </w:r>
            <w:r>
              <w:rPr>
                <w:rFonts w:ascii="Times New Roman" w:hAnsi="Times New Roman" w:eastAsia="宋体" w:cs="Times New Roman"/>
                <w:szCs w:val="21"/>
              </w:rPr>
              <w:t>汇总处理，参加标准讨论和审定会议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987" w:hRule="atLeast"/>
          <w:jc w:val="center"/>
        </w:trPr>
        <w:tc>
          <w:tcPr>
            <w:tcW w:w="3152" w:type="dxa"/>
            <w:tcBorders>
              <w:top w:val="single" w:color="auto" w:sz="6" w:space="0"/>
              <w:bottom w:val="single" w:color="auto" w:sz="8" w:space="0"/>
            </w:tcBorders>
            <w:shd w:val="clear" w:color="auto" w:fill="auto"/>
            <w:vAlign w:val="center"/>
          </w:tcPr>
          <w:p>
            <w:pPr>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陈玉君、闫国真、徐婷、刘玮、史镇洪、魏晓琴、余淑媛等人</w:t>
            </w:r>
          </w:p>
        </w:tc>
        <w:tc>
          <w:tcPr>
            <w:tcW w:w="5794" w:type="dxa"/>
            <w:tcBorders>
              <w:top w:val="single" w:color="auto" w:sz="6" w:space="0"/>
              <w:bottom w:val="single" w:color="auto" w:sz="8" w:space="0"/>
            </w:tcBorders>
            <w:shd w:val="clear" w:color="auto" w:fill="auto"/>
            <w:vAlign w:val="center"/>
          </w:tcPr>
          <w:p>
            <w:pPr>
              <w:rPr>
                <w:rFonts w:hint="eastAsia" w:ascii="Times New Roman" w:hAnsi="Times New Roman" w:eastAsia="宋体" w:cs="Times New Roman"/>
                <w:szCs w:val="21"/>
              </w:rPr>
            </w:pPr>
            <w:r>
              <w:rPr>
                <w:rFonts w:hint="eastAsia" w:ascii="Times New Roman" w:hAnsi="Times New Roman" w:eastAsia="宋体" w:cs="Times New Roman"/>
                <w:szCs w:val="21"/>
              </w:rPr>
              <w:t>积极参与标准研制工作，开展标准数据收集和整理</w:t>
            </w:r>
            <w:r>
              <w:rPr>
                <w:rFonts w:ascii="Times New Roman" w:hAnsi="Times New Roman" w:eastAsia="宋体" w:cs="Times New Roman"/>
                <w:szCs w:val="21"/>
              </w:rPr>
              <w:t>，对标准</w:t>
            </w:r>
            <w:r>
              <w:rPr>
                <w:rFonts w:hint="eastAsia" w:ascii="Times New Roman" w:hAnsi="Times New Roman" w:eastAsia="宋体" w:cs="Times New Roman"/>
                <w:szCs w:val="21"/>
              </w:rPr>
              <w:t>技术</w:t>
            </w:r>
            <w:r>
              <w:rPr>
                <w:rFonts w:ascii="Times New Roman" w:hAnsi="Times New Roman" w:eastAsia="宋体" w:cs="Times New Roman"/>
                <w:szCs w:val="21"/>
              </w:rPr>
              <w:t>进行</w:t>
            </w:r>
            <w:r>
              <w:rPr>
                <w:rFonts w:hint="eastAsia" w:ascii="Times New Roman" w:hAnsi="Times New Roman" w:eastAsia="宋体" w:cs="Times New Roman"/>
                <w:szCs w:val="21"/>
              </w:rPr>
              <w:t>审核，</w:t>
            </w:r>
            <w:r>
              <w:rPr>
                <w:rFonts w:ascii="Times New Roman" w:hAnsi="Times New Roman" w:eastAsia="宋体" w:cs="Times New Roman"/>
                <w:szCs w:val="21"/>
              </w:rPr>
              <w:t>参加标准工作会议等</w:t>
            </w:r>
          </w:p>
        </w:tc>
      </w:tr>
    </w:tbl>
    <w:p>
      <w:pPr>
        <w:pStyle w:val="4"/>
        <w:spacing w:before="156" w:after="156"/>
      </w:pPr>
      <w:r>
        <w:t>1.3 主要工作过程</w:t>
      </w:r>
    </w:p>
    <w:p>
      <w:pPr>
        <w:pStyle w:val="5"/>
      </w:pPr>
      <w:r>
        <w:rPr>
          <w:rFonts w:hint="eastAsia"/>
        </w:rPr>
        <w:t>1</w:t>
      </w:r>
      <w:r>
        <w:t xml:space="preserve">.3.1 </w:t>
      </w:r>
      <w:r>
        <w:rPr>
          <w:rFonts w:hint="eastAsia"/>
        </w:rPr>
        <w:t>立项阶段</w:t>
      </w:r>
    </w:p>
    <w:p>
      <w:pPr>
        <w:pStyle w:val="2"/>
        <w:spacing w:line="360" w:lineRule="auto"/>
        <w:ind w:firstLine="480" w:firstLineChars="200"/>
        <w:rPr>
          <w:rFonts w:ascii="Times New Roman" w:hAnsi="Times New Roman"/>
          <w:sz w:val="24"/>
        </w:rPr>
      </w:pPr>
      <w:r>
        <w:rPr>
          <w:rFonts w:hint="eastAsia" w:ascii="Times New Roman" w:hAnsi="Times New Roman"/>
          <w:sz w:val="24"/>
        </w:rPr>
        <w:t>20</w:t>
      </w:r>
      <w:r>
        <w:rPr>
          <w:rFonts w:ascii="Times New Roman" w:hAnsi="Times New Roman"/>
          <w:sz w:val="24"/>
        </w:rPr>
        <w:t>22</w:t>
      </w:r>
      <w:r>
        <w:rPr>
          <w:rFonts w:hint="eastAsia" w:ascii="Times New Roman" w:hAnsi="Times New Roman"/>
          <w:sz w:val="24"/>
        </w:rPr>
        <w:t>年</w:t>
      </w:r>
      <w:r>
        <w:rPr>
          <w:rFonts w:ascii="Times New Roman" w:hAnsi="Times New Roman"/>
          <w:sz w:val="24"/>
        </w:rPr>
        <w:t>3</w:t>
      </w:r>
      <w:r>
        <w:rPr>
          <w:rFonts w:hint="eastAsia" w:ascii="Times New Roman" w:hAnsi="Times New Roman"/>
          <w:sz w:val="24"/>
        </w:rPr>
        <w:t>月，湖南邦普循环科技有限公司向全国有色金属标准化技术委员会粉末冶金分技术委员会（SAC/TC243/SC</w:t>
      </w:r>
      <w:r>
        <w:rPr>
          <w:rFonts w:ascii="Times New Roman" w:hAnsi="Times New Roman"/>
          <w:sz w:val="24"/>
        </w:rPr>
        <w:t>4</w:t>
      </w:r>
      <w:r>
        <w:rPr>
          <w:rFonts w:hint="eastAsia" w:ascii="Times New Roman" w:hAnsi="Times New Roman"/>
          <w:sz w:val="24"/>
        </w:rPr>
        <w:t>）提交团体标准《绿色设计产品评价技术规范 钴酸锂》项目建议书、标准草案及标准立项说明等材料。</w:t>
      </w:r>
    </w:p>
    <w:p>
      <w:pPr>
        <w:pStyle w:val="2"/>
        <w:spacing w:line="360" w:lineRule="auto"/>
        <w:ind w:firstLine="480" w:firstLineChars="200"/>
        <w:rPr>
          <w:rFonts w:ascii="Times New Roman" w:hAnsi="Times New Roman"/>
          <w:sz w:val="24"/>
        </w:rPr>
      </w:pPr>
      <w:r>
        <w:rPr>
          <w:rFonts w:hint="eastAsia" w:ascii="Times New Roman" w:hAnsi="Times New Roman"/>
          <w:sz w:val="24"/>
        </w:rPr>
        <w:t>20</w:t>
      </w:r>
      <w:r>
        <w:rPr>
          <w:rFonts w:ascii="Times New Roman" w:hAnsi="Times New Roman"/>
          <w:sz w:val="24"/>
        </w:rPr>
        <w:t>22</w:t>
      </w:r>
      <w:r>
        <w:rPr>
          <w:rFonts w:hint="eastAsia" w:ascii="Times New Roman" w:hAnsi="Times New Roman"/>
          <w:sz w:val="24"/>
        </w:rPr>
        <w:t>年</w:t>
      </w:r>
      <w:r>
        <w:rPr>
          <w:rFonts w:ascii="Times New Roman" w:hAnsi="Times New Roman"/>
          <w:sz w:val="24"/>
        </w:rPr>
        <w:t>5</w:t>
      </w:r>
      <w:r>
        <w:rPr>
          <w:rFonts w:hint="eastAsia" w:ascii="Times New Roman" w:hAnsi="Times New Roman"/>
          <w:sz w:val="24"/>
        </w:rPr>
        <w:t>月</w:t>
      </w:r>
      <w:r>
        <w:rPr>
          <w:rFonts w:ascii="Times New Roman" w:hAnsi="Times New Roman"/>
          <w:sz w:val="24"/>
        </w:rPr>
        <w:t>18</w:t>
      </w:r>
      <w:r>
        <w:rPr>
          <w:rFonts w:hint="eastAsia" w:ascii="Times New Roman" w:hAnsi="Times New Roman"/>
          <w:sz w:val="24"/>
        </w:rPr>
        <w:t>日~</w:t>
      </w:r>
      <w:r>
        <w:rPr>
          <w:rFonts w:ascii="Times New Roman" w:hAnsi="Times New Roman"/>
          <w:sz w:val="24"/>
        </w:rPr>
        <w:t>19</w:t>
      </w:r>
      <w:r>
        <w:rPr>
          <w:rFonts w:hint="eastAsia" w:ascii="Times New Roman" w:hAnsi="Times New Roman"/>
          <w:sz w:val="24"/>
        </w:rPr>
        <w:t>日，在线上召开的全国有色金属标准化技术委员会论证会上通过专家论证。</w:t>
      </w:r>
    </w:p>
    <w:p>
      <w:pPr>
        <w:pStyle w:val="2"/>
        <w:spacing w:line="360" w:lineRule="auto"/>
        <w:ind w:firstLine="480" w:firstLineChars="200"/>
        <w:rPr>
          <w:rFonts w:ascii="Times New Roman" w:hAnsi="Times New Roman"/>
          <w:sz w:val="24"/>
        </w:rPr>
      </w:pPr>
      <w:r>
        <w:rPr>
          <w:rFonts w:hint="eastAsia" w:ascii="Times New Roman" w:hAnsi="Times New Roman"/>
          <w:sz w:val="24"/>
        </w:rPr>
        <w:t>202</w:t>
      </w:r>
      <w:r>
        <w:rPr>
          <w:rFonts w:ascii="Times New Roman" w:hAnsi="Times New Roman"/>
          <w:sz w:val="24"/>
        </w:rPr>
        <w:t>2</w:t>
      </w:r>
      <w:r>
        <w:rPr>
          <w:rFonts w:hint="eastAsia" w:ascii="Times New Roman" w:hAnsi="Times New Roman"/>
          <w:sz w:val="24"/>
        </w:rPr>
        <w:t>年</w:t>
      </w:r>
      <w:r>
        <w:rPr>
          <w:rFonts w:ascii="Times New Roman" w:hAnsi="Times New Roman"/>
          <w:sz w:val="24"/>
        </w:rPr>
        <w:t>8</w:t>
      </w:r>
      <w:r>
        <w:rPr>
          <w:rFonts w:hint="eastAsia" w:ascii="Times New Roman" w:hAnsi="Times New Roman"/>
          <w:sz w:val="24"/>
        </w:rPr>
        <w:t>月</w:t>
      </w:r>
      <w:r>
        <w:rPr>
          <w:rFonts w:ascii="Times New Roman" w:hAnsi="Times New Roman"/>
          <w:sz w:val="24"/>
        </w:rPr>
        <w:t>3</w:t>
      </w:r>
      <w:r>
        <w:rPr>
          <w:rFonts w:hint="eastAsia" w:ascii="Times New Roman" w:hAnsi="Times New Roman"/>
          <w:sz w:val="24"/>
        </w:rPr>
        <w:t>日，中国有色金属工业协会、中国有色金属学会印发《关于下达2022第三批协会标准制修订计划的通知》（中色协科字[2022]85号），团体标准《绿色设计产品评价技术规范 钴酸锂》立项成功，完成年限为202</w:t>
      </w:r>
      <w:r>
        <w:rPr>
          <w:rFonts w:ascii="Times New Roman" w:hAnsi="Times New Roman"/>
          <w:sz w:val="24"/>
        </w:rPr>
        <w:t>3</w:t>
      </w:r>
      <w:r>
        <w:rPr>
          <w:rFonts w:hint="eastAsia" w:ascii="Times New Roman" w:hAnsi="Times New Roman"/>
          <w:sz w:val="24"/>
        </w:rPr>
        <w:t>年，技术归口单位为全国有色金属标准化技术委员会。</w:t>
      </w:r>
    </w:p>
    <w:p>
      <w:pPr>
        <w:pStyle w:val="5"/>
      </w:pPr>
      <w:r>
        <w:t>1.3.2 起草阶段</w:t>
      </w:r>
    </w:p>
    <w:p>
      <w:pPr>
        <w:pStyle w:val="28"/>
        <w:spacing w:line="360" w:lineRule="auto"/>
        <w:ind w:left="0"/>
        <w:rPr>
          <w:rFonts w:ascii="Times New Roman" w:hAnsi="Times New Roman" w:eastAsia="黑体" w:cs="Times New Roman"/>
          <w:bCs/>
          <w:sz w:val="24"/>
          <w:szCs w:val="24"/>
        </w:rPr>
      </w:pPr>
      <w:r>
        <w:rPr>
          <w:rFonts w:ascii="Times New Roman" w:hAnsi="Times New Roman" w:eastAsia="黑体" w:cs="Times New Roman"/>
          <w:bCs/>
          <w:sz w:val="24"/>
          <w:szCs w:val="24"/>
        </w:rPr>
        <w:t>（1）任务落实</w:t>
      </w:r>
    </w:p>
    <w:p>
      <w:pPr>
        <w:pStyle w:val="28"/>
        <w:spacing w:line="360" w:lineRule="auto"/>
        <w:ind w:left="0"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023</w:t>
      </w:r>
      <w:r>
        <w:rPr>
          <w:rFonts w:hint="eastAsia" w:ascii="Times New Roman" w:hAnsi="Times New Roman" w:eastAsia="宋体" w:cs="Times New Roman"/>
          <w:sz w:val="24"/>
          <w:szCs w:val="24"/>
        </w:rPr>
        <w:t>年2月2</w:t>
      </w:r>
      <w:r>
        <w:rPr>
          <w:rFonts w:ascii="Times New Roman" w:hAnsi="Times New Roman" w:eastAsia="宋体" w:cs="Times New Roman"/>
          <w:sz w:val="24"/>
          <w:szCs w:val="24"/>
        </w:rPr>
        <w:t>2</w:t>
      </w:r>
      <w:r>
        <w:rPr>
          <w:rFonts w:hint="eastAsia" w:ascii="Times New Roman" w:hAnsi="Times New Roman" w:eastAsia="宋体" w:cs="Times New Roman"/>
          <w:sz w:val="24"/>
          <w:szCs w:val="24"/>
        </w:rPr>
        <w:t>日~</w:t>
      </w:r>
      <w:r>
        <w:rPr>
          <w:rFonts w:ascii="Times New Roman" w:hAnsi="Times New Roman" w:eastAsia="宋体" w:cs="Times New Roman"/>
          <w:sz w:val="24"/>
          <w:szCs w:val="24"/>
        </w:rPr>
        <w:t>23</w:t>
      </w:r>
      <w:r>
        <w:rPr>
          <w:rFonts w:hint="eastAsia" w:ascii="Times New Roman" w:hAnsi="Times New Roman" w:eastAsia="宋体" w:cs="Times New Roman"/>
          <w:sz w:val="24"/>
          <w:szCs w:val="24"/>
        </w:rPr>
        <w:t>日，全国有色金属标准化技术委员会在广东省佛山市组织召开了有色标准工作会议，来自湖南邦普循环科技有限公司、广东邦普循环科技有限公司、荆门市格林美新材料有限公司、湖南长远锂科股份有限公司、江门市科恒实业股份有限公司、衢州华友钴新材料有限公司、深圳海关工业品检测技术中心等单位参加了会议，会议对《绿色设计产品评价技术规范 钴酸锂》进行了任务落实。</w:t>
      </w:r>
    </w:p>
    <w:p>
      <w:pPr>
        <w:pStyle w:val="28"/>
        <w:spacing w:line="360" w:lineRule="auto"/>
        <w:ind w:left="0"/>
        <w:rPr>
          <w:rFonts w:ascii="Times New Roman" w:hAnsi="Times New Roman" w:cs="Times New Roman"/>
        </w:rPr>
      </w:pPr>
      <w:r>
        <w:rPr>
          <w:rFonts w:ascii="Times New Roman" w:hAnsi="Times New Roman" w:cs="Times New Roman"/>
          <w:sz w:val="24"/>
        </w:rPr>
        <w:t>（2）</w:t>
      </w:r>
      <w:r>
        <w:rPr>
          <w:rFonts w:ascii="Times New Roman" w:hAnsi="Times New Roman" w:eastAsia="黑体" w:cs="Times New Roman"/>
          <w:bCs/>
          <w:sz w:val="24"/>
          <w:szCs w:val="24"/>
        </w:rPr>
        <w:t>工作组讨论稿阶段</w:t>
      </w:r>
    </w:p>
    <w:p>
      <w:pPr>
        <w:pStyle w:val="28"/>
        <w:spacing w:line="360" w:lineRule="auto"/>
        <w:ind w:left="0"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023</w:t>
      </w:r>
      <w:r>
        <w:rPr>
          <w:rFonts w:hint="eastAsia" w:ascii="Times New Roman" w:hAnsi="Times New Roman" w:eastAsia="宋体" w:cs="Times New Roman"/>
          <w:sz w:val="24"/>
          <w:szCs w:val="24"/>
        </w:rPr>
        <w:t>年</w:t>
      </w:r>
      <w:r>
        <w:rPr>
          <w:rFonts w:ascii="Times New Roman" w:hAnsi="Times New Roman" w:eastAsia="宋体" w:cs="Times New Roman"/>
          <w:sz w:val="24"/>
          <w:szCs w:val="24"/>
        </w:rPr>
        <w:t>2</w:t>
      </w:r>
      <w:r>
        <w:rPr>
          <w:rFonts w:hint="eastAsia" w:ascii="Times New Roman" w:hAnsi="Times New Roman" w:eastAsia="宋体" w:cs="Times New Roman"/>
          <w:sz w:val="24"/>
          <w:szCs w:val="24"/>
        </w:rPr>
        <w:t>月2</w:t>
      </w:r>
      <w:r>
        <w:rPr>
          <w:rFonts w:ascii="Times New Roman" w:hAnsi="Times New Roman" w:eastAsia="宋体" w:cs="Times New Roman"/>
          <w:sz w:val="24"/>
          <w:szCs w:val="24"/>
        </w:rPr>
        <w:t>5</w:t>
      </w:r>
      <w:r>
        <w:rPr>
          <w:rFonts w:hint="eastAsia" w:ascii="Times New Roman" w:hAnsi="Times New Roman" w:eastAsia="宋体" w:cs="Times New Roman"/>
          <w:sz w:val="24"/>
          <w:szCs w:val="24"/>
        </w:rPr>
        <w:t>日~</w:t>
      </w:r>
      <w:r>
        <w:rPr>
          <w:rFonts w:ascii="Times New Roman" w:hAnsi="Times New Roman" w:eastAsia="宋体" w:cs="Times New Roman"/>
          <w:sz w:val="24"/>
          <w:szCs w:val="24"/>
        </w:rPr>
        <w:t>3</w:t>
      </w:r>
      <w:r>
        <w:rPr>
          <w:rFonts w:hint="eastAsia" w:ascii="Times New Roman" w:hAnsi="Times New Roman" w:eastAsia="宋体" w:cs="Times New Roman"/>
          <w:sz w:val="24"/>
          <w:szCs w:val="24"/>
        </w:rPr>
        <w:t>月</w:t>
      </w:r>
      <w:r>
        <w:rPr>
          <w:rFonts w:ascii="Times New Roman" w:hAnsi="Times New Roman" w:eastAsia="宋体" w:cs="Times New Roman"/>
          <w:sz w:val="24"/>
          <w:szCs w:val="24"/>
        </w:rPr>
        <w:t>10</w:t>
      </w:r>
      <w:r>
        <w:rPr>
          <w:rFonts w:hint="eastAsia" w:ascii="Times New Roman" w:hAnsi="Times New Roman" w:eastAsia="宋体" w:cs="Times New Roman"/>
          <w:sz w:val="24"/>
          <w:szCs w:val="24"/>
        </w:rPr>
        <w:t>日，</w:t>
      </w:r>
      <w:r>
        <w:rPr>
          <w:rFonts w:ascii="Times New Roman" w:hAnsi="Times New Roman" w:eastAsia="宋体" w:cs="Times New Roman"/>
          <w:sz w:val="24"/>
          <w:szCs w:val="24"/>
        </w:rPr>
        <w:t>根据任务落实会议精神，</w:t>
      </w:r>
      <w:r>
        <w:rPr>
          <w:rFonts w:hint="eastAsia" w:ascii="Times New Roman" w:hAnsi="Times New Roman" w:eastAsia="宋体" w:cs="Times New Roman"/>
          <w:sz w:val="24"/>
          <w:szCs w:val="24"/>
        </w:rPr>
        <w:t>湖南邦普循环科技有限公司</w:t>
      </w:r>
      <w:r>
        <w:rPr>
          <w:rFonts w:ascii="Times New Roman" w:hAnsi="Times New Roman" w:eastAsia="宋体" w:cs="Times New Roman"/>
          <w:sz w:val="24"/>
          <w:szCs w:val="24"/>
        </w:rPr>
        <w:t>接到项目下达任务后，积极组织相关人员成立标准编制工作组，确认了各成员的工作任务和职责，制定了工作计划和进度安排，确定了制定原则。标准编制工作组通过查找、分析相关标准及文献，对钴酸锂生产企业的实际情况进行了调研，对国内水平进行了充分论证</w:t>
      </w:r>
      <w:r>
        <w:rPr>
          <w:rFonts w:hint="eastAsia" w:ascii="Times New Roman" w:hAnsi="Times New Roman" w:eastAsia="宋体" w:cs="Times New Roman"/>
          <w:sz w:val="24"/>
          <w:szCs w:val="24"/>
        </w:rPr>
        <w:t>。</w:t>
      </w:r>
    </w:p>
    <w:p>
      <w:pPr>
        <w:pStyle w:val="28"/>
        <w:spacing w:line="360" w:lineRule="auto"/>
        <w:ind w:left="0"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2023年3月13日～15日，全国有色金属标准化技术委员会组织在海南省海口市召开标准讨论会，来自全国有色金属标准化委员会粉末冶金分技术委员会、浙江华友钴业股份有限公司、天津巴莫科技有限责任公司、江门科恒实业股份有限公司、厦门厦钨新能源股份有限公司、国轩高科股份有限公司、湖北万润新能源股份有限公司、湖南长远锂科股份有限公司等20多家企业30多个参会代表对标准编制思路和具体技术内容进行了探讨，提出了建议及工作方案，并对各项工作任务及工作进度做了详细的安排，与会代表提出了修改意见和建议。标准编制组根据讨论的意见对标准进行修改，形成了标准征求意见稿。</w:t>
      </w:r>
    </w:p>
    <w:p>
      <w:pPr>
        <w:pStyle w:val="5"/>
      </w:pPr>
      <w:r>
        <w:t>1.3.3 征求意见阶段</w:t>
      </w:r>
    </w:p>
    <w:p>
      <w:pPr>
        <w:pStyle w:val="28"/>
        <w:spacing w:line="360" w:lineRule="auto"/>
        <w:ind w:left="0"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023</w:t>
      </w:r>
      <w:r>
        <w:rPr>
          <w:rFonts w:hint="eastAsia" w:ascii="Times New Roman" w:hAnsi="Times New Roman" w:eastAsia="宋体" w:cs="Times New Roman"/>
          <w:sz w:val="24"/>
          <w:szCs w:val="24"/>
        </w:rPr>
        <w:t>年4月~</w:t>
      </w:r>
      <w:r>
        <w:rPr>
          <w:rFonts w:ascii="Times New Roman" w:hAnsi="Times New Roman" w:eastAsia="宋体" w:cs="Times New Roman"/>
          <w:sz w:val="24"/>
          <w:szCs w:val="24"/>
        </w:rPr>
        <w:t>6</w:t>
      </w:r>
      <w:r>
        <w:rPr>
          <w:rFonts w:hint="eastAsia" w:ascii="Times New Roman" w:hAnsi="Times New Roman" w:eastAsia="宋体" w:cs="Times New Roman"/>
          <w:sz w:val="24"/>
          <w:szCs w:val="24"/>
        </w:rPr>
        <w:t>月，本编制组通过发函、在中国有色金属标准质量信息网上公开和会议讨论等形式对《绿色设计产品评价技术规范 钴酸锂》标准征求意见稿进行意见征询。共发函单位</w:t>
      </w:r>
      <w:r>
        <w:rPr>
          <w:rFonts w:ascii="Times New Roman" w:hAnsi="Times New Roman" w:eastAsia="宋体" w:cs="Times New Roman"/>
          <w:sz w:val="24"/>
          <w:szCs w:val="24"/>
        </w:rPr>
        <w:t>17</w:t>
      </w:r>
      <w:r>
        <w:rPr>
          <w:rFonts w:hint="eastAsia" w:ascii="Times New Roman" w:hAnsi="Times New Roman" w:eastAsia="宋体" w:cs="Times New Roman"/>
          <w:sz w:val="24"/>
          <w:szCs w:val="24"/>
        </w:rPr>
        <w:t>家，回函单位</w:t>
      </w:r>
      <w:r>
        <w:rPr>
          <w:rFonts w:ascii="Times New Roman" w:hAnsi="Times New Roman" w:eastAsia="宋体" w:cs="Times New Roman"/>
          <w:sz w:val="24"/>
          <w:szCs w:val="24"/>
        </w:rPr>
        <w:t>17</w:t>
      </w:r>
      <w:r>
        <w:rPr>
          <w:rFonts w:hint="eastAsia" w:ascii="Times New Roman" w:hAnsi="Times New Roman" w:eastAsia="宋体" w:cs="Times New Roman"/>
          <w:sz w:val="24"/>
          <w:szCs w:val="24"/>
        </w:rPr>
        <w:t>家，回函有意见的单位</w:t>
      </w:r>
      <w:r>
        <w:rPr>
          <w:rFonts w:ascii="Times New Roman" w:hAnsi="Times New Roman" w:eastAsia="宋体" w:cs="Times New Roman"/>
          <w:sz w:val="24"/>
          <w:szCs w:val="24"/>
        </w:rPr>
        <w:t>6</w:t>
      </w:r>
      <w:r>
        <w:rPr>
          <w:rFonts w:hint="eastAsia" w:ascii="Times New Roman" w:hAnsi="Times New Roman" w:eastAsia="宋体" w:cs="Times New Roman"/>
          <w:sz w:val="24"/>
          <w:szCs w:val="24"/>
        </w:rPr>
        <w:t>家，回函无意见的单位</w:t>
      </w:r>
      <w:r>
        <w:rPr>
          <w:rFonts w:ascii="Times New Roman" w:hAnsi="Times New Roman" w:eastAsia="宋体" w:cs="Times New Roman"/>
          <w:sz w:val="24"/>
          <w:szCs w:val="24"/>
        </w:rPr>
        <w:t>11</w:t>
      </w:r>
      <w:r>
        <w:rPr>
          <w:rFonts w:hint="eastAsia" w:ascii="Times New Roman" w:hAnsi="Times New Roman" w:eastAsia="宋体" w:cs="Times New Roman"/>
          <w:sz w:val="24"/>
          <w:szCs w:val="24"/>
        </w:rPr>
        <w:t>家，编制组根据回函意见，经讨论研究，提出具体的修改意见和采纳情况，于202</w:t>
      </w:r>
      <w:r>
        <w:rPr>
          <w:rFonts w:ascii="Times New Roman" w:hAnsi="Times New Roman" w:eastAsia="宋体" w:cs="Times New Roman"/>
          <w:sz w:val="24"/>
          <w:szCs w:val="24"/>
        </w:rPr>
        <w:t>3</w:t>
      </w:r>
      <w:r>
        <w:rPr>
          <w:rFonts w:hint="eastAsia" w:ascii="Times New Roman" w:hAnsi="Times New Roman" w:eastAsia="宋体" w:cs="Times New Roman"/>
          <w:sz w:val="24"/>
          <w:szCs w:val="24"/>
        </w:rPr>
        <w:t>年6月底完成了本标准的预审稿。</w:t>
      </w:r>
    </w:p>
    <w:p>
      <w:pPr>
        <w:pStyle w:val="28"/>
        <w:spacing w:line="360" w:lineRule="auto"/>
        <w:ind w:left="0"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2023年7月17日～20日，全国有色金属标准化技术委员会组织在湖北省十堰市召开本标准的预审会。</w:t>
      </w:r>
      <w:r>
        <w:rPr>
          <w:rFonts w:hint="eastAsia" w:ascii="Times New Roman" w:hAnsi="Times New Roman" w:eastAsia="宋体" w:cs="Times New Roman"/>
          <w:sz w:val="24"/>
          <w:szCs w:val="24"/>
        </w:rPr>
        <w:t>来自</w:t>
      </w:r>
      <w:r>
        <w:rPr>
          <w:rFonts w:hint="eastAsia" w:ascii="Times New Roman" w:hAnsi="Times New Roman" w:eastAsia="宋体" w:cs="Times New Roman"/>
          <w:sz w:val="24"/>
          <w:szCs w:val="24"/>
          <w:lang w:eastAsia="zh-CN"/>
        </w:rPr>
        <w:t>湖北万润新能源科技股份有限公司、合肥国轩高科动力能源有限公司</w:t>
      </w:r>
      <w:r>
        <w:rPr>
          <w:rFonts w:hint="eastAsia" w:ascii="Times New Roman" w:hAnsi="Times New Roman" w:eastAsia="宋体" w:cs="Times New Roman"/>
          <w:sz w:val="24"/>
          <w:szCs w:val="24"/>
        </w:rPr>
        <w:t>等</w:t>
      </w:r>
      <w:r>
        <w:rPr>
          <w:rFonts w:hint="eastAsia" w:ascii="Times New Roman" w:hAnsi="Times New Roman" w:eastAsia="宋体" w:cs="Times New Roman"/>
          <w:sz w:val="24"/>
          <w:szCs w:val="24"/>
          <w:lang w:val="en-US" w:eastAsia="zh-CN"/>
        </w:rPr>
        <w:t>80余</w:t>
      </w:r>
      <w:r>
        <w:rPr>
          <w:rFonts w:hint="eastAsia" w:ascii="Times New Roman" w:hAnsi="Times New Roman" w:eastAsia="宋体" w:cs="Times New Roman"/>
          <w:sz w:val="24"/>
          <w:szCs w:val="24"/>
        </w:rPr>
        <w:t>家企业</w:t>
      </w:r>
      <w:r>
        <w:rPr>
          <w:rFonts w:hint="eastAsia" w:ascii="Times New Roman" w:hAnsi="Times New Roman" w:eastAsia="宋体" w:cs="Times New Roman"/>
          <w:sz w:val="24"/>
          <w:szCs w:val="24"/>
          <w:lang w:val="en-US" w:eastAsia="zh-CN"/>
        </w:rPr>
        <w:t>150余名</w:t>
      </w:r>
      <w:r>
        <w:rPr>
          <w:rFonts w:hint="eastAsia" w:ascii="Times New Roman" w:hAnsi="Times New Roman" w:eastAsia="宋体" w:cs="Times New Roman"/>
          <w:sz w:val="24"/>
          <w:szCs w:val="24"/>
        </w:rPr>
        <w:t>参会代表参加了工作会议，对《绿色设计产品评价技术规范 钴酸锂》进行了预审。会议上对标准文本进行了认真、细致的讨论，对表述不当的地方进行了修改，讨论了企业调研反馈数据以及绿色设计产品标准指标设定的合理性。此次会议得到各参与单位的认可，一致认为经过修改后具备审定的条件。</w:t>
      </w:r>
    </w:p>
    <w:p>
      <w:pPr>
        <w:pStyle w:val="5"/>
      </w:pPr>
      <w:r>
        <w:t>1.3.4 审查阶段</w:t>
      </w:r>
    </w:p>
    <w:p>
      <w:pPr>
        <w:pStyle w:val="28"/>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eastAsia="黑体" w:cs="Times New Roman"/>
          <w:bCs/>
          <w:sz w:val="24"/>
          <w:szCs w:val="24"/>
        </w:rPr>
      </w:pPr>
      <w:r>
        <w:rPr>
          <w:rFonts w:hint="eastAsia" w:ascii="Times New Roman" w:hAnsi="Times New Roman" w:eastAsia="宋体" w:cs="Times New Roman"/>
          <w:sz w:val="24"/>
          <w:szCs w:val="24"/>
          <w:lang w:val="en-US" w:eastAsia="zh-CN"/>
        </w:rPr>
        <w:t>2023年9月6日~8日，</w:t>
      </w:r>
      <w:r>
        <w:rPr>
          <w:rFonts w:hint="eastAsia" w:ascii="Times New Roman" w:hAnsi="Times New Roman" w:eastAsia="宋体" w:cs="Times New Roman"/>
          <w:sz w:val="24"/>
          <w:szCs w:val="24"/>
        </w:rPr>
        <w:t>全国有色金属标准化技术委员会组织在</w:t>
      </w:r>
      <w:r>
        <w:rPr>
          <w:rFonts w:hint="eastAsia" w:ascii="Times New Roman" w:hAnsi="Times New Roman" w:eastAsia="宋体" w:cs="Times New Roman"/>
          <w:sz w:val="24"/>
          <w:szCs w:val="24"/>
          <w:lang w:eastAsia="zh-CN"/>
        </w:rPr>
        <w:t>江西省宜春市</w:t>
      </w:r>
      <w:r>
        <w:rPr>
          <w:rFonts w:ascii="Times New Roman" w:hAnsi="Times New Roman" w:eastAsia="宋体" w:cs="Times New Roman"/>
          <w:sz w:val="24"/>
          <w:szCs w:val="24"/>
        </w:rPr>
        <w:t>召开本标准的</w:t>
      </w:r>
      <w:r>
        <w:rPr>
          <w:rFonts w:hint="eastAsia" w:ascii="Times New Roman" w:hAnsi="Times New Roman" w:eastAsia="宋体" w:cs="Times New Roman"/>
          <w:sz w:val="24"/>
          <w:szCs w:val="24"/>
          <w:lang w:eastAsia="zh-CN"/>
        </w:rPr>
        <w:t>审定会，</w:t>
      </w:r>
      <w:r>
        <w:rPr>
          <w:rFonts w:hint="eastAsia" w:ascii="Times New Roman" w:hAnsi="Times New Roman" w:eastAsia="宋体" w:cs="Times New Roman"/>
          <w:sz w:val="24"/>
          <w:szCs w:val="24"/>
        </w:rPr>
        <w:t>来自</w:t>
      </w:r>
      <w:r>
        <w:rPr>
          <w:rFonts w:hint="eastAsia" w:ascii="Times New Roman" w:hAnsi="Times New Roman" w:eastAsia="宋体" w:cs="Times New Roman"/>
          <w:sz w:val="24"/>
          <w:szCs w:val="24"/>
          <w:lang w:val="en-US" w:eastAsia="zh-CN"/>
        </w:rPr>
        <w:t>XXXX</w:t>
      </w:r>
      <w:r>
        <w:rPr>
          <w:rFonts w:hint="eastAsia" w:ascii="Times New Roman" w:hAnsi="Times New Roman" w:eastAsia="宋体" w:cs="Times New Roman"/>
          <w:sz w:val="24"/>
          <w:szCs w:val="24"/>
        </w:rPr>
        <w:t>等</w:t>
      </w:r>
      <w:r>
        <w:rPr>
          <w:rFonts w:hint="eastAsia" w:ascii="Times New Roman" w:hAnsi="Times New Roman" w:eastAsia="宋体" w:cs="Times New Roman"/>
          <w:sz w:val="24"/>
          <w:szCs w:val="24"/>
          <w:lang w:val="en-US" w:eastAsia="zh-CN"/>
        </w:rPr>
        <w:t>X余</w:t>
      </w:r>
      <w:r>
        <w:rPr>
          <w:rFonts w:hint="eastAsia" w:ascii="Times New Roman" w:hAnsi="Times New Roman" w:eastAsia="宋体" w:cs="Times New Roman"/>
          <w:sz w:val="24"/>
          <w:szCs w:val="24"/>
        </w:rPr>
        <w:t>家企业</w:t>
      </w:r>
      <w:r>
        <w:rPr>
          <w:rFonts w:hint="eastAsia" w:ascii="Times New Roman" w:hAnsi="Times New Roman" w:eastAsia="宋体" w:cs="Times New Roman"/>
          <w:sz w:val="24"/>
          <w:szCs w:val="24"/>
          <w:lang w:val="en-US" w:eastAsia="zh-CN"/>
        </w:rPr>
        <w:t>X余名</w:t>
      </w:r>
      <w:r>
        <w:rPr>
          <w:rFonts w:hint="eastAsia" w:ascii="Times New Roman" w:hAnsi="Times New Roman" w:eastAsia="宋体" w:cs="Times New Roman"/>
          <w:sz w:val="24"/>
          <w:szCs w:val="24"/>
        </w:rPr>
        <w:t>参会代表参加了工作会议，对《绿色设计产品评价技术规范 钴酸锂》进行了审</w:t>
      </w:r>
      <w:r>
        <w:rPr>
          <w:rFonts w:hint="eastAsia" w:ascii="Times New Roman" w:hAnsi="Times New Roman" w:eastAsia="宋体" w:cs="Times New Roman"/>
          <w:sz w:val="24"/>
          <w:szCs w:val="24"/>
          <w:lang w:eastAsia="zh-CN"/>
        </w:rPr>
        <w:t>定。</w:t>
      </w:r>
    </w:p>
    <w:p>
      <w:pPr>
        <w:pStyle w:val="5"/>
      </w:pPr>
      <w:r>
        <w:t>1.3.5 报批阶段</w:t>
      </w:r>
    </w:p>
    <w:p>
      <w:pPr>
        <w:pStyle w:val="28"/>
        <w:spacing w:line="360" w:lineRule="auto"/>
        <w:rPr>
          <w:rFonts w:ascii="Times New Roman" w:hAnsi="Times New Roman" w:eastAsia="黑体" w:cs="Times New Roman"/>
          <w:bCs/>
          <w:sz w:val="24"/>
          <w:szCs w:val="24"/>
        </w:rPr>
      </w:pPr>
    </w:p>
    <w:p>
      <w:pPr>
        <w:pStyle w:val="28"/>
        <w:spacing w:line="360" w:lineRule="auto"/>
        <w:rPr>
          <w:rFonts w:ascii="Times New Roman" w:hAnsi="Times New Roman" w:eastAsia="黑体" w:cs="Times New Roman"/>
          <w:bCs/>
          <w:sz w:val="24"/>
          <w:szCs w:val="24"/>
        </w:rPr>
      </w:pPr>
    </w:p>
    <w:p>
      <w:pPr>
        <w:pStyle w:val="3"/>
        <w:spacing w:before="156" w:after="156"/>
        <w:rPr>
          <w:rFonts w:hint="default"/>
        </w:rPr>
      </w:pPr>
      <w:r>
        <w:rPr>
          <w:rFonts w:hint="default"/>
        </w:rPr>
        <w:t>二、标准编制原则</w:t>
      </w:r>
    </w:p>
    <w:p>
      <w:pPr>
        <w:snapToGrid w:val="0"/>
        <w:spacing w:line="360" w:lineRule="auto"/>
        <w:ind w:firstLine="480" w:firstLineChars="200"/>
        <w:rPr>
          <w:rFonts w:hint="eastAsia"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1、本标准的制定工作遵循“统一性、协调性、适用性、一致性、规范性”的原则，本着先进性、科学性、合理性和可操作性的原则。</w:t>
      </w:r>
    </w:p>
    <w:p>
      <w:pPr>
        <w:snapToGrid w:val="0"/>
        <w:spacing w:line="360" w:lineRule="auto"/>
        <w:ind w:firstLine="480" w:firstLineChars="200"/>
        <w:rPr>
          <w:rFonts w:hint="eastAsia"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2、按照GB/T 1.1—2020《标准化工作导则 第1部分：标准化文件的结构额起草规则》给出的规则编写。</w:t>
      </w:r>
    </w:p>
    <w:p>
      <w:pPr>
        <w:snapToGrid w:val="0"/>
        <w:spacing w:line="360" w:lineRule="auto"/>
        <w:ind w:firstLine="480" w:firstLineChars="200"/>
        <w:rPr>
          <w:rFonts w:hint="eastAsia"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3、本标准的编制原则、框架与GB/T 32161—2015《生态设计产品评价通则》、GB/T 33761—2017《绿色产品评价通则》保持一致。</w:t>
      </w:r>
    </w:p>
    <w:p>
      <w:pPr>
        <w:snapToGrid w:val="0"/>
        <w:spacing w:line="360" w:lineRule="auto"/>
        <w:ind w:firstLine="480" w:firstLineChars="200"/>
        <w:rPr>
          <w:rFonts w:hint="eastAsia"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4、本标准根据钴酸锂生产企业的现状和需求开展编制，充分考虑生产企业的产品质量和相关单位的意见，标准内容科学合理、切实可行、具有可操作性，为钴酸锂生产企业开展绿色产品评价提供依据，同时促进钴酸锂生产企业绿色低碳化发展。</w:t>
      </w:r>
    </w:p>
    <w:p>
      <w:pPr>
        <w:snapToGrid w:val="0"/>
        <w:spacing w:line="360" w:lineRule="auto"/>
        <w:ind w:firstLine="480" w:firstLineChars="200"/>
        <w:rPr>
          <w:rFonts w:hint="eastAsia"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5、本标准制定已在行业内开展充分的调研和征求意见。</w:t>
      </w:r>
    </w:p>
    <w:p>
      <w:pPr>
        <w:pStyle w:val="3"/>
        <w:spacing w:before="156" w:after="156"/>
        <w:rPr>
          <w:rFonts w:hint="default"/>
        </w:rPr>
      </w:pPr>
      <w:r>
        <w:rPr>
          <w:rFonts w:hint="default"/>
        </w:rPr>
        <w:t>三、标准主要内容的</w:t>
      </w:r>
      <w:r>
        <w:t>确定依据</w:t>
      </w:r>
    </w:p>
    <w:p>
      <w:pPr>
        <w:pStyle w:val="4"/>
        <w:spacing w:before="156" w:after="156"/>
      </w:pPr>
      <w:r>
        <w:t>3.1 钴酸锂生产工艺流程</w:t>
      </w:r>
    </w:p>
    <w:p>
      <w:pPr>
        <w:snapToGrid w:val="0"/>
        <w:spacing w:line="360" w:lineRule="auto"/>
        <w:ind w:firstLine="480" w:firstLineChars="200"/>
        <w:rPr>
          <w:rFonts w:ascii="Times New Roman" w:hAnsi="Times New Roman" w:eastAsia="宋体" w:cs="Times New Roman"/>
          <w:kern w:val="0"/>
          <w:sz w:val="24"/>
          <w:szCs w:val="24"/>
          <w:lang w:bidi="ar"/>
        </w:rPr>
      </w:pPr>
      <w:r>
        <w:rPr>
          <w:rFonts w:ascii="Times New Roman" w:hAnsi="Times New Roman" w:eastAsia="宋体" w:cs="Times New Roman"/>
          <w:color w:val="000000"/>
          <w:sz w:val="24"/>
          <w:szCs w:val="24"/>
        </w:rPr>
        <w:t>目前，行业内钴酸锂</w:t>
      </w:r>
      <w:r>
        <w:rPr>
          <w:rFonts w:ascii="Times New Roman" w:hAnsi="Times New Roman" w:eastAsia="宋体" w:cs="Times New Roman"/>
          <w:kern w:val="0"/>
          <w:sz w:val="24"/>
          <w:szCs w:val="24"/>
          <w:lang w:bidi="ar"/>
        </w:rPr>
        <w:t>正极材料</w:t>
      </w:r>
      <w:r>
        <w:rPr>
          <w:rFonts w:hint="eastAsia" w:ascii="Times New Roman" w:hAnsi="Times New Roman" w:eastAsia="宋体" w:cs="Times New Roman"/>
          <w:kern w:val="0"/>
          <w:sz w:val="24"/>
          <w:szCs w:val="24"/>
          <w:lang w:bidi="ar"/>
        </w:rPr>
        <w:t>的生产工艺</w:t>
      </w:r>
      <w:r>
        <w:rPr>
          <w:rFonts w:ascii="Times New Roman" w:hAnsi="Times New Roman" w:eastAsia="宋体" w:cs="Times New Roman"/>
          <w:kern w:val="0"/>
          <w:sz w:val="24"/>
          <w:szCs w:val="24"/>
          <w:lang w:bidi="ar"/>
        </w:rPr>
        <w:t>流程如图1所示</w:t>
      </w:r>
      <w:r>
        <w:rPr>
          <w:rFonts w:hint="eastAsia" w:ascii="Times New Roman" w:hAnsi="Times New Roman" w:eastAsia="宋体" w:cs="Times New Roman"/>
          <w:kern w:val="0"/>
          <w:sz w:val="24"/>
          <w:szCs w:val="24"/>
          <w:lang w:bidi="ar"/>
        </w:rPr>
        <w:t>，主要包括混料、装钵、一次烧结、破碎、二次混合、二次烧结、混批、除磁性异物，以及产品包装过程。</w:t>
      </w:r>
    </w:p>
    <w:p>
      <w:pPr>
        <w:widowControl/>
        <w:autoSpaceDE w:val="0"/>
        <w:autoSpaceDN w:val="0"/>
        <w:rPr>
          <w:rFonts w:ascii="宋体" w:hAnsi="Times New Roman" w:eastAsia="宋体" w:cs="Times New Roman"/>
          <w:kern w:val="0"/>
          <w:szCs w:val="20"/>
        </w:rPr>
      </w:pPr>
      <w:r>
        <w:rPr>
          <w:rFonts w:ascii="宋体" w:hAnsi="Times New Roman" w:eastAsia="宋体" w:cs="Times New Roman"/>
          <w:kern w:val="0"/>
          <w:szCs w:val="20"/>
        </w:rPr>
        <mc:AlternateContent>
          <mc:Choice Requires="wpc">
            <w:drawing>
              <wp:inline distT="0" distB="0" distL="0" distR="0">
                <wp:extent cx="5657850" cy="4762500"/>
                <wp:effectExtent l="0" t="0" r="0" b="0"/>
                <wp:docPr id="114" name="画布 79"/>
                <wp:cNvGraphicFramePr/>
                <a:graphic xmlns:a="http://schemas.openxmlformats.org/drawingml/2006/main">
                  <a:graphicData uri="http://schemas.microsoft.com/office/word/2010/wordprocessingCanvas">
                    <wpc:wpc>
                      <wpc:bg>
                        <a:noFill/>
                      </wpc:bg>
                      <wpc:whole>
                        <a:ln>
                          <a:noFill/>
                        </a:ln>
                      </wpc:whole>
                      <wps:wsp>
                        <wps:cNvPr id="86" name="矩形 13"/>
                        <wps:cNvSpPr>
                          <a:spLocks noChangeArrowheads="1"/>
                        </wps:cNvSpPr>
                        <wps:spPr bwMode="auto">
                          <a:xfrm>
                            <a:off x="2392680" y="161925"/>
                            <a:ext cx="1223645" cy="288290"/>
                          </a:xfrm>
                          <a:prstGeom prst="rect">
                            <a:avLst/>
                          </a:prstGeom>
                          <a:noFill/>
                          <a:ln w="19050" algn="ctr">
                            <a:solidFill>
                              <a:srgbClr val="000000"/>
                            </a:solidFill>
                            <a:miter lim="800000"/>
                          </a:ln>
                        </wps:spPr>
                        <wps:txbx>
                          <w:txbxContent>
                            <w:p>
                              <w:pPr>
                                <w:jc w:val="center"/>
                                <w:rPr>
                                  <w:color w:val="000000"/>
                                  <w:sz w:val="15"/>
                                  <w:szCs w:val="15"/>
                                </w:rPr>
                              </w:pPr>
                              <w:r>
                                <w:rPr>
                                  <w:rFonts w:hint="eastAsia"/>
                                  <w:color w:val="000000"/>
                                  <w:sz w:val="15"/>
                                  <w:szCs w:val="15"/>
                                </w:rPr>
                                <w:t>混料</w:t>
                              </w:r>
                            </w:p>
                          </w:txbxContent>
                        </wps:txbx>
                        <wps:bodyPr rot="0" vert="horz" wrap="square" lIns="91440" tIns="45720" rIns="91440" bIns="45720" anchor="ctr" anchorCtr="0" upright="1">
                          <a:noAutofit/>
                        </wps:bodyPr>
                      </wps:wsp>
                      <wps:wsp>
                        <wps:cNvPr id="87" name="直接箭头连接符 81"/>
                        <wps:cNvCnPr>
                          <a:cxnSpLocks noChangeShapeType="1"/>
                        </wps:cNvCnPr>
                        <wps:spPr bwMode="auto">
                          <a:xfrm flipH="1">
                            <a:off x="3004820" y="450215"/>
                            <a:ext cx="0" cy="215900"/>
                          </a:xfrm>
                          <a:prstGeom prst="straightConnector1">
                            <a:avLst/>
                          </a:prstGeom>
                          <a:noFill/>
                          <a:ln w="12700" algn="ctr">
                            <a:solidFill>
                              <a:srgbClr val="000000"/>
                            </a:solidFill>
                            <a:round/>
                            <a:tailEnd type="arrow" w="med" len="med"/>
                          </a:ln>
                        </wps:spPr>
                        <wps:bodyPr/>
                      </wps:wsp>
                      <wps:wsp>
                        <wps:cNvPr id="88" name="矩形 82"/>
                        <wps:cNvSpPr>
                          <a:spLocks noChangeArrowheads="1"/>
                        </wps:cNvSpPr>
                        <wps:spPr bwMode="auto">
                          <a:xfrm>
                            <a:off x="2393315" y="674370"/>
                            <a:ext cx="1223010" cy="287655"/>
                          </a:xfrm>
                          <a:prstGeom prst="rect">
                            <a:avLst/>
                          </a:prstGeom>
                          <a:noFill/>
                          <a:ln w="19050" algn="ctr">
                            <a:solidFill>
                              <a:srgbClr val="000000"/>
                            </a:solidFill>
                            <a:miter lim="800000"/>
                          </a:ln>
                        </wps:spPr>
                        <wps:txbx>
                          <w:txbxContent>
                            <w:p>
                              <w:pPr>
                                <w:jc w:val="center"/>
                                <w:rPr>
                                  <w:color w:val="000000"/>
                                  <w:sz w:val="15"/>
                                  <w:szCs w:val="15"/>
                                </w:rPr>
                              </w:pPr>
                              <w:r>
                                <w:rPr>
                                  <w:rFonts w:hint="eastAsia"/>
                                  <w:color w:val="000000"/>
                                  <w:sz w:val="15"/>
                                  <w:szCs w:val="15"/>
                                </w:rPr>
                                <w:t>装钵</w:t>
                              </w:r>
                            </w:p>
                          </w:txbxContent>
                        </wps:txbx>
                        <wps:bodyPr rot="0" vert="horz" wrap="square" lIns="91440" tIns="45720" rIns="91440" bIns="45720" anchor="ctr" anchorCtr="0" upright="1">
                          <a:noAutofit/>
                        </wps:bodyPr>
                      </wps:wsp>
                      <wps:wsp>
                        <wps:cNvPr id="89" name="直接箭头连接符 83"/>
                        <wps:cNvCnPr>
                          <a:cxnSpLocks noChangeShapeType="1"/>
                        </wps:cNvCnPr>
                        <wps:spPr bwMode="auto">
                          <a:xfrm flipH="1">
                            <a:off x="3004820" y="962025"/>
                            <a:ext cx="0" cy="216535"/>
                          </a:xfrm>
                          <a:prstGeom prst="straightConnector1">
                            <a:avLst/>
                          </a:prstGeom>
                          <a:noFill/>
                          <a:ln w="12700" algn="ctr">
                            <a:solidFill>
                              <a:srgbClr val="000000"/>
                            </a:solidFill>
                            <a:round/>
                            <a:tailEnd type="arrow" w="med" len="med"/>
                          </a:ln>
                        </wps:spPr>
                        <wps:bodyPr/>
                      </wps:wsp>
                      <wps:wsp>
                        <wps:cNvPr id="90" name="矩形 84"/>
                        <wps:cNvSpPr>
                          <a:spLocks noChangeArrowheads="1"/>
                        </wps:cNvSpPr>
                        <wps:spPr bwMode="auto">
                          <a:xfrm>
                            <a:off x="2393315" y="1193800"/>
                            <a:ext cx="1223010" cy="287655"/>
                          </a:xfrm>
                          <a:prstGeom prst="rect">
                            <a:avLst/>
                          </a:prstGeom>
                          <a:noFill/>
                          <a:ln w="19050" algn="ctr">
                            <a:solidFill>
                              <a:srgbClr val="000000"/>
                            </a:solidFill>
                            <a:miter lim="800000"/>
                          </a:ln>
                        </wps:spPr>
                        <wps:txbx>
                          <w:txbxContent>
                            <w:p>
                              <w:pPr>
                                <w:jc w:val="center"/>
                                <w:rPr>
                                  <w:color w:val="000000"/>
                                  <w:sz w:val="15"/>
                                  <w:szCs w:val="15"/>
                                </w:rPr>
                              </w:pPr>
                              <w:r>
                                <w:rPr>
                                  <w:rFonts w:hint="eastAsia"/>
                                  <w:color w:val="000000"/>
                                  <w:sz w:val="15"/>
                                  <w:szCs w:val="15"/>
                                </w:rPr>
                                <w:t>一次烧结</w:t>
                              </w:r>
                            </w:p>
                          </w:txbxContent>
                        </wps:txbx>
                        <wps:bodyPr rot="0" vert="horz" wrap="square" lIns="91440" tIns="45720" rIns="91440" bIns="45720" anchor="ctr" anchorCtr="0" upright="1">
                          <a:noAutofit/>
                        </wps:bodyPr>
                      </wps:wsp>
                      <wps:wsp>
                        <wps:cNvPr id="91" name="直接箭头连接符 88"/>
                        <wps:cNvCnPr>
                          <a:cxnSpLocks noChangeShapeType="1"/>
                        </wps:cNvCnPr>
                        <wps:spPr bwMode="auto">
                          <a:xfrm flipH="1">
                            <a:off x="3004820" y="1490980"/>
                            <a:ext cx="0" cy="215900"/>
                          </a:xfrm>
                          <a:prstGeom prst="straightConnector1">
                            <a:avLst/>
                          </a:prstGeom>
                          <a:noFill/>
                          <a:ln w="12700" algn="ctr">
                            <a:solidFill>
                              <a:srgbClr val="000000"/>
                            </a:solidFill>
                            <a:round/>
                            <a:tailEnd type="arrow" w="med" len="med"/>
                          </a:ln>
                        </wps:spPr>
                        <wps:bodyPr/>
                      </wps:wsp>
                      <wps:wsp>
                        <wps:cNvPr id="92" name="矩形 89"/>
                        <wps:cNvSpPr>
                          <a:spLocks noChangeArrowheads="1"/>
                        </wps:cNvSpPr>
                        <wps:spPr bwMode="auto">
                          <a:xfrm>
                            <a:off x="2393315" y="1722755"/>
                            <a:ext cx="1223010" cy="287655"/>
                          </a:xfrm>
                          <a:prstGeom prst="rect">
                            <a:avLst/>
                          </a:prstGeom>
                          <a:noFill/>
                          <a:ln w="19050" algn="ctr">
                            <a:solidFill>
                              <a:srgbClr val="000000"/>
                            </a:solidFill>
                            <a:miter lim="800000"/>
                          </a:ln>
                        </wps:spPr>
                        <wps:txbx>
                          <w:txbxContent>
                            <w:p>
                              <w:pPr>
                                <w:jc w:val="center"/>
                                <w:rPr>
                                  <w:color w:val="000000"/>
                                  <w:sz w:val="15"/>
                                  <w:szCs w:val="15"/>
                                </w:rPr>
                              </w:pPr>
                              <w:r>
                                <w:rPr>
                                  <w:rFonts w:hint="eastAsia"/>
                                  <w:color w:val="000000"/>
                                  <w:sz w:val="15"/>
                                  <w:szCs w:val="15"/>
                                </w:rPr>
                                <w:t>破碎</w:t>
                              </w:r>
                            </w:p>
                          </w:txbxContent>
                        </wps:txbx>
                        <wps:bodyPr rot="0" vert="horz" wrap="square" lIns="91440" tIns="45720" rIns="91440" bIns="45720" anchor="ctr" anchorCtr="0" upright="1">
                          <a:noAutofit/>
                        </wps:bodyPr>
                      </wps:wsp>
                      <wps:wsp>
                        <wps:cNvPr id="93" name="直接箭头连接符 90"/>
                        <wps:cNvCnPr>
                          <a:cxnSpLocks noChangeShapeType="1"/>
                        </wps:cNvCnPr>
                        <wps:spPr bwMode="auto">
                          <a:xfrm flipH="1">
                            <a:off x="3004820" y="2014855"/>
                            <a:ext cx="0" cy="215900"/>
                          </a:xfrm>
                          <a:prstGeom prst="straightConnector1">
                            <a:avLst/>
                          </a:prstGeom>
                          <a:noFill/>
                          <a:ln w="12700" algn="ctr">
                            <a:solidFill>
                              <a:srgbClr val="000000"/>
                            </a:solidFill>
                            <a:round/>
                            <a:tailEnd type="arrow" w="med" len="med"/>
                          </a:ln>
                        </wps:spPr>
                        <wps:bodyPr/>
                      </wps:wsp>
                      <wps:wsp>
                        <wps:cNvPr id="94" name="矩形 91"/>
                        <wps:cNvSpPr>
                          <a:spLocks noChangeArrowheads="1"/>
                        </wps:cNvSpPr>
                        <wps:spPr bwMode="auto">
                          <a:xfrm>
                            <a:off x="2393315" y="2246630"/>
                            <a:ext cx="1223010" cy="287655"/>
                          </a:xfrm>
                          <a:prstGeom prst="rect">
                            <a:avLst/>
                          </a:prstGeom>
                          <a:noFill/>
                          <a:ln w="19050" algn="ctr">
                            <a:solidFill>
                              <a:srgbClr val="000000"/>
                            </a:solidFill>
                            <a:miter lim="800000"/>
                          </a:ln>
                        </wps:spPr>
                        <wps:txbx>
                          <w:txbxContent>
                            <w:p>
                              <w:pPr>
                                <w:jc w:val="center"/>
                                <w:rPr>
                                  <w:color w:val="000000"/>
                                  <w:sz w:val="15"/>
                                  <w:szCs w:val="15"/>
                                </w:rPr>
                              </w:pPr>
                              <w:r>
                                <w:rPr>
                                  <w:rFonts w:hint="eastAsia"/>
                                  <w:color w:val="000000"/>
                                  <w:sz w:val="15"/>
                                  <w:szCs w:val="15"/>
                                </w:rPr>
                                <w:t>二次混合</w:t>
                              </w:r>
                            </w:p>
                          </w:txbxContent>
                        </wps:txbx>
                        <wps:bodyPr rot="0" vert="horz" wrap="square" lIns="91440" tIns="45720" rIns="91440" bIns="45720" anchor="ctr" anchorCtr="0" upright="1">
                          <a:noAutofit/>
                        </wps:bodyPr>
                      </wps:wsp>
                      <wps:wsp>
                        <wps:cNvPr id="95" name="直接箭头连接符 92"/>
                        <wps:cNvCnPr>
                          <a:cxnSpLocks noChangeShapeType="1"/>
                        </wps:cNvCnPr>
                        <wps:spPr bwMode="auto">
                          <a:xfrm flipH="1">
                            <a:off x="3004820" y="2519680"/>
                            <a:ext cx="0" cy="215900"/>
                          </a:xfrm>
                          <a:prstGeom prst="straightConnector1">
                            <a:avLst/>
                          </a:prstGeom>
                          <a:noFill/>
                          <a:ln w="12700" algn="ctr">
                            <a:solidFill>
                              <a:srgbClr val="000000"/>
                            </a:solidFill>
                            <a:round/>
                            <a:tailEnd type="arrow" w="med" len="med"/>
                          </a:ln>
                        </wps:spPr>
                        <wps:bodyPr/>
                      </wps:wsp>
                      <wps:wsp>
                        <wps:cNvPr id="96" name="矩形 93"/>
                        <wps:cNvSpPr>
                          <a:spLocks noChangeArrowheads="1"/>
                        </wps:cNvSpPr>
                        <wps:spPr bwMode="auto">
                          <a:xfrm>
                            <a:off x="2393315" y="2751455"/>
                            <a:ext cx="1223010" cy="287655"/>
                          </a:xfrm>
                          <a:prstGeom prst="rect">
                            <a:avLst/>
                          </a:prstGeom>
                          <a:noFill/>
                          <a:ln w="19050" algn="ctr">
                            <a:solidFill>
                              <a:srgbClr val="000000"/>
                            </a:solidFill>
                            <a:miter lim="800000"/>
                          </a:ln>
                        </wps:spPr>
                        <wps:txbx>
                          <w:txbxContent>
                            <w:p>
                              <w:pPr>
                                <w:jc w:val="center"/>
                                <w:rPr>
                                  <w:color w:val="000000"/>
                                  <w:sz w:val="15"/>
                                  <w:szCs w:val="15"/>
                                </w:rPr>
                              </w:pPr>
                              <w:r>
                                <w:rPr>
                                  <w:rFonts w:hint="eastAsia"/>
                                  <w:color w:val="000000"/>
                                  <w:sz w:val="15"/>
                                  <w:szCs w:val="15"/>
                                </w:rPr>
                                <w:t>二次烧结</w:t>
                              </w:r>
                            </w:p>
                          </w:txbxContent>
                        </wps:txbx>
                        <wps:bodyPr rot="0" vert="horz" wrap="square" lIns="91440" tIns="45720" rIns="91440" bIns="45720" anchor="ctr" anchorCtr="0" upright="1">
                          <a:noAutofit/>
                        </wps:bodyPr>
                      </wps:wsp>
                      <wps:wsp>
                        <wps:cNvPr id="97" name="直接箭头连接符 94"/>
                        <wps:cNvCnPr>
                          <a:cxnSpLocks noChangeShapeType="1"/>
                        </wps:cNvCnPr>
                        <wps:spPr bwMode="auto">
                          <a:xfrm flipH="1">
                            <a:off x="3004820" y="3043555"/>
                            <a:ext cx="635" cy="215900"/>
                          </a:xfrm>
                          <a:prstGeom prst="straightConnector1">
                            <a:avLst/>
                          </a:prstGeom>
                          <a:noFill/>
                          <a:ln w="12700" algn="ctr">
                            <a:solidFill>
                              <a:srgbClr val="000000"/>
                            </a:solidFill>
                            <a:round/>
                            <a:tailEnd type="arrow" w="med" len="med"/>
                          </a:ln>
                        </wps:spPr>
                        <wps:bodyPr/>
                      </wps:wsp>
                      <wps:wsp>
                        <wps:cNvPr id="98" name="矩形 95"/>
                        <wps:cNvSpPr>
                          <a:spLocks noChangeArrowheads="1"/>
                        </wps:cNvSpPr>
                        <wps:spPr bwMode="auto">
                          <a:xfrm>
                            <a:off x="2393315" y="3275330"/>
                            <a:ext cx="1223010" cy="287655"/>
                          </a:xfrm>
                          <a:prstGeom prst="rect">
                            <a:avLst/>
                          </a:prstGeom>
                          <a:noFill/>
                          <a:ln w="19050" algn="ctr">
                            <a:solidFill>
                              <a:srgbClr val="000000"/>
                            </a:solidFill>
                            <a:miter lim="800000"/>
                          </a:ln>
                        </wps:spPr>
                        <wps:txbx>
                          <w:txbxContent>
                            <w:p>
                              <w:pPr>
                                <w:jc w:val="center"/>
                                <w:rPr>
                                  <w:color w:val="000000"/>
                                  <w:sz w:val="15"/>
                                  <w:szCs w:val="15"/>
                                </w:rPr>
                              </w:pPr>
                              <w:r>
                                <w:rPr>
                                  <w:rFonts w:hint="eastAsia"/>
                                  <w:color w:val="000000"/>
                                  <w:sz w:val="15"/>
                                  <w:szCs w:val="15"/>
                                </w:rPr>
                                <w:t>混批</w:t>
                              </w:r>
                            </w:p>
                          </w:txbxContent>
                        </wps:txbx>
                        <wps:bodyPr rot="0" vert="horz" wrap="square" lIns="91440" tIns="45720" rIns="91440" bIns="45720" anchor="ctr" anchorCtr="0" upright="1">
                          <a:noAutofit/>
                        </wps:bodyPr>
                      </wps:wsp>
                      <wps:wsp>
                        <wps:cNvPr id="99" name="直接箭头连接符 96"/>
                        <wps:cNvCnPr>
                          <a:cxnSpLocks noChangeShapeType="1"/>
                        </wps:cNvCnPr>
                        <wps:spPr bwMode="auto">
                          <a:xfrm flipH="1">
                            <a:off x="3004820" y="3557905"/>
                            <a:ext cx="635" cy="215900"/>
                          </a:xfrm>
                          <a:prstGeom prst="straightConnector1">
                            <a:avLst/>
                          </a:prstGeom>
                          <a:noFill/>
                          <a:ln w="12700" algn="ctr">
                            <a:solidFill>
                              <a:srgbClr val="000000"/>
                            </a:solidFill>
                            <a:round/>
                            <a:tailEnd type="arrow" w="med" len="med"/>
                          </a:ln>
                        </wps:spPr>
                        <wps:bodyPr/>
                      </wps:wsp>
                      <wps:wsp>
                        <wps:cNvPr id="100" name="矩形 97"/>
                        <wps:cNvSpPr>
                          <a:spLocks noChangeArrowheads="1"/>
                        </wps:cNvSpPr>
                        <wps:spPr bwMode="auto">
                          <a:xfrm>
                            <a:off x="2393315" y="3789680"/>
                            <a:ext cx="1223010" cy="287655"/>
                          </a:xfrm>
                          <a:prstGeom prst="rect">
                            <a:avLst/>
                          </a:prstGeom>
                          <a:noFill/>
                          <a:ln w="19050" algn="ctr">
                            <a:solidFill>
                              <a:srgbClr val="000000"/>
                            </a:solidFill>
                            <a:miter lim="800000"/>
                          </a:ln>
                        </wps:spPr>
                        <wps:txbx>
                          <w:txbxContent>
                            <w:p>
                              <w:pPr>
                                <w:jc w:val="center"/>
                                <w:rPr>
                                  <w:color w:val="000000"/>
                                  <w:sz w:val="15"/>
                                  <w:szCs w:val="15"/>
                                </w:rPr>
                              </w:pPr>
                              <w:r>
                                <w:rPr>
                                  <w:rFonts w:hint="eastAsia"/>
                                  <w:color w:val="000000"/>
                                  <w:sz w:val="15"/>
                                  <w:szCs w:val="15"/>
                                  <w:lang w:eastAsia="zh-CN"/>
                                </w:rPr>
                                <w:t>过筛</w:t>
                              </w:r>
                              <w:r>
                                <w:rPr>
                                  <w:rFonts w:hint="eastAsia"/>
                                  <w:color w:val="000000"/>
                                  <w:sz w:val="15"/>
                                  <w:szCs w:val="15"/>
                                </w:rPr>
                                <w:t>除磁</w:t>
                              </w:r>
                            </w:p>
                          </w:txbxContent>
                        </wps:txbx>
                        <wps:bodyPr rot="0" vert="horz" wrap="square" lIns="91440" tIns="45720" rIns="91440" bIns="45720" anchor="ctr" anchorCtr="0" upright="1">
                          <a:noAutofit/>
                        </wps:bodyPr>
                      </wps:wsp>
                      <wps:wsp>
                        <wps:cNvPr id="101" name="直接箭头连接符 98"/>
                        <wps:cNvCnPr>
                          <a:cxnSpLocks noChangeShapeType="1"/>
                        </wps:cNvCnPr>
                        <wps:spPr bwMode="auto">
                          <a:xfrm flipH="1">
                            <a:off x="3004820" y="4072255"/>
                            <a:ext cx="635" cy="215900"/>
                          </a:xfrm>
                          <a:prstGeom prst="straightConnector1">
                            <a:avLst/>
                          </a:prstGeom>
                          <a:noFill/>
                          <a:ln w="12700" algn="ctr">
                            <a:solidFill>
                              <a:srgbClr val="000000"/>
                            </a:solidFill>
                            <a:round/>
                            <a:tailEnd type="arrow" w="med" len="med"/>
                          </a:ln>
                        </wps:spPr>
                        <wps:bodyPr/>
                      </wps:wsp>
                      <wps:wsp>
                        <wps:cNvPr id="102" name="左大括号 101"/>
                        <wps:cNvSpPr/>
                        <wps:spPr bwMode="auto">
                          <a:xfrm>
                            <a:off x="1774190" y="266700"/>
                            <a:ext cx="593725" cy="4295775"/>
                          </a:xfrm>
                          <a:prstGeom prst="leftBrace">
                            <a:avLst>
                              <a:gd name="adj1" fmla="val 10417"/>
                              <a:gd name="adj2" fmla="val 50000"/>
                            </a:avLst>
                          </a:prstGeom>
                          <a:noFill/>
                          <a:ln w="9525" algn="ctr">
                            <a:solidFill>
                              <a:srgbClr val="000000"/>
                            </a:solidFill>
                            <a:round/>
                          </a:ln>
                        </wps:spPr>
                        <wps:bodyPr rot="0" vert="horz" wrap="square" lIns="91440" tIns="45720" rIns="91440" bIns="45720" anchor="ctr" anchorCtr="0" upright="1">
                          <a:noAutofit/>
                        </wps:bodyPr>
                      </wps:wsp>
                      <wps:wsp>
                        <wps:cNvPr id="103" name="矩形 102"/>
                        <wps:cNvSpPr>
                          <a:spLocks noChangeArrowheads="1"/>
                        </wps:cNvSpPr>
                        <wps:spPr bwMode="auto">
                          <a:xfrm>
                            <a:off x="697865" y="1066800"/>
                            <a:ext cx="720090" cy="287655"/>
                          </a:xfrm>
                          <a:prstGeom prst="rect">
                            <a:avLst/>
                          </a:prstGeom>
                          <a:noFill/>
                          <a:ln w="19050" algn="ctr">
                            <a:solidFill>
                              <a:srgbClr val="000000"/>
                            </a:solidFill>
                            <a:miter lim="800000"/>
                          </a:ln>
                        </wps:spPr>
                        <wps:txbx>
                          <w:txbxContent>
                            <w:p>
                              <w:pPr>
                                <w:jc w:val="center"/>
                                <w:rPr>
                                  <w:color w:val="000000"/>
                                  <w:sz w:val="15"/>
                                  <w:szCs w:val="15"/>
                                </w:rPr>
                              </w:pPr>
                              <w:r>
                                <w:rPr>
                                  <w:rFonts w:hint="eastAsia"/>
                                  <w:color w:val="000000"/>
                                  <w:sz w:val="15"/>
                                  <w:szCs w:val="15"/>
                                </w:rPr>
                                <w:t>原辅料</w:t>
                              </w:r>
                            </w:p>
                          </w:txbxContent>
                        </wps:txbx>
                        <wps:bodyPr rot="0" vert="horz" wrap="square" lIns="91440" tIns="45720" rIns="91440" bIns="45720" anchor="ctr" anchorCtr="0" upright="1">
                          <a:noAutofit/>
                        </wps:bodyPr>
                      </wps:wsp>
                      <wps:wsp>
                        <wps:cNvPr id="104" name="矩形 103"/>
                        <wps:cNvSpPr>
                          <a:spLocks noChangeArrowheads="1"/>
                        </wps:cNvSpPr>
                        <wps:spPr bwMode="auto">
                          <a:xfrm>
                            <a:off x="697865" y="2276475"/>
                            <a:ext cx="720090" cy="287655"/>
                          </a:xfrm>
                          <a:prstGeom prst="rect">
                            <a:avLst/>
                          </a:prstGeom>
                          <a:noFill/>
                          <a:ln w="19050" algn="ctr">
                            <a:solidFill>
                              <a:srgbClr val="000000"/>
                            </a:solidFill>
                            <a:miter lim="800000"/>
                          </a:ln>
                        </wps:spPr>
                        <wps:txbx>
                          <w:txbxContent>
                            <w:p>
                              <w:pPr>
                                <w:jc w:val="center"/>
                                <w:rPr>
                                  <w:color w:val="000000"/>
                                  <w:sz w:val="15"/>
                                  <w:szCs w:val="15"/>
                                </w:rPr>
                              </w:pPr>
                              <w:r>
                                <w:rPr>
                                  <w:rFonts w:hint="eastAsia"/>
                                  <w:color w:val="000000"/>
                                  <w:sz w:val="15"/>
                                  <w:szCs w:val="15"/>
                                </w:rPr>
                                <w:t>能源</w:t>
                              </w:r>
                            </w:p>
                          </w:txbxContent>
                        </wps:txbx>
                        <wps:bodyPr rot="0" vert="horz" wrap="square" lIns="91440" tIns="45720" rIns="91440" bIns="45720" anchor="ctr" anchorCtr="0" upright="1">
                          <a:noAutofit/>
                        </wps:bodyPr>
                      </wps:wsp>
                      <wps:wsp>
                        <wps:cNvPr id="105" name="矩形 104"/>
                        <wps:cNvSpPr>
                          <a:spLocks noChangeArrowheads="1"/>
                        </wps:cNvSpPr>
                        <wps:spPr bwMode="auto">
                          <a:xfrm>
                            <a:off x="697865" y="3410585"/>
                            <a:ext cx="720090" cy="288290"/>
                          </a:xfrm>
                          <a:prstGeom prst="rect">
                            <a:avLst/>
                          </a:prstGeom>
                          <a:noFill/>
                          <a:ln w="19050" algn="ctr">
                            <a:solidFill>
                              <a:srgbClr val="000000"/>
                            </a:solidFill>
                            <a:miter lim="800000"/>
                          </a:ln>
                        </wps:spPr>
                        <wps:txbx>
                          <w:txbxContent>
                            <w:p>
                              <w:pPr>
                                <w:jc w:val="center"/>
                                <w:rPr>
                                  <w:color w:val="000000"/>
                                  <w:sz w:val="15"/>
                                  <w:szCs w:val="15"/>
                                </w:rPr>
                              </w:pPr>
                              <w:r>
                                <w:rPr>
                                  <w:rFonts w:hint="eastAsia"/>
                                  <w:color w:val="000000"/>
                                  <w:sz w:val="15"/>
                                  <w:szCs w:val="15"/>
                                </w:rPr>
                                <w:t>水</w:t>
                              </w:r>
                            </w:p>
                          </w:txbxContent>
                        </wps:txbx>
                        <wps:bodyPr rot="0" vert="horz" wrap="square" lIns="91440" tIns="45720" rIns="91440" bIns="45720" anchor="ctr" anchorCtr="0" upright="1">
                          <a:noAutofit/>
                        </wps:bodyPr>
                      </wps:wsp>
                      <wps:wsp>
                        <wps:cNvPr id="106" name="直接箭头连接符 105"/>
                        <wps:cNvCnPr>
                          <a:cxnSpLocks noChangeShapeType="1"/>
                        </wps:cNvCnPr>
                        <wps:spPr bwMode="auto">
                          <a:xfrm flipV="1">
                            <a:off x="1427480" y="1209675"/>
                            <a:ext cx="651510" cy="1270"/>
                          </a:xfrm>
                          <a:prstGeom prst="straightConnector1">
                            <a:avLst/>
                          </a:prstGeom>
                          <a:noFill/>
                          <a:ln w="9525" algn="ctr">
                            <a:solidFill>
                              <a:srgbClr val="000000"/>
                            </a:solidFill>
                            <a:round/>
                            <a:tailEnd type="arrow" w="med" len="med"/>
                          </a:ln>
                        </wps:spPr>
                        <wps:bodyPr/>
                      </wps:wsp>
                      <wps:wsp>
                        <wps:cNvPr id="107" name="直接箭头连接符 106"/>
                        <wps:cNvCnPr>
                          <a:cxnSpLocks noChangeShapeType="1"/>
                        </wps:cNvCnPr>
                        <wps:spPr bwMode="auto">
                          <a:xfrm flipV="1">
                            <a:off x="1427480" y="3548380"/>
                            <a:ext cx="659130" cy="6350"/>
                          </a:xfrm>
                          <a:prstGeom prst="straightConnector1">
                            <a:avLst/>
                          </a:prstGeom>
                          <a:noFill/>
                          <a:ln w="9525" algn="ctr">
                            <a:solidFill>
                              <a:srgbClr val="000000"/>
                            </a:solidFill>
                            <a:round/>
                            <a:tailEnd type="arrow" w="med" len="med"/>
                          </a:ln>
                        </wps:spPr>
                        <wps:bodyPr/>
                      </wps:wsp>
                      <wps:wsp>
                        <wps:cNvPr id="108" name="直接箭头连接符 107"/>
                        <wps:cNvCnPr>
                          <a:cxnSpLocks noChangeShapeType="1"/>
                        </wps:cNvCnPr>
                        <wps:spPr bwMode="auto">
                          <a:xfrm>
                            <a:off x="1416050" y="2414905"/>
                            <a:ext cx="358140" cy="635"/>
                          </a:xfrm>
                          <a:prstGeom prst="straightConnector1">
                            <a:avLst/>
                          </a:prstGeom>
                          <a:noFill/>
                          <a:ln w="9525" algn="ctr">
                            <a:solidFill>
                              <a:srgbClr val="000000"/>
                            </a:solidFill>
                            <a:round/>
                            <a:tailEnd type="arrow" w="med" len="med"/>
                          </a:ln>
                        </wps:spPr>
                        <wps:bodyPr/>
                      </wps:wsp>
                      <wps:wsp>
                        <wps:cNvPr id="109" name="右大括号 108"/>
                        <wps:cNvSpPr/>
                        <wps:spPr bwMode="auto">
                          <a:xfrm>
                            <a:off x="3625850" y="266700"/>
                            <a:ext cx="594360" cy="4276725"/>
                          </a:xfrm>
                          <a:prstGeom prst="rightBrace">
                            <a:avLst>
                              <a:gd name="adj1" fmla="val 10481"/>
                              <a:gd name="adj2" fmla="val 50000"/>
                            </a:avLst>
                          </a:prstGeom>
                          <a:noFill/>
                          <a:ln w="9525" algn="ctr">
                            <a:solidFill>
                              <a:srgbClr val="000000"/>
                            </a:solidFill>
                            <a:round/>
                          </a:ln>
                        </wps:spPr>
                        <wps:bodyPr rot="0" vert="horz" wrap="square" lIns="91440" tIns="45720" rIns="91440" bIns="45720" anchor="ctr" anchorCtr="0" upright="1">
                          <a:noAutofit/>
                        </wps:bodyPr>
                      </wps:wsp>
                      <wps:wsp>
                        <wps:cNvPr id="110" name="矩形 109"/>
                        <wps:cNvSpPr>
                          <a:spLocks noChangeArrowheads="1"/>
                        </wps:cNvSpPr>
                        <wps:spPr bwMode="auto">
                          <a:xfrm>
                            <a:off x="4239895" y="2275205"/>
                            <a:ext cx="720090" cy="288290"/>
                          </a:xfrm>
                          <a:prstGeom prst="rect">
                            <a:avLst/>
                          </a:prstGeom>
                          <a:noFill/>
                          <a:ln w="19050" algn="ctr">
                            <a:solidFill>
                              <a:srgbClr val="000000"/>
                            </a:solidFill>
                            <a:miter lim="800000"/>
                          </a:ln>
                        </wps:spPr>
                        <wps:txbx>
                          <w:txbxContent>
                            <w:p>
                              <w:pPr>
                                <w:jc w:val="center"/>
                                <w:rPr>
                                  <w:color w:val="000000"/>
                                  <w:sz w:val="15"/>
                                  <w:szCs w:val="15"/>
                                </w:rPr>
                              </w:pPr>
                              <w:r>
                                <w:rPr>
                                  <w:rFonts w:hint="eastAsia"/>
                                  <w:color w:val="000000"/>
                                  <w:sz w:val="15"/>
                                  <w:szCs w:val="15"/>
                                </w:rPr>
                                <w:t>废物排放</w:t>
                              </w:r>
                            </w:p>
                          </w:txbxContent>
                        </wps:txbx>
                        <wps:bodyPr rot="0" vert="horz" wrap="square" lIns="91440" tIns="45720" rIns="91440" bIns="45720" anchor="ctr" anchorCtr="0" upright="1">
                          <a:noAutofit/>
                        </wps:bodyPr>
                      </wps:wsp>
                      <wps:wsp>
                        <wps:cNvPr id="111" name="直接连接符 115"/>
                        <wps:cNvCnPr>
                          <a:cxnSpLocks noChangeShapeType="1"/>
                        </wps:cNvCnPr>
                        <wps:spPr bwMode="auto">
                          <a:xfrm>
                            <a:off x="2557780" y="4505325"/>
                            <a:ext cx="894715" cy="635"/>
                          </a:xfrm>
                          <a:prstGeom prst="line">
                            <a:avLst/>
                          </a:prstGeom>
                          <a:noFill/>
                          <a:ln w="9525" algn="ctr">
                            <a:solidFill>
                              <a:srgbClr val="000000"/>
                            </a:solidFill>
                            <a:round/>
                          </a:ln>
                        </wps:spPr>
                        <wps:bodyPr/>
                      </wps:wsp>
                      <wps:wsp>
                        <wps:cNvPr id="112" name="直接连接符 116"/>
                        <wps:cNvCnPr>
                          <a:cxnSpLocks noChangeShapeType="1"/>
                        </wps:cNvCnPr>
                        <wps:spPr bwMode="auto">
                          <a:xfrm>
                            <a:off x="2557780" y="4543425"/>
                            <a:ext cx="894715" cy="635"/>
                          </a:xfrm>
                          <a:prstGeom prst="line">
                            <a:avLst/>
                          </a:prstGeom>
                          <a:noFill/>
                          <a:ln w="9525" algn="ctr">
                            <a:solidFill>
                              <a:srgbClr val="000000"/>
                            </a:solidFill>
                            <a:round/>
                          </a:ln>
                        </wps:spPr>
                        <wps:bodyPr/>
                      </wps:wsp>
                      <wps:wsp>
                        <wps:cNvPr id="113" name="文本框 112"/>
                        <wps:cNvSpPr txBox="1">
                          <a:spLocks noChangeArrowheads="1"/>
                        </wps:cNvSpPr>
                        <wps:spPr bwMode="auto">
                          <a:xfrm>
                            <a:off x="2474626" y="4246974"/>
                            <a:ext cx="1075690" cy="295275"/>
                          </a:xfrm>
                          <a:prstGeom prst="rect">
                            <a:avLst/>
                          </a:prstGeom>
                          <a:noFill/>
                          <a:ln>
                            <a:noFill/>
                          </a:ln>
                        </wps:spPr>
                        <wps:txbx>
                          <w:txbxContent>
                            <w:p>
                              <w:pPr>
                                <w:pStyle w:val="19"/>
                                <w:jc w:val="center"/>
                              </w:pPr>
                              <w:r>
                                <w:rPr>
                                  <w:rFonts w:hint="eastAsia" w:ascii="Calibri" w:hAnsi="Calibri"/>
                                  <w:color w:val="000000"/>
                                  <w:sz w:val="15"/>
                                  <w:szCs w:val="15"/>
                                </w:rPr>
                                <w:t>钴酸锂包</w:t>
                              </w:r>
                              <w:r>
                                <w:rPr>
                                  <w:rFonts w:hint="eastAsia"/>
                                  <w:color w:val="000000"/>
                                  <w:sz w:val="15"/>
                                  <w:szCs w:val="15"/>
                                </w:rPr>
                                <w:t>装</w:t>
                              </w:r>
                            </w:p>
                          </w:txbxContent>
                        </wps:txbx>
                        <wps:bodyPr rot="0" vert="horz" wrap="square" lIns="91440" tIns="45720" rIns="91440" bIns="45720" anchor="t" anchorCtr="0" upright="1">
                          <a:noAutofit/>
                        </wps:bodyPr>
                      </wps:wsp>
                    </wpc:wpc>
                  </a:graphicData>
                </a:graphic>
              </wp:inline>
            </w:drawing>
          </mc:Choice>
          <mc:Fallback>
            <w:pict>
              <v:group id="画布 79" o:spid="_x0000_s1026" o:spt="203" style="height:375pt;width:445.5pt;" coordsize="5657850,4762500" editas="canvas" o:gfxdata="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">
                <o:lock v:ext="edit" aspectratio="f"/>
                <v:shape id="画布 79" o:spid="_x0000_s1026" style="position:absolute;left:0;top:0;height:4762500;width:5657850;" filled="f" stroked="f" coordsize="21600,21600" o:gfxdata="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">
                  <v:fill on="f" focussize="0,0"/>
                  <v:stroke on="f"/>
                  <v:imagedata o:title=""/>
                  <o:lock v:ext="edit" aspectratio="f"/>
                </v:shape>
                <v:rect id="矩形 13" o:spid="_x0000_s1026" o:spt="1" style="position:absolute;left:2392680;top:161925;height:288290;width:1223645;v-text-anchor:middle;" filled="f" stroked="t" coordsize="21600,21600" o:gfxdata="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96+6h1QAAAAUBAAAPAAAAAAAAAAEAIAAA&#10;ACIAAABkcnMvZG93bnJldi54bWxQSwECFAAUAAAACACHTuJAAN3IeUgCAABsBAAADgAAAAAAAAAB&#10;ACAAAAAkAQAAZHJzL2Uyb0RvYy54bWxQSwUGAAAAAAYABgBZAQAA3gUAAAAA&#10;">
                  <v:fill on="f" focussize="0,0"/>
                  <v:stroke weight="1.5pt" color="#000000" miterlimit="8" joinstyle="miter"/>
                  <v:imagedata o:title=""/>
                  <o:lock v:ext="edit" aspectratio="f"/>
                  <v:textbox>
                    <w:txbxContent>
                      <w:p>
                        <w:pPr>
                          <w:jc w:val="center"/>
                          <w:rPr>
                            <w:color w:val="000000"/>
                            <w:sz w:val="15"/>
                            <w:szCs w:val="15"/>
                          </w:rPr>
                        </w:pPr>
                        <w:r>
                          <w:rPr>
                            <w:rFonts w:hint="eastAsia"/>
                            <w:color w:val="000000"/>
                            <w:sz w:val="15"/>
                            <w:szCs w:val="15"/>
                          </w:rPr>
                          <w:t>混料</w:t>
                        </w:r>
                      </w:p>
                    </w:txbxContent>
                  </v:textbox>
                </v:rect>
                <v:shape id="直接箭头连接符 81" o:spid="_x0000_s1026" o:spt="32" type="#_x0000_t32" style="position:absolute;left:3004820;top:450215;flip:x;height:215900;width:0;" filled="f" stroked="t" coordsize="21600,21600" o:gfxdata="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n&#10;z8Pn1QAAAAUBAAAPAAAAAAAAAAEAIAAAACIAAABkcnMvZG93bnJldi54bWxQSwECFAAUAAAACACH&#10;TuJA9aE8mycCAAALBAAADgAAAAAAAAABACAAAAAkAQAAZHJzL2Uyb0RvYy54bWxQSwUGAAAAAAYA&#10;BgBZAQAAvQUAAAAA&#10;">
                  <v:fill on="f" focussize="0,0"/>
                  <v:stroke weight="1pt" color="#000000" joinstyle="round" endarrow="open"/>
                  <v:imagedata o:title=""/>
                  <o:lock v:ext="edit" aspectratio="f"/>
                </v:shape>
                <v:rect id="矩形 82" o:spid="_x0000_s1026" o:spt="1" style="position:absolute;left:2393315;top:674370;height:287655;width:1223010;v-text-anchor:middle;" filled="f" stroked="t" coordsize="21600,21600" o:gfxdata="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P3r7qHVAAAABQEAAA8AAAAAAAAAAQAgAAAA&#10;IgAAAGRycy9kb3ducmV2LnhtbFBLAQIUABQAAAAIAIdO4kA2iu6xRwIAAGwEAAAOAAAAAAAAAAEA&#10;IAAAACQBAABkcnMvZTJvRG9jLnhtbFBLBQYAAAAABgAGAFkBAADdBQAAAAA=&#10;">
                  <v:fill on="f" focussize="0,0"/>
                  <v:stroke weight="1.5pt" color="#000000" miterlimit="8" joinstyle="miter"/>
                  <v:imagedata o:title=""/>
                  <o:lock v:ext="edit" aspectratio="f"/>
                  <v:textbox>
                    <w:txbxContent>
                      <w:p>
                        <w:pPr>
                          <w:jc w:val="center"/>
                          <w:rPr>
                            <w:color w:val="000000"/>
                            <w:sz w:val="15"/>
                            <w:szCs w:val="15"/>
                          </w:rPr>
                        </w:pPr>
                        <w:r>
                          <w:rPr>
                            <w:rFonts w:hint="eastAsia"/>
                            <w:color w:val="000000"/>
                            <w:sz w:val="15"/>
                            <w:szCs w:val="15"/>
                          </w:rPr>
                          <w:t>装钵</w:t>
                        </w:r>
                      </w:p>
                    </w:txbxContent>
                  </v:textbox>
                </v:rect>
                <v:shape id="直接箭头连接符 83" o:spid="_x0000_s1026" o:spt="32" type="#_x0000_t32" style="position:absolute;left:3004820;top:962025;flip:x;height:216535;width:0;" filled="f" stroked="t" coordsize="21600,21600" o:gfxdata="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KfPw+fVAAAABQEAAA8AAAAAAAAAAQAgAAAAIgAAAGRycy9kb3ducmV2LnhtbFBLAQIUABQAAAAI&#10;AIdO4kCeGG32KQIAAAsEAAAOAAAAAAAAAAEAIAAAACQBAABkcnMvZTJvRG9jLnhtbFBLBQYAAAAA&#10;BgAGAFkBAAC/BQAAAAA=&#10;">
                  <v:fill on="f" focussize="0,0"/>
                  <v:stroke weight="1pt" color="#000000" joinstyle="round" endarrow="open"/>
                  <v:imagedata o:title=""/>
                  <o:lock v:ext="edit" aspectratio="f"/>
                </v:shape>
                <v:rect id="矩形 84" o:spid="_x0000_s1026" o:spt="1" style="position:absolute;left:2393315;top:1193800;height:287655;width:1223010;v-text-anchor:middle;" filled="f" stroked="t" coordsize="21600,21600" o:gfxdata="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evuodUAAAAFAQAADwAAAAAAAAABACAA&#10;AAAiAAAAZHJzL2Rvd25yZXYueG1sUEsBAhQAFAAAAAgAh07iQKvAs/9JAgAAbQQAAA4AAAAAAAAA&#10;AQAgAAAAJAEAAGRycy9lMm9Eb2MueG1sUEsFBgAAAAAGAAYAWQEAAN8FAAAAAA==&#10;">
                  <v:fill on="f" focussize="0,0"/>
                  <v:stroke weight="1.5pt" color="#000000" miterlimit="8" joinstyle="miter"/>
                  <v:imagedata o:title=""/>
                  <o:lock v:ext="edit" aspectratio="f"/>
                  <v:textbox>
                    <w:txbxContent>
                      <w:p>
                        <w:pPr>
                          <w:jc w:val="center"/>
                          <w:rPr>
                            <w:color w:val="000000"/>
                            <w:sz w:val="15"/>
                            <w:szCs w:val="15"/>
                          </w:rPr>
                        </w:pPr>
                        <w:r>
                          <w:rPr>
                            <w:rFonts w:hint="eastAsia"/>
                            <w:color w:val="000000"/>
                            <w:sz w:val="15"/>
                            <w:szCs w:val="15"/>
                          </w:rPr>
                          <w:t>一次烧结</w:t>
                        </w:r>
                      </w:p>
                    </w:txbxContent>
                  </v:textbox>
                </v:rect>
                <v:shape id="直接箭头连接符 88" o:spid="_x0000_s1026" o:spt="32" type="#_x0000_t32" style="position:absolute;left:3004820;top:1490980;flip:x;height:215900;width:0;" filled="f" stroked="t" coordsize="21600,21600" o:gfxdata="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n&#10;z8Pn1QAAAAUBAAAPAAAAAAAAAAEAIAAAACIAAABkcnMvZG93bnJldi54bWxQSwECFAAUAAAACACH&#10;TuJABXC6wCcCAAAMBAAADgAAAAAAAAABACAAAAAkAQAAZHJzL2Uyb0RvYy54bWxQSwUGAAAAAAYA&#10;BgBZAQAAvQUAAAAA&#10;">
                  <v:fill on="f" focussize="0,0"/>
                  <v:stroke weight="1pt" color="#000000" joinstyle="round" endarrow="open"/>
                  <v:imagedata o:title=""/>
                  <o:lock v:ext="edit" aspectratio="f"/>
                </v:shape>
                <v:rect id="矩形 89" o:spid="_x0000_s1026" o:spt="1" style="position:absolute;left:2393315;top:1722755;height:287655;width:1223010;v-text-anchor:middle;" filled="f" stroked="t" coordsize="21600,21600" o:gfxdata="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96+6h1QAAAAUBAAAPAAAAAAAAAAEAIAAA&#10;ACIAAABkcnMvZG93bnJldi54bWxQSwECFAAUAAAACACHTuJAS0ouwUgCAABtBAAADgAAAAAAAAAB&#10;ACAAAAAkAQAAZHJzL2Uyb0RvYy54bWxQSwUGAAAAAAYABgBZAQAA3gUAAAAA&#10;">
                  <v:fill on="f" focussize="0,0"/>
                  <v:stroke weight="1.5pt" color="#000000" miterlimit="8" joinstyle="miter"/>
                  <v:imagedata o:title=""/>
                  <o:lock v:ext="edit" aspectratio="f"/>
                  <v:textbox>
                    <w:txbxContent>
                      <w:p>
                        <w:pPr>
                          <w:jc w:val="center"/>
                          <w:rPr>
                            <w:color w:val="000000"/>
                            <w:sz w:val="15"/>
                            <w:szCs w:val="15"/>
                          </w:rPr>
                        </w:pPr>
                        <w:r>
                          <w:rPr>
                            <w:rFonts w:hint="eastAsia"/>
                            <w:color w:val="000000"/>
                            <w:sz w:val="15"/>
                            <w:szCs w:val="15"/>
                          </w:rPr>
                          <w:t>破碎</w:t>
                        </w:r>
                      </w:p>
                    </w:txbxContent>
                  </v:textbox>
                </v:rect>
                <v:shape id="直接箭头连接符 90" o:spid="_x0000_s1026" o:spt="32" type="#_x0000_t32" style="position:absolute;left:3004820;top:2014855;flip:x;height:215900;width:0;" filled="f" stroked="t" coordsize="21600,21600" o:gfxdata="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KfPw+fVAAAABQEAAA8AAAAAAAAAAQAgAAAAIgAAAGRycy9kb3ducmV2LnhtbFBLAQIUABQAAAAI&#10;AIdO4kCWvbLOKQIAAAwEAAAOAAAAAAAAAAEAIAAAACQBAABkcnMvZTJvRG9jLnhtbFBLBQYAAAAA&#10;BgAGAFkBAAC/BQAAAAA=&#10;">
                  <v:fill on="f" focussize="0,0"/>
                  <v:stroke weight="1pt" color="#000000" joinstyle="round" endarrow="open"/>
                  <v:imagedata o:title=""/>
                  <o:lock v:ext="edit" aspectratio="f"/>
                </v:shape>
                <v:rect id="矩形 91" o:spid="_x0000_s1026" o:spt="1" style="position:absolute;left:2393315;top:2246630;height:287655;width:1223010;v-text-anchor:middle;" filled="f" stroked="t" coordsize="21600,21600" o:gfxdata="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96+6h1QAAAAUBAAAPAAAAAAAAAAEAIAAAACIA&#10;AABkcnMvZG93bnJldi54bWxQSwECFAAUAAAACACHTuJAzxhdBUUCAABtBAAADgAAAAAAAAABACAA&#10;AAAkAQAAZHJzL2Uyb0RvYy54bWxQSwUGAAAAAAYABgBZAQAA2wUAAAAA&#10;">
                  <v:fill on="f" focussize="0,0"/>
                  <v:stroke weight="1.5pt" color="#000000" miterlimit="8" joinstyle="miter"/>
                  <v:imagedata o:title=""/>
                  <o:lock v:ext="edit" aspectratio="f"/>
                  <v:textbox>
                    <w:txbxContent>
                      <w:p>
                        <w:pPr>
                          <w:jc w:val="center"/>
                          <w:rPr>
                            <w:color w:val="000000"/>
                            <w:sz w:val="15"/>
                            <w:szCs w:val="15"/>
                          </w:rPr>
                        </w:pPr>
                        <w:r>
                          <w:rPr>
                            <w:rFonts w:hint="eastAsia"/>
                            <w:color w:val="000000"/>
                            <w:sz w:val="15"/>
                            <w:szCs w:val="15"/>
                          </w:rPr>
                          <w:t>二次混合</w:t>
                        </w:r>
                      </w:p>
                    </w:txbxContent>
                  </v:textbox>
                </v:rect>
                <v:shape id="直接箭头连接符 92" o:spid="_x0000_s1026" o:spt="32" type="#_x0000_t32" style="position:absolute;left:3004820;top:2519680;flip:x;height:215900;width:0;" filled="f" stroked="t" coordsize="21600,21600" o:gfxdata="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p8/D59UAAAAFAQAADwAAAAAAAAABACAAAAAiAAAAZHJzL2Rvd25yZXYueG1sUEsBAhQAFAAAAAgA&#10;h07iQH7iMWAoAgAADAQAAA4AAAAAAAAAAQAgAAAAJAEAAGRycy9lMm9Eb2MueG1sUEsFBgAAAAAG&#10;AAYAWQEAAL4FAAAAAA==&#10;">
                  <v:fill on="f" focussize="0,0"/>
                  <v:stroke weight="1pt" color="#000000" joinstyle="round" endarrow="open"/>
                  <v:imagedata o:title=""/>
                  <o:lock v:ext="edit" aspectratio="f"/>
                </v:shape>
                <v:rect id="矩形 93" o:spid="_x0000_s1026" o:spt="1" style="position:absolute;left:2393315;top:2751455;height:287655;width:1223010;v-text-anchor:middle;" filled="f" stroked="t" coordsize="21600,21600" o:gfxdata="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96+6h1QAAAAUBAAAPAAAAAAAAAAEAIAAA&#10;ACIAAABkcnMvZG93bnJldi54bWxQSwECFAAUAAAACACHTuJAx5fF9UgCAABtBAAADgAAAAAAAAAB&#10;ACAAAAAkAQAAZHJzL2Uyb0RvYy54bWxQSwUGAAAAAAYABgBZAQAA3gUAAAAA&#10;">
                  <v:fill on="f" focussize="0,0"/>
                  <v:stroke weight="1.5pt" color="#000000" miterlimit="8" joinstyle="miter"/>
                  <v:imagedata o:title=""/>
                  <o:lock v:ext="edit" aspectratio="f"/>
                  <v:textbox>
                    <w:txbxContent>
                      <w:p>
                        <w:pPr>
                          <w:jc w:val="center"/>
                          <w:rPr>
                            <w:color w:val="000000"/>
                            <w:sz w:val="15"/>
                            <w:szCs w:val="15"/>
                          </w:rPr>
                        </w:pPr>
                        <w:r>
                          <w:rPr>
                            <w:rFonts w:hint="eastAsia"/>
                            <w:color w:val="000000"/>
                            <w:sz w:val="15"/>
                            <w:szCs w:val="15"/>
                          </w:rPr>
                          <w:t>二次烧结</w:t>
                        </w:r>
                      </w:p>
                    </w:txbxContent>
                  </v:textbox>
                </v:rect>
                <v:shape id="直接箭头连接符 94" o:spid="_x0000_s1026" o:spt="32" type="#_x0000_t32" style="position:absolute;left:3004820;top:3043555;flip:x;height:215900;width:635;" filled="f" stroked="t" coordsize="21600,21600" o:gfxdata="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KfPw+fVAAAABQEAAA8AAAAAAAAAAQAgAAAAIgAAAGRycy9kb3ducmV2LnhtbFBLAQIUABQA&#10;AAAIAIdO4kCnIX+VLAIAAA4EAAAOAAAAAAAAAAEAIAAAACQBAABkcnMvZTJvRG9jLnhtbFBLBQYA&#10;AAAABgAGAFkBAADCBQAAAAA=&#10;">
                  <v:fill on="f" focussize="0,0"/>
                  <v:stroke weight="1pt" color="#000000" joinstyle="round" endarrow="open"/>
                  <v:imagedata o:title=""/>
                  <o:lock v:ext="edit" aspectratio="f"/>
                </v:shape>
                <v:rect id="矩形 95" o:spid="_x0000_s1026" o:spt="1" style="position:absolute;left:2393315;top:3275330;height:287655;width:1223010;v-text-anchor:middle;" filled="f" stroked="t" coordsize="21600,21600" o:gfxdata="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evuodUAAAAFAQAADwAAAAAAAAABACAA&#10;AAAiAAAAZHJzL2Rvd25yZXYueG1sUEsBAhQAFAAAAAgAh07iQPo49nFJAgAAbQQAAA4AAAAAAAAA&#10;AQAgAAAAJAEAAGRycy9lMm9Eb2MueG1sUEsFBgAAAAAGAAYAWQEAAN8FAAAAAA==&#10;">
                  <v:fill on="f" focussize="0,0"/>
                  <v:stroke weight="1.5pt" color="#000000" miterlimit="8" joinstyle="miter"/>
                  <v:imagedata o:title=""/>
                  <o:lock v:ext="edit" aspectratio="f"/>
                  <v:textbox>
                    <w:txbxContent>
                      <w:p>
                        <w:pPr>
                          <w:jc w:val="center"/>
                          <w:rPr>
                            <w:color w:val="000000"/>
                            <w:sz w:val="15"/>
                            <w:szCs w:val="15"/>
                          </w:rPr>
                        </w:pPr>
                        <w:r>
                          <w:rPr>
                            <w:rFonts w:hint="eastAsia"/>
                            <w:color w:val="000000"/>
                            <w:sz w:val="15"/>
                            <w:szCs w:val="15"/>
                          </w:rPr>
                          <w:t>混批</w:t>
                        </w:r>
                      </w:p>
                    </w:txbxContent>
                  </v:textbox>
                </v:rect>
                <v:shape id="直接箭头连接符 96" o:spid="_x0000_s1026" o:spt="32" type="#_x0000_t32" style="position:absolute;left:3004820;top:3557905;flip:x;height:215900;width:635;" filled="f" stroked="t" coordsize="21600,21600" o:gfxdata="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KfPw+fVAAAABQEAAA8AAAAAAAAAAQAgAAAAIgAAAGRycy9kb3ducmV2LnhtbFBLAQIUABQA&#10;AAAIAIdO4kA8RrUuLAIAAA4EAAAOAAAAAAAAAAEAIAAAACQBAABkcnMvZTJvRG9jLnhtbFBLBQYA&#10;AAAABgAGAFkBAADCBQAAAAA=&#10;">
                  <v:fill on="f" focussize="0,0"/>
                  <v:stroke weight="1pt" color="#000000" joinstyle="round" endarrow="open"/>
                  <v:imagedata o:title=""/>
                  <o:lock v:ext="edit" aspectratio="f"/>
                </v:shape>
                <v:rect id="矩形 97" o:spid="_x0000_s1026" o:spt="1" style="position:absolute;left:2393315;top:3789680;height:287655;width:1223010;v-text-anchor:middle;" filled="f" stroked="t" coordsize="21600,21600" o:gfxdata="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96+6h1QAAAAUBAAAPAAAAAAAAAAEAIAAA&#10;ACIAAABkcnMvZG93bnJldi54bWxQSwECFAAUAAAACACHTuJALdo+DUgCAABuBAAADgAAAAAAAAAB&#10;ACAAAAAkAQAAZHJzL2Uyb0RvYy54bWxQSwUGAAAAAAYABgBZAQAA3gUAAAAA&#10;">
                  <v:fill on="f" focussize="0,0"/>
                  <v:stroke weight="1.5pt" color="#000000" miterlimit="8" joinstyle="miter"/>
                  <v:imagedata o:title=""/>
                  <o:lock v:ext="edit" aspectratio="f"/>
                  <v:textbox>
                    <w:txbxContent>
                      <w:p>
                        <w:pPr>
                          <w:jc w:val="center"/>
                          <w:rPr>
                            <w:color w:val="000000"/>
                            <w:sz w:val="15"/>
                            <w:szCs w:val="15"/>
                          </w:rPr>
                        </w:pPr>
                        <w:r>
                          <w:rPr>
                            <w:rFonts w:hint="eastAsia"/>
                            <w:color w:val="000000"/>
                            <w:sz w:val="15"/>
                            <w:szCs w:val="15"/>
                            <w:lang w:eastAsia="zh-CN"/>
                          </w:rPr>
                          <w:t>过筛</w:t>
                        </w:r>
                        <w:r>
                          <w:rPr>
                            <w:rFonts w:hint="eastAsia"/>
                            <w:color w:val="000000"/>
                            <w:sz w:val="15"/>
                            <w:szCs w:val="15"/>
                          </w:rPr>
                          <w:t>除磁</w:t>
                        </w:r>
                      </w:p>
                    </w:txbxContent>
                  </v:textbox>
                </v:rect>
                <v:shape id="直接箭头连接符 98" o:spid="_x0000_s1026" o:spt="32" type="#_x0000_t32" style="position:absolute;left:3004820;top:4072255;flip:x;height:215900;width:635;" filled="f" stroked="t" coordsize="21600,21600" o:gfxdata="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p8/D59UAAAAFAQAADwAAAAAAAAABACAAAAAiAAAAZHJzL2Rvd25yZXYueG1sUEsBAhQA&#10;FAAAAAgAh07iQMnfTFEuAgAADwQAAA4AAAAAAAAAAQAgAAAAJAEAAGRycy9lMm9Eb2MueG1sUEsF&#10;BgAAAAAGAAYAWQEAAMQFAAAAAA==&#10;">
                  <v:fill on="f" focussize="0,0"/>
                  <v:stroke weight="1pt" color="#000000" joinstyle="round" endarrow="open"/>
                  <v:imagedata o:title=""/>
                  <o:lock v:ext="edit" aspectratio="f"/>
                </v:shape>
                <v:shape id="左大括号 101" o:spid="_x0000_s1026" o:spt="87" type="#_x0000_t87" style="position:absolute;left:1774190;top:266700;height:4295775;width:593725;v-text-anchor:middle;" filled="f" stroked="t" coordsize="21600,21600" o:gfxdata="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VpLbL1gAAAAUBAAAP&#10;AAAAAAAAAAEAIAAAACIAAABkcnMvZG93bnJldi54bWxQSwECFAAUAAAACACHTuJA5/F7YVMCAACB&#10;BAAADgAAAAAAAAABACAAAAAlAQAAZHJzL2Uyb0RvYy54bWxQSwUGAAAAAAYABgBZAQAA6gUAAAAA&#10;" adj="310,10800">
                  <v:fill on="f" focussize="0,0"/>
                  <v:stroke color="#000000" joinstyle="round"/>
                  <v:imagedata o:title=""/>
                  <o:lock v:ext="edit" aspectratio="f"/>
                </v:shape>
                <v:rect id="矩形 102" o:spid="_x0000_s1026" o:spt="1" style="position:absolute;left:697865;top:1066800;height:287655;width:720090;v-text-anchor:middle;" filled="f" stroked="t" coordsize="21600,21600" o:gfxdata="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96+6h1QAAAAUBAAAPAAAAAAAAAAEAIAAA&#10;ACIAAABkcnMvZG93bnJldi54bWxQSwECFAAUAAAACACHTuJAGTQbREgCAABtBAAADgAAAAAAAAAB&#10;ACAAAAAkAQAAZHJzL2Uyb0RvYy54bWxQSwUGAAAAAAYABgBZAQAA3gUAAAAA&#10;">
                  <v:fill on="f" focussize="0,0"/>
                  <v:stroke weight="1.5pt" color="#000000" miterlimit="8" joinstyle="miter"/>
                  <v:imagedata o:title=""/>
                  <o:lock v:ext="edit" aspectratio="f"/>
                  <v:textbox>
                    <w:txbxContent>
                      <w:p>
                        <w:pPr>
                          <w:jc w:val="center"/>
                          <w:rPr>
                            <w:color w:val="000000"/>
                            <w:sz w:val="15"/>
                            <w:szCs w:val="15"/>
                          </w:rPr>
                        </w:pPr>
                        <w:r>
                          <w:rPr>
                            <w:rFonts w:hint="eastAsia"/>
                            <w:color w:val="000000"/>
                            <w:sz w:val="15"/>
                            <w:szCs w:val="15"/>
                          </w:rPr>
                          <w:t>原辅料</w:t>
                        </w:r>
                      </w:p>
                    </w:txbxContent>
                  </v:textbox>
                </v:rect>
                <v:rect id="矩形 103" o:spid="_x0000_s1026" o:spt="1" style="position:absolute;left:697865;top:2276475;height:287655;width:720090;v-text-anchor:middle;" filled="f" stroked="t" coordsize="21600,21600" o:gfxdata="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96+6h1QAAAAUBAAAPAAAAAAAAAAEAIAAA&#10;ACIAAABkcnMvZG93bnJldi54bWxQSwECFAAUAAAACACHTuJAKC9ackgCAABtBAAADgAAAAAAAAAB&#10;ACAAAAAkAQAAZHJzL2Uyb0RvYy54bWxQSwUGAAAAAAYABgBZAQAA3gUAAAAA&#10;">
                  <v:fill on="f" focussize="0,0"/>
                  <v:stroke weight="1.5pt" color="#000000" miterlimit="8" joinstyle="miter"/>
                  <v:imagedata o:title=""/>
                  <o:lock v:ext="edit" aspectratio="f"/>
                  <v:textbox>
                    <w:txbxContent>
                      <w:p>
                        <w:pPr>
                          <w:jc w:val="center"/>
                          <w:rPr>
                            <w:color w:val="000000"/>
                            <w:sz w:val="15"/>
                            <w:szCs w:val="15"/>
                          </w:rPr>
                        </w:pPr>
                        <w:r>
                          <w:rPr>
                            <w:rFonts w:hint="eastAsia"/>
                            <w:color w:val="000000"/>
                            <w:sz w:val="15"/>
                            <w:szCs w:val="15"/>
                          </w:rPr>
                          <w:t>能源</w:t>
                        </w:r>
                      </w:p>
                    </w:txbxContent>
                  </v:textbox>
                </v:rect>
                <v:rect id="矩形 104" o:spid="_x0000_s1026" o:spt="1" style="position:absolute;left:697865;top:3410585;height:288290;width:720090;v-text-anchor:middle;" filled="f" stroked="t" coordsize="21600,21600" o:gfxdata="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evuodUAAAAFAQAADwAAAAAAAAABACAAAAAi&#10;AAAAZHJzL2Rvd25yZXYueG1sUEsBAhQAFAAAAAgAh07iQCRCslxGAgAAbQQAAA4AAAAAAAAAAQAg&#10;AAAAJAEAAGRycy9lMm9Eb2MueG1sUEsFBgAAAAAGAAYAWQEAANwFAAAAAA==&#10;">
                  <v:fill on="f" focussize="0,0"/>
                  <v:stroke weight="1.5pt" color="#000000" miterlimit="8" joinstyle="miter"/>
                  <v:imagedata o:title=""/>
                  <o:lock v:ext="edit" aspectratio="f"/>
                  <v:textbox>
                    <w:txbxContent>
                      <w:p>
                        <w:pPr>
                          <w:jc w:val="center"/>
                          <w:rPr>
                            <w:color w:val="000000"/>
                            <w:sz w:val="15"/>
                            <w:szCs w:val="15"/>
                          </w:rPr>
                        </w:pPr>
                        <w:r>
                          <w:rPr>
                            <w:rFonts w:hint="eastAsia"/>
                            <w:color w:val="000000"/>
                            <w:sz w:val="15"/>
                            <w:szCs w:val="15"/>
                          </w:rPr>
                          <w:t>水</w:t>
                        </w:r>
                      </w:p>
                    </w:txbxContent>
                  </v:textbox>
                </v:rect>
                <v:shape id="直接箭头连接符 105" o:spid="_x0000_s1026" o:spt="32" type="#_x0000_t32" style="position:absolute;left:1427480;top:1209675;flip:y;height:1270;width:651510;" filled="f" stroked="t" coordsize="21600,21600" o:gfxdata="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fqm9h1AAAAAUBAAAPAAAAAAAAAAEAIAAAACIAAABkcnMvZG93bnJldi54bWxQSwECFAAUAAAA&#10;CACHTuJAyQbXxisCAAAQBAAADgAAAAAAAAABACAAAAAjAQAAZHJzL2Uyb0RvYy54bWxQSwUGAAAA&#10;AAYABgBZAQAAwAUAAAAA&#10;">
                  <v:fill on="f" focussize="0,0"/>
                  <v:stroke color="#000000" joinstyle="round" endarrow="open"/>
                  <v:imagedata o:title=""/>
                  <o:lock v:ext="edit" aspectratio="f"/>
                </v:shape>
                <v:shape id="直接箭头连接符 106" o:spid="_x0000_s1026" o:spt="32" type="#_x0000_t32" style="position:absolute;left:1427480;top:3548380;flip:y;height:6350;width:659130;" filled="f" stroked="t" coordsize="21600,21600" o:gfxdata="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n6pvYdQAAAAFAQAADwAAAAAAAAABACAAAAAiAAAAZHJzL2Rvd25yZXYueG1sUEsBAhQAFAAA&#10;AAgAh07iQFAh3nAsAgAAEAQAAA4AAAAAAAAAAQAgAAAAIwEAAGRycy9lMm9Eb2MueG1sUEsFBgAA&#10;AAAGAAYAWQEAAMEFAAAAAA==&#10;">
                  <v:fill on="f" focussize="0,0"/>
                  <v:stroke color="#000000" joinstyle="round" endarrow="open"/>
                  <v:imagedata o:title=""/>
                  <o:lock v:ext="edit" aspectratio="f"/>
                </v:shape>
                <v:shape id="直接箭头连接符 107" o:spid="_x0000_s1026" o:spt="32" type="#_x0000_t32" style="position:absolute;left:1416050;top:2414905;height:635;width:358140;" filled="f" stroked="t" coordsize="21600,21600" o:gfxdata="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Mv3&#10;JKrUAAAABQEAAA8AAAAAAAAAAQAgAAAAIgAAAGRycy9kb3ducmV2LnhtbFBLAQIUABQAAAAIAIdO&#10;4kAV1xpbJwIAAAUEAAAOAAAAAAAAAAEAIAAAACMBAABkcnMvZTJvRG9jLnhtbFBLBQYAAAAABgAG&#10;AFkBAAC8BQAAAAA=&#10;">
                  <v:fill on="f" focussize="0,0"/>
                  <v:stroke color="#000000" joinstyle="round" endarrow="open"/>
                  <v:imagedata o:title=""/>
                  <o:lock v:ext="edit" aspectratio="f"/>
                </v:shape>
                <v:shape id="右大括号 108" o:spid="_x0000_s1026" o:spt="88" type="#_x0000_t88" style="position:absolute;left:3625850;top:266700;height:4276725;width:594360;v-text-anchor:middle;" filled="f" stroked="t" coordsize="21600,21600" o:gfxdata="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ChH2x1QAAAAUBAAAP&#10;AAAAAAAAAAEAIAAAACIAAABkcnMvZG93bnJldi54bWxQSwECFAAUAAAACACHTuJARLxP+VQCAACC&#10;BAAADgAAAAAAAAABACAAAAAkAQAAZHJzL2Uyb0RvYy54bWxQSwUGAAAAAAYABgBZAQAA6gUAAAAA&#10;" adj="314,10800">
                  <v:fill on="f" focussize="0,0"/>
                  <v:stroke color="#000000" joinstyle="round"/>
                  <v:imagedata o:title=""/>
                  <o:lock v:ext="edit" aspectratio="f"/>
                </v:shape>
                <v:rect id="矩形 109" o:spid="_x0000_s1026" o:spt="1" style="position:absolute;left:4239895;top:2275205;height:288290;width:720090;v-text-anchor:middle;" filled="f" stroked="t" coordsize="21600,21600" o:gfxdata="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P3r7qHVAAAABQEAAA8AAAAAAAAAAQAgAAAA&#10;IgAAAGRycy9kb3ducmV2LnhtbFBLAQIUABQAAAAIAIdO4kCT1o37RwIAAG4EAAAOAAAAAAAAAAEA&#10;IAAAACQBAABkcnMvZTJvRG9jLnhtbFBLBQYAAAAABgAGAFkBAADdBQAAAAA=&#10;">
                  <v:fill on="f" focussize="0,0"/>
                  <v:stroke weight="1.5pt" color="#000000" miterlimit="8" joinstyle="miter"/>
                  <v:imagedata o:title=""/>
                  <o:lock v:ext="edit" aspectratio="f"/>
                  <v:textbox>
                    <w:txbxContent>
                      <w:p>
                        <w:pPr>
                          <w:jc w:val="center"/>
                          <w:rPr>
                            <w:color w:val="000000"/>
                            <w:sz w:val="15"/>
                            <w:szCs w:val="15"/>
                          </w:rPr>
                        </w:pPr>
                        <w:r>
                          <w:rPr>
                            <w:rFonts w:hint="eastAsia"/>
                            <w:color w:val="000000"/>
                            <w:sz w:val="15"/>
                            <w:szCs w:val="15"/>
                          </w:rPr>
                          <w:t>废物排放</w:t>
                        </w:r>
                      </w:p>
                    </w:txbxContent>
                  </v:textbox>
                </v:rect>
                <v:line id="直接连接符 115" o:spid="_x0000_s1026" o:spt="20" style="position:absolute;left:2557780;top:4505325;height:635;width:894715;" filled="f" stroked="t" coordsize="21600,21600" o:gfxdata="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4wU5ntQAAAAFAQAADwAAAAAAAAABACAAAAAiAAAAZHJzL2Rvd25yZXYu&#10;eG1sUEsBAhQAFAAAAAgAh07iQNC3VKv/AQAAxgMAAA4AAAAAAAAAAQAgAAAAIwEAAGRycy9lMm9E&#10;b2MueG1sUEsFBgAAAAAGAAYAWQEAAJQFAAAAAA==&#10;">
                  <v:fill on="f" focussize="0,0"/>
                  <v:stroke color="#000000" joinstyle="round"/>
                  <v:imagedata o:title=""/>
                  <o:lock v:ext="edit" aspectratio="f"/>
                </v:line>
                <v:line id="直接连接符 116" o:spid="_x0000_s1026" o:spt="20" style="position:absolute;left:2557780;top:4543425;height:635;width:894715;" filled="f" stroked="t" coordsize="21600,21600" o:gfxdata="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MFOZ7UAAAABQEAAA8AAAAAAAAAAQAgAAAAIgAAAGRycy9kb3ducmV2&#10;LnhtbFBLAQIUABQAAAAIAIdO4kCZePgcAAIAAMYDAAAOAAAAAAAAAAEAIAAAACMBAABkcnMvZTJv&#10;RG9jLnhtbFBLBQYAAAAABgAGAFkBAACVBQAAAAA=&#10;">
                  <v:fill on="f" focussize="0,0"/>
                  <v:stroke color="#000000" joinstyle="round"/>
                  <v:imagedata o:title=""/>
                  <o:lock v:ext="edit" aspectratio="f"/>
                </v:line>
                <v:shape id="文本框 112" o:spid="_x0000_s1026" o:spt="202" type="#_x0000_t202" style="position:absolute;left:2474626;top:4246974;height:295275;width:1075690;" filled="f" stroked="f" coordsize="21600,21600" o:gfxdata="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x3n4j&#10;0wAAAAUBAAAPAAAAAAAAAAEAIAAAACIAAABkcnMvZG93bnJldi54bWxQSwECFAAUAAAACACHTuJA&#10;kLBI9yYCAAAlBAAADgAAAAAAAAABACAAAAAiAQAAZHJzL2Uyb0RvYy54bWxQSwUGAAAAAAYABgBZ&#10;AQAAugUAAAAA&#10;">
                  <v:fill on="f" focussize="0,0"/>
                  <v:stroke on="f"/>
                  <v:imagedata o:title=""/>
                  <o:lock v:ext="edit" aspectratio="f"/>
                  <v:textbox>
                    <w:txbxContent>
                      <w:p>
                        <w:pPr>
                          <w:pStyle w:val="19"/>
                          <w:jc w:val="center"/>
                        </w:pPr>
                        <w:r>
                          <w:rPr>
                            <w:rFonts w:hint="eastAsia" w:ascii="Calibri" w:hAnsi="Calibri"/>
                            <w:color w:val="000000"/>
                            <w:sz w:val="15"/>
                            <w:szCs w:val="15"/>
                          </w:rPr>
                          <w:t>钴酸锂包</w:t>
                        </w:r>
                        <w:r>
                          <w:rPr>
                            <w:rFonts w:hint="eastAsia"/>
                            <w:color w:val="000000"/>
                            <w:sz w:val="15"/>
                            <w:szCs w:val="15"/>
                          </w:rPr>
                          <w:t>装</w:t>
                        </w:r>
                      </w:p>
                    </w:txbxContent>
                  </v:textbox>
                </v:shape>
                <w10:wrap type="none"/>
                <w10:anchorlock/>
              </v:group>
            </w:pict>
          </mc:Fallback>
        </mc:AlternateContent>
      </w:r>
    </w:p>
    <w:p>
      <w:pPr>
        <w:autoSpaceDE w:val="0"/>
        <w:autoSpaceDN w:val="0"/>
        <w:ind w:left="737" w:hanging="374"/>
        <w:rPr>
          <w:rFonts w:ascii="宋体" w:hAnsi="Times New Roman" w:eastAsia="宋体" w:cs="Times New Roman"/>
          <w:kern w:val="0"/>
          <w:sz w:val="18"/>
          <w:szCs w:val="18"/>
        </w:rPr>
      </w:pPr>
      <w:r>
        <w:rPr>
          <w:rFonts w:hint="eastAsia" w:ascii="宋体" w:hAnsi="Times New Roman" w:eastAsia="宋体" w:cs="Times New Roman"/>
          <w:kern w:val="0"/>
          <w:sz w:val="18"/>
          <w:szCs w:val="18"/>
        </w:rPr>
        <w:t>注：其中混料和筛分除磁的先后顺序不固定</w:t>
      </w:r>
    </w:p>
    <w:p>
      <w:pPr>
        <w:widowControl/>
        <w:numPr>
          <w:ilvl w:val="1"/>
          <w:numId w:val="0"/>
        </w:numPr>
        <w:adjustRightInd w:val="0"/>
        <w:snapToGrid w:val="0"/>
        <w:spacing w:before="156" w:beforeLines="50" w:after="156" w:afterLines="50"/>
        <w:jc w:val="center"/>
        <w:rPr>
          <w:rFonts w:ascii="黑体" w:hAnsi="黑体" w:eastAsia="黑体" w:cs="Times New Roman"/>
          <w:kern w:val="0"/>
          <w:szCs w:val="20"/>
        </w:rPr>
      </w:pPr>
      <w:r>
        <w:rPr>
          <w:rFonts w:hint="eastAsia" w:ascii="黑体" w:hAnsi="黑体" w:eastAsia="黑体" w:cs="Times New Roman"/>
          <w:kern w:val="0"/>
          <w:szCs w:val="20"/>
        </w:rPr>
        <w:t>图1</w:t>
      </w:r>
      <w:r>
        <w:rPr>
          <w:rFonts w:ascii="黑体" w:hAnsi="黑体" w:eastAsia="黑体" w:cs="Times New Roman"/>
          <w:kern w:val="0"/>
          <w:szCs w:val="20"/>
        </w:rPr>
        <w:t xml:space="preserve"> </w:t>
      </w:r>
      <w:r>
        <w:rPr>
          <w:rFonts w:hint="eastAsia" w:ascii="黑体" w:hAnsi="黑体" w:eastAsia="黑体" w:cs="Times New Roman"/>
          <w:kern w:val="0"/>
          <w:szCs w:val="20"/>
        </w:rPr>
        <w:t>钴酸锂产品生产工艺流程图</w:t>
      </w:r>
    </w:p>
    <w:p>
      <w:pPr>
        <w:pStyle w:val="2"/>
        <w:jc w:val="center"/>
        <w:rPr>
          <w:lang w:bidi="ar"/>
        </w:rPr>
      </w:pPr>
    </w:p>
    <w:p>
      <w:pPr>
        <w:pStyle w:val="4"/>
        <w:spacing w:before="156" w:after="156"/>
      </w:pPr>
      <w:r>
        <w:t>3.2 确定标准的主要技术内容</w:t>
      </w:r>
    </w:p>
    <w:p>
      <w:pPr>
        <w:pStyle w:val="5"/>
      </w:pPr>
      <w:r>
        <w:t xml:space="preserve">3.2.1 </w:t>
      </w:r>
      <w:r>
        <w:rPr>
          <w:rFonts w:hint="eastAsia"/>
        </w:rPr>
        <w:t>适用范围</w:t>
      </w:r>
    </w:p>
    <w:p>
      <w:pPr>
        <w:spacing w:line="360" w:lineRule="auto"/>
        <w:ind w:firstLine="480" w:firstLineChars="200"/>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本文件规定了钴酸锂绿色设计产品评价的术语和定义、评价原则和方法、评价要求及生命周期评价报告编制方法。</w:t>
      </w:r>
    </w:p>
    <w:p>
      <w:pPr>
        <w:spacing w:line="360" w:lineRule="auto"/>
        <w:ind w:firstLine="480" w:firstLineChars="200"/>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本文件适用于锂离子电池正极材料钴酸锂的绿色产品评价。</w:t>
      </w:r>
    </w:p>
    <w:p>
      <w:pPr>
        <w:pStyle w:val="5"/>
      </w:pPr>
      <w:r>
        <w:rPr>
          <w:rFonts w:hint="eastAsia"/>
        </w:rPr>
        <w:t>3</w:t>
      </w:r>
      <w:r>
        <w:t>.2.2 基本要求</w:t>
      </w:r>
    </w:p>
    <w:p>
      <w:pPr>
        <w:spacing w:line="360" w:lineRule="auto"/>
        <w:ind w:firstLine="480" w:firstLineChars="200"/>
        <w:rPr>
          <w:sz w:val="24"/>
          <w:szCs w:val="24"/>
          <w:lang w:bidi="ar"/>
        </w:rPr>
      </w:pPr>
      <w:r>
        <w:rPr>
          <w:rFonts w:hint="eastAsia"/>
          <w:sz w:val="24"/>
          <w:szCs w:val="24"/>
          <w:lang w:bidi="ar"/>
        </w:rPr>
        <w:t>标准中基本要求的编制遵循GB/T 32161—2015《生态设计产品评价通则》中的5.1评价要求中基本要求的原则，结合国内对于安全、环境等新政策和标准的推出和实施及钴酸锂生产企业和产品要求的具体情况，我们对本章节的内容进行了有针对性的编制。具体内容为：</w:t>
      </w:r>
    </w:p>
    <w:p>
      <w:pPr>
        <w:spacing w:line="360" w:lineRule="auto"/>
        <w:ind w:firstLine="480" w:firstLineChars="200"/>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3.2.2</w:t>
      </w:r>
      <w:r>
        <w:rPr>
          <w:rFonts w:hint="eastAsia" w:ascii="Times New Roman" w:hAnsi="Times New Roman" w:eastAsia="宋体" w:cs="Times New Roman"/>
          <w:kern w:val="0"/>
          <w:sz w:val="24"/>
          <w:szCs w:val="24"/>
          <w:lang w:bidi="ar"/>
        </w:rPr>
        <w:t>.1　企业近三年无重大安全、环境污染和质量事故，应设立安环、质量管理机构，并配置专职管理人员。</w:t>
      </w:r>
    </w:p>
    <w:p>
      <w:pPr>
        <w:spacing w:line="360" w:lineRule="auto"/>
        <w:ind w:firstLine="480" w:firstLineChars="200"/>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3.2.2</w:t>
      </w:r>
      <w:r>
        <w:rPr>
          <w:rFonts w:hint="eastAsia" w:ascii="Times New Roman" w:hAnsi="Times New Roman" w:eastAsia="宋体" w:cs="Times New Roman"/>
          <w:kern w:val="0"/>
          <w:sz w:val="24"/>
          <w:szCs w:val="24"/>
          <w:lang w:bidi="ar"/>
        </w:rPr>
        <w:t>.2　企业污染物的排放应符合国家或地方法律法规及标准要求，污染物排放总量和排放浓度应达到排污许可证的要求。</w:t>
      </w:r>
    </w:p>
    <w:p>
      <w:pPr>
        <w:spacing w:line="360" w:lineRule="auto"/>
        <w:ind w:firstLine="480" w:firstLineChars="200"/>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3.2.2</w:t>
      </w:r>
      <w:r>
        <w:rPr>
          <w:rFonts w:hint="eastAsia" w:ascii="Times New Roman" w:hAnsi="Times New Roman" w:eastAsia="宋体" w:cs="Times New Roman"/>
          <w:kern w:val="0"/>
          <w:sz w:val="24"/>
          <w:szCs w:val="24"/>
          <w:lang w:bidi="ar"/>
        </w:rPr>
        <w:t>.3　清洁生产应达到国内先进水平，宜参照《镍钴行业清洁生产评价指标体系》进行判定。</w:t>
      </w:r>
    </w:p>
    <w:p>
      <w:pPr>
        <w:spacing w:line="360" w:lineRule="auto"/>
        <w:ind w:firstLine="480" w:firstLineChars="200"/>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3.2.2</w:t>
      </w:r>
      <w:r>
        <w:rPr>
          <w:rFonts w:hint="eastAsia" w:ascii="Times New Roman" w:hAnsi="Times New Roman" w:eastAsia="宋体" w:cs="Times New Roman"/>
          <w:kern w:val="0"/>
          <w:sz w:val="24"/>
          <w:szCs w:val="24"/>
          <w:lang w:bidi="ar"/>
        </w:rPr>
        <w:t>.4　企业安全管理应达到GB/T 33000的要求，并按照GB/T 19001、GB/T 23331、GB/T 24001、GB/T 45001分别建立、实施、保持并持续改进质量管理体系、能源管理体系、环境管理体系和职业健康安全管理体系。</w:t>
      </w:r>
    </w:p>
    <w:p>
      <w:pPr>
        <w:spacing w:line="360" w:lineRule="auto"/>
        <w:ind w:firstLine="480" w:firstLineChars="200"/>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3.2.2</w:t>
      </w:r>
      <w:r>
        <w:rPr>
          <w:rFonts w:hint="eastAsia" w:ascii="Times New Roman" w:hAnsi="Times New Roman" w:eastAsia="宋体" w:cs="Times New Roman"/>
          <w:kern w:val="0"/>
          <w:sz w:val="24"/>
          <w:szCs w:val="24"/>
          <w:lang w:bidi="ar"/>
        </w:rPr>
        <w:t>.5　企业应按照GB 17167配备能源计量器具，按照GB 24789配备水计量器具，并根据环保法律法规和标准要求配备污染物检测设备。</w:t>
      </w:r>
    </w:p>
    <w:p>
      <w:pPr>
        <w:spacing w:line="360" w:lineRule="auto"/>
        <w:ind w:firstLine="480" w:firstLineChars="200"/>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3.2.2</w:t>
      </w:r>
      <w:r>
        <w:rPr>
          <w:rFonts w:hint="eastAsia" w:ascii="Times New Roman" w:hAnsi="Times New Roman" w:eastAsia="宋体" w:cs="Times New Roman"/>
          <w:kern w:val="0"/>
          <w:sz w:val="24"/>
          <w:szCs w:val="24"/>
          <w:lang w:bidi="ar"/>
        </w:rPr>
        <w:t>.6　企业生产的钴酸锂产品应符合GB/T 20252的规定。</w:t>
      </w:r>
    </w:p>
    <w:p>
      <w:pPr>
        <w:spacing w:line="360" w:lineRule="auto"/>
        <w:ind w:firstLine="480" w:firstLineChars="200"/>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3.2.2</w:t>
      </w:r>
      <w:r>
        <w:rPr>
          <w:rFonts w:hint="eastAsia" w:ascii="Times New Roman" w:hAnsi="Times New Roman" w:eastAsia="宋体" w:cs="Times New Roman"/>
          <w:kern w:val="0"/>
          <w:sz w:val="24"/>
          <w:szCs w:val="24"/>
          <w:lang w:bidi="ar"/>
        </w:rPr>
        <w:t>.7　钴酸锂生产的固体废物应进行无害化、资源化处理，根据固体废物性质鉴别的结果，一般固体废弃物按照GB 18599的要求进行管控，危险固体废物按照GB 18597的要求进行管控。</w:t>
      </w:r>
    </w:p>
    <w:p>
      <w:pPr>
        <w:spacing w:line="360" w:lineRule="auto"/>
        <w:ind w:firstLine="480" w:firstLineChars="200"/>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3.2.2</w:t>
      </w:r>
      <w:r>
        <w:rPr>
          <w:rFonts w:hint="eastAsia" w:ascii="Times New Roman" w:hAnsi="Times New Roman" w:eastAsia="宋体" w:cs="Times New Roman"/>
          <w:kern w:val="0"/>
          <w:sz w:val="24"/>
          <w:szCs w:val="24"/>
          <w:lang w:bidi="ar"/>
        </w:rPr>
        <w:t>.8　产品说明书中应包含有害物质使用、需特殊处理材料及产品废弃后循环利用的相关说明要求。产品包装材料应采用可再生利用或可降解材料。</w:t>
      </w:r>
    </w:p>
    <w:p>
      <w:pPr>
        <w:spacing w:line="360" w:lineRule="auto"/>
        <w:ind w:firstLine="480" w:firstLineChars="200"/>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3.2.2</w:t>
      </w:r>
      <w:r>
        <w:rPr>
          <w:rFonts w:hint="eastAsia" w:ascii="Times New Roman" w:hAnsi="Times New Roman" w:eastAsia="宋体" w:cs="Times New Roman"/>
          <w:kern w:val="0"/>
          <w:sz w:val="24"/>
          <w:szCs w:val="24"/>
          <w:lang w:bidi="ar"/>
        </w:rPr>
        <w:t>.9　企业宜采用国家鼓励的先进技术和工艺，不应使用国家或相关部门发布的淘汰或禁止的技术、工艺、装备及相关物质。</w:t>
      </w:r>
    </w:p>
    <w:p>
      <w:pPr>
        <w:spacing w:before="156" w:beforeLines="50" w:after="156" w:afterLines="50" w:line="360" w:lineRule="auto"/>
        <w:rPr>
          <w:rFonts w:ascii="Times New Roman" w:hAnsi="Times New Roman" w:eastAsia="宋体" w:cs="Times New Roman"/>
          <w:color w:val="000000"/>
          <w:sz w:val="24"/>
          <w:szCs w:val="24"/>
        </w:rPr>
      </w:pPr>
      <w:r>
        <w:rPr>
          <w:rFonts w:ascii="Times New Roman" w:hAnsi="Times New Roman" w:eastAsia="宋体" w:cs="Times New Roman"/>
          <w:b/>
          <w:bCs/>
          <w:kern w:val="0"/>
          <w:sz w:val="24"/>
          <w:szCs w:val="24"/>
          <w:lang w:bidi="ar"/>
        </w:rPr>
        <w:t>说明：</w:t>
      </w:r>
      <w:r>
        <w:rPr>
          <w:rFonts w:ascii="Times New Roman" w:hAnsi="Times New Roman" w:eastAsia="宋体" w:cs="Times New Roman"/>
          <w:color w:val="000000"/>
          <w:sz w:val="24"/>
          <w:szCs w:val="24"/>
        </w:rPr>
        <w:t>GB/T 32161-2015《生态设计产品评价通则》的</w:t>
      </w:r>
      <w:r>
        <w:rPr>
          <w:rFonts w:hint="eastAsia" w:ascii="Times New Roman" w:hAnsi="Times New Roman" w:eastAsia="宋体" w:cs="Times New Roman"/>
          <w:color w:val="000000"/>
          <w:sz w:val="24"/>
          <w:szCs w:val="24"/>
        </w:rPr>
        <w:t>“</w:t>
      </w:r>
      <w:r>
        <w:rPr>
          <w:rFonts w:ascii="Times New Roman" w:hAnsi="Times New Roman" w:eastAsia="宋体" w:cs="Times New Roman"/>
          <w:color w:val="000000"/>
          <w:sz w:val="24"/>
          <w:szCs w:val="24"/>
        </w:rPr>
        <w:t>5.1基本要求</w:t>
      </w:r>
      <w:r>
        <w:rPr>
          <w:rFonts w:hint="eastAsia" w:ascii="Times New Roman" w:hAnsi="Times New Roman" w:eastAsia="宋体" w:cs="Times New Roman"/>
          <w:color w:val="000000"/>
          <w:sz w:val="24"/>
          <w:szCs w:val="24"/>
        </w:rPr>
        <w:t>”</w:t>
      </w:r>
      <w:r>
        <w:rPr>
          <w:rFonts w:ascii="Times New Roman" w:hAnsi="Times New Roman" w:eastAsia="宋体" w:cs="Times New Roman"/>
          <w:color w:val="000000"/>
          <w:sz w:val="24"/>
          <w:szCs w:val="24"/>
        </w:rPr>
        <w:t>中明确需要至少满足以下7条基本要求：</w:t>
      </w:r>
    </w:p>
    <w:p>
      <w:pPr>
        <w:pStyle w:val="19"/>
        <w:widowControl/>
        <w:numPr>
          <w:ilvl w:val="0"/>
          <w:numId w:val="1"/>
        </w:numPr>
        <w:spacing w:beforeAutospacing="0" w:afterAutospacing="0"/>
        <w:ind w:left="1055" w:hanging="425"/>
        <w:rPr>
          <w:rFonts w:ascii="Times New Roman" w:hAnsi="Times New Roman" w:eastAsia="宋体"/>
          <w:sz w:val="21"/>
          <w:szCs w:val="20"/>
        </w:rPr>
      </w:pPr>
      <w:r>
        <w:rPr>
          <w:rFonts w:ascii="Times New Roman" w:hAnsi="Times New Roman" w:eastAsia="宋体"/>
          <w:sz w:val="21"/>
          <w:szCs w:val="20"/>
        </w:rPr>
        <w:t>产品生产企业的污染物排放状况，应要求其达到国家或地方污染物排放标准的要求，近三年无重大安全和环境污染事故；</w:t>
      </w:r>
    </w:p>
    <w:p>
      <w:pPr>
        <w:pStyle w:val="19"/>
        <w:widowControl/>
        <w:numPr>
          <w:ilvl w:val="0"/>
          <w:numId w:val="1"/>
        </w:numPr>
        <w:spacing w:beforeAutospacing="0" w:afterAutospacing="0"/>
        <w:ind w:left="1055" w:hanging="425"/>
        <w:rPr>
          <w:rFonts w:ascii="Times New Roman" w:hAnsi="Times New Roman" w:eastAsia="宋体"/>
          <w:sz w:val="21"/>
          <w:szCs w:val="20"/>
        </w:rPr>
      </w:pPr>
      <w:r>
        <w:rPr>
          <w:rFonts w:ascii="Times New Roman" w:hAnsi="Times New Roman" w:eastAsia="宋体"/>
          <w:sz w:val="21"/>
          <w:szCs w:val="20"/>
        </w:rPr>
        <w:t>清洁生产水平行业领先；</w:t>
      </w:r>
    </w:p>
    <w:p>
      <w:pPr>
        <w:pStyle w:val="19"/>
        <w:widowControl/>
        <w:numPr>
          <w:ilvl w:val="0"/>
          <w:numId w:val="1"/>
        </w:numPr>
        <w:spacing w:beforeAutospacing="0" w:afterAutospacing="0"/>
        <w:ind w:left="1055" w:hanging="425"/>
        <w:rPr>
          <w:rFonts w:ascii="Times New Roman" w:hAnsi="Times New Roman" w:eastAsia="宋体"/>
          <w:sz w:val="21"/>
          <w:szCs w:val="20"/>
        </w:rPr>
      </w:pPr>
      <w:r>
        <w:rPr>
          <w:rFonts w:ascii="Times New Roman" w:hAnsi="Times New Roman" w:eastAsia="宋体"/>
          <w:sz w:val="21"/>
          <w:szCs w:val="20"/>
        </w:rPr>
        <w:t>产品质量、安全、卫生性能以及节能降耗和综合利用水平，应达到国家标准、行业标准的相关要求；</w:t>
      </w:r>
    </w:p>
    <w:p>
      <w:pPr>
        <w:pStyle w:val="19"/>
        <w:widowControl/>
        <w:numPr>
          <w:ilvl w:val="0"/>
          <w:numId w:val="1"/>
        </w:numPr>
        <w:spacing w:beforeAutospacing="0" w:afterAutospacing="0"/>
        <w:ind w:left="1055" w:hanging="425"/>
        <w:rPr>
          <w:rFonts w:ascii="Times New Roman" w:hAnsi="Times New Roman" w:eastAsia="宋体"/>
          <w:sz w:val="21"/>
          <w:szCs w:val="20"/>
        </w:rPr>
      </w:pPr>
      <w:r>
        <w:rPr>
          <w:rFonts w:ascii="Times New Roman" w:hAnsi="Times New Roman" w:eastAsia="宋体"/>
          <w:sz w:val="21"/>
          <w:szCs w:val="20"/>
        </w:rPr>
        <w:t>宜采用国家鼓励的先进技术工艺，不得使用国家或有关部门发布的淘汰或禁止的技术、工艺、装备及相关物质；</w:t>
      </w:r>
    </w:p>
    <w:p>
      <w:pPr>
        <w:pStyle w:val="19"/>
        <w:widowControl/>
        <w:numPr>
          <w:ilvl w:val="0"/>
          <w:numId w:val="1"/>
        </w:numPr>
        <w:spacing w:beforeAutospacing="0" w:afterAutospacing="0"/>
        <w:ind w:left="1055" w:hanging="425"/>
        <w:rPr>
          <w:rFonts w:ascii="Times New Roman" w:hAnsi="Times New Roman" w:eastAsia="宋体"/>
          <w:sz w:val="21"/>
          <w:szCs w:val="20"/>
        </w:rPr>
      </w:pPr>
      <w:r>
        <w:rPr>
          <w:rFonts w:ascii="Times New Roman" w:hAnsi="Times New Roman" w:eastAsia="宋体"/>
          <w:sz w:val="21"/>
          <w:szCs w:val="20"/>
        </w:rPr>
        <w:t>生产企业的污染物总量控制，应达到国家和地方污染物排放总量控制指标；</w:t>
      </w:r>
    </w:p>
    <w:p>
      <w:pPr>
        <w:pStyle w:val="19"/>
        <w:widowControl/>
        <w:numPr>
          <w:ilvl w:val="0"/>
          <w:numId w:val="1"/>
        </w:numPr>
        <w:spacing w:beforeAutospacing="0" w:afterAutospacing="0"/>
        <w:ind w:left="1055" w:hanging="425"/>
        <w:rPr>
          <w:rFonts w:ascii="Times New Roman" w:hAnsi="Times New Roman" w:eastAsia="宋体"/>
          <w:sz w:val="21"/>
          <w:szCs w:val="20"/>
        </w:rPr>
      </w:pPr>
      <w:r>
        <w:rPr>
          <w:rFonts w:ascii="Times New Roman" w:hAnsi="Times New Roman" w:eastAsia="宋体"/>
          <w:sz w:val="21"/>
          <w:szCs w:val="20"/>
        </w:rPr>
        <w:t>生产企业的环境管理，应按照GB/T 24001、GB/T 23331、GB/T 19001和GB/T 28001分别建立并运行环境管理体系、能源管理体系、质量管理体系和职业健康安全管理体系；</w:t>
      </w:r>
    </w:p>
    <w:p>
      <w:pPr>
        <w:pStyle w:val="19"/>
        <w:widowControl/>
        <w:numPr>
          <w:ilvl w:val="0"/>
          <w:numId w:val="1"/>
        </w:numPr>
        <w:spacing w:beforeAutospacing="0" w:afterAutospacing="0"/>
        <w:ind w:left="1055" w:hanging="425"/>
        <w:rPr>
          <w:rFonts w:ascii="Times New Roman" w:hAnsi="Times New Roman" w:eastAsia="宋体"/>
          <w:sz w:val="21"/>
          <w:szCs w:val="20"/>
        </w:rPr>
      </w:pPr>
      <w:r>
        <w:rPr>
          <w:rFonts w:ascii="Times New Roman" w:hAnsi="Times New Roman" w:eastAsia="宋体"/>
          <w:sz w:val="21"/>
          <w:szCs w:val="20"/>
        </w:rPr>
        <w:t>生产企业应按照GB17167配备能源计量器具，并根据环保法律法规和标准要求配备污染物检测和在线监控设备。</w:t>
      </w:r>
    </w:p>
    <w:p>
      <w:pPr>
        <w:pStyle w:val="5"/>
      </w:pPr>
      <w:r>
        <w:t>3.2.3 评价指标</w:t>
      </w:r>
    </w:p>
    <w:p>
      <w:pPr>
        <w:widowControl/>
        <w:spacing w:line="360" w:lineRule="auto"/>
        <w:ind w:firstLine="480" w:firstLineChars="200"/>
        <w:jc w:val="left"/>
        <w:rPr>
          <w:rFonts w:ascii="Times New Roman" w:hAnsi="Times New Roman" w:eastAsia="宋体" w:cs="Times New Roman"/>
          <w:bCs/>
          <w:sz w:val="24"/>
          <w:szCs w:val="24"/>
        </w:rPr>
      </w:pPr>
      <w:r>
        <w:rPr>
          <w:rFonts w:hint="eastAsia" w:ascii="Times New Roman" w:hAnsi="Times New Roman" w:eastAsia="宋体" w:cs="Times New Roman"/>
          <w:bCs/>
          <w:sz w:val="24"/>
          <w:szCs w:val="24"/>
        </w:rPr>
        <w:t>通过对国内外标准资料的检索，目前没有查阅到钴酸锂绿色设计产品评价相关的国际标准或国外先进标准，本次标准制定主要依据GB/T 32161—2015《生态设计产品评价通则》、GB/T 33761—2017《绿色产品评价通则》等绿色产品评价通则。其中GB/T 32161—2015《生态设计产品评价通则》5.2提出“评价指标宜包括资源属性指标、能源属性指标、环境属性指标和品质属性指标等四类一级指标，在一级指标下设置可量化、可检测、可验证的二级指标。”</w:t>
      </w:r>
    </w:p>
    <w:p>
      <w:pPr>
        <w:widowControl/>
        <w:spacing w:line="360" w:lineRule="auto"/>
        <w:ind w:firstLine="480" w:firstLineChars="200"/>
        <w:jc w:val="left"/>
        <w:rPr>
          <w:rFonts w:ascii="Times New Roman" w:hAnsi="Times New Roman" w:eastAsia="宋体" w:cs="Times New Roman"/>
          <w:bCs/>
          <w:sz w:val="24"/>
          <w:szCs w:val="24"/>
        </w:rPr>
      </w:pPr>
      <w:r>
        <w:rPr>
          <w:rFonts w:hint="eastAsia" w:ascii="Times New Roman" w:hAnsi="Times New Roman" w:eastAsia="宋体" w:cs="Times New Roman"/>
          <w:bCs/>
          <w:sz w:val="24"/>
          <w:szCs w:val="24"/>
        </w:rPr>
        <w:t>因此确定指标体系由一级指标和二级指标组成。一级指标包括资源属性指标、能源属性指标、环境属性指标和产品属性指标。本标准通过调研、征求意见、查阅资料等方式，分别拟定了各属性指标下的二级指标，并收集了相关数据，最终确定了指标值。</w:t>
      </w:r>
    </w:p>
    <w:p>
      <w:pPr>
        <w:widowControl/>
        <w:spacing w:line="360" w:lineRule="auto"/>
        <w:ind w:firstLine="480" w:firstLineChars="200"/>
        <w:jc w:val="left"/>
        <w:rPr>
          <w:rFonts w:ascii="Times New Roman" w:hAnsi="Times New Roman" w:eastAsia="宋体" w:cs="Times New Roman"/>
          <w:bCs/>
          <w:sz w:val="24"/>
          <w:szCs w:val="24"/>
        </w:rPr>
      </w:pPr>
      <w:r>
        <w:rPr>
          <w:rFonts w:hint="eastAsia" w:ascii="Times New Roman" w:hAnsi="Times New Roman" w:eastAsia="宋体" w:cs="Times New Roman"/>
          <w:bCs/>
          <w:sz w:val="24"/>
          <w:szCs w:val="24"/>
        </w:rPr>
        <w:t>根据绿色设计产品评价原则，考虑到本次调研的均为钴酸锂行业内的龙头企业，工艺技术、产品质量和污染物控制均处于行业先进水平（前2</w:t>
      </w:r>
      <w:r>
        <w:rPr>
          <w:rFonts w:ascii="Times New Roman" w:hAnsi="Times New Roman" w:eastAsia="宋体" w:cs="Times New Roman"/>
          <w:bCs/>
          <w:sz w:val="24"/>
          <w:szCs w:val="24"/>
        </w:rPr>
        <w:t>0</w:t>
      </w:r>
      <w:r>
        <w:rPr>
          <w:rFonts w:hint="eastAsia" w:ascii="Times New Roman" w:hAnsi="Times New Roman" w:eastAsia="宋体" w:cs="Times New Roman"/>
          <w:bCs/>
          <w:sz w:val="24"/>
          <w:szCs w:val="24"/>
        </w:rPr>
        <w:t>%~</w:t>
      </w:r>
      <w:r>
        <w:rPr>
          <w:rFonts w:ascii="Times New Roman" w:hAnsi="Times New Roman" w:eastAsia="宋体" w:cs="Times New Roman"/>
          <w:bCs/>
          <w:sz w:val="24"/>
          <w:szCs w:val="24"/>
        </w:rPr>
        <w:t>50</w:t>
      </w:r>
      <w:r>
        <w:rPr>
          <w:rFonts w:hint="eastAsia" w:ascii="Times New Roman" w:hAnsi="Times New Roman" w:eastAsia="宋体" w:cs="Times New Roman"/>
          <w:bCs/>
          <w:sz w:val="24"/>
          <w:szCs w:val="24"/>
        </w:rPr>
        <w:t>%），因此本标准主要根据调研结果确定绿色设计产品评价指标。同时，为保证指标设置的科学性和合理性，结合已发布的清洁生产、能耗限额、绿色工厂评价标准中的先进值，与各指标的标准值进行比对，高于标准值或暂无标准值的，确定调研值为基准值；低于标准值的，确定标准值为基准值。</w:t>
      </w:r>
    </w:p>
    <w:p>
      <w:pPr>
        <w:spacing w:line="360" w:lineRule="auto"/>
        <w:rPr>
          <w:rFonts w:ascii="黑体" w:hAnsi="黑体" w:eastAsia="黑体" w:cs="Times New Roman"/>
          <w:sz w:val="24"/>
        </w:rPr>
      </w:pPr>
      <w:r>
        <w:rPr>
          <w:rFonts w:hint="eastAsia" w:ascii="黑体" w:hAnsi="黑体" w:eastAsia="黑体" w:cs="Times New Roman"/>
          <w:sz w:val="24"/>
        </w:rPr>
        <w:t>（1）资源属性</w:t>
      </w:r>
    </w:p>
    <w:p>
      <w:pPr>
        <w:spacing w:line="360" w:lineRule="auto"/>
        <w:ind w:firstLine="480" w:firstLineChars="200"/>
        <w:rPr>
          <w:rFonts w:ascii="Times New Roman" w:hAnsi="Times New Roman" w:eastAsia="宋体" w:cs="Times New Roman"/>
          <w:bCs/>
          <w:sz w:val="24"/>
          <w:szCs w:val="24"/>
        </w:rPr>
      </w:pPr>
      <w:r>
        <w:rPr>
          <w:rFonts w:hint="eastAsia" w:ascii="Times New Roman" w:hAnsi="Times New Roman" w:eastAsia="宋体" w:cs="Times New Roman"/>
          <w:bCs/>
          <w:sz w:val="24"/>
          <w:szCs w:val="24"/>
        </w:rPr>
        <w:t>根据GB/T 20252《钴酸锂》中的指标要求，确定以锂的利用率、钴的利用率来衡量资源属性水平。结合生产企业实际情况</w:t>
      </w:r>
      <w:r>
        <w:rPr>
          <w:rFonts w:hint="eastAsia" w:ascii="Times New Roman" w:hAnsi="Times New Roman" w:eastAsia="宋体" w:cs="Times New Roman"/>
          <w:bCs/>
          <w:sz w:val="24"/>
          <w:szCs w:val="24"/>
          <w:lang w:eastAsia="zh-CN"/>
        </w:rPr>
        <w:t>，</w:t>
      </w:r>
      <w:r>
        <w:rPr>
          <w:rFonts w:ascii="Times New Roman" w:hAnsi="Times New Roman" w:eastAsia="宋体" w:cs="Times New Roman"/>
          <w:color w:val="000000"/>
          <w:sz w:val="24"/>
          <w:szCs w:val="24"/>
        </w:rPr>
        <w:t>钴酸锂生产企业</w:t>
      </w:r>
      <w:r>
        <w:rPr>
          <w:rFonts w:hint="eastAsia" w:ascii="Times New Roman" w:hAnsi="Times New Roman" w:eastAsia="宋体" w:cs="Times New Roman"/>
          <w:color w:val="000000"/>
          <w:sz w:val="24"/>
          <w:szCs w:val="24"/>
        </w:rPr>
        <w:t>资源属性水平指标的</w:t>
      </w:r>
      <w:r>
        <w:rPr>
          <w:rFonts w:ascii="Times New Roman" w:hAnsi="Times New Roman" w:eastAsia="宋体" w:cs="Times New Roman"/>
          <w:color w:val="000000"/>
          <w:sz w:val="24"/>
          <w:szCs w:val="24"/>
        </w:rPr>
        <w:t>调研</w:t>
      </w:r>
      <w:r>
        <w:rPr>
          <w:rFonts w:hint="eastAsia" w:ascii="Times New Roman" w:hAnsi="Times New Roman" w:eastAsia="宋体" w:cs="Times New Roman"/>
          <w:color w:val="000000"/>
          <w:sz w:val="24"/>
          <w:szCs w:val="24"/>
        </w:rPr>
        <w:t>数据</w:t>
      </w:r>
      <w:r>
        <w:rPr>
          <w:rFonts w:ascii="Times New Roman" w:hAnsi="Times New Roman" w:eastAsia="宋体" w:cs="Times New Roman"/>
          <w:color w:val="000000"/>
          <w:sz w:val="24"/>
          <w:szCs w:val="24"/>
        </w:rPr>
        <w:t>见表2。</w:t>
      </w:r>
    </w:p>
    <w:p>
      <w:pPr>
        <w:widowControl/>
        <w:numPr>
          <w:ilvl w:val="1"/>
          <w:numId w:val="0"/>
        </w:numPr>
        <w:adjustRightInd w:val="0"/>
        <w:snapToGrid w:val="0"/>
        <w:spacing w:before="156" w:beforeLines="50" w:after="156" w:afterLines="50"/>
        <w:jc w:val="center"/>
        <w:rPr>
          <w:rFonts w:ascii="黑体" w:hAnsi="黑体" w:eastAsia="黑体" w:cs="Times New Roman"/>
          <w:kern w:val="0"/>
          <w:szCs w:val="20"/>
        </w:rPr>
      </w:pPr>
      <w:bookmarkStart w:id="0" w:name="_Hlk139632858"/>
      <w:r>
        <w:rPr>
          <w:rFonts w:ascii="黑体" w:hAnsi="黑体" w:eastAsia="黑体" w:cs="Times New Roman"/>
          <w:kern w:val="0"/>
          <w:szCs w:val="20"/>
        </w:rPr>
        <w:t>表2 钴酸锂</w:t>
      </w:r>
      <w:r>
        <w:rPr>
          <w:rFonts w:hint="eastAsia" w:ascii="黑体" w:hAnsi="黑体" w:eastAsia="黑体" w:cs="Times New Roman"/>
          <w:kern w:val="0"/>
          <w:szCs w:val="20"/>
        </w:rPr>
        <w:t>生产企业资源属性水平调研数据</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840" w:type="dxa"/>
            <w:vAlign w:val="center"/>
          </w:tcPr>
          <w:p>
            <w:pPr>
              <w:jc w:val="center"/>
              <w:rPr>
                <w:rFonts w:ascii="Times New Roman" w:hAnsi="Times New Roman" w:eastAsia="宋体" w:cs="Times New Roman"/>
                <w:b/>
                <w:bCs/>
                <w:szCs w:val="21"/>
              </w:rPr>
            </w:pPr>
            <w:r>
              <w:rPr>
                <w:rFonts w:ascii="Times New Roman" w:hAnsi="Times New Roman" w:eastAsia="宋体" w:cs="Times New Roman"/>
                <w:b/>
                <w:bCs/>
                <w:szCs w:val="21"/>
              </w:rPr>
              <w:t>钴酸锂生产企业</w:t>
            </w:r>
          </w:p>
        </w:tc>
        <w:tc>
          <w:tcPr>
            <w:tcW w:w="2841" w:type="dxa"/>
            <w:vAlign w:val="center"/>
          </w:tcPr>
          <w:p>
            <w:pPr>
              <w:jc w:val="center"/>
              <w:rPr>
                <w:rFonts w:ascii="Times New Roman" w:hAnsi="Times New Roman" w:eastAsia="宋体" w:cs="Times New Roman"/>
                <w:b/>
                <w:bCs/>
                <w:szCs w:val="21"/>
              </w:rPr>
            </w:pPr>
            <w:r>
              <w:rPr>
                <w:rFonts w:hint="eastAsia" w:ascii="Times New Roman" w:hAnsi="Times New Roman" w:eastAsia="宋体" w:cs="Times New Roman"/>
                <w:b/>
                <w:bCs/>
                <w:szCs w:val="21"/>
              </w:rPr>
              <w:t>锂</w:t>
            </w:r>
            <w:r>
              <w:rPr>
                <w:rFonts w:hint="eastAsia" w:ascii="Times New Roman" w:hAnsi="Times New Roman" w:eastAsia="宋体" w:cs="Times New Roman"/>
                <w:b/>
                <w:bCs/>
                <w:szCs w:val="21"/>
                <w:lang w:eastAsia="zh-CN"/>
              </w:rPr>
              <w:t>元素</w:t>
            </w:r>
            <w:r>
              <w:rPr>
                <w:rFonts w:hint="eastAsia" w:ascii="Times New Roman" w:hAnsi="Times New Roman" w:eastAsia="宋体" w:cs="Times New Roman"/>
                <w:b/>
                <w:bCs/>
                <w:szCs w:val="21"/>
              </w:rPr>
              <w:t>的利用率/</w:t>
            </w:r>
            <w:r>
              <w:rPr>
                <w:rFonts w:ascii="Times New Roman" w:hAnsi="Times New Roman" w:eastAsia="宋体" w:cs="Times New Roman"/>
                <w:b/>
                <w:bCs/>
                <w:szCs w:val="21"/>
              </w:rPr>
              <w:t>%</w:t>
            </w:r>
          </w:p>
        </w:tc>
        <w:tc>
          <w:tcPr>
            <w:tcW w:w="2841" w:type="dxa"/>
            <w:vAlign w:val="center"/>
          </w:tcPr>
          <w:p>
            <w:pPr>
              <w:jc w:val="center"/>
              <w:rPr>
                <w:rFonts w:ascii="Times New Roman" w:hAnsi="Times New Roman" w:eastAsia="宋体" w:cs="Times New Roman"/>
                <w:b/>
                <w:bCs/>
                <w:szCs w:val="21"/>
              </w:rPr>
            </w:pPr>
            <w:r>
              <w:rPr>
                <w:rFonts w:hint="eastAsia" w:ascii="Times New Roman" w:hAnsi="Times New Roman" w:eastAsia="宋体" w:cs="Times New Roman"/>
                <w:b/>
                <w:bCs/>
                <w:szCs w:val="21"/>
              </w:rPr>
              <w:t>钴</w:t>
            </w:r>
            <w:r>
              <w:rPr>
                <w:rFonts w:hint="eastAsia" w:ascii="Times New Roman" w:hAnsi="Times New Roman" w:eastAsia="宋体" w:cs="Times New Roman"/>
                <w:b/>
                <w:bCs/>
                <w:szCs w:val="21"/>
                <w:lang w:eastAsia="zh-CN"/>
              </w:rPr>
              <w:t>元素</w:t>
            </w:r>
            <w:r>
              <w:rPr>
                <w:rFonts w:hint="eastAsia" w:ascii="Times New Roman" w:hAnsi="Times New Roman" w:eastAsia="宋体" w:cs="Times New Roman"/>
                <w:b/>
                <w:bCs/>
                <w:szCs w:val="21"/>
              </w:rPr>
              <w:t>的利用率</w:t>
            </w:r>
            <w:r>
              <w:rPr>
                <w:rFonts w:ascii="Times New Roman" w:hAnsi="Times New Roman" w:eastAsia="宋体" w:cs="Times New Roman"/>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A</w:t>
            </w:r>
          </w:p>
        </w:tc>
        <w:tc>
          <w:tcPr>
            <w:tcW w:w="2841"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9</w:t>
            </w:r>
            <w:r>
              <w:rPr>
                <w:rFonts w:ascii="Times New Roman" w:hAnsi="Times New Roman" w:eastAsia="宋体" w:cs="Times New Roman"/>
                <w:szCs w:val="21"/>
              </w:rPr>
              <w:t>5.08</w:t>
            </w:r>
          </w:p>
        </w:tc>
        <w:tc>
          <w:tcPr>
            <w:tcW w:w="2841"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9</w:t>
            </w:r>
            <w:r>
              <w:rPr>
                <w:rFonts w:ascii="Times New Roman" w:hAnsi="Times New Roman" w:eastAsia="宋体" w:cs="Times New Roman"/>
                <w:szCs w:val="21"/>
              </w:rPr>
              <w:t>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B1</w:t>
            </w:r>
          </w:p>
        </w:tc>
        <w:tc>
          <w:tcPr>
            <w:tcW w:w="2841"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9</w:t>
            </w:r>
            <w:r>
              <w:rPr>
                <w:rFonts w:ascii="Times New Roman" w:hAnsi="Times New Roman" w:eastAsia="宋体" w:cs="Times New Roman"/>
                <w:szCs w:val="21"/>
              </w:rPr>
              <w:t>8.11</w:t>
            </w:r>
          </w:p>
        </w:tc>
        <w:tc>
          <w:tcPr>
            <w:tcW w:w="2841"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9</w:t>
            </w:r>
            <w:r>
              <w:rPr>
                <w:rFonts w:ascii="Times New Roman" w:hAnsi="Times New Roman" w:eastAsia="宋体" w:cs="Times New Roman"/>
                <w:szCs w:val="21"/>
              </w:rPr>
              <w:t>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B2</w:t>
            </w:r>
          </w:p>
        </w:tc>
        <w:tc>
          <w:tcPr>
            <w:tcW w:w="2841" w:type="dxa"/>
            <w:vAlign w:val="center"/>
          </w:tcPr>
          <w:p>
            <w:pPr>
              <w:jc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98.73</w:t>
            </w:r>
          </w:p>
        </w:tc>
        <w:tc>
          <w:tcPr>
            <w:tcW w:w="2841" w:type="dxa"/>
            <w:vAlign w:val="center"/>
          </w:tcPr>
          <w:p>
            <w:pPr>
              <w:jc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98.88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B3</w:t>
            </w:r>
          </w:p>
        </w:tc>
        <w:tc>
          <w:tcPr>
            <w:tcW w:w="2841" w:type="dxa"/>
            <w:vAlign w:val="center"/>
          </w:tcPr>
          <w:p>
            <w:pPr>
              <w:jc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9</w:t>
            </w:r>
            <w:r>
              <w:rPr>
                <w:rFonts w:ascii="Times New Roman" w:hAnsi="Times New Roman" w:eastAsia="宋体" w:cs="Times New Roman"/>
                <w:color w:val="000000"/>
                <w:kern w:val="0"/>
                <w:szCs w:val="21"/>
                <w:lang w:bidi="ar"/>
              </w:rPr>
              <w:t>8.57</w:t>
            </w:r>
          </w:p>
        </w:tc>
        <w:tc>
          <w:tcPr>
            <w:tcW w:w="2841" w:type="dxa"/>
            <w:vAlign w:val="center"/>
          </w:tcPr>
          <w:p>
            <w:pPr>
              <w:jc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9</w:t>
            </w:r>
            <w:r>
              <w:rPr>
                <w:rFonts w:ascii="Times New Roman" w:hAnsi="Times New Roman" w:eastAsia="宋体" w:cs="Times New Roman"/>
                <w:color w:val="000000"/>
                <w:kern w:val="0"/>
                <w:szCs w:val="21"/>
                <w:lang w:bidi="ar"/>
              </w:rPr>
              <w:t>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C</w:t>
            </w:r>
          </w:p>
        </w:tc>
        <w:tc>
          <w:tcPr>
            <w:tcW w:w="2841" w:type="dxa"/>
            <w:vAlign w:val="center"/>
          </w:tcPr>
          <w:p>
            <w:pPr>
              <w:jc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9</w:t>
            </w:r>
            <w:r>
              <w:rPr>
                <w:rFonts w:ascii="Times New Roman" w:hAnsi="Times New Roman" w:eastAsia="宋体" w:cs="Times New Roman"/>
                <w:color w:val="000000"/>
                <w:kern w:val="0"/>
                <w:szCs w:val="21"/>
                <w:lang w:bidi="ar"/>
              </w:rPr>
              <w:t>3.32</w:t>
            </w:r>
          </w:p>
        </w:tc>
        <w:tc>
          <w:tcPr>
            <w:tcW w:w="2841" w:type="dxa"/>
            <w:vAlign w:val="center"/>
          </w:tcPr>
          <w:p>
            <w:pPr>
              <w:jc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9</w:t>
            </w:r>
            <w:r>
              <w:rPr>
                <w:rFonts w:ascii="Times New Roman" w:hAnsi="Times New Roman" w:eastAsia="宋体" w:cs="Times New Roman"/>
                <w:color w:val="000000"/>
                <w:kern w:val="0"/>
                <w:szCs w:val="21"/>
                <w:lang w:bidi="ar"/>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D1</w:t>
            </w:r>
          </w:p>
        </w:tc>
        <w:tc>
          <w:tcPr>
            <w:tcW w:w="2841" w:type="dxa"/>
            <w:vAlign w:val="center"/>
          </w:tcPr>
          <w:p>
            <w:pPr>
              <w:jc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9</w:t>
            </w:r>
            <w:r>
              <w:rPr>
                <w:rFonts w:ascii="Times New Roman" w:hAnsi="Times New Roman" w:eastAsia="宋体" w:cs="Times New Roman"/>
                <w:color w:val="000000"/>
                <w:kern w:val="0"/>
                <w:szCs w:val="21"/>
                <w:lang w:bidi="ar"/>
              </w:rPr>
              <w:t>8.5</w:t>
            </w:r>
          </w:p>
        </w:tc>
        <w:tc>
          <w:tcPr>
            <w:tcW w:w="2841" w:type="dxa"/>
            <w:vAlign w:val="center"/>
          </w:tcPr>
          <w:p>
            <w:pPr>
              <w:jc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9</w:t>
            </w:r>
            <w:r>
              <w:rPr>
                <w:rFonts w:ascii="Times New Roman" w:hAnsi="Times New Roman" w:eastAsia="宋体" w:cs="Times New Roman"/>
                <w:color w:val="000000"/>
                <w:kern w:val="0"/>
                <w:szCs w:val="21"/>
                <w:lang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0"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D</w:t>
            </w:r>
            <w:r>
              <w:rPr>
                <w:rFonts w:ascii="Times New Roman" w:hAnsi="Times New Roman" w:eastAsia="宋体" w:cs="Times New Roman"/>
                <w:szCs w:val="21"/>
              </w:rPr>
              <w:t>2</w:t>
            </w:r>
          </w:p>
        </w:tc>
        <w:tc>
          <w:tcPr>
            <w:tcW w:w="2841" w:type="dxa"/>
            <w:vAlign w:val="center"/>
          </w:tcPr>
          <w:p>
            <w:pPr>
              <w:jc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9</w:t>
            </w:r>
            <w:r>
              <w:rPr>
                <w:rFonts w:ascii="Times New Roman" w:hAnsi="Times New Roman" w:eastAsia="宋体" w:cs="Times New Roman"/>
                <w:color w:val="000000"/>
                <w:kern w:val="0"/>
                <w:szCs w:val="21"/>
                <w:lang w:bidi="ar"/>
              </w:rPr>
              <w:t>7.8</w:t>
            </w:r>
          </w:p>
        </w:tc>
        <w:tc>
          <w:tcPr>
            <w:tcW w:w="2841" w:type="dxa"/>
            <w:vAlign w:val="center"/>
          </w:tcPr>
          <w:p>
            <w:pPr>
              <w:jc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9</w:t>
            </w:r>
            <w:r>
              <w:rPr>
                <w:rFonts w:ascii="Times New Roman" w:hAnsi="Times New Roman" w:eastAsia="宋体" w:cs="Times New Roman"/>
                <w:color w:val="000000"/>
                <w:kern w:val="0"/>
                <w:szCs w:val="21"/>
                <w:lang w:bidi="ar"/>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0"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E</w:t>
            </w:r>
          </w:p>
        </w:tc>
        <w:tc>
          <w:tcPr>
            <w:tcW w:w="2841" w:type="dxa"/>
            <w:vAlign w:val="center"/>
          </w:tcPr>
          <w:p>
            <w:pPr>
              <w:jc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9</w:t>
            </w:r>
            <w:r>
              <w:rPr>
                <w:rFonts w:ascii="Times New Roman" w:hAnsi="Times New Roman" w:eastAsia="宋体" w:cs="Times New Roman"/>
                <w:color w:val="000000"/>
                <w:kern w:val="0"/>
                <w:szCs w:val="21"/>
                <w:lang w:bidi="ar"/>
              </w:rPr>
              <w:t>5.6</w:t>
            </w:r>
          </w:p>
        </w:tc>
        <w:tc>
          <w:tcPr>
            <w:tcW w:w="2841" w:type="dxa"/>
            <w:vAlign w:val="center"/>
          </w:tcPr>
          <w:p>
            <w:pPr>
              <w:jc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9</w:t>
            </w:r>
            <w:r>
              <w:rPr>
                <w:rFonts w:ascii="Times New Roman" w:hAnsi="Times New Roman" w:eastAsia="宋体" w:cs="Times New Roman"/>
                <w:color w:val="000000"/>
                <w:kern w:val="0"/>
                <w:szCs w:val="21"/>
                <w:lang w:bidi="ar"/>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0" w:type="dxa"/>
            <w:vAlign w:val="center"/>
          </w:tcPr>
          <w:p>
            <w:pPr>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F</w:t>
            </w:r>
          </w:p>
        </w:tc>
        <w:tc>
          <w:tcPr>
            <w:tcW w:w="2841" w:type="dxa"/>
            <w:vAlign w:val="center"/>
          </w:tcPr>
          <w:p>
            <w:pPr>
              <w:jc w:val="center"/>
              <w:rPr>
                <w:rFonts w:hint="default" w:ascii="Times New Roman" w:hAnsi="Times New Roman" w:eastAsia="宋体" w:cs="Times New Roman"/>
                <w:color w:val="000000"/>
                <w:kern w:val="0"/>
                <w:szCs w:val="21"/>
                <w:lang w:val="en-US" w:eastAsia="zh-CN" w:bidi="ar"/>
              </w:rPr>
            </w:pPr>
            <w:r>
              <w:rPr>
                <w:rFonts w:hint="eastAsia" w:ascii="Times New Roman" w:hAnsi="Times New Roman" w:eastAsia="宋体" w:cs="Times New Roman"/>
                <w:color w:val="000000"/>
                <w:kern w:val="0"/>
                <w:szCs w:val="21"/>
                <w:lang w:val="en-US" w:eastAsia="zh-CN" w:bidi="ar"/>
              </w:rPr>
              <w:t>98.90</w:t>
            </w:r>
          </w:p>
        </w:tc>
        <w:tc>
          <w:tcPr>
            <w:tcW w:w="2841" w:type="dxa"/>
            <w:vAlign w:val="center"/>
          </w:tcPr>
          <w:p>
            <w:pPr>
              <w:jc w:val="center"/>
              <w:rPr>
                <w:rFonts w:hint="default" w:ascii="Times New Roman" w:hAnsi="Times New Roman" w:eastAsia="宋体" w:cs="Times New Roman"/>
                <w:color w:val="000000"/>
                <w:kern w:val="0"/>
                <w:szCs w:val="21"/>
                <w:lang w:val="en-US" w:eastAsia="zh-CN" w:bidi="ar"/>
              </w:rPr>
            </w:pPr>
            <w:r>
              <w:rPr>
                <w:rFonts w:hint="eastAsia" w:ascii="Times New Roman" w:hAnsi="Times New Roman" w:eastAsia="宋体" w:cs="Times New Roman"/>
                <w:color w:val="000000"/>
                <w:kern w:val="0"/>
                <w:szCs w:val="21"/>
                <w:lang w:val="en-US" w:eastAsia="zh-CN" w:bidi="ar"/>
              </w:rPr>
              <w:t>99.95</w:t>
            </w:r>
          </w:p>
        </w:tc>
      </w:tr>
      <w:bookmarkEnd w:id="0"/>
    </w:tbl>
    <w:p>
      <w:pPr>
        <w:snapToGrid w:val="0"/>
        <w:spacing w:before="156" w:beforeLines="50"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根据以上调研结果，除C公司数据低于9</w:t>
      </w:r>
      <w:r>
        <w:rPr>
          <w:rFonts w:ascii="Times New Roman" w:hAnsi="Times New Roman" w:eastAsia="宋体" w:cs="Times New Roman"/>
          <w:color w:val="000000"/>
          <w:sz w:val="24"/>
          <w:szCs w:val="24"/>
        </w:rPr>
        <w:t>5</w:t>
      </w:r>
      <w:r>
        <w:rPr>
          <w:rFonts w:hint="eastAsia" w:ascii="Times New Roman" w:hAnsi="Times New Roman" w:eastAsia="宋体" w:cs="Times New Roman"/>
          <w:color w:val="000000"/>
          <w:sz w:val="24"/>
          <w:szCs w:val="24"/>
        </w:rPr>
        <w:t>%外，其余数据均高于9</w:t>
      </w:r>
      <w:r>
        <w:rPr>
          <w:rFonts w:ascii="Times New Roman" w:hAnsi="Times New Roman" w:eastAsia="宋体" w:cs="Times New Roman"/>
          <w:color w:val="000000"/>
          <w:sz w:val="24"/>
          <w:szCs w:val="24"/>
        </w:rPr>
        <w:t>5</w:t>
      </w:r>
      <w:r>
        <w:rPr>
          <w:rFonts w:hint="eastAsia" w:ascii="Times New Roman" w:hAnsi="Times New Roman" w:eastAsia="宋体" w:cs="Times New Roman"/>
          <w:color w:val="000000"/>
          <w:sz w:val="24"/>
          <w:szCs w:val="24"/>
        </w:rPr>
        <w:t>%，因此确定标准中锂</w:t>
      </w:r>
      <w:r>
        <w:rPr>
          <w:rFonts w:hint="eastAsia" w:ascii="Times New Roman" w:hAnsi="Times New Roman" w:eastAsia="宋体" w:cs="Times New Roman"/>
          <w:color w:val="000000"/>
          <w:sz w:val="24"/>
          <w:szCs w:val="24"/>
          <w:lang w:eastAsia="zh-CN"/>
        </w:rPr>
        <w:t>元素</w:t>
      </w:r>
      <w:r>
        <w:rPr>
          <w:rFonts w:hint="eastAsia" w:ascii="Times New Roman" w:hAnsi="Times New Roman" w:eastAsia="宋体" w:cs="Times New Roman"/>
          <w:color w:val="000000"/>
          <w:sz w:val="24"/>
          <w:szCs w:val="24"/>
        </w:rPr>
        <w:t>的利用率为≥9</w:t>
      </w:r>
      <w:r>
        <w:rPr>
          <w:rFonts w:ascii="Times New Roman" w:hAnsi="Times New Roman" w:eastAsia="宋体" w:cs="Times New Roman"/>
          <w:color w:val="000000"/>
          <w:sz w:val="24"/>
          <w:szCs w:val="24"/>
        </w:rPr>
        <w:t>5.0</w:t>
      </w:r>
      <w:r>
        <w:rPr>
          <w:rFonts w:hint="eastAsia" w:ascii="Times New Roman" w:hAnsi="Times New Roman" w:eastAsia="宋体" w:cs="Times New Roman"/>
          <w:color w:val="000000"/>
          <w:sz w:val="24"/>
          <w:szCs w:val="24"/>
        </w:rPr>
        <w:t>%，钴</w:t>
      </w:r>
      <w:r>
        <w:rPr>
          <w:rFonts w:hint="eastAsia" w:ascii="Times New Roman" w:hAnsi="Times New Roman" w:eastAsia="宋体" w:cs="Times New Roman"/>
          <w:color w:val="000000"/>
          <w:sz w:val="24"/>
          <w:szCs w:val="24"/>
          <w:lang w:eastAsia="zh-CN"/>
        </w:rPr>
        <w:t>元素</w:t>
      </w:r>
      <w:r>
        <w:rPr>
          <w:rFonts w:hint="eastAsia" w:ascii="Times New Roman" w:hAnsi="Times New Roman" w:eastAsia="宋体" w:cs="Times New Roman"/>
          <w:color w:val="000000"/>
          <w:sz w:val="24"/>
          <w:szCs w:val="24"/>
        </w:rPr>
        <w:t>的利用率为≥9</w:t>
      </w:r>
      <w:r>
        <w:rPr>
          <w:rFonts w:ascii="Times New Roman" w:hAnsi="Times New Roman" w:eastAsia="宋体" w:cs="Times New Roman"/>
          <w:color w:val="000000"/>
          <w:sz w:val="24"/>
          <w:szCs w:val="24"/>
        </w:rPr>
        <w:t>6</w:t>
      </w:r>
      <w:r>
        <w:rPr>
          <w:rFonts w:hint="eastAsia" w:ascii="Times New Roman" w:hAnsi="Times New Roman" w:eastAsia="宋体" w:cs="Times New Roman"/>
          <w:color w:val="000000"/>
          <w:sz w:val="24"/>
          <w:szCs w:val="24"/>
        </w:rPr>
        <w:t>.0%。</w:t>
      </w:r>
    </w:p>
    <w:p>
      <w:pPr>
        <w:spacing w:line="360" w:lineRule="auto"/>
        <w:rPr>
          <w:rFonts w:ascii="黑体" w:hAnsi="黑体" w:eastAsia="黑体" w:cs="Times New Roman"/>
          <w:sz w:val="24"/>
        </w:rPr>
      </w:pPr>
      <w:r>
        <w:rPr>
          <w:rFonts w:hint="eastAsia" w:ascii="黑体" w:hAnsi="黑体" w:eastAsia="黑体" w:cs="Times New Roman"/>
          <w:sz w:val="24"/>
        </w:rPr>
        <w:t>（</w:t>
      </w:r>
      <w:r>
        <w:rPr>
          <w:rFonts w:ascii="黑体" w:hAnsi="黑体" w:eastAsia="黑体" w:cs="Times New Roman"/>
          <w:sz w:val="24"/>
        </w:rPr>
        <w:t>2</w:t>
      </w:r>
      <w:r>
        <w:rPr>
          <w:rFonts w:hint="eastAsia" w:ascii="黑体" w:hAnsi="黑体" w:eastAsia="黑体" w:cs="Times New Roman"/>
          <w:sz w:val="24"/>
        </w:rPr>
        <w:t>）能源属性</w:t>
      </w:r>
    </w:p>
    <w:p>
      <w:pPr>
        <w:spacing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目前，生产钴酸锂的能耗种类主要是电力和其他耗能工质（压缩空气等），确定以单位产品综合能耗、单位产品综合电耗来衡量能量属性水平。钴酸锂生产企业能源属性水平指标的调研数据见表</w:t>
      </w:r>
      <w:r>
        <w:rPr>
          <w:rFonts w:ascii="Times New Roman" w:hAnsi="Times New Roman" w:eastAsia="宋体" w:cs="Times New Roman"/>
          <w:color w:val="000000"/>
          <w:sz w:val="24"/>
          <w:szCs w:val="24"/>
        </w:rPr>
        <w:t>3</w:t>
      </w:r>
      <w:r>
        <w:rPr>
          <w:rFonts w:hint="eastAsia" w:ascii="Times New Roman" w:hAnsi="Times New Roman" w:eastAsia="宋体" w:cs="Times New Roman"/>
          <w:color w:val="000000"/>
          <w:sz w:val="24"/>
          <w:szCs w:val="24"/>
        </w:rPr>
        <w:t>。</w:t>
      </w:r>
    </w:p>
    <w:p>
      <w:pPr>
        <w:widowControl/>
        <w:numPr>
          <w:ilvl w:val="1"/>
          <w:numId w:val="0"/>
        </w:numPr>
        <w:adjustRightInd w:val="0"/>
        <w:snapToGrid w:val="0"/>
        <w:spacing w:before="156" w:beforeLines="50" w:after="156" w:afterLines="50"/>
        <w:jc w:val="center"/>
        <w:rPr>
          <w:rFonts w:ascii="黑体" w:hAnsi="黑体" w:eastAsia="黑体" w:cs="Times New Roman"/>
          <w:kern w:val="0"/>
          <w:szCs w:val="20"/>
        </w:rPr>
      </w:pPr>
      <w:r>
        <w:rPr>
          <w:rFonts w:ascii="黑体" w:hAnsi="黑体" w:eastAsia="黑体" w:cs="Times New Roman"/>
          <w:kern w:val="0"/>
          <w:szCs w:val="20"/>
        </w:rPr>
        <w:t>表3 钴酸锂</w:t>
      </w:r>
      <w:r>
        <w:rPr>
          <w:rFonts w:hint="eastAsia" w:ascii="黑体" w:hAnsi="黑体" w:eastAsia="黑体" w:cs="Times New Roman"/>
          <w:kern w:val="0"/>
          <w:szCs w:val="20"/>
        </w:rPr>
        <w:t>生产企业能源属性水平调研数据</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840" w:type="dxa"/>
            <w:vAlign w:val="center"/>
          </w:tcPr>
          <w:p>
            <w:pPr>
              <w:jc w:val="center"/>
              <w:rPr>
                <w:rFonts w:ascii="Times New Roman" w:hAnsi="Times New Roman" w:eastAsia="宋体" w:cs="Times New Roman"/>
                <w:b/>
                <w:bCs/>
                <w:szCs w:val="21"/>
              </w:rPr>
            </w:pPr>
            <w:r>
              <w:rPr>
                <w:rFonts w:ascii="Times New Roman" w:hAnsi="Times New Roman" w:eastAsia="宋体" w:cs="Times New Roman"/>
                <w:b/>
                <w:bCs/>
                <w:szCs w:val="21"/>
              </w:rPr>
              <w:t>钴酸锂生产企业</w:t>
            </w:r>
          </w:p>
        </w:tc>
        <w:tc>
          <w:tcPr>
            <w:tcW w:w="2841" w:type="dxa"/>
            <w:vAlign w:val="center"/>
          </w:tcPr>
          <w:p>
            <w:pPr>
              <w:jc w:val="center"/>
              <w:rPr>
                <w:rFonts w:ascii="Times New Roman" w:hAnsi="Times New Roman" w:eastAsia="宋体" w:cs="Times New Roman"/>
                <w:b/>
                <w:bCs/>
                <w:szCs w:val="21"/>
              </w:rPr>
            </w:pPr>
            <w:r>
              <w:rPr>
                <w:rFonts w:hint="eastAsia" w:ascii="Times New Roman" w:hAnsi="Times New Roman" w:eastAsia="宋体" w:cs="Times New Roman"/>
                <w:b/>
                <w:bCs/>
                <w:szCs w:val="21"/>
              </w:rPr>
              <w:t>单位产品综合电耗/</w:t>
            </w:r>
            <w:r>
              <w:rPr>
                <w:rFonts w:ascii="Times New Roman" w:hAnsi="Times New Roman" w:eastAsia="宋体" w:cs="Times New Roman"/>
                <w:b/>
                <w:bCs/>
                <w:szCs w:val="21"/>
              </w:rPr>
              <w:t>kW•h/t</w:t>
            </w:r>
          </w:p>
        </w:tc>
        <w:tc>
          <w:tcPr>
            <w:tcW w:w="2841" w:type="dxa"/>
            <w:vAlign w:val="center"/>
          </w:tcPr>
          <w:p>
            <w:pPr>
              <w:jc w:val="center"/>
              <w:rPr>
                <w:rFonts w:ascii="Times New Roman" w:hAnsi="Times New Roman" w:eastAsia="宋体" w:cs="Times New Roman"/>
                <w:b/>
                <w:bCs/>
                <w:szCs w:val="21"/>
              </w:rPr>
            </w:pPr>
            <w:r>
              <w:rPr>
                <w:rFonts w:hint="eastAsia" w:ascii="Times New Roman" w:hAnsi="Times New Roman" w:eastAsia="宋体" w:cs="Times New Roman"/>
                <w:b/>
                <w:bCs/>
                <w:szCs w:val="21"/>
              </w:rPr>
              <w:t>单位产品综合能耗</w:t>
            </w:r>
            <w:r>
              <w:rPr>
                <w:rFonts w:ascii="Times New Roman" w:hAnsi="Times New Roman" w:eastAsia="宋体" w:cs="Times New Roman"/>
                <w:b/>
                <w:bCs/>
                <w:szCs w:val="21"/>
              </w:rPr>
              <w:t>/kgce/t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A</w:t>
            </w:r>
          </w:p>
        </w:tc>
        <w:tc>
          <w:tcPr>
            <w:tcW w:w="2841"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8193.04</w:t>
            </w:r>
          </w:p>
        </w:tc>
        <w:tc>
          <w:tcPr>
            <w:tcW w:w="2841"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1006.93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B1</w:t>
            </w:r>
          </w:p>
        </w:tc>
        <w:tc>
          <w:tcPr>
            <w:tcW w:w="2841"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3</w:t>
            </w:r>
            <w:r>
              <w:rPr>
                <w:rFonts w:ascii="Times New Roman" w:hAnsi="Times New Roman" w:eastAsia="宋体" w:cs="Times New Roman"/>
                <w:szCs w:val="21"/>
              </w:rPr>
              <w:t>665.12</w:t>
            </w:r>
          </w:p>
        </w:tc>
        <w:tc>
          <w:tcPr>
            <w:tcW w:w="2841"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5</w:t>
            </w:r>
            <w:r>
              <w:rPr>
                <w:rFonts w:ascii="Times New Roman" w:hAnsi="Times New Roman" w:eastAsia="宋体" w:cs="Times New Roman"/>
                <w:szCs w:val="21"/>
              </w:rPr>
              <w:t>46.38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B2</w:t>
            </w:r>
          </w:p>
        </w:tc>
        <w:tc>
          <w:tcPr>
            <w:tcW w:w="2841" w:type="dxa"/>
            <w:vAlign w:val="center"/>
          </w:tcPr>
          <w:p>
            <w:pPr>
              <w:jc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4</w:t>
            </w:r>
            <w:r>
              <w:rPr>
                <w:rFonts w:ascii="Times New Roman" w:hAnsi="Times New Roman" w:eastAsia="宋体" w:cs="Times New Roman"/>
                <w:color w:val="000000"/>
                <w:kern w:val="0"/>
                <w:szCs w:val="21"/>
                <w:lang w:bidi="ar"/>
              </w:rPr>
              <w:t>028.43</w:t>
            </w:r>
          </w:p>
        </w:tc>
        <w:tc>
          <w:tcPr>
            <w:tcW w:w="2841" w:type="dxa"/>
            <w:vAlign w:val="center"/>
          </w:tcPr>
          <w:p>
            <w:pPr>
              <w:jc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6</w:t>
            </w:r>
            <w:r>
              <w:rPr>
                <w:rFonts w:ascii="Times New Roman" w:hAnsi="Times New Roman" w:eastAsia="宋体" w:cs="Times New Roman"/>
                <w:color w:val="000000"/>
                <w:kern w:val="0"/>
                <w:szCs w:val="21"/>
                <w:lang w:bidi="ar"/>
              </w:rPr>
              <w:t>84.29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B3</w:t>
            </w:r>
          </w:p>
        </w:tc>
        <w:tc>
          <w:tcPr>
            <w:tcW w:w="2841" w:type="dxa"/>
            <w:vAlign w:val="center"/>
          </w:tcPr>
          <w:p>
            <w:pPr>
              <w:jc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4</w:t>
            </w:r>
            <w:r>
              <w:rPr>
                <w:rFonts w:ascii="Times New Roman" w:hAnsi="Times New Roman" w:eastAsia="宋体" w:cs="Times New Roman"/>
                <w:color w:val="000000"/>
                <w:kern w:val="0"/>
                <w:szCs w:val="21"/>
                <w:lang w:bidi="ar"/>
              </w:rPr>
              <w:t>616.99</w:t>
            </w:r>
          </w:p>
        </w:tc>
        <w:tc>
          <w:tcPr>
            <w:tcW w:w="2841" w:type="dxa"/>
            <w:vAlign w:val="center"/>
          </w:tcPr>
          <w:p>
            <w:pPr>
              <w:jc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6</w:t>
            </w:r>
            <w:r>
              <w:rPr>
                <w:rFonts w:ascii="Times New Roman" w:hAnsi="Times New Roman" w:eastAsia="宋体" w:cs="Times New Roman"/>
                <w:color w:val="000000"/>
                <w:kern w:val="0"/>
                <w:szCs w:val="21"/>
                <w:lang w:bidi="ar"/>
              </w:rPr>
              <w:t>52.20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C</w:t>
            </w:r>
          </w:p>
        </w:tc>
        <w:tc>
          <w:tcPr>
            <w:tcW w:w="2841" w:type="dxa"/>
            <w:vAlign w:val="center"/>
          </w:tcPr>
          <w:p>
            <w:pPr>
              <w:jc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6</w:t>
            </w:r>
            <w:r>
              <w:rPr>
                <w:rFonts w:ascii="Times New Roman" w:hAnsi="Times New Roman" w:eastAsia="宋体" w:cs="Times New Roman"/>
                <w:color w:val="000000"/>
                <w:kern w:val="0"/>
                <w:szCs w:val="21"/>
                <w:lang w:bidi="ar"/>
              </w:rPr>
              <w:t>460.24</w:t>
            </w:r>
          </w:p>
        </w:tc>
        <w:tc>
          <w:tcPr>
            <w:tcW w:w="2841" w:type="dxa"/>
            <w:vAlign w:val="center"/>
          </w:tcPr>
          <w:p>
            <w:pPr>
              <w:jc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7</w:t>
            </w:r>
            <w:r>
              <w:rPr>
                <w:rFonts w:ascii="Times New Roman" w:hAnsi="Times New Roman" w:eastAsia="宋体" w:cs="Times New Roman"/>
                <w:color w:val="000000"/>
                <w:kern w:val="0"/>
                <w:szCs w:val="21"/>
                <w:lang w:bidi="ar"/>
              </w:rPr>
              <w:t>93.96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D1</w:t>
            </w:r>
          </w:p>
        </w:tc>
        <w:tc>
          <w:tcPr>
            <w:tcW w:w="2841" w:type="dxa"/>
            <w:vAlign w:val="center"/>
          </w:tcPr>
          <w:p>
            <w:pPr>
              <w:jc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5</w:t>
            </w:r>
            <w:r>
              <w:rPr>
                <w:rFonts w:ascii="Times New Roman" w:hAnsi="Times New Roman" w:eastAsia="宋体" w:cs="Times New Roman"/>
                <w:color w:val="000000"/>
                <w:kern w:val="0"/>
                <w:szCs w:val="21"/>
                <w:lang w:bidi="ar"/>
              </w:rPr>
              <w:t>500</w:t>
            </w:r>
          </w:p>
        </w:tc>
        <w:tc>
          <w:tcPr>
            <w:tcW w:w="2841" w:type="dxa"/>
            <w:vAlign w:val="center"/>
          </w:tcPr>
          <w:p>
            <w:pPr>
              <w:jc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7</w:t>
            </w:r>
            <w:r>
              <w:rPr>
                <w:rFonts w:ascii="Times New Roman" w:hAnsi="Times New Roman" w:eastAsia="宋体" w:cs="Times New Roman"/>
                <w:color w:val="000000"/>
                <w:kern w:val="0"/>
                <w:szCs w:val="21"/>
                <w:lang w:bidi="ar"/>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0"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D</w:t>
            </w:r>
            <w:r>
              <w:rPr>
                <w:rFonts w:ascii="Times New Roman" w:hAnsi="Times New Roman" w:eastAsia="宋体" w:cs="Times New Roman"/>
                <w:szCs w:val="21"/>
              </w:rPr>
              <w:t>2</w:t>
            </w:r>
          </w:p>
        </w:tc>
        <w:tc>
          <w:tcPr>
            <w:tcW w:w="2841" w:type="dxa"/>
            <w:vAlign w:val="center"/>
          </w:tcPr>
          <w:p>
            <w:pPr>
              <w:jc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8</w:t>
            </w:r>
            <w:r>
              <w:rPr>
                <w:rFonts w:ascii="Times New Roman" w:hAnsi="Times New Roman" w:eastAsia="宋体" w:cs="Times New Roman"/>
                <w:color w:val="000000"/>
                <w:kern w:val="0"/>
                <w:szCs w:val="21"/>
                <w:lang w:bidi="ar"/>
              </w:rPr>
              <w:t>000</w:t>
            </w:r>
          </w:p>
        </w:tc>
        <w:tc>
          <w:tcPr>
            <w:tcW w:w="2841" w:type="dxa"/>
            <w:vAlign w:val="center"/>
          </w:tcPr>
          <w:p>
            <w:pPr>
              <w:jc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1</w:t>
            </w:r>
            <w:r>
              <w:rPr>
                <w:rFonts w:ascii="Times New Roman" w:hAnsi="Times New Roman" w:eastAsia="宋体" w:cs="Times New Roman"/>
                <w:color w:val="000000"/>
                <w:kern w:val="0"/>
                <w:szCs w:val="21"/>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0" w:type="dxa"/>
            <w:vAlign w:val="center"/>
          </w:tcPr>
          <w:p>
            <w:pPr>
              <w:jc w:val="center"/>
              <w:rPr>
                <w:rFonts w:ascii="Times New Roman" w:hAnsi="Times New Roman" w:eastAsia="宋体" w:cs="Times New Roman"/>
                <w:szCs w:val="21"/>
              </w:rPr>
            </w:pPr>
            <w:bookmarkStart w:id="1" w:name="OLE_LINK1" w:colFirst="0" w:colLast="2"/>
            <w:r>
              <w:rPr>
                <w:rFonts w:hint="eastAsia" w:ascii="Times New Roman" w:hAnsi="Times New Roman" w:eastAsia="宋体" w:cs="Times New Roman"/>
                <w:szCs w:val="21"/>
              </w:rPr>
              <w:t>E</w:t>
            </w:r>
          </w:p>
        </w:tc>
        <w:tc>
          <w:tcPr>
            <w:tcW w:w="2841" w:type="dxa"/>
            <w:vAlign w:val="center"/>
          </w:tcPr>
          <w:p>
            <w:pPr>
              <w:jc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9</w:t>
            </w:r>
            <w:r>
              <w:rPr>
                <w:rFonts w:ascii="Times New Roman" w:hAnsi="Times New Roman" w:eastAsia="宋体" w:cs="Times New Roman"/>
                <w:color w:val="000000"/>
                <w:kern w:val="0"/>
                <w:szCs w:val="21"/>
                <w:lang w:bidi="ar"/>
              </w:rPr>
              <w:t>460</w:t>
            </w:r>
          </w:p>
        </w:tc>
        <w:tc>
          <w:tcPr>
            <w:tcW w:w="2841" w:type="dxa"/>
            <w:vAlign w:val="center"/>
          </w:tcPr>
          <w:p>
            <w:pPr>
              <w:jc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1</w:t>
            </w:r>
            <w:r>
              <w:rPr>
                <w:rFonts w:ascii="Times New Roman" w:hAnsi="Times New Roman" w:eastAsia="宋体" w:cs="Times New Roman"/>
                <w:color w:val="000000"/>
                <w:kern w:val="0"/>
                <w:szCs w:val="21"/>
                <w:lang w:bidi="ar"/>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0" w:type="dxa"/>
            <w:vAlign w:val="center"/>
          </w:tcPr>
          <w:p>
            <w:pPr>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F</w:t>
            </w:r>
          </w:p>
        </w:tc>
        <w:tc>
          <w:tcPr>
            <w:tcW w:w="2841" w:type="dxa"/>
            <w:vAlign w:val="center"/>
          </w:tcPr>
          <w:p>
            <w:pPr>
              <w:jc w:val="center"/>
              <w:rPr>
                <w:rFonts w:hint="default" w:ascii="Times New Roman" w:hAnsi="Times New Roman" w:eastAsia="宋体" w:cs="Times New Roman"/>
                <w:color w:val="000000"/>
                <w:kern w:val="0"/>
                <w:szCs w:val="21"/>
                <w:lang w:val="en-US" w:eastAsia="zh-CN" w:bidi="ar"/>
              </w:rPr>
            </w:pPr>
            <w:r>
              <w:rPr>
                <w:rFonts w:hint="eastAsia" w:ascii="Times New Roman" w:hAnsi="Times New Roman" w:eastAsia="宋体" w:cs="Times New Roman"/>
                <w:color w:val="000000"/>
                <w:kern w:val="0"/>
                <w:szCs w:val="21"/>
                <w:lang w:val="en-US" w:eastAsia="zh-CN" w:bidi="ar"/>
              </w:rPr>
              <w:t>9033</w:t>
            </w:r>
          </w:p>
        </w:tc>
        <w:tc>
          <w:tcPr>
            <w:tcW w:w="2841" w:type="dxa"/>
            <w:vAlign w:val="center"/>
          </w:tcPr>
          <w:p>
            <w:pPr>
              <w:jc w:val="center"/>
              <w:rPr>
                <w:rFonts w:hint="default" w:ascii="Times New Roman" w:hAnsi="Times New Roman" w:eastAsia="宋体" w:cs="Times New Roman"/>
                <w:color w:val="000000"/>
                <w:kern w:val="0"/>
                <w:szCs w:val="21"/>
                <w:lang w:val="en-US" w:eastAsia="zh-CN" w:bidi="ar"/>
              </w:rPr>
            </w:pPr>
            <w:r>
              <w:rPr>
                <w:rFonts w:hint="eastAsia" w:ascii="Times New Roman" w:hAnsi="Times New Roman" w:eastAsia="宋体" w:cs="Times New Roman"/>
                <w:color w:val="000000"/>
                <w:kern w:val="0"/>
                <w:szCs w:val="21"/>
                <w:lang w:val="en-US" w:eastAsia="zh-CN" w:bidi="ar"/>
              </w:rPr>
              <w:t>1264</w:t>
            </w:r>
          </w:p>
        </w:tc>
      </w:tr>
      <w:bookmarkEnd w:id="1"/>
    </w:tbl>
    <w:p>
      <w:pPr>
        <w:snapToGrid w:val="0"/>
        <w:spacing w:before="156" w:beforeLines="50"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依据GB/T 2589—2020《综合能耗计算通则》，结合行业内综合能耗的总体情况，标准依据通则中对于绿色产品在行业内应处的位置，设定综合能耗的指标要求：单位产品综合电耗≥9</w:t>
      </w:r>
      <w:r>
        <w:rPr>
          <w:rFonts w:ascii="Times New Roman" w:hAnsi="Times New Roman" w:eastAsia="宋体" w:cs="Times New Roman"/>
          <w:color w:val="000000"/>
          <w:sz w:val="24"/>
          <w:szCs w:val="24"/>
        </w:rPr>
        <w:t>500 kW•h/t</w:t>
      </w:r>
      <w:r>
        <w:rPr>
          <w:rFonts w:hint="eastAsia" w:ascii="Times New Roman" w:hAnsi="Times New Roman" w:eastAsia="宋体" w:cs="Times New Roman"/>
          <w:color w:val="000000"/>
          <w:sz w:val="24"/>
          <w:szCs w:val="24"/>
        </w:rPr>
        <w:t>，单位产品综合能耗≥</w:t>
      </w:r>
      <w:r>
        <w:rPr>
          <w:rFonts w:ascii="Times New Roman" w:hAnsi="Times New Roman" w:eastAsia="宋体" w:cs="Times New Roman"/>
          <w:color w:val="000000"/>
          <w:sz w:val="24"/>
          <w:szCs w:val="24"/>
        </w:rPr>
        <w:t>1</w:t>
      </w:r>
      <w:r>
        <w:rPr>
          <w:rFonts w:hint="eastAsia" w:ascii="Times New Roman" w:hAnsi="Times New Roman" w:eastAsia="宋体" w:cs="Times New Roman"/>
          <w:color w:val="000000"/>
          <w:sz w:val="24"/>
          <w:szCs w:val="24"/>
          <w:lang w:val="en-US" w:eastAsia="zh-CN"/>
        </w:rPr>
        <w:t>3</w:t>
      </w:r>
      <w:r>
        <w:rPr>
          <w:rFonts w:hint="eastAsia" w:ascii="Times New Roman" w:hAnsi="Times New Roman" w:eastAsia="宋体" w:cs="Times New Roman"/>
          <w:color w:val="000000"/>
          <w:sz w:val="24"/>
          <w:szCs w:val="24"/>
        </w:rPr>
        <w:t xml:space="preserve">00 </w:t>
      </w:r>
      <w:r>
        <w:rPr>
          <w:rFonts w:ascii="Times New Roman" w:hAnsi="Times New Roman" w:eastAsia="宋体" w:cs="Times New Roman"/>
          <w:color w:val="000000"/>
          <w:sz w:val="24"/>
          <w:szCs w:val="24"/>
        </w:rPr>
        <w:t>kgce/t</w:t>
      </w:r>
      <w:r>
        <w:rPr>
          <w:rFonts w:hint="eastAsia" w:ascii="Times New Roman" w:hAnsi="Times New Roman" w:eastAsia="宋体" w:cs="Times New Roman"/>
          <w:color w:val="000000"/>
          <w:sz w:val="24"/>
          <w:szCs w:val="24"/>
        </w:rPr>
        <w:t>。</w:t>
      </w:r>
    </w:p>
    <w:p>
      <w:pPr>
        <w:spacing w:line="360" w:lineRule="auto"/>
        <w:rPr>
          <w:rFonts w:ascii="黑体" w:hAnsi="黑体" w:eastAsia="黑体" w:cs="Times New Roman"/>
          <w:sz w:val="24"/>
        </w:rPr>
      </w:pPr>
      <w:r>
        <w:rPr>
          <w:rFonts w:hint="eastAsia" w:ascii="黑体" w:hAnsi="黑体" w:eastAsia="黑体" w:cs="Times New Roman"/>
          <w:sz w:val="24"/>
        </w:rPr>
        <w:t>（3）环境属性</w:t>
      </w:r>
    </w:p>
    <w:p>
      <w:pPr>
        <w:spacing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目前，钴酸锂的生产工艺主要为四氧化三钴和碳酸锂进行高温烧结合成，生产过程中没有生产用水工序，同时考虑到产品可能会出口至欧美等国家，因此确定以废气中颗粒物含量、废气中钴及其化合物、</w:t>
      </w:r>
      <w:r>
        <w:rPr>
          <w:rFonts w:ascii="Times New Roman" w:hAnsi="Times New Roman" w:eastAsia="宋体" w:cs="Times New Roman"/>
          <w:color w:val="000000"/>
          <w:sz w:val="24"/>
          <w:szCs w:val="24"/>
        </w:rPr>
        <w:t>符合REACH要求及RoHS指令限值要求</w:t>
      </w:r>
      <w:r>
        <w:rPr>
          <w:rFonts w:hint="eastAsia" w:ascii="Times New Roman" w:hAnsi="Times New Roman" w:eastAsia="宋体" w:cs="Times New Roman"/>
          <w:color w:val="000000"/>
          <w:sz w:val="24"/>
          <w:szCs w:val="24"/>
        </w:rPr>
        <w:t>来衡量环境属性水平。</w:t>
      </w:r>
    </w:p>
    <w:p>
      <w:pPr>
        <w:spacing w:line="360" w:lineRule="auto"/>
        <w:ind w:firstLine="480" w:firstLineChars="200"/>
        <w:jc w:val="left"/>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经查询“全国排污许可证管理信息平台-公开端”以及调研企业反馈，目前钴酸锂行业执行的大气污染物排放标准有：GB 16297—2</w:t>
      </w:r>
      <w:r>
        <w:rPr>
          <w:rFonts w:ascii="Times New Roman" w:hAnsi="Times New Roman" w:eastAsia="宋体" w:cs="Times New Roman"/>
          <w:color w:val="000000"/>
          <w:sz w:val="24"/>
          <w:szCs w:val="24"/>
        </w:rPr>
        <w:t>016</w:t>
      </w:r>
      <w:r>
        <w:rPr>
          <w:rFonts w:hint="eastAsia" w:ascii="Times New Roman" w:hAnsi="Times New Roman" w:eastAsia="宋体" w:cs="Times New Roman"/>
          <w:color w:val="000000"/>
          <w:sz w:val="24"/>
          <w:szCs w:val="24"/>
        </w:rPr>
        <w:t>《大气污染物综合排放标准》、GB 31573—2</w:t>
      </w:r>
      <w:r>
        <w:rPr>
          <w:rFonts w:ascii="Times New Roman" w:hAnsi="Times New Roman" w:eastAsia="宋体" w:cs="Times New Roman"/>
          <w:color w:val="000000"/>
          <w:sz w:val="24"/>
          <w:szCs w:val="24"/>
        </w:rPr>
        <w:t>015</w:t>
      </w:r>
      <w:r>
        <w:rPr>
          <w:rFonts w:hint="eastAsia" w:ascii="Times New Roman" w:hAnsi="Times New Roman" w:eastAsia="宋体" w:cs="Times New Roman"/>
          <w:color w:val="000000"/>
          <w:sz w:val="24"/>
          <w:szCs w:val="24"/>
        </w:rPr>
        <w:t>《无机化学工业污染物排放标准》、</w:t>
      </w:r>
      <w:r>
        <w:rPr>
          <w:rFonts w:ascii="Times New Roman" w:hAnsi="Times New Roman" w:eastAsia="宋体" w:cs="Times New Roman"/>
          <w:color w:val="000000"/>
          <w:sz w:val="24"/>
          <w:szCs w:val="24"/>
        </w:rPr>
        <w:t>GB 25467</w:t>
      </w:r>
      <w:r>
        <w:rPr>
          <w:rFonts w:hint="eastAsia" w:ascii="Times New Roman" w:hAnsi="Times New Roman" w:eastAsia="宋体" w:cs="Times New Roman"/>
          <w:color w:val="000000"/>
          <w:sz w:val="24"/>
          <w:szCs w:val="24"/>
        </w:rPr>
        <w:t>—</w:t>
      </w:r>
      <w:r>
        <w:rPr>
          <w:rFonts w:ascii="Times New Roman" w:hAnsi="Times New Roman" w:eastAsia="宋体" w:cs="Times New Roman"/>
          <w:color w:val="000000"/>
          <w:sz w:val="24"/>
          <w:szCs w:val="24"/>
        </w:rPr>
        <w:t>2010</w:t>
      </w:r>
      <w:r>
        <w:rPr>
          <w:rFonts w:hint="eastAsia" w:ascii="Times New Roman" w:hAnsi="Times New Roman" w:eastAsia="宋体" w:cs="Times New Roman"/>
          <w:color w:val="000000"/>
          <w:sz w:val="24"/>
          <w:szCs w:val="24"/>
        </w:rPr>
        <w:t>《铜、镍、钴工业污染物排放标准》以及各地方标准；水污染物排放标准有：GB 8978—1</w:t>
      </w:r>
      <w:r>
        <w:rPr>
          <w:rFonts w:ascii="Times New Roman" w:hAnsi="Times New Roman" w:eastAsia="宋体" w:cs="Times New Roman"/>
          <w:color w:val="000000"/>
          <w:sz w:val="24"/>
          <w:szCs w:val="24"/>
        </w:rPr>
        <w:t>996</w:t>
      </w:r>
      <w:r>
        <w:rPr>
          <w:rFonts w:hint="eastAsia" w:ascii="Times New Roman" w:hAnsi="Times New Roman" w:eastAsia="宋体" w:cs="Times New Roman"/>
          <w:color w:val="000000"/>
          <w:sz w:val="24"/>
          <w:szCs w:val="24"/>
        </w:rPr>
        <w:t>《污水综合排放标准》、</w:t>
      </w:r>
      <w:r>
        <w:rPr>
          <w:rFonts w:ascii="Times New Roman" w:hAnsi="Times New Roman" w:eastAsia="宋体" w:cs="Times New Roman"/>
          <w:color w:val="000000"/>
          <w:sz w:val="24"/>
          <w:szCs w:val="24"/>
        </w:rPr>
        <w:t>GB 39731</w:t>
      </w:r>
      <w:r>
        <w:rPr>
          <w:rFonts w:hint="eastAsia" w:ascii="Times New Roman" w:hAnsi="Times New Roman" w:eastAsia="宋体" w:cs="Times New Roman"/>
          <w:color w:val="000000"/>
          <w:sz w:val="24"/>
          <w:szCs w:val="24"/>
        </w:rPr>
        <w:t>—</w:t>
      </w:r>
      <w:r>
        <w:rPr>
          <w:rFonts w:ascii="Times New Roman" w:hAnsi="Times New Roman" w:eastAsia="宋体" w:cs="Times New Roman"/>
          <w:color w:val="000000"/>
          <w:sz w:val="24"/>
          <w:szCs w:val="24"/>
        </w:rPr>
        <w:t>2020</w:t>
      </w:r>
      <w:r>
        <w:rPr>
          <w:rFonts w:hint="eastAsia" w:ascii="Times New Roman" w:hAnsi="Times New Roman" w:eastAsia="宋体" w:cs="Times New Roman"/>
          <w:color w:val="000000"/>
          <w:sz w:val="24"/>
          <w:szCs w:val="24"/>
        </w:rPr>
        <w:t>《电子工业水污染物排放标准》、GB 31573—2015《无机化学工业污染物排放标准》、GB 25467—2010《铜、镍、钴工业污染物排放标准》以及各地方标准。因此，环境属性指标不涉及具体的要求，企业根据自身实际情况符合国家和地方标准即可。</w:t>
      </w:r>
    </w:p>
    <w:p>
      <w:pPr>
        <w:spacing w:line="360" w:lineRule="auto"/>
        <w:rPr>
          <w:rFonts w:ascii="黑体" w:hAnsi="黑体" w:eastAsia="黑体" w:cs="Times New Roman"/>
          <w:sz w:val="24"/>
        </w:rPr>
      </w:pPr>
      <w:r>
        <w:rPr>
          <w:rFonts w:hint="eastAsia" w:ascii="黑体" w:hAnsi="黑体" w:eastAsia="黑体" w:cs="Times New Roman"/>
          <w:sz w:val="24"/>
        </w:rPr>
        <w:t>（</w:t>
      </w:r>
      <w:r>
        <w:rPr>
          <w:rFonts w:ascii="黑体" w:hAnsi="黑体" w:eastAsia="黑体" w:cs="Times New Roman"/>
          <w:sz w:val="24"/>
        </w:rPr>
        <w:t>4</w:t>
      </w:r>
      <w:r>
        <w:rPr>
          <w:rFonts w:hint="eastAsia" w:ascii="黑体" w:hAnsi="黑体" w:eastAsia="黑体" w:cs="Times New Roman"/>
          <w:sz w:val="24"/>
        </w:rPr>
        <w:t>）品质属性</w:t>
      </w:r>
    </w:p>
    <w:p>
      <w:pPr>
        <w:spacing w:line="360" w:lineRule="auto"/>
        <w:ind w:firstLine="480" w:firstLineChars="200"/>
        <w:jc w:val="left"/>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由于磁性异物作为钴酸锂的关键产品指标，很严重影响电池的安全性能，所以，在生产过程中必须严格把控锂离子电池正极材料中磁性异物的总含量。最大可能的去除磁性异物，已成为各锂离子电池正极材料生产厂家的主要发展方向，磁性异物含量的高低是衡量锂离子电池正极材料品质高低的重要指标。因此确定磁性异物来衡量品质属性水平。钴酸锂生产企业品质属性水平指标的调研数据见表</w:t>
      </w:r>
      <w:r>
        <w:rPr>
          <w:rFonts w:ascii="Times New Roman" w:hAnsi="Times New Roman" w:eastAsia="宋体" w:cs="Times New Roman"/>
          <w:color w:val="000000"/>
          <w:sz w:val="24"/>
          <w:szCs w:val="24"/>
        </w:rPr>
        <w:t>4</w:t>
      </w:r>
      <w:r>
        <w:rPr>
          <w:rFonts w:hint="eastAsia" w:ascii="Times New Roman" w:hAnsi="Times New Roman" w:eastAsia="宋体" w:cs="Times New Roman"/>
          <w:color w:val="000000"/>
          <w:sz w:val="24"/>
          <w:szCs w:val="24"/>
        </w:rPr>
        <w:t>。</w:t>
      </w:r>
    </w:p>
    <w:p>
      <w:pPr>
        <w:snapToGrid w:val="0"/>
        <w:spacing w:line="360" w:lineRule="auto"/>
        <w:jc w:val="center"/>
        <w:rPr>
          <w:rFonts w:ascii="黑体" w:hAnsi="黑体" w:eastAsia="黑体" w:cs="Times New Roman"/>
          <w:szCs w:val="21"/>
        </w:rPr>
      </w:pPr>
      <w:r>
        <w:rPr>
          <w:rFonts w:ascii="黑体" w:hAnsi="黑体" w:eastAsia="黑体" w:cs="Times New Roman"/>
          <w:szCs w:val="21"/>
        </w:rPr>
        <w:t xml:space="preserve">表4 </w:t>
      </w:r>
      <w:r>
        <w:rPr>
          <w:rFonts w:ascii="黑体" w:hAnsi="黑体" w:eastAsia="黑体" w:cs="Times New Roman"/>
          <w:color w:val="000000"/>
          <w:szCs w:val="24"/>
        </w:rPr>
        <w:t>钴酸锂</w:t>
      </w:r>
      <w:r>
        <w:rPr>
          <w:rFonts w:hint="eastAsia" w:ascii="黑体" w:hAnsi="黑体" w:eastAsia="黑体" w:cs="Times New Roman"/>
          <w:szCs w:val="21"/>
        </w:rPr>
        <w:t>生产企业品质属性水平调研数据</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9"/>
        <w:gridCol w:w="5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3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钴酸锂生产企业</w:t>
            </w:r>
          </w:p>
        </w:tc>
        <w:tc>
          <w:tcPr>
            <w:tcW w:w="5283"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磁性异物（质量分数，%）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3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A</w:t>
            </w:r>
          </w:p>
        </w:tc>
        <w:tc>
          <w:tcPr>
            <w:tcW w:w="5283"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0</w:t>
            </w:r>
            <w:r>
              <w:rPr>
                <w:rFonts w:ascii="Times New Roman" w:hAnsi="Times New Roman" w:eastAsia="宋体" w:cs="Times New Roman"/>
                <w:szCs w:val="21"/>
              </w:rPr>
              <w:t>.000 007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3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B1</w:t>
            </w:r>
          </w:p>
        </w:tc>
        <w:tc>
          <w:tcPr>
            <w:tcW w:w="5283"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0</w:t>
            </w:r>
            <w:r>
              <w:rPr>
                <w:rFonts w:ascii="Times New Roman" w:hAnsi="Times New Roman" w:eastAsia="宋体" w:cs="Times New Roman"/>
                <w:szCs w:val="21"/>
              </w:rPr>
              <w:t>.000 143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3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B2</w:t>
            </w:r>
          </w:p>
        </w:tc>
        <w:tc>
          <w:tcPr>
            <w:tcW w:w="5283"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0.000 143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3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B3</w:t>
            </w:r>
          </w:p>
        </w:tc>
        <w:tc>
          <w:tcPr>
            <w:tcW w:w="5283"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0.000 143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3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C</w:t>
            </w:r>
          </w:p>
        </w:tc>
        <w:tc>
          <w:tcPr>
            <w:tcW w:w="5283"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0.000 004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3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D1</w:t>
            </w:r>
          </w:p>
        </w:tc>
        <w:tc>
          <w:tcPr>
            <w:tcW w:w="5283"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0</w:t>
            </w:r>
            <w:r>
              <w:rPr>
                <w:rFonts w:ascii="Times New Roman" w:hAnsi="Times New Roman" w:eastAsia="宋体" w:cs="Times New Roman"/>
                <w:szCs w:val="21"/>
              </w:rPr>
              <w:t>.000 005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39"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D</w:t>
            </w:r>
            <w:r>
              <w:rPr>
                <w:rFonts w:ascii="Times New Roman" w:hAnsi="Times New Roman" w:eastAsia="宋体" w:cs="Times New Roman"/>
                <w:szCs w:val="21"/>
              </w:rPr>
              <w:t>2</w:t>
            </w:r>
          </w:p>
        </w:tc>
        <w:tc>
          <w:tcPr>
            <w:tcW w:w="5283"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0</w:t>
            </w:r>
            <w:r>
              <w:rPr>
                <w:rFonts w:ascii="Times New Roman" w:hAnsi="Times New Roman" w:eastAsia="宋体" w:cs="Times New Roman"/>
                <w:szCs w:val="21"/>
              </w:rPr>
              <w:t>.000 008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39"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E</w:t>
            </w:r>
          </w:p>
        </w:tc>
        <w:tc>
          <w:tcPr>
            <w:tcW w:w="5283"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0</w:t>
            </w:r>
            <w:r>
              <w:rPr>
                <w:rFonts w:ascii="Times New Roman" w:hAnsi="Times New Roman" w:eastAsia="宋体" w:cs="Times New Roman"/>
                <w:szCs w:val="21"/>
              </w:rPr>
              <w:t>.000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39" w:type="dxa"/>
            <w:vAlign w:val="center"/>
          </w:tcPr>
          <w:p>
            <w:pPr>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F</w:t>
            </w:r>
          </w:p>
        </w:tc>
        <w:tc>
          <w:tcPr>
            <w:tcW w:w="5283" w:type="dxa"/>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0.00001</w:t>
            </w:r>
          </w:p>
        </w:tc>
      </w:tr>
    </w:tbl>
    <w:p>
      <w:pPr>
        <w:snapToGrid w:val="0"/>
        <w:spacing w:before="156" w:beforeLines="50"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目前，</w:t>
      </w:r>
      <w:r>
        <w:rPr>
          <w:rFonts w:ascii="Times New Roman" w:hAnsi="Times New Roman" w:eastAsia="宋体" w:cs="Times New Roman"/>
          <w:color w:val="000000"/>
          <w:sz w:val="24"/>
          <w:szCs w:val="24"/>
        </w:rPr>
        <w:t>现行的钴酸锂产品标准</w:t>
      </w:r>
      <w:r>
        <w:rPr>
          <w:rFonts w:hint="eastAsia" w:ascii="Times New Roman" w:hAnsi="Times New Roman" w:eastAsia="宋体" w:cs="Times New Roman"/>
          <w:color w:val="000000"/>
          <w:sz w:val="24"/>
          <w:szCs w:val="24"/>
        </w:rPr>
        <w:t>为</w:t>
      </w:r>
      <w:r>
        <w:rPr>
          <w:rFonts w:ascii="Times New Roman" w:hAnsi="Times New Roman" w:eastAsia="宋体" w:cs="Times New Roman"/>
          <w:color w:val="000000"/>
          <w:sz w:val="24"/>
          <w:szCs w:val="24"/>
        </w:rPr>
        <w:t>GB/T 20252</w:t>
      </w:r>
      <w:r>
        <w:rPr>
          <w:rFonts w:hint="eastAsia" w:ascii="Times New Roman" w:hAnsi="Times New Roman" w:eastAsia="宋体" w:cs="Times New Roman"/>
          <w:color w:val="000000"/>
          <w:sz w:val="24"/>
          <w:szCs w:val="24"/>
        </w:rPr>
        <w:t>—</w:t>
      </w:r>
      <w:r>
        <w:rPr>
          <w:rFonts w:ascii="Times New Roman" w:hAnsi="Times New Roman" w:eastAsia="宋体" w:cs="Times New Roman"/>
          <w:color w:val="000000"/>
          <w:sz w:val="24"/>
          <w:szCs w:val="24"/>
        </w:rPr>
        <w:t>2014</w:t>
      </w:r>
      <w:r>
        <w:rPr>
          <w:rFonts w:hint="eastAsia" w:ascii="Times New Roman" w:hAnsi="Times New Roman" w:eastAsia="宋体" w:cs="Times New Roman"/>
          <w:color w:val="000000"/>
          <w:sz w:val="24"/>
          <w:szCs w:val="24"/>
        </w:rPr>
        <w:t>《钴酸锂》，其对产品的磁性异物指标要求为≤0</w:t>
      </w:r>
      <w:r>
        <w:rPr>
          <w:rFonts w:ascii="Times New Roman" w:hAnsi="Times New Roman" w:eastAsia="宋体" w:cs="Times New Roman"/>
          <w:color w:val="000000"/>
          <w:sz w:val="24"/>
          <w:szCs w:val="24"/>
        </w:rPr>
        <w:t>.000 03</w:t>
      </w:r>
      <w:r>
        <w:rPr>
          <w:rFonts w:hint="eastAsia" w:ascii="Times New Roman" w:hAnsi="Times New Roman" w:eastAsia="宋体" w:cs="Times New Roman"/>
          <w:color w:val="000000"/>
          <w:sz w:val="24"/>
          <w:szCs w:val="24"/>
        </w:rPr>
        <w:t>。根据调研结果，设定品质属性要求为：磁性异物≤0</w:t>
      </w:r>
      <w:r>
        <w:rPr>
          <w:rFonts w:ascii="Times New Roman" w:hAnsi="Times New Roman" w:eastAsia="宋体" w:cs="Times New Roman"/>
          <w:color w:val="000000"/>
          <w:sz w:val="24"/>
          <w:szCs w:val="24"/>
        </w:rPr>
        <w:t>.000 015</w:t>
      </w:r>
      <w:r>
        <w:rPr>
          <w:rFonts w:hint="eastAsia" w:ascii="Times New Roman" w:hAnsi="Times New Roman" w:eastAsia="宋体" w:cs="Times New Roman"/>
          <w:color w:val="000000"/>
          <w:sz w:val="24"/>
          <w:szCs w:val="24"/>
        </w:rPr>
        <w:t>。</w:t>
      </w:r>
    </w:p>
    <w:p>
      <w:pPr>
        <w:pStyle w:val="5"/>
      </w:pPr>
      <w:r>
        <w:rPr>
          <w:rFonts w:hint="eastAsia"/>
        </w:rPr>
        <w:t>3</w:t>
      </w:r>
      <w:r>
        <w:t>.2.4 标准其他部分说明</w:t>
      </w:r>
    </w:p>
    <w:p>
      <w:pPr>
        <w:snapToGrid w:val="0"/>
        <w:spacing w:before="156" w:beforeLines="50" w:line="360"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标准中其他部分的内容主要参照已发布实施的中国有色金属工业协会团体标准</w:t>
      </w:r>
      <w:r>
        <w:rPr>
          <w:rFonts w:hint="eastAsia" w:ascii="Times New Roman" w:hAnsi="Times New Roman" w:eastAsia="宋体" w:cs="Times New Roman"/>
          <w:color w:val="000000"/>
          <w:sz w:val="24"/>
          <w:szCs w:val="24"/>
        </w:rPr>
        <w:t>T/CNIA 0047—2020</w:t>
      </w:r>
      <w:r>
        <w:rPr>
          <w:rFonts w:ascii="Times New Roman" w:hAnsi="Times New Roman" w:eastAsia="宋体" w:cs="Times New Roman"/>
          <w:color w:val="000000"/>
          <w:sz w:val="24"/>
          <w:szCs w:val="24"/>
        </w:rPr>
        <w:t>《绿色设计产品评价技术规范 镍钴锰酸锂》、T/CNIA 0046—2020《绿色设计产品评价技术规范 镍钴锰氢氧化物》、T/CNIA 0092—2020《绿色设计产品评价技术规范 镍钴铝酸锂》、T/CNIA 0093—2020《绿色设计产品评价技术规范 镍钴铝</w:t>
      </w:r>
      <w:r>
        <w:rPr>
          <w:rFonts w:hint="eastAsia" w:ascii="Times New Roman" w:hAnsi="Times New Roman" w:eastAsia="宋体" w:cs="Times New Roman"/>
          <w:color w:val="000000"/>
          <w:sz w:val="24"/>
          <w:szCs w:val="24"/>
        </w:rPr>
        <w:t>三元素复合</w:t>
      </w:r>
      <w:r>
        <w:rPr>
          <w:rFonts w:ascii="Times New Roman" w:hAnsi="Times New Roman" w:eastAsia="宋体" w:cs="Times New Roman"/>
          <w:color w:val="000000"/>
          <w:sz w:val="24"/>
          <w:szCs w:val="24"/>
        </w:rPr>
        <w:t>氢氧化物》</w:t>
      </w:r>
      <w:r>
        <w:rPr>
          <w:rFonts w:hint="eastAsia" w:ascii="Times New Roman" w:hAnsi="Times New Roman" w:eastAsia="宋体" w:cs="Times New Roman"/>
          <w:color w:val="000000"/>
          <w:sz w:val="24"/>
          <w:szCs w:val="24"/>
        </w:rPr>
        <w:t>、</w:t>
      </w:r>
      <w:r>
        <w:rPr>
          <w:rFonts w:ascii="Times New Roman" w:hAnsi="Times New Roman" w:eastAsia="宋体" w:cs="Times New Roman"/>
          <w:color w:val="000000"/>
          <w:sz w:val="24"/>
          <w:szCs w:val="24"/>
        </w:rPr>
        <w:t>T/CNIA 0130—2020</w:t>
      </w:r>
      <w:r>
        <w:rPr>
          <w:rFonts w:hint="eastAsia" w:ascii="Times New Roman" w:hAnsi="Times New Roman" w:eastAsia="宋体" w:cs="Times New Roman"/>
          <w:color w:val="000000"/>
          <w:sz w:val="24"/>
          <w:szCs w:val="24"/>
        </w:rPr>
        <w:t>《绿色设计产品评价技术规范 四氧化三钴》以及</w:t>
      </w:r>
      <w:r>
        <w:rPr>
          <w:rFonts w:ascii="Times New Roman" w:hAnsi="Times New Roman" w:eastAsia="宋体" w:cs="Times New Roman"/>
          <w:color w:val="000000"/>
          <w:sz w:val="24"/>
          <w:szCs w:val="24"/>
        </w:rPr>
        <w:t>T/CNIA 0155—2020</w:t>
      </w:r>
      <w:r>
        <w:rPr>
          <w:rFonts w:hint="eastAsia" w:ascii="Times New Roman" w:hAnsi="Times New Roman" w:eastAsia="宋体" w:cs="Times New Roman"/>
          <w:color w:val="000000"/>
          <w:sz w:val="24"/>
          <w:szCs w:val="24"/>
        </w:rPr>
        <w:t>《绿色设计产品评价技术规范 镍钴酸锂》</w:t>
      </w:r>
      <w:r>
        <w:rPr>
          <w:rFonts w:ascii="Times New Roman" w:hAnsi="Times New Roman" w:eastAsia="宋体" w:cs="Times New Roman"/>
          <w:color w:val="000000"/>
          <w:sz w:val="24"/>
          <w:szCs w:val="24"/>
        </w:rPr>
        <w:t>，根据钴酸锂产品和生产工艺的特点进行相应修改。</w:t>
      </w:r>
    </w:p>
    <w:p>
      <w:pPr>
        <w:pStyle w:val="3"/>
        <w:spacing w:before="156" w:after="156"/>
      </w:pPr>
      <w:r>
        <w:t>四、标准中涉及专利的情况</w:t>
      </w:r>
    </w:p>
    <w:p>
      <w:pPr>
        <w:snapToGrid w:val="0"/>
        <w:spacing w:before="156" w:beforeLines="50"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本标准不涉及任何已有专利内容，与国家及行业其他标准无知识产权和专利冲突。</w:t>
      </w:r>
    </w:p>
    <w:p>
      <w:pPr>
        <w:pStyle w:val="3"/>
        <w:spacing w:before="156" w:after="156"/>
      </w:pPr>
      <w:r>
        <w:t>五、预期达到的社会效益等情况</w:t>
      </w:r>
    </w:p>
    <w:p>
      <w:pPr>
        <w:pStyle w:val="5"/>
      </w:pPr>
      <w:r>
        <w:t>5.</w:t>
      </w:r>
      <w:r>
        <w:rPr>
          <w:rFonts w:hint="eastAsia"/>
        </w:rPr>
        <w:t>1 钴酸锂材料在3C领域具有举足轻重地位</w:t>
      </w:r>
    </w:p>
    <w:p>
      <w:pPr>
        <w:pStyle w:val="19"/>
        <w:widowControl/>
        <w:spacing w:beforeAutospacing="0" w:afterAutospacing="0" w:line="360" w:lineRule="auto"/>
        <w:ind w:firstLine="480" w:firstLineChars="200"/>
        <w:jc w:val="both"/>
        <w:rPr>
          <w:rFonts w:ascii="Times New Roman" w:hAnsi="Times New Roman" w:eastAsia="宋体"/>
          <w:color w:val="000000"/>
          <w:szCs w:val="24"/>
        </w:rPr>
      </w:pPr>
      <w:r>
        <w:rPr>
          <w:rFonts w:hint="eastAsia" w:ascii="Times New Roman" w:hAnsi="Times New Roman" w:eastAsia="宋体"/>
          <w:color w:val="000000"/>
          <w:szCs w:val="24"/>
        </w:rPr>
        <w:t>钴酸锂具有高比能量、循环性能好、合成容易、安全性高等优点，使用钴酸锂材料制造得到的锂离子电池具有结构稳定、容量比高、重量轻、体积小等优点，目前被广泛应用于移动电话、笔记本电脑、摄录机、各种便携电动工具、电子仪表及军工设备等3C消费量市场，具有绝对的市场优势。据高工锂电统计，我国钴酸锂2019年出货量6.6万吨，2020年出货量8.2万吨，据锂业分会统计2021年钴酸锂出货量为10.1万吨。虽然出货量逐渐增加，但市场趋于饱和，增长缓慢，面临产能过剩的问题。</w:t>
      </w:r>
    </w:p>
    <w:p>
      <w:pPr>
        <w:pStyle w:val="5"/>
      </w:pPr>
      <w:r>
        <w:t>5.</w:t>
      </w:r>
      <w:r>
        <w:rPr>
          <w:rFonts w:hint="eastAsia"/>
        </w:rPr>
        <w:t>2 促进产品绿色低碳化发展</w:t>
      </w:r>
    </w:p>
    <w:p>
      <w:pPr>
        <w:pStyle w:val="19"/>
        <w:widowControl/>
        <w:spacing w:beforeAutospacing="0" w:afterAutospacing="0" w:line="360" w:lineRule="auto"/>
        <w:ind w:firstLine="480" w:firstLineChars="200"/>
        <w:jc w:val="both"/>
        <w:rPr>
          <w:rFonts w:ascii="Times New Roman" w:hAnsi="Times New Roman" w:eastAsia="宋体"/>
          <w:color w:val="000000"/>
          <w:szCs w:val="24"/>
        </w:rPr>
      </w:pPr>
      <w:r>
        <w:rPr>
          <w:rFonts w:hint="eastAsia" w:ascii="Times New Roman" w:hAnsi="Times New Roman" w:eastAsia="宋体"/>
          <w:color w:val="000000"/>
          <w:szCs w:val="24"/>
        </w:rPr>
        <w:t>由于我国钴资源量严重不足，且近年来正极材料发展迅速，导致国内钴资源供需矛盾进一步加剧，我国对钴原料的进口依赖程度也更加严重。绿色设计产品评价技术规范将从产品的资源属性、能源属性、环境属性以及产品属性指标的提出具体的评价要求，从全生命周期的角度对产品生产过程的物耗、生产或使用过程的能耗和环境污染限值，以及产品的使用和健康安全性能等多方面因素作出综合的考量。与产品标准相比，本标准的指标要求更严格，且考虑了产品对环境的影响，更具综合性和协调性。通过标准的倒逼，将优化产业结构促，推动企业淘汰低效、高耗能的设备和工艺，采用资源节约和环境友好的技术工艺和原料，提高企业产品生产能力和技术水平，降低产品能源消耗量、资源消耗量、三废排放量、碳排放量，提高产品质量，促进产品实现绿色低碳化发展。</w:t>
      </w:r>
    </w:p>
    <w:p>
      <w:pPr>
        <w:pStyle w:val="5"/>
      </w:pPr>
      <w:r>
        <w:t>5.</w:t>
      </w:r>
      <w:r>
        <w:rPr>
          <w:rFonts w:hint="eastAsia"/>
        </w:rPr>
        <w:t>3 协助第三方机构及主管部门开展绿色评价提供标准依据</w:t>
      </w:r>
    </w:p>
    <w:p>
      <w:pPr>
        <w:pStyle w:val="19"/>
        <w:widowControl/>
        <w:spacing w:beforeAutospacing="0" w:afterAutospacing="0" w:line="360" w:lineRule="auto"/>
        <w:ind w:firstLine="480" w:firstLineChars="200"/>
        <w:jc w:val="both"/>
        <w:rPr>
          <w:rFonts w:ascii="Times New Roman" w:hAnsi="Times New Roman" w:eastAsia="宋体"/>
          <w:color w:val="000000"/>
          <w:szCs w:val="24"/>
        </w:rPr>
      </w:pPr>
      <w:r>
        <w:rPr>
          <w:rFonts w:hint="eastAsia" w:ascii="Times New Roman" w:hAnsi="Times New Roman" w:eastAsia="宋体"/>
          <w:color w:val="000000"/>
          <w:szCs w:val="24"/>
        </w:rPr>
        <w:t>绿色设计产品评价技术规范是衡量企业绿色发展及产品绿色低碳环保性的一把标尺，可为第三方机构开展绿色产品评价的依据，也可为主管部门提供采信的依据。同时，对生产企业而言，该标准可以作为产品开发设计以及设备工艺技术改进创新的指导和标尺。本标准的实施，能促使企业生产符合绿色制造体系的钴酸锂产品，在质量方面、环保低碳方面提升产品竞争力，提升企业及产品的经济效益、社会效益和环保效益。</w:t>
      </w:r>
    </w:p>
    <w:p>
      <w:pPr>
        <w:pStyle w:val="5"/>
      </w:pPr>
      <w:r>
        <w:t>5.</w:t>
      </w:r>
      <w:r>
        <w:rPr>
          <w:rFonts w:hint="eastAsia"/>
        </w:rPr>
        <w:t>4 国家政策鼓励制定绿色设计产品标准的制定</w:t>
      </w:r>
    </w:p>
    <w:p>
      <w:pPr>
        <w:pStyle w:val="19"/>
        <w:widowControl/>
        <w:spacing w:beforeAutospacing="0" w:afterAutospacing="0" w:line="360" w:lineRule="auto"/>
        <w:ind w:firstLine="480" w:firstLineChars="200"/>
        <w:jc w:val="both"/>
        <w:rPr>
          <w:rFonts w:ascii="Times New Roman" w:hAnsi="Times New Roman" w:eastAsia="宋体"/>
          <w:color w:val="000000"/>
          <w:szCs w:val="24"/>
        </w:rPr>
      </w:pPr>
      <w:r>
        <w:rPr>
          <w:rFonts w:hint="eastAsia" w:ascii="Times New Roman" w:hAnsi="Times New Roman" w:eastAsia="宋体"/>
          <w:color w:val="000000"/>
          <w:szCs w:val="24"/>
        </w:rPr>
        <w:t>《“十四五”推动高质量发展的国家标准体系建设规划》在第9条提出要开展产品设计、生产过程、使用、回收及再利用等全生命周期的绿色标准制定。《中华人民共和国国民经济和社会发展第十四个五年规划和2035年远景目标纲要》在第三十九章第三节中提出建立统一的绿色产品标准、认证、标识体系，大力发展绿色经济。《国家标准化发展纲要》在第十四条中指出要筑牢绿色生产标准基础。建立健全清洁生产标准，不断完善资源循环利用、产品绿色设计、绿色包装和绿色供应链、产业废弃物综合利用等标准。《2022年全国标准化工作要点》在第6条中指出要出台一批绿色低碳标准。因此，本标准是属于国家政策鼓励的项目，被列入《有色金属行业绿色低碳标准化三年行动计划（2021-2023）》。</w:t>
      </w:r>
    </w:p>
    <w:p>
      <w:pPr>
        <w:pStyle w:val="3"/>
        <w:spacing w:before="156" w:after="156"/>
        <w:rPr>
          <w:rFonts w:hint="default"/>
        </w:rPr>
      </w:pPr>
      <w:r>
        <w:t>六、采用国际标准和国外先进标准的情况</w:t>
      </w:r>
    </w:p>
    <w:p>
      <w:pPr>
        <w:snapToGrid w:val="0"/>
        <w:spacing w:line="360"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sz w:val="24"/>
          <w:szCs w:val="24"/>
        </w:rPr>
        <w:t>没有查找到国内外</w:t>
      </w:r>
      <w:r>
        <w:rPr>
          <w:rFonts w:ascii="Times New Roman" w:hAnsi="Times New Roman" w:cs="Times New Roman"/>
          <w:sz w:val="24"/>
        </w:rPr>
        <w:t>钴酸锂绿色设计产品评价技术规范</w:t>
      </w:r>
      <w:r>
        <w:rPr>
          <w:rFonts w:ascii="Times New Roman" w:hAnsi="Times New Roman" w:eastAsia="宋体" w:cs="Times New Roman"/>
          <w:sz w:val="24"/>
          <w:szCs w:val="24"/>
        </w:rPr>
        <w:t>的相关标准，故没有相应的国内外标准可采用。</w:t>
      </w:r>
    </w:p>
    <w:p>
      <w:pPr>
        <w:autoSpaceDE w:val="0"/>
        <w:autoSpaceDN w:val="0"/>
        <w:snapToGrid w:val="0"/>
        <w:spacing w:line="360" w:lineRule="auto"/>
        <w:ind w:firstLine="480" w:firstLineChars="200"/>
        <w:jc w:val="left"/>
        <w:rPr>
          <w:rFonts w:ascii="Times New Roman" w:hAnsi="Times New Roman" w:cs="Times New Roman"/>
        </w:rPr>
      </w:pPr>
      <w:r>
        <w:rPr>
          <w:rFonts w:ascii="Times New Roman" w:hAnsi="Times New Roman" w:eastAsia="宋体" w:cs="Times New Roman"/>
          <w:color w:val="000000"/>
          <w:sz w:val="24"/>
          <w:szCs w:val="24"/>
        </w:rPr>
        <w:t>本标准主要参考了</w:t>
      </w:r>
      <w:r>
        <w:rPr>
          <w:rFonts w:hint="eastAsia" w:ascii="Times New Roman" w:hAnsi="Times New Roman" w:eastAsia="宋体" w:cs="Times New Roman"/>
          <w:color w:val="000000"/>
          <w:sz w:val="24"/>
          <w:szCs w:val="24"/>
        </w:rPr>
        <w:t>T/CNIA 0047—2020《绿色设计产品评价技术规范 镍钴锰酸锂》、T/CNIA 0046—2020《绿色设计产品评价技术规范 镍钴锰氢氧化物》、T/CNIA 0092—2020《绿色设计产品评价技术规范 镍钴铝酸锂》、T/CNIA 0093—2020《绿色设计产品评价技术规范 镍钴铝三元素复合氢氧化物》</w:t>
      </w:r>
      <w:r>
        <w:rPr>
          <w:rFonts w:ascii="Times New Roman" w:hAnsi="Times New Roman" w:eastAsia="宋体" w:cs="Times New Roman"/>
          <w:color w:val="000000"/>
          <w:sz w:val="24"/>
          <w:szCs w:val="24"/>
        </w:rPr>
        <w:t>、GB/T 32161</w:t>
      </w:r>
      <w:r>
        <w:rPr>
          <w:rFonts w:hint="eastAsia" w:ascii="Times New Roman" w:hAnsi="Times New Roman" w:eastAsia="宋体" w:cs="Times New Roman"/>
          <w:color w:val="000000"/>
          <w:sz w:val="24"/>
          <w:szCs w:val="24"/>
        </w:rPr>
        <w:t>—2</w:t>
      </w:r>
      <w:r>
        <w:rPr>
          <w:rFonts w:ascii="Times New Roman" w:hAnsi="Times New Roman" w:eastAsia="宋体" w:cs="Times New Roman"/>
          <w:color w:val="000000"/>
          <w:sz w:val="24"/>
          <w:szCs w:val="24"/>
        </w:rPr>
        <w:t>015《生态设计产品评价通则》、</w:t>
      </w:r>
      <w:r>
        <w:rPr>
          <w:rFonts w:hint="eastAsia" w:ascii="Times New Roman" w:hAnsi="Times New Roman" w:eastAsia="宋体" w:cs="Times New Roman"/>
          <w:color w:val="000000"/>
          <w:sz w:val="24"/>
          <w:szCs w:val="24"/>
        </w:rPr>
        <w:t>GB/T 33761—2017《绿色产品评价通则》、</w:t>
      </w:r>
      <w:r>
        <w:rPr>
          <w:rFonts w:ascii="Times New Roman" w:hAnsi="Times New Roman" w:eastAsia="宋体" w:cs="Times New Roman"/>
          <w:color w:val="000000"/>
          <w:sz w:val="24"/>
          <w:szCs w:val="24"/>
        </w:rPr>
        <w:t>GB/T 12348</w:t>
      </w:r>
      <w:r>
        <w:rPr>
          <w:rFonts w:hint="eastAsia" w:ascii="Times New Roman" w:hAnsi="Times New Roman" w:eastAsia="宋体" w:cs="Times New Roman"/>
          <w:color w:val="000000"/>
          <w:sz w:val="24"/>
          <w:szCs w:val="24"/>
        </w:rPr>
        <w:t>—2</w:t>
      </w:r>
      <w:r>
        <w:rPr>
          <w:rFonts w:ascii="Times New Roman" w:hAnsi="Times New Roman" w:eastAsia="宋体" w:cs="Times New Roman"/>
          <w:color w:val="000000"/>
          <w:sz w:val="24"/>
          <w:szCs w:val="24"/>
        </w:rPr>
        <w:t>008《工业企业厂界环境噪声排放标准》、GB/T 16483</w:t>
      </w:r>
      <w:r>
        <w:rPr>
          <w:rFonts w:hint="eastAsia" w:ascii="Times New Roman" w:hAnsi="Times New Roman" w:eastAsia="宋体" w:cs="Times New Roman"/>
          <w:color w:val="000000"/>
          <w:sz w:val="24"/>
          <w:szCs w:val="24"/>
        </w:rPr>
        <w:t>—2</w:t>
      </w:r>
      <w:r>
        <w:rPr>
          <w:rFonts w:ascii="Times New Roman" w:hAnsi="Times New Roman" w:eastAsia="宋体" w:cs="Times New Roman"/>
          <w:color w:val="000000"/>
          <w:sz w:val="24"/>
          <w:szCs w:val="24"/>
        </w:rPr>
        <w:t>008《化学品安全技术说明书 内容和项目顺序》、GB/T 17167</w:t>
      </w:r>
      <w:r>
        <w:rPr>
          <w:rFonts w:hint="eastAsia" w:ascii="Times New Roman" w:hAnsi="Times New Roman" w:eastAsia="宋体" w:cs="Times New Roman"/>
          <w:color w:val="000000"/>
          <w:sz w:val="24"/>
          <w:szCs w:val="24"/>
        </w:rPr>
        <w:t>—2</w:t>
      </w:r>
      <w:r>
        <w:rPr>
          <w:rFonts w:ascii="Times New Roman" w:hAnsi="Times New Roman" w:eastAsia="宋体" w:cs="Times New Roman"/>
          <w:color w:val="000000"/>
          <w:sz w:val="24"/>
          <w:szCs w:val="24"/>
        </w:rPr>
        <w:t>006《用能单位能源计量器具配备和管理通则》、GB 18597</w:t>
      </w:r>
      <w:r>
        <w:rPr>
          <w:rFonts w:hint="eastAsia" w:ascii="Times New Roman" w:hAnsi="Times New Roman" w:eastAsia="宋体" w:cs="Times New Roman"/>
          <w:color w:val="000000"/>
          <w:sz w:val="24"/>
          <w:szCs w:val="24"/>
        </w:rPr>
        <w:t>—2</w:t>
      </w:r>
      <w:r>
        <w:rPr>
          <w:rFonts w:ascii="Times New Roman" w:hAnsi="Times New Roman" w:eastAsia="宋体" w:cs="Times New Roman"/>
          <w:color w:val="000000"/>
          <w:sz w:val="24"/>
          <w:szCs w:val="24"/>
        </w:rPr>
        <w:t>023《危险废物贮存污染控制标准》、GB/T 19001</w:t>
      </w:r>
      <w:r>
        <w:rPr>
          <w:rFonts w:hint="eastAsia" w:ascii="Times New Roman" w:hAnsi="Times New Roman" w:eastAsia="宋体" w:cs="Times New Roman"/>
          <w:color w:val="000000"/>
          <w:sz w:val="24"/>
          <w:szCs w:val="24"/>
        </w:rPr>
        <w:t>—2</w:t>
      </w:r>
      <w:r>
        <w:rPr>
          <w:rFonts w:ascii="Times New Roman" w:hAnsi="Times New Roman" w:eastAsia="宋体" w:cs="Times New Roman"/>
          <w:color w:val="000000"/>
          <w:sz w:val="24"/>
          <w:szCs w:val="24"/>
        </w:rPr>
        <w:t>016《质量管理体系 要求》、GB/T 23331</w:t>
      </w:r>
      <w:r>
        <w:rPr>
          <w:rFonts w:hint="eastAsia" w:ascii="Times New Roman" w:hAnsi="Times New Roman" w:eastAsia="宋体" w:cs="Times New Roman"/>
          <w:color w:val="000000"/>
          <w:sz w:val="24"/>
          <w:szCs w:val="24"/>
        </w:rPr>
        <w:t>—2</w:t>
      </w:r>
      <w:r>
        <w:rPr>
          <w:rFonts w:ascii="Times New Roman" w:hAnsi="Times New Roman" w:eastAsia="宋体" w:cs="Times New Roman"/>
          <w:color w:val="000000"/>
          <w:sz w:val="24"/>
          <w:szCs w:val="24"/>
        </w:rPr>
        <w:t>020《</w:t>
      </w:r>
      <w:r>
        <w:rPr>
          <w:rFonts w:hint="eastAsia" w:ascii="Times New Roman" w:hAnsi="Times New Roman" w:eastAsia="宋体" w:cs="Times New Roman"/>
          <w:color w:val="000000"/>
          <w:sz w:val="24"/>
          <w:szCs w:val="24"/>
        </w:rPr>
        <w:t xml:space="preserve">能源管理体系 要求及使用指南 </w:t>
      </w:r>
      <w:r>
        <w:rPr>
          <w:rFonts w:ascii="Times New Roman" w:hAnsi="Times New Roman" w:eastAsia="宋体" w:cs="Times New Roman"/>
          <w:color w:val="000000"/>
          <w:sz w:val="24"/>
          <w:szCs w:val="24"/>
        </w:rPr>
        <w:t>》、GB/T 24001</w:t>
      </w:r>
      <w:r>
        <w:rPr>
          <w:rFonts w:hint="eastAsia" w:ascii="Times New Roman" w:hAnsi="Times New Roman" w:eastAsia="宋体" w:cs="Times New Roman"/>
          <w:color w:val="000000"/>
          <w:sz w:val="24"/>
          <w:szCs w:val="24"/>
        </w:rPr>
        <w:t>—2</w:t>
      </w:r>
      <w:r>
        <w:rPr>
          <w:rFonts w:ascii="Times New Roman" w:hAnsi="Times New Roman" w:eastAsia="宋体" w:cs="Times New Roman"/>
          <w:color w:val="000000"/>
          <w:sz w:val="24"/>
          <w:szCs w:val="24"/>
        </w:rPr>
        <w:t>016《环境管理体系 要求及使用指南》、GB/T 24040</w:t>
      </w:r>
      <w:r>
        <w:rPr>
          <w:rFonts w:hint="eastAsia" w:ascii="Times New Roman" w:hAnsi="Times New Roman" w:eastAsia="宋体" w:cs="Times New Roman"/>
          <w:color w:val="000000"/>
          <w:sz w:val="24"/>
          <w:szCs w:val="24"/>
        </w:rPr>
        <w:t>—2</w:t>
      </w:r>
      <w:r>
        <w:rPr>
          <w:rFonts w:ascii="Times New Roman" w:hAnsi="Times New Roman" w:eastAsia="宋体" w:cs="Times New Roman"/>
          <w:color w:val="000000"/>
          <w:sz w:val="24"/>
          <w:szCs w:val="24"/>
        </w:rPr>
        <w:t>008《环境管理 生命周期评价 原则与框架》、GB/T 24044</w:t>
      </w:r>
      <w:r>
        <w:rPr>
          <w:rFonts w:hint="eastAsia" w:ascii="Times New Roman" w:hAnsi="Times New Roman" w:eastAsia="宋体" w:cs="Times New Roman"/>
          <w:color w:val="000000"/>
          <w:sz w:val="24"/>
          <w:szCs w:val="24"/>
        </w:rPr>
        <w:t>—2</w:t>
      </w:r>
      <w:r>
        <w:rPr>
          <w:rFonts w:ascii="Times New Roman" w:hAnsi="Times New Roman" w:eastAsia="宋体" w:cs="Times New Roman"/>
          <w:color w:val="000000"/>
          <w:sz w:val="24"/>
          <w:szCs w:val="24"/>
        </w:rPr>
        <w:t>008《环境管理 生命周期评价 要求与指南》、GB/T 45001</w:t>
      </w:r>
      <w:r>
        <w:rPr>
          <w:rFonts w:hint="eastAsia" w:ascii="Times New Roman" w:hAnsi="Times New Roman" w:eastAsia="宋体" w:cs="Times New Roman"/>
          <w:color w:val="000000"/>
          <w:sz w:val="24"/>
          <w:szCs w:val="24"/>
        </w:rPr>
        <w:t>—</w:t>
      </w:r>
      <w:r>
        <w:rPr>
          <w:rFonts w:ascii="Times New Roman" w:hAnsi="Times New Roman" w:eastAsia="宋体" w:cs="Times New Roman"/>
          <w:color w:val="000000"/>
          <w:sz w:val="24"/>
          <w:szCs w:val="24"/>
        </w:rPr>
        <w:t>2020《</w:t>
      </w:r>
      <w:r>
        <w:rPr>
          <w:rFonts w:hint="eastAsia" w:ascii="Times New Roman" w:hAnsi="Times New Roman" w:eastAsia="宋体" w:cs="Times New Roman"/>
          <w:color w:val="000000"/>
          <w:sz w:val="24"/>
          <w:szCs w:val="24"/>
        </w:rPr>
        <w:t>职业健康安全管理体系 要求及使用指南</w:t>
      </w:r>
      <w:r>
        <w:rPr>
          <w:rFonts w:ascii="Times New Roman" w:hAnsi="Times New Roman" w:eastAsia="宋体" w:cs="Times New Roman"/>
          <w:color w:val="000000"/>
          <w:sz w:val="24"/>
          <w:szCs w:val="24"/>
        </w:rPr>
        <w:t>》、GB/T 33000</w:t>
      </w:r>
      <w:r>
        <w:rPr>
          <w:rFonts w:hint="eastAsia" w:ascii="Times New Roman" w:hAnsi="Times New Roman" w:eastAsia="宋体" w:cs="Times New Roman"/>
          <w:color w:val="000000"/>
          <w:sz w:val="24"/>
          <w:szCs w:val="24"/>
        </w:rPr>
        <w:t>—2</w:t>
      </w:r>
      <w:r>
        <w:rPr>
          <w:rFonts w:ascii="Times New Roman" w:hAnsi="Times New Roman" w:eastAsia="宋体" w:cs="Times New Roman"/>
          <w:color w:val="000000"/>
          <w:sz w:val="24"/>
          <w:szCs w:val="24"/>
        </w:rPr>
        <w:t>016《企业安全生产标准化基本规范》。</w:t>
      </w:r>
    </w:p>
    <w:p>
      <w:pPr>
        <w:autoSpaceDE w:val="0"/>
        <w:autoSpaceDN w:val="0"/>
        <w:snapToGrid w:val="0"/>
        <w:spacing w:line="360" w:lineRule="auto"/>
        <w:ind w:firstLine="480" w:firstLineChars="200"/>
        <w:jc w:val="lef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编制内容以</w:t>
      </w:r>
      <w:r>
        <w:rPr>
          <w:rFonts w:hint="eastAsia" w:ascii="Times New Roman" w:hAnsi="Times New Roman" w:eastAsia="宋体" w:cs="Times New Roman"/>
          <w:color w:val="000000"/>
          <w:sz w:val="24"/>
          <w:szCs w:val="24"/>
        </w:rPr>
        <w:t>GB/T 32161—2015《生态设计产品评价通则》</w:t>
      </w:r>
      <w:r>
        <w:rPr>
          <w:rFonts w:ascii="Times New Roman" w:hAnsi="Times New Roman" w:eastAsia="宋体" w:cs="Times New Roman"/>
          <w:color w:val="000000"/>
          <w:sz w:val="24"/>
          <w:szCs w:val="24"/>
        </w:rPr>
        <w:t>为基本框架，参照已发布的绿色产品评价相关的国家、行业及团体标准。</w:t>
      </w:r>
    </w:p>
    <w:p>
      <w:pPr>
        <w:pStyle w:val="3"/>
        <w:spacing w:before="156" w:after="156"/>
        <w:rPr>
          <w:rFonts w:hint="default"/>
        </w:rPr>
      </w:pPr>
      <w:r>
        <w:t>七、与有关的现行法律、法规和强制性国家标准及相关标准协调配套情况</w:t>
      </w:r>
    </w:p>
    <w:p>
      <w:pPr>
        <w:snapToGrid w:val="0"/>
        <w:spacing w:line="360"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本标准与相关法律、法规、规章及相关标准协调一致，没有冲突。</w:t>
      </w:r>
    </w:p>
    <w:p>
      <w:pPr>
        <w:pStyle w:val="3"/>
        <w:spacing w:before="156" w:after="156"/>
        <w:rPr>
          <w:rFonts w:hint="default"/>
        </w:rPr>
      </w:pPr>
      <w:r>
        <w:t>八、重大分歧意见的处理经过和依据</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无。</w:t>
      </w:r>
    </w:p>
    <w:p>
      <w:pPr>
        <w:pStyle w:val="3"/>
        <w:spacing w:before="156" w:after="156"/>
        <w:rPr>
          <w:rFonts w:hint="default"/>
        </w:rPr>
      </w:pPr>
      <w:r>
        <w:t>九、标准性质的建议说明</w:t>
      </w:r>
    </w:p>
    <w:p>
      <w:pPr>
        <w:spacing w:line="360" w:lineRule="auto"/>
        <w:ind w:firstLine="480"/>
        <w:rPr>
          <w:rFonts w:ascii="Times New Roman" w:hAnsi="Times New Roman" w:eastAsia="宋体" w:cs="Times New Roman"/>
          <w:sz w:val="24"/>
          <w:szCs w:val="24"/>
        </w:rPr>
      </w:pPr>
      <w:r>
        <w:rPr>
          <w:rFonts w:hint="eastAsia" w:ascii="Times New Roman" w:hAnsi="Times New Roman" w:eastAsia="宋体" w:cs="Times New Roman"/>
          <w:sz w:val="24"/>
          <w:szCs w:val="24"/>
        </w:rPr>
        <w:t>本项目为推荐性团体标准。</w:t>
      </w:r>
    </w:p>
    <w:p>
      <w:pPr>
        <w:pStyle w:val="3"/>
        <w:spacing w:before="156" w:after="156"/>
        <w:rPr>
          <w:rFonts w:hint="default"/>
        </w:rPr>
      </w:pPr>
      <w:r>
        <w:t>十、贯彻标准的要求和措施建议，包括（组织措施、技术措施、过渡办法）</w:t>
      </w:r>
    </w:p>
    <w:p>
      <w:pPr>
        <w:spacing w:line="360" w:lineRule="auto"/>
        <w:ind w:firstLine="480"/>
        <w:rPr>
          <w:rFonts w:ascii="Times New Roman" w:hAnsi="Times New Roman" w:eastAsia="宋体" w:cs="Times New Roman"/>
          <w:sz w:val="22"/>
          <w:szCs w:val="28"/>
        </w:rPr>
      </w:pPr>
      <w:r>
        <w:rPr>
          <w:rFonts w:ascii="Times New Roman" w:hAnsi="Times New Roman" w:eastAsia="宋体" w:cs="Times New Roman"/>
          <w:sz w:val="24"/>
          <w:szCs w:val="24"/>
        </w:rPr>
        <w:t>由于本标准首次制定，没有特殊要求。</w:t>
      </w:r>
    </w:p>
    <w:p>
      <w:pPr>
        <w:pStyle w:val="3"/>
        <w:spacing w:before="156" w:after="156"/>
        <w:rPr>
          <w:rFonts w:hint="default"/>
        </w:rPr>
      </w:pPr>
      <w:r>
        <w:t>十一、废止现行相关标准的建议</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无。</w:t>
      </w:r>
    </w:p>
    <w:p>
      <w:pPr>
        <w:pStyle w:val="3"/>
        <w:spacing w:before="156" w:after="156"/>
        <w:rPr>
          <w:rFonts w:hint="default"/>
        </w:rPr>
      </w:pPr>
      <w:r>
        <w:t>十二、其他应予说明的事项</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无。</w:t>
      </w:r>
    </w:p>
    <w:p>
      <w:pPr>
        <w:spacing w:before="156" w:beforeLines="50" w:after="156" w:afterLines="50" w:line="360" w:lineRule="auto"/>
        <w:ind w:firstLine="480" w:firstLineChars="200"/>
        <w:rPr>
          <w:rFonts w:ascii="Times New Roman" w:hAnsi="Times New Roman" w:eastAsia="宋体" w:cs="Times New Roman"/>
          <w:sz w:val="24"/>
          <w:szCs w:val="28"/>
        </w:rPr>
      </w:pPr>
    </w:p>
    <w:p>
      <w:pPr>
        <w:pStyle w:val="2"/>
        <w:rPr>
          <w:rFonts w:hint="eastAsia"/>
        </w:rPr>
      </w:pPr>
    </w:p>
    <w:p>
      <w:pPr>
        <w:pStyle w:val="2"/>
        <w:rPr>
          <w:rFonts w:hint="eastAsia"/>
        </w:rPr>
      </w:pPr>
    </w:p>
    <w:p>
      <w:pPr>
        <w:spacing w:line="360" w:lineRule="auto"/>
        <w:ind w:firstLine="2650" w:firstLineChars="1100"/>
        <w:rPr>
          <w:rFonts w:ascii="Times New Roman" w:hAnsi="Times New Roman" w:eastAsia="宋体" w:cs="Times New Roman"/>
          <w:b/>
          <w:bCs/>
          <w:sz w:val="24"/>
          <w:szCs w:val="28"/>
        </w:rPr>
      </w:pPr>
      <w:r>
        <w:rPr>
          <w:rFonts w:ascii="Times New Roman" w:hAnsi="Times New Roman" w:eastAsia="宋体" w:cs="Times New Roman"/>
          <w:b/>
          <w:bCs/>
          <w:sz w:val="24"/>
          <w:szCs w:val="28"/>
        </w:rPr>
        <w:t>《</w:t>
      </w:r>
      <w:r>
        <w:rPr>
          <w:rFonts w:ascii="Times New Roman" w:hAnsi="Times New Roman" w:cs="Times New Roman"/>
          <w:b/>
          <w:bCs/>
          <w:color w:val="000000"/>
          <w:sz w:val="24"/>
          <w:szCs w:val="24"/>
        </w:rPr>
        <w:t>绿色设计产品评价技术规范 钴酸锂</w:t>
      </w:r>
      <w:r>
        <w:rPr>
          <w:rFonts w:ascii="Times New Roman" w:hAnsi="Times New Roman" w:eastAsia="宋体" w:cs="Times New Roman"/>
          <w:b/>
          <w:bCs/>
          <w:sz w:val="24"/>
          <w:szCs w:val="28"/>
        </w:rPr>
        <w:t>》标准编制组</w:t>
      </w:r>
    </w:p>
    <w:p>
      <w:pPr>
        <w:spacing w:line="360" w:lineRule="auto"/>
        <w:ind w:right="723" w:firstLine="480"/>
        <w:jc w:val="right"/>
        <w:rPr>
          <w:rFonts w:ascii="Times New Roman" w:hAnsi="Times New Roman" w:eastAsia="宋体" w:cs="Times New Roman"/>
          <w:b/>
          <w:bCs/>
          <w:color w:val="000000"/>
          <w:sz w:val="24"/>
          <w:szCs w:val="24"/>
        </w:rPr>
      </w:pPr>
      <w:r>
        <w:rPr>
          <w:rFonts w:ascii="Times New Roman" w:hAnsi="Times New Roman" w:eastAsia="宋体" w:cs="Times New Roman"/>
          <w:b/>
          <w:bCs/>
          <w:color w:val="000000"/>
          <w:sz w:val="24"/>
          <w:szCs w:val="24"/>
        </w:rPr>
        <w:t>2023年</w:t>
      </w:r>
      <w:r>
        <w:rPr>
          <w:rFonts w:hint="eastAsia" w:ascii="Times New Roman" w:hAnsi="Times New Roman" w:eastAsia="宋体" w:cs="Times New Roman"/>
          <w:b/>
          <w:bCs/>
          <w:color w:val="000000"/>
          <w:sz w:val="24"/>
          <w:szCs w:val="24"/>
          <w:lang w:val="en-US" w:eastAsia="zh-CN"/>
        </w:rPr>
        <w:t>8</w:t>
      </w:r>
      <w:r>
        <w:rPr>
          <w:rFonts w:ascii="Times New Roman" w:hAnsi="Times New Roman" w:eastAsia="宋体" w:cs="Times New Roman"/>
          <w:b/>
          <w:bCs/>
          <w:color w:val="000000"/>
          <w:sz w:val="24"/>
          <w:szCs w:val="24"/>
        </w:rPr>
        <w:t>月</w:t>
      </w:r>
    </w:p>
    <w:p>
      <w:pPr>
        <w:spacing w:before="156" w:beforeLines="50" w:after="156" w:afterLines="50"/>
        <w:rPr>
          <w:rFonts w:ascii="Times New Roman" w:hAnsi="Times New Roman" w:eastAsia="宋体" w:cs="Times New Roman"/>
          <w:bCs/>
          <w:sz w:val="24"/>
          <w:szCs w:val="24"/>
        </w:rPr>
      </w:pPr>
    </w:p>
    <w:p>
      <w:pPr>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95C905"/>
    <w:multiLevelType w:val="singleLevel"/>
    <w:tmpl w:val="2F95C905"/>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lYWE2YzMxZDFlZTVjN2ZjNjZmNDMwOTEyMGVlYWUifQ=="/>
  </w:docVars>
  <w:rsids>
    <w:rsidRoot w:val="20B010DC"/>
    <w:rsid w:val="00083A1B"/>
    <w:rsid w:val="000F6D0A"/>
    <w:rsid w:val="00114B8A"/>
    <w:rsid w:val="00135115"/>
    <w:rsid w:val="001601A0"/>
    <w:rsid w:val="002266EE"/>
    <w:rsid w:val="002538D5"/>
    <w:rsid w:val="00276114"/>
    <w:rsid w:val="0028446A"/>
    <w:rsid w:val="00284D87"/>
    <w:rsid w:val="002949B0"/>
    <w:rsid w:val="00297E49"/>
    <w:rsid w:val="00346935"/>
    <w:rsid w:val="003A20EA"/>
    <w:rsid w:val="00434CE8"/>
    <w:rsid w:val="004E33AF"/>
    <w:rsid w:val="00585FFE"/>
    <w:rsid w:val="005B1C8C"/>
    <w:rsid w:val="00635455"/>
    <w:rsid w:val="00662027"/>
    <w:rsid w:val="00683F8F"/>
    <w:rsid w:val="00690514"/>
    <w:rsid w:val="00697865"/>
    <w:rsid w:val="006C0943"/>
    <w:rsid w:val="00725F6B"/>
    <w:rsid w:val="0076192E"/>
    <w:rsid w:val="00765A62"/>
    <w:rsid w:val="007C6BCF"/>
    <w:rsid w:val="007E0A4D"/>
    <w:rsid w:val="00851E2A"/>
    <w:rsid w:val="00854CFA"/>
    <w:rsid w:val="00885D15"/>
    <w:rsid w:val="008D1785"/>
    <w:rsid w:val="00960370"/>
    <w:rsid w:val="009B1B98"/>
    <w:rsid w:val="00A06E55"/>
    <w:rsid w:val="00AF5C44"/>
    <w:rsid w:val="00BC4450"/>
    <w:rsid w:val="00C871E5"/>
    <w:rsid w:val="00D0241A"/>
    <w:rsid w:val="00D8756B"/>
    <w:rsid w:val="00DA4B96"/>
    <w:rsid w:val="00DB2D4B"/>
    <w:rsid w:val="016553F1"/>
    <w:rsid w:val="01730582"/>
    <w:rsid w:val="01B042FF"/>
    <w:rsid w:val="01D56AF7"/>
    <w:rsid w:val="02513953"/>
    <w:rsid w:val="0292353D"/>
    <w:rsid w:val="02F67590"/>
    <w:rsid w:val="03D97811"/>
    <w:rsid w:val="03F81B19"/>
    <w:rsid w:val="0420707C"/>
    <w:rsid w:val="04A844D6"/>
    <w:rsid w:val="0531346A"/>
    <w:rsid w:val="05535CDF"/>
    <w:rsid w:val="05DA2FAD"/>
    <w:rsid w:val="06431B92"/>
    <w:rsid w:val="07270BEE"/>
    <w:rsid w:val="07C25D83"/>
    <w:rsid w:val="0802758E"/>
    <w:rsid w:val="084E5D81"/>
    <w:rsid w:val="08FC42B9"/>
    <w:rsid w:val="0B0F3292"/>
    <w:rsid w:val="0B2C6F3B"/>
    <w:rsid w:val="0B7A42A4"/>
    <w:rsid w:val="0B8D7CE7"/>
    <w:rsid w:val="0C2E168A"/>
    <w:rsid w:val="0CC21911"/>
    <w:rsid w:val="0CF77A0F"/>
    <w:rsid w:val="0D355C04"/>
    <w:rsid w:val="0DAA1B81"/>
    <w:rsid w:val="0DC33AD5"/>
    <w:rsid w:val="0DD14A50"/>
    <w:rsid w:val="0F0771CD"/>
    <w:rsid w:val="0F0A6BBB"/>
    <w:rsid w:val="109D44C9"/>
    <w:rsid w:val="10F10508"/>
    <w:rsid w:val="11AB77EB"/>
    <w:rsid w:val="12B65F19"/>
    <w:rsid w:val="12D71933"/>
    <w:rsid w:val="12EC49FF"/>
    <w:rsid w:val="155D53AA"/>
    <w:rsid w:val="156515C1"/>
    <w:rsid w:val="15825126"/>
    <w:rsid w:val="158E5BBB"/>
    <w:rsid w:val="15D3464A"/>
    <w:rsid w:val="15EC51AC"/>
    <w:rsid w:val="16730E97"/>
    <w:rsid w:val="169E277C"/>
    <w:rsid w:val="16BD4BE4"/>
    <w:rsid w:val="16C2435B"/>
    <w:rsid w:val="178657DC"/>
    <w:rsid w:val="179252C4"/>
    <w:rsid w:val="181164BE"/>
    <w:rsid w:val="182826B5"/>
    <w:rsid w:val="185B7197"/>
    <w:rsid w:val="19B549F6"/>
    <w:rsid w:val="1A030D20"/>
    <w:rsid w:val="1AD9501A"/>
    <w:rsid w:val="1B261934"/>
    <w:rsid w:val="1B305D92"/>
    <w:rsid w:val="1DC37E53"/>
    <w:rsid w:val="1DDB6559"/>
    <w:rsid w:val="1EAF0341"/>
    <w:rsid w:val="1F6F0F0C"/>
    <w:rsid w:val="1FA077BD"/>
    <w:rsid w:val="1FEC2A59"/>
    <w:rsid w:val="205931EE"/>
    <w:rsid w:val="20B010DC"/>
    <w:rsid w:val="20FC1025"/>
    <w:rsid w:val="211C73F8"/>
    <w:rsid w:val="215A134A"/>
    <w:rsid w:val="21F52690"/>
    <w:rsid w:val="2279582E"/>
    <w:rsid w:val="227E30BB"/>
    <w:rsid w:val="228A2FF1"/>
    <w:rsid w:val="238630BA"/>
    <w:rsid w:val="23FF0515"/>
    <w:rsid w:val="249A7208"/>
    <w:rsid w:val="24B37404"/>
    <w:rsid w:val="252B56E6"/>
    <w:rsid w:val="25331D20"/>
    <w:rsid w:val="255260AB"/>
    <w:rsid w:val="26AC329F"/>
    <w:rsid w:val="26C135CA"/>
    <w:rsid w:val="274D272A"/>
    <w:rsid w:val="27D4389C"/>
    <w:rsid w:val="28131116"/>
    <w:rsid w:val="28481A53"/>
    <w:rsid w:val="28FA733A"/>
    <w:rsid w:val="298E6EC6"/>
    <w:rsid w:val="29CE7FE0"/>
    <w:rsid w:val="2A633C13"/>
    <w:rsid w:val="2AD0334A"/>
    <w:rsid w:val="2AD954CE"/>
    <w:rsid w:val="2B4F50A9"/>
    <w:rsid w:val="2B515290"/>
    <w:rsid w:val="2B82176F"/>
    <w:rsid w:val="2BE279F8"/>
    <w:rsid w:val="2BED00B4"/>
    <w:rsid w:val="2D016548"/>
    <w:rsid w:val="2D033BC1"/>
    <w:rsid w:val="2D5215E6"/>
    <w:rsid w:val="2D72399C"/>
    <w:rsid w:val="2DD6444B"/>
    <w:rsid w:val="30E73C75"/>
    <w:rsid w:val="30EE3278"/>
    <w:rsid w:val="31B67FCF"/>
    <w:rsid w:val="31BC49C2"/>
    <w:rsid w:val="325751D2"/>
    <w:rsid w:val="32B3539F"/>
    <w:rsid w:val="32CA777D"/>
    <w:rsid w:val="32D23BBE"/>
    <w:rsid w:val="33446FC8"/>
    <w:rsid w:val="33624860"/>
    <w:rsid w:val="33B71BCC"/>
    <w:rsid w:val="344262FF"/>
    <w:rsid w:val="349755AF"/>
    <w:rsid w:val="351C568B"/>
    <w:rsid w:val="35735C38"/>
    <w:rsid w:val="358C1025"/>
    <w:rsid w:val="358E57DC"/>
    <w:rsid w:val="35A563CF"/>
    <w:rsid w:val="35D239D4"/>
    <w:rsid w:val="35EB0129"/>
    <w:rsid w:val="36872074"/>
    <w:rsid w:val="3749062B"/>
    <w:rsid w:val="37CE0B93"/>
    <w:rsid w:val="38B2102F"/>
    <w:rsid w:val="39304E55"/>
    <w:rsid w:val="39C5551C"/>
    <w:rsid w:val="3A40194D"/>
    <w:rsid w:val="3A99609F"/>
    <w:rsid w:val="3AE31B4A"/>
    <w:rsid w:val="3AFB704D"/>
    <w:rsid w:val="3B2A40ED"/>
    <w:rsid w:val="3B4B06DB"/>
    <w:rsid w:val="3BDC7BD4"/>
    <w:rsid w:val="3BF407F9"/>
    <w:rsid w:val="3C046277"/>
    <w:rsid w:val="3D0C160C"/>
    <w:rsid w:val="3D100C69"/>
    <w:rsid w:val="3D414333"/>
    <w:rsid w:val="3E9073C6"/>
    <w:rsid w:val="3EDD273E"/>
    <w:rsid w:val="3F4F7347"/>
    <w:rsid w:val="3F54506F"/>
    <w:rsid w:val="41001BE3"/>
    <w:rsid w:val="422E064A"/>
    <w:rsid w:val="43773261"/>
    <w:rsid w:val="44171BBF"/>
    <w:rsid w:val="44381D1E"/>
    <w:rsid w:val="44B90A36"/>
    <w:rsid w:val="455C2B77"/>
    <w:rsid w:val="45641588"/>
    <w:rsid w:val="45BE1EB1"/>
    <w:rsid w:val="45C1503F"/>
    <w:rsid w:val="4609214B"/>
    <w:rsid w:val="460C7B0F"/>
    <w:rsid w:val="463E4403"/>
    <w:rsid w:val="46905E4C"/>
    <w:rsid w:val="474D355C"/>
    <w:rsid w:val="476B11C5"/>
    <w:rsid w:val="476E7EFD"/>
    <w:rsid w:val="479F7894"/>
    <w:rsid w:val="48181AF6"/>
    <w:rsid w:val="486755EB"/>
    <w:rsid w:val="487F78CB"/>
    <w:rsid w:val="48AD0F93"/>
    <w:rsid w:val="48C6145F"/>
    <w:rsid w:val="498E3F4D"/>
    <w:rsid w:val="4A7B7C91"/>
    <w:rsid w:val="4AD861B9"/>
    <w:rsid w:val="4ADC3DE3"/>
    <w:rsid w:val="4B124F17"/>
    <w:rsid w:val="4B204DF6"/>
    <w:rsid w:val="4B8F29F5"/>
    <w:rsid w:val="4C1C116E"/>
    <w:rsid w:val="4D4B04BC"/>
    <w:rsid w:val="4E386AF6"/>
    <w:rsid w:val="4F3010A0"/>
    <w:rsid w:val="4F301EB7"/>
    <w:rsid w:val="4F4A0745"/>
    <w:rsid w:val="4F4C4809"/>
    <w:rsid w:val="4F7E4E13"/>
    <w:rsid w:val="50425E83"/>
    <w:rsid w:val="50610A0F"/>
    <w:rsid w:val="50B659BC"/>
    <w:rsid w:val="51353FEE"/>
    <w:rsid w:val="51662F13"/>
    <w:rsid w:val="52883614"/>
    <w:rsid w:val="52DA4DB5"/>
    <w:rsid w:val="52F64B83"/>
    <w:rsid w:val="53923522"/>
    <w:rsid w:val="53CA1F43"/>
    <w:rsid w:val="54150A83"/>
    <w:rsid w:val="543619FF"/>
    <w:rsid w:val="545C4973"/>
    <w:rsid w:val="547423FA"/>
    <w:rsid w:val="54F26A01"/>
    <w:rsid w:val="556C06CE"/>
    <w:rsid w:val="55956D25"/>
    <w:rsid w:val="5695386C"/>
    <w:rsid w:val="570140CA"/>
    <w:rsid w:val="570B6853"/>
    <w:rsid w:val="573A43C5"/>
    <w:rsid w:val="58693C1A"/>
    <w:rsid w:val="5926186C"/>
    <w:rsid w:val="594D2F8B"/>
    <w:rsid w:val="5996412E"/>
    <w:rsid w:val="59A87AEA"/>
    <w:rsid w:val="5A2D46E2"/>
    <w:rsid w:val="5ADF3404"/>
    <w:rsid w:val="5B1F6EA4"/>
    <w:rsid w:val="5BAB4D77"/>
    <w:rsid w:val="5C5D70CA"/>
    <w:rsid w:val="5C763CCC"/>
    <w:rsid w:val="5C907979"/>
    <w:rsid w:val="5CE12A4F"/>
    <w:rsid w:val="5D00095D"/>
    <w:rsid w:val="5D2C5707"/>
    <w:rsid w:val="5D84152F"/>
    <w:rsid w:val="5DBC7659"/>
    <w:rsid w:val="5E0B5EA8"/>
    <w:rsid w:val="5E53431A"/>
    <w:rsid w:val="5FA77F57"/>
    <w:rsid w:val="601453B1"/>
    <w:rsid w:val="614C0E7E"/>
    <w:rsid w:val="61AD533F"/>
    <w:rsid w:val="61E744C6"/>
    <w:rsid w:val="61F2556D"/>
    <w:rsid w:val="61FA63BE"/>
    <w:rsid w:val="621A35EC"/>
    <w:rsid w:val="62CF7536"/>
    <w:rsid w:val="637737BC"/>
    <w:rsid w:val="638E1C01"/>
    <w:rsid w:val="63E15835"/>
    <w:rsid w:val="63EC7F6C"/>
    <w:rsid w:val="64E21DC6"/>
    <w:rsid w:val="64E24B28"/>
    <w:rsid w:val="64F44B4E"/>
    <w:rsid w:val="6504693A"/>
    <w:rsid w:val="65AD6C28"/>
    <w:rsid w:val="65BC44EE"/>
    <w:rsid w:val="65C159EF"/>
    <w:rsid w:val="65CF1A61"/>
    <w:rsid w:val="6629303A"/>
    <w:rsid w:val="66353E4B"/>
    <w:rsid w:val="66355A52"/>
    <w:rsid w:val="66405C56"/>
    <w:rsid w:val="665A0008"/>
    <w:rsid w:val="672F73F0"/>
    <w:rsid w:val="67B35415"/>
    <w:rsid w:val="67BC02C5"/>
    <w:rsid w:val="680F1AD4"/>
    <w:rsid w:val="680F524F"/>
    <w:rsid w:val="682A5B5C"/>
    <w:rsid w:val="687E506D"/>
    <w:rsid w:val="68D473E4"/>
    <w:rsid w:val="68E3614A"/>
    <w:rsid w:val="69055F82"/>
    <w:rsid w:val="696673E0"/>
    <w:rsid w:val="6A176CB2"/>
    <w:rsid w:val="6A8746C9"/>
    <w:rsid w:val="6B564AEF"/>
    <w:rsid w:val="6B6A10B4"/>
    <w:rsid w:val="6C5C78BC"/>
    <w:rsid w:val="6CD77C0E"/>
    <w:rsid w:val="6CDC6D09"/>
    <w:rsid w:val="6CED7893"/>
    <w:rsid w:val="6D2670FD"/>
    <w:rsid w:val="6DC328AC"/>
    <w:rsid w:val="6E8C1058"/>
    <w:rsid w:val="6EBB212D"/>
    <w:rsid w:val="6EF243A0"/>
    <w:rsid w:val="6F1233C0"/>
    <w:rsid w:val="6F4128B2"/>
    <w:rsid w:val="6FE24315"/>
    <w:rsid w:val="719665B1"/>
    <w:rsid w:val="71E608A6"/>
    <w:rsid w:val="722356D8"/>
    <w:rsid w:val="72FD5643"/>
    <w:rsid w:val="73633563"/>
    <w:rsid w:val="736D68D9"/>
    <w:rsid w:val="741853B5"/>
    <w:rsid w:val="741D1082"/>
    <w:rsid w:val="754420DB"/>
    <w:rsid w:val="772C2A88"/>
    <w:rsid w:val="783C2A8D"/>
    <w:rsid w:val="792763DC"/>
    <w:rsid w:val="79932ACB"/>
    <w:rsid w:val="79F2715F"/>
    <w:rsid w:val="7A337A03"/>
    <w:rsid w:val="7A360237"/>
    <w:rsid w:val="7A971465"/>
    <w:rsid w:val="7ADE7514"/>
    <w:rsid w:val="7B0E3519"/>
    <w:rsid w:val="7B5401CB"/>
    <w:rsid w:val="7B870BD5"/>
    <w:rsid w:val="7BFD5DC2"/>
    <w:rsid w:val="7CA45C2C"/>
    <w:rsid w:val="7D3B2EF8"/>
    <w:rsid w:val="7D872659"/>
    <w:rsid w:val="7DAE2140"/>
    <w:rsid w:val="7F3D4090"/>
    <w:rsid w:val="7F5C288E"/>
    <w:rsid w:val="7FDB4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44"/>
    <w:qFormat/>
    <w:uiPriority w:val="0"/>
    <w:pPr>
      <w:spacing w:before="50" w:beforeLines="50" w:after="50" w:afterLines="50" w:line="360" w:lineRule="auto"/>
      <w:jc w:val="left"/>
      <w:outlineLvl w:val="0"/>
    </w:pPr>
    <w:rPr>
      <w:rFonts w:hint="eastAsia" w:ascii="宋体" w:hAnsi="宋体" w:eastAsia="宋体" w:cs="Times New Roman"/>
      <w:b/>
      <w:kern w:val="44"/>
      <w:sz w:val="30"/>
      <w:szCs w:val="48"/>
    </w:rPr>
  </w:style>
  <w:style w:type="paragraph" w:styleId="4">
    <w:name w:val="heading 2"/>
    <w:basedOn w:val="1"/>
    <w:next w:val="1"/>
    <w:link w:val="45"/>
    <w:unhideWhenUsed/>
    <w:qFormat/>
    <w:uiPriority w:val="9"/>
    <w:pPr>
      <w:keepNext/>
      <w:keepLines/>
      <w:spacing w:before="50" w:beforeLines="50" w:after="50" w:afterLines="50" w:line="360" w:lineRule="auto"/>
      <w:outlineLvl w:val="1"/>
    </w:pPr>
    <w:rPr>
      <w:rFonts w:eastAsia="宋体" w:asciiTheme="majorHAnsi" w:hAnsiTheme="majorHAnsi" w:cstheme="majorBidi"/>
      <w:b/>
      <w:bCs/>
      <w:sz w:val="28"/>
      <w:szCs w:val="32"/>
    </w:rPr>
  </w:style>
  <w:style w:type="paragraph" w:styleId="5">
    <w:name w:val="heading 3"/>
    <w:basedOn w:val="1"/>
    <w:next w:val="1"/>
    <w:link w:val="39"/>
    <w:unhideWhenUsed/>
    <w:qFormat/>
    <w:uiPriority w:val="0"/>
    <w:pPr>
      <w:keepNext/>
      <w:keepLines/>
      <w:spacing w:line="360" w:lineRule="auto"/>
      <w:outlineLvl w:val="2"/>
    </w:pPr>
    <w:rPr>
      <w:rFonts w:eastAsia="宋体"/>
      <w:b/>
      <w:sz w:val="24"/>
    </w:rPr>
  </w:style>
  <w:style w:type="paragraph" w:styleId="6">
    <w:name w:val="heading 4"/>
    <w:basedOn w:val="1"/>
    <w:next w:val="1"/>
    <w:link w:val="46"/>
    <w:semiHidden/>
    <w:unhideWhenUsed/>
    <w:qFormat/>
    <w:uiPriority w:val="0"/>
    <w:pPr>
      <w:keepNext/>
      <w:keepLines/>
      <w:spacing w:before="280" w:after="290" w:line="372" w:lineRule="auto"/>
      <w:outlineLvl w:val="3"/>
    </w:pPr>
    <w:rPr>
      <w:rFonts w:ascii="Arial" w:hAnsi="Arial" w:eastAsia="黑体"/>
      <w:b/>
      <w:sz w:val="28"/>
    </w:rPr>
  </w:style>
  <w:style w:type="paragraph" w:styleId="7">
    <w:name w:val="heading 5"/>
    <w:basedOn w:val="1"/>
    <w:next w:val="1"/>
    <w:link w:val="36"/>
    <w:semiHidden/>
    <w:unhideWhenUsed/>
    <w:qFormat/>
    <w:uiPriority w:val="0"/>
    <w:pPr>
      <w:keepNext/>
      <w:keepLines/>
      <w:spacing w:before="280" w:after="290" w:line="372" w:lineRule="auto"/>
      <w:outlineLvl w:val="4"/>
    </w:pPr>
    <w:rPr>
      <w:b/>
      <w:sz w:val="28"/>
    </w:rPr>
  </w:style>
  <w:style w:type="paragraph" w:styleId="8">
    <w:name w:val="heading 6"/>
    <w:basedOn w:val="1"/>
    <w:next w:val="1"/>
    <w:link w:val="47"/>
    <w:semiHidden/>
    <w:unhideWhenUsed/>
    <w:qFormat/>
    <w:uiPriority w:val="0"/>
    <w:pPr>
      <w:keepNext/>
      <w:keepLines/>
      <w:spacing w:before="240" w:after="64" w:line="317" w:lineRule="auto"/>
      <w:outlineLvl w:val="5"/>
    </w:pPr>
    <w:rPr>
      <w:rFonts w:ascii="Arial" w:hAnsi="Arial" w:eastAsia="黑体"/>
      <w:b/>
      <w:sz w:val="24"/>
    </w:rPr>
  </w:style>
  <w:style w:type="paragraph" w:styleId="9">
    <w:name w:val="heading 7"/>
    <w:basedOn w:val="1"/>
    <w:next w:val="1"/>
    <w:link w:val="48"/>
    <w:semiHidden/>
    <w:unhideWhenUsed/>
    <w:qFormat/>
    <w:uiPriority w:val="0"/>
    <w:pPr>
      <w:keepNext/>
      <w:keepLines/>
      <w:spacing w:before="240" w:after="64" w:line="317" w:lineRule="auto"/>
      <w:outlineLvl w:val="6"/>
    </w:pPr>
    <w:rPr>
      <w:b/>
      <w:sz w:val="24"/>
    </w:rPr>
  </w:style>
  <w:style w:type="paragraph" w:styleId="10">
    <w:name w:val="heading 8"/>
    <w:basedOn w:val="1"/>
    <w:next w:val="1"/>
    <w:link w:val="49"/>
    <w:semiHidden/>
    <w:unhideWhenUsed/>
    <w:qFormat/>
    <w:uiPriority w:val="0"/>
    <w:pPr>
      <w:keepNext/>
      <w:keepLines/>
      <w:spacing w:before="240" w:after="64" w:line="317" w:lineRule="auto"/>
      <w:outlineLvl w:val="7"/>
    </w:pPr>
    <w:rPr>
      <w:rFonts w:ascii="Arial" w:hAnsi="Arial" w:eastAsia="黑体"/>
      <w:sz w:val="24"/>
    </w:rPr>
  </w:style>
  <w:style w:type="paragraph" w:styleId="11">
    <w:name w:val="heading 9"/>
    <w:basedOn w:val="1"/>
    <w:next w:val="1"/>
    <w:link w:val="50"/>
    <w:semiHidden/>
    <w:unhideWhenUsed/>
    <w:qFormat/>
    <w:uiPriority w:val="0"/>
    <w:pPr>
      <w:keepNext/>
      <w:keepLines/>
      <w:spacing w:before="240" w:after="64" w:line="317" w:lineRule="auto"/>
      <w:outlineLvl w:val="8"/>
    </w:pPr>
    <w:rPr>
      <w:rFonts w:ascii="Arial" w:hAnsi="Arial" w:eastAsia="黑体"/>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endnote text"/>
    <w:basedOn w:val="1"/>
    <w:unhideWhenUsed/>
    <w:qFormat/>
    <w:uiPriority w:val="99"/>
    <w:pPr>
      <w:snapToGrid w:val="0"/>
    </w:pPr>
    <w:rPr>
      <w:rFonts w:ascii="Calibri" w:hAnsi="Calibri" w:eastAsia="宋体" w:cs="Times New Roman"/>
      <w:szCs w:val="24"/>
    </w:rPr>
  </w:style>
  <w:style w:type="paragraph" w:styleId="12">
    <w:name w:val="annotation text"/>
    <w:basedOn w:val="1"/>
    <w:semiHidden/>
    <w:unhideWhenUsed/>
    <w:qFormat/>
    <w:uiPriority w:val="99"/>
    <w:pPr>
      <w:jc w:val="left"/>
    </w:pPr>
  </w:style>
  <w:style w:type="paragraph" w:styleId="13">
    <w:name w:val="Body Text"/>
    <w:basedOn w:val="1"/>
    <w:link w:val="56"/>
    <w:qFormat/>
    <w:uiPriority w:val="0"/>
    <w:pPr>
      <w:spacing w:after="120"/>
    </w:pPr>
  </w:style>
  <w:style w:type="paragraph" w:styleId="14">
    <w:name w:val="Body Text Indent 2"/>
    <w:qFormat/>
    <w:uiPriority w:val="0"/>
    <w:pPr>
      <w:spacing w:line="360" w:lineRule="auto"/>
      <w:ind w:firstLine="510" w:firstLineChars="200"/>
      <w:jc w:val="both"/>
    </w:pPr>
    <w:rPr>
      <w:rFonts w:ascii="Times New Roman" w:hAnsi="Times New Roman" w:eastAsia="宋体" w:cs="Times New Roman"/>
      <w:sz w:val="24"/>
      <w:szCs w:val="24"/>
      <w:lang w:val="en-US" w:eastAsia="zh-CN" w:bidi="ar-SA"/>
    </w:rPr>
  </w:style>
  <w:style w:type="paragraph" w:styleId="15">
    <w:name w:val="Balloon Text"/>
    <w:basedOn w:val="1"/>
    <w:link w:val="52"/>
    <w:qFormat/>
    <w:uiPriority w:val="0"/>
    <w:rPr>
      <w:sz w:val="18"/>
    </w:rPr>
  </w:style>
  <w:style w:type="paragraph" w:styleId="16">
    <w:name w:val="footer"/>
    <w:basedOn w:val="1"/>
    <w:link w:val="51"/>
    <w:qFormat/>
    <w:uiPriority w:val="0"/>
    <w:pPr>
      <w:tabs>
        <w:tab w:val="center" w:pos="4153"/>
        <w:tab w:val="right" w:pos="8306"/>
      </w:tabs>
      <w:snapToGrid w:val="0"/>
      <w:jc w:val="left"/>
    </w:pPr>
    <w:rPr>
      <w:sz w:val="18"/>
    </w:rPr>
  </w:style>
  <w:style w:type="paragraph" w:styleId="17">
    <w:name w:val="header"/>
    <w:basedOn w:val="1"/>
    <w:link w:val="3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footnote text"/>
    <w:basedOn w:val="1"/>
    <w:link w:val="55"/>
    <w:qFormat/>
    <w:uiPriority w:val="0"/>
    <w:pPr>
      <w:snapToGrid w:val="0"/>
      <w:jc w:val="left"/>
    </w:pPr>
    <w:rPr>
      <w:sz w:val="18"/>
    </w:rPr>
  </w:style>
  <w:style w:type="paragraph" w:styleId="19">
    <w:name w:val="Normal (Web)"/>
    <w:basedOn w:val="1"/>
    <w:qFormat/>
    <w:uiPriority w:val="0"/>
    <w:pPr>
      <w:spacing w:beforeAutospacing="1" w:afterAutospacing="1"/>
      <w:jc w:val="left"/>
    </w:pPr>
    <w:rPr>
      <w:rFonts w:cs="Times New Roman"/>
      <w:kern w:val="0"/>
      <w:sz w:val="24"/>
    </w:rPr>
  </w:style>
  <w:style w:type="paragraph" w:styleId="20">
    <w:name w:val="Title"/>
    <w:basedOn w:val="1"/>
    <w:link w:val="54"/>
    <w:qFormat/>
    <w:uiPriority w:val="0"/>
    <w:pPr>
      <w:spacing w:before="120" w:after="120" w:line="360" w:lineRule="auto"/>
      <w:jc w:val="left"/>
      <w:outlineLvl w:val="0"/>
    </w:pPr>
    <w:rPr>
      <w:rFonts w:ascii="Arial" w:hAnsi="Arial" w:eastAsia="宋体"/>
      <w:b/>
      <w:sz w:val="32"/>
    </w:rPr>
  </w:style>
  <w:style w:type="table" w:styleId="22">
    <w:name w:val="Table Grid"/>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qFormat/>
    <w:uiPriority w:val="0"/>
    <w:rPr>
      <w:rFonts w:hint="eastAsia" w:ascii="宋体" w:hAnsi="Times New Roman" w:eastAsia="宋体" w:cs="宋体"/>
      <w:sz w:val="18"/>
    </w:rPr>
  </w:style>
  <w:style w:type="character" w:styleId="25">
    <w:name w:val="FollowedHyperlink"/>
    <w:basedOn w:val="23"/>
    <w:qFormat/>
    <w:uiPriority w:val="0"/>
    <w:rPr>
      <w:color w:val="954F72"/>
      <w:u w:val="single"/>
    </w:rPr>
  </w:style>
  <w:style w:type="character" w:styleId="26">
    <w:name w:val="Hyperlink"/>
    <w:unhideWhenUsed/>
    <w:qFormat/>
    <w:uiPriority w:val="99"/>
    <w:rPr>
      <w:color w:val="0000FF"/>
      <w:u w:val="single"/>
    </w:rPr>
  </w:style>
  <w:style w:type="character" w:styleId="27">
    <w:name w:val="footnote reference"/>
    <w:basedOn w:val="23"/>
    <w:qFormat/>
    <w:uiPriority w:val="0"/>
    <w:rPr>
      <w:rFonts w:hint="eastAsia" w:ascii="宋体" w:hAnsi="宋体" w:eastAsia="宋体" w:cs="Times New Roman"/>
      <w:spacing w:val="0"/>
      <w:sz w:val="18"/>
      <w:vertAlign w:val="superscript"/>
    </w:rPr>
  </w:style>
  <w:style w:type="paragraph" w:styleId="28">
    <w:name w:val="List Paragraph"/>
    <w:basedOn w:val="1"/>
    <w:qFormat/>
    <w:uiPriority w:val="34"/>
    <w:pPr>
      <w:ind w:left="720"/>
      <w:contextualSpacing/>
    </w:pPr>
  </w:style>
  <w:style w:type="paragraph" w:customStyle="1" w:styleId="29">
    <w:name w:val="正文格式"/>
    <w:basedOn w:val="1"/>
    <w:qFormat/>
    <w:uiPriority w:val="0"/>
    <w:pPr>
      <w:spacing w:line="360" w:lineRule="auto"/>
      <w:ind w:firstLine="485" w:firstLineChars="202"/>
    </w:pPr>
    <w:rPr>
      <w:rFonts w:ascii="宋体" w:hAnsi="宋体" w:eastAsia="宋体" w:cs="Times New Roman"/>
      <w:sz w:val="24"/>
      <w:szCs w:val="24"/>
    </w:rPr>
  </w:style>
  <w:style w:type="table" w:customStyle="1" w:styleId="30">
    <w:name w:val="网格型1"/>
    <w:basedOn w:val="21"/>
    <w:qFormat/>
    <w:uiPriority w:val="59"/>
    <w:rPr>
      <w:lang w:bidi="mn-Mong-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
    <w:name w:val="网格型2"/>
    <w:basedOn w:val="21"/>
    <w:qFormat/>
    <w:uiPriority w:val="59"/>
    <w:rPr>
      <w:lang w:bidi="mn-Mong-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2">
    <w:name w:val="二级条标题"/>
    <w:basedOn w:val="33"/>
    <w:next w:val="34"/>
    <w:qFormat/>
    <w:uiPriority w:val="0"/>
    <w:pPr>
      <w:spacing w:before="50" w:after="50"/>
      <w:outlineLvl w:val="3"/>
    </w:pPr>
  </w:style>
  <w:style w:type="paragraph" w:customStyle="1" w:styleId="33">
    <w:name w:val="一级条标题"/>
    <w:next w:val="34"/>
    <w:qFormat/>
    <w:uiPriority w:val="0"/>
    <w:p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34">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35">
    <w:name w:val="标准文件_发布"/>
    <w:basedOn w:val="23"/>
    <w:qFormat/>
    <w:uiPriority w:val="0"/>
    <w:rPr>
      <w:rFonts w:hint="eastAsia" w:ascii="黑体" w:hAnsi="宋体" w:eastAsia="黑体" w:cs="黑体"/>
      <w:spacing w:val="0"/>
      <w:w w:val="100"/>
      <w:position w:val="3"/>
      <w:sz w:val="28"/>
    </w:rPr>
  </w:style>
  <w:style w:type="character" w:customStyle="1" w:styleId="36">
    <w:name w:val="标题 5 字符"/>
    <w:basedOn w:val="23"/>
    <w:link w:val="7"/>
    <w:qFormat/>
    <w:uiPriority w:val="0"/>
    <w:rPr>
      <w:b/>
      <w:bCs/>
      <w:kern w:val="2"/>
      <w:sz w:val="28"/>
      <w:szCs w:val="28"/>
    </w:rPr>
  </w:style>
  <w:style w:type="character" w:customStyle="1" w:styleId="37">
    <w:name w:val="标准文件_图表脚注内容"/>
    <w:basedOn w:val="23"/>
    <w:qFormat/>
    <w:uiPriority w:val="0"/>
    <w:rPr>
      <w:rFonts w:hint="eastAsia" w:ascii="宋体" w:hAnsi="宋体" w:eastAsia="宋体" w:cs="Times New Roman"/>
      <w:spacing w:val="0"/>
      <w:sz w:val="18"/>
      <w:vertAlign w:val="superscript"/>
    </w:rPr>
  </w:style>
  <w:style w:type="character" w:customStyle="1" w:styleId="38">
    <w:name w:val="页眉 字符"/>
    <w:basedOn w:val="23"/>
    <w:link w:val="17"/>
    <w:qFormat/>
    <w:uiPriority w:val="0"/>
    <w:rPr>
      <w:kern w:val="2"/>
      <w:sz w:val="18"/>
      <w:szCs w:val="18"/>
    </w:rPr>
  </w:style>
  <w:style w:type="character" w:customStyle="1" w:styleId="39">
    <w:name w:val="标题 3 字符"/>
    <w:basedOn w:val="23"/>
    <w:link w:val="5"/>
    <w:qFormat/>
    <w:uiPriority w:val="0"/>
    <w:rPr>
      <w:rFonts w:asciiTheme="minorHAnsi" w:hAnsiTheme="minorHAnsi" w:cstheme="minorBidi"/>
      <w:b/>
      <w:kern w:val="2"/>
      <w:sz w:val="24"/>
      <w:szCs w:val="22"/>
    </w:rPr>
  </w:style>
  <w:style w:type="character" w:customStyle="1" w:styleId="40">
    <w:name w:val="标准文件_示例X后 字符"/>
    <w:basedOn w:val="41"/>
    <w:qFormat/>
    <w:uiPriority w:val="0"/>
    <w:rPr>
      <w:rFonts w:hint="eastAsia" w:ascii="宋体" w:hAnsi="Times New Roman" w:eastAsia="宋体" w:cs="宋体"/>
      <w:sz w:val="18"/>
    </w:rPr>
  </w:style>
  <w:style w:type="character" w:customStyle="1" w:styleId="41">
    <w:name w:val="标准文件_段 Char"/>
    <w:basedOn w:val="23"/>
    <w:qFormat/>
    <w:uiPriority w:val="0"/>
    <w:rPr>
      <w:rFonts w:hint="eastAsia" w:ascii="宋体" w:hAnsi="Times New Roman" w:eastAsia="宋体" w:cs="宋体"/>
      <w:sz w:val="21"/>
    </w:rPr>
  </w:style>
  <w:style w:type="character" w:customStyle="1" w:styleId="42">
    <w:name w:val="msoplaceholdertext"/>
    <w:basedOn w:val="23"/>
    <w:qFormat/>
    <w:uiPriority w:val="0"/>
    <w:rPr>
      <w:color w:val="808080"/>
    </w:rPr>
  </w:style>
  <w:style w:type="character" w:customStyle="1" w:styleId="43">
    <w:name w:val="msosubtlereference"/>
    <w:basedOn w:val="23"/>
    <w:qFormat/>
    <w:uiPriority w:val="0"/>
    <w:rPr>
      <w:smallCaps/>
      <w:color w:val="C0504D"/>
      <w:u w:val="single"/>
    </w:rPr>
  </w:style>
  <w:style w:type="character" w:customStyle="1" w:styleId="44">
    <w:name w:val="标题 1 字符"/>
    <w:basedOn w:val="23"/>
    <w:link w:val="3"/>
    <w:qFormat/>
    <w:uiPriority w:val="0"/>
    <w:rPr>
      <w:rFonts w:ascii="宋体" w:hAnsi="宋体"/>
      <w:b/>
      <w:kern w:val="44"/>
      <w:sz w:val="30"/>
      <w:szCs w:val="48"/>
    </w:rPr>
  </w:style>
  <w:style w:type="character" w:customStyle="1" w:styleId="45">
    <w:name w:val="标题 2 字符"/>
    <w:basedOn w:val="23"/>
    <w:link w:val="4"/>
    <w:qFormat/>
    <w:uiPriority w:val="9"/>
    <w:rPr>
      <w:rFonts w:asciiTheme="majorHAnsi" w:hAnsiTheme="majorHAnsi" w:cstheme="majorBidi"/>
      <w:b/>
      <w:bCs/>
      <w:kern w:val="2"/>
      <w:sz w:val="28"/>
      <w:szCs w:val="32"/>
    </w:rPr>
  </w:style>
  <w:style w:type="character" w:customStyle="1" w:styleId="46">
    <w:name w:val="标题 4 字符"/>
    <w:basedOn w:val="23"/>
    <w:link w:val="6"/>
    <w:qFormat/>
    <w:uiPriority w:val="0"/>
    <w:rPr>
      <w:rFonts w:hint="default" w:ascii="Arial" w:hAnsi="Arial" w:eastAsia="黑体" w:cs="Arial"/>
      <w:b/>
      <w:bCs/>
      <w:kern w:val="2"/>
      <w:sz w:val="28"/>
      <w:szCs w:val="28"/>
    </w:rPr>
  </w:style>
  <w:style w:type="character" w:customStyle="1" w:styleId="47">
    <w:name w:val="标题 6 字符"/>
    <w:basedOn w:val="23"/>
    <w:link w:val="8"/>
    <w:qFormat/>
    <w:uiPriority w:val="0"/>
    <w:rPr>
      <w:rFonts w:hint="default" w:ascii="Arial" w:hAnsi="Arial" w:eastAsia="黑体" w:cs="Arial"/>
      <w:b/>
      <w:bCs/>
      <w:kern w:val="2"/>
      <w:sz w:val="24"/>
      <w:szCs w:val="24"/>
    </w:rPr>
  </w:style>
  <w:style w:type="character" w:customStyle="1" w:styleId="48">
    <w:name w:val="标题 7 字符"/>
    <w:basedOn w:val="23"/>
    <w:link w:val="9"/>
    <w:qFormat/>
    <w:uiPriority w:val="0"/>
    <w:rPr>
      <w:b/>
      <w:bCs/>
      <w:kern w:val="2"/>
      <w:sz w:val="24"/>
      <w:szCs w:val="24"/>
    </w:rPr>
  </w:style>
  <w:style w:type="character" w:customStyle="1" w:styleId="49">
    <w:name w:val="标题 8 字符"/>
    <w:basedOn w:val="23"/>
    <w:link w:val="10"/>
    <w:qFormat/>
    <w:uiPriority w:val="0"/>
    <w:rPr>
      <w:rFonts w:hint="default" w:ascii="Arial" w:hAnsi="Arial" w:eastAsia="黑体" w:cs="Arial"/>
      <w:kern w:val="2"/>
      <w:sz w:val="24"/>
      <w:szCs w:val="24"/>
    </w:rPr>
  </w:style>
  <w:style w:type="character" w:customStyle="1" w:styleId="50">
    <w:name w:val="标题 9 字符"/>
    <w:basedOn w:val="23"/>
    <w:link w:val="11"/>
    <w:qFormat/>
    <w:uiPriority w:val="0"/>
    <w:rPr>
      <w:rFonts w:hint="default" w:ascii="Arial" w:hAnsi="Arial" w:eastAsia="黑体" w:cs="Arial"/>
      <w:kern w:val="2"/>
      <w:sz w:val="21"/>
      <w:szCs w:val="21"/>
    </w:rPr>
  </w:style>
  <w:style w:type="character" w:customStyle="1" w:styleId="51">
    <w:name w:val="页脚 字符"/>
    <w:basedOn w:val="23"/>
    <w:link w:val="16"/>
    <w:qFormat/>
    <w:uiPriority w:val="0"/>
    <w:rPr>
      <w:rFonts w:hint="eastAsia" w:ascii="宋体" w:hAnsi="宋体" w:eastAsia="宋体" w:cs="宋体"/>
      <w:kern w:val="2"/>
      <w:sz w:val="18"/>
      <w:szCs w:val="18"/>
    </w:rPr>
  </w:style>
  <w:style w:type="character" w:customStyle="1" w:styleId="52">
    <w:name w:val="批注框文本 字符"/>
    <w:basedOn w:val="23"/>
    <w:link w:val="15"/>
    <w:qFormat/>
    <w:uiPriority w:val="0"/>
    <w:rPr>
      <w:kern w:val="2"/>
      <w:sz w:val="18"/>
      <w:szCs w:val="18"/>
    </w:rPr>
  </w:style>
  <w:style w:type="character" w:customStyle="1" w:styleId="53">
    <w:name w:val="引用 字符"/>
    <w:basedOn w:val="23"/>
    <w:qFormat/>
    <w:uiPriority w:val="0"/>
    <w:rPr>
      <w:i/>
      <w:iCs/>
      <w:color w:val="000000"/>
      <w:kern w:val="2"/>
      <w:sz w:val="21"/>
      <w:szCs w:val="21"/>
    </w:rPr>
  </w:style>
  <w:style w:type="character" w:customStyle="1" w:styleId="54">
    <w:name w:val="标题 字符"/>
    <w:basedOn w:val="23"/>
    <w:link w:val="20"/>
    <w:qFormat/>
    <w:uiPriority w:val="0"/>
    <w:rPr>
      <w:rFonts w:ascii="Arial" w:hAnsi="Arial" w:cstheme="minorBidi"/>
      <w:b/>
      <w:kern w:val="2"/>
      <w:sz w:val="32"/>
      <w:szCs w:val="22"/>
    </w:rPr>
  </w:style>
  <w:style w:type="character" w:customStyle="1" w:styleId="55">
    <w:name w:val="脚注文本 字符"/>
    <w:basedOn w:val="23"/>
    <w:link w:val="18"/>
    <w:qFormat/>
    <w:uiPriority w:val="0"/>
    <w:rPr>
      <w:rFonts w:hint="eastAsia" w:ascii="宋体" w:hAnsi="宋体" w:eastAsia="宋体" w:cs="宋体"/>
      <w:kern w:val="2"/>
      <w:sz w:val="18"/>
      <w:szCs w:val="18"/>
    </w:rPr>
  </w:style>
  <w:style w:type="character" w:customStyle="1" w:styleId="56">
    <w:name w:val="正文文本 字符"/>
    <w:basedOn w:val="23"/>
    <w:link w:val="13"/>
    <w:qFormat/>
    <w:uiPriority w:val="0"/>
    <w:rPr>
      <w:kern w:val="2"/>
      <w:sz w:val="21"/>
      <w:szCs w:val="21"/>
    </w:rPr>
  </w:style>
  <w:style w:type="character" w:customStyle="1" w:styleId="57">
    <w:name w:val="标准文件_来源"/>
    <w:basedOn w:val="23"/>
    <w:qFormat/>
    <w:uiPriority w:val="0"/>
    <w:rPr>
      <w:rFonts w:hint="eastAsia" w:ascii="宋体" w:hAnsi="宋体" w:eastAsia="宋体" w:cs="宋体"/>
      <w:sz w:val="21"/>
    </w:rPr>
  </w:style>
  <w:style w:type="character" w:customStyle="1" w:styleId="58">
    <w:name w:val="个人撰写风格"/>
    <w:basedOn w:val="23"/>
    <w:qFormat/>
    <w:uiPriority w:val="0"/>
    <w:rPr>
      <w:rFonts w:hint="default" w:ascii="Arial" w:hAnsi="Arial" w:eastAsia="宋体" w:cs="Arial"/>
      <w:color w:val="auto"/>
      <w:spacing w:val="0"/>
      <w:sz w:val="20"/>
    </w:rPr>
  </w:style>
  <w:style w:type="character" w:customStyle="1" w:styleId="59">
    <w:name w:val="个人答复风格"/>
    <w:basedOn w:val="23"/>
    <w:qFormat/>
    <w:uiPriority w:val="0"/>
    <w:rPr>
      <w:rFonts w:hint="default" w:ascii="Arial" w:hAnsi="Arial" w:eastAsia="宋体" w:cs="Arial"/>
      <w:color w:val="auto"/>
      <w:spacing w:val="0"/>
      <w:sz w:val="20"/>
    </w:rPr>
  </w:style>
  <w:style w:type="character" w:customStyle="1" w:styleId="60">
    <w:name w:val="发布"/>
    <w:basedOn w:val="23"/>
    <w:qFormat/>
    <w:uiPriority w:val="0"/>
    <w:rPr>
      <w:rFonts w:hint="eastAsia" w:ascii="黑体" w:hAnsi="宋体" w:eastAsia="黑体" w:cs="黑体"/>
      <w:spacing w:val="85"/>
      <w:w w:val="100"/>
      <w:position w:val="3"/>
      <w:sz w:val="28"/>
      <w:szCs w:val="28"/>
    </w:rPr>
  </w:style>
  <w:style w:type="character" w:customStyle="1" w:styleId="61">
    <w:name w:val="段 Char"/>
    <w:basedOn w:val="23"/>
    <w:qFormat/>
    <w:uiPriority w:val="0"/>
    <w:rPr>
      <w:rFonts w:hint="eastAsia" w:ascii="宋体" w:hAnsi="宋体" w:eastAsia="宋体" w:cs="宋体"/>
      <w:sz w:val="21"/>
      <w:szCs w:val="21"/>
    </w:rPr>
  </w:style>
  <w:style w:type="character" w:customStyle="1" w:styleId="62">
    <w:name w:val="Unresolved Mention"/>
    <w:basedOn w:val="2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7874</Words>
  <Characters>8939</Characters>
  <Lines>66</Lines>
  <Paragraphs>18</Paragraphs>
  <TotalTime>0</TotalTime>
  <ScaleCrop>false</ScaleCrop>
  <LinksUpToDate>false</LinksUpToDate>
  <CharactersWithSpaces>9071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2020-01-04T01:28:00Z</dcterms:created>
  <dc:creator>刘玮</dc:creator>
  <cp:lastModifiedBy>广东邦普</cp:lastModifiedBy>
  <dcterms:modified xsi:type="dcterms:W3CDTF">2023-08-30T09:10:59Z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421742354EDA46CCA845C70633852524_13</vt:lpwstr>
  </property>
</Properties>
</file>