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pPr>
      <w:bookmarkStart w:id="0" w:name="SectionMark0"/>
      <w:r>
        <w:drawing>
          <wp:anchor distT="0" distB="0" distL="114300" distR="114300" simplePos="0" relativeHeight="251669504"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rPr>
          <w:rFonts w:hint="eastAsia"/>
        </w:rPr>
        <w:t>A</w:t>
      </w:r>
      <w:r>
        <w:t>【】‘</w:t>
      </w:r>
    </w:p>
    <w:p>
      <w:pPr>
        <w:pStyle w:val="57"/>
        <w:tabs>
          <w:tab w:val="left" w:pos="8260"/>
        </w:tabs>
      </w:pPr>
      <w:r>
        <w:tab/>
      </w:r>
      <w:r>
        <w:br w:type="textWrapping"/>
      </w: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7"/>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pPr>
                        <w:pStyle w:val="27"/>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28"/>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ascii="黑体" w:hAnsi="黑体" w:eastAsia="黑体" w:cs="Times New Roman"/>
                                <w:sz w:val="52"/>
                              </w:rPr>
                            </w:pPr>
                          </w:p>
                          <w:p>
                            <w:pPr>
                              <w:pStyle w:val="54"/>
                              <w:spacing w:before="0" w:line="240" w:lineRule="atLeast"/>
                              <w:rPr>
                                <w:rFonts w:hint="eastAsia" w:eastAsia="黑体"/>
                                <w:szCs w:val="28"/>
                                <w:lang w:val="en-US" w:eastAsia="zh-CN"/>
                              </w:rPr>
                            </w:pPr>
                            <w:r>
                              <w:rPr>
                                <w:rFonts w:hint="eastAsia" w:ascii="黑体" w:hAnsi="黑体" w:eastAsia="黑体"/>
                                <w:sz w:val="52"/>
                              </w:rPr>
                              <w:t>粗</w:t>
                            </w:r>
                            <w:r>
                              <w:rPr>
                                <w:rFonts w:hint="eastAsia" w:ascii="黑体" w:hAnsi="黑体" w:eastAsia="黑体"/>
                                <w:sz w:val="52"/>
                                <w:lang w:val="en-US" w:eastAsia="zh-CN"/>
                              </w:rPr>
                              <w:t>硫化镍钴</w:t>
                            </w:r>
                          </w:p>
                          <w:p>
                            <w:pPr>
                              <w:pStyle w:val="54"/>
                              <w:spacing w:before="0" w:line="240" w:lineRule="atLeast"/>
                              <w:rPr>
                                <w:rFonts w:eastAsia="黑体"/>
                                <w:szCs w:val="28"/>
                              </w:rPr>
                            </w:pPr>
                            <w:r>
                              <w:rPr>
                                <w:rFonts w:hint="eastAsia" w:eastAsia="黑体"/>
                                <w:szCs w:val="28"/>
                              </w:rPr>
                              <w:t>Crude nickel cobalt sulfide</w:t>
                            </w:r>
                          </w:p>
                          <w:p>
                            <w:pPr>
                              <w:pStyle w:val="54"/>
                              <w:spacing w:before="0" w:line="240" w:lineRule="atLeast"/>
                              <w:rPr>
                                <w:rFonts w:hint="eastAsia" w:ascii="黑体" w:hAnsi="黑体" w:eastAsia="黑体" w:cs="黑体"/>
                                <w:szCs w:val="28"/>
                                <w:lang w:eastAsia="zh-CN"/>
                              </w:rPr>
                            </w:pPr>
                            <w:r>
                              <w:rPr>
                                <w:rFonts w:hint="eastAsia" w:ascii="黑体" w:hAnsi="黑体" w:eastAsia="黑体" w:cs="黑体"/>
                                <w:szCs w:val="28"/>
                                <w:lang w:eastAsia="zh-CN"/>
                              </w:rPr>
                              <w:t>（</w:t>
                            </w:r>
                            <w:r>
                              <w:rPr>
                                <w:rFonts w:hint="eastAsia" w:ascii="黑体" w:hAnsi="黑体" w:eastAsia="黑体" w:cs="黑体"/>
                                <w:szCs w:val="28"/>
                                <w:lang w:val="en-US" w:eastAsia="zh-CN"/>
                              </w:rPr>
                              <w:t>征求意见稿</w:t>
                            </w:r>
                            <w:r>
                              <w:rPr>
                                <w:rFonts w:hint="eastAsia" w:ascii="黑体" w:hAnsi="黑体" w:eastAsia="黑体" w:cs="黑体"/>
                                <w:szCs w:val="28"/>
                                <w:lang w:eastAsia="zh-CN"/>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ascii="黑体" w:hAnsi="黑体" w:eastAsia="黑体" w:cs="Times New Roman"/>
                          <w:sz w:val="52"/>
                        </w:rPr>
                      </w:pPr>
                    </w:p>
                    <w:p>
                      <w:pPr>
                        <w:pStyle w:val="54"/>
                        <w:spacing w:before="0" w:line="240" w:lineRule="atLeast"/>
                        <w:rPr>
                          <w:rFonts w:hint="eastAsia" w:eastAsia="黑体"/>
                          <w:szCs w:val="28"/>
                          <w:lang w:val="en-US" w:eastAsia="zh-CN"/>
                        </w:rPr>
                      </w:pPr>
                      <w:r>
                        <w:rPr>
                          <w:rFonts w:hint="eastAsia" w:ascii="黑体" w:hAnsi="黑体" w:eastAsia="黑体"/>
                          <w:sz w:val="52"/>
                        </w:rPr>
                        <w:t>粗</w:t>
                      </w:r>
                      <w:r>
                        <w:rPr>
                          <w:rFonts w:hint="eastAsia" w:ascii="黑体" w:hAnsi="黑体" w:eastAsia="黑体"/>
                          <w:sz w:val="52"/>
                          <w:lang w:val="en-US" w:eastAsia="zh-CN"/>
                        </w:rPr>
                        <w:t>硫化镍钴</w:t>
                      </w:r>
                    </w:p>
                    <w:p>
                      <w:pPr>
                        <w:pStyle w:val="54"/>
                        <w:spacing w:before="0" w:line="240" w:lineRule="atLeast"/>
                        <w:rPr>
                          <w:rFonts w:eastAsia="黑体"/>
                          <w:szCs w:val="28"/>
                        </w:rPr>
                      </w:pPr>
                      <w:r>
                        <w:rPr>
                          <w:rFonts w:hint="eastAsia" w:eastAsia="黑体"/>
                          <w:szCs w:val="28"/>
                        </w:rPr>
                        <w:t>Crude nickel cobalt sulfide</w:t>
                      </w:r>
                    </w:p>
                    <w:p>
                      <w:pPr>
                        <w:pStyle w:val="54"/>
                        <w:spacing w:before="0" w:line="240" w:lineRule="atLeast"/>
                        <w:rPr>
                          <w:rFonts w:hint="eastAsia" w:ascii="黑体" w:hAnsi="黑体" w:eastAsia="黑体" w:cs="黑体"/>
                          <w:szCs w:val="28"/>
                          <w:lang w:eastAsia="zh-CN"/>
                        </w:rPr>
                      </w:pPr>
                      <w:r>
                        <w:rPr>
                          <w:rFonts w:hint="eastAsia" w:ascii="黑体" w:hAnsi="黑体" w:eastAsia="黑体" w:cs="黑体"/>
                          <w:szCs w:val="28"/>
                          <w:lang w:eastAsia="zh-CN"/>
                        </w:rPr>
                        <w:t>（</w:t>
                      </w:r>
                      <w:r>
                        <w:rPr>
                          <w:rFonts w:hint="eastAsia" w:ascii="黑体" w:hAnsi="黑体" w:eastAsia="黑体" w:cs="黑体"/>
                          <w:szCs w:val="28"/>
                          <w:lang w:val="en-US" w:eastAsia="zh-CN"/>
                        </w:rPr>
                        <w:t>征求意见稿</w:t>
                      </w:r>
                      <w:r>
                        <w:rPr>
                          <w:rFonts w:hint="eastAsia" w:ascii="黑体" w:hAnsi="黑体" w:eastAsia="黑体" w:cs="黑体"/>
                          <w:szCs w:val="28"/>
                          <w:lang w:eastAsia="zh-CN"/>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5"/>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r>
                              <w:t>20</w:t>
                            </w:r>
                            <w:bookmarkEnd w:id="7"/>
                            <w:bookmarkEnd w:id="8"/>
                            <w:r>
                              <w:rPr>
                                <w:rFonts w:hint="eastAsia"/>
                              </w:rPr>
                              <w:t>XX</w:t>
                            </w:r>
                          </w:p>
                          <w:p>
                            <w:pPr>
                              <w:pStyle w:val="55"/>
                              <w:spacing w:before="0" w:beforeAutospacing="0" w:after="0" w:afterAutospacing="0"/>
                              <w:rPr>
                                <w:rFonts w:eastAsia="黑体"/>
                              </w:rPr>
                            </w:pPr>
                          </w:p>
                          <w:p>
                            <w:pPr>
                              <w:pStyle w:val="55"/>
                              <w:rPr>
                                <w:rFonts w:eastAsia="黑体"/>
                              </w:rPr>
                            </w:pPr>
                          </w:p>
                          <w:p>
                            <w:pPr>
                              <w:pStyle w:val="55"/>
                              <w:rPr>
                                <w:rFonts w:eastAsia="黑体"/>
                              </w:rPr>
                            </w:pPr>
                          </w:p>
                          <w:p>
                            <w:pPr>
                              <w:pStyle w:val="55"/>
                              <w:rPr>
                                <w:rFonts w:eastAsia="黑体"/>
                              </w:rPr>
                            </w:pPr>
                          </w:p>
                          <w:p>
                            <w:pPr>
                              <w:pStyle w:val="55"/>
                              <w:rPr>
                                <w:rFonts w:eastAsia="黑体"/>
                              </w:rPr>
                            </w:pPr>
                            <w:r>
                              <w:rPr>
                                <w:rFonts w:eastAsia="黑体"/>
                              </w:rPr>
                              <w:t xml:space="preserve">    </w:t>
                            </w:r>
                          </w:p>
                          <w:p>
                            <w:pPr>
                              <w:pStyle w:val="55"/>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pPr>
                        <w:pStyle w:val="55"/>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r>
                        <w:t>20</w:t>
                      </w:r>
                      <w:bookmarkEnd w:id="7"/>
                      <w:bookmarkEnd w:id="8"/>
                      <w:r>
                        <w:rPr>
                          <w:rFonts w:hint="eastAsia"/>
                        </w:rPr>
                        <w:t>XX</w:t>
                      </w:r>
                    </w:p>
                    <w:p>
                      <w:pPr>
                        <w:pStyle w:val="55"/>
                        <w:spacing w:before="0" w:beforeAutospacing="0" w:after="0" w:afterAutospacing="0"/>
                        <w:rPr>
                          <w:rFonts w:eastAsia="黑体"/>
                        </w:rPr>
                      </w:pPr>
                    </w:p>
                    <w:p>
                      <w:pPr>
                        <w:pStyle w:val="55"/>
                        <w:rPr>
                          <w:rFonts w:eastAsia="黑体"/>
                        </w:rPr>
                      </w:pPr>
                    </w:p>
                    <w:p>
                      <w:pPr>
                        <w:pStyle w:val="55"/>
                        <w:rPr>
                          <w:rFonts w:eastAsia="黑体"/>
                        </w:rPr>
                      </w:pPr>
                    </w:p>
                    <w:p>
                      <w:pPr>
                        <w:pStyle w:val="55"/>
                        <w:rPr>
                          <w:rFonts w:eastAsia="黑体"/>
                        </w:rPr>
                      </w:pPr>
                    </w:p>
                    <w:p>
                      <w:pPr>
                        <w:pStyle w:val="55"/>
                        <w:rPr>
                          <w:rFonts w:eastAsia="黑体"/>
                        </w:rPr>
                      </w:pPr>
                      <w:r>
                        <w:rPr>
                          <w:rFonts w:eastAsia="黑体"/>
                        </w:rPr>
                        <w:t xml:space="preserve">    </w:t>
                      </w:r>
                    </w:p>
                    <w:p>
                      <w:pPr>
                        <w:pStyle w:val="55"/>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eastAsia="黑体"/>
                              </w:rPr>
                            </w:pPr>
                            <w:r>
                              <w:rPr>
                                <w:rFonts w:eastAsia="黑体"/>
                              </w:rPr>
                              <w:t>ICS 77.120.99</w:t>
                            </w:r>
                          </w:p>
                          <w:p>
                            <w:pPr>
                              <w:rPr>
                                <w:rFonts w:eastAsia="黑体"/>
                              </w:rPr>
                            </w:pPr>
                            <w:r>
                              <w:rPr>
                                <w:rFonts w:eastAsia="黑体"/>
                                <w:szCs w:val="21"/>
                              </w:rPr>
                              <w:t xml:space="preserve">CCS </w:t>
                            </w:r>
                            <w:r>
                              <w:rPr>
                                <w:rFonts w:eastAsia="黑体"/>
                              </w:rPr>
                              <w:t>H 69</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pPr>
                        <w:rPr>
                          <w:rFonts w:eastAsia="黑体"/>
                        </w:rPr>
                      </w:pPr>
                      <w:r>
                        <w:rPr>
                          <w:rFonts w:eastAsia="黑体"/>
                        </w:rPr>
                        <w:t>ICS 77.120.99</w:t>
                      </w:r>
                    </w:p>
                    <w:p>
                      <w:pPr>
                        <w:rPr>
                          <w:rFonts w:eastAsia="黑体"/>
                        </w:rPr>
                      </w:pPr>
                      <w:r>
                        <w:rPr>
                          <w:rFonts w:eastAsia="黑体"/>
                          <w:szCs w:val="21"/>
                        </w:rPr>
                        <w:t xml:space="preserve">CCS </w:t>
                      </w:r>
                      <w:r>
                        <w:rPr>
                          <w:rFonts w:eastAsia="黑体"/>
                        </w:rPr>
                        <w:t>H 69</w:t>
                      </w:r>
                    </w:p>
                  </w:txbxContent>
                </v:textbox>
                <w10:anchorlock/>
              </v:shape>
            </w:pict>
          </mc:Fallback>
        </mc:AlternateContent>
      </w:r>
      <w:r>
        <w:t>T</w:t>
      </w:r>
    </w:p>
    <w:p>
      <w:pPr>
        <w:pStyle w:val="57"/>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7"/>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8480;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pPr>
                        <w:pStyle w:val="57"/>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p>
    <w:bookmarkEnd w:id="0"/>
    <w:p>
      <w:pPr>
        <w:pStyle w:val="31"/>
        <w:keepNext w:val="0"/>
        <w:keepLines w:val="0"/>
        <w:pageBreakBefore w:val="0"/>
        <w:widowControl/>
        <w:kinsoku/>
        <w:wordWrap/>
        <w:overflowPunct/>
        <w:topLinePunct w:val="0"/>
        <w:autoSpaceDE w:val="0"/>
        <w:autoSpaceDN w:val="0"/>
        <w:bidi w:val="0"/>
        <w:adjustRightInd/>
        <w:snapToGrid/>
        <w:spacing w:before="640" w:after="560"/>
        <w:ind w:firstLine="0" w:firstLineChars="0"/>
        <w:jc w:val="center"/>
        <w:textAlignment w:val="auto"/>
        <w:rPr>
          <w:rFonts w:ascii="Times New Roman"/>
          <w:szCs w:val="21"/>
        </w:rPr>
      </w:pPr>
      <w:bookmarkStart w:id="1" w:name="SectionMark2"/>
      <w:r>
        <w:rPr>
          <w:rFonts w:ascii="Times New Roman" w:eastAsia="黑体"/>
          <w:sz w:val="32"/>
          <w:szCs w:val="32"/>
        </w:rPr>
        <w:t>前  言</w:t>
      </w:r>
    </w:p>
    <w:p>
      <w:pPr>
        <w:ind w:firstLine="420" w:firstLineChars="200"/>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pPr>
        <w:pStyle w:val="31"/>
        <w:ind w:firstLine="420"/>
        <w:rPr>
          <w:rFonts w:ascii="Times New Roman"/>
          <w:kern w:val="2"/>
          <w:szCs w:val="24"/>
        </w:rPr>
      </w:pPr>
      <w:r>
        <w:rPr>
          <w:rFonts w:ascii="Times New Roman"/>
          <w:kern w:val="2"/>
          <w:szCs w:val="24"/>
        </w:rPr>
        <w:t>请注意本文件的某些内容可能涉及专利。本文件的发布机构不承担识别专利的责任。</w:t>
      </w:r>
    </w:p>
    <w:p>
      <w:pPr>
        <w:pStyle w:val="31"/>
        <w:ind w:firstLine="420"/>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pPr>
        <w:pStyle w:val="31"/>
        <w:ind w:firstLine="420"/>
        <w:rPr>
          <w:rFonts w:ascii="Times New Roman"/>
          <w:kern w:val="2"/>
          <w:szCs w:val="24"/>
        </w:rPr>
      </w:pPr>
      <w:r>
        <w:rPr>
          <w:rFonts w:ascii="Times New Roman"/>
          <w:kern w:val="2"/>
          <w:szCs w:val="24"/>
        </w:rPr>
        <w:t>本文件起草单位：衢州华友钴新材料有限公司、</w:t>
      </w:r>
      <w:r>
        <w:rPr>
          <w:rFonts w:hint="eastAsia" w:ascii="Times New Roman"/>
          <w:kern w:val="2"/>
          <w:szCs w:val="24"/>
        </w:rPr>
        <w:t>浙江华友钴业股份有限公司、衢州华友资源再生</w:t>
      </w:r>
      <w:r>
        <w:rPr>
          <w:rFonts w:hint="eastAsia" w:ascii="Times New Roman"/>
          <w:kern w:val="2"/>
          <w:szCs w:val="24"/>
          <w:lang w:val="en-US" w:eastAsia="zh-CN"/>
        </w:rPr>
        <w:t>科技</w:t>
      </w:r>
      <w:r>
        <w:rPr>
          <w:rFonts w:hint="eastAsia" w:ascii="Times New Roman"/>
          <w:kern w:val="2"/>
          <w:szCs w:val="24"/>
        </w:rPr>
        <w:t>有限公司、格林美股份有限公司</w:t>
      </w:r>
      <w:r>
        <w:rPr>
          <w:rFonts w:hint="eastAsia" w:ascii="Times New Roman"/>
          <w:kern w:val="2"/>
          <w:szCs w:val="24"/>
          <w:lang w:eastAsia="zh-CN"/>
        </w:rPr>
        <w:t>、</w:t>
      </w:r>
      <w:r>
        <w:rPr>
          <w:rFonts w:hint="eastAsia" w:ascii="Times New Roman"/>
          <w:kern w:val="2"/>
          <w:szCs w:val="24"/>
        </w:rPr>
        <w:t>广东邦普循环科技有限公司、</w:t>
      </w:r>
      <w:r>
        <w:rPr>
          <w:rFonts w:hint="eastAsia" w:ascii="Times New Roman" w:hAnsi="Times New Roman" w:eastAsia="宋体" w:cs="Times New Roman"/>
          <w:kern w:val="2"/>
          <w:sz w:val="21"/>
          <w:szCs w:val="24"/>
        </w:rPr>
        <w:t>深圳海关工业品检测技术中心</w:t>
      </w:r>
      <w:r>
        <w:rPr>
          <w:rFonts w:hint="eastAsia" w:ascii="Times New Roman"/>
          <w:kern w:val="2"/>
          <w:szCs w:val="24"/>
        </w:rPr>
        <w:t>。</w:t>
      </w:r>
    </w:p>
    <w:p>
      <w:pPr>
        <w:ind w:firstLine="420" w:firstLineChars="200"/>
        <w:rPr>
          <w:szCs w:val="21"/>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r>
        <w:rPr>
          <w:szCs w:val="21"/>
        </w:rPr>
        <w:t xml:space="preserve"> </w:t>
      </w:r>
    </w:p>
    <w:p>
      <w:pPr>
        <w:pStyle w:val="44"/>
        <w:spacing w:line="240" w:lineRule="auto"/>
        <w:rPr>
          <w:rFonts w:hint="eastAsia" w:ascii="Times New Roman" w:eastAsia="黑体"/>
          <w:lang w:eastAsia="zh-CN"/>
        </w:rPr>
      </w:pPr>
      <w:bookmarkStart w:id="3" w:name="_Toc55210702"/>
      <w:bookmarkStart w:id="4" w:name="_Toc65050653"/>
      <w:r>
        <w:rPr>
          <w:rFonts w:hint="eastAsia" w:ascii="Times New Roman"/>
        </w:rPr>
        <w:t>粗</w:t>
      </w:r>
      <w:r>
        <w:rPr>
          <w:rFonts w:hint="eastAsia" w:ascii="Times New Roman"/>
          <w:lang w:val="en-US" w:eastAsia="zh-CN"/>
        </w:rPr>
        <w:t>硫化镍钴</w:t>
      </w:r>
    </w:p>
    <w:p>
      <w:pPr>
        <w:pStyle w:val="41"/>
        <w:spacing w:before="312" w:beforeLines="100" w:after="312" w:afterLines="100"/>
        <w:rPr>
          <w:rFonts w:ascii="Times New Roman"/>
        </w:rPr>
      </w:pPr>
      <w:r>
        <w:rPr>
          <w:rFonts w:hint="eastAsia" w:hAnsi="黑体" w:cs="黑体"/>
          <w:bCs/>
        </w:rPr>
        <w:t xml:space="preserve">1  </w:t>
      </w:r>
      <w:r>
        <w:rPr>
          <w:rFonts w:hint="eastAsia" w:hAnsi="黑体" w:cs="黑体"/>
        </w:rPr>
        <w:t>范围</w:t>
      </w:r>
      <w:bookmarkEnd w:id="3"/>
      <w:bookmarkEnd w:id="4"/>
    </w:p>
    <w:p>
      <w:pPr>
        <w:spacing w:line="400" w:lineRule="exact"/>
        <w:ind w:firstLine="420"/>
        <w:rPr>
          <w:rFonts w:hint="eastAsia"/>
          <w:szCs w:val="22"/>
        </w:rPr>
      </w:pPr>
      <w:r>
        <w:rPr>
          <w:rFonts w:hint="eastAsia"/>
          <w:szCs w:val="22"/>
        </w:rPr>
        <w:t>本文件规定了粗制</w:t>
      </w:r>
      <w:r>
        <w:rPr>
          <w:rFonts w:hint="eastAsia"/>
          <w:szCs w:val="22"/>
          <w:lang w:val="en-US" w:eastAsia="zh-CN"/>
        </w:rPr>
        <w:t>硫化镍钴</w:t>
      </w:r>
      <w:r>
        <w:rPr>
          <w:rFonts w:hint="eastAsia"/>
          <w:szCs w:val="22"/>
        </w:rPr>
        <w:t>的技术要求、试验方法、检验规则、标志、包装、运输、贮存、随行文件及订货单内容。</w:t>
      </w:r>
    </w:p>
    <w:p>
      <w:pPr>
        <w:spacing w:line="400" w:lineRule="exact"/>
        <w:ind w:firstLine="420"/>
        <w:rPr>
          <w:rFonts w:hint="eastAsia"/>
          <w:szCs w:val="22"/>
          <w:highlight w:val="yellow"/>
        </w:rPr>
      </w:pPr>
      <w:r>
        <w:rPr>
          <w:rFonts w:hint="eastAsia"/>
          <w:szCs w:val="22"/>
        </w:rPr>
        <w:t>本文件适用于</w:t>
      </w:r>
      <w:r>
        <w:rPr>
          <w:rFonts w:hint="eastAsia"/>
        </w:rPr>
        <w:t>红土镍矿、废锂离子电池料</w:t>
      </w:r>
      <w:r>
        <w:rPr>
          <w:rFonts w:hint="eastAsia"/>
          <w:lang w:val="en-US" w:eastAsia="zh-CN"/>
        </w:rPr>
        <w:t>等</w:t>
      </w:r>
      <w:r>
        <w:rPr>
          <w:rFonts w:hint="eastAsia"/>
        </w:rPr>
        <w:t>含</w:t>
      </w:r>
      <w:r>
        <w:rPr>
          <w:rFonts w:hint="eastAsia"/>
          <w:lang w:val="en-US" w:eastAsia="zh-CN"/>
        </w:rPr>
        <w:t>镍钴物</w:t>
      </w:r>
      <w:r>
        <w:rPr>
          <w:rFonts w:hint="eastAsia"/>
        </w:rPr>
        <w:t>料</w:t>
      </w:r>
      <w:r>
        <w:rPr>
          <w:rFonts w:hint="eastAsia"/>
          <w:szCs w:val="22"/>
        </w:rPr>
        <w:t>经酸浸、</w:t>
      </w:r>
      <w:r>
        <w:rPr>
          <w:rFonts w:hint="eastAsia"/>
          <w:szCs w:val="22"/>
          <w:lang w:val="en-US" w:eastAsia="zh-CN"/>
        </w:rPr>
        <w:t>硫化</w:t>
      </w:r>
      <w:r>
        <w:rPr>
          <w:rFonts w:hint="eastAsia"/>
          <w:szCs w:val="22"/>
        </w:rPr>
        <w:t>沉淀等湿法工艺处理后得到的粗</w:t>
      </w:r>
      <w:r>
        <w:rPr>
          <w:rFonts w:hint="eastAsia"/>
          <w:szCs w:val="22"/>
          <w:lang w:val="en-US" w:eastAsia="zh-CN"/>
        </w:rPr>
        <w:t>硫化镍钴</w:t>
      </w:r>
      <w:r>
        <w:rPr>
          <w:rFonts w:hint="eastAsia"/>
          <w:szCs w:val="22"/>
        </w:rPr>
        <w:t>，也适用于镍钴湿法冶炼过程中产生的含镍钴废液经处理后得到的粗</w:t>
      </w:r>
      <w:r>
        <w:rPr>
          <w:rFonts w:hint="eastAsia"/>
          <w:szCs w:val="22"/>
          <w:lang w:val="en-US" w:eastAsia="zh-CN"/>
        </w:rPr>
        <w:t>硫化镍钴</w:t>
      </w:r>
      <w:r>
        <w:rPr>
          <w:rFonts w:hint="eastAsia"/>
          <w:szCs w:val="22"/>
        </w:rPr>
        <w:t>，主要用于镍钴冶炼的原料。</w:t>
      </w:r>
    </w:p>
    <w:p>
      <w:pPr>
        <w:spacing w:before="0" w:beforeLines="-2147483648" w:after="0" w:afterLines="-2147483648" w:line="400" w:lineRule="exact"/>
        <w:ind w:firstLine="0"/>
        <w:rPr>
          <w:rFonts w:ascii="黑体" w:hAnsi="黑体" w:eastAsia="黑体" w:cs="黑体"/>
          <w:bCs/>
        </w:rPr>
      </w:pPr>
      <w:r>
        <w:rPr>
          <w:rFonts w:hint="eastAsia" w:ascii="黑体" w:hAnsi="黑体" w:eastAsia="黑体" w:cs="黑体"/>
          <w:bCs/>
        </w:rPr>
        <w:t>2  规范性引用文件</w:t>
      </w:r>
    </w:p>
    <w:p>
      <w:pPr>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hint="default" w:eastAsiaTheme="minorEastAsia"/>
          <w:szCs w:val="22"/>
        </w:rPr>
      </w:pPr>
      <w:r>
        <w:rPr>
          <w:rFonts w:eastAsiaTheme="minorEastAsia"/>
          <w:szCs w:val="22"/>
        </w:rPr>
        <w:t xml:space="preserve">GB/T 8170 </w:t>
      </w:r>
      <w:r>
        <w:rPr>
          <w:rFonts w:hint="default" w:eastAsiaTheme="minorEastAsia"/>
          <w:szCs w:val="22"/>
        </w:rPr>
        <w:t xml:space="preserve"> 数值修约规则与极限数值的表示和判定</w:t>
      </w:r>
    </w:p>
    <w:p>
      <w:pPr>
        <w:ind w:firstLine="420"/>
        <w:rPr>
          <w:rFonts w:hint="default" w:eastAsiaTheme="minorEastAsia"/>
          <w:szCs w:val="22"/>
          <w:highlight w:val="none"/>
        </w:rPr>
      </w:pPr>
      <w:r>
        <w:rPr>
          <w:rFonts w:hint="default" w:eastAsiaTheme="minorEastAsia"/>
          <w:szCs w:val="22"/>
          <w:highlight w:val="none"/>
        </w:rPr>
        <w:t>YS/T 252.5</w:t>
      </w:r>
      <w:r>
        <w:rPr>
          <w:rFonts w:hint="eastAsia" w:ascii="Times New Roman" w:hAnsi="Times New Roman" w:cs="Times New Roman" w:eastAsiaTheme="minorEastAsia"/>
          <w:szCs w:val="22"/>
          <w:highlight w:val="none"/>
          <w:lang w:eastAsia="zh-CN"/>
        </w:rPr>
        <w:t xml:space="preserve"> </w:t>
      </w:r>
      <w:r>
        <w:rPr>
          <w:rFonts w:hint="eastAsia" w:ascii="Times New Roman" w:hAnsi="Times New Roman" w:cs="Times New Roman" w:eastAsiaTheme="minorEastAsia"/>
          <w:szCs w:val="22"/>
          <w:highlight w:val="none"/>
          <w:lang w:val="en-US" w:eastAsia="zh-CN"/>
        </w:rPr>
        <w:t xml:space="preserve"> </w:t>
      </w:r>
      <w:r>
        <w:rPr>
          <w:rFonts w:hint="default" w:eastAsiaTheme="minorEastAsia"/>
          <w:szCs w:val="22"/>
          <w:highlight w:val="none"/>
        </w:rPr>
        <w:t>高镍锍化学分析方法  硫量的测定  燃烧－中和滴定法</w:t>
      </w:r>
    </w:p>
    <w:p>
      <w:pPr>
        <w:ind w:firstLine="420"/>
        <w:rPr>
          <w:rFonts w:eastAsiaTheme="minorEastAsia"/>
          <w:szCs w:val="22"/>
        </w:rPr>
      </w:pPr>
      <w:r>
        <w:rPr>
          <w:rFonts w:eastAsiaTheme="minorEastAsia"/>
          <w:szCs w:val="22"/>
        </w:rPr>
        <w:t>YS/T 122</w:t>
      </w:r>
      <w:r>
        <w:rPr>
          <w:rFonts w:hint="default" w:eastAsiaTheme="minorEastAsia"/>
          <w:szCs w:val="22"/>
        </w:rPr>
        <w:t>9.3  粗氢氧化镍化学分析方法  第3部分：铜、钴、锰、钙、镁、锌、铁、铝、铅、砷和镉量的测定  电感耦合等离子体原子发射光谱法</w:t>
      </w:r>
    </w:p>
    <w:p>
      <w:pPr>
        <w:pStyle w:val="2"/>
        <w:ind w:firstLine="420" w:firstLineChars="200"/>
        <w:rPr>
          <w:rFonts w:ascii="Times New Roman" w:hAnsi="Times New Roman"/>
        </w:rPr>
      </w:pPr>
      <w:r>
        <w:rPr>
          <w:rFonts w:hint="default" w:ascii="Times New Roman" w:hAnsi="Times New Roman"/>
          <w:szCs w:val="22"/>
        </w:rPr>
        <w:t xml:space="preserve">YS/T 1229.4  粗氢氧化镍化学分析方法 </w:t>
      </w:r>
      <w:r>
        <w:rPr>
          <w:rFonts w:ascii="Times New Roman" w:hAnsi="Times New Roman"/>
          <w:szCs w:val="22"/>
        </w:rPr>
        <w:t xml:space="preserve"> </w:t>
      </w:r>
      <w:r>
        <w:rPr>
          <w:rFonts w:hint="default" w:ascii="Times New Roman" w:hAnsi="Times New Roman"/>
          <w:szCs w:val="22"/>
        </w:rPr>
        <w:t xml:space="preserve">第4部分：氯量的测定 </w:t>
      </w:r>
      <w:r>
        <w:rPr>
          <w:rFonts w:ascii="Times New Roman" w:hAnsi="Times New Roman"/>
          <w:szCs w:val="22"/>
        </w:rPr>
        <w:t xml:space="preserve"> </w:t>
      </w:r>
      <w:r>
        <w:rPr>
          <w:rFonts w:hint="default" w:ascii="Times New Roman" w:hAnsi="Times New Roman"/>
          <w:szCs w:val="22"/>
        </w:rPr>
        <w:t>比浊法</w:t>
      </w:r>
    </w:p>
    <w:p>
      <w:pPr>
        <w:ind w:firstLine="420"/>
        <w:rPr>
          <w:rFonts w:eastAsiaTheme="minorEastAsia"/>
          <w:szCs w:val="22"/>
        </w:rPr>
      </w:pPr>
      <w:r>
        <w:rPr>
          <w:rFonts w:hint="default" w:eastAsiaTheme="minorEastAsia"/>
          <w:szCs w:val="22"/>
        </w:rPr>
        <w:t>YS/T 1342.1  二次电池废料化学分析方法  第1部分：镍含量的测定  丁二酮肟重量法和火焰原子吸收光谱法</w:t>
      </w:r>
    </w:p>
    <w:p>
      <w:pPr>
        <w:ind w:firstLine="420"/>
        <w:rPr>
          <w:rFonts w:eastAsiaTheme="minorEastAsia"/>
          <w:szCs w:val="22"/>
        </w:rPr>
      </w:pPr>
      <w:r>
        <w:rPr>
          <w:rFonts w:hint="default" w:eastAsiaTheme="minorEastAsia"/>
          <w:szCs w:val="22"/>
        </w:rPr>
        <w:t>YS/T 1342.2  二次电池废料化学分析方法  第2部分：钴含量的测定  电位滴定法和火焰原子吸收光谱法</w:t>
      </w:r>
    </w:p>
    <w:p>
      <w:pPr>
        <w:pStyle w:val="2"/>
        <w:ind w:firstLine="420" w:firstLineChars="200"/>
        <w:rPr>
          <w:rFonts w:hint="default" w:ascii="Times New Roman" w:hAnsi="Times New Roman" w:eastAsiaTheme="minorEastAsia"/>
          <w:szCs w:val="22"/>
        </w:rPr>
      </w:pPr>
      <w:r>
        <w:rPr>
          <w:rFonts w:hint="default" w:ascii="Times New Roman" w:hAnsi="Times New Roman" w:eastAsiaTheme="minorEastAsia"/>
          <w:szCs w:val="22"/>
        </w:rPr>
        <w:t>YS/T XXX</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粗氢氧化镍钴化学分析方法  第2部分：铬、磷、锰含量的测定  电感耦合等离子体原子发射光谱法</w:t>
      </w:r>
    </w:p>
    <w:p>
      <w:pPr>
        <w:pStyle w:val="2"/>
        <w:ind w:firstLine="420" w:firstLineChars="200"/>
        <w:rPr>
          <w:rFonts w:hint="default" w:ascii="Times New Roman" w:hAnsi="Times New Roman" w:eastAsiaTheme="minorEastAsia"/>
          <w:szCs w:val="22"/>
        </w:rPr>
      </w:pPr>
      <w:r>
        <w:rPr>
          <w:rFonts w:hint="default" w:ascii="Times New Roman" w:hAnsi="Times New Roman" w:eastAsiaTheme="minorEastAsia"/>
          <w:szCs w:val="22"/>
        </w:rPr>
        <w:t>YS/T XXX</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粗氢氧化镍钴化学分析方法  第3部分：氟离子含量的测定  离子选择电极法</w:t>
      </w:r>
    </w:p>
    <w:p>
      <w:pPr>
        <w:pStyle w:val="2"/>
        <w:ind w:firstLine="420" w:firstLineChars="200"/>
        <w:rPr>
          <w:rFonts w:hint="default" w:ascii="Times New Roman" w:hAnsi="Times New Roman" w:eastAsiaTheme="minorEastAsia"/>
          <w:szCs w:val="22"/>
        </w:rPr>
      </w:pPr>
      <w:r>
        <w:rPr>
          <w:rFonts w:hint="default" w:ascii="Times New Roman" w:hAnsi="Times New Roman" w:eastAsiaTheme="minorEastAsia"/>
          <w:szCs w:val="22"/>
        </w:rPr>
        <w:t>YS/T XX</w:t>
      </w:r>
      <w:r>
        <w:rPr>
          <w:rFonts w:hint="default" w:ascii="Times New Roman" w:hAnsi="Times New Roman" w:eastAsiaTheme="minorEastAsia"/>
          <w:szCs w:val="22"/>
          <w:lang w:val="en-US" w:eastAsia="zh-CN"/>
        </w:rPr>
        <w:t xml:space="preserve">X  </w:t>
      </w:r>
      <w:r>
        <w:rPr>
          <w:rFonts w:hint="default" w:ascii="Times New Roman" w:hAnsi="Times New Roman" w:eastAsiaTheme="minorEastAsia"/>
          <w:szCs w:val="22"/>
        </w:rPr>
        <w:t>粗氢氧化镍化学分析方法</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 xml:space="preserve"> 第</w:t>
      </w:r>
      <w:r>
        <w:rPr>
          <w:rFonts w:hint="default" w:ascii="Times New Roman" w:hAnsi="Times New Roman" w:eastAsiaTheme="minorEastAsia"/>
          <w:szCs w:val="22"/>
          <w:lang w:val="en-US" w:eastAsia="zh-CN"/>
        </w:rPr>
        <w:t>5</w:t>
      </w:r>
      <w:r>
        <w:rPr>
          <w:rFonts w:hint="default" w:ascii="Times New Roman" w:hAnsi="Times New Roman" w:eastAsiaTheme="minorEastAsia"/>
          <w:szCs w:val="22"/>
        </w:rPr>
        <w:t>部分：水分含量的测定</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 xml:space="preserve"> 烘箱干燥法</w:t>
      </w:r>
    </w:p>
    <w:p>
      <w:pPr>
        <w:spacing w:before="312" w:beforeLines="100" w:after="312" w:afterLines="100"/>
        <w:rPr>
          <w:rFonts w:ascii="黑体" w:hAnsi="黑体" w:eastAsia="黑体" w:cs="黑体"/>
          <w:bCs/>
        </w:rPr>
      </w:pPr>
      <w:r>
        <w:rPr>
          <w:rFonts w:hint="eastAsia" w:ascii="黑体" w:hAnsi="黑体" w:eastAsia="黑体" w:cs="黑体"/>
          <w:bCs/>
        </w:rPr>
        <w:t>3  术语和定义</w:t>
      </w:r>
    </w:p>
    <w:p>
      <w:pPr>
        <w:pStyle w:val="31"/>
        <w:ind w:firstLine="420"/>
        <w:rPr>
          <w:rFonts w:ascii="Times New Roman"/>
        </w:rPr>
      </w:pPr>
      <w:r>
        <w:rPr>
          <w:rFonts w:ascii="Times New Roman"/>
        </w:rPr>
        <w:t>本文件没有需要界定的术语和定义。</w:t>
      </w:r>
    </w:p>
    <w:p>
      <w:pPr>
        <w:pStyle w:val="41"/>
        <w:spacing w:before="312" w:beforeLines="100" w:after="312" w:afterLines="100"/>
        <w:rPr>
          <w:rFonts w:hAnsi="黑体" w:cs="黑体"/>
          <w:szCs w:val="22"/>
        </w:rPr>
      </w:pPr>
      <w:r>
        <w:rPr>
          <w:rFonts w:hint="eastAsia" w:hAnsi="黑体" w:cs="黑体"/>
          <w:szCs w:val="22"/>
        </w:rPr>
        <w:t>4  技术</w:t>
      </w:r>
      <w:r>
        <w:rPr>
          <w:rFonts w:hint="eastAsia" w:hAnsi="黑体" w:cs="黑体"/>
          <w:bCs/>
          <w:szCs w:val="21"/>
        </w:rPr>
        <w:t>要求</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4.1  产品分类</w:t>
      </w:r>
    </w:p>
    <w:p>
      <w:pPr>
        <w:pStyle w:val="31"/>
        <w:spacing w:before="156" w:beforeLines="50" w:after="156" w:afterLines="50"/>
        <w:ind w:firstLine="420"/>
        <w:rPr>
          <w:rFonts w:ascii="Times New Roman" w:eastAsiaTheme="minorEastAsia"/>
          <w:szCs w:val="21"/>
        </w:rPr>
      </w:pPr>
      <w:r>
        <w:rPr>
          <w:rFonts w:hint="eastAsia" w:ascii="Times New Roman" w:eastAsiaTheme="minorEastAsia"/>
          <w:szCs w:val="21"/>
        </w:rPr>
        <w:t>产品按化学成分分为三级：一级品、二级品、三级品。</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4.2  化学成分</w:t>
      </w:r>
    </w:p>
    <w:p>
      <w:pPr>
        <w:pStyle w:val="41"/>
        <w:spacing w:beforeLines="0" w:afterLines="0"/>
        <w:ind w:firstLine="420" w:firstLineChars="200"/>
        <w:outlineLvl w:val="2"/>
        <w:rPr>
          <w:rFonts w:ascii="Times New Roman" w:eastAsiaTheme="minorEastAsia"/>
          <w:szCs w:val="21"/>
        </w:rPr>
      </w:pPr>
      <w:r>
        <w:rPr>
          <w:rFonts w:hint="eastAsia" w:ascii="Times New Roman" w:eastAsiaTheme="minorEastAsia"/>
          <w:szCs w:val="21"/>
          <w:lang w:val="en-US" w:eastAsia="zh-CN"/>
        </w:rPr>
        <w:t>产品（干基）的</w:t>
      </w:r>
      <w:r>
        <w:rPr>
          <w:rFonts w:ascii="Times New Roman" w:eastAsiaTheme="minorEastAsia"/>
          <w:szCs w:val="21"/>
        </w:rPr>
        <w:t>化学成分应符合表1的规定。</w:t>
      </w:r>
    </w:p>
    <w:p>
      <w:pPr>
        <w:pStyle w:val="31"/>
        <w:tabs>
          <w:tab w:val="left" w:pos="3625"/>
        </w:tabs>
        <w:spacing w:before="156" w:beforeLines="50" w:after="156" w:afterLines="50"/>
        <w:ind w:firstLine="0" w:firstLineChars="0"/>
        <w:jc w:val="center"/>
        <w:rPr>
          <w:rFonts w:ascii="黑体" w:hAnsi="黑体" w:eastAsia="黑体" w:cs="黑体"/>
          <w:bCs/>
          <w:szCs w:val="21"/>
        </w:rPr>
      </w:pPr>
      <w:r>
        <w:rPr>
          <w:rFonts w:hint="eastAsia" w:ascii="黑体" w:hAnsi="黑体" w:eastAsia="黑体" w:cs="黑体"/>
          <w:szCs w:val="21"/>
        </w:rPr>
        <w:t xml:space="preserve">表1 </w:t>
      </w:r>
      <w:r>
        <w:rPr>
          <w:rFonts w:hint="eastAsia" w:ascii="黑体" w:hAnsi="黑体" w:eastAsia="黑体" w:cs="黑体"/>
          <w:szCs w:val="21"/>
          <w:lang w:val="en-US" w:eastAsia="zh-CN"/>
        </w:rPr>
        <w:t xml:space="preserve"> 产品（干基）</w:t>
      </w:r>
      <w:r>
        <w:rPr>
          <w:rFonts w:hint="eastAsia" w:ascii="黑体" w:hAnsi="黑体" w:eastAsia="黑体" w:cs="黑体"/>
          <w:szCs w:val="21"/>
        </w:rPr>
        <w:t>的化学成分</w:t>
      </w:r>
    </w:p>
    <w:tbl>
      <w:tblPr>
        <w:tblStyle w:val="1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3"/>
        <w:gridCol w:w="2033"/>
        <w:gridCol w:w="2033"/>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4"/>
            <w:tcBorders>
              <w:top w:val="nil"/>
              <w:left w:val="nil"/>
              <w:right w:val="nil"/>
            </w:tcBorders>
            <w:vAlign w:val="center"/>
          </w:tcPr>
          <w:p>
            <w:pPr>
              <w:spacing w:line="400" w:lineRule="exact"/>
              <w:ind w:firstLine="420"/>
              <w:jc w:val="right"/>
              <w:rPr>
                <w:sz w:val="18"/>
                <w:szCs w:val="18"/>
              </w:rPr>
            </w:pPr>
            <w:r>
              <w:rPr>
                <w:i/>
                <w:iCs/>
                <w:sz w:val="18"/>
                <w:szCs w:val="18"/>
              </w:rPr>
              <w:t>w</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Merge w:val="restart"/>
            <w:tcBorders>
              <w:top w:val="single" w:color="auto" w:sz="4" w:space="0"/>
            </w:tcBorders>
            <w:vAlign w:val="center"/>
          </w:tcPr>
          <w:p>
            <w:pPr>
              <w:spacing w:line="400" w:lineRule="exact"/>
              <w:jc w:val="center"/>
              <w:rPr>
                <w:sz w:val="18"/>
                <w:szCs w:val="18"/>
              </w:rPr>
            </w:pPr>
            <w:r>
              <w:rPr>
                <w:sz w:val="18"/>
                <w:szCs w:val="18"/>
              </w:rPr>
              <w:t>项目</w:t>
            </w:r>
          </w:p>
        </w:tc>
        <w:tc>
          <w:tcPr>
            <w:tcW w:w="6108" w:type="dxa"/>
            <w:gridSpan w:val="3"/>
            <w:tcBorders>
              <w:top w:val="single" w:color="auto" w:sz="4" w:space="0"/>
            </w:tcBorders>
            <w:vAlign w:val="center"/>
          </w:tcPr>
          <w:p>
            <w:pPr>
              <w:spacing w:line="400" w:lineRule="exact"/>
              <w:jc w:val="center"/>
              <w:rPr>
                <w:sz w:val="18"/>
                <w:szCs w:val="18"/>
              </w:rPr>
            </w:pPr>
            <w:r>
              <w:rPr>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463" w:type="dxa"/>
            <w:vMerge w:val="continue"/>
            <w:vAlign w:val="center"/>
          </w:tcPr>
          <w:p>
            <w:pPr>
              <w:spacing w:line="400" w:lineRule="exact"/>
              <w:jc w:val="center"/>
              <w:rPr>
                <w:sz w:val="18"/>
                <w:szCs w:val="18"/>
              </w:rPr>
            </w:pPr>
          </w:p>
        </w:tc>
        <w:tc>
          <w:tcPr>
            <w:tcW w:w="2033" w:type="dxa"/>
            <w:tcBorders>
              <w:top w:val="single" w:color="auto" w:sz="4" w:space="0"/>
            </w:tcBorders>
            <w:vAlign w:val="center"/>
          </w:tcPr>
          <w:p>
            <w:pPr>
              <w:spacing w:line="400" w:lineRule="exact"/>
              <w:jc w:val="center"/>
              <w:rPr>
                <w:sz w:val="18"/>
                <w:szCs w:val="18"/>
              </w:rPr>
            </w:pPr>
            <w:r>
              <w:rPr>
                <w:sz w:val="18"/>
                <w:szCs w:val="18"/>
              </w:rPr>
              <w:t>一级品</w:t>
            </w:r>
          </w:p>
        </w:tc>
        <w:tc>
          <w:tcPr>
            <w:tcW w:w="2033" w:type="dxa"/>
            <w:tcBorders>
              <w:top w:val="single" w:color="auto" w:sz="4" w:space="0"/>
            </w:tcBorders>
            <w:vAlign w:val="center"/>
          </w:tcPr>
          <w:p>
            <w:pPr>
              <w:spacing w:line="400" w:lineRule="exact"/>
              <w:jc w:val="center"/>
              <w:rPr>
                <w:sz w:val="18"/>
                <w:szCs w:val="18"/>
              </w:rPr>
            </w:pPr>
            <w:r>
              <w:rPr>
                <w:sz w:val="18"/>
                <w:szCs w:val="18"/>
              </w:rPr>
              <w:t>二级品</w:t>
            </w:r>
          </w:p>
        </w:tc>
        <w:tc>
          <w:tcPr>
            <w:tcW w:w="2042" w:type="dxa"/>
            <w:tcBorders>
              <w:top w:val="single" w:color="auto" w:sz="4" w:space="0"/>
            </w:tcBorders>
            <w:vAlign w:val="center"/>
          </w:tcPr>
          <w:p>
            <w:pPr>
              <w:spacing w:line="400" w:lineRule="exact"/>
              <w:jc w:val="center"/>
              <w:rPr>
                <w:sz w:val="18"/>
                <w:szCs w:val="18"/>
              </w:rPr>
            </w:pPr>
            <w:r>
              <w:rPr>
                <w:sz w:val="18"/>
                <w:szCs w:val="18"/>
              </w:rPr>
              <w:t>三级品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tcBorders>
              <w:top w:val="single" w:color="auto" w:sz="4" w:space="0"/>
            </w:tcBorders>
            <w:vAlign w:val="center"/>
          </w:tcPr>
          <w:p>
            <w:pPr>
              <w:spacing w:line="400" w:lineRule="exact"/>
              <w:jc w:val="center"/>
              <w:rPr>
                <w:sz w:val="18"/>
                <w:szCs w:val="18"/>
              </w:rPr>
            </w:pPr>
            <w:r>
              <w:rPr>
                <w:sz w:val="18"/>
                <w:szCs w:val="18"/>
              </w:rPr>
              <w:t>钴（Co）+镍（Ni）</w:t>
            </w:r>
          </w:p>
        </w:tc>
        <w:tc>
          <w:tcPr>
            <w:tcW w:w="2033" w:type="dxa"/>
            <w:tcBorders>
              <w:top w:val="single" w:color="auto" w:sz="4" w:space="0"/>
            </w:tcBorders>
            <w:vAlign w:val="center"/>
          </w:tcPr>
          <w:p>
            <w:pPr>
              <w:spacing w:line="400" w:lineRule="exact"/>
              <w:jc w:val="center"/>
              <w:rPr>
                <w:sz w:val="18"/>
                <w:szCs w:val="18"/>
              </w:rPr>
            </w:pPr>
            <w:r>
              <w:rPr>
                <w:rFonts w:hint="default" w:ascii="Times New Roman" w:hAnsi="Times New Roman" w:cs="Times New Roman"/>
                <w:sz w:val="18"/>
                <w:szCs w:val="18"/>
              </w:rPr>
              <w:t>≥30</w:t>
            </w:r>
          </w:p>
        </w:tc>
        <w:tc>
          <w:tcPr>
            <w:tcW w:w="2033" w:type="dxa"/>
            <w:tcBorders>
              <w:top w:val="single" w:color="auto" w:sz="4" w:space="0"/>
            </w:tcBorders>
            <w:vAlign w:val="center"/>
          </w:tcPr>
          <w:p>
            <w:pPr>
              <w:spacing w:line="400" w:lineRule="exact"/>
              <w:jc w:val="center"/>
              <w:rPr>
                <w:sz w:val="18"/>
                <w:szCs w:val="18"/>
              </w:rPr>
            </w:pPr>
            <w:r>
              <w:rPr>
                <w:rFonts w:hint="default" w:ascii="Times New Roman" w:hAnsi="Times New Roman" w:cs="Times New Roman"/>
                <w:sz w:val="18"/>
                <w:szCs w:val="18"/>
              </w:rPr>
              <w:t>≥20</w:t>
            </w:r>
          </w:p>
        </w:tc>
        <w:tc>
          <w:tcPr>
            <w:tcW w:w="2042" w:type="dxa"/>
            <w:tcBorders>
              <w:top w:val="single" w:color="auto" w:sz="4" w:space="0"/>
            </w:tcBorders>
            <w:vAlign w:val="center"/>
          </w:tcPr>
          <w:p>
            <w:pPr>
              <w:spacing w:line="400" w:lineRule="exact"/>
              <w:jc w:val="center"/>
              <w:rPr>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Align w:val="center"/>
          </w:tcPr>
          <w:p>
            <w:pPr>
              <w:spacing w:line="400" w:lineRule="exact"/>
              <w:jc w:val="center"/>
              <w:rPr>
                <w:sz w:val="18"/>
                <w:szCs w:val="18"/>
              </w:rPr>
            </w:pPr>
            <w:r>
              <w:rPr>
                <w:sz w:val="18"/>
                <w:szCs w:val="18"/>
              </w:rPr>
              <w:t>硫（S）</w:t>
            </w:r>
          </w:p>
        </w:tc>
        <w:tc>
          <w:tcPr>
            <w:tcW w:w="2033" w:type="dxa"/>
            <w:tcBorders>
              <w:top w:val="single" w:color="auto" w:sz="4" w:space="0"/>
            </w:tcBorders>
            <w:vAlign w:val="center"/>
          </w:tcPr>
          <w:p>
            <w:pPr>
              <w:spacing w:line="400" w:lineRule="exact"/>
              <w:jc w:val="center"/>
              <w:rPr>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en-US" w:eastAsia="zh-CN"/>
              </w:rPr>
              <w:t>0</w:t>
            </w:r>
          </w:p>
        </w:tc>
        <w:tc>
          <w:tcPr>
            <w:tcW w:w="2033" w:type="dxa"/>
            <w:tcBorders>
              <w:top w:val="single" w:color="auto" w:sz="4" w:space="0"/>
            </w:tcBorders>
            <w:vAlign w:val="center"/>
          </w:tcPr>
          <w:p>
            <w:pPr>
              <w:spacing w:line="400" w:lineRule="exact"/>
              <w:jc w:val="center"/>
              <w:rPr>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15</w:t>
            </w:r>
          </w:p>
        </w:tc>
        <w:tc>
          <w:tcPr>
            <w:tcW w:w="2042" w:type="dxa"/>
            <w:tcBorders>
              <w:top w:val="single" w:color="auto" w:sz="4" w:space="0"/>
            </w:tcBorders>
            <w:vAlign w:val="center"/>
          </w:tcPr>
          <w:p>
            <w:pPr>
              <w:spacing w:line="400" w:lineRule="exact"/>
              <w:jc w:val="center"/>
              <w:rPr>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Align w:val="center"/>
          </w:tcPr>
          <w:p>
            <w:pPr>
              <w:spacing w:line="400" w:lineRule="exact"/>
              <w:jc w:val="center"/>
              <w:rPr>
                <w:sz w:val="18"/>
                <w:szCs w:val="18"/>
              </w:rPr>
            </w:pPr>
            <w:r>
              <w:rPr>
                <w:sz w:val="18"/>
                <w:szCs w:val="18"/>
              </w:rPr>
              <w:t>铁（Fe）</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≤1.5</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≤2.0</w:t>
            </w:r>
          </w:p>
        </w:tc>
        <w:tc>
          <w:tcPr>
            <w:tcW w:w="2042" w:type="dxa"/>
            <w:vAlign w:val="center"/>
          </w:tcPr>
          <w:p>
            <w:pPr>
              <w:spacing w:line="400" w:lineRule="exact"/>
              <w:jc w:val="center"/>
              <w:rPr>
                <w:sz w:val="18"/>
                <w:szCs w:val="18"/>
              </w:rPr>
            </w:pPr>
            <w:r>
              <w:rPr>
                <w:rFonts w:hint="default" w:ascii="Times New Roman" w:hAnsi="Times New Roman"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63" w:type="dxa"/>
            <w:vAlign w:val="center"/>
          </w:tcPr>
          <w:p>
            <w:pPr>
              <w:spacing w:line="400" w:lineRule="exact"/>
              <w:jc w:val="center"/>
              <w:rPr>
                <w:sz w:val="18"/>
                <w:szCs w:val="18"/>
                <w:highlight w:val="none"/>
              </w:rPr>
            </w:pPr>
            <w:r>
              <w:rPr>
                <w:sz w:val="18"/>
                <w:szCs w:val="18"/>
                <w:highlight w:val="none"/>
              </w:rPr>
              <w:t>铝（Al）</w:t>
            </w:r>
          </w:p>
        </w:tc>
        <w:tc>
          <w:tcPr>
            <w:tcW w:w="2033"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eastAsia="zh-CN"/>
              </w:rPr>
              <w:t>1</w:t>
            </w:r>
            <w:r>
              <w:rPr>
                <w:rFonts w:hint="default" w:ascii="Times New Roman" w:hAnsi="Times New Roman" w:cs="Times New Roman"/>
                <w:sz w:val="18"/>
                <w:szCs w:val="18"/>
                <w:highlight w:val="none"/>
                <w:lang w:val="en-US" w:eastAsia="zh-CN"/>
              </w:rPr>
              <w:t>.0</w:t>
            </w:r>
          </w:p>
        </w:tc>
        <w:tc>
          <w:tcPr>
            <w:tcW w:w="2033"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eastAsia="zh-CN"/>
              </w:rPr>
              <w:t>2</w:t>
            </w:r>
            <w:r>
              <w:rPr>
                <w:rFonts w:hint="default" w:ascii="Times New Roman" w:hAnsi="Times New Roman" w:cs="Times New Roman"/>
                <w:sz w:val="18"/>
                <w:szCs w:val="18"/>
                <w:highlight w:val="none"/>
                <w:lang w:val="en-US" w:eastAsia="zh-CN"/>
              </w:rPr>
              <w:t>.0</w:t>
            </w:r>
          </w:p>
        </w:tc>
        <w:tc>
          <w:tcPr>
            <w:tcW w:w="2042"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eastAsia="zh-CN"/>
              </w:rPr>
              <w:t>3</w:t>
            </w:r>
            <w:r>
              <w:rPr>
                <w:rFonts w:hint="default" w:ascii="Times New Roman" w:hAnsi="Times New Roman" w:cs="Times New Roman"/>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63" w:type="dxa"/>
            <w:vAlign w:val="center"/>
          </w:tcPr>
          <w:p>
            <w:pPr>
              <w:spacing w:line="400" w:lineRule="exact"/>
              <w:jc w:val="center"/>
              <w:rPr>
                <w:rFonts w:hint="default" w:eastAsia="宋体"/>
                <w:sz w:val="18"/>
                <w:szCs w:val="18"/>
                <w:highlight w:val="none"/>
                <w:lang w:val="en-US" w:eastAsia="zh-CN"/>
              </w:rPr>
            </w:pPr>
            <w:r>
              <w:rPr>
                <w:rFonts w:hint="eastAsia"/>
                <w:sz w:val="18"/>
                <w:szCs w:val="18"/>
                <w:highlight w:val="none"/>
                <w:lang w:val="en-US" w:eastAsia="zh-CN"/>
              </w:rPr>
              <w:t>镁（Mg）</w:t>
            </w:r>
          </w:p>
        </w:tc>
        <w:tc>
          <w:tcPr>
            <w:tcW w:w="2033" w:type="dxa"/>
            <w:vAlign w:val="center"/>
          </w:tcPr>
          <w:p>
            <w:pPr>
              <w:spacing w:line="40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0.5</w:t>
            </w:r>
          </w:p>
        </w:tc>
        <w:tc>
          <w:tcPr>
            <w:tcW w:w="2033" w:type="dxa"/>
            <w:vAlign w:val="center"/>
          </w:tcPr>
          <w:p>
            <w:pPr>
              <w:spacing w:line="40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3.0</w:t>
            </w:r>
          </w:p>
        </w:tc>
        <w:tc>
          <w:tcPr>
            <w:tcW w:w="2042" w:type="dxa"/>
            <w:vAlign w:val="center"/>
          </w:tcPr>
          <w:p>
            <w:pPr>
              <w:spacing w:line="40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63" w:type="dxa"/>
            <w:vAlign w:val="center"/>
          </w:tcPr>
          <w:p>
            <w:pPr>
              <w:spacing w:line="400" w:lineRule="exact"/>
              <w:jc w:val="center"/>
              <w:rPr>
                <w:rFonts w:hint="default"/>
                <w:sz w:val="18"/>
                <w:szCs w:val="18"/>
                <w:highlight w:val="none"/>
                <w:lang w:val="en-US" w:eastAsia="zh-CN"/>
              </w:rPr>
            </w:pPr>
            <w:r>
              <w:rPr>
                <w:rFonts w:hint="eastAsia"/>
                <w:sz w:val="18"/>
                <w:szCs w:val="18"/>
                <w:highlight w:val="none"/>
                <w:lang w:val="en-US" w:eastAsia="zh-CN"/>
              </w:rPr>
              <w:t>钙（Ca）</w:t>
            </w:r>
          </w:p>
        </w:tc>
        <w:tc>
          <w:tcPr>
            <w:tcW w:w="2033" w:type="dxa"/>
            <w:vAlign w:val="center"/>
          </w:tcPr>
          <w:p>
            <w:pPr>
              <w:spacing w:line="40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0.5</w:t>
            </w:r>
          </w:p>
        </w:tc>
        <w:tc>
          <w:tcPr>
            <w:tcW w:w="2033" w:type="dxa"/>
            <w:vAlign w:val="center"/>
          </w:tcPr>
          <w:p>
            <w:pPr>
              <w:spacing w:line="40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1.0</w:t>
            </w:r>
          </w:p>
        </w:tc>
        <w:tc>
          <w:tcPr>
            <w:tcW w:w="2042" w:type="dxa"/>
            <w:vAlign w:val="center"/>
          </w:tcPr>
          <w:p>
            <w:pPr>
              <w:spacing w:line="40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Align w:val="center"/>
          </w:tcPr>
          <w:p>
            <w:pPr>
              <w:spacing w:line="400" w:lineRule="exact"/>
              <w:jc w:val="center"/>
              <w:rPr>
                <w:sz w:val="18"/>
                <w:szCs w:val="18"/>
              </w:rPr>
            </w:pPr>
            <w:r>
              <w:rPr>
                <w:sz w:val="18"/>
                <w:szCs w:val="18"/>
              </w:rPr>
              <w:t>铬（Cr）</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5</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10</w:t>
            </w:r>
          </w:p>
        </w:tc>
        <w:tc>
          <w:tcPr>
            <w:tcW w:w="2042" w:type="dxa"/>
            <w:vAlign w:val="center"/>
          </w:tcPr>
          <w:p>
            <w:pPr>
              <w:spacing w:line="400" w:lineRule="exact"/>
              <w:jc w:val="center"/>
              <w:rPr>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Align w:val="center"/>
          </w:tcPr>
          <w:p>
            <w:pPr>
              <w:spacing w:line="400" w:lineRule="exact"/>
              <w:jc w:val="center"/>
              <w:rPr>
                <w:sz w:val="18"/>
                <w:szCs w:val="18"/>
              </w:rPr>
            </w:pPr>
            <w:r>
              <w:rPr>
                <w:sz w:val="18"/>
                <w:szCs w:val="18"/>
              </w:rPr>
              <w:t>铅（Pb）</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≤0.01</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≤0.03</w:t>
            </w:r>
          </w:p>
        </w:tc>
        <w:tc>
          <w:tcPr>
            <w:tcW w:w="2042" w:type="dxa"/>
            <w:vAlign w:val="center"/>
          </w:tcPr>
          <w:p>
            <w:pPr>
              <w:spacing w:line="400" w:lineRule="exact"/>
              <w:jc w:val="center"/>
              <w:rPr>
                <w:sz w:val="18"/>
                <w:szCs w:val="18"/>
              </w:rPr>
            </w:pPr>
            <w:r>
              <w:rPr>
                <w:rFonts w:hint="default" w:ascii="Times New Roman" w:hAnsi="Times New Roman" w:cs="Times New Roman"/>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Align w:val="center"/>
          </w:tcPr>
          <w:p>
            <w:pPr>
              <w:spacing w:line="400" w:lineRule="exact"/>
              <w:jc w:val="center"/>
              <w:rPr>
                <w:sz w:val="18"/>
                <w:szCs w:val="18"/>
              </w:rPr>
            </w:pPr>
            <w:r>
              <w:rPr>
                <w:sz w:val="18"/>
                <w:szCs w:val="18"/>
              </w:rPr>
              <w:t>砷（As）</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≤0.01</w:t>
            </w:r>
          </w:p>
        </w:tc>
        <w:tc>
          <w:tcPr>
            <w:tcW w:w="2033" w:type="dxa"/>
            <w:vAlign w:val="center"/>
          </w:tcPr>
          <w:p>
            <w:pPr>
              <w:spacing w:line="400" w:lineRule="exact"/>
              <w:jc w:val="center"/>
              <w:rPr>
                <w:sz w:val="18"/>
                <w:szCs w:val="18"/>
              </w:rPr>
            </w:pPr>
            <w:r>
              <w:rPr>
                <w:rFonts w:hint="default" w:ascii="Times New Roman" w:hAnsi="Times New Roman" w:cs="Times New Roman"/>
                <w:sz w:val="18"/>
                <w:szCs w:val="18"/>
              </w:rPr>
              <w:t>≤0.03</w:t>
            </w:r>
          </w:p>
        </w:tc>
        <w:tc>
          <w:tcPr>
            <w:tcW w:w="2042" w:type="dxa"/>
            <w:vAlign w:val="center"/>
          </w:tcPr>
          <w:p>
            <w:pPr>
              <w:spacing w:line="400" w:lineRule="exact"/>
              <w:jc w:val="center"/>
              <w:rPr>
                <w:sz w:val="18"/>
                <w:szCs w:val="18"/>
              </w:rPr>
            </w:pPr>
            <w:r>
              <w:rPr>
                <w:rFonts w:hint="default" w:ascii="Times New Roman" w:hAnsi="Times New Roman" w:cs="Times New Roman"/>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63" w:type="dxa"/>
            <w:vAlign w:val="center"/>
          </w:tcPr>
          <w:p>
            <w:pPr>
              <w:spacing w:line="400" w:lineRule="exact"/>
              <w:jc w:val="center"/>
              <w:rPr>
                <w:sz w:val="18"/>
                <w:szCs w:val="18"/>
                <w:highlight w:val="none"/>
              </w:rPr>
            </w:pPr>
            <w:r>
              <w:rPr>
                <w:sz w:val="18"/>
                <w:szCs w:val="18"/>
                <w:highlight w:val="none"/>
              </w:rPr>
              <w:t>镉（Cd）</w:t>
            </w:r>
          </w:p>
        </w:tc>
        <w:tc>
          <w:tcPr>
            <w:tcW w:w="2033"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rPr>
              <w:t>≤0.005</w:t>
            </w:r>
          </w:p>
        </w:tc>
        <w:tc>
          <w:tcPr>
            <w:tcW w:w="2033"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rPr>
              <w:t>≤0.0</w:t>
            </w:r>
            <w:r>
              <w:rPr>
                <w:rFonts w:hint="default" w:ascii="Times New Roman" w:hAnsi="Times New Roman" w:cs="Times New Roman"/>
                <w:sz w:val="18"/>
                <w:szCs w:val="18"/>
                <w:highlight w:val="none"/>
                <w:lang w:eastAsia="zh-CN"/>
              </w:rPr>
              <w:t>1</w:t>
            </w:r>
          </w:p>
        </w:tc>
        <w:tc>
          <w:tcPr>
            <w:tcW w:w="2042"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rPr>
              <w:t>≤0.</w:t>
            </w:r>
            <w:r>
              <w:rPr>
                <w:rFonts w:hint="default" w:ascii="Times New Roman" w:hAnsi="Times New Roman" w:cs="Times New Roman"/>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3" w:type="dxa"/>
            <w:vAlign w:val="center"/>
          </w:tcPr>
          <w:p>
            <w:pPr>
              <w:spacing w:line="400" w:lineRule="exact"/>
              <w:jc w:val="center"/>
              <w:rPr>
                <w:sz w:val="18"/>
                <w:szCs w:val="18"/>
                <w:highlight w:val="none"/>
              </w:rPr>
            </w:pPr>
            <w:r>
              <w:rPr>
                <w:sz w:val="18"/>
                <w:szCs w:val="18"/>
                <w:highlight w:val="none"/>
              </w:rPr>
              <w:t>氟（F）</w:t>
            </w:r>
          </w:p>
        </w:tc>
        <w:tc>
          <w:tcPr>
            <w:tcW w:w="2033" w:type="dxa"/>
            <w:vAlign w:val="center"/>
          </w:tcPr>
          <w:p>
            <w:pPr>
              <w:spacing w:line="400" w:lineRule="exact"/>
              <w:jc w:val="center"/>
              <w:rPr>
                <w:sz w:val="18"/>
                <w:szCs w:val="18"/>
                <w:highlight w:val="none"/>
              </w:rPr>
            </w:pPr>
            <w:r>
              <w:rPr>
                <w:rFonts w:ascii="Times New Roman" w:hAnsi="Times New Roman" w:cs="Times New Roman"/>
                <w:sz w:val="18"/>
                <w:szCs w:val="18"/>
                <w:highlight w:val="none"/>
              </w:rPr>
              <w:t>≤0.10</w:t>
            </w:r>
          </w:p>
        </w:tc>
        <w:tc>
          <w:tcPr>
            <w:tcW w:w="2033" w:type="dxa"/>
            <w:vAlign w:val="center"/>
          </w:tcPr>
          <w:p>
            <w:pPr>
              <w:spacing w:line="400" w:lineRule="exact"/>
              <w:jc w:val="center"/>
              <w:rPr>
                <w:sz w:val="18"/>
                <w:szCs w:val="18"/>
                <w:highlight w:val="none"/>
              </w:rPr>
            </w:pPr>
            <w:r>
              <w:rPr>
                <w:rFonts w:ascii="Times New Roman" w:hAnsi="Times New Roman" w:cs="Times New Roman"/>
                <w:sz w:val="18"/>
                <w:szCs w:val="18"/>
                <w:highlight w:val="none"/>
              </w:rPr>
              <w:t>≤0.1</w:t>
            </w:r>
            <w:r>
              <w:rPr>
                <w:rFonts w:hint="default" w:ascii="Times New Roman" w:hAnsi="Times New Roman" w:cs="Times New Roman"/>
                <w:sz w:val="18"/>
                <w:szCs w:val="18"/>
                <w:highlight w:val="none"/>
              </w:rPr>
              <w:t>5</w:t>
            </w:r>
          </w:p>
        </w:tc>
        <w:tc>
          <w:tcPr>
            <w:tcW w:w="2042" w:type="dxa"/>
            <w:vAlign w:val="center"/>
          </w:tcPr>
          <w:p>
            <w:pPr>
              <w:spacing w:line="400" w:lineRule="exact"/>
              <w:jc w:val="center"/>
              <w:rPr>
                <w:sz w:val="18"/>
                <w:szCs w:val="18"/>
                <w:highlight w:val="none"/>
              </w:rPr>
            </w:pPr>
            <w:r>
              <w:rPr>
                <w:rFonts w:ascii="Times New Roman" w:hAnsi="Times New Roman" w:cs="Times New Roman"/>
                <w:sz w:val="18"/>
                <w:szCs w:val="18"/>
                <w:highlight w:val="none"/>
              </w:rPr>
              <w:t>≤0.</w:t>
            </w:r>
            <w:r>
              <w:rPr>
                <w:rFonts w:hint="default" w:ascii="Times New Roman" w:hAnsi="Times New Roman" w:cs="Times New Roman"/>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463" w:type="dxa"/>
            <w:vAlign w:val="center"/>
          </w:tcPr>
          <w:p>
            <w:pPr>
              <w:spacing w:line="400" w:lineRule="exact"/>
              <w:jc w:val="center"/>
              <w:rPr>
                <w:sz w:val="18"/>
                <w:szCs w:val="18"/>
                <w:highlight w:val="none"/>
              </w:rPr>
            </w:pPr>
            <w:r>
              <w:rPr>
                <w:sz w:val="18"/>
                <w:szCs w:val="18"/>
                <w:highlight w:val="none"/>
              </w:rPr>
              <w:t>氯（Cl）</w:t>
            </w:r>
          </w:p>
        </w:tc>
        <w:tc>
          <w:tcPr>
            <w:tcW w:w="2033" w:type="dxa"/>
            <w:vAlign w:val="center"/>
          </w:tcPr>
          <w:p>
            <w:pPr>
              <w:spacing w:line="400" w:lineRule="exact"/>
              <w:jc w:val="center"/>
              <w:rPr>
                <w:sz w:val="18"/>
                <w:szCs w:val="18"/>
                <w:highlight w:val="none"/>
              </w:rPr>
            </w:pPr>
            <w:r>
              <w:rPr>
                <w:rFonts w:ascii="Times New Roman" w:hAnsi="Times New Roman" w:cs="Times New Roman"/>
                <w:sz w:val="18"/>
                <w:szCs w:val="18"/>
                <w:highlight w:val="none"/>
              </w:rPr>
              <w:t>≤0.1</w:t>
            </w:r>
            <w:r>
              <w:rPr>
                <w:rFonts w:hint="default" w:ascii="Times New Roman" w:hAnsi="Times New Roman" w:cs="Times New Roman"/>
                <w:sz w:val="18"/>
                <w:szCs w:val="18"/>
                <w:highlight w:val="none"/>
                <w:lang w:eastAsia="zh-CN"/>
              </w:rPr>
              <w:t>5</w:t>
            </w:r>
          </w:p>
        </w:tc>
        <w:tc>
          <w:tcPr>
            <w:tcW w:w="2033" w:type="dxa"/>
            <w:vAlign w:val="center"/>
          </w:tcPr>
          <w:p>
            <w:pPr>
              <w:spacing w:line="400" w:lineRule="exact"/>
              <w:jc w:val="center"/>
              <w:rPr>
                <w:sz w:val="18"/>
                <w:szCs w:val="18"/>
                <w:highlight w:val="none"/>
              </w:rPr>
            </w:pPr>
            <w:r>
              <w:rPr>
                <w:rFonts w:ascii="Times New Roman" w:hAnsi="Times New Roman" w:cs="Times New Roman"/>
                <w:sz w:val="18"/>
                <w:szCs w:val="18"/>
                <w:highlight w:val="none"/>
              </w:rPr>
              <w:t>≤0.</w:t>
            </w:r>
            <w:r>
              <w:rPr>
                <w:rFonts w:hint="default" w:ascii="Times New Roman" w:hAnsi="Times New Roman" w:cs="Times New Roman"/>
                <w:sz w:val="18"/>
                <w:szCs w:val="18"/>
                <w:highlight w:val="none"/>
                <w:lang w:eastAsia="zh-CN"/>
              </w:rPr>
              <w:t>2</w:t>
            </w:r>
            <w:r>
              <w:rPr>
                <w:rFonts w:ascii="Times New Roman" w:hAnsi="Times New Roman" w:cs="Times New Roman"/>
                <w:sz w:val="18"/>
                <w:szCs w:val="18"/>
                <w:highlight w:val="none"/>
              </w:rPr>
              <w:t>5</w:t>
            </w:r>
          </w:p>
        </w:tc>
        <w:tc>
          <w:tcPr>
            <w:tcW w:w="2042" w:type="dxa"/>
            <w:vAlign w:val="center"/>
          </w:tcPr>
          <w:p>
            <w:pPr>
              <w:spacing w:line="400" w:lineRule="exact"/>
              <w:jc w:val="center"/>
              <w:rPr>
                <w:sz w:val="18"/>
                <w:szCs w:val="18"/>
                <w:highlight w:val="none"/>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4"/>
            <w:vAlign w:val="center"/>
          </w:tcPr>
          <w:p>
            <w:pPr>
              <w:spacing w:line="240" w:lineRule="auto"/>
              <w:ind w:firstLine="360" w:firstLineChars="200"/>
              <w:jc w:val="both"/>
              <w:rPr>
                <w:rFonts w:hint="default" w:ascii="Times New Roman" w:hAnsi="Times New Roman" w:cs="Times New Roman"/>
                <w:sz w:val="18"/>
                <w:szCs w:val="18"/>
                <w:highlight w:val="none"/>
                <w:lang w:eastAsia="zh-CN"/>
              </w:rPr>
            </w:pPr>
            <w:r>
              <w:rPr>
                <w:rFonts w:hint="default" w:ascii="Times New Roman" w:hAnsi="Times New Roman" w:eastAsia="黑体" w:cs="Times New Roman"/>
                <w:sz w:val="18"/>
                <w:szCs w:val="18"/>
                <w:lang w:val="en-US" w:eastAsia="zh-CN"/>
              </w:rPr>
              <w:t>注：</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”为无指标要求。</w:t>
            </w:r>
          </w:p>
        </w:tc>
      </w:tr>
    </w:tbl>
    <w:p>
      <w:pPr>
        <w:pStyle w:val="41"/>
        <w:adjustRightInd w:val="0"/>
        <w:snapToGrid w:val="0"/>
        <w:spacing w:before="0" w:beforeLines="0" w:after="0" w:afterLines="0"/>
        <w:rPr>
          <w:rFonts w:hint="eastAsia" w:hAnsi="黑体" w:cs="黑体"/>
          <w:bCs/>
          <w:szCs w:val="21"/>
        </w:rPr>
      </w:pPr>
    </w:p>
    <w:p>
      <w:pPr>
        <w:pStyle w:val="41"/>
        <w:adjustRightInd w:val="0"/>
        <w:snapToGrid w:val="0"/>
        <w:spacing w:before="156" w:after="156"/>
        <w:rPr>
          <w:rFonts w:hAnsi="黑体" w:cs="黑体"/>
          <w:bCs/>
          <w:szCs w:val="21"/>
        </w:rPr>
      </w:pPr>
      <w:r>
        <w:rPr>
          <w:rFonts w:hint="eastAsia" w:hAnsi="黑体" w:cs="黑体"/>
          <w:bCs/>
          <w:szCs w:val="21"/>
        </w:rPr>
        <w:t>4.3  水分</w:t>
      </w:r>
    </w:p>
    <w:p>
      <w:pPr>
        <w:pStyle w:val="31"/>
        <w:ind w:firstLine="420"/>
        <w:rPr>
          <w:rFonts w:ascii="Times New Roman"/>
        </w:rPr>
      </w:pPr>
      <w:r>
        <w:rPr>
          <w:rFonts w:ascii="Times New Roman"/>
        </w:rPr>
        <w:t>产品的水分</w:t>
      </w:r>
      <w:r>
        <w:rPr>
          <w:rFonts w:hint="eastAsia" w:hAnsi="宋体" w:cs="宋体"/>
          <w:szCs w:val="21"/>
        </w:rPr>
        <w:t>含量不大于</w:t>
      </w:r>
      <w:r>
        <w:rPr>
          <w:rFonts w:hint="eastAsia" w:ascii="Times New Roman" w:eastAsiaTheme="minorEastAsia"/>
        </w:rPr>
        <w:t>60</w:t>
      </w:r>
      <w:r>
        <w:rPr>
          <w:rFonts w:hint="eastAsia" w:ascii="Times New Roman"/>
        </w:rPr>
        <w:t xml:space="preserve"> </w:t>
      </w:r>
      <w:r>
        <w:rPr>
          <w:rFonts w:ascii="Times New Roman"/>
        </w:rPr>
        <w:t>%。</w:t>
      </w:r>
    </w:p>
    <w:p>
      <w:pPr>
        <w:pStyle w:val="41"/>
        <w:adjustRightInd w:val="0"/>
        <w:snapToGrid w:val="0"/>
        <w:spacing w:before="156" w:after="156"/>
        <w:rPr>
          <w:rFonts w:hAnsi="黑体" w:cs="黑体"/>
          <w:bCs/>
          <w:szCs w:val="21"/>
        </w:rPr>
      </w:pPr>
      <w:r>
        <w:rPr>
          <w:rFonts w:hint="eastAsia" w:hAnsi="黑体" w:cs="黑体"/>
          <w:bCs/>
          <w:szCs w:val="21"/>
        </w:rPr>
        <w:t>4.4  外观质量</w:t>
      </w:r>
    </w:p>
    <w:p>
      <w:pPr>
        <w:pStyle w:val="2"/>
        <w:ind w:firstLine="420" w:firstLineChars="200"/>
        <w:rPr>
          <w:rFonts w:ascii="宋体" w:hAnsi="宋体" w:cs="宋体"/>
          <w:szCs w:val="21"/>
        </w:rPr>
      </w:pPr>
      <w:r>
        <w:rPr>
          <w:rFonts w:hint="eastAsia" w:ascii="Times New Roman" w:eastAsiaTheme="minorEastAsia"/>
        </w:rPr>
        <w:t>产品</w:t>
      </w:r>
      <w:r>
        <w:rPr>
          <w:rFonts w:hint="eastAsia" w:ascii="宋体" w:hAnsi="宋体" w:cs="宋体"/>
          <w:szCs w:val="21"/>
        </w:rPr>
        <w:t>为黑色块状</w:t>
      </w:r>
      <w:r>
        <w:rPr>
          <w:rFonts w:hint="eastAsia" w:ascii="宋体" w:hAnsi="宋体" w:cs="宋体"/>
          <w:szCs w:val="21"/>
          <w:lang w:eastAsia="zh-CN"/>
        </w:rPr>
        <w:t>、</w:t>
      </w:r>
      <w:r>
        <w:rPr>
          <w:rFonts w:hint="eastAsia" w:ascii="宋体" w:hAnsi="宋体" w:cs="宋体"/>
          <w:szCs w:val="21"/>
          <w:lang w:val="en-US" w:eastAsia="zh-CN"/>
        </w:rPr>
        <w:t>泥状固体</w:t>
      </w:r>
      <w:r>
        <w:rPr>
          <w:rFonts w:hint="eastAsia" w:ascii="宋体" w:hAnsi="宋体" w:cs="宋体"/>
          <w:szCs w:val="21"/>
        </w:rPr>
        <w:t>，无明显其他夹杂物。</w:t>
      </w:r>
    </w:p>
    <w:p>
      <w:pPr>
        <w:pStyle w:val="41"/>
        <w:adjustRightInd w:val="0"/>
        <w:snapToGrid w:val="0"/>
        <w:spacing w:before="156" w:after="156"/>
        <w:rPr>
          <w:rFonts w:hAnsi="黑体" w:cs="黑体"/>
          <w:bCs/>
          <w:szCs w:val="21"/>
        </w:rPr>
      </w:pPr>
      <w:r>
        <w:rPr>
          <w:rFonts w:hint="eastAsia" w:hAnsi="黑体" w:cs="黑体"/>
          <w:bCs/>
          <w:szCs w:val="21"/>
        </w:rPr>
        <w:t>4.5  其他</w:t>
      </w:r>
    </w:p>
    <w:p>
      <w:pPr>
        <w:pStyle w:val="31"/>
        <w:ind w:firstLine="420"/>
        <w:rPr>
          <w:rFonts w:ascii="Times New Roman" w:eastAsiaTheme="minorEastAsia"/>
        </w:rPr>
      </w:pPr>
      <w:r>
        <w:rPr>
          <w:rFonts w:hint="eastAsia" w:ascii="Times New Roman" w:eastAsiaTheme="minorEastAsia"/>
        </w:rPr>
        <w:t>若需方有特殊要求，可由供需双方协商确定。</w:t>
      </w:r>
    </w:p>
    <w:p>
      <w:pPr>
        <w:pStyle w:val="41"/>
        <w:spacing w:before="312" w:beforeLines="100" w:after="312" w:afterLines="100"/>
        <w:rPr>
          <w:rFonts w:hAnsi="黑体" w:cs="黑体"/>
          <w:szCs w:val="22"/>
        </w:rPr>
      </w:pPr>
      <w:r>
        <w:rPr>
          <w:rFonts w:hint="eastAsia" w:hAnsi="黑体" w:cs="黑体"/>
          <w:szCs w:val="22"/>
        </w:rPr>
        <w:t>5  试验方法</w:t>
      </w:r>
    </w:p>
    <w:p>
      <w:pPr>
        <w:pStyle w:val="31"/>
        <w:spacing w:before="156" w:beforeLines="50" w:after="156" w:afterLines="50"/>
        <w:ind w:firstLine="0" w:firstLineChars="0"/>
        <w:rPr>
          <w:rFonts w:ascii="黑体" w:hAnsi="黑体" w:eastAsia="黑体" w:cs="黑体"/>
          <w:szCs w:val="21"/>
          <w:highlight w:val="none"/>
        </w:rPr>
      </w:pPr>
      <w:r>
        <w:rPr>
          <w:rFonts w:hint="eastAsia" w:ascii="黑体" w:hAnsi="黑体" w:eastAsia="黑体" w:cs="黑体"/>
          <w:szCs w:val="21"/>
          <w:highlight w:val="none"/>
        </w:rPr>
        <w:t>5.1  化学成分测定</w:t>
      </w:r>
    </w:p>
    <w:p>
      <w:pPr>
        <w:outlineLvl w:val="2"/>
        <w:rPr>
          <w:rFonts w:eastAsiaTheme="minorEastAsia"/>
          <w:szCs w:val="22"/>
          <w:highlight w:val="none"/>
        </w:rPr>
      </w:pPr>
      <w:r>
        <w:rPr>
          <w:rFonts w:hint="eastAsia" w:ascii="黑体" w:hAnsi="黑体" w:eastAsia="黑体" w:cs="黑体"/>
          <w:szCs w:val="22"/>
          <w:highlight w:val="none"/>
        </w:rPr>
        <w:t xml:space="preserve">5.1.1 </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中镍含量的测定</w:t>
      </w:r>
      <w:r>
        <w:rPr>
          <w:rFonts w:hint="eastAsia" w:eastAsiaTheme="minorEastAsia"/>
          <w:szCs w:val="22"/>
          <w:highlight w:val="none"/>
          <w:lang w:val="en-US" w:eastAsia="zh-CN"/>
        </w:rPr>
        <w:t>参照</w:t>
      </w:r>
      <w:r>
        <w:rPr>
          <w:rFonts w:hint="eastAsia" w:eastAsiaTheme="minorEastAsia"/>
          <w:szCs w:val="22"/>
          <w:highlight w:val="none"/>
        </w:rPr>
        <w:t>YS/T 1342.1的规定进行。</w:t>
      </w:r>
    </w:p>
    <w:p>
      <w:pPr>
        <w:outlineLvl w:val="2"/>
        <w:rPr>
          <w:rFonts w:eastAsiaTheme="minorEastAsia"/>
          <w:szCs w:val="22"/>
          <w:highlight w:val="none"/>
        </w:rPr>
      </w:pPr>
      <w:r>
        <w:rPr>
          <w:rFonts w:hint="eastAsia" w:ascii="黑体" w:hAnsi="黑体" w:eastAsia="黑体" w:cs="黑体"/>
          <w:szCs w:val="22"/>
          <w:highlight w:val="none"/>
        </w:rPr>
        <w:t>5.1.2</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中钴含量的测定</w:t>
      </w:r>
      <w:r>
        <w:rPr>
          <w:rFonts w:hint="eastAsia" w:eastAsiaTheme="minorEastAsia"/>
          <w:szCs w:val="22"/>
          <w:highlight w:val="none"/>
          <w:lang w:val="en-US" w:eastAsia="zh-CN"/>
        </w:rPr>
        <w:t>参照</w:t>
      </w:r>
      <w:r>
        <w:rPr>
          <w:rFonts w:hint="eastAsia" w:eastAsiaTheme="minorEastAsia"/>
          <w:szCs w:val="22"/>
          <w:highlight w:val="none"/>
        </w:rPr>
        <w:t>YS/T 1342.2的规定进行。</w:t>
      </w:r>
    </w:p>
    <w:p>
      <w:pPr>
        <w:outlineLvl w:val="2"/>
        <w:rPr>
          <w:rFonts w:eastAsiaTheme="minorEastAsia"/>
          <w:szCs w:val="22"/>
          <w:highlight w:val="none"/>
        </w:rPr>
      </w:pPr>
      <w:r>
        <w:rPr>
          <w:rFonts w:hint="eastAsia" w:ascii="黑体" w:hAnsi="黑体" w:eastAsia="黑体" w:cs="黑体"/>
          <w:szCs w:val="22"/>
          <w:highlight w:val="none"/>
        </w:rPr>
        <w:t xml:space="preserve">5.1.3 </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中硫含量的测定</w:t>
      </w:r>
      <w:r>
        <w:rPr>
          <w:rFonts w:hint="eastAsia" w:eastAsiaTheme="minorEastAsia"/>
          <w:szCs w:val="22"/>
          <w:highlight w:val="none"/>
          <w:lang w:val="en-US" w:eastAsia="zh-CN"/>
        </w:rPr>
        <w:t>参照</w:t>
      </w:r>
      <w:r>
        <w:rPr>
          <w:rFonts w:hint="eastAsia" w:eastAsiaTheme="minorEastAsia"/>
          <w:szCs w:val="22"/>
          <w:highlight w:val="none"/>
        </w:rPr>
        <w:t>YS/T 252.5的规定进行。</w:t>
      </w:r>
    </w:p>
    <w:p>
      <w:pPr>
        <w:outlineLvl w:val="2"/>
        <w:rPr>
          <w:rFonts w:eastAsiaTheme="minorEastAsia"/>
          <w:szCs w:val="22"/>
          <w:highlight w:val="none"/>
        </w:rPr>
      </w:pPr>
      <w:r>
        <w:rPr>
          <w:rFonts w:hint="eastAsia" w:ascii="黑体" w:hAnsi="黑体" w:eastAsia="黑体" w:cs="黑体"/>
          <w:szCs w:val="22"/>
          <w:highlight w:val="none"/>
        </w:rPr>
        <w:t>5.1.4</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中铁、铝、</w:t>
      </w:r>
      <w:r>
        <w:rPr>
          <w:rFonts w:hint="eastAsia" w:eastAsiaTheme="minorEastAsia"/>
          <w:szCs w:val="22"/>
          <w:highlight w:val="none"/>
          <w:lang w:val="en-US" w:eastAsia="zh-CN"/>
        </w:rPr>
        <w:t>钙、镁、</w:t>
      </w:r>
      <w:r>
        <w:rPr>
          <w:rFonts w:hint="eastAsia" w:eastAsiaTheme="minorEastAsia"/>
          <w:szCs w:val="22"/>
          <w:highlight w:val="none"/>
        </w:rPr>
        <w:t>铅、砷、镉含量的测定</w:t>
      </w:r>
      <w:r>
        <w:rPr>
          <w:rFonts w:hint="eastAsia" w:eastAsiaTheme="minorEastAsia"/>
          <w:szCs w:val="22"/>
          <w:highlight w:val="none"/>
          <w:lang w:val="en-US" w:eastAsia="zh-CN"/>
        </w:rPr>
        <w:t>参照</w:t>
      </w:r>
      <w:r>
        <w:rPr>
          <w:rFonts w:hint="eastAsia" w:eastAsiaTheme="minorEastAsia"/>
          <w:szCs w:val="22"/>
          <w:highlight w:val="none"/>
        </w:rPr>
        <w:t>YS/T 1229.3的规定进行。</w:t>
      </w:r>
    </w:p>
    <w:p>
      <w:pPr>
        <w:outlineLvl w:val="2"/>
        <w:rPr>
          <w:rFonts w:eastAsiaTheme="minorEastAsia"/>
          <w:szCs w:val="22"/>
          <w:highlight w:val="none"/>
        </w:rPr>
      </w:pPr>
      <w:r>
        <w:rPr>
          <w:rFonts w:hint="eastAsia" w:ascii="黑体" w:hAnsi="黑体" w:eastAsia="黑体" w:cs="黑体"/>
          <w:szCs w:val="22"/>
          <w:highlight w:val="none"/>
        </w:rPr>
        <w:t xml:space="preserve">5.1.5 </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中的铬含量的测定</w:t>
      </w:r>
      <w:r>
        <w:rPr>
          <w:rFonts w:hint="eastAsia" w:eastAsiaTheme="minorEastAsia"/>
          <w:szCs w:val="22"/>
          <w:highlight w:val="none"/>
          <w:lang w:val="en-US" w:eastAsia="zh-CN"/>
        </w:rPr>
        <w:t>参照</w:t>
      </w:r>
      <w:r>
        <w:rPr>
          <w:rFonts w:hint="eastAsia" w:eastAsiaTheme="minorEastAsia"/>
          <w:szCs w:val="22"/>
          <w:highlight w:val="none"/>
        </w:rPr>
        <w:t xml:space="preserve">YS/T </w:t>
      </w:r>
      <w:r>
        <w:rPr>
          <w:rFonts w:hint="eastAsia" w:eastAsiaTheme="minorEastAsia"/>
          <w:szCs w:val="22"/>
          <w:highlight w:val="none"/>
          <w:lang w:eastAsia="zh-CN"/>
        </w:rPr>
        <w:t>x</w:t>
      </w:r>
      <w:r>
        <w:rPr>
          <w:rFonts w:hint="eastAsia" w:eastAsiaTheme="minorEastAsia"/>
          <w:szCs w:val="22"/>
          <w:highlight w:val="none"/>
          <w:lang w:val="en-US" w:eastAsia="zh-CN"/>
        </w:rPr>
        <w:t>xx</w:t>
      </w:r>
      <w:r>
        <w:rPr>
          <w:rFonts w:hint="eastAsia" w:eastAsiaTheme="minorEastAsia"/>
          <w:szCs w:val="22"/>
          <w:highlight w:val="none"/>
        </w:rPr>
        <w:t>的规定进行。</w:t>
      </w:r>
    </w:p>
    <w:p>
      <w:pPr>
        <w:pStyle w:val="2"/>
        <w:rPr>
          <w:rFonts w:ascii="黑体" w:hAnsi="黑体" w:eastAsia="黑体" w:cs="黑体"/>
          <w:szCs w:val="21"/>
          <w:highlight w:val="none"/>
        </w:rPr>
      </w:pPr>
      <w:r>
        <w:rPr>
          <w:rFonts w:hint="eastAsia" w:eastAsiaTheme="minorEastAsia"/>
          <w:szCs w:val="22"/>
          <w:highlight w:val="none"/>
        </w:rPr>
        <w:t>5</w:t>
      </w:r>
      <w:r>
        <w:rPr>
          <w:rFonts w:hint="eastAsia" w:ascii="黑体" w:hAnsi="黑体" w:eastAsia="黑体" w:cs="黑体"/>
          <w:szCs w:val="22"/>
          <w:highlight w:val="none"/>
        </w:rPr>
        <w:t xml:space="preserve">.1.6  </w:t>
      </w:r>
      <w:r>
        <w:rPr>
          <w:rFonts w:hint="eastAsia" w:eastAsiaTheme="minorEastAsia"/>
          <w:szCs w:val="22"/>
          <w:highlight w:val="none"/>
          <w:lang w:val="en-US" w:eastAsia="zh-CN"/>
        </w:rPr>
        <w:t>产品</w:t>
      </w:r>
      <w:r>
        <w:rPr>
          <w:rFonts w:hint="eastAsia" w:eastAsiaTheme="minorEastAsia"/>
          <w:szCs w:val="22"/>
          <w:highlight w:val="none"/>
        </w:rPr>
        <w:t>中的</w:t>
      </w:r>
      <w:r>
        <w:rPr>
          <w:rFonts w:hint="eastAsia" w:ascii="Times New Roman" w:hAnsi="Times New Roman" w:eastAsiaTheme="minorEastAsia"/>
          <w:szCs w:val="22"/>
          <w:highlight w:val="none"/>
        </w:rPr>
        <w:t>氟含量的测定</w:t>
      </w:r>
      <w:r>
        <w:rPr>
          <w:rFonts w:hint="eastAsia" w:ascii="Times New Roman" w:hAnsi="Times New Roman" w:eastAsiaTheme="minorEastAsia"/>
          <w:szCs w:val="22"/>
          <w:highlight w:val="none"/>
          <w:lang w:val="en-US" w:eastAsia="zh-CN"/>
        </w:rPr>
        <w:t>参照</w:t>
      </w:r>
      <w:r>
        <w:rPr>
          <w:rFonts w:hint="eastAsia" w:ascii="Times New Roman" w:hAnsi="Times New Roman" w:eastAsiaTheme="minorEastAsia"/>
          <w:szCs w:val="22"/>
          <w:highlight w:val="none"/>
        </w:rPr>
        <w:t>YS/T xxx</w:t>
      </w:r>
      <w:r>
        <w:rPr>
          <w:rFonts w:hint="eastAsia" w:eastAsiaTheme="minorEastAsia"/>
          <w:szCs w:val="22"/>
          <w:highlight w:val="none"/>
        </w:rPr>
        <w:t>的规定进行。</w:t>
      </w:r>
    </w:p>
    <w:p>
      <w:pPr>
        <w:pStyle w:val="2"/>
        <w:rPr>
          <w:rFonts w:eastAsiaTheme="minorEastAsia"/>
          <w:szCs w:val="22"/>
          <w:highlight w:val="none"/>
        </w:rPr>
      </w:pPr>
      <w:r>
        <w:rPr>
          <w:rFonts w:hint="eastAsia" w:ascii="黑体" w:hAnsi="黑体" w:eastAsia="黑体" w:cs="黑体"/>
          <w:szCs w:val="21"/>
          <w:highlight w:val="none"/>
        </w:rPr>
        <w:t xml:space="preserve">5.1.7  </w:t>
      </w:r>
      <w:r>
        <w:rPr>
          <w:rFonts w:hint="eastAsia" w:eastAsiaTheme="minorEastAsia"/>
          <w:szCs w:val="22"/>
          <w:highlight w:val="none"/>
          <w:lang w:val="en-US" w:eastAsia="zh-CN"/>
        </w:rPr>
        <w:t>产品</w:t>
      </w:r>
      <w:r>
        <w:rPr>
          <w:rFonts w:hint="eastAsia" w:asciiTheme="minorEastAsia" w:hAnsiTheme="minorEastAsia" w:eastAsiaTheme="minorEastAsia"/>
          <w:szCs w:val="22"/>
          <w:highlight w:val="none"/>
        </w:rPr>
        <w:t>中的氯含量的测定</w:t>
      </w:r>
      <w:r>
        <w:rPr>
          <w:rFonts w:hint="eastAsia" w:asciiTheme="minorEastAsia" w:hAnsiTheme="minorEastAsia" w:eastAsiaTheme="minorEastAsia"/>
          <w:szCs w:val="22"/>
          <w:highlight w:val="none"/>
          <w:lang w:val="en-US" w:eastAsia="zh-CN"/>
        </w:rPr>
        <w:t>参照</w:t>
      </w:r>
      <w:r>
        <w:rPr>
          <w:rFonts w:ascii="Times New Roman" w:hAnsi="Times New Roman" w:eastAsiaTheme="minorEastAsia"/>
          <w:szCs w:val="22"/>
          <w:highlight w:val="none"/>
        </w:rPr>
        <w:t>YS/T 1229.4</w:t>
      </w:r>
      <w:r>
        <w:rPr>
          <w:rFonts w:hint="eastAsia" w:asciiTheme="minorEastAsia" w:hAnsiTheme="minorEastAsia" w:eastAsiaTheme="minorEastAsia"/>
          <w:szCs w:val="22"/>
          <w:highlight w:val="none"/>
        </w:rPr>
        <w:t>的规定进行。</w:t>
      </w:r>
      <w:bookmarkStart w:id="9" w:name="_GoBack"/>
      <w:bookmarkEnd w:id="9"/>
    </w:p>
    <w:p>
      <w:pPr>
        <w:spacing w:before="156" w:beforeLines="50" w:after="156" w:afterLines="50"/>
        <w:rPr>
          <w:rFonts w:ascii="黑体" w:hAnsi="黑体" w:eastAsia="黑体" w:cs="黑体"/>
          <w:szCs w:val="21"/>
        </w:rPr>
      </w:pPr>
      <w:r>
        <w:rPr>
          <w:rFonts w:hint="eastAsia" w:ascii="黑体" w:hAnsi="黑体" w:eastAsia="黑体" w:cs="黑体"/>
          <w:szCs w:val="21"/>
        </w:rPr>
        <w:t>5.2  水分测定</w:t>
      </w:r>
    </w:p>
    <w:p>
      <w:pPr>
        <w:spacing w:before="0" w:beforeLines="0" w:after="0" w:afterLines="0"/>
        <w:ind w:firstLine="420" w:firstLineChars="200"/>
        <w:outlineLvl w:val="2"/>
        <w:rPr>
          <w:rFonts w:eastAsiaTheme="minorEastAsia"/>
          <w:szCs w:val="22"/>
          <w:highlight w:val="none"/>
        </w:rPr>
      </w:pPr>
      <w:r>
        <w:rPr>
          <w:rFonts w:hint="eastAsia" w:eastAsiaTheme="minorEastAsia"/>
          <w:szCs w:val="22"/>
          <w:highlight w:val="none"/>
          <w:lang w:val="en-US" w:eastAsia="zh-CN"/>
        </w:rPr>
        <w:t>产品</w:t>
      </w:r>
      <w:r>
        <w:rPr>
          <w:rFonts w:hint="eastAsia" w:eastAsiaTheme="minorEastAsia"/>
          <w:szCs w:val="22"/>
          <w:highlight w:val="none"/>
        </w:rPr>
        <w:t>水分的测定</w:t>
      </w:r>
      <w:r>
        <w:rPr>
          <w:rFonts w:hint="eastAsia" w:eastAsiaTheme="minorEastAsia"/>
          <w:szCs w:val="22"/>
          <w:highlight w:val="none"/>
          <w:lang w:val="en-US" w:eastAsia="zh-CN"/>
        </w:rPr>
        <w:t>参照</w:t>
      </w:r>
      <w:r>
        <w:rPr>
          <w:rFonts w:hint="eastAsia" w:eastAsiaTheme="minorEastAsia"/>
          <w:szCs w:val="22"/>
          <w:highlight w:val="none"/>
        </w:rPr>
        <w:t xml:space="preserve">YS/T </w:t>
      </w:r>
      <w:r>
        <w:rPr>
          <w:rFonts w:hint="eastAsia" w:eastAsiaTheme="minorEastAsia"/>
          <w:szCs w:val="22"/>
          <w:highlight w:val="none"/>
          <w:lang w:val="en-US" w:eastAsia="zh-CN"/>
        </w:rPr>
        <w:t>xxx的</w:t>
      </w:r>
      <w:r>
        <w:rPr>
          <w:rFonts w:hint="eastAsia" w:eastAsiaTheme="minorEastAsia"/>
          <w:szCs w:val="22"/>
          <w:highlight w:val="none"/>
        </w:rPr>
        <w:t>规定进行。</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5.3  外观质量</w:t>
      </w:r>
    </w:p>
    <w:p>
      <w:pPr>
        <w:pStyle w:val="31"/>
        <w:ind w:firstLine="420"/>
        <w:rPr>
          <w:rFonts w:ascii="Times New Roman"/>
        </w:rPr>
      </w:pPr>
      <w:r>
        <w:rPr>
          <w:rFonts w:ascii="Times New Roman"/>
        </w:rPr>
        <w:t>产品的外观质量</w:t>
      </w:r>
      <w:r>
        <w:rPr>
          <w:rFonts w:hint="eastAsia" w:ascii="Times New Roman"/>
        </w:rPr>
        <w:t>由目视法</w:t>
      </w:r>
      <w:r>
        <w:rPr>
          <w:rFonts w:ascii="Times New Roman"/>
        </w:rPr>
        <w:t>检查。</w:t>
      </w:r>
    </w:p>
    <w:p>
      <w:pPr>
        <w:pStyle w:val="41"/>
        <w:spacing w:before="312" w:beforeLines="100" w:after="312" w:afterLines="100"/>
        <w:rPr>
          <w:rFonts w:hAnsi="黑体" w:cs="黑体"/>
          <w:szCs w:val="22"/>
        </w:rPr>
      </w:pPr>
      <w:r>
        <w:rPr>
          <w:rFonts w:hint="eastAsia" w:hAnsi="黑体" w:cs="黑体"/>
          <w:szCs w:val="22"/>
        </w:rPr>
        <w:t>6  检验规则</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6.1  检查和验收</w:t>
      </w:r>
    </w:p>
    <w:p>
      <w:pPr>
        <w:pStyle w:val="31"/>
        <w:ind w:firstLine="0" w:firstLineChars="0"/>
        <w:rPr>
          <w:rFonts w:ascii="Times New Roman"/>
        </w:rPr>
      </w:pPr>
      <w:r>
        <w:rPr>
          <w:rFonts w:hint="eastAsia" w:ascii="黑体" w:hAnsi="黑体" w:eastAsia="黑体" w:cs="黑体"/>
        </w:rPr>
        <w:t xml:space="preserve">6.1.1 </w:t>
      </w:r>
      <w:r>
        <w:rPr>
          <w:rFonts w:ascii="Times New Roman" w:eastAsia="黑体"/>
        </w:rPr>
        <w:t xml:space="preserve"> </w:t>
      </w:r>
      <w:r>
        <w:rPr>
          <w:rFonts w:ascii="Times New Roman"/>
        </w:rPr>
        <w:t>产品由供方进行检验，保证产品质量符合本</w:t>
      </w:r>
      <w:r>
        <w:rPr>
          <w:rFonts w:hint="eastAsia" w:ascii="Times New Roman"/>
        </w:rPr>
        <w:t>文件及订货单</w:t>
      </w:r>
      <w:r>
        <w:rPr>
          <w:rFonts w:ascii="Times New Roman"/>
        </w:rPr>
        <w:t>的规定。</w:t>
      </w:r>
    </w:p>
    <w:p>
      <w:pPr>
        <w:pStyle w:val="31"/>
        <w:ind w:firstLine="0" w:firstLineChars="0"/>
        <w:rPr>
          <w:rFonts w:ascii="Times New Roman"/>
        </w:rPr>
      </w:pPr>
      <w:r>
        <w:rPr>
          <w:rFonts w:hint="eastAsia" w:ascii="黑体" w:hAnsi="黑体" w:eastAsia="黑体" w:cs="黑体"/>
        </w:rPr>
        <w:t xml:space="preserve">6.1.2 </w:t>
      </w:r>
      <w:r>
        <w:rPr>
          <w:rFonts w:hint="eastAsia" w:ascii="Times New Roman" w:eastAsia="黑体"/>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w:t>
      </w:r>
      <w:r>
        <w:rPr>
          <w:rFonts w:hint="eastAsia" w:ascii="Times New Roman"/>
        </w:rPr>
        <w:t>应在收到产品之日起30</w:t>
      </w:r>
      <w:r>
        <w:rPr>
          <w:rFonts w:hint="eastAsia" w:ascii="Times New Roman"/>
          <w:lang w:val="en-US" w:eastAsia="zh-CN"/>
        </w:rPr>
        <w:t xml:space="preserve"> </w:t>
      </w:r>
      <w:r>
        <w:rPr>
          <w:rFonts w:hint="eastAsia" w:ascii="Times New Roman"/>
        </w:rPr>
        <w:t>日内，以书面形式</w:t>
      </w:r>
      <w:r>
        <w:rPr>
          <w:rFonts w:ascii="Times New Roman"/>
        </w:rPr>
        <w:t>向供方提出，由供需双方协商解决。如需仲裁，</w:t>
      </w:r>
      <w:r>
        <w:rPr>
          <w:rFonts w:hint="eastAsia" w:ascii="Times New Roman"/>
        </w:rPr>
        <w:t>应</w:t>
      </w:r>
      <w:r>
        <w:rPr>
          <w:rFonts w:ascii="Times New Roman"/>
        </w:rPr>
        <w:t>由供需双方</w:t>
      </w:r>
      <w:r>
        <w:rPr>
          <w:rFonts w:hint="eastAsia" w:ascii="Times New Roman"/>
        </w:rPr>
        <w:t>协商解决</w:t>
      </w:r>
      <w:r>
        <w:rPr>
          <w:rFonts w:ascii="Times New Roman"/>
        </w:rPr>
        <w:t>。</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6.2  组批</w:t>
      </w:r>
    </w:p>
    <w:p>
      <w:pPr>
        <w:pStyle w:val="31"/>
        <w:ind w:firstLine="420"/>
        <w:rPr>
          <w:rFonts w:ascii="Times New Roman"/>
        </w:rPr>
      </w:pPr>
      <w:r>
        <w:rPr>
          <w:rFonts w:hint="eastAsia" w:ascii="Times New Roman"/>
          <w:szCs w:val="21"/>
        </w:rPr>
        <w:t>产品应成批提交检验，每批应由同一品级的产品组成</w:t>
      </w:r>
      <w:r>
        <w:rPr>
          <w:rFonts w:hint="eastAsia" w:ascii="Times New Roman"/>
          <w:szCs w:val="21"/>
          <w:lang w:eastAsia="zh-CN"/>
        </w:rPr>
        <w:t>，</w:t>
      </w:r>
      <w:r>
        <w:rPr>
          <w:rFonts w:hint="eastAsia" w:ascii="Times New Roman"/>
          <w:szCs w:val="21"/>
          <w:lang w:val="en-US" w:eastAsia="zh-CN"/>
        </w:rPr>
        <w:t>每批重量不超过60 t</w:t>
      </w:r>
      <w:r>
        <w:rPr>
          <w:rFonts w:ascii="Times New Roman"/>
        </w:rPr>
        <w:t>。若需方有特殊要求时，由供</w:t>
      </w:r>
      <w:r>
        <w:rPr>
          <w:rFonts w:hint="eastAsia" w:ascii="Times New Roman"/>
        </w:rPr>
        <w:t>需双方协商确定。</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6.3  取样与制样</w:t>
      </w:r>
    </w:p>
    <w:p>
      <w:pPr>
        <w:pStyle w:val="31"/>
        <w:ind w:firstLine="0" w:firstLineChars="0"/>
        <w:rPr>
          <w:rFonts w:ascii="Times New Roman"/>
          <w:szCs w:val="21"/>
        </w:rPr>
      </w:pPr>
      <w:r>
        <w:rPr>
          <w:rFonts w:hint="eastAsia" w:ascii="黑体" w:hAnsi="黑体" w:eastAsia="黑体" w:cs="黑体"/>
          <w:szCs w:val="21"/>
        </w:rPr>
        <w:t xml:space="preserve">6.3.1 </w:t>
      </w:r>
      <w:r>
        <w:rPr>
          <w:rFonts w:hint="eastAsia" w:ascii="Times New Roman"/>
          <w:szCs w:val="21"/>
        </w:rPr>
        <w:t xml:space="preserve"> 取样工具：取样钎、塑料袋</w:t>
      </w:r>
      <w:r>
        <w:rPr>
          <w:rFonts w:ascii="Times New Roman"/>
          <w:szCs w:val="21"/>
        </w:rPr>
        <w:t>。</w:t>
      </w:r>
    </w:p>
    <w:p>
      <w:pPr>
        <w:pStyle w:val="31"/>
        <w:ind w:firstLine="0" w:firstLineChars="0"/>
        <w:rPr>
          <w:rFonts w:ascii="Times New Roman"/>
          <w:bCs/>
          <w:szCs w:val="21"/>
        </w:rPr>
      </w:pPr>
      <w:r>
        <w:rPr>
          <w:rFonts w:hint="eastAsia" w:ascii="黑体" w:hAnsi="黑体" w:eastAsia="黑体" w:cs="黑体"/>
          <w:szCs w:val="21"/>
        </w:rPr>
        <w:t xml:space="preserve">6.3.2 </w:t>
      </w:r>
      <w:r>
        <w:rPr>
          <w:rFonts w:hint="eastAsia" w:ascii="Times New Roman"/>
          <w:szCs w:val="21"/>
        </w:rPr>
        <w:t xml:space="preserve"> </w:t>
      </w:r>
      <w:r>
        <w:rPr>
          <w:rFonts w:ascii="Times New Roman"/>
          <w:bCs/>
          <w:szCs w:val="21"/>
        </w:rPr>
        <w:t>用取样钎在</w:t>
      </w:r>
      <w:r>
        <w:rPr>
          <w:rFonts w:hint="eastAsia" w:ascii="Times New Roman"/>
          <w:bCs/>
          <w:szCs w:val="21"/>
        </w:rPr>
        <w:t>产品</w:t>
      </w:r>
      <w:r>
        <w:rPr>
          <w:rFonts w:ascii="Times New Roman"/>
          <w:bCs/>
          <w:szCs w:val="21"/>
        </w:rPr>
        <w:t>吨袋两个面上等距离上中下斜插3个点，取相对的两个面，共取6个点，取样钎打透吨袋，打到包心，</w:t>
      </w:r>
      <w:r>
        <w:rPr>
          <w:rFonts w:hint="eastAsia" w:ascii="Times New Roman"/>
          <w:bCs/>
          <w:szCs w:val="21"/>
        </w:rPr>
        <w:t>将</w:t>
      </w:r>
      <w:r>
        <w:rPr>
          <w:rFonts w:ascii="Times New Roman"/>
          <w:bCs/>
          <w:szCs w:val="21"/>
        </w:rPr>
        <w:t>样钎</w:t>
      </w:r>
      <w:r>
        <w:rPr>
          <w:rFonts w:hint="eastAsia" w:ascii="Times New Roman"/>
          <w:bCs/>
          <w:szCs w:val="21"/>
        </w:rPr>
        <w:t>旋转180°</w:t>
      </w:r>
      <w:r>
        <w:rPr>
          <w:rFonts w:ascii="Times New Roman"/>
          <w:bCs/>
          <w:szCs w:val="21"/>
        </w:rPr>
        <w:t>抽出</w:t>
      </w:r>
      <w:r>
        <w:rPr>
          <w:rFonts w:hint="eastAsia" w:ascii="Times New Roman"/>
          <w:bCs/>
          <w:szCs w:val="21"/>
        </w:rPr>
        <w:t>，样钎</w:t>
      </w:r>
      <w:r>
        <w:rPr>
          <w:rFonts w:ascii="Times New Roman"/>
          <w:bCs/>
          <w:szCs w:val="21"/>
        </w:rPr>
        <w:t>装料应饱满</w:t>
      </w:r>
      <w:r>
        <w:rPr>
          <w:rFonts w:hint="eastAsia" w:ascii="Times New Roman"/>
          <w:bCs/>
          <w:szCs w:val="21"/>
        </w:rPr>
        <w:t>。</w:t>
      </w:r>
      <w:r>
        <w:rPr>
          <w:rFonts w:ascii="Times New Roman"/>
          <w:bCs/>
          <w:szCs w:val="21"/>
        </w:rPr>
        <w:t>每袋</w:t>
      </w:r>
      <w:r>
        <w:rPr>
          <w:rFonts w:hint="eastAsia" w:ascii="Times New Roman"/>
          <w:bCs/>
          <w:szCs w:val="21"/>
        </w:rPr>
        <w:t>应</w:t>
      </w:r>
      <w:r>
        <w:rPr>
          <w:rFonts w:ascii="Times New Roman"/>
          <w:bCs/>
          <w:szCs w:val="21"/>
        </w:rPr>
        <w:t>逐</w:t>
      </w:r>
      <w:r>
        <w:rPr>
          <w:rFonts w:hint="eastAsia" w:ascii="Times New Roman"/>
          <w:bCs/>
          <w:szCs w:val="21"/>
        </w:rPr>
        <w:t>一</w:t>
      </w:r>
      <w:r>
        <w:rPr>
          <w:rFonts w:ascii="Times New Roman"/>
          <w:bCs/>
          <w:szCs w:val="21"/>
        </w:rPr>
        <w:t>称重，按照每</w:t>
      </w:r>
      <w:r>
        <w:rPr>
          <w:rFonts w:hint="eastAsia" w:ascii="Times New Roman"/>
          <w:bCs/>
          <w:szCs w:val="21"/>
        </w:rPr>
        <w:t>袋</w:t>
      </w:r>
      <w:r>
        <w:rPr>
          <w:rFonts w:ascii="Times New Roman"/>
          <w:bCs/>
          <w:szCs w:val="21"/>
        </w:rPr>
        <w:t>重量的0.5 %取样。</w:t>
      </w:r>
    </w:p>
    <w:p>
      <w:pPr>
        <w:pStyle w:val="31"/>
        <w:ind w:firstLine="0" w:firstLineChars="0"/>
        <w:rPr>
          <w:rFonts w:ascii="Times New Roman"/>
          <w:bCs/>
          <w:szCs w:val="21"/>
        </w:rPr>
      </w:pPr>
      <w:r>
        <w:rPr>
          <w:rFonts w:ascii="黑体" w:hAnsi="黑体" w:eastAsia="黑体" w:cs="黑体"/>
          <w:szCs w:val="21"/>
        </w:rPr>
        <w:t xml:space="preserve">6.3.3  </w:t>
      </w:r>
      <w:r>
        <w:rPr>
          <w:rFonts w:ascii="Times New Roman"/>
          <w:bCs/>
          <w:szCs w:val="21"/>
        </w:rPr>
        <w:t>将取出的样品在</w:t>
      </w:r>
      <w:r>
        <w:rPr>
          <w:rFonts w:hint="eastAsia" w:ascii="Times New Roman"/>
          <w:bCs/>
          <w:szCs w:val="21"/>
        </w:rPr>
        <w:t xml:space="preserve">5 </w:t>
      </w:r>
      <w:r>
        <w:rPr>
          <w:rFonts w:ascii="Times New Roman"/>
          <w:bCs/>
          <w:szCs w:val="21"/>
        </w:rPr>
        <w:t>mm的筛网进行过筛，筛上料进行破碎，直至全部过</w:t>
      </w:r>
      <w:r>
        <w:rPr>
          <w:rFonts w:hint="eastAsia" w:ascii="Times New Roman"/>
          <w:bCs/>
          <w:szCs w:val="21"/>
        </w:rPr>
        <w:t xml:space="preserve">5 </w:t>
      </w:r>
      <w:r>
        <w:rPr>
          <w:rFonts w:ascii="Times New Roman"/>
          <w:bCs/>
          <w:szCs w:val="21"/>
        </w:rPr>
        <w:t>mm筛网为止。</w:t>
      </w:r>
      <w:r>
        <w:rPr>
          <w:rFonts w:hint="eastAsia" w:ascii="Times New Roman"/>
          <w:bCs/>
          <w:szCs w:val="21"/>
        </w:rPr>
        <w:t>所取样品应及时装入塑料袋中并封口</w:t>
      </w:r>
      <w:r>
        <w:rPr>
          <w:rFonts w:ascii="Times New Roman"/>
          <w:bCs/>
          <w:szCs w:val="21"/>
        </w:rPr>
        <w:t>。</w:t>
      </w:r>
    </w:p>
    <w:p>
      <w:pPr>
        <w:pStyle w:val="31"/>
        <w:ind w:firstLine="0" w:firstLineChars="0"/>
        <w:rPr>
          <w:rFonts w:ascii="Times New Roman"/>
          <w:bCs/>
          <w:szCs w:val="21"/>
        </w:rPr>
      </w:pPr>
      <w:r>
        <w:rPr>
          <w:rFonts w:hint="eastAsia" w:ascii="黑体" w:hAnsi="黑体" w:eastAsia="黑体" w:cs="黑体"/>
          <w:szCs w:val="21"/>
        </w:rPr>
        <w:t>6.3.</w:t>
      </w:r>
      <w:r>
        <w:rPr>
          <w:rFonts w:ascii="黑体" w:hAnsi="黑体" w:eastAsia="黑体" w:cs="黑体"/>
          <w:szCs w:val="21"/>
        </w:rPr>
        <w:t>4</w:t>
      </w:r>
      <w:r>
        <w:rPr>
          <w:rFonts w:hint="eastAsia" w:ascii="黑体" w:hAnsi="黑体" w:eastAsia="黑体" w:cs="黑体"/>
          <w:szCs w:val="21"/>
        </w:rPr>
        <w:t xml:space="preserve">  </w:t>
      </w:r>
      <w:r>
        <w:rPr>
          <w:rFonts w:hint="eastAsia" w:ascii="Times New Roman"/>
          <w:bCs/>
          <w:szCs w:val="21"/>
        </w:rPr>
        <w:t>每批的所有样品充分混匀，</w:t>
      </w:r>
      <w:r>
        <w:rPr>
          <w:rFonts w:ascii="Times New Roman"/>
          <w:bCs/>
          <w:szCs w:val="21"/>
        </w:rPr>
        <w:t>用圆锥—四分法缩分一半，再用24格网格法取出重量约为3.5</w:t>
      </w:r>
      <w:r>
        <w:rPr>
          <w:rFonts w:hint="eastAsia" w:ascii="Times New Roman"/>
          <w:bCs/>
          <w:szCs w:val="21"/>
        </w:rPr>
        <w:t xml:space="preserve"> </w:t>
      </w:r>
      <w:r>
        <w:rPr>
          <w:rFonts w:ascii="Times New Roman"/>
          <w:bCs/>
          <w:szCs w:val="21"/>
        </w:rPr>
        <w:t>kg样品</w:t>
      </w:r>
      <w:r>
        <w:rPr>
          <w:rFonts w:hint="eastAsia" w:ascii="Times New Roman"/>
          <w:bCs/>
          <w:szCs w:val="21"/>
        </w:rPr>
        <w:t>测定水分及制备成分试样，成分试样全部研磨过0.150 mm（100筛）的标准筛，每份样量不小于150 g。</w:t>
      </w:r>
    </w:p>
    <w:p>
      <w:pPr>
        <w:pStyle w:val="31"/>
        <w:ind w:firstLine="0" w:firstLineChars="0"/>
        <w:rPr>
          <w:rFonts w:ascii="Times New Roman"/>
          <w:bCs/>
          <w:szCs w:val="21"/>
        </w:rPr>
      </w:pPr>
      <w:r>
        <w:rPr>
          <w:rFonts w:hint="eastAsia" w:ascii="黑体" w:hAnsi="黑体" w:eastAsia="黑体" w:cs="黑体"/>
          <w:szCs w:val="21"/>
        </w:rPr>
        <w:t>6.3.</w:t>
      </w:r>
      <w:r>
        <w:rPr>
          <w:rFonts w:ascii="黑体" w:hAnsi="黑体" w:eastAsia="黑体" w:cs="黑体"/>
          <w:szCs w:val="21"/>
        </w:rPr>
        <w:t>5</w:t>
      </w:r>
      <w:r>
        <w:rPr>
          <w:rFonts w:hint="eastAsia" w:ascii="Times New Roman"/>
          <w:bCs/>
          <w:szCs w:val="21"/>
        </w:rPr>
        <w:t xml:space="preserve">  制备样品份数由供需双方要求进行分配，一份交需方，一份交供方，一份双方现场签字确认留做仲裁，一份备用。仲裁及备用样品由需方保存，保存期限为三个月（国际贸易为六个月）。</w:t>
      </w:r>
    </w:p>
    <w:p>
      <w:pPr>
        <w:pStyle w:val="31"/>
        <w:ind w:firstLine="0" w:firstLineChars="0"/>
        <w:rPr>
          <w:rFonts w:ascii="Times New Roman"/>
          <w:bCs/>
          <w:szCs w:val="21"/>
        </w:rPr>
      </w:pPr>
      <w:r>
        <w:rPr>
          <w:rFonts w:hint="eastAsia" w:ascii="黑体" w:hAnsi="黑体" w:eastAsia="黑体" w:cs="黑体"/>
          <w:szCs w:val="21"/>
        </w:rPr>
        <w:t>6.3.</w:t>
      </w:r>
      <w:r>
        <w:rPr>
          <w:rFonts w:ascii="黑体" w:hAnsi="黑体" w:eastAsia="黑体" w:cs="黑体"/>
          <w:szCs w:val="21"/>
        </w:rPr>
        <w:t>6</w:t>
      </w:r>
      <w:r>
        <w:rPr>
          <w:rFonts w:hint="eastAsia" w:ascii="黑体" w:hAnsi="黑体" w:eastAsia="黑体" w:cs="黑体"/>
          <w:szCs w:val="21"/>
        </w:rPr>
        <w:t xml:space="preserve">  </w:t>
      </w:r>
      <w:r>
        <w:rPr>
          <w:rFonts w:hint="eastAsia" w:ascii="Times New Roman"/>
          <w:bCs/>
          <w:szCs w:val="21"/>
        </w:rPr>
        <w:t>供需双方如对检验结果有异议时，应在仲裁样品保存期限内提出，由供需双方协商解决；如需仲裁，仲裁分析在供需双方认定的机构进行，以仲裁结果为判定依据。</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6.4  检验结果判定</w:t>
      </w:r>
    </w:p>
    <w:p>
      <w:pPr>
        <w:snapToGrid w:val="0"/>
        <w:jc w:val="left"/>
        <w:rPr>
          <w:rFonts w:eastAsiaTheme="minorEastAsia"/>
          <w:highlight w:val="none"/>
        </w:rPr>
      </w:pPr>
      <w:r>
        <w:rPr>
          <w:rFonts w:hint="eastAsia" w:ascii="黑体" w:hAnsi="黑体" w:eastAsia="黑体" w:cs="黑体"/>
          <w:highlight w:val="none"/>
        </w:rPr>
        <w:t xml:space="preserve">6.4.1 </w:t>
      </w:r>
      <w:r>
        <w:rPr>
          <w:rFonts w:hint="eastAsia" w:eastAsiaTheme="minorEastAsia"/>
          <w:highlight w:val="none"/>
        </w:rPr>
        <w:t xml:space="preserve"> </w:t>
      </w:r>
      <w:r>
        <w:rPr>
          <w:rFonts w:eastAsiaTheme="minorEastAsia"/>
          <w:color w:val="000000"/>
          <w:szCs w:val="21"/>
          <w:highlight w:val="none"/>
          <w:lang w:bidi="zh-CN"/>
        </w:rPr>
        <w:t>检验结果的数值按GB/T</w:t>
      </w:r>
      <w:r>
        <w:rPr>
          <w:rFonts w:hint="eastAsia" w:eastAsiaTheme="minorEastAsia"/>
          <w:color w:val="000000"/>
          <w:szCs w:val="21"/>
          <w:highlight w:val="none"/>
          <w:lang w:bidi="zh-CN"/>
        </w:rPr>
        <w:t xml:space="preserve"> </w:t>
      </w:r>
      <w:r>
        <w:rPr>
          <w:rFonts w:eastAsiaTheme="minorEastAsia"/>
          <w:color w:val="000000"/>
          <w:szCs w:val="21"/>
          <w:highlight w:val="none"/>
          <w:lang w:bidi="zh-CN"/>
        </w:rPr>
        <w:t>8170的规定进行</w:t>
      </w:r>
      <w:r>
        <w:rPr>
          <w:rFonts w:hint="eastAsia" w:eastAsiaTheme="minorEastAsia"/>
          <w:color w:val="000000"/>
          <w:szCs w:val="21"/>
          <w:highlight w:val="none"/>
          <w:lang w:bidi="zh-CN"/>
        </w:rPr>
        <w:t>修约，并采用修约值比较法判定</w:t>
      </w:r>
      <w:r>
        <w:rPr>
          <w:rFonts w:eastAsiaTheme="minorEastAsia"/>
          <w:color w:val="000000"/>
          <w:szCs w:val="21"/>
          <w:highlight w:val="none"/>
          <w:lang w:bidi="zh-CN"/>
        </w:rPr>
        <w:t>。</w:t>
      </w:r>
    </w:p>
    <w:p>
      <w:pPr>
        <w:pStyle w:val="31"/>
        <w:ind w:firstLine="0" w:firstLineChars="0"/>
        <w:rPr>
          <w:rFonts w:hint="eastAsia" w:ascii="黑体" w:hAnsi="黑体" w:eastAsia="黑体" w:cs="黑体"/>
          <w:kern w:val="2"/>
          <w:szCs w:val="22"/>
          <w:highlight w:val="none"/>
          <w:lang w:val="en-US" w:eastAsia="zh-CN"/>
        </w:rPr>
      </w:pPr>
      <w:r>
        <w:rPr>
          <w:rFonts w:hint="eastAsia" w:ascii="黑体" w:hAnsi="黑体" w:eastAsia="黑体" w:cs="黑体"/>
          <w:highlight w:val="none"/>
        </w:rPr>
        <w:t xml:space="preserve">6.4.2 </w:t>
      </w:r>
      <w:r>
        <w:rPr>
          <w:rFonts w:hint="eastAsia" w:ascii="Times New Roman" w:eastAsiaTheme="minorEastAsia"/>
          <w:highlight w:val="none"/>
        </w:rPr>
        <w:t xml:space="preserve"> 化学成分、水分检验结果任有其中一项指标不符合本文件规定时，应从该批产品中另取双倍数量的试样进行重复试验，重复检验全部合格，则判整批产品合格。若重复试验结果仍有项目不合格，则判该批产品不合格。</w:t>
      </w:r>
    </w:p>
    <w:p>
      <w:pPr>
        <w:pStyle w:val="31"/>
        <w:ind w:firstLine="0" w:firstLineChars="0"/>
        <w:rPr>
          <w:rFonts w:hint="default" w:ascii="黑体" w:hAnsi="黑体" w:eastAsia="黑体" w:cs="黑体"/>
          <w:kern w:val="2"/>
          <w:szCs w:val="22"/>
          <w:highlight w:val="none"/>
          <w:lang w:val="en-US" w:eastAsia="zh-CN"/>
        </w:rPr>
      </w:pPr>
      <w:r>
        <w:rPr>
          <w:rFonts w:hint="eastAsia" w:ascii="黑体" w:hAnsi="黑体" w:eastAsia="黑体" w:cs="黑体"/>
          <w:kern w:val="2"/>
          <w:szCs w:val="22"/>
          <w:highlight w:val="none"/>
          <w:lang w:val="en-US" w:eastAsia="zh-CN"/>
        </w:rPr>
        <w:t xml:space="preserve">6.4.3  </w:t>
      </w:r>
      <w:r>
        <w:rPr>
          <w:rFonts w:hint="default" w:ascii="Times New Roman" w:hAnsi="Times New Roman" w:cs="Times New Roman" w:eastAsiaTheme="minorEastAsia"/>
          <w:color w:val="000000"/>
          <w:kern w:val="2"/>
          <w:szCs w:val="21"/>
          <w:highlight w:val="none"/>
          <w:lang w:val="en-US" w:eastAsia="zh-CN" w:bidi="zh-CN"/>
        </w:rPr>
        <w:t>外观质量</w:t>
      </w:r>
      <w:r>
        <w:rPr>
          <w:rFonts w:hint="eastAsia" w:ascii="Times New Roman" w:cs="Times New Roman" w:eastAsiaTheme="minorEastAsia"/>
          <w:color w:val="000000"/>
          <w:kern w:val="2"/>
          <w:szCs w:val="21"/>
          <w:highlight w:val="none"/>
          <w:lang w:val="en-US" w:eastAsia="zh-CN" w:bidi="zh-CN"/>
        </w:rPr>
        <w:t>不符合</w:t>
      </w:r>
      <w:r>
        <w:rPr>
          <w:rFonts w:hint="eastAsia" w:ascii="Times New Roman"/>
          <w:sz w:val="21"/>
          <w:szCs w:val="21"/>
          <w:highlight w:val="none"/>
        </w:rPr>
        <w:t>本文件规定时，判该批产品不合格</w:t>
      </w:r>
      <w:r>
        <w:rPr>
          <w:rFonts w:ascii="Times New Roman"/>
          <w:sz w:val="21"/>
          <w:szCs w:val="21"/>
          <w:highlight w:val="none"/>
        </w:rPr>
        <w:t>。</w:t>
      </w:r>
    </w:p>
    <w:p>
      <w:pPr>
        <w:spacing w:before="156" w:beforeLines="50" w:after="156" w:afterLines="50"/>
        <w:rPr>
          <w:rFonts w:ascii="黑体" w:hAnsi="黑体" w:eastAsia="黑体" w:cs="黑体"/>
          <w:bCs/>
        </w:rPr>
      </w:pPr>
      <w:r>
        <w:rPr>
          <w:rFonts w:hint="eastAsia" w:ascii="黑体" w:hAnsi="黑体" w:eastAsia="黑体" w:cs="黑体"/>
          <w:bCs/>
        </w:rPr>
        <w:t>7  标志、包装、运输、贮存及随行文件</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7.1  标志</w:t>
      </w:r>
    </w:p>
    <w:p>
      <w:pPr>
        <w:pStyle w:val="31"/>
        <w:ind w:firstLine="420"/>
        <w:rPr>
          <w:rFonts w:hint="eastAsia" w:ascii="Times New Roman"/>
          <w:szCs w:val="22"/>
        </w:rPr>
      </w:pPr>
      <w:r>
        <w:t>产品包装上应有牢固清晰的标志。内容包括：生产厂名、厂址、产品名称、品级、净重、批号、生产日期、本文件编号。</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7.2  包装</w:t>
      </w:r>
    </w:p>
    <w:p>
      <w:pPr>
        <w:pStyle w:val="31"/>
        <w:ind w:firstLine="420" w:firstLineChars="0"/>
        <w:rPr>
          <w:rFonts w:ascii="Times New Roman" w:eastAsiaTheme="minorEastAsia"/>
        </w:rPr>
      </w:pPr>
      <w:r>
        <w:rPr>
          <w:rFonts w:ascii="Times New Roman" w:eastAsiaTheme="minorEastAsia"/>
        </w:rPr>
        <w:t>产品</w:t>
      </w:r>
      <w:r>
        <w:rPr>
          <w:rFonts w:hint="eastAsia" w:ascii="Times New Roman" w:eastAsiaTheme="minorEastAsia"/>
          <w:lang w:val="en-US" w:eastAsia="zh-CN"/>
        </w:rPr>
        <w:t>应</w:t>
      </w:r>
      <w:r>
        <w:rPr>
          <w:rFonts w:ascii="Times New Roman" w:eastAsiaTheme="minorEastAsia"/>
        </w:rPr>
        <w:t>采用</w:t>
      </w:r>
      <w:r>
        <w:rPr>
          <w:rFonts w:ascii="Times New Roman"/>
          <w:szCs w:val="21"/>
        </w:rPr>
        <w:t>内衬聚乙烯薄膜袋双层包装，内包装采用聚乙烯塑料薄膜袋</w:t>
      </w:r>
      <w:r>
        <w:rPr>
          <w:rFonts w:hint="eastAsia" w:ascii="Times New Roman"/>
          <w:szCs w:val="21"/>
        </w:rPr>
        <w:t>，</w:t>
      </w:r>
      <w:r>
        <w:rPr>
          <w:rFonts w:ascii="Times New Roman"/>
          <w:szCs w:val="21"/>
        </w:rPr>
        <w:t>外包装采用塑料编织袋</w:t>
      </w:r>
      <w:r>
        <w:rPr>
          <w:rFonts w:hint="eastAsia" w:ascii="Times New Roman"/>
          <w:szCs w:val="21"/>
        </w:rPr>
        <w:t>，</w:t>
      </w:r>
      <w:r>
        <w:rPr>
          <w:rFonts w:ascii="Times New Roman"/>
          <w:szCs w:val="21"/>
        </w:rPr>
        <w:t>每袋净含量0.8</w:t>
      </w:r>
      <w:r>
        <w:rPr>
          <w:rFonts w:hint="eastAsia" w:ascii="Times New Roman"/>
          <w:szCs w:val="21"/>
        </w:rPr>
        <w:t xml:space="preserve"> </w:t>
      </w:r>
      <w:r>
        <w:rPr>
          <w:rFonts w:ascii="Times New Roman"/>
          <w:szCs w:val="21"/>
        </w:rPr>
        <w:t>t-1.2</w:t>
      </w:r>
      <w:r>
        <w:rPr>
          <w:rFonts w:hint="eastAsia" w:ascii="Times New Roman"/>
          <w:szCs w:val="21"/>
        </w:rPr>
        <w:t xml:space="preserve"> </w:t>
      </w:r>
      <w:r>
        <w:rPr>
          <w:rFonts w:ascii="Times New Roman"/>
          <w:szCs w:val="21"/>
        </w:rPr>
        <w:t>t。</w:t>
      </w:r>
      <w:r>
        <w:rPr>
          <w:rFonts w:hint="eastAsia" w:ascii="Times New Roman"/>
          <w:szCs w:val="21"/>
          <w:lang w:val="en-US" w:eastAsia="zh-CN"/>
        </w:rPr>
        <w:t>若</w:t>
      </w:r>
      <w:r>
        <w:rPr>
          <w:rFonts w:ascii="Times New Roman" w:eastAsiaTheme="minorEastAsia"/>
        </w:rPr>
        <w:t>需方有特殊要求时，</w:t>
      </w:r>
      <w:r>
        <w:rPr>
          <w:rFonts w:hint="eastAsia" w:ascii="Times New Roman" w:eastAsiaTheme="minorEastAsia"/>
          <w:lang w:val="en-US" w:eastAsia="zh-CN"/>
        </w:rPr>
        <w:t>由</w:t>
      </w:r>
      <w:r>
        <w:rPr>
          <w:rFonts w:ascii="Times New Roman" w:eastAsiaTheme="minorEastAsia"/>
        </w:rPr>
        <w:t>供需双方协商</w:t>
      </w:r>
      <w:r>
        <w:rPr>
          <w:rFonts w:hint="eastAsia" w:ascii="Times New Roman" w:eastAsiaTheme="minorEastAsia"/>
          <w:lang w:val="en-US" w:eastAsia="zh-CN"/>
        </w:rPr>
        <w:t>确定</w:t>
      </w:r>
      <w:r>
        <w:rPr>
          <w:rFonts w:ascii="Times New Roman" w:eastAsiaTheme="minorEastAsia"/>
        </w:rPr>
        <w:t>。</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7.3  运输</w:t>
      </w:r>
    </w:p>
    <w:p>
      <w:pPr>
        <w:pStyle w:val="31"/>
        <w:ind w:firstLine="420"/>
        <w:rPr>
          <w:rFonts w:ascii="Times New Roman" w:eastAsiaTheme="minorEastAsia"/>
        </w:rPr>
      </w:pPr>
      <w:r>
        <w:rPr>
          <w:rFonts w:hint="eastAsia" w:ascii="Times New Roman" w:eastAsiaTheme="minorEastAsia"/>
        </w:rPr>
        <w:t>产品应用车（或船）运输，装车（或船）后应将表面平整，防止运输过程中雨淋、洒落或受潮。</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7.4  贮存</w:t>
      </w:r>
    </w:p>
    <w:p>
      <w:pPr>
        <w:pStyle w:val="31"/>
        <w:ind w:firstLine="420"/>
        <w:rPr>
          <w:rFonts w:ascii="Times New Roman" w:eastAsiaTheme="minorEastAsia"/>
        </w:rPr>
      </w:pPr>
      <w:r>
        <w:rPr>
          <w:rFonts w:ascii="Times New Roman" w:eastAsiaTheme="minorEastAsia"/>
        </w:rPr>
        <w:t>产品应存放于干燥、通风、无腐蚀性的环境中，</w:t>
      </w:r>
      <w:r>
        <w:rPr>
          <w:rFonts w:hint="eastAsia" w:ascii="Times New Roman" w:eastAsiaTheme="minorEastAsia"/>
        </w:rPr>
        <w:t>不得与酸、碱、油类等化学品贮存在一起，</w:t>
      </w:r>
      <w:r>
        <w:rPr>
          <w:rFonts w:ascii="Times New Roman" w:eastAsiaTheme="minorEastAsia"/>
        </w:rPr>
        <w:t>严防受潮、腐蚀</w:t>
      </w:r>
      <w:r>
        <w:rPr>
          <w:rFonts w:hint="eastAsia" w:ascii="Times New Roman" w:eastAsiaTheme="minorEastAsia"/>
          <w:lang w:val="en-US" w:eastAsia="zh-CN"/>
        </w:rPr>
        <w:t>等</w:t>
      </w:r>
      <w:r>
        <w:rPr>
          <w:rFonts w:ascii="Times New Roman" w:eastAsiaTheme="minorEastAsia"/>
        </w:rPr>
        <w:t>。</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rPr>
        <w:t>7.5  随行文件</w:t>
      </w:r>
    </w:p>
    <w:p>
      <w:pPr>
        <w:pStyle w:val="31"/>
        <w:ind w:firstLine="420"/>
        <w:rPr>
          <w:rFonts w:ascii="Times New Roman" w:eastAsiaTheme="minorEastAsia"/>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，其上注明：</w:t>
      </w:r>
    </w:p>
    <w:p>
      <w:pPr>
        <w:pStyle w:val="31"/>
        <w:ind w:firstLine="420"/>
        <w:rPr>
          <w:rFonts w:ascii="Times New Roman" w:eastAsiaTheme="minorEastAsia"/>
        </w:rPr>
      </w:pPr>
      <w:r>
        <w:rPr>
          <w:rFonts w:ascii="Times New Roman" w:eastAsiaTheme="minorEastAsia"/>
        </w:rPr>
        <w:t>a</w:t>
      </w:r>
      <w:r>
        <w:rPr>
          <w:rFonts w:hint="eastAsia" w:ascii="Times New Roman" w:eastAsiaTheme="minorEastAsia"/>
          <w:lang w:eastAsia="zh-CN"/>
        </w:rPr>
        <w:t>）</w:t>
      </w:r>
      <w:r>
        <w:rPr>
          <w:rFonts w:ascii="Times New Roman" w:eastAsiaTheme="minorEastAsia"/>
        </w:rPr>
        <w:t>供方名称、地址、电话；</w:t>
      </w:r>
    </w:p>
    <w:p>
      <w:pPr>
        <w:pStyle w:val="31"/>
        <w:ind w:firstLine="420"/>
        <w:rPr>
          <w:rFonts w:ascii="Times New Roman" w:eastAsiaTheme="minorEastAsia"/>
        </w:rPr>
      </w:pPr>
      <w:r>
        <w:rPr>
          <w:rFonts w:ascii="Times New Roman" w:eastAsiaTheme="minorEastAsia"/>
        </w:rPr>
        <w:t>b</w:t>
      </w:r>
      <w:r>
        <w:rPr>
          <w:rFonts w:hint="eastAsia" w:ascii="Times New Roman" w:eastAsiaTheme="minorEastAsia"/>
          <w:lang w:eastAsia="zh-CN"/>
        </w:rPr>
        <w:t>）</w:t>
      </w:r>
      <w:r>
        <w:rPr>
          <w:rFonts w:ascii="Times New Roman" w:eastAsiaTheme="minorEastAsia"/>
        </w:rPr>
        <w:t>产品名称、</w:t>
      </w:r>
      <w:r>
        <w:rPr>
          <w:rFonts w:hint="eastAsia" w:ascii="Times New Roman" w:eastAsiaTheme="minorEastAsia"/>
        </w:rPr>
        <w:t>品级</w:t>
      </w:r>
      <w:r>
        <w:rPr>
          <w:rFonts w:ascii="Times New Roman" w:eastAsiaTheme="minorEastAsia"/>
        </w:rPr>
        <w:t>；</w:t>
      </w:r>
    </w:p>
    <w:p>
      <w:pPr>
        <w:pStyle w:val="31"/>
        <w:ind w:firstLine="420"/>
        <w:rPr>
          <w:rFonts w:ascii="Times New Roman" w:eastAsiaTheme="minorEastAsia"/>
        </w:rPr>
      </w:pPr>
      <w:r>
        <w:rPr>
          <w:rFonts w:ascii="Times New Roman" w:eastAsiaTheme="minorEastAsia"/>
        </w:rPr>
        <w:t>c</w:t>
      </w:r>
      <w:r>
        <w:rPr>
          <w:rFonts w:hint="eastAsia" w:ascii="Times New Roman" w:eastAsiaTheme="minorEastAsia"/>
          <w:lang w:eastAsia="zh-CN"/>
        </w:rPr>
        <w:t>）</w:t>
      </w:r>
      <w:r>
        <w:rPr>
          <w:rFonts w:ascii="Times New Roman" w:eastAsiaTheme="minorEastAsia"/>
        </w:rPr>
        <w:t>产品批号；</w:t>
      </w:r>
    </w:p>
    <w:p>
      <w:pPr>
        <w:pStyle w:val="31"/>
        <w:ind w:firstLine="420"/>
        <w:rPr>
          <w:rFonts w:ascii="Times New Roman" w:eastAsiaTheme="minorEastAsia"/>
        </w:rPr>
      </w:pPr>
      <w:r>
        <w:rPr>
          <w:rFonts w:ascii="Times New Roman" w:eastAsiaTheme="minorEastAsia"/>
        </w:rPr>
        <w:t>d</w:t>
      </w:r>
      <w:r>
        <w:rPr>
          <w:rFonts w:hint="eastAsia" w:ascii="Times New Roman" w:eastAsiaTheme="minorEastAsia"/>
          <w:lang w:eastAsia="zh-CN"/>
        </w:rPr>
        <w:t>）</w:t>
      </w:r>
      <w:r>
        <w:rPr>
          <w:rFonts w:ascii="Times New Roman" w:eastAsiaTheme="minorEastAsia"/>
        </w:rPr>
        <w:t>净重；</w:t>
      </w:r>
    </w:p>
    <w:p>
      <w:pPr>
        <w:pStyle w:val="31"/>
        <w:ind w:firstLine="420"/>
        <w:rPr>
          <w:rFonts w:ascii="Times New Roman" w:eastAsiaTheme="minorEastAsia"/>
        </w:rPr>
      </w:pPr>
      <w:r>
        <w:rPr>
          <w:rFonts w:ascii="Times New Roman" w:eastAsiaTheme="minorEastAsia"/>
        </w:rPr>
        <w:t>e</w:t>
      </w:r>
      <w:r>
        <w:rPr>
          <w:rFonts w:hint="eastAsia" w:ascii="Times New Roman" w:eastAsiaTheme="minorEastAsia"/>
          <w:lang w:eastAsia="zh-CN"/>
        </w:rPr>
        <w:t>）</w:t>
      </w:r>
      <w:r>
        <w:rPr>
          <w:rFonts w:ascii="Times New Roman" w:eastAsiaTheme="minorEastAsia"/>
        </w:rPr>
        <w:t>各项分析检验结果和技术监督部门的印记；</w:t>
      </w:r>
    </w:p>
    <w:p>
      <w:pPr>
        <w:pStyle w:val="31"/>
        <w:ind w:firstLine="420"/>
        <w:rPr>
          <w:rFonts w:ascii="Times New Roman" w:eastAsiaTheme="minorEastAsia"/>
        </w:rPr>
      </w:pPr>
      <w:r>
        <w:rPr>
          <w:rFonts w:ascii="Times New Roman" w:eastAsiaTheme="minorEastAsia"/>
        </w:rPr>
        <w:t>f</w:t>
      </w:r>
      <w:r>
        <w:rPr>
          <w:rFonts w:hint="eastAsia" w:ascii="Times New Roman" w:eastAsiaTheme="minorEastAsia"/>
          <w:lang w:eastAsia="zh-CN"/>
        </w:rPr>
        <w:t>）</w:t>
      </w:r>
      <w:r>
        <w:rPr>
          <w:rFonts w:ascii="Times New Roman" w:eastAsiaTheme="minorEastAsia"/>
        </w:rPr>
        <w:t>本</w:t>
      </w:r>
      <w:r>
        <w:rPr>
          <w:rFonts w:hint="eastAsia" w:ascii="Times New Roman" w:eastAsiaTheme="minorEastAsia"/>
        </w:rPr>
        <w:t>文件</w:t>
      </w:r>
      <w:r>
        <w:rPr>
          <w:rFonts w:ascii="Times New Roman" w:eastAsiaTheme="minorEastAsia"/>
        </w:rPr>
        <w:t>编号；</w:t>
      </w:r>
    </w:p>
    <w:p>
      <w:pPr>
        <w:pStyle w:val="31"/>
        <w:ind w:firstLine="420"/>
        <w:rPr>
          <w:rFonts w:ascii="Times New Roman" w:eastAsiaTheme="minorEastAsia"/>
        </w:rPr>
      </w:pPr>
      <w:r>
        <w:rPr>
          <w:rFonts w:ascii="Times New Roman" w:eastAsiaTheme="minorEastAsia"/>
        </w:rPr>
        <w:t>g</w:t>
      </w:r>
      <w:r>
        <w:rPr>
          <w:rFonts w:hint="eastAsia" w:ascii="Times New Roman" w:eastAsiaTheme="minorEastAsia"/>
          <w:lang w:eastAsia="zh-CN"/>
        </w:rPr>
        <w:t>）</w:t>
      </w:r>
      <w:r>
        <w:rPr>
          <w:rFonts w:ascii="Times New Roman" w:eastAsiaTheme="minorEastAsia"/>
        </w:rPr>
        <w:t>生产日期</w:t>
      </w:r>
      <w:r>
        <w:rPr>
          <w:rFonts w:hint="eastAsia" w:ascii="Times New Roman" w:eastAsiaTheme="minorEastAsia"/>
        </w:rPr>
        <w:t>；</w:t>
      </w:r>
    </w:p>
    <w:p>
      <w:pPr>
        <w:pStyle w:val="31"/>
        <w:ind w:firstLine="420"/>
        <w:rPr>
          <w:rFonts w:ascii="Times New Roman" w:eastAsiaTheme="minorEastAsia"/>
        </w:rPr>
      </w:pPr>
      <w:r>
        <w:rPr>
          <w:rFonts w:hint="eastAsia" w:ascii="Times New Roman" w:eastAsiaTheme="minorEastAsia"/>
        </w:rPr>
        <w:t>h）其他</w:t>
      </w:r>
      <w:r>
        <w:rPr>
          <w:rFonts w:ascii="Times New Roman" w:eastAsiaTheme="minorEastAsia"/>
        </w:rPr>
        <w:t>。</w:t>
      </w:r>
    </w:p>
    <w:p>
      <w:pPr>
        <w:spacing w:before="312" w:beforeLines="100" w:after="312" w:afterLines="100"/>
        <w:rPr>
          <w:rFonts w:ascii="黑体" w:hAnsi="黑体" w:eastAsia="黑体" w:cs="黑体"/>
          <w:bCs/>
        </w:rPr>
      </w:pPr>
      <w:r>
        <w:rPr>
          <w:rFonts w:hint="eastAsia" w:ascii="黑体" w:hAnsi="黑体" w:eastAsia="黑体" w:cs="黑体"/>
          <w:bCs/>
        </w:rPr>
        <w:t>8  订货单内容</w:t>
      </w:r>
    </w:p>
    <w:p>
      <w:pPr>
        <w:pStyle w:val="31"/>
        <w:ind w:firstLine="420"/>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p>
      <w:pPr>
        <w:pStyle w:val="31"/>
        <w:ind w:firstLine="420"/>
        <w:rPr>
          <w:rFonts w:ascii="Times New Roman" w:eastAsiaTheme="minorEastAsia"/>
        </w:rPr>
      </w:pPr>
      <w:r>
        <w:rPr>
          <w:rFonts w:ascii="Times New Roman" w:eastAsiaTheme="minorEastAsia"/>
        </w:rPr>
        <w:t>a</w:t>
      </w:r>
      <w:r>
        <w:rPr>
          <w:rFonts w:hint="eastAsia" w:ascii="Times New Roman" w:eastAsiaTheme="minorEastAsia"/>
          <w:lang w:eastAsia="zh-CN"/>
        </w:rPr>
        <w:t>）</w:t>
      </w:r>
      <w:r>
        <w:rPr>
          <w:rFonts w:ascii="Times New Roman" w:eastAsiaTheme="minorEastAsia"/>
        </w:rPr>
        <w:t>产品名称；</w:t>
      </w:r>
    </w:p>
    <w:p>
      <w:pPr>
        <w:pStyle w:val="31"/>
        <w:ind w:firstLine="420"/>
        <w:rPr>
          <w:rFonts w:ascii="Times New Roman" w:eastAsiaTheme="minorEastAsia"/>
        </w:rPr>
      </w:pPr>
      <w:r>
        <w:rPr>
          <w:rFonts w:ascii="Times New Roman" w:eastAsiaTheme="minorEastAsia"/>
        </w:rPr>
        <w:t>b</w:t>
      </w:r>
      <w:r>
        <w:rPr>
          <w:rFonts w:hint="eastAsia" w:ascii="Times New Roman" w:eastAsiaTheme="minorEastAsia"/>
          <w:lang w:eastAsia="zh-CN"/>
        </w:rPr>
        <w:t>）</w:t>
      </w:r>
      <w:r>
        <w:rPr>
          <w:rFonts w:ascii="Times New Roman" w:eastAsiaTheme="minorEastAsia"/>
        </w:rPr>
        <w:t>产品</w:t>
      </w:r>
      <w:r>
        <w:rPr>
          <w:rFonts w:hint="eastAsia" w:ascii="Times New Roman" w:eastAsiaTheme="minorEastAsia"/>
        </w:rPr>
        <w:t>品级</w:t>
      </w:r>
      <w:r>
        <w:rPr>
          <w:rFonts w:ascii="Times New Roman" w:eastAsiaTheme="minorEastAsia"/>
        </w:rPr>
        <w:t>；</w:t>
      </w:r>
    </w:p>
    <w:p>
      <w:pPr>
        <w:pStyle w:val="31"/>
        <w:ind w:firstLine="420"/>
        <w:rPr>
          <w:rFonts w:ascii="Times New Roman" w:eastAsiaTheme="minorEastAsia"/>
        </w:rPr>
      </w:pPr>
      <w:r>
        <w:rPr>
          <w:rFonts w:ascii="Times New Roman" w:eastAsiaTheme="minorEastAsia"/>
        </w:rPr>
        <w:t>c</w:t>
      </w:r>
      <w:r>
        <w:rPr>
          <w:rFonts w:hint="eastAsia" w:ascii="Times New Roman" w:eastAsiaTheme="minorEastAsia"/>
          <w:lang w:eastAsia="zh-CN"/>
        </w:rPr>
        <w:t>）</w:t>
      </w:r>
      <w:r>
        <w:rPr>
          <w:rFonts w:hint="eastAsia" w:ascii="Times New Roman" w:eastAsiaTheme="minorEastAsia"/>
        </w:rPr>
        <w:t>化学成分等的特殊要求；</w:t>
      </w:r>
    </w:p>
    <w:p>
      <w:pPr>
        <w:pStyle w:val="31"/>
        <w:ind w:firstLine="420"/>
        <w:rPr>
          <w:rFonts w:ascii="Times New Roman" w:eastAsiaTheme="minorEastAsia"/>
        </w:rPr>
      </w:pPr>
      <w:r>
        <w:rPr>
          <w:rFonts w:ascii="Times New Roman" w:eastAsiaTheme="minorEastAsia"/>
        </w:rPr>
        <w:t>d</w:t>
      </w:r>
      <w:r>
        <w:rPr>
          <w:rFonts w:hint="eastAsia" w:ascii="Times New Roman" w:eastAsiaTheme="minorEastAsia"/>
          <w:lang w:eastAsia="zh-CN"/>
        </w:rPr>
        <w:t>）</w:t>
      </w:r>
      <w:r>
        <w:rPr>
          <w:rFonts w:ascii="Times New Roman" w:eastAsiaTheme="minorEastAsia"/>
        </w:rPr>
        <w:t>数量；</w:t>
      </w:r>
    </w:p>
    <w:p>
      <w:pPr>
        <w:pStyle w:val="31"/>
        <w:ind w:firstLine="420"/>
        <w:rPr>
          <w:rFonts w:ascii="Times New Roman" w:eastAsiaTheme="minorEastAsia"/>
        </w:rPr>
      </w:pPr>
      <w:r>
        <w:rPr>
          <w:rFonts w:hint="eastAsia" w:ascii="Times New Roman" w:eastAsiaTheme="minorEastAsia"/>
        </w:rPr>
        <w:t>e</w:t>
      </w:r>
      <w:r>
        <w:rPr>
          <w:rFonts w:hint="eastAsia" w:ascii="Times New Roman" w:eastAsiaTheme="minorEastAsia"/>
          <w:lang w:eastAsia="zh-CN"/>
        </w:rPr>
        <w:t>）</w:t>
      </w:r>
      <w:r>
        <w:rPr>
          <w:rFonts w:ascii="Times New Roman" w:eastAsiaTheme="minorEastAsia"/>
        </w:rPr>
        <w:t>本</w:t>
      </w:r>
      <w:r>
        <w:rPr>
          <w:rFonts w:hint="eastAsia" w:ascii="Times New Roman" w:eastAsiaTheme="minorEastAsia"/>
        </w:rPr>
        <w:t>文件</w:t>
      </w:r>
      <w:r>
        <w:rPr>
          <w:rFonts w:ascii="Times New Roman" w:eastAsiaTheme="minorEastAsia"/>
        </w:rPr>
        <w:t>编号；</w:t>
      </w:r>
    </w:p>
    <w:p>
      <w:pPr>
        <w:pStyle w:val="31"/>
        <w:ind w:firstLine="420"/>
        <w:rPr>
          <w:rFonts w:ascii="Times New Roman" w:eastAsiaTheme="minorEastAsia"/>
        </w:rPr>
      </w:pPr>
      <w:r>
        <w:rPr>
          <w:rFonts w:hint="eastAsia" w:ascii="Times New Roman" w:eastAsiaTheme="minorEastAsia"/>
        </w:rPr>
        <w:t>f</w:t>
      </w:r>
      <w:r>
        <w:rPr>
          <w:rFonts w:hint="eastAsia" w:ascii="Times New Roman" w:eastAsiaTheme="minorEastAsia"/>
          <w:lang w:eastAsia="zh-CN"/>
        </w:rPr>
        <w:t>）</w:t>
      </w:r>
      <w:r>
        <w:rPr>
          <w:rFonts w:ascii="Times New Roman" w:eastAsiaTheme="minorEastAsia"/>
        </w:rPr>
        <w:t>其他。</w:t>
      </w:r>
    </w:p>
    <w:bookmarkEnd w:id="2"/>
    <w:p>
      <w:pPr>
        <w:pStyle w:val="31"/>
        <w:ind w:firstLineChars="0"/>
      </w:pPr>
      <w:r>
        <w:rPr>
          <w:rFonts w:ascii="Times New Roman"/>
          <w:sz w:val="20"/>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7456;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p>
    <w:sectPr>
      <w:footerReference r:id="rId10"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Style w:val="19"/>
      </w:rPr>
    </w:pPr>
    <w:r>
      <w:fldChar w:fldCharType="begin"/>
    </w:r>
    <w:r>
      <w:rPr>
        <w:rStyle w:val="19"/>
      </w:rPr>
      <w:instrText xml:space="preserve">PAGE  </w:instrText>
    </w:r>
    <w:r>
      <w:fldChar w:fldCharType="separate"/>
    </w:r>
    <w:r>
      <w:rPr>
        <w:rStyle w:val="19"/>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19"/>
      </w:rPr>
    </w:pPr>
    <w:r>
      <w:rPr>
        <w:rStyle w:val="19"/>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5</w:t>
    </w:r>
    <w:r>
      <w:rPr>
        <w:lang w:val="zh-CN"/>
      </w:rPr>
      <w:fldChar w:fldCharType="end"/>
    </w:r>
  </w:p>
  <w:p>
    <w:pPr>
      <w:pStyle w:val="10"/>
      <w:ind w:right="210"/>
      <w:rPr>
        <w:rStyle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ascii="黑体" w:hAnsi="黑体" w:eastAsia="黑体" w:cs="黑体"/>
      </w:rPr>
      <w:t>YS/T ×××—20×</w:t>
    </w:r>
    <w:bookmarkStart w:id="5" w:name="OLE_LINK20"/>
    <w:bookmarkStart w:id="6" w:name="OLE_LINK19"/>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zc2ZTE1NTgyZTkyYTE5NjgxNTVjMzE1YmZlMzE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6D3B"/>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763"/>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4BF9"/>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3D36"/>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9ED"/>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600"/>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35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365F3"/>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865ED"/>
    <w:rsid w:val="00C91EB4"/>
    <w:rsid w:val="00C927CF"/>
    <w:rsid w:val="00C9328C"/>
    <w:rsid w:val="00C93463"/>
    <w:rsid w:val="00C934E3"/>
    <w:rsid w:val="00C95061"/>
    <w:rsid w:val="00C97D40"/>
    <w:rsid w:val="00CA2A24"/>
    <w:rsid w:val="00CA2AF7"/>
    <w:rsid w:val="00CA3AD2"/>
    <w:rsid w:val="00CA3F15"/>
    <w:rsid w:val="00CA4A94"/>
    <w:rsid w:val="00CA66A0"/>
    <w:rsid w:val="00CA7C6A"/>
    <w:rsid w:val="00CB1E3F"/>
    <w:rsid w:val="00CB78AB"/>
    <w:rsid w:val="00CC0992"/>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48B"/>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35BE"/>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66F31"/>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29C4"/>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202A1"/>
    <w:rsid w:val="01034E2A"/>
    <w:rsid w:val="011450B2"/>
    <w:rsid w:val="01D408F4"/>
    <w:rsid w:val="01F558DB"/>
    <w:rsid w:val="02046404"/>
    <w:rsid w:val="02352B68"/>
    <w:rsid w:val="02421D02"/>
    <w:rsid w:val="024B68F3"/>
    <w:rsid w:val="025A5BB3"/>
    <w:rsid w:val="02615D9D"/>
    <w:rsid w:val="028B05D5"/>
    <w:rsid w:val="028B7635"/>
    <w:rsid w:val="0292394A"/>
    <w:rsid w:val="02BD670D"/>
    <w:rsid w:val="02F1504C"/>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47D95"/>
    <w:rsid w:val="04CD22F6"/>
    <w:rsid w:val="04DB22B6"/>
    <w:rsid w:val="04F27B85"/>
    <w:rsid w:val="051760C8"/>
    <w:rsid w:val="05480343"/>
    <w:rsid w:val="05725AC9"/>
    <w:rsid w:val="05AD54B2"/>
    <w:rsid w:val="05B03CC2"/>
    <w:rsid w:val="05D439AB"/>
    <w:rsid w:val="05E62EDB"/>
    <w:rsid w:val="05F53C35"/>
    <w:rsid w:val="06014433"/>
    <w:rsid w:val="06017EE6"/>
    <w:rsid w:val="0608218B"/>
    <w:rsid w:val="06096038"/>
    <w:rsid w:val="061F1453"/>
    <w:rsid w:val="06294D4F"/>
    <w:rsid w:val="064B28C9"/>
    <w:rsid w:val="066F26EE"/>
    <w:rsid w:val="06885B7B"/>
    <w:rsid w:val="068B5469"/>
    <w:rsid w:val="06916841"/>
    <w:rsid w:val="06CB07C9"/>
    <w:rsid w:val="06E660D7"/>
    <w:rsid w:val="071D25F6"/>
    <w:rsid w:val="0739746C"/>
    <w:rsid w:val="074566D5"/>
    <w:rsid w:val="074F0531"/>
    <w:rsid w:val="076E6A6C"/>
    <w:rsid w:val="077E5758"/>
    <w:rsid w:val="07835DE1"/>
    <w:rsid w:val="07A10AE3"/>
    <w:rsid w:val="081D21E9"/>
    <w:rsid w:val="081F16A3"/>
    <w:rsid w:val="083E3076"/>
    <w:rsid w:val="08414EC6"/>
    <w:rsid w:val="08AA2216"/>
    <w:rsid w:val="08C46317"/>
    <w:rsid w:val="08C603A5"/>
    <w:rsid w:val="08DC6AB2"/>
    <w:rsid w:val="08DF4068"/>
    <w:rsid w:val="08E037A8"/>
    <w:rsid w:val="08E325AD"/>
    <w:rsid w:val="090F7BB0"/>
    <w:rsid w:val="092948EA"/>
    <w:rsid w:val="092E50C5"/>
    <w:rsid w:val="09313EB0"/>
    <w:rsid w:val="097315AA"/>
    <w:rsid w:val="0997348A"/>
    <w:rsid w:val="09D26822"/>
    <w:rsid w:val="09FA34EB"/>
    <w:rsid w:val="0A191E44"/>
    <w:rsid w:val="0A261D19"/>
    <w:rsid w:val="0A2B6C96"/>
    <w:rsid w:val="0A3F1365"/>
    <w:rsid w:val="0A42773B"/>
    <w:rsid w:val="0A544AAC"/>
    <w:rsid w:val="0A6B0BBC"/>
    <w:rsid w:val="0AAF446A"/>
    <w:rsid w:val="0AD070A2"/>
    <w:rsid w:val="0B2013C1"/>
    <w:rsid w:val="0B202814"/>
    <w:rsid w:val="0B255009"/>
    <w:rsid w:val="0B2D08C4"/>
    <w:rsid w:val="0B7676CB"/>
    <w:rsid w:val="0B930E7C"/>
    <w:rsid w:val="0BDF78E7"/>
    <w:rsid w:val="0BE77C94"/>
    <w:rsid w:val="0BEE28CB"/>
    <w:rsid w:val="0C294732"/>
    <w:rsid w:val="0C2A22E4"/>
    <w:rsid w:val="0C9A2105"/>
    <w:rsid w:val="0CB4749A"/>
    <w:rsid w:val="0D074BCE"/>
    <w:rsid w:val="0D232D79"/>
    <w:rsid w:val="0D7E77A2"/>
    <w:rsid w:val="0D8A6AB3"/>
    <w:rsid w:val="0D9055C1"/>
    <w:rsid w:val="0DDB4033"/>
    <w:rsid w:val="0DE2095B"/>
    <w:rsid w:val="0DF37EAE"/>
    <w:rsid w:val="0E274849"/>
    <w:rsid w:val="0E3F1309"/>
    <w:rsid w:val="0E414F84"/>
    <w:rsid w:val="0E7A6730"/>
    <w:rsid w:val="0E9A09C3"/>
    <w:rsid w:val="0E9C13C6"/>
    <w:rsid w:val="0E9F7AAF"/>
    <w:rsid w:val="0F113628"/>
    <w:rsid w:val="0F74604D"/>
    <w:rsid w:val="0F8967CC"/>
    <w:rsid w:val="0FAB6A3D"/>
    <w:rsid w:val="0FAE0C1B"/>
    <w:rsid w:val="10497453"/>
    <w:rsid w:val="107E4F25"/>
    <w:rsid w:val="10805DF5"/>
    <w:rsid w:val="109C1A7C"/>
    <w:rsid w:val="10A14398"/>
    <w:rsid w:val="10A67900"/>
    <w:rsid w:val="10F2271C"/>
    <w:rsid w:val="10F25566"/>
    <w:rsid w:val="11070D7D"/>
    <w:rsid w:val="110C61B8"/>
    <w:rsid w:val="11516A1E"/>
    <w:rsid w:val="11762AD5"/>
    <w:rsid w:val="117C0C28"/>
    <w:rsid w:val="117D3C2C"/>
    <w:rsid w:val="118B2BF4"/>
    <w:rsid w:val="11AA02A9"/>
    <w:rsid w:val="11CD5617"/>
    <w:rsid w:val="11CD66C1"/>
    <w:rsid w:val="11F31858"/>
    <w:rsid w:val="11F4153D"/>
    <w:rsid w:val="120656E1"/>
    <w:rsid w:val="125048B6"/>
    <w:rsid w:val="12584A52"/>
    <w:rsid w:val="128C4A10"/>
    <w:rsid w:val="12C444B8"/>
    <w:rsid w:val="12D5036A"/>
    <w:rsid w:val="1301270B"/>
    <w:rsid w:val="133C0252"/>
    <w:rsid w:val="13856988"/>
    <w:rsid w:val="138D408C"/>
    <w:rsid w:val="13A7632A"/>
    <w:rsid w:val="13CB1029"/>
    <w:rsid w:val="13D534F9"/>
    <w:rsid w:val="140C75CB"/>
    <w:rsid w:val="1414343F"/>
    <w:rsid w:val="14197FD6"/>
    <w:rsid w:val="142F5AD9"/>
    <w:rsid w:val="144A02F1"/>
    <w:rsid w:val="145450C2"/>
    <w:rsid w:val="147877B1"/>
    <w:rsid w:val="14AD7CDA"/>
    <w:rsid w:val="14F5179D"/>
    <w:rsid w:val="150D62EE"/>
    <w:rsid w:val="15130A0A"/>
    <w:rsid w:val="15222FB2"/>
    <w:rsid w:val="15753212"/>
    <w:rsid w:val="15CB4E7F"/>
    <w:rsid w:val="15DE1DF9"/>
    <w:rsid w:val="15E13EF0"/>
    <w:rsid w:val="15E769F0"/>
    <w:rsid w:val="15EA3D7D"/>
    <w:rsid w:val="160E65CF"/>
    <w:rsid w:val="163C5AE3"/>
    <w:rsid w:val="16790BA4"/>
    <w:rsid w:val="168408D1"/>
    <w:rsid w:val="16CA686A"/>
    <w:rsid w:val="16F07AE6"/>
    <w:rsid w:val="170F29BC"/>
    <w:rsid w:val="17570500"/>
    <w:rsid w:val="178033CD"/>
    <w:rsid w:val="17A4585E"/>
    <w:rsid w:val="17AC372C"/>
    <w:rsid w:val="17D4708E"/>
    <w:rsid w:val="17F22B81"/>
    <w:rsid w:val="17FE3D7E"/>
    <w:rsid w:val="18274C26"/>
    <w:rsid w:val="185552F1"/>
    <w:rsid w:val="189153B8"/>
    <w:rsid w:val="18E919C5"/>
    <w:rsid w:val="192B7E45"/>
    <w:rsid w:val="194C7B14"/>
    <w:rsid w:val="19504AA2"/>
    <w:rsid w:val="19751950"/>
    <w:rsid w:val="19AE4815"/>
    <w:rsid w:val="19B711E1"/>
    <w:rsid w:val="19B75834"/>
    <w:rsid w:val="19CD62A2"/>
    <w:rsid w:val="1A270841"/>
    <w:rsid w:val="1A2B0264"/>
    <w:rsid w:val="1A3C685E"/>
    <w:rsid w:val="1A420B3E"/>
    <w:rsid w:val="1A584947"/>
    <w:rsid w:val="1A6D0490"/>
    <w:rsid w:val="1A980C6F"/>
    <w:rsid w:val="1AA12B23"/>
    <w:rsid w:val="1AC51E5E"/>
    <w:rsid w:val="1AD40863"/>
    <w:rsid w:val="1AEE0C77"/>
    <w:rsid w:val="1B0C60FC"/>
    <w:rsid w:val="1B253699"/>
    <w:rsid w:val="1B3C3DDA"/>
    <w:rsid w:val="1B4510C3"/>
    <w:rsid w:val="1B51710E"/>
    <w:rsid w:val="1B56582D"/>
    <w:rsid w:val="1B5D52B6"/>
    <w:rsid w:val="1B7C621D"/>
    <w:rsid w:val="1C263D06"/>
    <w:rsid w:val="1C2A6493"/>
    <w:rsid w:val="1C7B47C6"/>
    <w:rsid w:val="1C8C02F2"/>
    <w:rsid w:val="1C96141B"/>
    <w:rsid w:val="1CA45C4A"/>
    <w:rsid w:val="1CAF7BC0"/>
    <w:rsid w:val="1CC215A8"/>
    <w:rsid w:val="1CD8735C"/>
    <w:rsid w:val="1D1D2071"/>
    <w:rsid w:val="1D1D2739"/>
    <w:rsid w:val="1D1F793E"/>
    <w:rsid w:val="1D2248BE"/>
    <w:rsid w:val="1D762000"/>
    <w:rsid w:val="1D971104"/>
    <w:rsid w:val="1E325443"/>
    <w:rsid w:val="1E412B77"/>
    <w:rsid w:val="1E4D0B80"/>
    <w:rsid w:val="1E503DF9"/>
    <w:rsid w:val="1E550484"/>
    <w:rsid w:val="1E6465F1"/>
    <w:rsid w:val="1E6E41DC"/>
    <w:rsid w:val="1E91399D"/>
    <w:rsid w:val="1EE26FE1"/>
    <w:rsid w:val="1EED0F94"/>
    <w:rsid w:val="1F555005"/>
    <w:rsid w:val="1F732DD8"/>
    <w:rsid w:val="1F8A7A8C"/>
    <w:rsid w:val="1FB247B8"/>
    <w:rsid w:val="1FDC75B6"/>
    <w:rsid w:val="1FEB5EDE"/>
    <w:rsid w:val="1FF12140"/>
    <w:rsid w:val="1FFC672B"/>
    <w:rsid w:val="202E4DF7"/>
    <w:rsid w:val="20653326"/>
    <w:rsid w:val="207309DC"/>
    <w:rsid w:val="20755B5E"/>
    <w:rsid w:val="2088496A"/>
    <w:rsid w:val="20A424B6"/>
    <w:rsid w:val="20B22DC4"/>
    <w:rsid w:val="20E2119E"/>
    <w:rsid w:val="21304037"/>
    <w:rsid w:val="214E4652"/>
    <w:rsid w:val="216F33EA"/>
    <w:rsid w:val="2173580A"/>
    <w:rsid w:val="217D23C6"/>
    <w:rsid w:val="218061AE"/>
    <w:rsid w:val="218477B2"/>
    <w:rsid w:val="21866203"/>
    <w:rsid w:val="218F497A"/>
    <w:rsid w:val="224A50E8"/>
    <w:rsid w:val="22850580"/>
    <w:rsid w:val="22AD79B7"/>
    <w:rsid w:val="22D6182B"/>
    <w:rsid w:val="22EB0C14"/>
    <w:rsid w:val="22F16D16"/>
    <w:rsid w:val="22F53974"/>
    <w:rsid w:val="231F06DC"/>
    <w:rsid w:val="23273154"/>
    <w:rsid w:val="23A90406"/>
    <w:rsid w:val="23D61272"/>
    <w:rsid w:val="23DD2ABB"/>
    <w:rsid w:val="23E87122"/>
    <w:rsid w:val="241915BC"/>
    <w:rsid w:val="24466BE3"/>
    <w:rsid w:val="245300A6"/>
    <w:rsid w:val="24833D88"/>
    <w:rsid w:val="249223ED"/>
    <w:rsid w:val="24D62091"/>
    <w:rsid w:val="252D525D"/>
    <w:rsid w:val="258B7558"/>
    <w:rsid w:val="25B317DC"/>
    <w:rsid w:val="2676194C"/>
    <w:rsid w:val="2694215A"/>
    <w:rsid w:val="26BA3D31"/>
    <w:rsid w:val="26E61785"/>
    <w:rsid w:val="26E63A7F"/>
    <w:rsid w:val="27102B34"/>
    <w:rsid w:val="271909D4"/>
    <w:rsid w:val="272C40F1"/>
    <w:rsid w:val="27370964"/>
    <w:rsid w:val="27635B82"/>
    <w:rsid w:val="277B1384"/>
    <w:rsid w:val="27D853A7"/>
    <w:rsid w:val="27DB1524"/>
    <w:rsid w:val="27FA22AB"/>
    <w:rsid w:val="280A7ACB"/>
    <w:rsid w:val="281C60EE"/>
    <w:rsid w:val="28323144"/>
    <w:rsid w:val="284222ED"/>
    <w:rsid w:val="284F3B6E"/>
    <w:rsid w:val="289B6E72"/>
    <w:rsid w:val="290723B2"/>
    <w:rsid w:val="290A0231"/>
    <w:rsid w:val="290C624C"/>
    <w:rsid w:val="29255EA1"/>
    <w:rsid w:val="2933221A"/>
    <w:rsid w:val="29375AC5"/>
    <w:rsid w:val="29522712"/>
    <w:rsid w:val="295858BA"/>
    <w:rsid w:val="296166BD"/>
    <w:rsid w:val="29667C37"/>
    <w:rsid w:val="29946F3E"/>
    <w:rsid w:val="29B91E53"/>
    <w:rsid w:val="29CF406A"/>
    <w:rsid w:val="29F242A0"/>
    <w:rsid w:val="2A2473E7"/>
    <w:rsid w:val="2A3C62B6"/>
    <w:rsid w:val="2A5026FE"/>
    <w:rsid w:val="2A875F93"/>
    <w:rsid w:val="2AAC4C7D"/>
    <w:rsid w:val="2AED1F22"/>
    <w:rsid w:val="2B383128"/>
    <w:rsid w:val="2B577548"/>
    <w:rsid w:val="2B750196"/>
    <w:rsid w:val="2B8B3EEB"/>
    <w:rsid w:val="2B9740D8"/>
    <w:rsid w:val="2BBD51BB"/>
    <w:rsid w:val="2BC32F5E"/>
    <w:rsid w:val="2BDC4B49"/>
    <w:rsid w:val="2BFF617C"/>
    <w:rsid w:val="2C0B720A"/>
    <w:rsid w:val="2C496276"/>
    <w:rsid w:val="2CEA1655"/>
    <w:rsid w:val="2D3F17FF"/>
    <w:rsid w:val="2D5D645B"/>
    <w:rsid w:val="2DB15E0A"/>
    <w:rsid w:val="2DC16E8F"/>
    <w:rsid w:val="2DC45B3D"/>
    <w:rsid w:val="2DE27339"/>
    <w:rsid w:val="2DEB587F"/>
    <w:rsid w:val="2E293AD3"/>
    <w:rsid w:val="2E523695"/>
    <w:rsid w:val="2ED6269C"/>
    <w:rsid w:val="2F660E22"/>
    <w:rsid w:val="2F9751C4"/>
    <w:rsid w:val="2FA54E49"/>
    <w:rsid w:val="2FA97380"/>
    <w:rsid w:val="2FD016EA"/>
    <w:rsid w:val="2FD477B6"/>
    <w:rsid w:val="2FD632A2"/>
    <w:rsid w:val="2FE96A98"/>
    <w:rsid w:val="304D207C"/>
    <w:rsid w:val="305E1C50"/>
    <w:rsid w:val="309036C7"/>
    <w:rsid w:val="309E7F8C"/>
    <w:rsid w:val="30A209BB"/>
    <w:rsid w:val="30DE6126"/>
    <w:rsid w:val="30F675F6"/>
    <w:rsid w:val="310259BC"/>
    <w:rsid w:val="3116311A"/>
    <w:rsid w:val="313F372D"/>
    <w:rsid w:val="31616568"/>
    <w:rsid w:val="31920EFC"/>
    <w:rsid w:val="31C527F2"/>
    <w:rsid w:val="31DA4799"/>
    <w:rsid w:val="31DF2419"/>
    <w:rsid w:val="31F20C13"/>
    <w:rsid w:val="32521B44"/>
    <w:rsid w:val="325F4298"/>
    <w:rsid w:val="329F4323"/>
    <w:rsid w:val="32CA0966"/>
    <w:rsid w:val="32D862B1"/>
    <w:rsid w:val="32DE56F0"/>
    <w:rsid w:val="32E85B28"/>
    <w:rsid w:val="3340031D"/>
    <w:rsid w:val="338374FF"/>
    <w:rsid w:val="338F0F49"/>
    <w:rsid w:val="339C240D"/>
    <w:rsid w:val="33BC7F5E"/>
    <w:rsid w:val="34346E06"/>
    <w:rsid w:val="346766BF"/>
    <w:rsid w:val="348669D4"/>
    <w:rsid w:val="349B511E"/>
    <w:rsid w:val="34DC7C2C"/>
    <w:rsid w:val="351E5DDC"/>
    <w:rsid w:val="357324B6"/>
    <w:rsid w:val="35A02B55"/>
    <w:rsid w:val="35C82DE7"/>
    <w:rsid w:val="35D830D6"/>
    <w:rsid w:val="35E45BD9"/>
    <w:rsid w:val="35F60B79"/>
    <w:rsid w:val="35FC6659"/>
    <w:rsid w:val="36032B41"/>
    <w:rsid w:val="36171143"/>
    <w:rsid w:val="364C7E5C"/>
    <w:rsid w:val="364D77F0"/>
    <w:rsid w:val="36B37DAC"/>
    <w:rsid w:val="36E06077"/>
    <w:rsid w:val="36EA6F12"/>
    <w:rsid w:val="36FF2BC7"/>
    <w:rsid w:val="372F571B"/>
    <w:rsid w:val="37335085"/>
    <w:rsid w:val="375A1C0D"/>
    <w:rsid w:val="37605364"/>
    <w:rsid w:val="37645038"/>
    <w:rsid w:val="37C2035E"/>
    <w:rsid w:val="37FC4126"/>
    <w:rsid w:val="380364A4"/>
    <w:rsid w:val="38251926"/>
    <w:rsid w:val="387770BF"/>
    <w:rsid w:val="38BB460C"/>
    <w:rsid w:val="39090805"/>
    <w:rsid w:val="39340636"/>
    <w:rsid w:val="39B72C5B"/>
    <w:rsid w:val="39C238AC"/>
    <w:rsid w:val="39E22C74"/>
    <w:rsid w:val="3A2D2A99"/>
    <w:rsid w:val="3A4E7624"/>
    <w:rsid w:val="3A547D72"/>
    <w:rsid w:val="3A6607FB"/>
    <w:rsid w:val="3B0F6334"/>
    <w:rsid w:val="3B147759"/>
    <w:rsid w:val="3B5122CA"/>
    <w:rsid w:val="3B5A2857"/>
    <w:rsid w:val="3B815AF6"/>
    <w:rsid w:val="3B9A3B2E"/>
    <w:rsid w:val="3BA02E15"/>
    <w:rsid w:val="3BAC0C70"/>
    <w:rsid w:val="3BBF52F1"/>
    <w:rsid w:val="3BC4015D"/>
    <w:rsid w:val="3BC5720F"/>
    <w:rsid w:val="3BC840A1"/>
    <w:rsid w:val="3BD23DF2"/>
    <w:rsid w:val="3BED3D3E"/>
    <w:rsid w:val="3C2377F5"/>
    <w:rsid w:val="3C260D2F"/>
    <w:rsid w:val="3C4600FB"/>
    <w:rsid w:val="3C8B7E67"/>
    <w:rsid w:val="3C8E0A1B"/>
    <w:rsid w:val="3CC05722"/>
    <w:rsid w:val="3CF76B1A"/>
    <w:rsid w:val="3D066F82"/>
    <w:rsid w:val="3D0F39CA"/>
    <w:rsid w:val="3D155DA1"/>
    <w:rsid w:val="3D165B71"/>
    <w:rsid w:val="3D522D0F"/>
    <w:rsid w:val="3D5D01B1"/>
    <w:rsid w:val="3D703698"/>
    <w:rsid w:val="3E0D28F9"/>
    <w:rsid w:val="3E1B25BC"/>
    <w:rsid w:val="3E1E7DDD"/>
    <w:rsid w:val="3E3237BF"/>
    <w:rsid w:val="3E5C5D09"/>
    <w:rsid w:val="3E735C85"/>
    <w:rsid w:val="3E940B72"/>
    <w:rsid w:val="3EB31164"/>
    <w:rsid w:val="3EBD12EF"/>
    <w:rsid w:val="3F142CC2"/>
    <w:rsid w:val="3F1508A0"/>
    <w:rsid w:val="3F211E56"/>
    <w:rsid w:val="3F261AEF"/>
    <w:rsid w:val="3F264E4C"/>
    <w:rsid w:val="3F3060F3"/>
    <w:rsid w:val="3F340E7B"/>
    <w:rsid w:val="3F3711C5"/>
    <w:rsid w:val="3F5B2410"/>
    <w:rsid w:val="3F886B35"/>
    <w:rsid w:val="3FDE27D9"/>
    <w:rsid w:val="3FEF739B"/>
    <w:rsid w:val="40070648"/>
    <w:rsid w:val="400D09F7"/>
    <w:rsid w:val="40462543"/>
    <w:rsid w:val="405C49C2"/>
    <w:rsid w:val="405D6EC0"/>
    <w:rsid w:val="4064778E"/>
    <w:rsid w:val="4068425F"/>
    <w:rsid w:val="406B2AC3"/>
    <w:rsid w:val="408825D8"/>
    <w:rsid w:val="408917C7"/>
    <w:rsid w:val="40A65439"/>
    <w:rsid w:val="41246B7F"/>
    <w:rsid w:val="41463206"/>
    <w:rsid w:val="415C2E48"/>
    <w:rsid w:val="415E2800"/>
    <w:rsid w:val="41A27AEC"/>
    <w:rsid w:val="41B16BB0"/>
    <w:rsid w:val="41C077EE"/>
    <w:rsid w:val="41DE622C"/>
    <w:rsid w:val="41F145CF"/>
    <w:rsid w:val="42172FE0"/>
    <w:rsid w:val="421C3D96"/>
    <w:rsid w:val="42242138"/>
    <w:rsid w:val="42351A7E"/>
    <w:rsid w:val="423D5A0C"/>
    <w:rsid w:val="42606B35"/>
    <w:rsid w:val="42731714"/>
    <w:rsid w:val="42D03A33"/>
    <w:rsid w:val="43155145"/>
    <w:rsid w:val="43382E6B"/>
    <w:rsid w:val="43647EF7"/>
    <w:rsid w:val="438E761A"/>
    <w:rsid w:val="43931D16"/>
    <w:rsid w:val="43A21701"/>
    <w:rsid w:val="43CF1311"/>
    <w:rsid w:val="43D870C2"/>
    <w:rsid w:val="43FC5885"/>
    <w:rsid w:val="43FE2FD4"/>
    <w:rsid w:val="44270969"/>
    <w:rsid w:val="44277B4B"/>
    <w:rsid w:val="445D7BBD"/>
    <w:rsid w:val="44667C41"/>
    <w:rsid w:val="44D75166"/>
    <w:rsid w:val="44DC186F"/>
    <w:rsid w:val="44E24538"/>
    <w:rsid w:val="45277035"/>
    <w:rsid w:val="455E1077"/>
    <w:rsid w:val="45671DD8"/>
    <w:rsid w:val="459D79C1"/>
    <w:rsid w:val="465760C2"/>
    <w:rsid w:val="466203B3"/>
    <w:rsid w:val="46737E1A"/>
    <w:rsid w:val="468C5919"/>
    <w:rsid w:val="46C6264F"/>
    <w:rsid w:val="46DC2655"/>
    <w:rsid w:val="46FC60FC"/>
    <w:rsid w:val="47134138"/>
    <w:rsid w:val="471348C3"/>
    <w:rsid w:val="472C2AAD"/>
    <w:rsid w:val="478E4B4A"/>
    <w:rsid w:val="47C55CC7"/>
    <w:rsid w:val="47D36958"/>
    <w:rsid w:val="47EF2FDF"/>
    <w:rsid w:val="47F17F8F"/>
    <w:rsid w:val="48016910"/>
    <w:rsid w:val="485135B2"/>
    <w:rsid w:val="485644C8"/>
    <w:rsid w:val="48CD2448"/>
    <w:rsid w:val="48D13D47"/>
    <w:rsid w:val="48E85E28"/>
    <w:rsid w:val="48F9382E"/>
    <w:rsid w:val="49142D27"/>
    <w:rsid w:val="49215537"/>
    <w:rsid w:val="4934266D"/>
    <w:rsid w:val="496867B1"/>
    <w:rsid w:val="499123D4"/>
    <w:rsid w:val="49AC1D1D"/>
    <w:rsid w:val="49B57172"/>
    <w:rsid w:val="49BC73CF"/>
    <w:rsid w:val="49D76B1B"/>
    <w:rsid w:val="49E241C9"/>
    <w:rsid w:val="49E8502C"/>
    <w:rsid w:val="49EC4286"/>
    <w:rsid w:val="4A3459A1"/>
    <w:rsid w:val="4AFD5E56"/>
    <w:rsid w:val="4B0D4644"/>
    <w:rsid w:val="4B1D27F1"/>
    <w:rsid w:val="4B6B72DB"/>
    <w:rsid w:val="4B995FBF"/>
    <w:rsid w:val="4BA86892"/>
    <w:rsid w:val="4C0B2731"/>
    <w:rsid w:val="4C2E31F8"/>
    <w:rsid w:val="4C7725DA"/>
    <w:rsid w:val="4C801578"/>
    <w:rsid w:val="4C8A6E37"/>
    <w:rsid w:val="4CBA4F88"/>
    <w:rsid w:val="4CD23725"/>
    <w:rsid w:val="4D0E049F"/>
    <w:rsid w:val="4D186EB4"/>
    <w:rsid w:val="4D1A3528"/>
    <w:rsid w:val="4D6078D3"/>
    <w:rsid w:val="4D62425A"/>
    <w:rsid w:val="4DBC1F35"/>
    <w:rsid w:val="4E062C10"/>
    <w:rsid w:val="4E522649"/>
    <w:rsid w:val="4E533806"/>
    <w:rsid w:val="4E575021"/>
    <w:rsid w:val="4E5A253A"/>
    <w:rsid w:val="4E71794A"/>
    <w:rsid w:val="4E7D1170"/>
    <w:rsid w:val="4E9173F1"/>
    <w:rsid w:val="4FFB4EC4"/>
    <w:rsid w:val="50050B1E"/>
    <w:rsid w:val="50162565"/>
    <w:rsid w:val="50273489"/>
    <w:rsid w:val="50653561"/>
    <w:rsid w:val="5089087F"/>
    <w:rsid w:val="50AE68B4"/>
    <w:rsid w:val="50CB2095"/>
    <w:rsid w:val="50CD10D2"/>
    <w:rsid w:val="50E548E3"/>
    <w:rsid w:val="50E95B26"/>
    <w:rsid w:val="50F40C26"/>
    <w:rsid w:val="50F7067B"/>
    <w:rsid w:val="50F93F68"/>
    <w:rsid w:val="515A3705"/>
    <w:rsid w:val="51624549"/>
    <w:rsid w:val="5185445B"/>
    <w:rsid w:val="518A6F9C"/>
    <w:rsid w:val="51FF706F"/>
    <w:rsid w:val="52712579"/>
    <w:rsid w:val="52826CB3"/>
    <w:rsid w:val="52A57AEB"/>
    <w:rsid w:val="52B9497D"/>
    <w:rsid w:val="52C25A76"/>
    <w:rsid w:val="52DD4EA9"/>
    <w:rsid w:val="530157AD"/>
    <w:rsid w:val="53314E3A"/>
    <w:rsid w:val="533952B2"/>
    <w:rsid w:val="535D6031"/>
    <w:rsid w:val="537A20E2"/>
    <w:rsid w:val="53B10E0E"/>
    <w:rsid w:val="53F161B6"/>
    <w:rsid w:val="54264B76"/>
    <w:rsid w:val="543162D6"/>
    <w:rsid w:val="5440376B"/>
    <w:rsid w:val="54466D99"/>
    <w:rsid w:val="548E1EB1"/>
    <w:rsid w:val="549A66E3"/>
    <w:rsid w:val="549E2463"/>
    <w:rsid w:val="54AF1A2A"/>
    <w:rsid w:val="54E416BB"/>
    <w:rsid w:val="550F0A41"/>
    <w:rsid w:val="5522684C"/>
    <w:rsid w:val="554C26D2"/>
    <w:rsid w:val="559677A2"/>
    <w:rsid w:val="55AC2A1D"/>
    <w:rsid w:val="55BF7D10"/>
    <w:rsid w:val="55CA6D0C"/>
    <w:rsid w:val="55CB6B21"/>
    <w:rsid w:val="564C152B"/>
    <w:rsid w:val="56621CC0"/>
    <w:rsid w:val="56804BA8"/>
    <w:rsid w:val="56956BD1"/>
    <w:rsid w:val="569972B8"/>
    <w:rsid w:val="569D2735"/>
    <w:rsid w:val="56CC4DA9"/>
    <w:rsid w:val="56F80F98"/>
    <w:rsid w:val="5701542A"/>
    <w:rsid w:val="572A3782"/>
    <w:rsid w:val="574C1A20"/>
    <w:rsid w:val="579B534E"/>
    <w:rsid w:val="582C7CDF"/>
    <w:rsid w:val="58482DC6"/>
    <w:rsid w:val="585E52A9"/>
    <w:rsid w:val="588561B5"/>
    <w:rsid w:val="588D20CB"/>
    <w:rsid w:val="58B57A0E"/>
    <w:rsid w:val="58DB7A0A"/>
    <w:rsid w:val="58F51FFA"/>
    <w:rsid w:val="591B4991"/>
    <w:rsid w:val="59570292"/>
    <w:rsid w:val="596000F2"/>
    <w:rsid w:val="59D61BA3"/>
    <w:rsid w:val="59FF4D38"/>
    <w:rsid w:val="5A0469F7"/>
    <w:rsid w:val="5A0C4B75"/>
    <w:rsid w:val="5A28064A"/>
    <w:rsid w:val="5A7923BF"/>
    <w:rsid w:val="5A9605BD"/>
    <w:rsid w:val="5AE10FFC"/>
    <w:rsid w:val="5AE47F70"/>
    <w:rsid w:val="5AE67E10"/>
    <w:rsid w:val="5AE911BF"/>
    <w:rsid w:val="5B4F1918"/>
    <w:rsid w:val="5BAC60D4"/>
    <w:rsid w:val="5BDA1DC4"/>
    <w:rsid w:val="5C1D46FC"/>
    <w:rsid w:val="5C3D5425"/>
    <w:rsid w:val="5C5A2DA2"/>
    <w:rsid w:val="5C741A7E"/>
    <w:rsid w:val="5C8C3CA8"/>
    <w:rsid w:val="5C916CCE"/>
    <w:rsid w:val="5C9824E3"/>
    <w:rsid w:val="5CAD7201"/>
    <w:rsid w:val="5CD42029"/>
    <w:rsid w:val="5CE864FF"/>
    <w:rsid w:val="5D117FDD"/>
    <w:rsid w:val="5D18719D"/>
    <w:rsid w:val="5D1C04EB"/>
    <w:rsid w:val="5D295DC9"/>
    <w:rsid w:val="5D2B53B9"/>
    <w:rsid w:val="5D335BD3"/>
    <w:rsid w:val="5D3436B2"/>
    <w:rsid w:val="5D4D7D2E"/>
    <w:rsid w:val="5D576C2F"/>
    <w:rsid w:val="5D674CB0"/>
    <w:rsid w:val="5D785662"/>
    <w:rsid w:val="5DB83B24"/>
    <w:rsid w:val="5DC63B4E"/>
    <w:rsid w:val="5DE1427A"/>
    <w:rsid w:val="5E0F1CC8"/>
    <w:rsid w:val="5E466E49"/>
    <w:rsid w:val="5E580E47"/>
    <w:rsid w:val="5E965310"/>
    <w:rsid w:val="5EAE695A"/>
    <w:rsid w:val="5ECF32B4"/>
    <w:rsid w:val="5F065231"/>
    <w:rsid w:val="5F1B632E"/>
    <w:rsid w:val="5F2D4540"/>
    <w:rsid w:val="5F3F68E4"/>
    <w:rsid w:val="5F496833"/>
    <w:rsid w:val="5F706BE5"/>
    <w:rsid w:val="5F8949F9"/>
    <w:rsid w:val="5FA4535D"/>
    <w:rsid w:val="5FA9592C"/>
    <w:rsid w:val="5FB24314"/>
    <w:rsid w:val="60175E9A"/>
    <w:rsid w:val="60206354"/>
    <w:rsid w:val="603871C4"/>
    <w:rsid w:val="60C71945"/>
    <w:rsid w:val="60D53728"/>
    <w:rsid w:val="60EA622B"/>
    <w:rsid w:val="6119082B"/>
    <w:rsid w:val="613106B6"/>
    <w:rsid w:val="6143275F"/>
    <w:rsid w:val="615014E4"/>
    <w:rsid w:val="61685A62"/>
    <w:rsid w:val="61816777"/>
    <w:rsid w:val="61927EBE"/>
    <w:rsid w:val="61BA3194"/>
    <w:rsid w:val="61D513C0"/>
    <w:rsid w:val="61D771BB"/>
    <w:rsid w:val="61E9479D"/>
    <w:rsid w:val="621B2390"/>
    <w:rsid w:val="627739F9"/>
    <w:rsid w:val="62D9704A"/>
    <w:rsid w:val="62F41621"/>
    <w:rsid w:val="631F5140"/>
    <w:rsid w:val="63206CA6"/>
    <w:rsid w:val="633B597B"/>
    <w:rsid w:val="636D4FE6"/>
    <w:rsid w:val="63825B96"/>
    <w:rsid w:val="63EB104E"/>
    <w:rsid w:val="63F0608C"/>
    <w:rsid w:val="63FE790F"/>
    <w:rsid w:val="64382189"/>
    <w:rsid w:val="64455F5E"/>
    <w:rsid w:val="64834A99"/>
    <w:rsid w:val="64845FD3"/>
    <w:rsid w:val="649A1366"/>
    <w:rsid w:val="64A4394A"/>
    <w:rsid w:val="64AA7739"/>
    <w:rsid w:val="64BB7417"/>
    <w:rsid w:val="64BC06ED"/>
    <w:rsid w:val="64E24D7D"/>
    <w:rsid w:val="64FD655F"/>
    <w:rsid w:val="652105C6"/>
    <w:rsid w:val="652D090B"/>
    <w:rsid w:val="654423FD"/>
    <w:rsid w:val="65580111"/>
    <w:rsid w:val="65620913"/>
    <w:rsid w:val="65847151"/>
    <w:rsid w:val="65F12EB4"/>
    <w:rsid w:val="65F34C4A"/>
    <w:rsid w:val="65F37DD4"/>
    <w:rsid w:val="66003E23"/>
    <w:rsid w:val="660663C1"/>
    <w:rsid w:val="663973F8"/>
    <w:rsid w:val="66413961"/>
    <w:rsid w:val="6641458A"/>
    <w:rsid w:val="667A5120"/>
    <w:rsid w:val="66835CCD"/>
    <w:rsid w:val="66C96879"/>
    <w:rsid w:val="66EB187F"/>
    <w:rsid w:val="67194A7C"/>
    <w:rsid w:val="67730275"/>
    <w:rsid w:val="67904BFA"/>
    <w:rsid w:val="67AE355A"/>
    <w:rsid w:val="67E06F23"/>
    <w:rsid w:val="6806596A"/>
    <w:rsid w:val="682231B1"/>
    <w:rsid w:val="683A1C46"/>
    <w:rsid w:val="684118F2"/>
    <w:rsid w:val="68487F40"/>
    <w:rsid w:val="684C3518"/>
    <w:rsid w:val="68A04921"/>
    <w:rsid w:val="68A066BA"/>
    <w:rsid w:val="68BB6A95"/>
    <w:rsid w:val="68C831C1"/>
    <w:rsid w:val="69526C2A"/>
    <w:rsid w:val="69535F9B"/>
    <w:rsid w:val="69654292"/>
    <w:rsid w:val="697D680D"/>
    <w:rsid w:val="697F44DA"/>
    <w:rsid w:val="69967E7F"/>
    <w:rsid w:val="69AD2905"/>
    <w:rsid w:val="69AE5167"/>
    <w:rsid w:val="69B47C6D"/>
    <w:rsid w:val="69D87D95"/>
    <w:rsid w:val="69DE276E"/>
    <w:rsid w:val="69FE60DF"/>
    <w:rsid w:val="6A093C19"/>
    <w:rsid w:val="6A8638CB"/>
    <w:rsid w:val="6A9341CF"/>
    <w:rsid w:val="6A9853D4"/>
    <w:rsid w:val="6A9B43AC"/>
    <w:rsid w:val="6AB06079"/>
    <w:rsid w:val="6AD064F1"/>
    <w:rsid w:val="6AE362F9"/>
    <w:rsid w:val="6B0C6921"/>
    <w:rsid w:val="6B3140F1"/>
    <w:rsid w:val="6B78270D"/>
    <w:rsid w:val="6B8D28F6"/>
    <w:rsid w:val="6B901BE4"/>
    <w:rsid w:val="6BCC6449"/>
    <w:rsid w:val="6BF8667B"/>
    <w:rsid w:val="6C3F2DEB"/>
    <w:rsid w:val="6C591948"/>
    <w:rsid w:val="6C5E2742"/>
    <w:rsid w:val="6C73669B"/>
    <w:rsid w:val="6CA90003"/>
    <w:rsid w:val="6CE56B7E"/>
    <w:rsid w:val="6CE6378C"/>
    <w:rsid w:val="6D0E1A49"/>
    <w:rsid w:val="6D472CF8"/>
    <w:rsid w:val="6D757D14"/>
    <w:rsid w:val="6DB53BB8"/>
    <w:rsid w:val="6DE10CD4"/>
    <w:rsid w:val="6DF112F5"/>
    <w:rsid w:val="6E0814C1"/>
    <w:rsid w:val="6E3D4A63"/>
    <w:rsid w:val="6E6161AC"/>
    <w:rsid w:val="6EA45BE3"/>
    <w:rsid w:val="6EEC7092"/>
    <w:rsid w:val="6F06407D"/>
    <w:rsid w:val="6F1917CD"/>
    <w:rsid w:val="6F1B3C75"/>
    <w:rsid w:val="6F357128"/>
    <w:rsid w:val="6F5E5ADE"/>
    <w:rsid w:val="6F6659E6"/>
    <w:rsid w:val="6F7E1EA5"/>
    <w:rsid w:val="6FB71CAB"/>
    <w:rsid w:val="70131B5D"/>
    <w:rsid w:val="701D11D5"/>
    <w:rsid w:val="702F0BE5"/>
    <w:rsid w:val="70495515"/>
    <w:rsid w:val="705E3864"/>
    <w:rsid w:val="70690763"/>
    <w:rsid w:val="70881BA0"/>
    <w:rsid w:val="708A29AB"/>
    <w:rsid w:val="70BC3F8A"/>
    <w:rsid w:val="71097DF4"/>
    <w:rsid w:val="71842F90"/>
    <w:rsid w:val="71D16FA9"/>
    <w:rsid w:val="728104F0"/>
    <w:rsid w:val="72A04B65"/>
    <w:rsid w:val="72C452D2"/>
    <w:rsid w:val="72CF2356"/>
    <w:rsid w:val="73334198"/>
    <w:rsid w:val="735E5E3A"/>
    <w:rsid w:val="73740681"/>
    <w:rsid w:val="73B26F97"/>
    <w:rsid w:val="73BF458F"/>
    <w:rsid w:val="740E1D05"/>
    <w:rsid w:val="7417588C"/>
    <w:rsid w:val="743B6B13"/>
    <w:rsid w:val="743E4BA3"/>
    <w:rsid w:val="747E117B"/>
    <w:rsid w:val="74AD588E"/>
    <w:rsid w:val="74B5509F"/>
    <w:rsid w:val="74D111AD"/>
    <w:rsid w:val="74DD7550"/>
    <w:rsid w:val="7513360B"/>
    <w:rsid w:val="751670D0"/>
    <w:rsid w:val="75414655"/>
    <w:rsid w:val="757522EF"/>
    <w:rsid w:val="757E794D"/>
    <w:rsid w:val="75EC6F1F"/>
    <w:rsid w:val="75FC1C6A"/>
    <w:rsid w:val="76010416"/>
    <w:rsid w:val="76183E28"/>
    <w:rsid w:val="7645269C"/>
    <w:rsid w:val="765A40C7"/>
    <w:rsid w:val="765F407E"/>
    <w:rsid w:val="767F56D5"/>
    <w:rsid w:val="769E1959"/>
    <w:rsid w:val="76DB126A"/>
    <w:rsid w:val="76DF1CA0"/>
    <w:rsid w:val="76E76878"/>
    <w:rsid w:val="76F43FBC"/>
    <w:rsid w:val="77182D1C"/>
    <w:rsid w:val="771953B8"/>
    <w:rsid w:val="771C0FD8"/>
    <w:rsid w:val="77515D33"/>
    <w:rsid w:val="77E2793C"/>
    <w:rsid w:val="77E44FDD"/>
    <w:rsid w:val="77EF3B6A"/>
    <w:rsid w:val="77FF49A6"/>
    <w:rsid w:val="7820218B"/>
    <w:rsid w:val="782852F1"/>
    <w:rsid w:val="782F21C2"/>
    <w:rsid w:val="78913D4D"/>
    <w:rsid w:val="78B33222"/>
    <w:rsid w:val="78C7535C"/>
    <w:rsid w:val="78DA7894"/>
    <w:rsid w:val="78FE020D"/>
    <w:rsid w:val="79011C0B"/>
    <w:rsid w:val="7902647C"/>
    <w:rsid w:val="790F539F"/>
    <w:rsid w:val="79516C6D"/>
    <w:rsid w:val="79753F7E"/>
    <w:rsid w:val="79776158"/>
    <w:rsid w:val="79B60BF0"/>
    <w:rsid w:val="79B641BD"/>
    <w:rsid w:val="79C3723C"/>
    <w:rsid w:val="79C579F9"/>
    <w:rsid w:val="7A0F6CE2"/>
    <w:rsid w:val="7A634F5D"/>
    <w:rsid w:val="7A841BA8"/>
    <w:rsid w:val="7AA12A52"/>
    <w:rsid w:val="7ABC54E6"/>
    <w:rsid w:val="7ABF3BA7"/>
    <w:rsid w:val="7ADA1D69"/>
    <w:rsid w:val="7AF2025B"/>
    <w:rsid w:val="7B76228F"/>
    <w:rsid w:val="7B9100B6"/>
    <w:rsid w:val="7B9103EF"/>
    <w:rsid w:val="7B9649B6"/>
    <w:rsid w:val="7BA504EC"/>
    <w:rsid w:val="7BB04F0E"/>
    <w:rsid w:val="7BBC677E"/>
    <w:rsid w:val="7BC57FE0"/>
    <w:rsid w:val="7BD873E8"/>
    <w:rsid w:val="7BF135EE"/>
    <w:rsid w:val="7BFD37C8"/>
    <w:rsid w:val="7C0A237C"/>
    <w:rsid w:val="7C513B96"/>
    <w:rsid w:val="7C6C76BE"/>
    <w:rsid w:val="7C856238"/>
    <w:rsid w:val="7CC27F9D"/>
    <w:rsid w:val="7CCB768A"/>
    <w:rsid w:val="7CDE147C"/>
    <w:rsid w:val="7CFD7EB9"/>
    <w:rsid w:val="7D392EEF"/>
    <w:rsid w:val="7DC4191F"/>
    <w:rsid w:val="7E030DD8"/>
    <w:rsid w:val="7E09456B"/>
    <w:rsid w:val="7E1518FF"/>
    <w:rsid w:val="7E166EA7"/>
    <w:rsid w:val="7E1F5661"/>
    <w:rsid w:val="7E41445B"/>
    <w:rsid w:val="7E926046"/>
    <w:rsid w:val="7EAC3A17"/>
    <w:rsid w:val="7EBA751C"/>
    <w:rsid w:val="7EEE3FC4"/>
    <w:rsid w:val="7F3C4DB8"/>
    <w:rsid w:val="7F6050DE"/>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szCs w:val="24"/>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5"/>
    <w:qFormat/>
    <w:uiPriority w:val="0"/>
    <w:pPr>
      <w:ind w:left="100" w:leftChars="2500"/>
    </w:pPr>
  </w:style>
  <w:style w:type="paragraph" w:styleId="9">
    <w:name w:val="Balloon Text"/>
    <w:basedOn w:val="1"/>
    <w:qFormat/>
    <w:uiPriority w:val="0"/>
    <w:rPr>
      <w:sz w:val="18"/>
    </w:rPr>
  </w:style>
  <w:style w:type="paragraph" w:styleId="10">
    <w:name w:val="footer"/>
    <w:basedOn w:val="1"/>
    <w:link w:val="22"/>
    <w:qFormat/>
    <w:uiPriority w:val="99"/>
    <w:pPr>
      <w:tabs>
        <w:tab w:val="center" w:pos="4153"/>
        <w:tab w:val="right" w:pos="8306"/>
      </w:tabs>
      <w:snapToGrid w:val="0"/>
      <w:ind w:right="100" w:rightChars="100"/>
      <w:jc w:val="right"/>
    </w:pPr>
    <w:rPr>
      <w:sz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qFormat/>
    <w:uiPriority w:val="0"/>
    <w:rPr>
      <w:b/>
    </w:rPr>
  </w:style>
  <w:style w:type="paragraph" w:styleId="15">
    <w:name w:val="Body Text First Indent"/>
    <w:basedOn w:val="7"/>
    <w:qFormat/>
    <w:uiPriority w:val="0"/>
    <w:pPr>
      <w:adjustRightInd w:val="0"/>
      <w:spacing w:after="0"/>
      <w:jc w:val="left"/>
      <w:textAlignment w:val="baseline"/>
    </w:pPr>
    <w:rPr>
      <w:rFonts w:ascii="宋体" w:hAnsi="宋体"/>
      <w:kern w:val="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sz w:val="18"/>
    </w:rPr>
  </w:style>
  <w:style w:type="character" w:styleId="20">
    <w:name w:val="annotation reference"/>
    <w:qFormat/>
    <w:uiPriority w:val="0"/>
    <w:rPr>
      <w:sz w:val="21"/>
    </w:rPr>
  </w:style>
  <w:style w:type="character" w:styleId="21">
    <w:name w:val="footnote reference"/>
    <w:qFormat/>
    <w:uiPriority w:val="0"/>
    <w:rPr>
      <w:vertAlign w:val="superscript"/>
    </w:rPr>
  </w:style>
  <w:style w:type="character" w:customStyle="1" w:styleId="22">
    <w:name w:val="页脚 字符"/>
    <w:link w:val="10"/>
    <w:qFormat/>
    <w:uiPriority w:val="99"/>
    <w:rPr>
      <w:kern w:val="2"/>
      <w:sz w:val="18"/>
    </w:rPr>
  </w:style>
  <w:style w:type="character" w:customStyle="1" w:styleId="23">
    <w:name w:val="页眉 字符"/>
    <w:link w:val="11"/>
    <w:qFormat/>
    <w:uiPriority w:val="99"/>
    <w:rPr>
      <w:kern w:val="2"/>
      <w:sz w:val="18"/>
    </w:rPr>
  </w:style>
  <w:style w:type="character" w:customStyle="1" w:styleId="24">
    <w:name w:val="发布"/>
    <w:qFormat/>
    <w:uiPriority w:val="0"/>
    <w:rPr>
      <w:rFonts w:ascii="黑体" w:eastAsia="黑体"/>
      <w:spacing w:val="22"/>
      <w:w w:val="100"/>
      <w:position w:val="3"/>
      <w:sz w:val="28"/>
    </w:rPr>
  </w:style>
  <w:style w:type="character" w:customStyle="1" w:styleId="25">
    <w:name w:val="日期 字符"/>
    <w:link w:val="8"/>
    <w:qFormat/>
    <w:uiPriority w:val="0"/>
    <w:rPr>
      <w:kern w:val="2"/>
      <w:sz w:val="21"/>
    </w:rPr>
  </w:style>
  <w:style w:type="character" w:customStyle="1" w:styleId="26">
    <w:name w:val="标题 3 字符"/>
    <w:link w:val="4"/>
    <w:semiHidden/>
    <w:qFormat/>
    <w:uiPriority w:val="0"/>
    <w:rPr>
      <w:b/>
      <w:bCs/>
      <w:kern w:val="2"/>
      <w:sz w:val="32"/>
      <w:szCs w:val="32"/>
    </w:rPr>
  </w:style>
  <w:style w:type="paragraph" w:customStyle="1" w:styleId="27">
    <w:name w:val="实施日期"/>
    <w:basedOn w:val="28"/>
    <w:qFormat/>
    <w:uiPriority w:val="0"/>
    <w:pPr>
      <w:jc w:val="right"/>
    </w:pPr>
  </w:style>
  <w:style w:type="paragraph" w:customStyle="1" w:styleId="28">
    <w:name w:val="发布日期"/>
    <w:qFormat/>
    <w:uiPriority w:val="0"/>
    <w:rPr>
      <w:rFonts w:ascii="Times New Roman" w:hAnsi="Times New Roman" w:eastAsia="黑体" w:cs="Times New Roman"/>
      <w:sz w:val="28"/>
      <w:lang w:val="en-US" w:eastAsia="zh-CN" w:bidi="ar-SA"/>
    </w:rPr>
  </w:style>
  <w:style w:type="paragraph" w:customStyle="1" w:styleId="29">
    <w:name w:val="_Style 37"/>
    <w:basedOn w:val="1"/>
    <w:next w:val="7"/>
    <w:qFormat/>
    <w:uiPriority w:val="0"/>
    <w:pPr>
      <w:spacing w:after="120"/>
    </w:pPr>
  </w:style>
  <w:style w:type="paragraph" w:customStyle="1" w:styleId="30">
    <w:name w:val="正文表标题"/>
    <w:next w:val="31"/>
    <w:qFormat/>
    <w:uiPriority w:val="0"/>
    <w:pPr>
      <w:ind w:left="4680"/>
      <w:jc w:val="center"/>
    </w:pPr>
    <w:rPr>
      <w:rFonts w:ascii="黑体" w:hAnsi="Times New Roman" w:eastAsia="黑体" w:cs="Times New Roman"/>
      <w:sz w:val="21"/>
      <w:lang w:val="en-US" w:eastAsia="zh-CN" w:bidi="ar-SA"/>
    </w:rPr>
  </w:style>
  <w:style w:type="paragraph" w:customStyle="1" w:styleId="31">
    <w:name w:val="段"/>
    <w:link w:val="6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附录五级条标题"/>
    <w:basedOn w:val="34"/>
    <w:next w:val="31"/>
    <w:qFormat/>
    <w:uiPriority w:val="0"/>
    <w:pPr>
      <w:outlineLvl w:val="6"/>
    </w:pPr>
  </w:style>
  <w:style w:type="paragraph" w:customStyle="1" w:styleId="34">
    <w:name w:val="附录四级条标题"/>
    <w:basedOn w:val="35"/>
    <w:next w:val="31"/>
    <w:qFormat/>
    <w:uiPriority w:val="0"/>
    <w:pPr>
      <w:outlineLvl w:val="5"/>
    </w:pPr>
  </w:style>
  <w:style w:type="paragraph" w:customStyle="1" w:styleId="35">
    <w:name w:val="附录三级条标题"/>
    <w:basedOn w:val="36"/>
    <w:next w:val="31"/>
    <w:qFormat/>
    <w:uiPriority w:val="0"/>
    <w:pPr>
      <w:outlineLvl w:val="4"/>
    </w:pPr>
  </w:style>
  <w:style w:type="paragraph" w:customStyle="1" w:styleId="36">
    <w:name w:val="附录二级条标题"/>
    <w:basedOn w:val="37"/>
    <w:next w:val="31"/>
    <w:qFormat/>
    <w:uiPriority w:val="0"/>
    <w:pPr>
      <w:outlineLvl w:val="3"/>
    </w:pPr>
  </w:style>
  <w:style w:type="paragraph" w:customStyle="1" w:styleId="37">
    <w:name w:val="附录一级条标题"/>
    <w:basedOn w:val="38"/>
    <w:next w:val="31"/>
    <w:qFormat/>
    <w:uiPriority w:val="0"/>
    <w:pPr>
      <w:autoSpaceDN w:val="0"/>
      <w:spacing w:beforeLines="0" w:afterLines="0"/>
      <w:outlineLvl w:val="2"/>
    </w:pPr>
  </w:style>
  <w:style w:type="paragraph" w:customStyle="1" w:styleId="38">
    <w:name w:val="附录章标题"/>
    <w:next w:val="3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9">
    <w:name w:val="二级条标题"/>
    <w:basedOn w:val="40"/>
    <w:next w:val="31"/>
    <w:qFormat/>
    <w:uiPriority w:val="0"/>
    <w:pPr>
      <w:outlineLvl w:val="3"/>
    </w:pPr>
  </w:style>
  <w:style w:type="paragraph" w:customStyle="1" w:styleId="40">
    <w:name w:val="一级条标题"/>
    <w:basedOn w:val="41"/>
    <w:next w:val="31"/>
    <w:qFormat/>
    <w:uiPriority w:val="0"/>
    <w:pPr>
      <w:spacing w:beforeLines="0" w:afterLines="0"/>
      <w:outlineLvl w:val="2"/>
    </w:pPr>
  </w:style>
  <w:style w:type="paragraph" w:customStyle="1" w:styleId="41">
    <w:name w:val="章标题"/>
    <w:next w:val="3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目次、标准名称标题"/>
    <w:basedOn w:val="45"/>
    <w:next w:val="31"/>
    <w:qFormat/>
    <w:uiPriority w:val="99"/>
    <w:pPr>
      <w:spacing w:line="460" w:lineRule="exact"/>
    </w:pPr>
  </w:style>
  <w:style w:type="paragraph" w:customStyle="1" w:styleId="4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三级条标题"/>
    <w:basedOn w:val="39"/>
    <w:next w:val="31"/>
    <w:qFormat/>
    <w:uiPriority w:val="0"/>
    <w:pPr>
      <w:outlineLvl w:val="4"/>
    </w:pPr>
  </w:style>
  <w:style w:type="paragraph" w:customStyle="1" w:styleId="47">
    <w:name w:val="四级条标题"/>
    <w:basedOn w:val="46"/>
    <w:next w:val="31"/>
    <w:qFormat/>
    <w:uiPriority w:val="0"/>
    <w:pPr>
      <w:outlineLvl w:val="5"/>
    </w:pPr>
  </w:style>
  <w:style w:type="paragraph" w:customStyle="1" w:styleId="4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9">
    <w:name w:val="五级条标题"/>
    <w:basedOn w:val="47"/>
    <w:next w:val="31"/>
    <w:qFormat/>
    <w:uiPriority w:val="0"/>
    <w:pPr>
      <w:outlineLvl w:val="6"/>
    </w:pPr>
  </w:style>
  <w:style w:type="paragraph" w:customStyle="1" w:styleId="5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1">
    <w:name w:val="标准书眉_偶数页"/>
    <w:basedOn w:val="52"/>
    <w:next w:val="1"/>
    <w:qFormat/>
    <w:uiPriority w:val="0"/>
    <w:pPr>
      <w:tabs>
        <w:tab w:val="center" w:pos="4154"/>
        <w:tab w:val="right" w:pos="8306"/>
      </w:tabs>
      <w:jc w:val="left"/>
    </w:p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5">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附录标识"/>
    <w:basedOn w:val="45"/>
    <w:qFormat/>
    <w:uiPriority w:val="0"/>
    <w:pPr>
      <w:tabs>
        <w:tab w:val="left" w:pos="6405"/>
      </w:tabs>
      <w:spacing w:after="200"/>
    </w:pPr>
    <w:rPr>
      <w:sz w:val="21"/>
    </w:rPr>
  </w:style>
  <w:style w:type="paragraph" w:customStyle="1" w:styleId="60">
    <w:name w:val="发布部门"/>
    <w:next w:val="3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character" w:styleId="64">
    <w:name w:val="Placeholder Text"/>
    <w:basedOn w:val="18"/>
    <w:unhideWhenUsed/>
    <w:qFormat/>
    <w:uiPriority w:val="99"/>
    <w:rPr>
      <w:color w:val="808080"/>
    </w:rPr>
  </w:style>
  <w:style w:type="character" w:customStyle="1" w:styleId="65">
    <w:name w:val="apple-converted-space"/>
    <w:basedOn w:val="18"/>
    <w:qFormat/>
    <w:uiPriority w:val="0"/>
  </w:style>
  <w:style w:type="character" w:customStyle="1" w:styleId="66">
    <w:name w:val="段 Char"/>
    <w:link w:val="31"/>
    <w:qFormat/>
    <w:uiPriority w:val="0"/>
    <w:rPr>
      <w:rFonts w:ascii="宋体"/>
      <w:sz w:val="21"/>
    </w:rPr>
  </w:style>
  <w:style w:type="paragraph" w:customStyle="1" w:styleId="67">
    <w:name w:val="Body text|2"/>
    <w:basedOn w:val="1"/>
    <w:link w:val="69"/>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8">
    <w:name w:val="Body text|2 + Times New Roman"/>
    <w:basedOn w:val="69"/>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69">
    <w:name w:val="Body text|2_"/>
    <w:basedOn w:val="18"/>
    <w:link w:val="67"/>
    <w:qFormat/>
    <w:uiPriority w:val="0"/>
    <w:rPr>
      <w:rFonts w:ascii="PMingLiU" w:hAnsi="PMingLiU" w:eastAsia="PMingLiU" w:cs="PMingLiU"/>
      <w:spacing w:val="2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53AAC-BC06-466F-AEEF-40942F7E4DCA}">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6</Pages>
  <Words>2452</Words>
  <Characters>2856</Characters>
  <Lines>21</Lines>
  <Paragraphs>6</Paragraphs>
  <TotalTime>47</TotalTime>
  <ScaleCrop>false</ScaleCrop>
  <LinksUpToDate>false</LinksUpToDate>
  <CharactersWithSpaces>3032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技术中心标准管理公用账号</cp:lastModifiedBy>
  <cp:lastPrinted>2020-08-24T02:31:00Z</cp:lastPrinted>
  <dcterms:modified xsi:type="dcterms:W3CDTF">2023-08-27T06:25:33Z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2C132CE3AD2A4D9AA34194024C056831</vt:lpwstr>
  </property>
</Properties>
</file>