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240" w:lineRule="atLeast"/>
        <w:ind w:firstLine="2610" w:firstLineChars="500"/>
        <w:rPr>
          <w:rFonts w:hint="eastAsia"/>
          <w:b/>
          <w:sz w:val="52"/>
          <w:szCs w:val="52"/>
        </w:rPr>
      </w:pPr>
      <w:bookmarkStart w:id="0" w:name="_GoBack"/>
      <w:bookmarkEnd w:id="0"/>
      <w:r>
        <w:rPr>
          <w:rFonts w:hint="eastAsia"/>
          <w:b/>
          <w:sz w:val="52"/>
          <w:szCs w:val="52"/>
        </w:rPr>
        <w:t>行业标准《镍饼》</w:t>
      </w:r>
    </w:p>
    <w:p>
      <w:pPr>
        <w:spacing w:after="156" w:afterLines="50" w:line="240" w:lineRule="atLeast"/>
        <w:ind w:firstLine="4176" w:firstLineChars="800"/>
        <w:rPr>
          <w:rFonts w:hint="eastAsia"/>
          <w:b/>
          <w:sz w:val="52"/>
          <w:szCs w:val="52"/>
        </w:rPr>
      </w:pPr>
      <w:r>
        <w:rPr>
          <w:rFonts w:hint="eastAsia"/>
          <w:b/>
          <w:sz w:val="52"/>
          <w:szCs w:val="52"/>
        </w:rPr>
        <w:t xml:space="preserve">编 </w:t>
      </w:r>
    </w:p>
    <w:p>
      <w:pPr>
        <w:spacing w:after="156" w:afterLines="50" w:line="240" w:lineRule="atLeast"/>
        <w:ind w:firstLine="4176" w:firstLineChars="800"/>
        <w:rPr>
          <w:rFonts w:hint="eastAsia"/>
          <w:b/>
          <w:sz w:val="52"/>
          <w:szCs w:val="52"/>
        </w:rPr>
      </w:pPr>
      <w:r>
        <w:rPr>
          <w:rFonts w:hint="eastAsia"/>
          <w:b/>
          <w:sz w:val="52"/>
          <w:szCs w:val="52"/>
        </w:rPr>
        <w:t>制</w:t>
      </w:r>
    </w:p>
    <w:p>
      <w:pPr>
        <w:spacing w:after="156" w:afterLines="50" w:line="240" w:lineRule="atLeast"/>
        <w:ind w:firstLine="4176" w:firstLineChars="800"/>
        <w:rPr>
          <w:rFonts w:hint="eastAsia"/>
          <w:b/>
          <w:sz w:val="52"/>
          <w:szCs w:val="52"/>
        </w:rPr>
      </w:pPr>
      <w:r>
        <w:rPr>
          <w:rFonts w:hint="eastAsia"/>
          <w:b/>
          <w:sz w:val="52"/>
          <w:szCs w:val="52"/>
        </w:rPr>
        <w:t>说</w:t>
      </w:r>
    </w:p>
    <w:p>
      <w:pPr>
        <w:spacing w:after="156" w:afterLines="50" w:line="240" w:lineRule="atLeast"/>
        <w:ind w:firstLine="4176" w:firstLineChars="800"/>
        <w:rPr>
          <w:rFonts w:hint="eastAsia"/>
          <w:b/>
          <w:sz w:val="28"/>
          <w:szCs w:val="28"/>
        </w:rPr>
      </w:pPr>
      <w:r>
        <w:rPr>
          <w:rFonts w:hint="eastAsia"/>
          <w:b/>
          <w:sz w:val="52"/>
          <w:szCs w:val="52"/>
        </w:rPr>
        <w:t>明</w:t>
      </w:r>
    </w:p>
    <w:p>
      <w:pPr>
        <w:spacing w:after="156" w:afterLines="50" w:line="240" w:lineRule="atLeast"/>
        <w:ind w:firstLine="3092" w:firstLineChars="700"/>
        <w:rPr>
          <w:rFonts w:hint="eastAsia"/>
          <w:b/>
          <w:sz w:val="28"/>
          <w:szCs w:val="28"/>
        </w:rPr>
      </w:pPr>
      <w:r>
        <w:rPr>
          <w:rFonts w:hint="eastAsia"/>
          <w:b/>
          <w:sz w:val="44"/>
          <w:szCs w:val="44"/>
        </w:rPr>
        <w:t>（讨 论 稿）</w:t>
      </w:r>
    </w:p>
    <w:p>
      <w:pPr>
        <w:spacing w:after="156" w:afterLines="50" w:line="240" w:lineRule="atLeast"/>
        <w:jc w:val="center"/>
        <w:rPr>
          <w:rFonts w:hint="eastAsia"/>
          <w:b/>
          <w:sz w:val="28"/>
          <w:szCs w:val="28"/>
        </w:rPr>
      </w:pPr>
    </w:p>
    <w:p>
      <w:pPr>
        <w:spacing w:after="156" w:afterLines="50" w:line="240" w:lineRule="atLeast"/>
        <w:jc w:val="center"/>
        <w:rPr>
          <w:rFonts w:hint="eastAsia"/>
          <w:b/>
          <w:sz w:val="28"/>
          <w:szCs w:val="28"/>
        </w:rPr>
      </w:pPr>
    </w:p>
    <w:p>
      <w:pPr>
        <w:spacing w:after="156" w:afterLines="50" w:line="240" w:lineRule="atLeast"/>
        <w:jc w:val="center"/>
        <w:rPr>
          <w:rFonts w:hint="eastAsia"/>
          <w:b/>
          <w:sz w:val="28"/>
          <w:szCs w:val="28"/>
        </w:rPr>
      </w:pPr>
    </w:p>
    <w:p>
      <w:pPr>
        <w:spacing w:after="156" w:afterLines="50" w:line="240" w:lineRule="atLeast"/>
        <w:jc w:val="center"/>
        <w:rPr>
          <w:rFonts w:hint="eastAsia"/>
          <w:b/>
          <w:sz w:val="28"/>
          <w:szCs w:val="28"/>
        </w:rPr>
      </w:pPr>
    </w:p>
    <w:p>
      <w:pPr>
        <w:spacing w:after="156" w:afterLines="50" w:line="240" w:lineRule="atLeast"/>
        <w:ind w:firstLine="2209" w:firstLineChars="500"/>
        <w:rPr>
          <w:rFonts w:hint="eastAsia"/>
          <w:b/>
          <w:sz w:val="44"/>
          <w:szCs w:val="44"/>
        </w:rPr>
      </w:pPr>
      <w:r>
        <w:rPr>
          <w:rFonts w:hint="eastAsia"/>
          <w:b/>
          <w:sz w:val="44"/>
          <w:szCs w:val="44"/>
        </w:rPr>
        <w:t>《镍饼》标准起草小组</w:t>
      </w:r>
    </w:p>
    <w:p>
      <w:pPr>
        <w:spacing w:after="156" w:afterLines="50" w:line="240" w:lineRule="atLeast"/>
        <w:ind w:firstLine="3092" w:firstLineChars="700"/>
        <w:rPr>
          <w:b/>
          <w:sz w:val="44"/>
          <w:szCs w:val="44"/>
        </w:rPr>
      </w:pPr>
      <w:r>
        <w:rPr>
          <w:rFonts w:hint="eastAsia"/>
          <w:b/>
          <w:sz w:val="44"/>
          <w:szCs w:val="44"/>
        </w:rPr>
        <w:t>二零二叁年二月</w:t>
      </w:r>
    </w:p>
    <w:p>
      <w:pPr>
        <w:spacing w:after="156" w:afterLines="50" w:line="240" w:lineRule="atLeast"/>
        <w:rPr>
          <w:rFonts w:hint="eastAsia"/>
          <w:b/>
          <w:sz w:val="28"/>
          <w:szCs w:val="28"/>
        </w:rPr>
        <w:sectPr>
          <w:footerReference r:id="rId3" w:type="default"/>
          <w:footerReference r:id="rId4" w:type="even"/>
          <w:pgSz w:w="11906" w:h="16838"/>
          <w:pgMar w:top="1361" w:right="1247" w:bottom="1247" w:left="1418" w:header="851" w:footer="851" w:gutter="0"/>
          <w:cols w:space="720" w:num="1"/>
          <w:docGrid w:type="lines" w:linePitch="312" w:charSpace="0"/>
        </w:sectPr>
      </w:pPr>
    </w:p>
    <w:p>
      <w:pPr>
        <w:spacing w:after="156" w:afterLines="50" w:line="240" w:lineRule="atLeast"/>
        <w:ind w:firstLine="2811" w:firstLineChars="1000"/>
        <w:rPr>
          <w:rFonts w:hint="eastAsia" w:ascii="宋体" w:hAnsi="宋体"/>
          <w:b/>
          <w:kern w:val="0"/>
          <w:sz w:val="28"/>
          <w:szCs w:val="28"/>
        </w:rPr>
      </w:pPr>
      <w:r>
        <w:rPr>
          <w:rFonts w:hint="eastAsia"/>
          <w:b/>
          <w:sz w:val="28"/>
          <w:szCs w:val="28"/>
        </w:rPr>
        <w:t>《镍饼》行业标准（</w:t>
      </w:r>
      <w:r>
        <w:rPr>
          <w:rFonts w:hint="eastAsia" w:ascii="宋体" w:hAnsi="宋体"/>
          <w:b/>
          <w:kern w:val="0"/>
          <w:sz w:val="28"/>
          <w:szCs w:val="28"/>
        </w:rPr>
        <w:t>讨论稿）</w:t>
      </w:r>
    </w:p>
    <w:p>
      <w:pPr>
        <w:spacing w:after="156" w:afterLines="50" w:line="240" w:lineRule="atLeast"/>
        <w:ind w:firstLine="4216" w:firstLineChars="1500"/>
        <w:rPr>
          <w:rFonts w:hint="eastAsia" w:ascii="宋体" w:hAnsi="宋体"/>
          <w:b/>
          <w:sz w:val="28"/>
          <w:szCs w:val="28"/>
        </w:rPr>
      </w:pPr>
      <w:r>
        <w:rPr>
          <w:rFonts w:hint="eastAsia" w:ascii="宋体" w:hAnsi="宋体"/>
          <w:b/>
          <w:sz w:val="28"/>
          <w:szCs w:val="28"/>
        </w:rPr>
        <w:t>编制说明</w:t>
      </w:r>
    </w:p>
    <w:p>
      <w:pPr>
        <w:spacing w:after="156" w:afterLines="50" w:line="240" w:lineRule="atLeast"/>
        <w:rPr>
          <w:rFonts w:hint="eastAsia" w:ascii="宋体" w:hAnsi="宋体" w:eastAsia="宋体"/>
          <w:b/>
          <w:sz w:val="28"/>
          <w:szCs w:val="28"/>
          <w:lang w:eastAsia="zh-CN"/>
        </w:rPr>
      </w:pPr>
      <w:r>
        <w:rPr>
          <w:rFonts w:hint="eastAsia" w:ascii="宋体" w:hAnsi="宋体"/>
          <w:b/>
          <w:sz w:val="28"/>
          <w:szCs w:val="28"/>
          <w:lang w:eastAsia="zh-CN"/>
        </w:rPr>
        <w:t>一、工作简况</w:t>
      </w:r>
    </w:p>
    <w:p>
      <w:pPr>
        <w:spacing w:before="156" w:beforeLines="50" w:after="156" w:afterLines="50" w:line="400" w:lineRule="exact"/>
        <w:rPr>
          <w:rFonts w:hint="eastAsia" w:ascii="黑体" w:hAnsi="黑体" w:eastAsia="黑体"/>
          <w:b/>
          <w:bCs/>
          <w:sz w:val="28"/>
          <w:szCs w:val="28"/>
        </w:rPr>
      </w:pPr>
      <w:r>
        <w:rPr>
          <w:rFonts w:hint="eastAsia" w:ascii="黑体" w:hAnsi="黑体" w:eastAsia="黑体"/>
          <w:b/>
          <w:bCs/>
          <w:sz w:val="28"/>
          <w:szCs w:val="28"/>
          <w:lang w:val="en-US" w:eastAsia="zh-CN"/>
        </w:rPr>
        <w:t>1</w:t>
      </w:r>
      <w:r>
        <w:rPr>
          <w:rFonts w:hint="eastAsia" w:ascii="黑体" w:hAnsi="黑体" w:eastAsia="黑体"/>
          <w:b/>
          <w:bCs/>
          <w:sz w:val="28"/>
          <w:szCs w:val="28"/>
        </w:rPr>
        <w:t xml:space="preserve"> 任务来源</w:t>
      </w:r>
    </w:p>
    <w:p>
      <w:pPr>
        <w:spacing w:before="157" w:beforeLines="50" w:after="157" w:afterLines="50" w:line="400" w:lineRule="exact"/>
        <w:ind w:firstLine="440" w:firstLineChars="200"/>
        <w:rPr>
          <w:rFonts w:hint="eastAsia" w:hAnsi="黑体"/>
          <w:sz w:val="22"/>
          <w:szCs w:val="28"/>
        </w:rPr>
      </w:pPr>
      <w:r>
        <w:rPr>
          <w:rFonts w:hint="eastAsia" w:hAnsi="黑体"/>
          <w:sz w:val="22"/>
          <w:szCs w:val="28"/>
        </w:rPr>
        <w:t>根据全国有色金属标准化技术委员会有色标委[2022] 17号文件《关于转发2022年第一批行业标准制（修）定项目计划的通知》，工信厅科函（工信厅科函[2022] 94号）其中附件2《2022年第一批有色金属行业标准修订和外文版项目计划表》序号第214项（项目计划为2022-0214T-YS）</w:t>
      </w:r>
      <w:r>
        <w:rPr>
          <w:rFonts w:hint="eastAsia" w:hAnsi="黑体"/>
          <w:color w:val="auto"/>
          <w:sz w:val="22"/>
          <w:szCs w:val="28"/>
        </w:rPr>
        <w:t>《</w:t>
      </w:r>
      <w:r>
        <w:rPr>
          <w:rFonts w:hint="eastAsia" w:hAnsi="黑体"/>
          <w:b w:val="0"/>
          <w:bCs w:val="0"/>
          <w:color w:val="auto"/>
          <w:sz w:val="22"/>
          <w:szCs w:val="28"/>
        </w:rPr>
        <w:t>镍饼</w:t>
      </w:r>
      <w:r>
        <w:rPr>
          <w:rFonts w:hint="eastAsia" w:hAnsi="黑体"/>
          <w:color w:val="auto"/>
          <w:sz w:val="22"/>
          <w:szCs w:val="28"/>
        </w:rPr>
        <w:t>》</w:t>
      </w:r>
      <w:r>
        <w:rPr>
          <w:rFonts w:hint="eastAsia" w:hAnsi="黑体"/>
          <w:sz w:val="22"/>
          <w:szCs w:val="28"/>
        </w:rPr>
        <w:t>行业标准由襄阳化通化工有限责任公司、金川集团股份有限公司、湖北文理学院负责起草制定，完成年限2023年。</w:t>
      </w:r>
    </w:p>
    <w:p>
      <w:pPr>
        <w:spacing w:before="156" w:beforeLines="50" w:after="156" w:afterLines="50" w:line="400" w:lineRule="exact"/>
        <w:rPr>
          <w:rFonts w:ascii="黑体" w:hAnsi="黑体" w:eastAsia="黑体"/>
          <w:b/>
          <w:bCs/>
          <w:sz w:val="28"/>
          <w:szCs w:val="28"/>
        </w:rPr>
      </w:pPr>
      <w:r>
        <w:rPr>
          <w:rFonts w:hint="eastAsia" w:ascii="黑体" w:hAnsi="黑体" w:eastAsia="黑体"/>
          <w:b/>
          <w:bCs/>
          <w:sz w:val="28"/>
          <w:szCs w:val="28"/>
          <w:lang w:val="en-US" w:eastAsia="zh-CN"/>
        </w:rPr>
        <w:t>2</w:t>
      </w:r>
      <w:r>
        <w:rPr>
          <w:rFonts w:hint="eastAsia" w:ascii="黑体" w:hAnsi="黑体" w:eastAsia="黑体"/>
          <w:b/>
          <w:bCs/>
          <w:sz w:val="28"/>
          <w:szCs w:val="28"/>
        </w:rPr>
        <w:t xml:space="preserve">  立项目的和意义</w:t>
      </w:r>
    </w:p>
    <w:p>
      <w:pPr>
        <w:spacing w:before="156" w:beforeLines="50" w:after="156" w:afterLines="50" w:line="400" w:lineRule="exact"/>
        <w:ind w:firstLine="440" w:firstLineChars="200"/>
        <w:rPr>
          <w:rFonts w:hint="eastAsia" w:hAnsi="黑体"/>
          <w:sz w:val="22"/>
          <w:szCs w:val="28"/>
        </w:rPr>
      </w:pPr>
      <w:r>
        <w:rPr>
          <w:rFonts w:hint="eastAsia" w:hAnsi="黑体"/>
          <w:sz w:val="22"/>
          <w:szCs w:val="28"/>
        </w:rPr>
        <w:t>镍具有良好的力学、物理和化学性能。在电镀过程中对各种金属和非金属具有较好的附着力。镀层具有较高的强度、延展性、成形性。近年来随着国家各产业快速发展，镍阳极材料的第一代产品：镍板、镍块等传统资源型材料，已不能适应市场需求。镍饼是镍阳极材料的高端产品。其特点是形状呈圆饼状，直径为25mm。相对于其他电解镍产品，它具有更优良的电化学性能、装载填充度高、抗阳极钝化性能大幅提高、流动性好、在钛篮中填充密度高、有效阳极面积大、外观清洁、光滑、无气孔、无夹杂等优点。镍饼是应用于精密电子、军工、钢铁、工业机器人、航空和航天行业中高技术领域的一种基础材料，其消耗量逐年增加，应用前景广阔。镍饼在高强度、高负载、高速和高腐蚀环境下使用具有重要的作用，如用于钢铁行业，核心设备结晶器的冷却铜板表面，使其具有卓越的耐热耐磨性能。</w:t>
      </w:r>
    </w:p>
    <w:p>
      <w:pPr>
        <w:spacing w:before="156" w:beforeLines="50" w:after="156" w:afterLines="50" w:line="400" w:lineRule="exact"/>
        <w:ind w:firstLine="420"/>
        <w:rPr>
          <w:rFonts w:hint="eastAsia" w:hAnsi="黑体"/>
          <w:sz w:val="22"/>
          <w:szCs w:val="28"/>
        </w:rPr>
      </w:pPr>
      <w:r>
        <w:rPr>
          <w:rFonts w:hint="eastAsia" w:hAnsi="黑体"/>
          <w:sz w:val="22"/>
          <w:szCs w:val="28"/>
        </w:rPr>
        <w:t>国家标准GB/T6516-2010《电解镍》中产品为传统资源型电解材料-镍板，其外观为板状，使用过程中要将其切割成更小的方形块，使用时需要清洗，切割过程中的金属残渣也会污染电解液，从而造成电镀层形成粗糙的表面。同时，块状的镍板相对于饼状的镍饼，流动性差，填充密度低，容易出现桥接造成钛篮在空隙处的“烧穿”，影响沉积层厚度的均一性。另外，溶解镍板时，由于镍的钝态，会使电镀溶液内产生大量海绵状残渣，进而导致镍的流失，经济效益差。通过科技创新，国内的襄阳化通化工有限责任公司等企业，能批量生产出国际先进水平的镍圆饼，打破进口垄断，解决了普通镍板存在的问题。</w:t>
      </w:r>
    </w:p>
    <w:p>
      <w:pPr>
        <w:spacing w:before="156" w:beforeLines="50" w:after="156" w:afterLines="50" w:line="400" w:lineRule="exact"/>
        <w:ind w:firstLine="420"/>
        <w:rPr>
          <w:rFonts w:hint="eastAsia" w:hAnsi="黑体"/>
          <w:color w:val="000000"/>
          <w:sz w:val="22"/>
          <w:szCs w:val="28"/>
        </w:rPr>
      </w:pPr>
      <w:r>
        <w:rPr>
          <w:rFonts w:hint="eastAsia" w:hAnsi="黑体"/>
          <w:color w:val="000000"/>
          <w:sz w:val="22"/>
          <w:szCs w:val="28"/>
        </w:rPr>
        <w:t>根据有色金属行业在2016年国务院《十三五国家战略新新产业发展规划》《中国制造2025》等的指导下，出台《有色金属工业发展规划（2016-2020）》，其中要求，有色产品需向高端化转变，坚持质量为先，加强标准、检验检测质量基础体系建设，建立和完善国家标准体系。</w:t>
      </w:r>
    </w:p>
    <w:p>
      <w:pPr>
        <w:spacing w:before="156" w:beforeLines="50" w:after="156" w:afterLines="50" w:line="400" w:lineRule="exact"/>
        <w:ind w:firstLine="420"/>
        <w:rPr>
          <w:rFonts w:hint="eastAsia" w:hAnsi="黑体"/>
          <w:color w:val="000000"/>
          <w:sz w:val="22"/>
          <w:szCs w:val="28"/>
          <w:lang w:eastAsia="zh-CN"/>
        </w:rPr>
      </w:pPr>
      <w:r>
        <w:rPr>
          <w:rFonts w:hint="eastAsia" w:hAnsi="黑体"/>
          <w:color w:val="000000"/>
          <w:sz w:val="22"/>
          <w:szCs w:val="28"/>
        </w:rPr>
        <w:t>目前国内镍饼并没有制定出统一标准，市场上多个国家的产品质量不一，为了规范市场，确保产品生产、检验和验收的规范及统一，促进镍行业产业升级，引领相关行业的技术创新和技术进步。起草制定镍饼标准，显得尤为重要和必</w:t>
      </w:r>
      <w:r>
        <w:rPr>
          <w:rFonts w:hint="eastAsia" w:hAnsi="黑体"/>
          <w:color w:val="000000"/>
          <w:sz w:val="22"/>
          <w:szCs w:val="28"/>
          <w:lang w:eastAsia="zh-CN"/>
        </w:rPr>
        <w:t>要。</w:t>
      </w:r>
    </w:p>
    <w:p>
      <w:pPr>
        <w:tabs>
          <w:tab w:val="left" w:pos="7105"/>
        </w:tabs>
        <w:spacing w:before="156" w:beforeLines="50" w:after="156" w:afterLines="50" w:line="400" w:lineRule="exact"/>
        <w:rPr>
          <w:rFonts w:hint="eastAsia" w:ascii="黑体" w:hAnsi="黑体" w:eastAsia="黑体"/>
          <w:b/>
          <w:bCs/>
          <w:sz w:val="28"/>
          <w:szCs w:val="28"/>
          <w:lang w:eastAsia="zh-CN"/>
        </w:rPr>
      </w:pPr>
      <w:r>
        <w:rPr>
          <w:rFonts w:hint="eastAsia" w:ascii="黑体" w:hAnsi="黑体" w:eastAsia="黑体"/>
          <w:b/>
          <w:bCs/>
          <w:sz w:val="28"/>
          <w:szCs w:val="28"/>
          <w:lang w:val="en-US" w:eastAsia="zh-CN"/>
        </w:rPr>
        <w:t>3</w:t>
      </w:r>
      <w:r>
        <w:rPr>
          <w:rFonts w:hint="eastAsia" w:ascii="黑体" w:hAnsi="黑体" w:eastAsia="黑体"/>
          <w:b/>
          <w:bCs/>
          <w:sz w:val="28"/>
          <w:szCs w:val="28"/>
        </w:rPr>
        <w:t xml:space="preserve">  项目编制组单位简况</w:t>
      </w:r>
      <w:r>
        <w:rPr>
          <w:rFonts w:hint="eastAsia" w:ascii="黑体" w:hAnsi="黑体" w:eastAsia="黑体"/>
          <w:b/>
          <w:bCs/>
          <w:sz w:val="28"/>
          <w:szCs w:val="28"/>
          <w:lang w:eastAsia="zh-CN"/>
        </w:rPr>
        <w:tab/>
      </w:r>
    </w:p>
    <w:p>
      <w:pPr>
        <w:spacing w:before="156" w:beforeLines="50" w:after="156" w:afterLines="50" w:line="400" w:lineRule="exact"/>
        <w:rPr>
          <w:rFonts w:hint="eastAsia" w:ascii="黑体" w:hAnsi="黑体" w:eastAsia="黑体"/>
          <w:b/>
          <w:bCs/>
          <w:sz w:val="22"/>
          <w:szCs w:val="22"/>
        </w:rPr>
      </w:pPr>
      <w:r>
        <w:rPr>
          <w:rFonts w:hint="eastAsia" w:ascii="黑体" w:hAnsi="黑体" w:eastAsia="黑体"/>
          <w:b/>
          <w:bCs/>
          <w:sz w:val="22"/>
          <w:szCs w:val="22"/>
        </w:rPr>
        <w:t>3.1  编制组成员单位</w:t>
      </w:r>
    </w:p>
    <w:p>
      <w:pPr>
        <w:spacing w:before="156" w:beforeLines="50" w:after="156" w:afterLines="50" w:line="400" w:lineRule="exact"/>
        <w:ind w:firstLine="440" w:firstLineChars="200"/>
        <w:rPr>
          <w:rFonts w:hint="eastAsia" w:ascii="宋体"/>
          <w:kern w:val="0"/>
          <w:szCs w:val="20"/>
        </w:rPr>
      </w:pPr>
      <w:r>
        <w:rPr>
          <w:rFonts w:hint="eastAsia" w:hAnsi="黑体"/>
          <w:sz w:val="22"/>
          <w:szCs w:val="28"/>
        </w:rPr>
        <w:t>襄阳化通化工有限责任公司、金川集团股份有限公司、湖北文理学院。</w:t>
      </w:r>
    </w:p>
    <w:p>
      <w:pPr>
        <w:spacing w:before="156" w:beforeLines="50" w:after="156" w:afterLines="50" w:line="400" w:lineRule="exact"/>
        <w:rPr>
          <w:rFonts w:hint="eastAsia" w:ascii="黑体" w:hAnsi="黑体" w:eastAsia="黑体"/>
          <w:b/>
          <w:bCs/>
          <w:sz w:val="24"/>
          <w:szCs w:val="24"/>
        </w:rPr>
      </w:pPr>
      <w:r>
        <w:rPr>
          <w:rFonts w:hint="eastAsia" w:ascii="黑体" w:hAnsi="黑体" w:eastAsia="黑体"/>
          <w:b/>
          <w:bCs/>
          <w:sz w:val="24"/>
          <w:szCs w:val="24"/>
        </w:rPr>
        <w:t>3.2 主编单位简介</w:t>
      </w:r>
    </w:p>
    <w:p>
      <w:pPr>
        <w:widowControl/>
        <w:spacing w:before="157" w:beforeLines="50" w:after="157" w:afterLines="50" w:line="400" w:lineRule="exact"/>
        <w:ind w:firstLine="440" w:firstLineChars="200"/>
        <w:rPr>
          <w:rFonts w:hint="eastAsia" w:hAnsi="黑体"/>
          <w:sz w:val="22"/>
          <w:szCs w:val="28"/>
        </w:rPr>
      </w:pPr>
      <w:r>
        <w:rPr>
          <w:rFonts w:hint="eastAsia" w:hAnsi="黑体"/>
          <w:sz w:val="22"/>
          <w:szCs w:val="28"/>
        </w:rPr>
        <w:t>襄阳化通化工有限责任公司成立于1987年，前身是襄樊市电化学工业研究所。是一家专业生产高端镍阳极材料的科技型中小企业，主要产品有含硫镍饼、无硫镍饼。公司具有较强的金属生产、研发、制造能力，配备了完善的产品检测设备。承担了YS/T《镍饼》行业标准的起草任务，镍饼的国家火炬计划及创新基金任务。本公司是中国首家实现连续性生产高品质镍饼的公司，产品性能优异，填补国内空白，技术达到国际先进水平，</w:t>
      </w:r>
      <w:r>
        <w:rPr>
          <w:rFonts w:hint="eastAsia" w:hAnsi="黑体"/>
          <w:sz w:val="22"/>
          <w:szCs w:val="28"/>
          <w:lang w:eastAsia="zh-CN"/>
        </w:rPr>
        <w:t>产品</w:t>
      </w:r>
      <w:r>
        <w:rPr>
          <w:rFonts w:hint="eastAsia" w:hAnsi="黑体"/>
          <w:sz w:val="22"/>
          <w:szCs w:val="28"/>
        </w:rPr>
        <w:t>广泛应用于钢铁、电子、航空等领域，产品出口日本。2020年与湖北文理学院共建了“湖北省镍和镍基合金新材料生产技术企校联合创新中心”，拥有各类专利十余项，其中镍饼的制造技术发明专利三项，实用新型专利十余项，具有自主知识产权。</w:t>
      </w:r>
    </w:p>
    <w:p>
      <w:pPr>
        <w:widowControl/>
        <w:spacing w:before="157" w:beforeLines="50" w:after="157" w:afterLines="50" w:line="400" w:lineRule="exact"/>
        <w:ind w:firstLine="440" w:firstLineChars="200"/>
        <w:rPr>
          <w:rFonts w:hint="eastAsia" w:hAnsi="黑体"/>
          <w:sz w:val="22"/>
          <w:szCs w:val="28"/>
          <w:lang w:val="en-US" w:eastAsia="zh-CN"/>
        </w:rPr>
      </w:pPr>
      <w:r>
        <w:rPr>
          <w:rFonts w:hint="eastAsia" w:hAnsi="黑体"/>
          <w:sz w:val="22"/>
          <w:szCs w:val="28"/>
          <w:lang w:val="en-US" w:eastAsia="zh-CN"/>
        </w:rPr>
        <w:t>金川集团股份有限公司是甘肃省人民政府控股的特大型采、选、冶、化、深加工联合企业，主要生产镍、铜、钴、铂族贵金属及有色金属压延加工产品、化工产品、有色金属化学品、有色金属新材料等。拥有世界第三大硫化铜镍矿床，是中国最大、世界领先的镍钴生产基地和铂族金属提炼中心，在全球同行业中具有较强影响力。经过六十多年的建设与发展，公司在全球30多个国家和地区开展有色金属矿产资源开发合作，已具备镍20万吨、铜100万吨、钴1万吨、铂族金属6000公斤、金30吨、银600吨、硒200吨和化工产品560万吨的生产能力。镍产量居世界第四位，钴产量居世界第三位，铜产量居国内第四位，铂族金属产量居国内第一。拥有世界第五座、亚洲第一座镍闪速熔炼炉，世界首座铜合成溶炼炉，世界首座富氧顶吹镍熔炼炉，世界上连续回采面积最大的机械化下向充填采矿法等国际领先的装备和工艺技术。2021年公司位居“世界500强”榜单336位，“中国企业500强”第94位，“中国制造业500强”第35位，“中国跨国公司100大”第59位。</w:t>
      </w:r>
    </w:p>
    <w:p>
      <w:pPr>
        <w:widowControl/>
        <w:spacing w:before="157" w:beforeLines="50" w:after="157" w:afterLines="50" w:line="400" w:lineRule="exact"/>
        <w:ind w:firstLine="440" w:firstLineChars="200"/>
        <w:rPr>
          <w:rFonts w:hint="eastAsia"/>
          <w:sz w:val="22"/>
          <w:szCs w:val="22"/>
        </w:rPr>
      </w:pPr>
      <w:r>
        <w:rPr>
          <w:rFonts w:hint="eastAsia"/>
          <w:sz w:val="22"/>
          <w:szCs w:val="22"/>
        </w:rPr>
        <w:t>湖北文理学院是省属全日制普通本科高等院校，位于全国历史文化名城、湖北省域副中心城市—襄阳市，是中央和地方共建高校、教育部本科教学工作水平评估优秀学校、硕士学位授予单位、全国普通高等学校毕业生就业工作先进集体。</w:t>
      </w:r>
    </w:p>
    <w:p>
      <w:pPr>
        <w:spacing w:before="157" w:beforeLines="50" w:after="157" w:afterLines="50" w:line="400" w:lineRule="exact"/>
        <w:ind w:firstLine="420"/>
        <w:rPr>
          <w:rFonts w:cs="宋体"/>
          <w:sz w:val="22"/>
          <w:szCs w:val="22"/>
        </w:rPr>
      </w:pPr>
      <w:r>
        <w:rPr>
          <w:rFonts w:hint="eastAsia" w:cs="宋体"/>
          <w:sz w:val="22"/>
          <w:szCs w:val="22"/>
        </w:rPr>
        <w:t>襄阳化通化工有限责任公司与湖北文理学院有着长期的合作关系，组建</w:t>
      </w:r>
      <w:r>
        <w:rPr>
          <w:rFonts w:hint="eastAsia" w:hAnsi="黑体"/>
          <w:sz w:val="22"/>
          <w:szCs w:val="28"/>
        </w:rPr>
        <w:t>湖北省镍和镍基合金新材料生产技术企校联合创新中心</w:t>
      </w:r>
      <w:r>
        <w:rPr>
          <w:rFonts w:hint="eastAsia" w:cs="宋体"/>
          <w:sz w:val="22"/>
          <w:szCs w:val="22"/>
        </w:rPr>
        <w:t>后，达成了技术合作平台，为公司镍饼技术开发及试样检测验证提供平台。确保了镍圆饼试验检测数据的可靠性，为公司产品的研发、产品技术攻关和承担镍圆饼行业标准的起草任务提供技术支持。</w:t>
      </w:r>
    </w:p>
    <w:p>
      <w:pPr>
        <w:spacing w:line="560" w:lineRule="exact"/>
        <w:rPr>
          <w:rFonts w:hint="eastAsia" w:cs="宋体"/>
          <w:b/>
          <w:bCs/>
          <w:sz w:val="28"/>
          <w:szCs w:val="28"/>
          <w:lang w:val="en-US" w:eastAsia="zh-CN"/>
        </w:rPr>
      </w:pPr>
      <w:r>
        <w:rPr>
          <w:rFonts w:hint="eastAsia" w:cs="宋体"/>
          <w:b/>
          <w:bCs/>
          <w:sz w:val="28"/>
          <w:szCs w:val="28"/>
          <w:lang w:val="en-US" w:eastAsia="zh-CN"/>
        </w:rPr>
        <w:t>4 编制组工作过程</w:t>
      </w:r>
    </w:p>
    <w:p>
      <w:pPr>
        <w:spacing w:line="560" w:lineRule="exact"/>
        <w:rPr>
          <w:rFonts w:hint="eastAsia" w:cs="宋体"/>
          <w:b/>
          <w:bCs/>
          <w:sz w:val="24"/>
          <w:szCs w:val="24"/>
          <w:lang w:val="en-US" w:eastAsia="zh-CN"/>
        </w:rPr>
      </w:pPr>
      <w:r>
        <w:rPr>
          <w:rFonts w:hint="eastAsia" w:cs="宋体"/>
          <w:b/>
          <w:bCs/>
          <w:sz w:val="24"/>
          <w:szCs w:val="24"/>
          <w:lang w:val="en-US" w:eastAsia="zh-CN"/>
        </w:rPr>
        <w:t>4.1 起草阶段</w:t>
      </w:r>
    </w:p>
    <w:p>
      <w:pPr>
        <w:widowControl/>
        <w:spacing w:before="157" w:beforeLines="50" w:after="157" w:afterLines="50" w:line="400" w:lineRule="exact"/>
        <w:rPr>
          <w:rFonts w:hAnsi="黑体"/>
          <w:sz w:val="22"/>
          <w:szCs w:val="28"/>
        </w:rPr>
      </w:pPr>
      <w:r>
        <w:rPr>
          <w:rFonts w:hint="eastAsia" w:hAnsi="黑体"/>
          <w:sz w:val="22"/>
          <w:szCs w:val="28"/>
        </w:rPr>
        <w:t xml:space="preserve"> </w:t>
      </w:r>
      <w:r>
        <w:rPr>
          <w:rFonts w:hint="eastAsia" w:hAnsi="黑体"/>
          <w:sz w:val="22"/>
          <w:szCs w:val="28"/>
          <w:lang w:val="en-US" w:eastAsia="zh-CN"/>
        </w:rPr>
        <w:t xml:space="preserve">  2022年4月，襄阳化通化工有限责任有限公司接到镍饼行标编制任务后，组织成立了镍饼行标编制组，确认了组内各成员的工作任务和职责，制定了工作计划及进度安排，确保该行标及时进行。标准编制成员阅读了大量的资料，收集、整理、对比分析了国内外相关技术资料，</w:t>
      </w:r>
      <w:r>
        <w:rPr>
          <w:rFonts w:hint="eastAsia" w:hAnsi="黑体"/>
          <w:sz w:val="22"/>
          <w:szCs w:val="28"/>
        </w:rPr>
        <w:t>对国内外客户对产品的的质量要求及国内主要生产厂家的产品质量现状进行了深入分析，充分体现“市场引导，用户第一”的思想，遵照镍饼产品的性质、特点及用途，广泛吸收了工艺、生产、试验、检验等有关方面技术专家的意见，</w:t>
      </w:r>
      <w:r>
        <w:rPr>
          <w:rFonts w:hint="eastAsia" w:hAnsi="黑体"/>
          <w:sz w:val="22"/>
          <w:szCs w:val="28"/>
          <w:lang w:eastAsia="zh-CN"/>
        </w:rPr>
        <w:t>组织相关技术和管理人员进行多次讨论后，</w:t>
      </w:r>
      <w:r>
        <w:rPr>
          <w:rFonts w:hint="eastAsia" w:hAnsi="黑体"/>
          <w:sz w:val="22"/>
          <w:szCs w:val="28"/>
          <w:lang w:val="en-US" w:eastAsia="zh-CN"/>
        </w:rPr>
        <w:t>2023年2月初步确定了镍饼的主要指标，形成了该标准的讨论稿。</w:t>
      </w:r>
    </w:p>
    <w:p>
      <w:pPr>
        <w:widowControl/>
        <w:spacing w:line="300" w:lineRule="auto"/>
        <w:rPr>
          <w:rFonts w:hint="eastAsia" w:cs="宋体"/>
          <w:b/>
          <w:bCs/>
          <w:sz w:val="24"/>
          <w:szCs w:val="24"/>
          <w:lang w:val="en-US" w:eastAsia="zh-CN"/>
        </w:rPr>
      </w:pPr>
      <w:r>
        <w:rPr>
          <w:rFonts w:hint="eastAsia" w:cs="宋体"/>
          <w:b/>
          <w:bCs/>
          <w:sz w:val="24"/>
          <w:szCs w:val="24"/>
          <w:lang w:val="en-US" w:eastAsia="zh-CN"/>
        </w:rPr>
        <w:t>4.2 征求意见阶段</w:t>
      </w:r>
    </w:p>
    <w:p>
      <w:pPr>
        <w:widowControl/>
        <w:spacing w:line="300" w:lineRule="auto"/>
        <w:rPr>
          <w:rFonts w:hint="eastAsia" w:cs="宋体"/>
          <w:b/>
          <w:bCs/>
          <w:sz w:val="24"/>
          <w:szCs w:val="24"/>
          <w:lang w:val="en-US" w:eastAsia="zh-CN"/>
        </w:rPr>
      </w:pPr>
      <w:r>
        <w:rPr>
          <w:rFonts w:hint="eastAsia" w:cs="宋体"/>
          <w:b/>
          <w:bCs/>
          <w:sz w:val="24"/>
          <w:szCs w:val="24"/>
          <w:lang w:val="en-US" w:eastAsia="zh-CN"/>
        </w:rPr>
        <w:t>4.3 审查阶段</w:t>
      </w:r>
    </w:p>
    <w:p>
      <w:pPr>
        <w:widowControl/>
        <w:spacing w:line="300" w:lineRule="auto"/>
        <w:rPr>
          <w:rFonts w:hint="eastAsia" w:cs="宋体"/>
          <w:b/>
          <w:bCs/>
          <w:sz w:val="24"/>
          <w:szCs w:val="24"/>
          <w:lang w:val="en-US" w:eastAsia="zh-CN"/>
        </w:rPr>
      </w:pPr>
      <w:r>
        <w:rPr>
          <w:rFonts w:hint="eastAsia" w:cs="宋体"/>
          <w:b/>
          <w:bCs/>
          <w:sz w:val="24"/>
          <w:szCs w:val="24"/>
          <w:lang w:val="en-US" w:eastAsia="zh-CN"/>
        </w:rPr>
        <w:t>4.3.1 技术专家审查</w:t>
      </w:r>
    </w:p>
    <w:p>
      <w:pPr>
        <w:widowControl/>
        <w:spacing w:line="300" w:lineRule="auto"/>
        <w:rPr>
          <w:rFonts w:hint="eastAsia" w:cs="宋体"/>
          <w:b/>
          <w:bCs/>
          <w:sz w:val="24"/>
          <w:szCs w:val="24"/>
          <w:lang w:val="en-US" w:eastAsia="zh-CN"/>
        </w:rPr>
      </w:pPr>
      <w:r>
        <w:rPr>
          <w:rFonts w:hint="eastAsia" w:cs="宋体"/>
          <w:b/>
          <w:bCs/>
          <w:sz w:val="24"/>
          <w:szCs w:val="24"/>
          <w:lang w:val="en-US" w:eastAsia="zh-CN"/>
        </w:rPr>
        <w:t>4.3.2</w:t>
      </w:r>
      <w:r>
        <w:rPr>
          <w:rFonts w:hint="eastAsia" w:cs="宋体"/>
          <w:b/>
          <w:bCs/>
          <w:color w:val="auto"/>
          <w:sz w:val="24"/>
          <w:szCs w:val="24"/>
          <w:lang w:val="en-US" w:eastAsia="zh-CN"/>
        </w:rPr>
        <w:t xml:space="preserve"> 委员</w:t>
      </w:r>
      <w:r>
        <w:rPr>
          <w:rFonts w:hint="eastAsia" w:cs="宋体"/>
          <w:b/>
          <w:bCs/>
          <w:sz w:val="24"/>
          <w:szCs w:val="24"/>
          <w:lang w:val="en-US" w:eastAsia="zh-CN"/>
        </w:rPr>
        <w:t>审查</w:t>
      </w:r>
    </w:p>
    <w:p>
      <w:pPr>
        <w:widowControl/>
        <w:spacing w:line="300" w:lineRule="auto"/>
        <w:rPr>
          <w:rFonts w:hint="default" w:cs="宋体"/>
          <w:b/>
          <w:bCs/>
          <w:sz w:val="24"/>
          <w:szCs w:val="24"/>
          <w:lang w:val="en-US" w:eastAsia="zh-CN"/>
        </w:rPr>
      </w:pPr>
      <w:r>
        <w:rPr>
          <w:rFonts w:hint="eastAsia" w:cs="宋体"/>
          <w:b/>
          <w:bCs/>
          <w:sz w:val="24"/>
          <w:szCs w:val="24"/>
          <w:lang w:val="en-US" w:eastAsia="zh-CN"/>
        </w:rPr>
        <w:t>4.4  报批阶段</w:t>
      </w:r>
    </w:p>
    <w:p>
      <w:pPr>
        <w:widowControl/>
        <w:spacing w:line="300" w:lineRule="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二、 标准的编制原则和主要内容</w:t>
      </w:r>
    </w:p>
    <w:p>
      <w:pPr>
        <w:widowControl/>
        <w:spacing w:line="30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 编制原则</w:t>
      </w:r>
    </w:p>
    <w:p>
      <w:pPr>
        <w:widowControl/>
        <w:numPr>
          <w:ilvl w:val="1"/>
          <w:numId w:val="2"/>
        </w:numPr>
        <w:spacing w:before="157" w:beforeLines="50" w:after="157" w:afterLines="50" w:line="400" w:lineRule="exact"/>
        <w:rPr>
          <w:rFonts w:hint="eastAsia" w:hAnsi="黑体"/>
          <w:sz w:val="22"/>
          <w:szCs w:val="28"/>
        </w:rPr>
      </w:pPr>
      <w:r>
        <w:rPr>
          <w:rFonts w:hint="eastAsia" w:ascii="宋体" w:hAnsi="宋体" w:cs="宋体"/>
          <w:b w:val="0"/>
          <w:bCs w:val="0"/>
          <w:color w:val="auto"/>
          <w:sz w:val="22"/>
          <w:szCs w:val="22"/>
          <w:highlight w:val="none"/>
          <w:lang w:val="en-US" w:eastAsia="zh-CN"/>
        </w:rPr>
        <w:t>本文件的制定工作遵循“统一性、协调性、适用性、一致性、规范性”的原则，本着先进性、科学性、合理性和可操作性的原则，按照</w:t>
      </w:r>
      <w:r>
        <w:rPr>
          <w:rFonts w:hint="eastAsia" w:hAnsi="黑体"/>
          <w:sz w:val="22"/>
          <w:szCs w:val="28"/>
        </w:rPr>
        <w:t>GB/T1.1-2020《标准化工作导则 第1部分：标准的结构与编写》要求</w:t>
      </w:r>
      <w:r>
        <w:rPr>
          <w:rFonts w:hint="eastAsia" w:hAnsi="黑体"/>
          <w:sz w:val="22"/>
          <w:szCs w:val="28"/>
          <w:lang w:eastAsia="zh-CN"/>
        </w:rPr>
        <w:t>编写</w:t>
      </w:r>
      <w:r>
        <w:rPr>
          <w:rFonts w:hint="eastAsia" w:hAnsi="黑体"/>
          <w:sz w:val="22"/>
          <w:szCs w:val="28"/>
        </w:rPr>
        <w:t>，符合国家和相关行业的方针、政策；</w:t>
      </w:r>
    </w:p>
    <w:p>
      <w:pPr>
        <w:widowControl/>
        <w:numPr>
          <w:ilvl w:val="1"/>
          <w:numId w:val="2"/>
        </w:numPr>
        <w:spacing w:before="157" w:beforeLines="50" w:after="157" w:afterLines="50" w:line="400" w:lineRule="exact"/>
        <w:rPr>
          <w:rFonts w:hint="eastAsia" w:hAnsi="黑体"/>
          <w:sz w:val="22"/>
          <w:szCs w:val="28"/>
        </w:rPr>
      </w:pPr>
      <w:r>
        <w:rPr>
          <w:rFonts w:hint="eastAsia" w:hAnsi="黑体"/>
          <w:sz w:val="22"/>
          <w:szCs w:val="28"/>
          <w:lang w:eastAsia="zh-CN"/>
        </w:rPr>
        <w:t>编制</w:t>
      </w:r>
      <w:r>
        <w:rPr>
          <w:rFonts w:hint="eastAsia" w:hAnsi="黑体"/>
          <w:b w:val="0"/>
          <w:bCs w:val="0"/>
          <w:sz w:val="22"/>
          <w:szCs w:val="28"/>
        </w:rPr>
        <w:t>《</w:t>
      </w:r>
      <w:r>
        <w:rPr>
          <w:rFonts w:hint="eastAsia" w:hAnsi="黑体"/>
          <w:b w:val="0"/>
          <w:bCs w:val="0"/>
          <w:color w:val="auto"/>
          <w:sz w:val="22"/>
          <w:szCs w:val="28"/>
        </w:rPr>
        <w:t>镍饼</w:t>
      </w:r>
      <w:r>
        <w:rPr>
          <w:rFonts w:hint="eastAsia" w:hAnsi="黑体"/>
          <w:b w:val="0"/>
          <w:bCs w:val="0"/>
          <w:sz w:val="22"/>
          <w:szCs w:val="28"/>
        </w:rPr>
        <w:t>》</w:t>
      </w:r>
      <w:r>
        <w:rPr>
          <w:rFonts w:hint="eastAsia" w:hAnsi="黑体"/>
          <w:sz w:val="22"/>
          <w:szCs w:val="28"/>
          <w:lang w:eastAsia="zh-CN"/>
        </w:rPr>
        <w:t>行标要以满足市场需求为指导，应有利于</w:t>
      </w:r>
      <w:r>
        <w:rPr>
          <w:rFonts w:hint="eastAsia" w:hAnsi="黑体"/>
          <w:b w:val="0"/>
          <w:bCs w:val="0"/>
          <w:color w:val="auto"/>
          <w:sz w:val="22"/>
          <w:szCs w:val="28"/>
        </w:rPr>
        <w:t>镍饼</w:t>
      </w:r>
      <w:r>
        <w:rPr>
          <w:rFonts w:hint="eastAsia" w:hAnsi="黑体"/>
          <w:sz w:val="22"/>
          <w:szCs w:val="28"/>
          <w:lang w:eastAsia="zh-CN"/>
        </w:rPr>
        <w:t>的国际</w:t>
      </w:r>
      <w:r>
        <w:rPr>
          <w:rFonts w:hint="eastAsia" w:ascii="宋体" w:hAnsi="宋体" w:cs="宋体"/>
          <w:b/>
          <w:bCs/>
          <w:color w:val="auto"/>
          <w:sz w:val="28"/>
          <w:szCs w:val="28"/>
          <w:highlight w:val="none"/>
          <w:lang w:val="en-US" w:eastAsia="zh-CN"/>
        </w:rPr>
        <w:t>、</w:t>
      </w:r>
      <w:r>
        <w:rPr>
          <w:rFonts w:hint="eastAsia" w:hAnsi="黑体"/>
          <w:sz w:val="22"/>
          <w:szCs w:val="28"/>
          <w:lang w:eastAsia="zh-CN"/>
        </w:rPr>
        <w:t>国内贸易，同时也可以起到规范和引导镍饼的生产和消费，</w:t>
      </w:r>
      <w:r>
        <w:rPr>
          <w:rFonts w:hint="eastAsia" w:hAnsi="黑体"/>
          <w:sz w:val="22"/>
          <w:szCs w:val="28"/>
        </w:rPr>
        <w:t>保护消费者权益；</w:t>
      </w:r>
    </w:p>
    <w:p>
      <w:pPr>
        <w:widowControl/>
        <w:numPr>
          <w:ilvl w:val="1"/>
          <w:numId w:val="2"/>
        </w:numPr>
        <w:spacing w:before="157" w:beforeLines="50" w:after="157" w:afterLines="50" w:line="400" w:lineRule="exact"/>
        <w:ind w:left="0" w:leftChars="0" w:firstLine="0" w:firstLineChars="0"/>
        <w:rPr>
          <w:rFonts w:hint="eastAsia" w:hAnsi="黑体"/>
          <w:sz w:val="22"/>
          <w:szCs w:val="28"/>
          <w:lang w:eastAsia="zh-CN"/>
        </w:rPr>
      </w:pPr>
      <w:r>
        <w:rPr>
          <w:rFonts w:hint="eastAsia" w:hAnsi="黑体"/>
          <w:sz w:val="22"/>
          <w:szCs w:val="28"/>
          <w:lang w:eastAsia="zh-CN"/>
        </w:rPr>
        <w:t>文件编制应充分考虑生产企业的产品质量和相关单位的意见，同时要确保用户的需求，为镍饼使用企业提供满意原料。</w:t>
      </w:r>
      <w:r>
        <w:rPr>
          <w:rFonts w:hint="eastAsia" w:hAnsi="黑体"/>
          <w:sz w:val="22"/>
          <w:szCs w:val="28"/>
        </w:rPr>
        <w:t>有利于促进技术进步，提高产品质量，有利于实现高质量发展</w:t>
      </w:r>
      <w:r>
        <w:rPr>
          <w:rFonts w:hint="eastAsia" w:hAnsi="黑体"/>
          <w:sz w:val="22"/>
          <w:szCs w:val="28"/>
          <w:lang w:eastAsia="zh-CN"/>
        </w:rPr>
        <w:t>。</w:t>
      </w:r>
    </w:p>
    <w:p>
      <w:pPr>
        <w:widowControl/>
        <w:numPr>
          <w:ilvl w:val="0"/>
          <w:numId w:val="0"/>
        </w:numPr>
        <w:spacing w:before="157" w:beforeLines="50" w:after="157" w:afterLines="50" w:line="400" w:lineRule="exact"/>
        <w:rPr>
          <w:rFonts w:hAnsi="黑体"/>
          <w:sz w:val="22"/>
          <w:szCs w:val="28"/>
        </w:rPr>
      </w:pPr>
      <w:r>
        <w:rPr>
          <w:rFonts w:hint="eastAsia" w:hAnsi="黑体"/>
          <w:sz w:val="22"/>
          <w:szCs w:val="28"/>
          <w:lang w:val="en-US" w:eastAsia="zh-CN"/>
        </w:rPr>
        <w:t xml:space="preserve">1.4  </w:t>
      </w:r>
      <w:r>
        <w:rPr>
          <w:rFonts w:hint="eastAsia" w:hAnsi="黑体"/>
          <w:sz w:val="22"/>
          <w:szCs w:val="28"/>
        </w:rPr>
        <w:t>有利于环境保护，减少污染。</w:t>
      </w:r>
    </w:p>
    <w:p>
      <w:pPr>
        <w:widowControl/>
        <w:numPr>
          <w:ilvl w:val="0"/>
          <w:numId w:val="0"/>
        </w:numPr>
        <w:spacing w:line="300" w:lineRule="auto"/>
        <w:jc w:val="both"/>
        <w:rPr>
          <w:rFonts w:hint="eastAsia" w:hAnsi="黑体"/>
          <w:b/>
          <w:bCs/>
          <w:sz w:val="28"/>
          <w:szCs w:val="28"/>
          <w:lang w:val="en-US" w:eastAsia="zh-CN"/>
        </w:rPr>
      </w:pPr>
      <w:r>
        <w:rPr>
          <w:rFonts w:hint="eastAsia" w:hAnsi="黑体"/>
          <w:b/>
          <w:bCs/>
          <w:sz w:val="28"/>
          <w:szCs w:val="28"/>
          <w:lang w:val="en-US" w:eastAsia="zh-CN"/>
        </w:rPr>
        <w:t>三、标准主要内容</w:t>
      </w:r>
    </w:p>
    <w:p>
      <w:pPr>
        <w:widowControl/>
        <w:numPr>
          <w:ilvl w:val="0"/>
          <w:numId w:val="0"/>
        </w:numPr>
        <w:spacing w:line="300" w:lineRule="auto"/>
        <w:jc w:val="both"/>
        <w:rPr>
          <w:rFonts w:hint="eastAsia" w:hAnsi="黑体"/>
          <w:b/>
          <w:bCs/>
          <w:sz w:val="24"/>
          <w:szCs w:val="24"/>
          <w:lang w:val="en-US" w:eastAsia="zh-CN"/>
        </w:rPr>
      </w:pPr>
      <w:r>
        <w:rPr>
          <w:rFonts w:hint="eastAsia" w:hAnsi="黑体"/>
          <w:b/>
          <w:bCs/>
          <w:sz w:val="24"/>
          <w:szCs w:val="24"/>
          <w:lang w:val="en-US" w:eastAsia="zh-CN"/>
        </w:rPr>
        <w:t>1企业生产情况</w:t>
      </w:r>
    </w:p>
    <w:p>
      <w:pPr>
        <w:widowControl/>
        <w:numPr>
          <w:ilvl w:val="0"/>
          <w:numId w:val="0"/>
        </w:numPr>
        <w:spacing w:line="300" w:lineRule="auto"/>
        <w:jc w:val="both"/>
        <w:rPr>
          <w:rFonts w:hint="eastAsia" w:hAnsi="黑体"/>
          <w:b/>
          <w:bCs/>
          <w:sz w:val="28"/>
          <w:szCs w:val="28"/>
          <w:lang w:val="en-US" w:eastAsia="zh-CN"/>
        </w:rPr>
      </w:pPr>
    </w:p>
    <w:p>
      <w:pPr>
        <w:widowControl/>
        <w:numPr>
          <w:ilvl w:val="0"/>
          <w:numId w:val="0"/>
        </w:numPr>
        <w:spacing w:line="300" w:lineRule="auto"/>
        <w:jc w:val="both"/>
        <w:rPr>
          <w:rFonts w:hint="default" w:hAnsi="黑体"/>
          <w:b/>
          <w:bCs/>
          <w:sz w:val="28"/>
          <w:szCs w:val="28"/>
          <w:lang w:val="en-US" w:eastAsia="zh-CN"/>
        </w:rPr>
        <w:sectPr>
          <w:footerReference r:id="rId5" w:type="default"/>
          <w:pgSz w:w="11906" w:h="16838"/>
          <w:pgMar w:top="1361" w:right="1247" w:bottom="1247" w:left="1418" w:header="851" w:footer="851" w:gutter="0"/>
          <w:pgNumType w:start="1"/>
          <w:cols w:space="720" w:num="1"/>
          <w:docGrid w:type="lines" w:linePitch="312" w:charSpace="0"/>
        </w:sectPr>
      </w:pPr>
    </w:p>
    <w:p>
      <w:pPr>
        <w:widowControl/>
        <w:numPr>
          <w:ilvl w:val="0"/>
          <w:numId w:val="0"/>
        </w:numPr>
        <w:spacing w:line="300" w:lineRule="auto"/>
        <w:ind w:leftChars="0"/>
        <w:rPr>
          <w:rFonts w:hint="eastAsia" w:hAnsi="黑体"/>
          <w:sz w:val="22"/>
          <w:szCs w:val="28"/>
        </w:rPr>
      </w:pPr>
    </w:p>
    <w:p>
      <w:pPr>
        <w:widowControl/>
        <w:spacing w:before="157" w:beforeLines="50" w:after="157" w:afterLines="50" w:line="400" w:lineRule="exact"/>
        <w:ind w:firstLine="440" w:firstLineChars="200"/>
        <w:rPr>
          <w:rFonts w:hint="eastAsia" w:hAnsi="黑体"/>
          <w:sz w:val="22"/>
          <w:szCs w:val="28"/>
        </w:rPr>
      </w:pPr>
      <w:r>
        <w:rPr>
          <w:rFonts w:hint="eastAsia" w:hAnsi="黑体"/>
          <w:sz w:val="22"/>
          <w:szCs w:val="28"/>
        </w:rPr>
        <w:t>目前，我国每年消费镍阳极材料为7万吨/年。其中镍饼占到其中1.2万吨左右，随着国产化进程的推进，能达5万吨/年以上，甚至完全取代其他镍材料达到7万吨/年。</w:t>
      </w:r>
    </w:p>
    <w:p>
      <w:pPr>
        <w:widowControl/>
        <w:spacing w:before="157" w:beforeLines="50" w:after="157" w:afterLines="50" w:line="400" w:lineRule="exact"/>
        <w:ind w:firstLine="440" w:firstLineChars="200"/>
        <w:rPr>
          <w:rFonts w:hAnsi="黑体"/>
          <w:sz w:val="22"/>
          <w:szCs w:val="28"/>
        </w:rPr>
      </w:pPr>
      <w:r>
        <w:rPr>
          <w:rFonts w:hint="eastAsia" w:hAnsi="黑体"/>
          <w:sz w:val="22"/>
          <w:szCs w:val="28"/>
        </w:rPr>
        <w:t>镍饼作为高端镍阳极材料，在使用过程中有着普通镍不具备的优势，特别是含硫镍饼有很高的溶解活性，在生产过程中可以使用高电流密度，提高生产效率。普通镍在溶解时会形成麻点腐蚀，产生海绵状结构，久之生成金属残渣，滞留在阳极篮内，使导电不良，且增加生产成本。含硫镍饼溶解时不会产生上述情况。</w:t>
      </w:r>
    </w:p>
    <w:p>
      <w:pPr>
        <w:widowControl/>
        <w:spacing w:before="157" w:beforeLines="50" w:after="157" w:afterLines="50" w:line="400" w:lineRule="exact"/>
        <w:ind w:firstLine="440" w:firstLineChars="200"/>
        <w:rPr>
          <w:rFonts w:hint="eastAsia" w:hAnsi="黑体"/>
          <w:sz w:val="22"/>
          <w:szCs w:val="28"/>
        </w:rPr>
      </w:pPr>
      <w:r>
        <w:rPr>
          <w:rFonts w:hint="eastAsia" w:hAnsi="黑体"/>
          <w:sz w:val="22"/>
          <w:szCs w:val="28"/>
        </w:rPr>
        <w:t>国外，</w:t>
      </w:r>
      <w:r>
        <w:rPr>
          <w:rFonts w:hint="eastAsia" w:hAnsi="黑体"/>
          <w:color w:val="000000"/>
          <w:sz w:val="22"/>
          <w:szCs w:val="28"/>
        </w:rPr>
        <w:t>生产镍饼的企业有加拿大VALE公司、嘉能可挪威Nikkelverk工厂</w:t>
      </w:r>
      <w:r>
        <w:rPr>
          <w:rFonts w:hint="eastAsia" w:hAnsi="黑体"/>
          <w:sz w:val="22"/>
          <w:szCs w:val="28"/>
        </w:rPr>
        <w:t>。未见该产品的国际标准。</w:t>
      </w:r>
    </w:p>
    <w:p>
      <w:pPr>
        <w:widowControl/>
        <w:spacing w:before="157" w:beforeLines="50" w:after="157" w:afterLines="50" w:line="400" w:lineRule="exact"/>
        <w:ind w:firstLine="440" w:firstLineChars="200"/>
        <w:rPr>
          <w:rFonts w:hint="eastAsia" w:hAnsi="黑体"/>
          <w:color w:val="FF0000"/>
          <w:sz w:val="22"/>
          <w:szCs w:val="28"/>
        </w:rPr>
      </w:pPr>
      <w:r>
        <w:rPr>
          <w:rFonts w:hint="eastAsia" w:hAnsi="黑体"/>
          <w:sz w:val="22"/>
          <w:szCs w:val="28"/>
        </w:rPr>
        <w:t>我国从上世纪八十年代就开始研制镍饼，经过多年的科技创新，解决了技术难题。襄阳化通化工有限责任公司联合湖北文理学院，实现镍饼的产业化，打破了国外垄断，技术先进，生产稳定，产品质量优良。</w:t>
      </w:r>
    </w:p>
    <w:p>
      <w:pPr>
        <w:widowControl/>
        <w:spacing w:before="157" w:beforeLines="50" w:after="157" w:afterLines="50" w:line="400" w:lineRule="exact"/>
        <w:ind w:firstLine="440" w:firstLineChars="200"/>
        <w:rPr>
          <w:rFonts w:hint="eastAsia" w:hAnsi="黑体"/>
          <w:sz w:val="22"/>
          <w:szCs w:val="28"/>
        </w:rPr>
      </w:pPr>
      <w:r>
        <w:rPr>
          <w:rFonts w:hint="eastAsia" w:hAnsi="黑体"/>
          <w:sz w:val="22"/>
          <w:szCs w:val="28"/>
        </w:rPr>
        <w:t>产品在国内华东、华南、华北有广泛应用，并且出口日本。</w:t>
      </w:r>
    </w:p>
    <w:p>
      <w:pPr>
        <w:widowControl/>
        <w:spacing w:before="157" w:beforeLines="50" w:after="157" w:afterLines="50" w:line="400" w:lineRule="exact"/>
        <w:ind w:firstLine="440" w:firstLineChars="200"/>
        <w:rPr>
          <w:rFonts w:hint="eastAsia" w:hAnsi="黑体"/>
          <w:sz w:val="22"/>
          <w:szCs w:val="28"/>
          <w:lang w:val="en-US" w:eastAsia="zh-CN"/>
        </w:rPr>
      </w:pPr>
      <w:r>
        <w:rPr>
          <w:rFonts w:hint="eastAsia" w:hAnsi="黑体"/>
          <w:sz w:val="22"/>
          <w:szCs w:val="28"/>
          <w:lang w:eastAsia="zh-CN"/>
        </w:rPr>
        <w:t>襄阳化通化工有限责任公司</w:t>
      </w:r>
      <w:r>
        <w:rPr>
          <w:rFonts w:hint="eastAsia" w:hAnsi="黑体"/>
          <w:sz w:val="22"/>
          <w:szCs w:val="28"/>
          <w:lang w:val="en-US" w:eastAsia="zh-CN"/>
        </w:rPr>
        <w:t>是以镍板为原料，采用</w:t>
      </w:r>
      <w:r>
        <w:rPr>
          <w:rFonts w:hint="eastAsia" w:hAnsi="黑体"/>
          <w:color w:val="FF0000"/>
          <w:sz w:val="22"/>
          <w:szCs w:val="28"/>
          <w:lang w:val="en-US" w:eastAsia="zh-CN"/>
        </w:rPr>
        <w:t>CPC</w:t>
      </w:r>
      <w:r>
        <w:rPr>
          <w:rFonts w:hint="eastAsia" w:hAnsi="黑体"/>
          <w:sz w:val="22"/>
          <w:szCs w:val="28"/>
          <w:lang w:val="en-US" w:eastAsia="zh-CN"/>
        </w:rPr>
        <w:t>技术生产镍饼。目前产能1000吨。</w:t>
      </w:r>
    </w:p>
    <w:p>
      <w:pPr>
        <w:widowControl/>
        <w:spacing w:before="157" w:beforeLines="50" w:after="157" w:afterLines="50" w:line="400" w:lineRule="exact"/>
        <w:ind w:firstLine="440" w:firstLineChars="200"/>
        <w:rPr>
          <w:rFonts w:hint="default" w:hAnsi="黑体"/>
          <w:sz w:val="22"/>
          <w:szCs w:val="28"/>
          <w:lang w:val="en-US" w:eastAsia="zh-CN"/>
        </w:rPr>
      </w:pPr>
      <w:r>
        <w:rPr>
          <w:rFonts w:hint="eastAsia" w:hAnsi="黑体"/>
          <w:sz w:val="22"/>
          <w:szCs w:val="28"/>
          <w:lang w:val="en-US" w:eastAsia="zh-CN"/>
        </w:rPr>
        <w:t>金川集团股份有限公司预计产能达到10000吨。</w:t>
      </w:r>
    </w:p>
    <w:p>
      <w:pPr>
        <w:widowControl/>
        <w:spacing w:before="157" w:beforeLines="50" w:after="157" w:afterLines="50" w:line="400" w:lineRule="exact"/>
        <w:ind w:firstLine="440" w:firstLineChars="200"/>
        <w:rPr>
          <w:rFonts w:hint="eastAsia" w:hAnsi="黑体"/>
          <w:sz w:val="22"/>
          <w:szCs w:val="28"/>
        </w:rPr>
      </w:pPr>
      <w:r>
        <w:rPr>
          <w:rFonts w:hint="eastAsia" w:hAnsi="黑体"/>
          <w:sz w:val="22"/>
          <w:szCs w:val="28"/>
        </w:rPr>
        <w:t>该标准项目无相关的国家标准和相关行业标准。本标准与目前实施的“电解镍”和正在申请的“电镀用镍”等标准不同，因为此二标准，均为板状产品，属于电镀用镍阳极材料的第一代产品，而本标准是电镀用镍阳极材料的第二代产品，是第一代产品的升级换代产品，是目前的高端镍阳极材料产品。</w:t>
      </w:r>
    </w:p>
    <w:p>
      <w:pPr>
        <w:widowControl/>
        <w:spacing w:line="300" w:lineRule="auto"/>
        <w:ind w:firstLine="440" w:firstLineChars="200"/>
        <w:rPr>
          <w:rFonts w:hint="eastAsia" w:hAnsi="黑体"/>
          <w:sz w:val="22"/>
          <w:szCs w:val="28"/>
        </w:rPr>
      </w:pPr>
    </w:p>
    <w:p>
      <w:pPr>
        <w:pStyle w:val="7"/>
        <w:spacing w:line="360" w:lineRule="auto"/>
        <w:ind w:left="0" w:leftChars="0" w:firstLine="0" w:firstLineChars="0"/>
        <w:jc w:val="center"/>
        <w:rPr>
          <w:rFonts w:hint="default" w:ascii="宋体" w:hAnsi="宋体" w:eastAsia="宋体" w:cs="宋体"/>
          <w:color w:val="auto"/>
          <w:sz w:val="22"/>
          <w:szCs w:val="22"/>
          <w:lang w:val="en-US" w:eastAsia="zh-CN"/>
        </w:rPr>
      </w:pPr>
      <w:r>
        <w:rPr>
          <w:rFonts w:hint="eastAsia" w:ascii="宋体" w:hAnsi="宋体" w:cs="宋体"/>
          <w:b/>
          <w:bCs/>
          <w:color w:val="auto"/>
          <w:sz w:val="22"/>
          <w:szCs w:val="22"/>
          <w:lang w:val="en-US" w:eastAsia="zh-CN"/>
        </w:rPr>
        <w:t>表1 镍饼厂家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1"/>
        <w:gridCol w:w="5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231" w:type="dxa"/>
          </w:tcPr>
          <w:p>
            <w:pPr>
              <w:pStyle w:val="7"/>
              <w:keepNext w:val="0"/>
              <w:keepLines w:val="0"/>
              <w:suppressLineNumbers w:val="0"/>
              <w:spacing w:before="0" w:beforeAutospacing="0" w:after="0" w:afterAutospacing="0" w:line="360" w:lineRule="auto"/>
              <w:ind w:left="0" w:right="0" w:firstLine="1100" w:firstLineChars="500"/>
              <w:rPr>
                <w:rFonts w:hint="eastAsia" w:ascii="宋体" w:hAnsi="宋体" w:eastAsia="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国外生产镍饼的厂家</w:t>
            </w:r>
          </w:p>
        </w:tc>
        <w:tc>
          <w:tcPr>
            <w:tcW w:w="5226" w:type="dxa"/>
          </w:tcPr>
          <w:p>
            <w:pPr>
              <w:pStyle w:val="7"/>
              <w:keepNext w:val="0"/>
              <w:keepLines w:val="0"/>
              <w:suppressLineNumbers w:val="0"/>
              <w:spacing w:before="0" w:beforeAutospacing="0" w:after="0" w:afterAutospacing="0" w:line="360" w:lineRule="auto"/>
              <w:ind w:left="0" w:right="0"/>
              <w:rPr>
                <w:rFonts w:hint="default" w:ascii="宋体" w:hAnsi="宋体" w:eastAsia="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 xml:space="preserve">         国内生产镍饼的厂家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231" w:type="dxa"/>
          </w:tcPr>
          <w:p>
            <w:pPr>
              <w:pStyle w:val="7"/>
              <w:keepNext w:val="0"/>
              <w:keepLines w:val="0"/>
              <w:suppressLineNumbers w:val="0"/>
              <w:spacing w:before="0" w:beforeAutospacing="0" w:after="0" w:afterAutospacing="0" w:line="360" w:lineRule="auto"/>
              <w:ind w:left="0" w:right="0" w:firstLine="440" w:firstLineChars="200"/>
              <w:rPr>
                <w:rFonts w:hint="eastAsia" w:ascii="宋体" w:hAnsi="宋体" w:eastAsia="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VALE公司、</w:t>
            </w:r>
            <w:r>
              <w:rPr>
                <w:rFonts w:hint="eastAsia" w:hAnsi="黑体"/>
                <w:color w:val="auto"/>
                <w:sz w:val="22"/>
                <w:szCs w:val="28"/>
              </w:rPr>
              <w:t>Nikkelverk工厂</w:t>
            </w:r>
          </w:p>
        </w:tc>
        <w:tc>
          <w:tcPr>
            <w:tcW w:w="5226" w:type="dxa"/>
          </w:tcPr>
          <w:p>
            <w:pPr>
              <w:pStyle w:val="7"/>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 w:val="22"/>
                <w:szCs w:val="22"/>
                <w:vertAlign w:val="baseline"/>
                <w:lang w:eastAsia="zh-CN"/>
              </w:rPr>
            </w:pPr>
            <w:r>
              <w:rPr>
                <w:rFonts w:hint="eastAsia" w:ascii="宋体" w:hAnsi="宋体" w:cs="宋体"/>
                <w:color w:val="auto"/>
                <w:sz w:val="22"/>
                <w:szCs w:val="22"/>
                <w:vertAlign w:val="baseline"/>
                <w:lang w:eastAsia="zh-CN"/>
              </w:rPr>
              <w:t>襄阳化通化工有限责公司、金川集团股份有限公司</w:t>
            </w:r>
          </w:p>
        </w:tc>
      </w:tr>
    </w:tbl>
    <w:p>
      <w:pPr>
        <w:widowControl/>
        <w:numPr>
          <w:ilvl w:val="0"/>
          <w:numId w:val="3"/>
        </w:numPr>
        <w:spacing w:line="300" w:lineRule="auto"/>
        <w:rPr>
          <w:rFonts w:hint="eastAsia" w:cs="宋体"/>
          <w:color w:val="auto"/>
          <w:sz w:val="22"/>
          <w:szCs w:val="22"/>
          <w:lang w:eastAsia="zh-CN"/>
        </w:rPr>
        <w:sectPr>
          <w:footerReference r:id="rId6" w:type="default"/>
          <w:pgSz w:w="11906" w:h="16838"/>
          <w:pgMar w:top="1361" w:right="1247" w:bottom="1247" w:left="1418" w:header="851" w:footer="851" w:gutter="0"/>
          <w:pgNumType w:start="1"/>
          <w:cols w:space="720" w:num="1"/>
          <w:docGrid w:type="lines" w:linePitch="312" w:charSpace="0"/>
        </w:sectPr>
      </w:pPr>
    </w:p>
    <w:p>
      <w:pPr>
        <w:widowControl/>
        <w:spacing w:line="300" w:lineRule="auto"/>
        <w:rPr>
          <w:rFonts w:hint="eastAsia" w:hAnsi="黑体" w:eastAsia="宋体"/>
          <w:b/>
          <w:bCs/>
          <w:lang w:eastAsia="zh-CN"/>
        </w:rPr>
      </w:pPr>
      <w:r>
        <w:rPr>
          <w:rFonts w:hint="eastAsia" w:hAnsi="黑体"/>
          <w:b/>
          <w:bCs/>
          <w:lang w:val="en-US" w:eastAsia="zh-CN"/>
        </w:rPr>
        <w:t>1.2</w:t>
      </w:r>
      <w:r>
        <w:rPr>
          <w:rFonts w:hint="eastAsia" w:hAnsi="黑体"/>
          <w:b/>
          <w:bCs/>
          <w:sz w:val="24"/>
          <w:szCs w:val="24"/>
        </w:rPr>
        <w:t xml:space="preserve"> </w:t>
      </w:r>
      <w:r>
        <w:rPr>
          <w:rFonts w:hint="eastAsia" w:hAnsi="黑体"/>
          <w:b/>
          <w:bCs/>
          <w:sz w:val="24"/>
          <w:szCs w:val="24"/>
          <w:lang w:eastAsia="zh-CN"/>
        </w:rPr>
        <w:t>镍饼生产工艺</w:t>
      </w:r>
    </w:p>
    <w:p>
      <w:pPr>
        <w:widowControl/>
        <w:spacing w:line="300" w:lineRule="auto"/>
        <w:rPr>
          <w:rFonts w:hint="eastAsia" w:hAnsi="黑体"/>
          <w:b/>
          <w:bCs/>
          <w:sz w:val="22"/>
          <w:szCs w:val="28"/>
        </w:rPr>
      </w:pPr>
      <w:r>
        <w:rPr>
          <w:rFonts w:hint="eastAsia" w:hAnsi="黑体"/>
          <w:b/>
          <w:bCs/>
          <w:sz w:val="22"/>
          <w:szCs w:val="28"/>
          <w:lang w:val="en-US" w:eastAsia="zh-CN"/>
        </w:rPr>
        <w:t>1.2</w:t>
      </w:r>
      <w:r>
        <w:rPr>
          <w:rFonts w:hint="eastAsia" w:hAnsi="黑体"/>
          <w:b/>
          <w:bCs/>
          <w:sz w:val="22"/>
          <w:szCs w:val="28"/>
        </w:rPr>
        <w:t>.1 产品来源</w:t>
      </w:r>
    </w:p>
    <w:p>
      <w:pPr>
        <w:widowControl/>
        <w:spacing w:line="300" w:lineRule="auto"/>
        <w:rPr>
          <w:rFonts w:hAnsi="黑体"/>
          <w:sz w:val="22"/>
          <w:szCs w:val="28"/>
        </w:rPr>
      </w:pPr>
      <w:r>
        <w:rPr>
          <w:rFonts w:hint="eastAsia" w:hAnsi="黑体"/>
          <w:b/>
          <w:bCs/>
          <w:sz w:val="22"/>
          <w:szCs w:val="28"/>
        </w:rPr>
        <w:t xml:space="preserve">  </w:t>
      </w:r>
      <w:r>
        <w:rPr>
          <w:rFonts w:hint="eastAsia" w:hAnsi="黑体"/>
          <w:sz w:val="22"/>
          <w:szCs w:val="28"/>
        </w:rPr>
        <w:t xml:space="preserve">  镍饼产品为襄阳化通化工有限责任公司自产，使用的原料为金川公司的高纯镍板和进口高纯镍板、含镍金属废料。 </w:t>
      </w:r>
    </w:p>
    <w:p>
      <w:pPr>
        <w:widowControl/>
        <w:spacing w:line="300" w:lineRule="auto"/>
        <w:rPr>
          <w:rFonts w:hint="eastAsia" w:hAnsi="黑体"/>
          <w:b/>
          <w:bCs/>
          <w:sz w:val="22"/>
          <w:szCs w:val="28"/>
        </w:rPr>
      </w:pPr>
      <w:r>
        <w:rPr>
          <w:rFonts w:hint="eastAsia" w:hAnsi="黑体"/>
          <w:b/>
          <w:bCs/>
          <w:sz w:val="22"/>
          <w:szCs w:val="28"/>
          <w:lang w:val="en-US" w:eastAsia="zh-CN"/>
        </w:rPr>
        <w:t>1</w:t>
      </w:r>
      <w:r>
        <w:rPr>
          <w:rFonts w:hint="eastAsia" w:hAnsi="黑体"/>
          <w:b/>
          <w:bCs/>
          <w:sz w:val="22"/>
          <w:szCs w:val="28"/>
        </w:rPr>
        <w:t>.</w:t>
      </w:r>
      <w:r>
        <w:rPr>
          <w:rFonts w:hint="eastAsia" w:hAnsi="黑体"/>
          <w:b/>
          <w:bCs/>
          <w:sz w:val="22"/>
          <w:szCs w:val="28"/>
          <w:lang w:val="en-US" w:eastAsia="zh-CN"/>
        </w:rPr>
        <w:t>2</w:t>
      </w:r>
      <w:r>
        <w:rPr>
          <w:rFonts w:hint="eastAsia" w:hAnsi="黑体"/>
          <w:b/>
          <w:bCs/>
          <w:sz w:val="22"/>
          <w:szCs w:val="28"/>
        </w:rPr>
        <w:t>.</w:t>
      </w:r>
      <w:r>
        <w:rPr>
          <w:rFonts w:hint="eastAsia" w:hAnsi="黑体"/>
          <w:b/>
          <w:bCs/>
          <w:sz w:val="22"/>
          <w:szCs w:val="28"/>
          <w:lang w:val="en-US" w:eastAsia="zh-CN"/>
        </w:rPr>
        <w:t>3</w:t>
      </w:r>
      <w:r>
        <w:rPr>
          <w:rFonts w:hint="eastAsia" w:hAnsi="黑体"/>
          <w:b/>
          <w:bCs/>
          <w:sz w:val="22"/>
          <w:szCs w:val="28"/>
        </w:rPr>
        <w:t>工艺流程</w:t>
      </w:r>
    </w:p>
    <w:p>
      <w:pPr>
        <w:widowControl/>
        <w:spacing w:line="300" w:lineRule="auto"/>
        <w:rPr>
          <w:rFonts w:hint="eastAsia" w:hAnsi="黑体"/>
          <w:sz w:val="22"/>
          <w:szCs w:val="28"/>
        </w:rPr>
      </w:pPr>
      <w:r>
        <w:rPr>
          <w:rFonts w:ascii="Calibri" w:hAnsi="Calibri" w:cs="Calibri"/>
          <w:sz w:val="22"/>
          <w:szCs w:val="28"/>
        </w:rPr>
        <w:t>①</w:t>
      </w:r>
      <w:r>
        <w:rPr>
          <w:rFonts w:hint="eastAsia" w:hAnsi="黑体"/>
          <w:sz w:val="22"/>
          <w:szCs w:val="28"/>
        </w:rPr>
        <w:t xml:space="preserve"> 以精炼镍为原料生产工艺：</w:t>
      </w:r>
    </w:p>
    <w:p>
      <w:pPr>
        <w:widowControl/>
        <w:spacing w:line="300" w:lineRule="auto"/>
        <w:jc w:val="center"/>
        <w:rPr>
          <w:rFonts w:hint="default" w:hAnsi="黑体"/>
          <w:b/>
          <w:bCs/>
          <w:sz w:val="22"/>
          <w:szCs w:val="28"/>
        </w:rPr>
      </w:pPr>
      <w:r>
        <w:rPr>
          <w:rFonts w:hint="eastAsia" w:hAnsi="黑体"/>
          <w:sz w:val="22"/>
          <w:szCs w:val="28"/>
        </w:rPr>
        <w:drawing>
          <wp:inline distT="0" distB="0" distL="114300" distR="114300">
            <wp:extent cx="5638800" cy="2655570"/>
            <wp:effectExtent l="0" t="0" r="0" b="11430"/>
            <wp:docPr id="4" name="图片 1" descr="镍圆饼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镍圆饼工艺"/>
                    <pic:cNvPicPr>
                      <a:picLocks noChangeAspect="1"/>
                    </pic:cNvPicPr>
                  </pic:nvPicPr>
                  <pic:blipFill>
                    <a:blip r:embed="rId8"/>
                    <a:stretch>
                      <a:fillRect/>
                    </a:stretch>
                  </pic:blipFill>
                  <pic:spPr>
                    <a:xfrm>
                      <a:off x="0" y="0"/>
                      <a:ext cx="5638800" cy="2655570"/>
                    </a:xfrm>
                    <a:prstGeom prst="rect">
                      <a:avLst/>
                    </a:prstGeom>
                    <a:noFill/>
                    <a:ln>
                      <a:noFill/>
                    </a:ln>
                  </pic:spPr>
                </pic:pic>
              </a:graphicData>
            </a:graphic>
          </wp:inline>
        </w:drawing>
      </w:r>
      <w:r>
        <w:rPr>
          <w:rFonts w:hint="eastAsia" w:hAnsi="黑体"/>
          <w:sz w:val="22"/>
          <w:szCs w:val="28"/>
          <w:lang w:val="en-US" w:eastAsia="zh-CN"/>
        </w:rPr>
        <w:t xml:space="preserve">  </w:t>
      </w:r>
      <w:r>
        <w:rPr>
          <w:rFonts w:hint="default" w:hAnsi="黑体"/>
          <w:b/>
          <w:bCs/>
          <w:sz w:val="22"/>
          <w:szCs w:val="28"/>
        </w:rPr>
        <w:t>图1 精炼镍为原料生产工</w:t>
      </w:r>
      <w:r>
        <w:rPr>
          <w:rFonts w:hint="eastAsia" w:hAnsi="黑体"/>
          <w:b/>
          <w:bCs/>
          <w:color w:val="auto"/>
          <w:sz w:val="22"/>
          <w:szCs w:val="28"/>
          <w:lang w:eastAsia="zh-CN"/>
        </w:rPr>
        <w:t>艺</w:t>
      </w:r>
    </w:p>
    <w:p>
      <w:pPr>
        <w:widowControl/>
        <w:spacing w:line="300" w:lineRule="auto"/>
        <w:ind w:firstLine="440" w:firstLineChars="200"/>
        <w:rPr>
          <w:rFonts w:hint="eastAsia" w:hAnsi="黑体"/>
          <w:sz w:val="22"/>
          <w:szCs w:val="28"/>
        </w:rPr>
      </w:pPr>
      <w:r>
        <w:rPr>
          <w:rFonts w:hint="eastAsia" w:hAnsi="黑体"/>
          <w:sz w:val="22"/>
          <w:szCs w:val="28"/>
        </w:rPr>
        <w:t>将99.9%镍板作为阳极材料，用含有镍盐的电解液溶液，在阴极板上电解出镍饼。阳极液在使用后，经过净化等工序，和新液一起加到电解槽中循环使用。残极经过分离、回收，部分可以继续作为原料继续使用。</w:t>
      </w:r>
    </w:p>
    <w:p>
      <w:pPr>
        <w:widowControl/>
        <w:spacing w:line="300" w:lineRule="auto"/>
        <w:ind w:firstLine="440" w:firstLineChars="200"/>
        <w:rPr>
          <w:rFonts w:hint="eastAsia" w:hAnsi="黑体"/>
          <w:sz w:val="22"/>
          <w:szCs w:val="28"/>
        </w:rPr>
      </w:pPr>
      <w:r>
        <w:rPr>
          <w:rFonts w:hint="eastAsia" w:hAnsi="黑体"/>
          <w:sz w:val="22"/>
          <w:szCs w:val="28"/>
        </w:rPr>
        <w:t>此工艺相对于电解镍板的生产工艺而言，具有短流程的特点，其主要体现在阴极板的制备上。生产电解镍板的阴极板需要经过四个单元作业：种板准备、镍皮生产、种板剥离、始极片加工；多个工位设置：备片、对辊压纹、剪切、钉耳、码片等；需要大型手工作业设备5种以上。镍饼采用</w:t>
      </w:r>
      <w:r>
        <w:rPr>
          <w:rFonts w:hint="eastAsia" w:hAnsi="黑体"/>
          <w:color w:val="FF0000"/>
          <w:sz w:val="22"/>
          <w:szCs w:val="28"/>
        </w:rPr>
        <w:t>CDP</w:t>
      </w:r>
      <w:r>
        <w:rPr>
          <w:rFonts w:hint="eastAsia" w:hAnsi="黑体"/>
          <w:sz w:val="22"/>
          <w:szCs w:val="28"/>
        </w:rPr>
        <w:t>技术，其设备、人力、维护费用都很低，节约成本，提高了生产效率。此工艺具有科技领先水平，让智能工厂成为可能。</w:t>
      </w:r>
    </w:p>
    <w:p>
      <w:pPr>
        <w:pStyle w:val="7"/>
        <w:spacing w:line="360" w:lineRule="auto"/>
        <w:ind w:firstLine="0" w:firstLineChars="0"/>
        <w:rPr>
          <w:rFonts w:hint="eastAsia" w:hAnsi="黑体"/>
          <w:sz w:val="22"/>
          <w:szCs w:val="28"/>
        </w:rPr>
      </w:pPr>
      <w:r>
        <w:rPr>
          <w:rFonts w:hint="eastAsia" w:ascii="宋体" w:hAnsi="宋体" w:cs="宋体"/>
          <w:sz w:val="24"/>
        </w:rPr>
        <w:drawing>
          <wp:anchor distT="0" distB="0" distL="114300" distR="114300" simplePos="0" relativeHeight="251659264" behindDoc="1" locked="0" layoutInCell="1" allowOverlap="1">
            <wp:simplePos x="0" y="0"/>
            <wp:positionH relativeFrom="column">
              <wp:posOffset>-164465</wp:posOffset>
            </wp:positionH>
            <wp:positionV relativeFrom="paragraph">
              <wp:posOffset>273050</wp:posOffset>
            </wp:positionV>
            <wp:extent cx="6054725" cy="1976120"/>
            <wp:effectExtent l="0" t="0" r="3175" b="5080"/>
            <wp:wrapNone/>
            <wp:docPr id="3" name="图片 2" descr="废镍料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废镍料工艺"/>
                    <pic:cNvPicPr>
                      <a:picLocks noChangeAspect="1"/>
                    </pic:cNvPicPr>
                  </pic:nvPicPr>
                  <pic:blipFill>
                    <a:blip r:embed="rId9"/>
                    <a:stretch>
                      <a:fillRect/>
                    </a:stretch>
                  </pic:blipFill>
                  <pic:spPr>
                    <a:xfrm>
                      <a:off x="0" y="0"/>
                      <a:ext cx="6054725" cy="1976120"/>
                    </a:xfrm>
                    <a:prstGeom prst="rect">
                      <a:avLst/>
                    </a:prstGeom>
                    <a:noFill/>
                    <a:ln>
                      <a:noFill/>
                    </a:ln>
                  </pic:spPr>
                </pic:pic>
              </a:graphicData>
            </a:graphic>
          </wp:anchor>
        </w:drawing>
      </w:r>
      <w:r>
        <w:rPr>
          <w:rFonts w:hAnsi="黑体"/>
          <w:sz w:val="22"/>
          <w:szCs w:val="28"/>
        </w:rPr>
        <w:t>②</w:t>
      </w:r>
      <w:r>
        <w:rPr>
          <w:rFonts w:hint="eastAsia" w:hAnsi="黑体"/>
          <w:sz w:val="22"/>
          <w:szCs w:val="28"/>
        </w:rPr>
        <w:t>以含镍废金属为原料生产工艺：</w:t>
      </w:r>
    </w:p>
    <w:p>
      <w:pPr>
        <w:pStyle w:val="7"/>
        <w:spacing w:line="360" w:lineRule="auto"/>
        <w:ind w:firstLine="0" w:firstLineChars="0"/>
        <w:rPr>
          <w:rFonts w:hint="eastAsia" w:ascii="宋体" w:hAnsi="宋体" w:cs="宋体"/>
          <w:sz w:val="24"/>
        </w:rPr>
      </w:pPr>
    </w:p>
    <w:p>
      <w:pPr>
        <w:widowControl/>
        <w:spacing w:line="300" w:lineRule="auto"/>
        <w:ind w:firstLine="440" w:firstLineChars="200"/>
        <w:rPr>
          <w:rFonts w:hint="eastAsia" w:hAnsi="黑体"/>
          <w:sz w:val="22"/>
          <w:szCs w:val="28"/>
        </w:rPr>
      </w:pPr>
    </w:p>
    <w:p>
      <w:pPr>
        <w:widowControl/>
        <w:spacing w:line="300" w:lineRule="auto"/>
        <w:ind w:firstLine="440" w:firstLineChars="200"/>
        <w:rPr>
          <w:rFonts w:hint="eastAsia" w:hAnsi="黑体"/>
          <w:sz w:val="22"/>
          <w:szCs w:val="28"/>
        </w:rPr>
      </w:pPr>
    </w:p>
    <w:p>
      <w:pPr>
        <w:widowControl/>
        <w:spacing w:line="300" w:lineRule="auto"/>
        <w:rPr>
          <w:rFonts w:hint="eastAsia" w:hAnsi="黑体"/>
          <w:sz w:val="22"/>
          <w:szCs w:val="28"/>
        </w:rPr>
      </w:pPr>
    </w:p>
    <w:p>
      <w:pPr>
        <w:widowControl/>
        <w:spacing w:line="300" w:lineRule="auto"/>
        <w:rPr>
          <w:rFonts w:hint="eastAsia" w:hAnsi="黑体"/>
          <w:sz w:val="22"/>
          <w:szCs w:val="28"/>
        </w:rPr>
      </w:pPr>
    </w:p>
    <w:p>
      <w:pPr>
        <w:widowControl/>
        <w:spacing w:line="300" w:lineRule="auto"/>
        <w:ind w:firstLine="440" w:firstLineChars="200"/>
        <w:rPr>
          <w:rFonts w:hint="eastAsia" w:hAnsi="黑体"/>
          <w:sz w:val="22"/>
          <w:szCs w:val="28"/>
        </w:rPr>
      </w:pPr>
    </w:p>
    <w:p>
      <w:pPr>
        <w:pStyle w:val="7"/>
        <w:spacing w:line="360" w:lineRule="auto"/>
        <w:ind w:firstLine="0" w:firstLineChars="0"/>
        <w:rPr>
          <w:rFonts w:hint="eastAsia" w:hAnsi="黑体"/>
          <w:b/>
          <w:bCs/>
          <w:sz w:val="22"/>
          <w:szCs w:val="28"/>
        </w:rPr>
      </w:pPr>
    </w:p>
    <w:p>
      <w:pPr>
        <w:pStyle w:val="7"/>
        <w:ind w:firstLine="440"/>
        <w:jc w:val="center"/>
        <w:rPr>
          <w:rFonts w:hint="default" w:hAnsi="黑体"/>
          <w:b/>
          <w:bCs/>
          <w:sz w:val="22"/>
          <w:szCs w:val="28"/>
        </w:rPr>
      </w:pPr>
      <w:r>
        <w:rPr>
          <w:rFonts w:hint="default" w:hAnsi="黑体"/>
          <w:b/>
          <w:bCs/>
          <w:sz w:val="22"/>
          <w:szCs w:val="28"/>
        </w:rPr>
        <w:t>图2 以含镍废金属为原料生产工艺</w:t>
      </w:r>
    </w:p>
    <w:p>
      <w:pPr>
        <w:pStyle w:val="7"/>
        <w:spacing w:before="157" w:beforeLines="50" w:after="157" w:afterLines="50" w:line="400" w:lineRule="exact"/>
        <w:ind w:left="0" w:leftChars="0" w:firstLine="440" w:firstLineChars="200"/>
        <w:rPr>
          <w:rFonts w:hint="eastAsia" w:hAnsi="黑体"/>
          <w:sz w:val="22"/>
          <w:szCs w:val="28"/>
        </w:rPr>
      </w:pPr>
      <w:r>
        <w:rPr>
          <w:rFonts w:hint="eastAsia" w:hAnsi="黑体"/>
          <w:sz w:val="22"/>
          <w:szCs w:val="28"/>
        </w:rPr>
        <w:t>以含镍废金属为原料的生产工艺是将含镍废料和硫酸反应，制备出硫酸镍；经过净化，除去铁、铜等杂质；加入碳酸钠，制备出碳酸镍；经过电积，在阴极板上制备出镍饼。</w:t>
      </w:r>
    </w:p>
    <w:p>
      <w:pPr>
        <w:pStyle w:val="7"/>
        <w:spacing w:before="157" w:beforeLines="50" w:after="157" w:afterLines="50" w:line="400" w:lineRule="exact"/>
        <w:ind w:firstLine="440"/>
        <w:rPr>
          <w:rFonts w:hint="eastAsia" w:hAnsi="黑体"/>
          <w:sz w:val="22"/>
          <w:szCs w:val="28"/>
        </w:rPr>
      </w:pPr>
      <w:r>
        <w:rPr>
          <w:rFonts w:hint="eastAsia" w:hAnsi="黑体"/>
          <w:sz w:val="22"/>
          <w:szCs w:val="28"/>
        </w:rPr>
        <w:t>我公司在初期（10年前）用过此工艺，由于当时镍废料的来源不稳定，数量不大，没有进一步发展。但随着近些年，新能源产业的蓬勃发展、尤其是电动汽车的全球化推广，后期必将有大量的废旧电池需要处理，这将是质量稳定、数量巨大的很好的镍废料来源；另外日益严峻的环境保护问题，也会促进此工艺的推广。所以此工艺路线具有很好的发展前景。</w:t>
      </w:r>
    </w:p>
    <w:p>
      <w:pPr>
        <w:numPr>
          <w:ilvl w:val="0"/>
          <w:numId w:val="4"/>
        </w:numPr>
        <w:spacing w:line="360" w:lineRule="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主要技术指标制定依据</w:t>
      </w:r>
    </w:p>
    <w:p>
      <w:pPr>
        <w:spacing w:line="360" w:lineRule="auto"/>
        <w:ind w:left="0" w:leftChars="0" w:firstLine="440" w:firstLineChars="20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由于没有可以直接参考的与镍饼对应的国家标准或者行业标准，镍饼主要技术参数参照镍饼生产企业的实际情况，参考国外企业提供给中国用户的质量证明书，考虑其限定的杂质种类：</w:t>
      </w:r>
    </w:p>
    <w:p>
      <w:pPr>
        <w:pStyle w:val="7"/>
        <w:spacing w:line="360" w:lineRule="auto"/>
        <w:ind w:left="0" w:leftChars="0" w:firstLine="0" w:firstLineChars="0"/>
        <w:rPr>
          <w:rFonts w:hint="eastAsia" w:ascii="宋体" w:hAnsi="宋体" w:cs="宋体"/>
          <w:b/>
          <w:bCs/>
          <w:color w:val="auto"/>
          <w:sz w:val="22"/>
          <w:szCs w:val="22"/>
          <w:lang w:val="en-US" w:eastAsia="zh-CN"/>
        </w:rPr>
      </w:pPr>
      <w:r>
        <w:rPr>
          <w:rFonts w:hint="eastAsia" w:ascii="宋体" w:hAnsi="宋体" w:cs="宋体"/>
          <w:b/>
          <w:bCs/>
          <w:color w:val="auto"/>
          <w:sz w:val="22"/>
          <w:szCs w:val="22"/>
          <w:lang w:val="en-US" w:eastAsia="zh-CN"/>
        </w:rPr>
        <w:t>2.1 产品分类</w:t>
      </w:r>
    </w:p>
    <w:p>
      <w:pPr>
        <w:pStyle w:val="7"/>
        <w:spacing w:line="360" w:lineRule="auto"/>
        <w:ind w:left="0" w:leftChars="0"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val="en-US" w:eastAsia="zh-CN"/>
        </w:rPr>
        <w:t>经国内外市场调研，目前市场上存在</w:t>
      </w:r>
      <w:r>
        <w:rPr>
          <w:rFonts w:hint="eastAsia" w:ascii="宋体" w:hAnsi="宋体" w:eastAsia="宋体" w:cs="宋体"/>
          <w:color w:val="auto"/>
          <w:sz w:val="22"/>
          <w:szCs w:val="22"/>
        </w:rPr>
        <w:t>含硫和不含硫两种</w:t>
      </w:r>
      <w:r>
        <w:rPr>
          <w:rFonts w:hint="eastAsia" w:ascii="宋体" w:hAnsi="宋体" w:cs="宋体"/>
          <w:color w:val="auto"/>
          <w:sz w:val="22"/>
          <w:szCs w:val="22"/>
          <w:lang w:eastAsia="zh-CN"/>
        </w:rPr>
        <w:t>镍饼</w:t>
      </w:r>
    </w:p>
    <w:p>
      <w:pPr>
        <w:pStyle w:val="7"/>
        <w:spacing w:line="360" w:lineRule="auto"/>
        <w:ind w:left="0" w:leftChars="0" w:firstLine="0" w:firstLineChars="0"/>
        <w:rPr>
          <w:rFonts w:hint="eastAsia" w:ascii="宋体" w:hAnsi="宋体" w:cs="宋体"/>
          <w:b/>
          <w:bCs/>
          <w:color w:val="auto"/>
          <w:sz w:val="22"/>
          <w:szCs w:val="22"/>
          <w:lang w:val="en-US" w:eastAsia="zh-CN"/>
        </w:rPr>
      </w:pPr>
      <w:r>
        <w:rPr>
          <w:rFonts w:hint="eastAsia" w:ascii="宋体" w:hAnsi="宋体" w:cs="宋体"/>
          <w:b/>
          <w:bCs/>
          <w:color w:val="auto"/>
          <w:sz w:val="22"/>
          <w:szCs w:val="22"/>
          <w:lang w:val="en-US" w:eastAsia="zh-CN"/>
        </w:rPr>
        <w:t>2.2 主含量的确定</w:t>
      </w:r>
    </w:p>
    <w:p>
      <w:pPr>
        <w:pStyle w:val="7"/>
        <w:spacing w:line="360" w:lineRule="auto"/>
        <w:ind w:left="0" w:leftChars="0" w:firstLine="0" w:firstLineChars="0"/>
        <w:rPr>
          <w:rFonts w:hint="default" w:ascii="宋体" w:hAnsi="宋体" w:cs="宋体"/>
          <w:color w:val="auto"/>
          <w:sz w:val="22"/>
          <w:szCs w:val="22"/>
          <w:lang w:eastAsia="zh-CN"/>
        </w:rPr>
      </w:pPr>
      <w:r>
        <w:rPr>
          <w:rFonts w:hint="eastAsia" w:ascii="宋体" w:hAnsi="宋体" w:cs="宋体"/>
          <w:color w:val="auto"/>
          <w:sz w:val="22"/>
          <w:szCs w:val="22"/>
          <w:lang w:val="en-US" w:eastAsia="zh-CN"/>
        </w:rPr>
        <w:t>本文件根据镍饼的制造工艺原理，结合国内外实际生产情况制定指标。生产企业结合下游客户需求，控制生产工艺条件，制得含硫镍饼和无硫镍饼。</w:t>
      </w:r>
      <w:r>
        <w:rPr>
          <w:rFonts w:hint="default" w:ascii="宋体" w:hAnsi="宋体" w:cs="宋体"/>
          <w:color w:val="auto"/>
          <w:sz w:val="22"/>
          <w:szCs w:val="22"/>
          <w:lang w:eastAsia="zh-CN"/>
        </w:rPr>
        <w:t>如</w:t>
      </w:r>
      <w:r>
        <w:rPr>
          <w:rFonts w:hint="eastAsia" w:ascii="宋体" w:hAnsi="宋体" w:cs="宋体"/>
          <w:color w:val="auto"/>
          <w:sz w:val="22"/>
          <w:szCs w:val="22"/>
          <w:lang w:eastAsia="zh-CN"/>
        </w:rPr>
        <w:t>镍</w:t>
      </w:r>
      <w:r>
        <w:rPr>
          <w:rFonts w:hint="default" w:ascii="宋体" w:hAnsi="宋体" w:cs="宋体"/>
          <w:color w:val="auto"/>
          <w:sz w:val="22"/>
          <w:szCs w:val="22"/>
          <w:lang w:eastAsia="zh-CN"/>
        </w:rPr>
        <w:t>含量偏少，会造成下游企业不适用，如要求过高的</w:t>
      </w:r>
      <w:r>
        <w:rPr>
          <w:rFonts w:hint="eastAsia" w:ascii="宋体" w:hAnsi="宋体" w:cs="宋体"/>
          <w:color w:val="auto"/>
          <w:sz w:val="22"/>
          <w:szCs w:val="22"/>
          <w:lang w:eastAsia="zh-CN"/>
        </w:rPr>
        <w:t>镍</w:t>
      </w:r>
      <w:r>
        <w:rPr>
          <w:rFonts w:hint="default" w:ascii="宋体" w:hAnsi="宋体" w:cs="宋体"/>
          <w:color w:val="auto"/>
          <w:sz w:val="22"/>
          <w:szCs w:val="22"/>
          <w:lang w:eastAsia="zh-CN"/>
        </w:rPr>
        <w:t>含量，则会受制于实际生产情况，增加生产成本。本标准的</w:t>
      </w:r>
      <w:r>
        <w:rPr>
          <w:rFonts w:hint="eastAsia" w:ascii="宋体" w:hAnsi="宋体" w:cs="宋体"/>
          <w:color w:val="auto"/>
          <w:sz w:val="22"/>
          <w:szCs w:val="22"/>
          <w:lang w:eastAsia="zh-CN"/>
        </w:rPr>
        <w:t>镍含量</w:t>
      </w:r>
      <w:r>
        <w:rPr>
          <w:rFonts w:hint="eastAsia" w:ascii="宋体" w:hAnsi="宋体" w:eastAsia="宋体" w:cs="宋体"/>
          <w:color w:val="auto"/>
          <w:kern w:val="0"/>
          <w:sz w:val="22"/>
          <w:szCs w:val="22"/>
        </w:rPr>
        <w:t>由100%减去表中所列元素的含量而得。</w:t>
      </w:r>
    </w:p>
    <w:p>
      <w:pPr>
        <w:widowControl/>
        <w:spacing w:line="300" w:lineRule="auto"/>
        <w:rPr>
          <w:rFonts w:hint="eastAsia" w:ascii="宋体" w:hAnsi="宋体" w:cs="宋体"/>
          <w:b/>
          <w:bCs/>
          <w:color w:val="auto"/>
          <w:sz w:val="22"/>
          <w:szCs w:val="28"/>
          <w:lang w:val="en-US" w:eastAsia="zh-CN"/>
        </w:rPr>
      </w:pPr>
      <w:r>
        <w:rPr>
          <w:rFonts w:hint="eastAsia" w:ascii="宋体" w:hAnsi="宋体" w:cs="宋体"/>
          <w:b/>
          <w:bCs/>
          <w:color w:val="auto"/>
          <w:sz w:val="22"/>
          <w:szCs w:val="28"/>
          <w:lang w:val="en-US" w:eastAsia="zh-CN"/>
        </w:rPr>
        <w:t>2.3 杂质含量的确定</w:t>
      </w:r>
    </w:p>
    <w:p>
      <w:pPr>
        <w:widowControl/>
        <w:spacing w:line="300" w:lineRule="auto"/>
        <w:ind w:firstLine="440" w:firstLineChars="200"/>
        <w:rPr>
          <w:rFonts w:hint="eastAsia" w:ascii="宋体" w:hAnsi="宋体" w:cs="宋体"/>
          <w:color w:val="auto"/>
          <w:sz w:val="22"/>
          <w:szCs w:val="22"/>
          <w:lang w:eastAsia="zh-CN"/>
        </w:rPr>
      </w:pPr>
      <w:r>
        <w:rPr>
          <w:rFonts w:hint="eastAsia" w:ascii="宋体" w:hAnsi="宋体" w:cs="宋体"/>
          <w:color w:val="auto"/>
          <w:sz w:val="22"/>
          <w:szCs w:val="22"/>
        </w:rPr>
        <w:t>镍饼，主要应用于电镀、镍基合金、不锈钢等领域。</w:t>
      </w:r>
      <w:r>
        <w:rPr>
          <w:rFonts w:hint="eastAsia" w:ascii="宋体" w:hAnsi="宋体" w:cs="宋体"/>
          <w:color w:val="auto"/>
          <w:sz w:val="22"/>
          <w:szCs w:val="22"/>
          <w:lang w:eastAsia="zh-CN"/>
        </w:rPr>
        <w:t>遵照客户实际需求，基于实际生产情况，根据国外两家公司提供给中国客户的质量证明书里的杂质项目进行了确定。</w:t>
      </w:r>
    </w:p>
    <w:p>
      <w:pPr>
        <w:widowControl/>
        <w:spacing w:line="300" w:lineRule="auto"/>
        <w:jc w:val="center"/>
        <w:rPr>
          <w:rFonts w:hint="default" w:ascii="宋体" w:hAnsi="宋体" w:cs="宋体"/>
          <w:b/>
          <w:bCs/>
          <w:color w:val="auto"/>
          <w:sz w:val="22"/>
          <w:szCs w:val="22"/>
          <w:lang w:val="en-US" w:eastAsia="zh-CN"/>
        </w:rPr>
      </w:pPr>
      <w:r>
        <w:rPr>
          <w:rFonts w:hint="eastAsia" w:ascii="宋体" w:hAnsi="宋体" w:cs="宋体"/>
          <w:b/>
          <w:bCs/>
          <w:color w:val="auto"/>
          <w:sz w:val="22"/>
          <w:szCs w:val="22"/>
          <w:lang w:eastAsia="zh-CN"/>
        </w:rPr>
        <w:t>表</w:t>
      </w:r>
      <w:r>
        <w:rPr>
          <w:rFonts w:hint="eastAsia" w:ascii="宋体" w:hAnsi="宋体" w:cs="宋体"/>
          <w:b/>
          <w:bCs/>
          <w:color w:val="auto"/>
          <w:sz w:val="22"/>
          <w:szCs w:val="22"/>
          <w:lang w:val="en-US" w:eastAsia="zh-CN"/>
        </w:rPr>
        <w:t>2  国外企业质量证明书里杂质项目明细</w:t>
      </w:r>
    </w:p>
    <w:tbl>
      <w:tblPr>
        <w:tblStyle w:val="3"/>
        <w:tblpPr w:leftFromText="180" w:rightFromText="180" w:vertAnchor="text" w:horzAnchor="page" w:tblpX="2075" w:tblpY="13"/>
        <w:tblOverlap w:val="never"/>
        <w:tblW w:w="7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334"/>
        <w:gridCol w:w="1593"/>
        <w:gridCol w:w="1725"/>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33" w:type="dxa"/>
            <w:gridSpan w:val="2"/>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593" w:type="dxa"/>
            <w:noWrap w:val="0"/>
            <w:vAlign w:val="center"/>
          </w:tcPr>
          <w:p>
            <w:pPr>
              <w:keepNext w:val="0"/>
              <w:keepLines w:val="0"/>
              <w:widowControl/>
              <w:suppressLineNumbers w:val="0"/>
              <w:tabs>
                <w:tab w:val="left" w:pos="1263"/>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国外A企业</w:t>
            </w:r>
          </w:p>
        </w:tc>
        <w:tc>
          <w:tcPr>
            <w:tcW w:w="1725" w:type="dxa"/>
            <w:noWrap w:val="0"/>
            <w:vAlign w:val="center"/>
          </w:tcPr>
          <w:p>
            <w:pPr>
              <w:keepNext w:val="0"/>
              <w:keepLines w:val="0"/>
              <w:widowControl/>
              <w:suppressLineNumbers w:val="0"/>
              <w:tabs>
                <w:tab w:val="left" w:pos="1263"/>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国外B企业</w:t>
            </w:r>
          </w:p>
        </w:tc>
        <w:tc>
          <w:tcPr>
            <w:tcW w:w="1749" w:type="dxa"/>
            <w:noWrap w:val="0"/>
            <w:vAlign w:val="center"/>
          </w:tcPr>
          <w:p>
            <w:pPr>
              <w:keepNext w:val="0"/>
              <w:keepLines w:val="0"/>
              <w:widowControl/>
              <w:suppressLineNumbers w:val="0"/>
              <w:spacing w:before="0" w:beforeAutospacing="0" w:after="0" w:afterAutospacing="0" w:line="300" w:lineRule="auto"/>
              <w:ind w:left="0" w:right="0" w:firstLine="420" w:firstLineChars="200"/>
              <w:rPr>
                <w:rFonts w:hint="eastAsia" w:ascii="宋体"/>
                <w:color w:val="auto"/>
                <w:kern w:val="0"/>
                <w:szCs w:val="20"/>
                <w:lang w:val="en-US" w:eastAsia="zh-CN"/>
              </w:rPr>
            </w:pPr>
            <w:r>
              <w:rPr>
                <w:rFonts w:hint="eastAsia" w:ascii="宋体"/>
                <w:color w:val="auto"/>
                <w:kern w:val="0"/>
                <w:szCs w:val="20"/>
                <w:lang w:val="en-US" w:eastAsia="zh-CN"/>
              </w:rPr>
              <w:t>国外A企业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33" w:type="dxa"/>
            <w:gridSpan w:val="2"/>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color w:val="auto"/>
                <w:kern w:val="0"/>
                <w:szCs w:val="20"/>
              </w:rPr>
            </w:pPr>
            <w:r>
              <w:rPr>
                <w:rFonts w:hint="eastAsia" w:ascii="宋体"/>
                <w:color w:val="auto"/>
                <w:kern w:val="0"/>
                <w:szCs w:val="20"/>
              </w:rPr>
              <w:t>牌号</w:t>
            </w:r>
          </w:p>
        </w:tc>
        <w:tc>
          <w:tcPr>
            <w:tcW w:w="1593"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lang w:eastAsia="zh-CN"/>
              </w:rPr>
            </w:pPr>
            <w:r>
              <w:rPr>
                <w:rFonts w:hint="eastAsia" w:ascii="宋体"/>
                <w:color w:val="auto"/>
                <w:kern w:val="0"/>
                <w:szCs w:val="20"/>
                <w:lang w:val="en-US" w:eastAsia="zh-CN"/>
              </w:rPr>
              <w:t>Ni（R）</w:t>
            </w:r>
            <w:r>
              <w:rPr>
                <w:rFonts w:hint="default" w:ascii="宋体"/>
                <w:color w:val="auto"/>
                <w:kern w:val="0"/>
                <w:szCs w:val="20"/>
                <w:lang w:eastAsia="zh-CN"/>
              </w:rPr>
              <w:t>-S</w:t>
            </w:r>
          </w:p>
        </w:tc>
        <w:tc>
          <w:tcPr>
            <w:tcW w:w="1725"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lang w:eastAsia="zh-CN"/>
              </w:rPr>
            </w:pPr>
            <w:r>
              <w:rPr>
                <w:rFonts w:hint="eastAsia" w:ascii="宋体"/>
                <w:color w:val="auto"/>
                <w:kern w:val="0"/>
                <w:szCs w:val="20"/>
                <w:lang w:val="en-US" w:eastAsia="zh-CN"/>
              </w:rPr>
              <w:t>Ni（R）</w:t>
            </w:r>
            <w:r>
              <w:rPr>
                <w:rFonts w:hint="default" w:ascii="宋体"/>
                <w:color w:val="auto"/>
                <w:kern w:val="0"/>
                <w:szCs w:val="20"/>
                <w:lang w:eastAsia="zh-CN"/>
              </w:rPr>
              <w:t>-S</w:t>
            </w:r>
          </w:p>
        </w:tc>
        <w:tc>
          <w:tcPr>
            <w:tcW w:w="174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color w:val="auto"/>
                <w:kern w:val="0"/>
                <w:szCs w:val="20"/>
                <w:lang w:val="en-US" w:eastAsia="zh-CN"/>
              </w:rPr>
            </w:pPr>
            <w:r>
              <w:rPr>
                <w:rFonts w:hint="eastAsia" w:ascii="宋体"/>
                <w:color w:val="auto"/>
                <w:kern w:val="0"/>
                <w:szCs w:val="20"/>
                <w:lang w:val="en-US" w:eastAsia="zh-CN"/>
              </w:rPr>
              <w:t>Ni（R）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restart"/>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ascii="宋体"/>
                <w:color w:val="auto"/>
                <w:kern w:val="0"/>
                <w:szCs w:val="20"/>
              </w:rPr>
              <w:t>化学成分（质量分数）</w:t>
            </w:r>
          </w:p>
        </w:tc>
        <w:tc>
          <w:tcPr>
            <w:tcW w:w="1334"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不小于</w:t>
            </w:r>
          </w:p>
        </w:tc>
        <w:tc>
          <w:tcPr>
            <w:tcW w:w="1593"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color w:val="auto"/>
                <w:kern w:val="0"/>
                <w:sz w:val="20"/>
                <w:szCs w:val="20"/>
              </w:rPr>
              <w:t>（Ni+Co)/%</w:t>
            </w:r>
          </w:p>
        </w:tc>
        <w:tc>
          <w:tcPr>
            <w:tcW w:w="1725"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color w:val="auto"/>
                <w:kern w:val="0"/>
                <w:szCs w:val="20"/>
                <w:lang w:val="en-US" w:eastAsia="zh-CN"/>
              </w:rPr>
            </w:pPr>
            <w:r>
              <w:rPr>
                <w:rFonts w:hint="eastAsia"/>
                <w:color w:val="auto"/>
                <w:kern w:val="0"/>
                <w:sz w:val="20"/>
                <w:szCs w:val="20"/>
              </w:rPr>
              <w:t>（Ni+Co)/%</w:t>
            </w:r>
          </w:p>
        </w:tc>
        <w:tc>
          <w:tcPr>
            <w:tcW w:w="174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color w:val="auto"/>
                <w:kern w:val="0"/>
                <w:sz w:val="20"/>
                <w:szCs w:val="20"/>
              </w:rPr>
            </w:pPr>
            <w:r>
              <w:rPr>
                <w:rFonts w:hint="eastAsia"/>
                <w:color w:val="auto"/>
                <w:kern w:val="0"/>
                <w:sz w:val="20"/>
                <w:szCs w:val="20"/>
              </w:rPr>
              <w:t>（Ni+Co)/%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334"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不大于</w:t>
            </w:r>
          </w:p>
        </w:tc>
        <w:tc>
          <w:tcPr>
            <w:tcW w:w="1593"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color w:val="auto"/>
                <w:kern w:val="0"/>
                <w:sz w:val="20"/>
                <w:szCs w:val="20"/>
              </w:rPr>
              <w:t>Co/%</w:t>
            </w:r>
          </w:p>
        </w:tc>
        <w:tc>
          <w:tcPr>
            <w:tcW w:w="1725"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color w:val="auto"/>
                <w:kern w:val="0"/>
                <w:szCs w:val="20"/>
                <w:lang w:val="en-US" w:eastAsia="zh-CN"/>
              </w:rPr>
            </w:pPr>
            <w:r>
              <w:rPr>
                <w:rFonts w:hint="eastAsia"/>
                <w:color w:val="auto"/>
                <w:kern w:val="0"/>
                <w:sz w:val="20"/>
                <w:szCs w:val="20"/>
              </w:rPr>
              <w:t>Co/%</w:t>
            </w:r>
          </w:p>
        </w:tc>
        <w:tc>
          <w:tcPr>
            <w:tcW w:w="174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color w:val="auto"/>
                <w:kern w:val="0"/>
                <w:sz w:val="20"/>
                <w:szCs w:val="20"/>
              </w:rPr>
            </w:pPr>
            <w:r>
              <w:rPr>
                <w:rFonts w:hint="eastAsia"/>
                <w:color w:val="auto"/>
                <w:kern w:val="0"/>
                <w:sz w:val="20"/>
                <w:szCs w:val="20"/>
              </w:rPr>
              <w:t>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334" w:type="dxa"/>
            <w:vMerge w:val="restart"/>
            <w:noWrap w:val="0"/>
            <w:vAlign w:val="center"/>
          </w:tcPr>
          <w:p>
            <w:pPr>
              <w:keepNext w:val="0"/>
              <w:keepLines w:val="0"/>
              <w:widowControl/>
              <w:suppressLineNumbers w:val="0"/>
              <w:spacing w:before="0" w:beforeAutospacing="0" w:after="0" w:afterAutospacing="0" w:line="300" w:lineRule="auto"/>
              <w:ind w:left="0" w:right="0" w:firstLine="200" w:firstLineChars="100"/>
              <w:rPr>
                <w:rFonts w:hint="eastAsia" w:ascii="宋体" w:hAnsi="宋体" w:cs="宋体"/>
                <w:color w:val="auto"/>
                <w:sz w:val="22"/>
                <w:szCs w:val="22"/>
                <w:lang w:eastAsia="zh-CN"/>
              </w:rPr>
            </w:pPr>
            <w:r>
              <w:rPr>
                <w:rFonts w:hint="eastAsia"/>
                <w:color w:val="auto"/>
                <w:kern w:val="0"/>
                <w:sz w:val="20"/>
                <w:szCs w:val="20"/>
              </w:rPr>
              <w:t>杂质含量/%，不大于</w:t>
            </w:r>
          </w:p>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593"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color w:val="auto"/>
                <w:kern w:val="0"/>
                <w:sz w:val="20"/>
                <w:szCs w:val="20"/>
              </w:rPr>
              <w:t>铁Fe</w:t>
            </w:r>
          </w:p>
        </w:tc>
        <w:tc>
          <w:tcPr>
            <w:tcW w:w="1725"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color w:val="auto"/>
                <w:kern w:val="0"/>
                <w:szCs w:val="20"/>
                <w:lang w:val="en-US" w:eastAsia="zh-CN"/>
              </w:rPr>
            </w:pPr>
            <w:r>
              <w:rPr>
                <w:rFonts w:hint="eastAsia"/>
                <w:color w:val="auto"/>
                <w:kern w:val="0"/>
                <w:sz w:val="20"/>
                <w:szCs w:val="20"/>
              </w:rPr>
              <w:t>铁Fe</w:t>
            </w:r>
          </w:p>
        </w:tc>
        <w:tc>
          <w:tcPr>
            <w:tcW w:w="174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color w:val="auto"/>
                <w:kern w:val="0"/>
                <w:sz w:val="20"/>
                <w:szCs w:val="20"/>
              </w:rPr>
            </w:pPr>
            <w:r>
              <w:rPr>
                <w:rFonts w:hint="eastAsia"/>
                <w:color w:val="auto"/>
                <w:kern w:val="0"/>
                <w:sz w:val="20"/>
                <w:szCs w:val="20"/>
              </w:rPr>
              <w:t>铁Fe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334"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593"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color w:val="auto"/>
                <w:kern w:val="0"/>
                <w:sz w:val="20"/>
                <w:szCs w:val="20"/>
              </w:rPr>
              <w:t>铜Cu</w:t>
            </w:r>
          </w:p>
        </w:tc>
        <w:tc>
          <w:tcPr>
            <w:tcW w:w="1725"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color w:val="auto"/>
                <w:kern w:val="0"/>
                <w:szCs w:val="20"/>
                <w:lang w:val="en-US" w:eastAsia="zh-CN"/>
              </w:rPr>
            </w:pPr>
            <w:r>
              <w:rPr>
                <w:rFonts w:hint="eastAsia"/>
                <w:color w:val="auto"/>
                <w:kern w:val="0"/>
                <w:sz w:val="20"/>
                <w:szCs w:val="20"/>
              </w:rPr>
              <w:t>铜Cu</w:t>
            </w:r>
          </w:p>
        </w:tc>
        <w:tc>
          <w:tcPr>
            <w:tcW w:w="174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color w:val="auto"/>
                <w:kern w:val="0"/>
                <w:sz w:val="20"/>
                <w:szCs w:val="20"/>
              </w:rPr>
            </w:pPr>
            <w:r>
              <w:rPr>
                <w:rFonts w:hint="eastAsia"/>
                <w:color w:val="auto"/>
                <w:kern w:val="0"/>
                <w:sz w:val="20"/>
                <w:szCs w:val="20"/>
              </w:rPr>
              <w:t>铜Cu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334"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593"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color w:val="auto"/>
                <w:kern w:val="0"/>
                <w:sz w:val="20"/>
                <w:szCs w:val="20"/>
              </w:rPr>
              <w:t>铅Pb</w:t>
            </w:r>
          </w:p>
        </w:tc>
        <w:tc>
          <w:tcPr>
            <w:tcW w:w="1725"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color w:val="auto"/>
                <w:kern w:val="0"/>
                <w:szCs w:val="20"/>
                <w:lang w:val="en-US" w:eastAsia="zh-CN"/>
              </w:rPr>
            </w:pPr>
            <w:r>
              <w:rPr>
                <w:rFonts w:hint="eastAsia"/>
                <w:color w:val="auto"/>
                <w:kern w:val="0"/>
                <w:sz w:val="20"/>
                <w:szCs w:val="20"/>
              </w:rPr>
              <w:t>铅Pb</w:t>
            </w:r>
          </w:p>
        </w:tc>
        <w:tc>
          <w:tcPr>
            <w:tcW w:w="174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color w:val="auto"/>
                <w:kern w:val="0"/>
                <w:sz w:val="20"/>
                <w:szCs w:val="20"/>
              </w:rPr>
            </w:pPr>
            <w:r>
              <w:rPr>
                <w:rFonts w:hint="eastAsia"/>
                <w:color w:val="auto"/>
                <w:kern w:val="0"/>
                <w:sz w:val="20"/>
                <w:szCs w:val="20"/>
              </w:rPr>
              <w:t>铅Pb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334"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593"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color w:val="auto"/>
                <w:kern w:val="0"/>
                <w:sz w:val="20"/>
                <w:szCs w:val="20"/>
              </w:rPr>
              <w:t>锌Zn</w:t>
            </w:r>
          </w:p>
        </w:tc>
        <w:tc>
          <w:tcPr>
            <w:tcW w:w="1725"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color w:val="auto"/>
                <w:kern w:val="0"/>
                <w:szCs w:val="20"/>
                <w:lang w:val="en-US" w:eastAsia="zh-CN"/>
              </w:rPr>
            </w:pPr>
            <w:r>
              <w:rPr>
                <w:rFonts w:hint="eastAsia"/>
                <w:color w:val="auto"/>
                <w:kern w:val="0"/>
                <w:sz w:val="20"/>
                <w:szCs w:val="20"/>
              </w:rPr>
              <w:t>锌Zn</w:t>
            </w:r>
          </w:p>
        </w:tc>
        <w:tc>
          <w:tcPr>
            <w:tcW w:w="174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color w:val="auto"/>
                <w:kern w:val="0"/>
                <w:sz w:val="20"/>
                <w:szCs w:val="20"/>
              </w:rPr>
            </w:pPr>
            <w:r>
              <w:rPr>
                <w:rFonts w:hint="eastAsia"/>
                <w:color w:val="auto"/>
                <w:kern w:val="0"/>
                <w:sz w:val="20"/>
                <w:szCs w:val="20"/>
              </w:rPr>
              <w:t>锌Zn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334"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593"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color w:val="auto"/>
                <w:kern w:val="0"/>
                <w:sz w:val="20"/>
                <w:szCs w:val="20"/>
              </w:rPr>
              <w:t>碳C</w:t>
            </w:r>
          </w:p>
        </w:tc>
        <w:tc>
          <w:tcPr>
            <w:tcW w:w="1725"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color w:val="auto"/>
                <w:kern w:val="0"/>
                <w:szCs w:val="20"/>
                <w:lang w:val="en-US" w:eastAsia="zh-CN"/>
              </w:rPr>
            </w:pPr>
            <w:r>
              <w:rPr>
                <w:rFonts w:hint="eastAsia"/>
                <w:color w:val="auto"/>
                <w:kern w:val="0"/>
                <w:sz w:val="20"/>
                <w:szCs w:val="20"/>
              </w:rPr>
              <w:t>碳C</w:t>
            </w:r>
          </w:p>
        </w:tc>
        <w:tc>
          <w:tcPr>
            <w:tcW w:w="174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color w:val="auto"/>
                <w:kern w:val="0"/>
                <w:sz w:val="20"/>
                <w:szCs w:val="20"/>
              </w:rPr>
            </w:pPr>
            <w:r>
              <w:rPr>
                <w:rFonts w:hint="eastAsia"/>
                <w:color w:val="auto"/>
                <w:kern w:val="0"/>
                <w:sz w:val="20"/>
                <w:szCs w:val="20"/>
              </w:rPr>
              <w:t>碳C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334"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593"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color w:val="auto"/>
                <w:kern w:val="0"/>
                <w:sz w:val="20"/>
                <w:szCs w:val="20"/>
              </w:rPr>
              <w:t>硫S</w:t>
            </w:r>
          </w:p>
        </w:tc>
        <w:tc>
          <w:tcPr>
            <w:tcW w:w="1725"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color w:val="auto"/>
                <w:kern w:val="0"/>
                <w:szCs w:val="20"/>
                <w:lang w:val="en-US" w:eastAsia="zh-CN"/>
              </w:rPr>
            </w:pPr>
            <w:r>
              <w:rPr>
                <w:rFonts w:hint="eastAsia"/>
                <w:color w:val="auto"/>
                <w:kern w:val="0"/>
                <w:sz w:val="20"/>
                <w:szCs w:val="20"/>
              </w:rPr>
              <w:t>硫S</w:t>
            </w:r>
          </w:p>
        </w:tc>
        <w:tc>
          <w:tcPr>
            <w:tcW w:w="174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color w:val="auto"/>
                <w:kern w:val="0"/>
                <w:sz w:val="20"/>
                <w:szCs w:val="20"/>
              </w:rPr>
            </w:pPr>
            <w:r>
              <w:rPr>
                <w:rFonts w:hint="eastAsia"/>
                <w:color w:val="auto"/>
                <w:kern w:val="0"/>
                <w:sz w:val="20"/>
                <w:szCs w:val="20"/>
              </w:rPr>
              <w:t>硫S</w:t>
            </w:r>
          </w:p>
        </w:tc>
      </w:tr>
    </w:tbl>
    <w:p>
      <w:pPr>
        <w:widowControl/>
        <w:spacing w:line="300" w:lineRule="auto"/>
        <w:rPr>
          <w:rFonts w:hint="eastAsia" w:ascii="宋体" w:hAnsi="宋体" w:cs="宋体"/>
          <w:color w:val="auto"/>
          <w:sz w:val="22"/>
          <w:szCs w:val="22"/>
          <w:lang w:eastAsia="zh-CN"/>
        </w:rPr>
      </w:pPr>
    </w:p>
    <w:p>
      <w:pPr>
        <w:widowControl/>
        <w:spacing w:line="300" w:lineRule="auto"/>
        <w:rPr>
          <w:rFonts w:hint="eastAsia" w:ascii="宋体" w:hAnsi="宋体" w:cs="宋体"/>
          <w:color w:val="auto"/>
          <w:sz w:val="22"/>
          <w:szCs w:val="22"/>
          <w:lang w:eastAsia="zh-CN"/>
        </w:rPr>
      </w:pPr>
    </w:p>
    <w:p>
      <w:pPr>
        <w:widowControl/>
        <w:spacing w:line="300" w:lineRule="auto"/>
        <w:rPr>
          <w:rFonts w:hint="eastAsia" w:ascii="宋体" w:hAnsi="宋体" w:cs="宋体"/>
          <w:color w:val="auto"/>
          <w:sz w:val="22"/>
          <w:szCs w:val="22"/>
          <w:lang w:eastAsia="zh-CN"/>
        </w:rPr>
      </w:pPr>
    </w:p>
    <w:p>
      <w:pPr>
        <w:widowControl/>
        <w:spacing w:before="157" w:beforeLines="50" w:after="157" w:afterLines="50" w:line="400" w:lineRule="exact"/>
        <w:ind w:firstLine="440" w:firstLineChars="200"/>
        <w:rPr>
          <w:rFonts w:hint="eastAsia" w:ascii="宋体" w:hAnsi="宋体" w:cs="宋体"/>
          <w:color w:val="auto"/>
          <w:sz w:val="22"/>
          <w:szCs w:val="22"/>
          <w:lang w:val="en-US" w:eastAsia="zh-CN"/>
        </w:rPr>
      </w:pPr>
    </w:p>
    <w:p>
      <w:pPr>
        <w:widowControl/>
        <w:spacing w:before="157" w:beforeLines="50" w:after="157" w:afterLines="50" w:line="400" w:lineRule="exact"/>
        <w:ind w:firstLine="440" w:firstLineChars="200"/>
        <w:rPr>
          <w:rFonts w:hint="eastAsia" w:ascii="宋体" w:hAnsi="宋体" w:cs="宋体"/>
          <w:color w:val="auto"/>
          <w:sz w:val="22"/>
          <w:szCs w:val="22"/>
          <w:lang w:val="en-US" w:eastAsia="zh-CN"/>
        </w:rPr>
      </w:pPr>
    </w:p>
    <w:p>
      <w:pPr>
        <w:widowControl/>
        <w:spacing w:before="157" w:beforeLines="50" w:after="157" w:afterLines="50" w:line="400" w:lineRule="exact"/>
        <w:ind w:firstLine="440" w:firstLineChars="200"/>
        <w:rPr>
          <w:rFonts w:hint="eastAsia" w:ascii="宋体" w:hAnsi="宋体" w:cs="宋体"/>
          <w:color w:val="auto"/>
          <w:sz w:val="22"/>
          <w:szCs w:val="22"/>
          <w:lang w:val="en-US" w:eastAsia="zh-CN"/>
        </w:rPr>
      </w:pPr>
    </w:p>
    <w:p>
      <w:pPr>
        <w:widowControl/>
        <w:spacing w:before="157" w:beforeLines="50" w:after="157" w:afterLines="50" w:line="400" w:lineRule="exact"/>
        <w:ind w:firstLine="440" w:firstLineChars="200"/>
        <w:rPr>
          <w:rFonts w:hint="eastAsia" w:ascii="宋体" w:hAnsi="宋体" w:cs="宋体"/>
          <w:color w:val="auto"/>
          <w:sz w:val="22"/>
          <w:szCs w:val="22"/>
          <w:lang w:val="en-US" w:eastAsia="zh-CN"/>
        </w:rPr>
      </w:pPr>
    </w:p>
    <w:p>
      <w:pPr>
        <w:widowControl/>
        <w:spacing w:before="157" w:beforeLines="50" w:after="157" w:afterLines="50" w:line="400" w:lineRule="exact"/>
        <w:ind w:firstLine="440" w:firstLineChars="20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国外A公司的金属镍产品居世界领先地位。他们的镍阳极材料可提供世界一流的电镀质量。自二十世纪三十年代以来，他们便一直是镍阳极材料的最早生产者及</w:t>
      </w:r>
      <w:r>
        <w:rPr>
          <w:rFonts w:hint="eastAsia" w:ascii="宋体" w:hAnsi="宋体" w:cs="宋体"/>
          <w:color w:val="000000" w:themeColor="text1"/>
          <w:sz w:val="22"/>
          <w:szCs w:val="22"/>
          <w:lang w:val="en-US" w:eastAsia="zh-CN"/>
          <w14:textFill>
            <w14:solidFill>
              <w14:schemeClr w14:val="tx1"/>
            </w14:solidFill>
          </w14:textFill>
        </w:rPr>
        <w:t>行业引领者</w:t>
      </w:r>
      <w:r>
        <w:rPr>
          <w:rFonts w:hint="eastAsia" w:ascii="宋体" w:hAnsi="宋体" w:cs="宋体"/>
          <w:color w:val="auto"/>
          <w:sz w:val="22"/>
          <w:szCs w:val="22"/>
          <w:lang w:val="en-US" w:eastAsia="zh-CN"/>
        </w:rPr>
        <w:t>。他们率先研究出最容易处理的阳极形状、率先开发出完全活性形态，被公认为是一项业界突破。中国从上世界70年代就引进了他们的含硫镍饼和无硫镍饼，国外产品完全垄断了中国市场。</w:t>
      </w:r>
      <w:r>
        <w:rPr>
          <w:rFonts w:hint="eastAsia" w:ascii="宋体" w:hAnsi="宋体" w:cs="宋体"/>
          <w:color w:val="000000" w:themeColor="text1"/>
          <w:sz w:val="22"/>
          <w:szCs w:val="22"/>
          <w:lang w:val="en-US" w:eastAsia="zh-CN"/>
          <w14:textFill>
            <w14:solidFill>
              <w14:schemeClr w14:val="tx1"/>
            </w14:solidFill>
          </w14:textFill>
        </w:rPr>
        <w:t>经过他们多年的研究，最终确定测试的化学成分为：镍、钴、铁、铜、铅、锌、碳、硫</w:t>
      </w:r>
      <w:r>
        <w:rPr>
          <w:rFonts w:hint="eastAsia" w:ascii="宋体" w:hAnsi="宋体" w:cs="宋体"/>
          <w:color w:val="auto"/>
          <w:sz w:val="22"/>
          <w:szCs w:val="22"/>
          <w:lang w:val="en-US" w:eastAsia="zh-CN"/>
        </w:rPr>
        <w:t>。每年中国从这家企业进口量达到8000吨-10000吨/年。</w:t>
      </w:r>
    </w:p>
    <w:p>
      <w:pPr>
        <w:widowControl/>
        <w:spacing w:before="157" w:beforeLines="50" w:after="157" w:afterLines="50" w:line="400" w:lineRule="exact"/>
        <w:ind w:firstLine="440" w:firstLineChars="200"/>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国外B公司进入中国大约在本世纪初，2022年从B公司进镍饼达3000吨。</w:t>
      </w:r>
    </w:p>
    <w:p>
      <w:pPr>
        <w:pStyle w:val="7"/>
        <w:spacing w:before="157" w:beforeLines="50" w:after="157" w:afterLines="50" w:line="400" w:lineRule="exact"/>
        <w:ind w:left="0" w:leftChars="0" w:firstLine="440" w:firstLineChars="20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关于其杂质，在标准中要考虑杂质的性质和对电镀过程的影响情况，可以把各种杂质区分为：</w:t>
      </w:r>
    </w:p>
    <w:p>
      <w:pPr>
        <w:pStyle w:val="7"/>
        <w:spacing w:before="157" w:beforeLines="50" w:after="157" w:afterLines="50" w:line="400" w:lineRule="exact"/>
        <w:ind w:left="0" w:leftChars="0" w:firstLine="442" w:firstLineChars="200"/>
        <w:rPr>
          <w:rFonts w:hint="eastAsia" w:ascii="宋体" w:hAnsi="宋体" w:cs="宋体"/>
          <w:color w:val="auto"/>
          <w:sz w:val="22"/>
          <w:szCs w:val="22"/>
          <w:lang w:val="en-US" w:eastAsia="zh-CN"/>
        </w:rPr>
      </w:pPr>
      <w:r>
        <w:rPr>
          <w:rFonts w:hint="eastAsia" w:ascii="宋体" w:hAnsi="宋体" w:cs="宋体"/>
          <w:b/>
          <w:bCs/>
          <w:color w:val="auto"/>
          <w:sz w:val="22"/>
          <w:szCs w:val="22"/>
          <w:lang w:val="en-US" w:eastAsia="zh-CN"/>
        </w:rPr>
        <w:t>1 良性杂质</w:t>
      </w:r>
      <w:r>
        <w:rPr>
          <w:rFonts w:hint="eastAsia" w:ascii="宋体" w:hAnsi="宋体" w:cs="宋体"/>
          <w:color w:val="auto"/>
          <w:sz w:val="22"/>
          <w:szCs w:val="22"/>
          <w:lang w:val="en-US" w:eastAsia="zh-CN"/>
        </w:rPr>
        <w:t>：如镁，它对电镀镍过程是有益的，可以使镍镀层外观更平滑、洁白。所以，在一些镀液配方中，规定了镁的含量，在配槽液时，加入镁。</w:t>
      </w:r>
    </w:p>
    <w:p>
      <w:pPr>
        <w:pStyle w:val="7"/>
        <w:spacing w:before="157" w:beforeLines="50" w:after="157" w:afterLines="50" w:line="400" w:lineRule="exact"/>
        <w:ind w:left="0" w:leftChars="0" w:firstLine="442" w:firstLineChars="200"/>
        <w:rPr>
          <w:rFonts w:hint="eastAsia" w:ascii="宋体" w:hAnsi="宋体" w:cs="宋体"/>
          <w:color w:val="auto"/>
          <w:sz w:val="22"/>
          <w:szCs w:val="22"/>
          <w:lang w:val="en-US" w:eastAsia="zh-CN"/>
        </w:rPr>
      </w:pPr>
      <w:r>
        <w:rPr>
          <w:rFonts w:hint="eastAsia" w:ascii="宋体" w:hAnsi="宋体" w:cs="宋体"/>
          <w:b/>
          <w:bCs/>
          <w:color w:val="auto"/>
          <w:sz w:val="22"/>
          <w:szCs w:val="22"/>
          <w:lang w:val="en-US" w:eastAsia="zh-CN"/>
        </w:rPr>
        <w:t>2 中性杂质</w:t>
      </w:r>
      <w:r>
        <w:rPr>
          <w:rFonts w:hint="eastAsia" w:ascii="宋体" w:hAnsi="宋体" w:cs="宋体"/>
          <w:color w:val="auto"/>
          <w:sz w:val="22"/>
          <w:szCs w:val="22"/>
          <w:lang w:val="en-US" w:eastAsia="zh-CN"/>
        </w:rPr>
        <w:t>：这类杂质，不会对镀层产生明显正面、负面的影响。如 碳、硅、铝等</w:t>
      </w:r>
    </w:p>
    <w:p>
      <w:pPr>
        <w:pStyle w:val="7"/>
        <w:spacing w:before="157" w:beforeLines="50" w:after="157" w:afterLines="50" w:line="400" w:lineRule="exact"/>
        <w:ind w:left="0" w:leftChars="0" w:firstLine="442" w:firstLineChars="200"/>
        <w:rPr>
          <w:rFonts w:hint="eastAsia" w:ascii="宋体" w:hAnsi="宋体" w:cs="宋体"/>
          <w:color w:val="auto"/>
          <w:sz w:val="22"/>
          <w:szCs w:val="22"/>
          <w:lang w:val="en-US" w:eastAsia="zh-CN"/>
        </w:rPr>
      </w:pPr>
      <w:r>
        <w:rPr>
          <w:rFonts w:hint="eastAsia" w:ascii="宋体" w:hAnsi="宋体" w:cs="宋体"/>
          <w:b/>
          <w:bCs/>
          <w:color w:val="auto"/>
          <w:sz w:val="22"/>
          <w:szCs w:val="22"/>
          <w:lang w:val="en-US" w:eastAsia="zh-CN"/>
        </w:rPr>
        <w:t>3 有害杂质</w:t>
      </w:r>
      <w:r>
        <w:rPr>
          <w:rFonts w:hint="eastAsia" w:ascii="宋体" w:hAnsi="宋体" w:cs="宋体"/>
          <w:color w:val="auto"/>
          <w:sz w:val="22"/>
          <w:szCs w:val="22"/>
          <w:lang w:val="en-US" w:eastAsia="zh-CN"/>
        </w:rPr>
        <w:t>：常见的有害杂质是铁、铜、铅、锌</w:t>
      </w:r>
    </w:p>
    <w:p>
      <w:pPr>
        <w:pStyle w:val="7"/>
        <w:spacing w:before="157" w:beforeLines="50" w:after="157" w:afterLines="50" w:line="400" w:lineRule="exact"/>
        <w:ind w:left="0" w:leftChars="0" w:firstLine="440" w:firstLineChars="20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在各种电镀资料和文献中，一般是把这四种金属杂质列为重点控制工艺条件，铜、锌、铅等金属杂质可在电流密度过小时使镀层变黑。钴、铁和铅会增加镀层硬度。所以，在日常使用中，用户主要关注铁、铜、铅、锌、碳、硫，由于大部分市面在售的镍的其他金属杂质很小，在实际生产过程中很好，基本没什么影响。</w:t>
      </w:r>
    </w:p>
    <w:p>
      <w:pPr>
        <w:pStyle w:val="7"/>
        <w:spacing w:before="157" w:beforeLines="50" w:after="157" w:afterLines="50" w:line="400" w:lineRule="exact"/>
        <w:ind w:left="0" w:leftChars="0" w:firstLine="440" w:firstLineChars="20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根据标准（草案）中确定的有害杂质，测定各种杂质的阈值（临界值），然后在阈值下，规定了一个“安全区”，其值小于“阈值”，在安全区以下，为本标准（草案）的最大允许值。</w:t>
      </w:r>
    </w:p>
    <w:p>
      <w:pPr>
        <w:keepNext w:val="0"/>
        <w:keepLines w:val="0"/>
        <w:widowControl w:val="0"/>
        <w:suppressLineNumbers w:val="0"/>
        <w:spacing w:before="0" w:beforeAutospacing="0" w:after="0" w:afterAutospacing="0"/>
        <w:ind w:left="0" w:right="0"/>
        <w:jc w:val="center"/>
        <w:rPr>
          <w:rFonts w:hint="default" w:eastAsia="宋体"/>
          <w:color w:val="auto"/>
          <w:lang w:val="en-US" w:eastAsia="zh-CN"/>
        </w:rPr>
      </w:pPr>
      <w:r>
        <w:rPr>
          <w:rFonts w:hint="eastAsia" w:ascii="宋体" w:hAnsi="宋体" w:eastAsia="宋体" w:cs="宋体"/>
          <w:b/>
          <w:bCs/>
          <w:color w:val="auto"/>
          <w:sz w:val="22"/>
          <w:szCs w:val="22"/>
          <w:lang w:val="en-US" w:eastAsia="zh-CN"/>
        </w:rPr>
        <w:t>表3 镍饼杂质阈值表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4"/>
        <w:gridCol w:w="2146"/>
        <w:gridCol w:w="2146"/>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364" w:type="dxa"/>
            <w:vAlign w:val="top"/>
          </w:tcPr>
          <w:p>
            <w:pPr>
              <w:pStyle w:val="7"/>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化学成分</w:t>
            </w:r>
          </w:p>
        </w:tc>
        <w:tc>
          <w:tcPr>
            <w:tcW w:w="2364" w:type="dxa"/>
            <w:vAlign w:val="top"/>
          </w:tcPr>
          <w:p>
            <w:pPr>
              <w:pStyle w:val="7"/>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阈值%</w:t>
            </w:r>
          </w:p>
        </w:tc>
        <w:tc>
          <w:tcPr>
            <w:tcW w:w="2364" w:type="dxa"/>
            <w:vAlign w:val="top"/>
          </w:tcPr>
          <w:p>
            <w:pPr>
              <w:pStyle w:val="7"/>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安全值%</w:t>
            </w:r>
          </w:p>
        </w:tc>
        <w:tc>
          <w:tcPr>
            <w:tcW w:w="2365" w:type="dxa"/>
            <w:vAlign w:val="top"/>
          </w:tcPr>
          <w:p>
            <w:pPr>
              <w:pStyle w:val="7"/>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364" w:type="dxa"/>
            <w:vAlign w:val="top"/>
          </w:tcPr>
          <w:p>
            <w:pPr>
              <w:pStyle w:val="7"/>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vertAlign w:val="baseline"/>
                <w:lang w:val="en-US" w:eastAsia="zh-CN"/>
              </w:rPr>
            </w:pPr>
            <w:r>
              <w:rPr>
                <w:rFonts w:hint="eastAsia"/>
                <w:color w:val="auto"/>
                <w:kern w:val="0"/>
                <w:sz w:val="20"/>
                <w:szCs w:val="20"/>
              </w:rPr>
              <w:t>铁Fe</w:t>
            </w:r>
          </w:p>
        </w:tc>
        <w:tc>
          <w:tcPr>
            <w:tcW w:w="2364" w:type="dxa"/>
            <w:vAlign w:val="top"/>
          </w:tcPr>
          <w:p>
            <w:pPr>
              <w:pStyle w:val="7"/>
              <w:keepNext w:val="0"/>
              <w:keepLines w:val="0"/>
              <w:suppressLineNumbers w:val="0"/>
              <w:spacing w:before="0" w:beforeAutospacing="0" w:after="0" w:afterAutospacing="0" w:line="360" w:lineRule="auto"/>
              <w:ind w:left="0" w:leftChars="0" w:right="0" w:firstLine="440" w:firstLineChars="200"/>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0.039</w:t>
            </w:r>
          </w:p>
        </w:tc>
        <w:tc>
          <w:tcPr>
            <w:tcW w:w="2364" w:type="dxa"/>
            <w:vAlign w:val="top"/>
          </w:tcPr>
          <w:p>
            <w:pPr>
              <w:pStyle w:val="7"/>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0.027</w:t>
            </w:r>
          </w:p>
        </w:tc>
        <w:tc>
          <w:tcPr>
            <w:tcW w:w="2365" w:type="dxa"/>
            <w:vAlign w:val="top"/>
          </w:tcPr>
          <w:p>
            <w:pPr>
              <w:pStyle w:val="7"/>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64" w:type="dxa"/>
            <w:vAlign w:val="top"/>
          </w:tcPr>
          <w:p>
            <w:pPr>
              <w:pStyle w:val="7"/>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vertAlign w:val="baseline"/>
                <w:lang w:val="en-US" w:eastAsia="zh-CN"/>
              </w:rPr>
            </w:pPr>
            <w:r>
              <w:rPr>
                <w:rFonts w:hint="eastAsia"/>
                <w:color w:val="auto"/>
                <w:kern w:val="0"/>
                <w:sz w:val="20"/>
                <w:szCs w:val="20"/>
              </w:rPr>
              <w:t>铜Cu</w:t>
            </w:r>
          </w:p>
        </w:tc>
        <w:tc>
          <w:tcPr>
            <w:tcW w:w="2364" w:type="dxa"/>
            <w:vAlign w:val="top"/>
          </w:tcPr>
          <w:p>
            <w:pPr>
              <w:pStyle w:val="7"/>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0.037</w:t>
            </w:r>
          </w:p>
        </w:tc>
        <w:tc>
          <w:tcPr>
            <w:tcW w:w="2364" w:type="dxa"/>
            <w:vAlign w:val="top"/>
          </w:tcPr>
          <w:p>
            <w:pPr>
              <w:pStyle w:val="7"/>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0.026</w:t>
            </w:r>
          </w:p>
        </w:tc>
        <w:tc>
          <w:tcPr>
            <w:tcW w:w="2365" w:type="dxa"/>
            <w:vAlign w:val="top"/>
          </w:tcPr>
          <w:p>
            <w:pPr>
              <w:pStyle w:val="7"/>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364" w:type="dxa"/>
            <w:vAlign w:val="top"/>
          </w:tcPr>
          <w:p>
            <w:pPr>
              <w:pStyle w:val="7"/>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vertAlign w:val="baseline"/>
                <w:lang w:val="en-US" w:eastAsia="zh-CN"/>
              </w:rPr>
            </w:pPr>
            <w:r>
              <w:rPr>
                <w:rFonts w:hint="eastAsia"/>
                <w:color w:val="auto"/>
                <w:kern w:val="0"/>
                <w:sz w:val="20"/>
                <w:szCs w:val="20"/>
              </w:rPr>
              <w:t>铅Pb</w:t>
            </w:r>
          </w:p>
        </w:tc>
        <w:tc>
          <w:tcPr>
            <w:tcW w:w="2364" w:type="dxa"/>
            <w:vAlign w:val="top"/>
          </w:tcPr>
          <w:p>
            <w:pPr>
              <w:pStyle w:val="7"/>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0.01</w:t>
            </w:r>
          </w:p>
        </w:tc>
        <w:tc>
          <w:tcPr>
            <w:tcW w:w="2364" w:type="dxa"/>
            <w:vAlign w:val="top"/>
          </w:tcPr>
          <w:p>
            <w:pPr>
              <w:pStyle w:val="7"/>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0.007</w:t>
            </w:r>
          </w:p>
        </w:tc>
        <w:tc>
          <w:tcPr>
            <w:tcW w:w="2365" w:type="dxa"/>
            <w:vAlign w:val="top"/>
          </w:tcPr>
          <w:p>
            <w:pPr>
              <w:pStyle w:val="7"/>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364" w:type="dxa"/>
            <w:vAlign w:val="top"/>
          </w:tcPr>
          <w:p>
            <w:pPr>
              <w:pStyle w:val="7"/>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vertAlign w:val="baseline"/>
                <w:lang w:val="en-US" w:eastAsia="zh-CN"/>
              </w:rPr>
            </w:pPr>
            <w:r>
              <w:rPr>
                <w:rFonts w:hint="eastAsia"/>
                <w:color w:val="auto"/>
                <w:kern w:val="0"/>
                <w:sz w:val="20"/>
                <w:szCs w:val="20"/>
              </w:rPr>
              <w:t>锌Zn</w:t>
            </w:r>
          </w:p>
        </w:tc>
        <w:tc>
          <w:tcPr>
            <w:tcW w:w="2364" w:type="dxa"/>
            <w:vAlign w:val="top"/>
          </w:tcPr>
          <w:p>
            <w:pPr>
              <w:pStyle w:val="7"/>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0.01</w:t>
            </w:r>
          </w:p>
        </w:tc>
        <w:tc>
          <w:tcPr>
            <w:tcW w:w="2364" w:type="dxa"/>
            <w:vAlign w:val="top"/>
          </w:tcPr>
          <w:p>
            <w:pPr>
              <w:pStyle w:val="7"/>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0.007</w:t>
            </w:r>
          </w:p>
        </w:tc>
        <w:tc>
          <w:tcPr>
            <w:tcW w:w="2365" w:type="dxa"/>
            <w:vAlign w:val="top"/>
          </w:tcPr>
          <w:p>
            <w:pPr>
              <w:pStyle w:val="7"/>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64" w:type="dxa"/>
            <w:vAlign w:val="top"/>
          </w:tcPr>
          <w:p>
            <w:pPr>
              <w:pStyle w:val="7"/>
              <w:keepNext w:val="0"/>
              <w:keepLines w:val="0"/>
              <w:suppressLineNumbers w:val="0"/>
              <w:spacing w:before="0" w:beforeAutospacing="0" w:after="0" w:afterAutospacing="0" w:line="360" w:lineRule="auto"/>
              <w:ind w:left="0" w:right="0"/>
              <w:jc w:val="center"/>
              <w:rPr>
                <w:rFonts w:hint="default" w:eastAsia="宋体"/>
                <w:color w:val="auto"/>
                <w:kern w:val="0"/>
                <w:sz w:val="20"/>
                <w:szCs w:val="20"/>
                <w:lang w:val="en-US" w:eastAsia="zh-CN"/>
              </w:rPr>
            </w:pPr>
            <w:r>
              <w:rPr>
                <w:rFonts w:hint="eastAsia"/>
                <w:color w:val="auto"/>
                <w:kern w:val="0"/>
                <w:sz w:val="20"/>
                <w:szCs w:val="20"/>
                <w:lang w:eastAsia="zh-CN"/>
              </w:rPr>
              <w:t>碳</w:t>
            </w:r>
            <w:r>
              <w:rPr>
                <w:rFonts w:hint="eastAsia"/>
                <w:color w:val="auto"/>
                <w:kern w:val="0"/>
                <w:sz w:val="20"/>
                <w:szCs w:val="20"/>
                <w:lang w:val="en-US" w:eastAsia="zh-CN"/>
              </w:rPr>
              <w:t>C</w:t>
            </w:r>
          </w:p>
        </w:tc>
        <w:tc>
          <w:tcPr>
            <w:tcW w:w="2364" w:type="dxa"/>
            <w:vAlign w:val="top"/>
          </w:tcPr>
          <w:p>
            <w:pPr>
              <w:pStyle w:val="7"/>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0.06</w:t>
            </w:r>
          </w:p>
        </w:tc>
        <w:tc>
          <w:tcPr>
            <w:tcW w:w="2364" w:type="dxa"/>
            <w:vAlign w:val="top"/>
          </w:tcPr>
          <w:p>
            <w:pPr>
              <w:pStyle w:val="7"/>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0.042</w:t>
            </w:r>
          </w:p>
        </w:tc>
        <w:tc>
          <w:tcPr>
            <w:tcW w:w="2365" w:type="dxa"/>
            <w:vAlign w:val="top"/>
          </w:tcPr>
          <w:p>
            <w:pPr>
              <w:pStyle w:val="7"/>
              <w:keepNext w:val="0"/>
              <w:keepLines w:val="0"/>
              <w:suppressLineNumbers w:val="0"/>
              <w:spacing w:before="0" w:beforeAutospacing="0" w:after="0" w:afterAutospacing="0" w:line="360" w:lineRule="auto"/>
              <w:ind w:left="0" w:right="0"/>
              <w:jc w:val="center"/>
              <w:rPr>
                <w:rFonts w:hint="default" w:ascii="宋体" w:hAnsi="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0.03</w:t>
            </w:r>
          </w:p>
        </w:tc>
      </w:tr>
    </w:tbl>
    <w:p>
      <w:pPr>
        <w:pStyle w:val="7"/>
        <w:spacing w:line="360" w:lineRule="auto"/>
        <w:ind w:left="0" w:leftChars="0" w:firstLine="0" w:firstLineChars="0"/>
        <w:rPr>
          <w:rFonts w:hint="eastAsia" w:ascii="宋体" w:hAnsi="宋体" w:cs="宋体"/>
          <w:color w:val="auto"/>
          <w:sz w:val="22"/>
          <w:szCs w:val="22"/>
          <w:lang w:val="en-US" w:eastAsia="zh-CN"/>
        </w:rPr>
      </w:pPr>
    </w:p>
    <w:p>
      <w:pPr>
        <w:pStyle w:val="7"/>
        <w:spacing w:line="360" w:lineRule="auto"/>
        <w:ind w:left="0" w:leftChars="0" w:firstLine="0" w:firstLineChars="0"/>
        <w:rPr>
          <w:rFonts w:hint="eastAsia" w:ascii="宋体" w:hAnsi="宋体" w:cs="宋体"/>
          <w:color w:val="auto"/>
          <w:sz w:val="22"/>
          <w:szCs w:val="22"/>
          <w:lang w:val="en-US" w:eastAsia="zh-CN"/>
        </w:rPr>
      </w:pPr>
    </w:p>
    <w:p>
      <w:pPr>
        <w:pStyle w:val="7"/>
        <w:spacing w:line="360" w:lineRule="auto"/>
        <w:ind w:left="0" w:leftChars="0" w:firstLine="0" w:firstLineChars="0"/>
        <w:rPr>
          <w:rFonts w:hint="eastAsia" w:ascii="宋体" w:hAnsi="宋体" w:cs="宋体"/>
          <w:b/>
          <w:bCs/>
          <w:color w:val="auto"/>
          <w:sz w:val="22"/>
          <w:szCs w:val="22"/>
          <w:lang w:val="en-US" w:eastAsia="zh-CN"/>
        </w:rPr>
      </w:pPr>
      <w:r>
        <w:rPr>
          <w:rFonts w:hint="eastAsia" w:ascii="宋体" w:hAnsi="宋体" w:cs="宋体"/>
          <w:b/>
          <w:bCs/>
          <w:color w:val="auto"/>
          <w:sz w:val="22"/>
          <w:szCs w:val="22"/>
          <w:lang w:val="en-US" w:eastAsia="zh-CN"/>
        </w:rPr>
        <w:t>2.3.1 镍饼标准指标的确定</w:t>
      </w:r>
    </w:p>
    <w:p>
      <w:pPr>
        <w:pStyle w:val="7"/>
        <w:spacing w:line="360" w:lineRule="auto"/>
        <w:ind w:left="0" w:leftChars="0" w:firstLine="0" w:firstLineChars="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对不同行业的含硫镍饼使用企业进行了调研，得到使用企业对含硫镍饼成分控制要求如下表：</w:t>
      </w:r>
    </w:p>
    <w:p>
      <w:pPr>
        <w:pStyle w:val="7"/>
        <w:spacing w:line="360" w:lineRule="auto"/>
        <w:ind w:left="0" w:leftChars="0" w:firstLine="0" w:firstLineChars="0"/>
        <w:jc w:val="center"/>
        <w:rPr>
          <w:rFonts w:hint="default" w:ascii="宋体" w:hAnsi="宋体" w:cs="宋体"/>
          <w:color w:val="auto"/>
          <w:sz w:val="22"/>
          <w:szCs w:val="22"/>
          <w:lang w:val="en-US" w:eastAsia="zh-CN"/>
        </w:rPr>
      </w:pPr>
      <w:r>
        <w:rPr>
          <w:rFonts w:hint="eastAsia" w:ascii="宋体" w:hAnsi="宋体" w:cs="宋体"/>
          <w:b/>
          <w:bCs/>
          <w:color w:val="auto"/>
          <w:sz w:val="22"/>
          <w:szCs w:val="22"/>
          <w:lang w:val="en-US" w:eastAsia="zh-CN"/>
        </w:rPr>
        <w:t>表4  国内企业对含硫镍饼成分控制表</w:t>
      </w:r>
    </w:p>
    <w:tbl>
      <w:tblPr>
        <w:tblStyle w:val="3"/>
        <w:tblpPr w:leftFromText="180" w:rightFromText="180" w:vertAnchor="text" w:horzAnchor="page" w:tblpX="1192" w:tblpY="198"/>
        <w:tblOverlap w:val="never"/>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919"/>
        <w:gridCol w:w="959"/>
        <w:gridCol w:w="1818"/>
        <w:gridCol w:w="1632"/>
        <w:gridCol w:w="1631"/>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977" w:type="dxa"/>
            <w:gridSpan w:val="3"/>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818" w:type="dxa"/>
            <w:noWrap w:val="0"/>
            <w:vAlign w:val="center"/>
          </w:tcPr>
          <w:p>
            <w:pPr>
              <w:keepNext w:val="0"/>
              <w:keepLines w:val="0"/>
              <w:widowControl/>
              <w:suppressLineNumbers w:val="0"/>
              <w:tabs>
                <w:tab w:val="left" w:pos="1263"/>
                <w:tab w:val="center" w:pos="4201"/>
                <w:tab w:val="right" w:leader="dot" w:pos="9298"/>
              </w:tabs>
              <w:autoSpaceDE w:val="0"/>
              <w:autoSpaceDN w:val="0"/>
              <w:spacing w:before="0" w:beforeAutospacing="0" w:after="0" w:afterAutospacing="0"/>
              <w:ind w:left="0" w:right="0"/>
              <w:jc w:val="center"/>
              <w:rPr>
                <w:rFonts w:hint="eastAsia" w:ascii="宋体" w:eastAsia="宋体"/>
                <w:color w:val="auto"/>
                <w:kern w:val="0"/>
                <w:szCs w:val="20"/>
                <w:lang w:val="en-US" w:eastAsia="zh-CN"/>
              </w:rPr>
            </w:pPr>
            <w:r>
              <w:rPr>
                <w:rFonts w:hint="eastAsia" w:ascii="宋体"/>
                <w:color w:val="auto"/>
                <w:kern w:val="0"/>
                <w:szCs w:val="20"/>
                <w:lang w:val="en-US" w:eastAsia="zh-CN"/>
              </w:rPr>
              <w:t>A国内企业</w:t>
            </w:r>
          </w:p>
        </w:tc>
        <w:tc>
          <w:tcPr>
            <w:tcW w:w="1632" w:type="dxa"/>
            <w:noWrap w:val="0"/>
            <w:vAlign w:val="center"/>
          </w:tcPr>
          <w:p>
            <w:pPr>
              <w:keepNext w:val="0"/>
              <w:keepLines w:val="0"/>
              <w:widowControl/>
              <w:suppressLineNumbers w:val="0"/>
              <w:tabs>
                <w:tab w:val="left" w:pos="1263"/>
                <w:tab w:val="center" w:pos="4201"/>
                <w:tab w:val="right" w:leader="dot" w:pos="9298"/>
              </w:tabs>
              <w:autoSpaceDE w:val="0"/>
              <w:autoSpaceDN w:val="0"/>
              <w:spacing w:before="0" w:beforeAutospacing="0" w:after="0" w:afterAutospacing="0"/>
              <w:ind w:left="0" w:right="0"/>
              <w:jc w:val="center"/>
              <w:rPr>
                <w:rFonts w:hint="eastAsia" w:ascii="宋体" w:eastAsia="宋体"/>
                <w:color w:val="auto"/>
                <w:kern w:val="0"/>
                <w:szCs w:val="20"/>
                <w:lang w:val="en-US" w:eastAsia="zh-CN"/>
              </w:rPr>
            </w:pPr>
            <w:r>
              <w:rPr>
                <w:rFonts w:hint="eastAsia" w:ascii="宋体"/>
                <w:color w:val="auto"/>
                <w:kern w:val="0"/>
                <w:szCs w:val="20"/>
                <w:lang w:val="en-US" w:eastAsia="zh-CN"/>
              </w:rPr>
              <w:t>B国内企业</w:t>
            </w:r>
          </w:p>
        </w:tc>
        <w:tc>
          <w:tcPr>
            <w:tcW w:w="1631" w:type="dxa"/>
            <w:noWrap w:val="0"/>
            <w:vAlign w:val="center"/>
          </w:tcPr>
          <w:p>
            <w:pPr>
              <w:keepNext w:val="0"/>
              <w:keepLines w:val="0"/>
              <w:widowControl/>
              <w:suppressLineNumbers w:val="0"/>
              <w:tabs>
                <w:tab w:val="left" w:pos="1263"/>
                <w:tab w:val="center" w:pos="4201"/>
                <w:tab w:val="right" w:leader="dot" w:pos="9298"/>
              </w:tabs>
              <w:autoSpaceDE w:val="0"/>
              <w:autoSpaceDN w:val="0"/>
              <w:spacing w:before="0" w:beforeAutospacing="0" w:after="0" w:afterAutospacing="0"/>
              <w:ind w:left="0" w:right="0"/>
              <w:jc w:val="center"/>
              <w:rPr>
                <w:rFonts w:hint="eastAsia" w:ascii="宋体"/>
                <w:color w:val="auto"/>
                <w:kern w:val="0"/>
                <w:szCs w:val="20"/>
                <w:lang w:val="en-US" w:eastAsia="zh-CN"/>
              </w:rPr>
            </w:pPr>
            <w:r>
              <w:rPr>
                <w:rFonts w:hint="eastAsia" w:ascii="宋体"/>
                <w:color w:val="auto"/>
                <w:kern w:val="0"/>
                <w:szCs w:val="20"/>
                <w:lang w:val="en-US" w:eastAsia="zh-CN"/>
              </w:rPr>
              <w:t>C国内企业</w:t>
            </w:r>
          </w:p>
        </w:tc>
        <w:tc>
          <w:tcPr>
            <w:tcW w:w="1669" w:type="dxa"/>
            <w:noWrap w:val="0"/>
            <w:vAlign w:val="center"/>
          </w:tcPr>
          <w:p>
            <w:pPr>
              <w:keepNext w:val="0"/>
              <w:keepLines w:val="0"/>
              <w:widowControl/>
              <w:suppressLineNumbers w:val="0"/>
              <w:tabs>
                <w:tab w:val="left" w:pos="1263"/>
                <w:tab w:val="center" w:pos="4201"/>
                <w:tab w:val="right" w:leader="dot" w:pos="9298"/>
              </w:tabs>
              <w:autoSpaceDE w:val="0"/>
              <w:autoSpaceDN w:val="0"/>
              <w:spacing w:before="0" w:beforeAutospacing="0" w:after="0" w:afterAutospacing="0"/>
              <w:ind w:left="0" w:right="0"/>
              <w:jc w:val="center"/>
              <w:rPr>
                <w:rFonts w:hint="eastAsia" w:ascii="宋体"/>
                <w:color w:val="auto"/>
                <w:kern w:val="0"/>
                <w:szCs w:val="20"/>
                <w:lang w:val="en-US" w:eastAsia="zh-CN"/>
              </w:rPr>
            </w:pPr>
            <w:r>
              <w:rPr>
                <w:rFonts w:hint="eastAsia" w:ascii="宋体"/>
                <w:color w:val="auto"/>
                <w:kern w:val="0"/>
                <w:szCs w:val="20"/>
                <w:lang w:val="en-US" w:eastAsia="zh-CN"/>
              </w:rPr>
              <w:t>D国内企业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977" w:type="dxa"/>
            <w:gridSpan w:val="3"/>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color w:val="auto"/>
                <w:kern w:val="0"/>
                <w:szCs w:val="20"/>
              </w:rPr>
            </w:pPr>
            <w:r>
              <w:rPr>
                <w:rFonts w:hint="eastAsia" w:ascii="宋体"/>
                <w:color w:val="auto"/>
                <w:kern w:val="0"/>
                <w:szCs w:val="20"/>
              </w:rPr>
              <w:t>牌号</w:t>
            </w:r>
          </w:p>
        </w:tc>
        <w:tc>
          <w:tcPr>
            <w:tcW w:w="181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color w:val="auto"/>
                <w:kern w:val="0"/>
                <w:szCs w:val="20"/>
                <w:lang w:val="en-US" w:eastAsia="zh-CN"/>
              </w:rPr>
            </w:pPr>
            <w:r>
              <w:rPr>
                <w:rFonts w:hint="eastAsia" w:ascii="宋体"/>
                <w:color w:val="auto"/>
                <w:kern w:val="0"/>
                <w:szCs w:val="20"/>
                <w:lang w:val="en-US" w:eastAsia="zh-CN"/>
              </w:rPr>
              <w:t>Ni（R）-S</w:t>
            </w:r>
          </w:p>
        </w:tc>
        <w:tc>
          <w:tcPr>
            <w:tcW w:w="1632"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color w:val="auto"/>
                <w:kern w:val="0"/>
                <w:szCs w:val="20"/>
                <w:lang w:val="en-US" w:eastAsia="zh-CN"/>
              </w:rPr>
            </w:pPr>
            <w:r>
              <w:rPr>
                <w:rFonts w:hint="eastAsia" w:ascii="宋体"/>
                <w:color w:val="auto"/>
                <w:kern w:val="0"/>
                <w:szCs w:val="20"/>
                <w:lang w:val="en-US" w:eastAsia="zh-CN"/>
              </w:rPr>
              <w:t>Ni（R）-S</w:t>
            </w:r>
          </w:p>
        </w:tc>
        <w:tc>
          <w:tcPr>
            <w:tcW w:w="1631"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color w:val="auto"/>
                <w:kern w:val="0"/>
                <w:szCs w:val="20"/>
                <w:lang w:val="en-US" w:eastAsia="zh-CN"/>
              </w:rPr>
            </w:pPr>
            <w:r>
              <w:rPr>
                <w:rFonts w:hint="eastAsia" w:ascii="宋体"/>
                <w:color w:val="auto"/>
                <w:kern w:val="0"/>
                <w:szCs w:val="20"/>
                <w:lang w:val="en-US" w:eastAsia="zh-CN"/>
              </w:rPr>
              <w:t>Ni（R）-S</w:t>
            </w:r>
          </w:p>
        </w:tc>
        <w:tc>
          <w:tcPr>
            <w:tcW w:w="166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color w:val="auto"/>
                <w:kern w:val="0"/>
                <w:szCs w:val="20"/>
                <w:lang w:val="en-US" w:eastAsia="zh-CN"/>
              </w:rPr>
            </w:pPr>
            <w:r>
              <w:rPr>
                <w:rFonts w:hint="eastAsia" w:ascii="宋体"/>
                <w:color w:val="auto"/>
                <w:kern w:val="0"/>
                <w:szCs w:val="20"/>
                <w:lang w:val="en-US" w:eastAsia="zh-CN"/>
              </w:rPr>
              <w:t>Ni（R）-S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restart"/>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ascii="宋体"/>
                <w:color w:val="auto"/>
                <w:kern w:val="0"/>
                <w:szCs w:val="20"/>
              </w:rPr>
              <w:t>化学成分（质量分数）</w:t>
            </w:r>
          </w:p>
        </w:tc>
        <w:tc>
          <w:tcPr>
            <w:tcW w:w="1878" w:type="dxa"/>
            <w:gridSpan w:val="2"/>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eastAsia="宋体"/>
                <w:color w:val="auto"/>
                <w:kern w:val="0"/>
                <w:szCs w:val="20"/>
                <w:lang w:eastAsia="zh-CN"/>
              </w:rPr>
            </w:pPr>
            <w:r>
              <w:rPr>
                <w:rFonts w:hint="eastAsia"/>
                <w:color w:val="auto"/>
                <w:kern w:val="0"/>
                <w:sz w:val="20"/>
                <w:szCs w:val="20"/>
              </w:rPr>
              <w:t>（Ni+Co)/%</w:t>
            </w:r>
            <w:r>
              <w:rPr>
                <w:rFonts w:hint="eastAsia"/>
                <w:color w:val="auto"/>
                <w:kern w:val="0"/>
                <w:sz w:val="20"/>
                <w:szCs w:val="20"/>
                <w:lang w:eastAsia="zh-CN"/>
              </w:rPr>
              <w:t>不小于</w:t>
            </w:r>
          </w:p>
        </w:tc>
        <w:tc>
          <w:tcPr>
            <w:tcW w:w="181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99.8</w:t>
            </w:r>
          </w:p>
        </w:tc>
        <w:tc>
          <w:tcPr>
            <w:tcW w:w="1632"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lang w:val="en-US"/>
              </w:rPr>
            </w:pPr>
            <w:r>
              <w:rPr>
                <w:rFonts w:hint="eastAsia" w:ascii="宋体"/>
                <w:color w:val="auto"/>
                <w:kern w:val="0"/>
                <w:szCs w:val="20"/>
                <w:lang w:val="en-US" w:eastAsia="zh-CN"/>
              </w:rPr>
              <w:t>99.7</w:t>
            </w:r>
          </w:p>
        </w:tc>
        <w:tc>
          <w:tcPr>
            <w:tcW w:w="1631"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leftChars="0" w:right="0" w:rightChars="0"/>
              <w:jc w:val="center"/>
              <w:rPr>
                <w:rFonts w:hint="eastAsia" w:ascii="宋体"/>
                <w:color w:val="auto"/>
                <w:kern w:val="0"/>
                <w:szCs w:val="20"/>
                <w:lang w:val="en-US" w:eastAsia="zh-CN"/>
              </w:rPr>
            </w:pPr>
            <w:r>
              <w:rPr>
                <w:rFonts w:hint="eastAsia" w:ascii="宋体"/>
                <w:color w:val="auto"/>
                <w:kern w:val="0"/>
                <w:szCs w:val="20"/>
                <w:lang w:val="en-US" w:eastAsia="zh-CN"/>
              </w:rPr>
              <w:t>99.8</w:t>
            </w:r>
          </w:p>
        </w:tc>
        <w:tc>
          <w:tcPr>
            <w:tcW w:w="166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leftChars="0" w:right="0" w:rightChars="0"/>
              <w:jc w:val="center"/>
              <w:rPr>
                <w:rFonts w:hint="eastAsia" w:ascii="宋体"/>
                <w:color w:val="auto"/>
                <w:kern w:val="0"/>
                <w:szCs w:val="20"/>
                <w:lang w:val="en-US" w:eastAsia="zh-CN"/>
              </w:rPr>
            </w:pPr>
            <w:r>
              <w:rPr>
                <w:rFonts w:hint="eastAsia" w:ascii="宋体"/>
                <w:color w:val="auto"/>
                <w:kern w:val="0"/>
                <w:szCs w:val="20"/>
                <w:lang w:val="en-US" w:eastAsia="zh-CN"/>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878" w:type="dxa"/>
            <w:gridSpan w:val="2"/>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eastAsia="宋体"/>
                <w:color w:val="auto"/>
                <w:kern w:val="0"/>
                <w:szCs w:val="20"/>
                <w:lang w:eastAsia="zh-CN"/>
              </w:rPr>
            </w:pPr>
            <w:r>
              <w:rPr>
                <w:rFonts w:hint="eastAsia"/>
                <w:color w:val="auto"/>
                <w:kern w:val="0"/>
                <w:sz w:val="20"/>
                <w:szCs w:val="20"/>
              </w:rPr>
              <w:t>Co/%</w:t>
            </w:r>
            <w:r>
              <w:rPr>
                <w:rFonts w:hint="eastAsia"/>
                <w:color w:val="auto"/>
                <w:kern w:val="0"/>
                <w:sz w:val="20"/>
                <w:szCs w:val="20"/>
                <w:lang w:eastAsia="zh-CN"/>
              </w:rPr>
              <w:t>不大于</w:t>
            </w:r>
          </w:p>
        </w:tc>
        <w:tc>
          <w:tcPr>
            <w:tcW w:w="181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0.15</w:t>
            </w:r>
          </w:p>
        </w:tc>
        <w:tc>
          <w:tcPr>
            <w:tcW w:w="1632"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w:t>
            </w:r>
          </w:p>
        </w:tc>
        <w:tc>
          <w:tcPr>
            <w:tcW w:w="1631"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leftChars="0" w:right="0" w:rightChars="0"/>
              <w:jc w:val="center"/>
              <w:rPr>
                <w:rFonts w:hint="eastAsia" w:ascii="宋体"/>
                <w:color w:val="auto"/>
                <w:kern w:val="0"/>
                <w:szCs w:val="20"/>
                <w:lang w:val="en-US" w:eastAsia="zh-CN"/>
              </w:rPr>
            </w:pPr>
            <w:r>
              <w:rPr>
                <w:rFonts w:hint="eastAsia" w:ascii="宋体"/>
                <w:color w:val="auto"/>
                <w:kern w:val="0"/>
                <w:szCs w:val="20"/>
                <w:lang w:val="en-US" w:eastAsia="zh-CN"/>
              </w:rPr>
              <w:t>0.15</w:t>
            </w:r>
          </w:p>
        </w:tc>
        <w:tc>
          <w:tcPr>
            <w:tcW w:w="166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leftChars="0" w:right="0" w:rightChars="0"/>
              <w:jc w:val="center"/>
              <w:rPr>
                <w:rFonts w:hint="eastAsia" w:ascii="宋体"/>
                <w:color w:val="auto"/>
                <w:kern w:val="0"/>
                <w:szCs w:val="20"/>
                <w:lang w:val="en-US" w:eastAsia="zh-CN"/>
              </w:rPr>
            </w:pPr>
            <w:r>
              <w:rPr>
                <w:rFonts w:hint="eastAsia" w:ascii="宋体"/>
                <w:color w:val="auto"/>
                <w:kern w:val="0"/>
                <w:szCs w:val="20"/>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19" w:type="dxa"/>
            <w:vMerge w:val="restart"/>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杂质含量/%，不大于</w:t>
            </w:r>
          </w:p>
        </w:tc>
        <w:tc>
          <w:tcPr>
            <w:tcW w:w="95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铁Fe</w:t>
            </w:r>
          </w:p>
        </w:tc>
        <w:tc>
          <w:tcPr>
            <w:tcW w:w="181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0.02</w:t>
            </w:r>
          </w:p>
        </w:tc>
        <w:tc>
          <w:tcPr>
            <w:tcW w:w="1632"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w:t>
            </w:r>
          </w:p>
        </w:tc>
        <w:tc>
          <w:tcPr>
            <w:tcW w:w="1631"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leftChars="0" w:right="0" w:rightChars="0"/>
              <w:jc w:val="center"/>
              <w:rPr>
                <w:rFonts w:hint="eastAsia" w:ascii="宋体"/>
                <w:color w:val="auto"/>
                <w:kern w:val="0"/>
                <w:szCs w:val="20"/>
                <w:lang w:val="en-US" w:eastAsia="zh-CN"/>
              </w:rPr>
            </w:pPr>
            <w:r>
              <w:rPr>
                <w:rFonts w:hint="eastAsia" w:ascii="宋体"/>
                <w:color w:val="auto"/>
                <w:kern w:val="0"/>
                <w:szCs w:val="20"/>
                <w:lang w:val="en-US" w:eastAsia="zh-CN"/>
              </w:rPr>
              <w:t>0.02</w:t>
            </w:r>
          </w:p>
        </w:tc>
        <w:tc>
          <w:tcPr>
            <w:tcW w:w="166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leftChars="0" w:right="0" w:rightChars="0"/>
              <w:jc w:val="center"/>
              <w:rPr>
                <w:rFonts w:hint="eastAsia" w:ascii="宋体"/>
                <w:color w:val="auto"/>
                <w:kern w:val="0"/>
                <w:szCs w:val="20"/>
                <w:lang w:val="en-US" w:eastAsia="zh-CN"/>
              </w:rPr>
            </w:pPr>
            <w:r>
              <w:rPr>
                <w:rFonts w:hint="eastAsia" w:ascii="宋体"/>
                <w:color w:val="auto"/>
                <w:kern w:val="0"/>
                <w:szCs w:val="20"/>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19" w:type="dxa"/>
            <w:vMerge w:val="continue"/>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5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铜Cu</w:t>
            </w:r>
          </w:p>
        </w:tc>
        <w:tc>
          <w:tcPr>
            <w:tcW w:w="181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0.02</w:t>
            </w:r>
          </w:p>
        </w:tc>
        <w:tc>
          <w:tcPr>
            <w:tcW w:w="1632"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eastAsia="宋体"/>
                <w:color w:val="auto"/>
                <w:kern w:val="0"/>
                <w:szCs w:val="20"/>
                <w:lang w:val="en-US" w:eastAsia="zh-CN"/>
              </w:rPr>
            </w:pPr>
            <w:r>
              <w:rPr>
                <w:rFonts w:hint="eastAsia" w:ascii="宋体"/>
                <w:color w:val="auto"/>
                <w:kern w:val="0"/>
                <w:szCs w:val="20"/>
                <w:lang w:val="en-US" w:eastAsia="zh-CN"/>
              </w:rPr>
              <w:t>/</w:t>
            </w:r>
          </w:p>
        </w:tc>
        <w:tc>
          <w:tcPr>
            <w:tcW w:w="1631"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leftChars="0" w:right="0" w:rightChars="0"/>
              <w:jc w:val="center"/>
              <w:rPr>
                <w:rFonts w:hint="eastAsia" w:ascii="宋体"/>
                <w:color w:val="auto"/>
                <w:kern w:val="0"/>
                <w:szCs w:val="20"/>
                <w:lang w:val="en-US" w:eastAsia="zh-CN"/>
              </w:rPr>
            </w:pPr>
            <w:r>
              <w:rPr>
                <w:rFonts w:hint="eastAsia" w:ascii="宋体"/>
                <w:color w:val="auto"/>
                <w:kern w:val="0"/>
                <w:szCs w:val="20"/>
                <w:lang w:val="en-US" w:eastAsia="zh-CN"/>
              </w:rPr>
              <w:t>0.02</w:t>
            </w:r>
          </w:p>
        </w:tc>
        <w:tc>
          <w:tcPr>
            <w:tcW w:w="166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leftChars="0" w:right="0" w:rightChars="0"/>
              <w:jc w:val="center"/>
              <w:rPr>
                <w:rFonts w:hint="eastAsia" w:ascii="宋体"/>
                <w:color w:val="auto"/>
                <w:kern w:val="0"/>
                <w:szCs w:val="20"/>
                <w:lang w:val="en-US" w:eastAsia="zh-CN"/>
              </w:rPr>
            </w:pPr>
            <w:r>
              <w:rPr>
                <w:rFonts w:hint="eastAsia" w:ascii="宋体"/>
                <w:color w:val="auto"/>
                <w:kern w:val="0"/>
                <w:szCs w:val="20"/>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19" w:type="dxa"/>
            <w:vMerge w:val="continue"/>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5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铅Pb</w:t>
            </w:r>
          </w:p>
        </w:tc>
        <w:tc>
          <w:tcPr>
            <w:tcW w:w="181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0.005</w:t>
            </w:r>
          </w:p>
        </w:tc>
        <w:tc>
          <w:tcPr>
            <w:tcW w:w="1632"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eastAsia="宋体"/>
                <w:color w:val="auto"/>
                <w:kern w:val="0"/>
                <w:szCs w:val="20"/>
                <w:lang w:val="en-US" w:eastAsia="zh-CN"/>
              </w:rPr>
            </w:pPr>
            <w:r>
              <w:rPr>
                <w:rFonts w:hint="eastAsia" w:ascii="宋体"/>
                <w:color w:val="auto"/>
                <w:kern w:val="0"/>
                <w:szCs w:val="20"/>
                <w:lang w:val="en-US" w:eastAsia="zh-CN"/>
              </w:rPr>
              <w:t>/</w:t>
            </w:r>
          </w:p>
        </w:tc>
        <w:tc>
          <w:tcPr>
            <w:tcW w:w="1631"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leftChars="0" w:right="0" w:rightChars="0"/>
              <w:jc w:val="center"/>
              <w:rPr>
                <w:rFonts w:hint="eastAsia" w:ascii="宋体"/>
                <w:color w:val="auto"/>
                <w:kern w:val="0"/>
                <w:szCs w:val="20"/>
                <w:lang w:val="en-US" w:eastAsia="zh-CN"/>
              </w:rPr>
            </w:pPr>
            <w:r>
              <w:rPr>
                <w:rFonts w:hint="eastAsia" w:ascii="宋体"/>
                <w:color w:val="auto"/>
                <w:kern w:val="0"/>
                <w:szCs w:val="20"/>
                <w:lang w:val="en-US" w:eastAsia="zh-CN"/>
              </w:rPr>
              <w:t>0.005</w:t>
            </w:r>
          </w:p>
        </w:tc>
        <w:tc>
          <w:tcPr>
            <w:tcW w:w="166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leftChars="0" w:right="0" w:rightChars="0"/>
              <w:jc w:val="center"/>
              <w:rPr>
                <w:rFonts w:hint="eastAsia" w:ascii="宋体"/>
                <w:color w:val="auto"/>
                <w:kern w:val="0"/>
                <w:szCs w:val="20"/>
                <w:lang w:val="en-US" w:eastAsia="zh-CN"/>
              </w:rPr>
            </w:pPr>
            <w:r>
              <w:rPr>
                <w:rFonts w:hint="eastAsia" w:ascii="宋体"/>
                <w:color w:val="auto"/>
                <w:kern w:val="0"/>
                <w:szCs w:val="20"/>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19" w:type="dxa"/>
            <w:vMerge w:val="continue"/>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5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锌Zn</w:t>
            </w:r>
          </w:p>
        </w:tc>
        <w:tc>
          <w:tcPr>
            <w:tcW w:w="181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0.005</w:t>
            </w:r>
          </w:p>
        </w:tc>
        <w:tc>
          <w:tcPr>
            <w:tcW w:w="1632"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eastAsia="宋体"/>
                <w:color w:val="auto"/>
                <w:kern w:val="0"/>
                <w:szCs w:val="20"/>
                <w:lang w:val="en-US" w:eastAsia="zh-CN"/>
              </w:rPr>
            </w:pPr>
            <w:r>
              <w:rPr>
                <w:rFonts w:hint="eastAsia" w:ascii="宋体"/>
                <w:color w:val="auto"/>
                <w:kern w:val="0"/>
                <w:szCs w:val="20"/>
                <w:lang w:val="en-US" w:eastAsia="zh-CN"/>
              </w:rPr>
              <w:t>/</w:t>
            </w:r>
          </w:p>
        </w:tc>
        <w:tc>
          <w:tcPr>
            <w:tcW w:w="1631"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leftChars="0" w:right="0" w:rightChars="0"/>
              <w:jc w:val="center"/>
              <w:rPr>
                <w:rFonts w:hint="eastAsia" w:ascii="宋体"/>
                <w:color w:val="auto"/>
                <w:kern w:val="0"/>
                <w:szCs w:val="20"/>
                <w:lang w:val="en-US" w:eastAsia="zh-CN"/>
              </w:rPr>
            </w:pPr>
            <w:r>
              <w:rPr>
                <w:rFonts w:hint="eastAsia" w:ascii="宋体"/>
                <w:color w:val="auto"/>
                <w:kern w:val="0"/>
                <w:szCs w:val="20"/>
                <w:lang w:val="en-US" w:eastAsia="zh-CN"/>
              </w:rPr>
              <w:t>0.005</w:t>
            </w:r>
          </w:p>
        </w:tc>
        <w:tc>
          <w:tcPr>
            <w:tcW w:w="166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leftChars="0" w:right="0" w:rightChars="0"/>
              <w:jc w:val="center"/>
              <w:rPr>
                <w:rFonts w:hint="eastAsia" w:ascii="宋体"/>
                <w:color w:val="auto"/>
                <w:kern w:val="0"/>
                <w:szCs w:val="20"/>
                <w:lang w:val="en-US" w:eastAsia="zh-CN"/>
              </w:rPr>
            </w:pPr>
            <w:r>
              <w:rPr>
                <w:rFonts w:hint="eastAsia" w:ascii="宋体"/>
                <w:color w:val="auto"/>
                <w:kern w:val="0"/>
                <w:szCs w:val="20"/>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19" w:type="dxa"/>
            <w:vMerge w:val="continue"/>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5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碳C</w:t>
            </w:r>
          </w:p>
        </w:tc>
        <w:tc>
          <w:tcPr>
            <w:tcW w:w="181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0.03</w:t>
            </w:r>
          </w:p>
        </w:tc>
        <w:tc>
          <w:tcPr>
            <w:tcW w:w="1632"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0.02</w:t>
            </w:r>
          </w:p>
        </w:tc>
        <w:tc>
          <w:tcPr>
            <w:tcW w:w="1631"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leftChars="0" w:right="0" w:rightChars="0"/>
              <w:jc w:val="center"/>
              <w:rPr>
                <w:rFonts w:hint="eastAsia" w:ascii="宋体"/>
                <w:color w:val="auto"/>
                <w:kern w:val="0"/>
                <w:szCs w:val="20"/>
                <w:lang w:val="en-US" w:eastAsia="zh-CN"/>
              </w:rPr>
            </w:pPr>
            <w:r>
              <w:rPr>
                <w:rFonts w:hint="eastAsia" w:ascii="宋体"/>
                <w:color w:val="auto"/>
                <w:kern w:val="0"/>
                <w:szCs w:val="20"/>
                <w:lang w:val="en-US" w:eastAsia="zh-CN"/>
              </w:rPr>
              <w:t>0.03</w:t>
            </w:r>
          </w:p>
        </w:tc>
        <w:tc>
          <w:tcPr>
            <w:tcW w:w="166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leftChars="0" w:right="0" w:rightChars="0"/>
              <w:jc w:val="center"/>
              <w:rPr>
                <w:rFonts w:hint="eastAsia" w:ascii="宋体"/>
                <w:color w:val="auto"/>
                <w:kern w:val="0"/>
                <w:szCs w:val="20"/>
                <w:lang w:val="en-US" w:eastAsia="zh-CN"/>
              </w:rPr>
            </w:pPr>
            <w:r>
              <w:rPr>
                <w:rFonts w:hint="eastAsia" w:ascii="宋体"/>
                <w:color w:val="auto"/>
                <w:kern w:val="0"/>
                <w:szCs w:val="20"/>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19" w:type="dxa"/>
            <w:vMerge w:val="continue"/>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5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硫S</w:t>
            </w:r>
          </w:p>
        </w:tc>
        <w:tc>
          <w:tcPr>
            <w:tcW w:w="181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0.015-0.027</w:t>
            </w:r>
          </w:p>
        </w:tc>
        <w:tc>
          <w:tcPr>
            <w:tcW w:w="1632"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0.015-0.023</w:t>
            </w:r>
          </w:p>
        </w:tc>
        <w:tc>
          <w:tcPr>
            <w:tcW w:w="1631"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leftChars="0" w:right="0" w:rightChars="0"/>
              <w:jc w:val="center"/>
              <w:rPr>
                <w:rFonts w:hint="eastAsia" w:ascii="宋体"/>
                <w:color w:val="auto"/>
                <w:kern w:val="0"/>
                <w:szCs w:val="20"/>
                <w:lang w:val="en-US" w:eastAsia="zh-CN"/>
              </w:rPr>
            </w:pPr>
            <w:r>
              <w:rPr>
                <w:rFonts w:hint="eastAsia" w:ascii="宋体"/>
                <w:color w:val="auto"/>
                <w:kern w:val="0"/>
                <w:szCs w:val="20"/>
                <w:lang w:val="en-US" w:eastAsia="zh-CN"/>
              </w:rPr>
              <w:t>0.015-0.027</w:t>
            </w:r>
          </w:p>
        </w:tc>
        <w:tc>
          <w:tcPr>
            <w:tcW w:w="166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leftChars="0" w:right="0" w:rightChars="0"/>
              <w:jc w:val="center"/>
              <w:rPr>
                <w:rFonts w:hint="eastAsia" w:ascii="宋体"/>
                <w:color w:val="auto"/>
                <w:kern w:val="0"/>
                <w:szCs w:val="20"/>
                <w:lang w:val="en-US" w:eastAsia="zh-CN"/>
              </w:rPr>
            </w:pPr>
            <w:r>
              <w:rPr>
                <w:rFonts w:hint="eastAsia" w:ascii="宋体"/>
                <w:color w:val="auto"/>
                <w:kern w:val="0"/>
                <w:szCs w:val="20"/>
                <w:lang w:val="en-US" w:eastAsia="zh-CN"/>
              </w:rPr>
              <w:t>0.015-0.027</w:t>
            </w:r>
          </w:p>
        </w:tc>
      </w:tr>
    </w:tbl>
    <w:p>
      <w:pPr>
        <w:pStyle w:val="7"/>
        <w:spacing w:line="360" w:lineRule="auto"/>
        <w:ind w:left="0" w:leftChars="0" w:firstLine="0" w:firstLineChars="0"/>
        <w:rPr>
          <w:rFonts w:hint="eastAsia" w:ascii="宋体" w:hAnsi="宋体" w:cs="宋体"/>
          <w:b/>
          <w:bCs/>
          <w:color w:val="auto"/>
          <w:sz w:val="22"/>
          <w:szCs w:val="22"/>
          <w:lang w:val="en-US" w:eastAsia="zh-CN"/>
        </w:rPr>
      </w:pPr>
    </w:p>
    <w:p>
      <w:pPr>
        <w:pStyle w:val="7"/>
        <w:spacing w:line="360" w:lineRule="auto"/>
        <w:ind w:left="0" w:leftChars="0" w:firstLine="0" w:firstLineChars="0"/>
        <w:rPr>
          <w:rFonts w:hint="eastAsia" w:ascii="宋体" w:hAnsi="宋体" w:cs="宋体"/>
          <w:b/>
          <w:bCs/>
          <w:color w:val="auto"/>
          <w:sz w:val="22"/>
          <w:szCs w:val="22"/>
          <w:lang w:val="en-US" w:eastAsia="zh-CN"/>
        </w:rPr>
      </w:pPr>
      <w:r>
        <w:rPr>
          <w:rFonts w:hint="eastAsia" w:ascii="宋体" w:hAnsi="宋体" w:cs="宋体"/>
          <w:b/>
          <w:bCs/>
          <w:color w:val="auto"/>
          <w:sz w:val="22"/>
          <w:szCs w:val="22"/>
          <w:lang w:val="en-US" w:eastAsia="zh-CN"/>
        </w:rPr>
        <w:t>2.3.2 Ni(R)-S含硫镍饼相关企业数据</w:t>
      </w:r>
    </w:p>
    <w:p>
      <w:pPr>
        <w:pStyle w:val="7"/>
        <w:spacing w:line="360" w:lineRule="auto"/>
        <w:ind w:left="0" w:leftChars="0" w:firstLine="0" w:firstLineChars="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国外A公司的金属镍产品居世界领先地位。中国从上世界70年代就引进了他们的镍饼，并且完全垄断了中国市场。</w:t>
      </w:r>
    </w:p>
    <w:p>
      <w:pPr>
        <w:pStyle w:val="7"/>
        <w:spacing w:line="360" w:lineRule="auto"/>
        <w:ind w:left="0" w:leftChars="0" w:firstLine="0" w:firstLineChars="0"/>
        <w:jc w:val="center"/>
        <w:rPr>
          <w:rFonts w:hint="default" w:ascii="宋体" w:hAnsi="宋体" w:cs="宋体"/>
          <w:b/>
          <w:bCs/>
          <w:color w:val="auto"/>
          <w:sz w:val="22"/>
          <w:szCs w:val="22"/>
          <w:lang w:val="en-US" w:eastAsia="zh-CN"/>
        </w:rPr>
      </w:pPr>
      <w:r>
        <w:rPr>
          <w:rFonts w:hint="eastAsia" w:ascii="宋体" w:hAnsi="宋体" w:cs="宋体"/>
          <w:b/>
          <w:bCs/>
          <w:color w:val="auto"/>
          <w:sz w:val="22"/>
          <w:szCs w:val="22"/>
          <w:lang w:val="en-US" w:eastAsia="zh-CN"/>
        </w:rPr>
        <w:t>表5  国外A公司给国内用户提供的质量证明书成分表</w:t>
      </w:r>
    </w:p>
    <w:tbl>
      <w:tblPr>
        <w:tblStyle w:val="3"/>
        <w:tblpPr w:leftFromText="180" w:rightFromText="180" w:vertAnchor="text" w:horzAnchor="page" w:tblpX="1811" w:tblpY="84"/>
        <w:tblOverlap w:val="never"/>
        <w:tblW w:w="7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919"/>
        <w:gridCol w:w="1109"/>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127" w:type="dxa"/>
            <w:gridSpan w:val="3"/>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4743" w:type="dxa"/>
            <w:noWrap w:val="0"/>
            <w:vAlign w:val="center"/>
          </w:tcPr>
          <w:p>
            <w:pPr>
              <w:keepNext w:val="0"/>
              <w:keepLines w:val="0"/>
              <w:widowControl/>
              <w:suppressLineNumbers w:val="0"/>
              <w:tabs>
                <w:tab w:val="left" w:pos="1263"/>
                <w:tab w:val="center" w:pos="4201"/>
                <w:tab w:val="right" w:leader="dot" w:pos="9298"/>
              </w:tabs>
              <w:autoSpaceDE w:val="0"/>
              <w:autoSpaceDN w:val="0"/>
              <w:spacing w:before="0" w:beforeAutospacing="0" w:after="0" w:afterAutospacing="0"/>
              <w:ind w:left="0" w:right="0"/>
              <w:jc w:val="center"/>
              <w:rPr>
                <w:rFonts w:hint="eastAsia" w:ascii="宋体" w:eastAsia="宋体"/>
                <w:color w:val="auto"/>
                <w:kern w:val="0"/>
                <w:szCs w:val="20"/>
                <w:lang w:val="en-US" w:eastAsia="zh-CN"/>
              </w:rPr>
            </w:pPr>
            <w:r>
              <w:rPr>
                <w:rFonts w:hint="eastAsia" w:ascii="宋体"/>
                <w:color w:val="auto"/>
                <w:kern w:val="0"/>
                <w:szCs w:val="20"/>
                <w:lang w:val="en-US" w:eastAsia="zh-CN"/>
              </w:rPr>
              <w:t>国外A企业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127" w:type="dxa"/>
            <w:gridSpan w:val="3"/>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color w:val="auto"/>
                <w:kern w:val="0"/>
                <w:szCs w:val="20"/>
              </w:rPr>
            </w:pPr>
            <w:r>
              <w:rPr>
                <w:rFonts w:hint="eastAsia" w:ascii="宋体"/>
                <w:color w:val="auto"/>
                <w:kern w:val="0"/>
                <w:szCs w:val="20"/>
              </w:rPr>
              <w:t>牌号</w:t>
            </w:r>
          </w:p>
        </w:tc>
        <w:tc>
          <w:tcPr>
            <w:tcW w:w="4743"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color w:val="auto"/>
                <w:kern w:val="0"/>
                <w:szCs w:val="20"/>
                <w:lang w:val="en-US" w:eastAsia="zh-CN"/>
              </w:rPr>
            </w:pPr>
            <w:r>
              <w:rPr>
                <w:rFonts w:hint="eastAsia" w:ascii="宋体"/>
                <w:color w:val="auto"/>
                <w:kern w:val="0"/>
                <w:szCs w:val="20"/>
                <w:lang w:val="en-US" w:eastAsia="zh-CN"/>
              </w:rPr>
              <w:t>Ni（R）-S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restart"/>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ascii="宋体"/>
                <w:color w:val="auto"/>
                <w:kern w:val="0"/>
                <w:szCs w:val="20"/>
              </w:rPr>
              <w:t>化学成分（质量分数）</w:t>
            </w:r>
          </w:p>
        </w:tc>
        <w:tc>
          <w:tcPr>
            <w:tcW w:w="2028" w:type="dxa"/>
            <w:gridSpan w:val="2"/>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eastAsia="宋体"/>
                <w:color w:val="auto"/>
                <w:kern w:val="0"/>
                <w:szCs w:val="20"/>
                <w:lang w:val="en-US" w:eastAsia="zh-CN"/>
              </w:rPr>
            </w:pPr>
            <w:r>
              <w:rPr>
                <w:rFonts w:hint="eastAsia"/>
                <w:color w:val="auto"/>
                <w:kern w:val="0"/>
                <w:sz w:val="20"/>
                <w:szCs w:val="20"/>
              </w:rPr>
              <w:t>（Ni+Co)/%</w:t>
            </w:r>
            <w:r>
              <w:rPr>
                <w:rFonts w:hint="eastAsia"/>
                <w:color w:val="auto"/>
                <w:kern w:val="0"/>
                <w:sz w:val="20"/>
                <w:szCs w:val="20"/>
                <w:lang w:eastAsia="zh-CN"/>
              </w:rPr>
              <w:t>不小于</w:t>
            </w:r>
          </w:p>
        </w:tc>
        <w:tc>
          <w:tcPr>
            <w:tcW w:w="4743"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2028" w:type="dxa"/>
            <w:gridSpan w:val="2"/>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eastAsia="宋体"/>
                <w:color w:val="auto"/>
                <w:kern w:val="0"/>
                <w:szCs w:val="20"/>
                <w:lang w:eastAsia="zh-CN"/>
              </w:rPr>
            </w:pPr>
            <w:r>
              <w:rPr>
                <w:rFonts w:hint="eastAsia"/>
                <w:color w:val="auto"/>
                <w:kern w:val="0"/>
                <w:sz w:val="20"/>
                <w:szCs w:val="20"/>
              </w:rPr>
              <w:t>Co/%</w:t>
            </w:r>
            <w:r>
              <w:rPr>
                <w:rFonts w:hint="eastAsia"/>
                <w:color w:val="auto"/>
                <w:kern w:val="0"/>
                <w:sz w:val="20"/>
                <w:szCs w:val="20"/>
                <w:lang w:eastAsia="zh-CN"/>
              </w:rPr>
              <w:t>不大于</w:t>
            </w:r>
          </w:p>
        </w:tc>
        <w:tc>
          <w:tcPr>
            <w:tcW w:w="4743"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19" w:type="dxa"/>
            <w:vMerge w:val="restart"/>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杂质含量/%，不大于</w:t>
            </w:r>
          </w:p>
        </w:tc>
        <w:tc>
          <w:tcPr>
            <w:tcW w:w="110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铁Fe</w:t>
            </w:r>
          </w:p>
        </w:tc>
        <w:tc>
          <w:tcPr>
            <w:tcW w:w="4743"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19" w:type="dxa"/>
            <w:vMerge w:val="continue"/>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10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铜Cu</w:t>
            </w:r>
          </w:p>
        </w:tc>
        <w:tc>
          <w:tcPr>
            <w:tcW w:w="4743"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19" w:type="dxa"/>
            <w:vMerge w:val="continue"/>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10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铅Pb</w:t>
            </w:r>
          </w:p>
        </w:tc>
        <w:tc>
          <w:tcPr>
            <w:tcW w:w="4743"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19" w:type="dxa"/>
            <w:vMerge w:val="continue"/>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10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锌Zn</w:t>
            </w:r>
          </w:p>
        </w:tc>
        <w:tc>
          <w:tcPr>
            <w:tcW w:w="4743"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19" w:type="dxa"/>
            <w:vMerge w:val="continue"/>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10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碳C</w:t>
            </w:r>
          </w:p>
        </w:tc>
        <w:tc>
          <w:tcPr>
            <w:tcW w:w="4743"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19" w:type="dxa"/>
            <w:vMerge w:val="continue"/>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109"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硫S</w:t>
            </w:r>
          </w:p>
        </w:tc>
        <w:tc>
          <w:tcPr>
            <w:tcW w:w="4743"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0.015-0.027</w:t>
            </w:r>
          </w:p>
        </w:tc>
      </w:tr>
    </w:tbl>
    <w:p>
      <w:pPr>
        <w:pStyle w:val="7"/>
        <w:spacing w:line="360" w:lineRule="auto"/>
        <w:ind w:left="0" w:leftChars="0" w:firstLine="0" w:firstLineChars="0"/>
        <w:rPr>
          <w:rFonts w:hint="eastAsia" w:ascii="宋体" w:hAnsi="宋体" w:cs="宋体"/>
          <w:color w:val="auto"/>
          <w:sz w:val="22"/>
          <w:szCs w:val="22"/>
          <w:lang w:val="en-US" w:eastAsia="zh-CN"/>
        </w:rPr>
      </w:pPr>
    </w:p>
    <w:p>
      <w:pPr>
        <w:pStyle w:val="7"/>
        <w:spacing w:line="360" w:lineRule="auto"/>
        <w:ind w:left="0" w:leftChars="0" w:firstLine="0" w:firstLineChars="0"/>
        <w:rPr>
          <w:rFonts w:hint="eastAsia" w:ascii="宋体" w:hAnsi="宋体" w:cs="宋体"/>
          <w:color w:val="auto"/>
          <w:sz w:val="22"/>
          <w:szCs w:val="22"/>
          <w:lang w:val="en-US" w:eastAsia="zh-CN"/>
        </w:rPr>
      </w:pPr>
    </w:p>
    <w:p>
      <w:pPr>
        <w:pStyle w:val="7"/>
        <w:spacing w:line="360" w:lineRule="auto"/>
        <w:ind w:left="0" w:leftChars="0" w:firstLine="0" w:firstLineChars="0"/>
        <w:rPr>
          <w:rFonts w:hint="eastAsia" w:ascii="宋体" w:hAnsi="宋体" w:cs="宋体"/>
          <w:color w:val="auto"/>
          <w:sz w:val="22"/>
          <w:szCs w:val="22"/>
          <w:lang w:val="en-US" w:eastAsia="zh-CN"/>
        </w:rPr>
      </w:pPr>
    </w:p>
    <w:p>
      <w:pPr>
        <w:pStyle w:val="7"/>
        <w:spacing w:line="360" w:lineRule="auto"/>
        <w:ind w:left="0" w:leftChars="0" w:firstLine="0" w:firstLineChars="0"/>
        <w:rPr>
          <w:rFonts w:hint="eastAsia" w:ascii="宋体" w:hAnsi="宋体" w:cs="宋体"/>
          <w:b/>
          <w:bCs/>
          <w:color w:val="auto"/>
          <w:sz w:val="22"/>
          <w:szCs w:val="22"/>
          <w:lang w:val="en-US" w:eastAsia="zh-CN"/>
        </w:rPr>
      </w:pPr>
      <w:r>
        <w:rPr>
          <w:rFonts w:hint="eastAsia" w:ascii="宋体" w:hAnsi="宋体" w:cs="宋体"/>
          <w:b/>
          <w:bCs/>
          <w:color w:val="auto"/>
          <w:sz w:val="22"/>
          <w:szCs w:val="22"/>
          <w:lang w:val="en-US" w:eastAsia="zh-CN"/>
        </w:rPr>
        <w:t>2.3.3 Ni(R)无硫镍饼国外A公司采用的数据</w:t>
      </w:r>
    </w:p>
    <w:p>
      <w:pPr>
        <w:pStyle w:val="7"/>
        <w:spacing w:line="360" w:lineRule="auto"/>
        <w:ind w:left="0" w:leftChars="0" w:firstLine="0" w:firstLineChars="0"/>
        <w:jc w:val="center"/>
        <w:rPr>
          <w:rFonts w:hint="default" w:ascii="宋体" w:hAnsi="宋体" w:cs="宋体"/>
          <w:color w:val="auto"/>
          <w:sz w:val="22"/>
          <w:szCs w:val="22"/>
          <w:lang w:val="en-US" w:eastAsia="zh-CN"/>
        </w:rPr>
      </w:pPr>
      <w:r>
        <w:rPr>
          <w:rFonts w:hint="eastAsia" w:ascii="宋体" w:hAnsi="宋体" w:cs="宋体"/>
          <w:b/>
          <w:bCs/>
          <w:color w:val="auto"/>
          <w:sz w:val="22"/>
          <w:szCs w:val="22"/>
          <w:lang w:val="en-US" w:eastAsia="zh-CN"/>
        </w:rPr>
        <w:t>表6  国外A公司给国内用户提供的质量证明书成分表</w:t>
      </w:r>
    </w:p>
    <w:tbl>
      <w:tblPr>
        <w:tblStyle w:val="3"/>
        <w:tblpPr w:leftFromText="180" w:rightFromText="180" w:vertAnchor="text" w:horzAnchor="page" w:tblpX="1924" w:tblpY="176"/>
        <w:tblOverlap w:val="never"/>
        <w:tblW w:w="8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919"/>
        <w:gridCol w:w="1671"/>
        <w:gridCol w:w="4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689" w:type="dxa"/>
            <w:gridSpan w:val="3"/>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4462" w:type="dxa"/>
            <w:noWrap w:val="0"/>
            <w:vAlign w:val="center"/>
          </w:tcPr>
          <w:p>
            <w:pPr>
              <w:keepNext w:val="0"/>
              <w:keepLines w:val="0"/>
              <w:widowControl/>
              <w:suppressLineNumbers w:val="0"/>
              <w:tabs>
                <w:tab w:val="left" w:pos="1263"/>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国外A企业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689" w:type="dxa"/>
            <w:gridSpan w:val="3"/>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color w:val="auto"/>
                <w:kern w:val="0"/>
                <w:szCs w:val="20"/>
              </w:rPr>
            </w:pPr>
            <w:r>
              <w:rPr>
                <w:rFonts w:hint="eastAsia" w:ascii="宋体"/>
                <w:color w:val="auto"/>
                <w:kern w:val="0"/>
                <w:szCs w:val="20"/>
              </w:rPr>
              <w:t>牌号</w:t>
            </w:r>
          </w:p>
        </w:tc>
        <w:tc>
          <w:tcPr>
            <w:tcW w:w="4462"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eastAsia" w:ascii="宋体"/>
                <w:color w:val="auto"/>
                <w:kern w:val="0"/>
                <w:szCs w:val="20"/>
                <w:lang w:val="en-US" w:eastAsia="zh-CN"/>
              </w:rPr>
            </w:pPr>
            <w:r>
              <w:rPr>
                <w:rFonts w:hint="eastAsia" w:ascii="宋体"/>
                <w:color w:val="auto"/>
                <w:kern w:val="0"/>
                <w:szCs w:val="20"/>
                <w:lang w:val="en-US" w:eastAsia="zh-CN"/>
              </w:rPr>
              <w:t>Ni（R）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restart"/>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ascii="宋体"/>
                <w:color w:val="auto"/>
                <w:kern w:val="0"/>
                <w:szCs w:val="20"/>
              </w:rPr>
              <w:t>化学成分（质量分数）</w:t>
            </w:r>
          </w:p>
        </w:tc>
        <w:tc>
          <w:tcPr>
            <w:tcW w:w="2590" w:type="dxa"/>
            <w:gridSpan w:val="2"/>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（Ni+Co)/%，不小于</w:t>
            </w:r>
          </w:p>
        </w:tc>
        <w:tc>
          <w:tcPr>
            <w:tcW w:w="4462"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2590" w:type="dxa"/>
            <w:gridSpan w:val="2"/>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Co/%，不大于</w:t>
            </w:r>
          </w:p>
        </w:tc>
        <w:tc>
          <w:tcPr>
            <w:tcW w:w="4462"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19" w:type="dxa"/>
            <w:vMerge w:val="restart"/>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杂质含量/%，不大于</w:t>
            </w:r>
          </w:p>
        </w:tc>
        <w:tc>
          <w:tcPr>
            <w:tcW w:w="1671"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铁Fe</w:t>
            </w:r>
          </w:p>
        </w:tc>
        <w:tc>
          <w:tcPr>
            <w:tcW w:w="4462"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19" w:type="dxa"/>
            <w:vMerge w:val="continue"/>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671"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铜Cu</w:t>
            </w:r>
          </w:p>
        </w:tc>
        <w:tc>
          <w:tcPr>
            <w:tcW w:w="4462"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19" w:type="dxa"/>
            <w:vMerge w:val="continue"/>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671"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铅Pb</w:t>
            </w:r>
          </w:p>
        </w:tc>
        <w:tc>
          <w:tcPr>
            <w:tcW w:w="4462"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19" w:type="dxa"/>
            <w:vMerge w:val="continue"/>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671"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锌Zn</w:t>
            </w:r>
          </w:p>
        </w:tc>
        <w:tc>
          <w:tcPr>
            <w:tcW w:w="4462"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19" w:type="dxa"/>
            <w:vMerge w:val="continue"/>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671"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碳C</w:t>
            </w:r>
          </w:p>
        </w:tc>
        <w:tc>
          <w:tcPr>
            <w:tcW w:w="4462"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919" w:type="dxa"/>
            <w:vMerge w:val="continue"/>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p>
        </w:tc>
        <w:tc>
          <w:tcPr>
            <w:tcW w:w="1671"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color w:val="auto"/>
                <w:kern w:val="0"/>
                <w:szCs w:val="20"/>
              </w:rPr>
            </w:pPr>
            <w:r>
              <w:rPr>
                <w:rFonts w:hint="eastAsia"/>
                <w:color w:val="auto"/>
                <w:kern w:val="0"/>
                <w:sz w:val="20"/>
                <w:szCs w:val="20"/>
              </w:rPr>
              <w:t>硫S</w:t>
            </w:r>
          </w:p>
        </w:tc>
        <w:tc>
          <w:tcPr>
            <w:tcW w:w="4462"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color w:val="auto"/>
                <w:kern w:val="0"/>
                <w:szCs w:val="20"/>
                <w:lang w:val="en-US" w:eastAsia="zh-CN"/>
              </w:rPr>
            </w:pPr>
            <w:r>
              <w:rPr>
                <w:rFonts w:hint="eastAsia" w:ascii="宋体"/>
                <w:color w:val="auto"/>
                <w:kern w:val="0"/>
                <w:szCs w:val="20"/>
                <w:lang w:val="en-US" w:eastAsia="zh-CN"/>
              </w:rPr>
              <w:t>0.01</w:t>
            </w:r>
          </w:p>
        </w:tc>
      </w:tr>
    </w:tbl>
    <w:p>
      <w:pPr>
        <w:pStyle w:val="7"/>
        <w:spacing w:line="360" w:lineRule="auto"/>
        <w:ind w:left="0" w:leftChars="0" w:firstLine="0" w:firstLineChars="0"/>
        <w:rPr>
          <w:rFonts w:hint="eastAsia" w:ascii="宋体" w:hAnsi="宋体" w:cs="宋体"/>
          <w:color w:val="auto"/>
          <w:sz w:val="22"/>
          <w:szCs w:val="22"/>
          <w:lang w:val="en-US" w:eastAsia="zh-CN"/>
        </w:rPr>
      </w:pPr>
    </w:p>
    <w:p>
      <w:pPr>
        <w:pStyle w:val="7"/>
        <w:spacing w:line="360" w:lineRule="auto"/>
        <w:ind w:left="0" w:leftChars="0" w:firstLine="0" w:firstLineChars="0"/>
        <w:rPr>
          <w:rFonts w:hint="eastAsia" w:ascii="宋体" w:hAnsi="宋体" w:cs="宋体"/>
          <w:color w:val="auto"/>
          <w:sz w:val="22"/>
          <w:szCs w:val="22"/>
          <w:lang w:val="en-US" w:eastAsia="zh-CN"/>
        </w:rPr>
      </w:pPr>
    </w:p>
    <w:p>
      <w:pPr>
        <w:pStyle w:val="7"/>
        <w:spacing w:line="360" w:lineRule="auto"/>
        <w:ind w:left="0" w:leftChars="0" w:firstLine="0" w:firstLineChars="0"/>
        <w:rPr>
          <w:rFonts w:hint="eastAsia" w:ascii="宋体" w:hAnsi="宋体" w:cs="宋体"/>
          <w:color w:val="auto"/>
          <w:sz w:val="22"/>
          <w:szCs w:val="22"/>
          <w:lang w:val="en-US" w:eastAsia="zh-CN"/>
        </w:rPr>
      </w:pPr>
    </w:p>
    <w:p>
      <w:pPr>
        <w:pStyle w:val="7"/>
        <w:spacing w:line="360" w:lineRule="auto"/>
        <w:ind w:left="0" w:leftChars="0" w:firstLine="0" w:firstLineChars="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综上所述，结合各家单位相关质量证明书的化学成分，镍饼化学成分如表7所示：</w:t>
      </w:r>
    </w:p>
    <w:p>
      <w:pPr>
        <w:widowControl/>
        <w:spacing w:before="312" w:beforeLines="100" w:after="312" w:afterLines="100"/>
        <w:jc w:val="center"/>
        <w:outlineLvl w:val="1"/>
        <w:rPr>
          <w:rFonts w:hint="eastAsia" w:ascii="宋体" w:hAnsi="宋体" w:cs="宋体"/>
          <w:b/>
          <w:bCs/>
          <w:color w:val="auto"/>
          <w:sz w:val="24"/>
        </w:rPr>
      </w:pPr>
      <w:r>
        <w:rPr>
          <w:rFonts w:hint="eastAsia" w:ascii="宋体" w:hAnsi="宋体" w:cs="宋体"/>
          <w:b/>
          <w:bCs/>
          <w:color w:val="auto"/>
          <w:sz w:val="24"/>
        </w:rPr>
        <w:t>表</w:t>
      </w:r>
      <w:r>
        <w:rPr>
          <w:rFonts w:hint="eastAsia" w:ascii="宋体" w:hAnsi="宋体" w:cs="宋体"/>
          <w:b/>
          <w:bCs/>
          <w:color w:val="auto"/>
          <w:sz w:val="24"/>
          <w:lang w:val="en-US" w:eastAsia="zh-CN"/>
        </w:rPr>
        <w:t>7</w:t>
      </w:r>
      <w:r>
        <w:rPr>
          <w:rFonts w:hint="eastAsia" w:ascii="宋体" w:hAnsi="宋体" w:cs="宋体"/>
          <w:b/>
          <w:bCs/>
          <w:color w:val="auto"/>
          <w:sz w:val="24"/>
        </w:rPr>
        <w:t xml:space="preserve"> 镍饼的化学成分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163"/>
        <w:gridCol w:w="1218"/>
        <w:gridCol w:w="320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7" w:type="dxa"/>
            <w:gridSpan w:val="3"/>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ascii="宋体"/>
                <w:kern w:val="0"/>
                <w:szCs w:val="20"/>
              </w:rPr>
              <w:t>牌号</w:t>
            </w:r>
          </w:p>
        </w:tc>
        <w:tc>
          <w:tcPr>
            <w:tcW w:w="3207"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kern w:val="0"/>
                <w:szCs w:val="20"/>
                <w:lang w:val="en-US" w:eastAsia="zh-CN"/>
              </w:rPr>
            </w:pPr>
            <w:r>
              <w:rPr>
                <w:rFonts w:hint="eastAsia" w:ascii="宋体"/>
                <w:kern w:val="0"/>
                <w:szCs w:val="20"/>
                <w:lang w:val="en-US" w:eastAsia="zh-CN"/>
              </w:rPr>
              <w:t>Ni（R）-S</w:t>
            </w:r>
          </w:p>
        </w:tc>
        <w:tc>
          <w:tcPr>
            <w:tcW w:w="174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eastAsia="宋体"/>
                <w:kern w:val="0"/>
                <w:szCs w:val="20"/>
                <w:lang w:val="en-US" w:eastAsia="zh-CN"/>
              </w:rPr>
            </w:pPr>
            <w:r>
              <w:rPr>
                <w:rFonts w:hint="eastAsia" w:ascii="宋体"/>
                <w:kern w:val="0"/>
                <w:szCs w:val="20"/>
                <w:lang w:val="en-US" w:eastAsia="zh-CN"/>
              </w:rPr>
              <w:t>Ni(R)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restart"/>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ascii="宋体"/>
                <w:kern w:val="0"/>
                <w:szCs w:val="20"/>
              </w:rPr>
              <w:t>化学成分（质量分数）</w:t>
            </w:r>
          </w:p>
        </w:tc>
        <w:tc>
          <w:tcPr>
            <w:tcW w:w="2381" w:type="dxa"/>
            <w:gridSpan w:val="2"/>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color w:val="000000"/>
                <w:kern w:val="0"/>
                <w:sz w:val="20"/>
                <w:szCs w:val="20"/>
              </w:rPr>
              <w:t>（Ni+Co)/%，不小于</w:t>
            </w:r>
          </w:p>
        </w:tc>
        <w:tc>
          <w:tcPr>
            <w:tcW w:w="3207"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ascii="宋体"/>
                <w:kern w:val="0"/>
                <w:szCs w:val="20"/>
              </w:rPr>
              <w:t>99.8</w:t>
            </w:r>
          </w:p>
        </w:tc>
        <w:tc>
          <w:tcPr>
            <w:tcW w:w="174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ascii="宋体"/>
                <w:kern w:val="0"/>
                <w:szCs w:val="20"/>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p>
        </w:tc>
        <w:tc>
          <w:tcPr>
            <w:tcW w:w="2381" w:type="dxa"/>
            <w:gridSpan w:val="2"/>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color w:val="000000"/>
                <w:kern w:val="0"/>
                <w:sz w:val="20"/>
                <w:szCs w:val="20"/>
              </w:rPr>
              <w:t>Co/%，不大于</w:t>
            </w:r>
          </w:p>
        </w:tc>
        <w:tc>
          <w:tcPr>
            <w:tcW w:w="3207"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ascii="宋体"/>
                <w:kern w:val="0"/>
                <w:szCs w:val="20"/>
              </w:rPr>
              <w:t>0.15</w:t>
            </w:r>
          </w:p>
        </w:tc>
        <w:tc>
          <w:tcPr>
            <w:tcW w:w="174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ascii="宋体"/>
                <w:kern w:val="0"/>
                <w:szCs w:val="20"/>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p>
        </w:tc>
        <w:tc>
          <w:tcPr>
            <w:tcW w:w="1163" w:type="dxa"/>
            <w:vMerge w:val="restart"/>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color w:val="000000"/>
                <w:kern w:val="0"/>
                <w:sz w:val="20"/>
                <w:szCs w:val="20"/>
              </w:rPr>
              <w:t>杂质含量/%，不大于</w:t>
            </w:r>
          </w:p>
        </w:tc>
        <w:tc>
          <w:tcPr>
            <w:tcW w:w="121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color w:val="000000"/>
                <w:kern w:val="0"/>
                <w:sz w:val="20"/>
                <w:szCs w:val="20"/>
              </w:rPr>
              <w:t>铁Fe</w:t>
            </w:r>
          </w:p>
        </w:tc>
        <w:tc>
          <w:tcPr>
            <w:tcW w:w="3207"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ascii="宋体"/>
                <w:kern w:val="0"/>
                <w:szCs w:val="20"/>
              </w:rPr>
              <w:t>0.02</w:t>
            </w:r>
          </w:p>
        </w:tc>
        <w:tc>
          <w:tcPr>
            <w:tcW w:w="174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ascii="宋体"/>
                <w:kern w:val="0"/>
                <w:szCs w:val="2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p>
        </w:tc>
        <w:tc>
          <w:tcPr>
            <w:tcW w:w="1163" w:type="dxa"/>
            <w:vMerge w:val="continue"/>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p>
        </w:tc>
        <w:tc>
          <w:tcPr>
            <w:tcW w:w="121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color w:val="000000"/>
                <w:kern w:val="0"/>
                <w:sz w:val="20"/>
                <w:szCs w:val="20"/>
              </w:rPr>
              <w:t>铜Cu</w:t>
            </w:r>
          </w:p>
        </w:tc>
        <w:tc>
          <w:tcPr>
            <w:tcW w:w="3207"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ascii="宋体"/>
                <w:kern w:val="0"/>
                <w:szCs w:val="20"/>
              </w:rPr>
              <w:t>0.02</w:t>
            </w:r>
          </w:p>
        </w:tc>
        <w:tc>
          <w:tcPr>
            <w:tcW w:w="174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ascii="宋体"/>
                <w:kern w:val="0"/>
                <w:szCs w:val="2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p>
        </w:tc>
        <w:tc>
          <w:tcPr>
            <w:tcW w:w="1163" w:type="dxa"/>
            <w:vMerge w:val="continue"/>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p>
        </w:tc>
        <w:tc>
          <w:tcPr>
            <w:tcW w:w="121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color w:val="000000"/>
                <w:kern w:val="0"/>
                <w:sz w:val="20"/>
                <w:szCs w:val="20"/>
              </w:rPr>
              <w:t>铅Pb</w:t>
            </w:r>
          </w:p>
        </w:tc>
        <w:tc>
          <w:tcPr>
            <w:tcW w:w="3207"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ascii="宋体"/>
                <w:kern w:val="0"/>
                <w:szCs w:val="20"/>
              </w:rPr>
              <w:t>0.005</w:t>
            </w:r>
          </w:p>
        </w:tc>
        <w:tc>
          <w:tcPr>
            <w:tcW w:w="174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ascii="宋体"/>
                <w:kern w:val="0"/>
                <w:szCs w:val="20"/>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p>
        </w:tc>
        <w:tc>
          <w:tcPr>
            <w:tcW w:w="1163" w:type="dxa"/>
            <w:vMerge w:val="continue"/>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p>
        </w:tc>
        <w:tc>
          <w:tcPr>
            <w:tcW w:w="121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color w:val="000000"/>
                <w:kern w:val="0"/>
                <w:sz w:val="20"/>
                <w:szCs w:val="20"/>
              </w:rPr>
              <w:t>锌Zn</w:t>
            </w:r>
          </w:p>
        </w:tc>
        <w:tc>
          <w:tcPr>
            <w:tcW w:w="3207"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ascii="宋体"/>
                <w:kern w:val="0"/>
                <w:szCs w:val="20"/>
              </w:rPr>
              <w:t>0.005</w:t>
            </w:r>
          </w:p>
        </w:tc>
        <w:tc>
          <w:tcPr>
            <w:tcW w:w="174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ascii="宋体"/>
                <w:kern w:val="0"/>
                <w:szCs w:val="20"/>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p>
        </w:tc>
        <w:tc>
          <w:tcPr>
            <w:tcW w:w="1163" w:type="dxa"/>
            <w:vMerge w:val="continue"/>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p>
        </w:tc>
        <w:tc>
          <w:tcPr>
            <w:tcW w:w="121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color w:val="000000"/>
                <w:kern w:val="0"/>
                <w:sz w:val="20"/>
                <w:szCs w:val="20"/>
              </w:rPr>
              <w:t>碳C</w:t>
            </w:r>
          </w:p>
        </w:tc>
        <w:tc>
          <w:tcPr>
            <w:tcW w:w="3207"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ascii="宋体"/>
                <w:kern w:val="0"/>
                <w:szCs w:val="20"/>
              </w:rPr>
              <w:t>0.03</w:t>
            </w:r>
          </w:p>
        </w:tc>
        <w:tc>
          <w:tcPr>
            <w:tcW w:w="174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ascii="宋体"/>
                <w:kern w:val="0"/>
                <w:szCs w:val="20"/>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Merge w:val="continue"/>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p>
        </w:tc>
        <w:tc>
          <w:tcPr>
            <w:tcW w:w="1163" w:type="dxa"/>
            <w:vMerge w:val="continue"/>
            <w:noWrap w:val="0"/>
            <w:vAlign w:val="center"/>
          </w:tcPr>
          <w:p>
            <w:pPr>
              <w:keepNext w:val="0"/>
              <w:keepLines w:val="0"/>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p>
        </w:tc>
        <w:tc>
          <w:tcPr>
            <w:tcW w:w="121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color w:val="000000"/>
                <w:kern w:val="0"/>
                <w:sz w:val="20"/>
                <w:szCs w:val="20"/>
              </w:rPr>
              <w:t>硫S</w:t>
            </w:r>
          </w:p>
        </w:tc>
        <w:tc>
          <w:tcPr>
            <w:tcW w:w="3207"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color w:val="000000"/>
                <w:kern w:val="0"/>
                <w:sz w:val="20"/>
                <w:szCs w:val="20"/>
              </w:rPr>
              <w:t>0.015～0.027</w:t>
            </w:r>
          </w:p>
        </w:tc>
        <w:tc>
          <w:tcPr>
            <w:tcW w:w="1748" w:type="dxa"/>
            <w:noWrap w:val="0"/>
            <w:vAlign w:val="center"/>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jc w:val="center"/>
              <w:rPr>
                <w:rFonts w:hint="default" w:ascii="宋体"/>
                <w:kern w:val="0"/>
                <w:szCs w:val="20"/>
              </w:rPr>
            </w:pPr>
            <w:r>
              <w:rPr>
                <w:rFonts w:hint="eastAsia" w:ascii="宋体"/>
                <w:kern w:val="0"/>
                <w:szCs w:val="20"/>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noWrap w:val="0"/>
            <w:vAlign w:val="top"/>
          </w:tcPr>
          <w:p>
            <w:pPr>
              <w:keepNext w:val="0"/>
              <w:keepLines w:val="0"/>
              <w:widowControl/>
              <w:suppressLineNumbers w:val="0"/>
              <w:tabs>
                <w:tab w:val="center" w:pos="4201"/>
                <w:tab w:val="right" w:leader="dot" w:pos="9298"/>
              </w:tabs>
              <w:autoSpaceDE w:val="0"/>
              <w:autoSpaceDN w:val="0"/>
              <w:spacing w:before="0" w:beforeAutospacing="0" w:after="0" w:afterAutospacing="0"/>
              <w:ind w:left="0" w:right="0"/>
              <w:rPr>
                <w:rFonts w:hint="eastAsia" w:ascii="宋体" w:eastAsia="宋体"/>
                <w:kern w:val="0"/>
                <w:szCs w:val="20"/>
                <w:lang w:val="en-US" w:eastAsia="zh-CN"/>
              </w:rPr>
            </w:pPr>
            <w:r>
              <w:rPr>
                <w:rFonts w:hint="eastAsia"/>
                <w:color w:val="000000"/>
                <w:kern w:val="0"/>
                <w:sz w:val="20"/>
                <w:szCs w:val="20"/>
              </w:rPr>
              <w:t>注:镍加钴含量由100%减去表中所列元素的含量而得。</w:t>
            </w:r>
            <w:r>
              <w:rPr>
                <w:rFonts w:hint="eastAsia"/>
                <w:color w:val="000000"/>
                <w:kern w:val="0"/>
                <w:sz w:val="20"/>
                <w:szCs w:val="20"/>
                <w:lang w:eastAsia="zh-CN"/>
              </w:rPr>
              <w:t>如需其他杂质指标，双方可在合同中另行规定。</w:t>
            </w:r>
          </w:p>
        </w:tc>
      </w:tr>
    </w:tbl>
    <w:p>
      <w:pPr>
        <w:widowControl/>
        <w:spacing w:before="312" w:beforeLines="100" w:after="312" w:afterLines="100"/>
        <w:outlineLvl w:val="1"/>
        <w:rPr>
          <w:rFonts w:hint="eastAsia" w:ascii="宋体" w:hAnsi="宋体" w:cs="宋体"/>
          <w:sz w:val="24"/>
        </w:rPr>
      </w:pPr>
    </w:p>
    <w:p>
      <w:pPr>
        <w:widowControl/>
        <w:spacing w:before="312" w:beforeLines="100" w:after="312" w:afterLines="100"/>
        <w:outlineLvl w:val="1"/>
        <w:rPr>
          <w:rFonts w:hint="eastAsia" w:ascii="黑体" w:eastAsia="黑体"/>
          <w:color w:val="000000"/>
          <w:kern w:val="0"/>
          <w:szCs w:val="20"/>
          <w:lang w:val="en-US" w:eastAsia="zh-CN"/>
        </w:rPr>
      </w:pPr>
      <w:r>
        <w:rPr>
          <w:rFonts w:hint="eastAsia" w:ascii="黑体" w:eastAsia="黑体"/>
          <w:b/>
          <w:bCs/>
          <w:color w:val="000000"/>
          <w:kern w:val="0"/>
          <w:sz w:val="22"/>
          <w:szCs w:val="22"/>
          <w:lang w:val="en-US" w:eastAsia="zh-CN"/>
        </w:rPr>
        <w:t>2</w:t>
      </w:r>
      <w:r>
        <w:rPr>
          <w:rFonts w:hint="eastAsia" w:ascii="黑体" w:eastAsia="黑体"/>
          <w:b/>
          <w:bCs/>
          <w:color w:val="000000"/>
          <w:kern w:val="0"/>
          <w:sz w:val="22"/>
          <w:szCs w:val="22"/>
        </w:rPr>
        <w:t>.</w:t>
      </w:r>
      <w:r>
        <w:rPr>
          <w:rFonts w:hint="eastAsia" w:ascii="黑体" w:eastAsia="黑体"/>
          <w:b/>
          <w:bCs/>
          <w:color w:val="000000"/>
          <w:kern w:val="0"/>
          <w:sz w:val="22"/>
          <w:szCs w:val="22"/>
          <w:lang w:val="en-US" w:eastAsia="zh-CN"/>
        </w:rPr>
        <w:t>.4</w:t>
      </w:r>
      <w:r>
        <w:rPr>
          <w:rFonts w:hint="eastAsia" w:ascii="黑体" w:eastAsia="黑体"/>
          <w:b/>
          <w:bCs/>
          <w:color w:val="000000"/>
          <w:kern w:val="0"/>
          <w:sz w:val="22"/>
          <w:szCs w:val="22"/>
        </w:rPr>
        <w:t>形状和尺寸</w:t>
      </w:r>
      <w:r>
        <w:rPr>
          <w:rFonts w:hint="eastAsia" w:ascii="黑体" w:eastAsia="黑体"/>
          <w:b/>
          <w:bCs/>
          <w:color w:val="000000"/>
          <w:kern w:val="0"/>
          <w:sz w:val="22"/>
          <w:szCs w:val="22"/>
          <w:lang w:val="en-US" w:eastAsia="zh-CN"/>
        </w:rPr>
        <w:t xml:space="preserve">                                                </w:t>
      </w:r>
      <w:r>
        <w:rPr>
          <w:rFonts w:hint="eastAsia" w:ascii="黑体" w:eastAsia="黑体"/>
          <w:color w:val="000000"/>
          <w:kern w:val="0"/>
          <w:szCs w:val="20"/>
        </w:rPr>
        <w:t>单位为mm</w:t>
      </w:r>
    </w:p>
    <w:p>
      <w:pPr>
        <w:widowControl/>
        <w:spacing w:before="312" w:beforeLines="100" w:after="312" w:afterLines="100"/>
        <w:outlineLvl w:val="1"/>
        <w:rPr>
          <w:rFonts w:hint="eastAsia" w:ascii="黑体" w:eastAsia="黑体"/>
          <w:kern w:val="0"/>
          <w:sz w:val="22"/>
          <w:szCs w:val="22"/>
        </w:rPr>
      </w:pPr>
      <w:r>
        <w:rPr>
          <w:rFonts w:hint="eastAsia" w:ascii="黑体" w:eastAsia="黑体"/>
          <w:color w:val="000000"/>
          <w:kern w:val="0"/>
          <w:szCs w:val="20"/>
          <w:lang w:val="en-US" w:eastAsia="zh-CN"/>
        </w:rPr>
        <w:t xml:space="preserve">                                                                           </w:t>
      </w:r>
      <w:r>
        <w:rPr>
          <w:rFonts w:hint="eastAsia" w:ascii="宋体" w:hAnsi="宋体" w:cs="宋体"/>
          <w:color w:val="0000FF"/>
          <w:sz w:val="22"/>
          <w:szCs w:val="22"/>
          <w:lang w:val="en-US" w:eastAsia="zh-CN"/>
        </w:rPr>
        <w:drawing>
          <wp:anchor distT="0" distB="0" distL="114300" distR="114300" simplePos="0" relativeHeight="251660288" behindDoc="0" locked="0" layoutInCell="1" allowOverlap="1">
            <wp:simplePos x="0" y="0"/>
            <wp:positionH relativeFrom="column">
              <wp:posOffset>-48260</wp:posOffset>
            </wp:positionH>
            <wp:positionV relativeFrom="paragraph">
              <wp:posOffset>147955</wp:posOffset>
            </wp:positionV>
            <wp:extent cx="5424805" cy="2980055"/>
            <wp:effectExtent l="0" t="0" r="4445" b="10795"/>
            <wp:wrapSquare wrapText="bothSides"/>
            <wp:docPr id="2" name="图片 7" descr="b50dd2fd77154bf0fb6d0a93829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b50dd2fd77154bf0fb6d0a938290282"/>
                    <pic:cNvPicPr>
                      <a:picLocks noChangeAspect="1"/>
                    </pic:cNvPicPr>
                  </pic:nvPicPr>
                  <pic:blipFill>
                    <a:blip r:embed="rId10"/>
                    <a:stretch>
                      <a:fillRect/>
                    </a:stretch>
                  </pic:blipFill>
                  <pic:spPr>
                    <a:xfrm>
                      <a:off x="0" y="0"/>
                      <a:ext cx="5424805" cy="2980055"/>
                    </a:xfrm>
                    <a:prstGeom prst="rect">
                      <a:avLst/>
                    </a:prstGeom>
                    <a:noFill/>
                    <a:ln>
                      <a:noFill/>
                    </a:ln>
                  </pic:spPr>
                </pic:pic>
              </a:graphicData>
            </a:graphic>
          </wp:anchor>
        </w:drawing>
      </w:r>
      <w:r>
        <w:rPr>
          <w:rFonts w:hint="eastAsia" w:ascii="黑体" w:eastAsia="黑体"/>
          <w:kern w:val="0"/>
          <w:sz w:val="22"/>
          <w:szCs w:val="22"/>
          <w:lang w:val="en-US" w:eastAsia="zh-CN"/>
        </w:rPr>
        <w:t>2</w:t>
      </w:r>
      <w:r>
        <w:rPr>
          <w:rFonts w:hint="eastAsia" w:ascii="黑体" w:eastAsia="黑体"/>
          <w:kern w:val="0"/>
          <w:sz w:val="22"/>
          <w:szCs w:val="22"/>
        </w:rPr>
        <w:t>.</w:t>
      </w:r>
      <w:r>
        <w:rPr>
          <w:rFonts w:hint="eastAsia" w:ascii="黑体" w:eastAsia="黑体"/>
          <w:kern w:val="0"/>
          <w:sz w:val="22"/>
          <w:szCs w:val="22"/>
          <w:lang w:val="en-US" w:eastAsia="zh-CN"/>
        </w:rPr>
        <w:t>4</w:t>
      </w:r>
      <w:r>
        <w:rPr>
          <w:rFonts w:hint="eastAsia" w:ascii="黑体" w:eastAsia="黑体"/>
          <w:kern w:val="0"/>
          <w:sz w:val="22"/>
          <w:szCs w:val="22"/>
        </w:rPr>
        <w:t>.1 镍饼外形为饼状。正面为中间光滑圆形，四周圆滑突起；背面为平整圆形（如图）；</w:t>
      </w:r>
    </w:p>
    <w:p>
      <w:pPr>
        <w:widowControl/>
        <w:spacing w:before="312" w:beforeLines="100" w:after="312" w:afterLines="100"/>
        <w:outlineLvl w:val="1"/>
        <w:rPr>
          <w:rFonts w:hint="eastAsia" w:ascii="黑体" w:eastAsia="黑体"/>
          <w:kern w:val="0"/>
          <w:sz w:val="22"/>
          <w:szCs w:val="22"/>
        </w:rPr>
      </w:pPr>
      <w:r>
        <w:rPr>
          <w:rFonts w:hint="eastAsia" w:ascii="黑体" w:eastAsia="黑体"/>
          <w:kern w:val="0"/>
          <w:sz w:val="22"/>
          <w:szCs w:val="22"/>
          <w:lang w:val="en-US" w:eastAsia="zh-CN"/>
        </w:rPr>
        <w:t>2</w:t>
      </w:r>
      <w:r>
        <w:rPr>
          <w:rFonts w:hint="eastAsia" w:ascii="黑体" w:eastAsia="黑体"/>
          <w:kern w:val="0"/>
          <w:sz w:val="22"/>
          <w:szCs w:val="22"/>
        </w:rPr>
        <w:t>.</w:t>
      </w:r>
      <w:r>
        <w:rPr>
          <w:rFonts w:hint="eastAsia" w:ascii="黑体" w:eastAsia="黑体"/>
          <w:kern w:val="0"/>
          <w:sz w:val="22"/>
          <w:szCs w:val="22"/>
          <w:lang w:val="en-US" w:eastAsia="zh-CN"/>
        </w:rPr>
        <w:t>4</w:t>
      </w:r>
      <w:r>
        <w:rPr>
          <w:rFonts w:hint="eastAsia" w:ascii="黑体" w:eastAsia="黑体"/>
          <w:kern w:val="0"/>
          <w:sz w:val="22"/>
          <w:szCs w:val="22"/>
        </w:rPr>
        <w:t>.2 镍饼背面外圆直径</w:t>
      </w:r>
      <w:r>
        <w:rPr>
          <w:rFonts w:hint="eastAsia" w:ascii="黑体" w:eastAsia="黑体"/>
          <w:kern w:val="0"/>
          <w:sz w:val="22"/>
          <w:szCs w:val="22"/>
          <w:lang w:val="en-US" w:eastAsia="zh-CN"/>
        </w:rPr>
        <w:t>15</w:t>
      </w:r>
      <w:r>
        <w:rPr>
          <w:rFonts w:hint="eastAsia" w:ascii="黑体" w:eastAsia="黑体"/>
          <w:kern w:val="0"/>
          <w:sz w:val="22"/>
          <w:szCs w:val="22"/>
        </w:rPr>
        <w:t>-25mm，正面内圆直径</w:t>
      </w:r>
      <w:r>
        <w:rPr>
          <w:rFonts w:hint="eastAsia" w:ascii="黑体" w:eastAsia="黑体"/>
          <w:kern w:val="0"/>
          <w:sz w:val="22"/>
          <w:szCs w:val="22"/>
          <w:lang w:val="en-US" w:eastAsia="zh-CN"/>
        </w:rPr>
        <w:t>5</w:t>
      </w:r>
      <w:r>
        <w:rPr>
          <w:rFonts w:hint="eastAsia" w:ascii="黑体" w:eastAsia="黑体"/>
          <w:kern w:val="0"/>
          <w:sz w:val="22"/>
          <w:szCs w:val="22"/>
        </w:rPr>
        <w:t>-1</w:t>
      </w:r>
      <w:r>
        <w:rPr>
          <w:rFonts w:hint="eastAsia" w:ascii="黑体" w:eastAsia="黑体"/>
          <w:kern w:val="0"/>
          <w:sz w:val="22"/>
          <w:szCs w:val="22"/>
          <w:lang w:val="en-US" w:eastAsia="zh-CN"/>
        </w:rPr>
        <w:t>5</w:t>
      </w:r>
      <w:r>
        <w:rPr>
          <w:rFonts w:hint="eastAsia" w:ascii="黑体" w:eastAsia="黑体"/>
          <w:kern w:val="0"/>
          <w:sz w:val="22"/>
          <w:szCs w:val="22"/>
        </w:rPr>
        <w:t>mm；</w:t>
      </w:r>
    </w:p>
    <w:p>
      <w:pPr>
        <w:widowControl/>
        <w:spacing w:before="312" w:beforeLines="100" w:after="312" w:afterLines="100"/>
        <w:outlineLvl w:val="1"/>
        <w:rPr>
          <w:rFonts w:hint="eastAsia" w:ascii="黑体" w:eastAsia="黑体"/>
          <w:kern w:val="0"/>
          <w:sz w:val="22"/>
          <w:szCs w:val="22"/>
        </w:rPr>
      </w:pPr>
      <w:r>
        <w:rPr>
          <w:rFonts w:hint="eastAsia" w:ascii="黑体" w:eastAsia="黑体"/>
          <w:kern w:val="0"/>
          <w:sz w:val="22"/>
          <w:szCs w:val="22"/>
          <w:lang w:val="en-US" w:eastAsia="zh-CN"/>
        </w:rPr>
        <w:t>2</w:t>
      </w:r>
      <w:r>
        <w:rPr>
          <w:rFonts w:hint="eastAsia" w:ascii="黑体" w:eastAsia="黑体"/>
          <w:kern w:val="0"/>
          <w:sz w:val="22"/>
          <w:szCs w:val="22"/>
        </w:rPr>
        <w:t>.</w:t>
      </w:r>
      <w:r>
        <w:rPr>
          <w:rFonts w:hint="eastAsia" w:ascii="黑体" w:eastAsia="黑体"/>
          <w:kern w:val="0"/>
          <w:sz w:val="22"/>
          <w:szCs w:val="22"/>
          <w:lang w:val="en-US" w:eastAsia="zh-CN"/>
        </w:rPr>
        <w:t>4</w:t>
      </w:r>
      <w:r>
        <w:rPr>
          <w:rFonts w:hint="eastAsia" w:ascii="黑体" w:eastAsia="黑体"/>
          <w:kern w:val="0"/>
          <w:sz w:val="22"/>
          <w:szCs w:val="22"/>
        </w:rPr>
        <w:t>.3 镍饼内部厚度3-4mm,外部厚度5-8mm.</w:t>
      </w:r>
    </w:p>
    <w:p>
      <w:pPr>
        <w:widowControl/>
        <w:spacing w:before="312" w:beforeLines="100" w:after="312" w:afterLines="100"/>
        <w:outlineLvl w:val="1"/>
        <w:rPr>
          <w:rFonts w:hint="eastAsia" w:ascii="宋体" w:hAnsi="宋体" w:cs="宋体"/>
          <w:b/>
          <w:bCs/>
          <w:sz w:val="24"/>
        </w:rPr>
      </w:pPr>
      <w:r>
        <w:rPr>
          <w:rFonts w:hint="eastAsia" w:ascii="宋体" w:hAnsi="宋体" w:cs="宋体"/>
          <w:b/>
          <w:bCs/>
          <w:sz w:val="24"/>
          <w:lang w:val="en-US" w:eastAsia="zh-CN"/>
        </w:rPr>
        <w:t>2</w:t>
      </w:r>
      <w:r>
        <w:rPr>
          <w:rFonts w:hint="eastAsia" w:ascii="宋体" w:hAnsi="宋体" w:cs="宋体"/>
          <w:b/>
          <w:bCs/>
          <w:sz w:val="24"/>
        </w:rPr>
        <w:t>.</w:t>
      </w:r>
      <w:r>
        <w:rPr>
          <w:rFonts w:hint="eastAsia" w:ascii="宋体" w:hAnsi="宋体" w:cs="宋体"/>
          <w:b/>
          <w:bCs/>
          <w:sz w:val="24"/>
          <w:lang w:val="en-US" w:eastAsia="zh-CN"/>
        </w:rPr>
        <w:t>5</w:t>
      </w:r>
      <w:r>
        <w:rPr>
          <w:rFonts w:hint="eastAsia" w:ascii="宋体" w:hAnsi="宋体" w:cs="宋体"/>
          <w:b/>
          <w:bCs/>
          <w:sz w:val="24"/>
        </w:rPr>
        <w:t>外观质量</w:t>
      </w:r>
    </w:p>
    <w:p>
      <w:pPr>
        <w:keepNext w:val="0"/>
        <w:keepLines w:val="0"/>
        <w:pageBreakBefore w:val="0"/>
        <w:widowControl/>
        <w:kinsoku/>
        <w:wordWrap/>
        <w:overflowPunct/>
        <w:topLinePunct w:val="0"/>
        <w:bidi w:val="0"/>
        <w:adjustRightInd/>
        <w:snapToGrid/>
        <w:spacing w:before="313" w:beforeLines="100" w:after="313" w:afterLines="100"/>
        <w:textAlignment w:val="auto"/>
        <w:outlineLvl w:val="1"/>
        <w:rPr>
          <w:rFonts w:hint="eastAsia" w:ascii="宋体" w:hAnsi="宋体" w:cs="宋体"/>
          <w:sz w:val="22"/>
        </w:rPr>
      </w:pPr>
      <w:r>
        <w:rPr>
          <w:rFonts w:hint="eastAsia" w:ascii="宋体" w:hAnsi="宋体" w:cs="宋体"/>
          <w:sz w:val="22"/>
          <w:lang w:val="en-US" w:eastAsia="zh-CN"/>
        </w:rPr>
        <w:t>2</w:t>
      </w:r>
      <w:r>
        <w:rPr>
          <w:rFonts w:hint="eastAsia" w:ascii="宋体" w:hAnsi="宋体" w:cs="宋体"/>
          <w:sz w:val="22"/>
        </w:rPr>
        <w:t>.</w:t>
      </w:r>
      <w:r>
        <w:rPr>
          <w:rFonts w:hint="eastAsia" w:ascii="宋体" w:hAnsi="宋体" w:cs="宋体"/>
          <w:sz w:val="22"/>
          <w:lang w:val="en-US" w:eastAsia="zh-CN"/>
        </w:rPr>
        <w:t>5</w:t>
      </w:r>
      <w:r>
        <w:rPr>
          <w:rFonts w:hint="eastAsia" w:ascii="宋体" w:hAnsi="宋体" w:cs="宋体"/>
          <w:sz w:val="22"/>
        </w:rPr>
        <w:t>.1</w:t>
      </w:r>
      <w:r>
        <w:rPr>
          <w:rFonts w:hint="eastAsia" w:ascii="宋体" w:hAnsi="宋体" w:cs="宋体"/>
          <w:sz w:val="22"/>
          <w:lang w:val="en-US" w:eastAsia="zh-CN"/>
        </w:rPr>
        <w:t xml:space="preserve"> </w:t>
      </w:r>
      <w:r>
        <w:rPr>
          <w:rFonts w:hint="eastAsia" w:ascii="宋体" w:hAnsi="宋体" w:cs="宋体"/>
          <w:sz w:val="22"/>
        </w:rPr>
        <w:t>镍饼表面应光滑洁净，</w:t>
      </w:r>
      <w:r>
        <w:rPr>
          <w:rFonts w:hint="eastAsia" w:ascii="宋体" w:hAnsi="宋体" w:cs="宋体"/>
          <w:sz w:val="22"/>
          <w:lang w:eastAsia="zh-CN"/>
        </w:rPr>
        <w:t>无污泥、油污、</w:t>
      </w:r>
      <w:r>
        <w:rPr>
          <w:rFonts w:hint="eastAsia" w:ascii="宋体" w:hAnsi="宋体" w:cs="宋体"/>
          <w:sz w:val="22"/>
        </w:rPr>
        <w:t>无镍盐及其它有机物附着于表面</w:t>
      </w:r>
      <w:r>
        <w:rPr>
          <w:rFonts w:hint="eastAsia" w:ascii="宋体" w:hAnsi="宋体" w:cs="宋体"/>
          <w:sz w:val="22"/>
          <w:lang w:eastAsia="zh-CN"/>
        </w:rPr>
        <w:t>，</w:t>
      </w:r>
      <w:r>
        <w:rPr>
          <w:rFonts w:hint="eastAsia" w:ascii="宋体" w:hAnsi="宋体" w:cs="宋体"/>
          <w:sz w:val="22"/>
        </w:rPr>
        <w:t>具有金属光泽。</w:t>
      </w:r>
    </w:p>
    <w:p>
      <w:pPr>
        <w:keepNext w:val="0"/>
        <w:keepLines w:val="0"/>
        <w:pageBreakBefore w:val="0"/>
        <w:widowControl/>
        <w:kinsoku/>
        <w:wordWrap/>
        <w:overflowPunct/>
        <w:topLinePunct w:val="0"/>
        <w:bidi w:val="0"/>
        <w:adjustRightInd/>
        <w:snapToGrid/>
        <w:spacing w:before="313" w:beforeLines="100" w:after="313" w:afterLines="100"/>
        <w:textAlignment w:val="auto"/>
        <w:outlineLvl w:val="1"/>
        <w:rPr>
          <w:rFonts w:hint="default" w:ascii="宋体" w:hAnsi="宋体" w:eastAsia="宋体" w:cs="宋体"/>
          <w:color w:val="auto"/>
          <w:sz w:val="22"/>
          <w:lang w:val="en-US" w:eastAsia="zh-CN"/>
        </w:rPr>
      </w:pPr>
      <w:r>
        <w:rPr>
          <w:rFonts w:hint="eastAsia" w:ascii="宋体" w:hAnsi="宋体" w:cs="宋体"/>
          <w:color w:val="auto"/>
          <w:sz w:val="22"/>
          <w:lang w:val="en-US" w:eastAsia="zh-CN"/>
        </w:rPr>
        <w:t>2.5.2 产品边缘不应有密集气孔。</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313" w:beforeLines="100" w:after="313" w:afterLines="100"/>
        <w:textAlignment w:val="auto"/>
        <w:rPr>
          <w:rFonts w:hint="eastAsia" w:ascii="宋体" w:hAnsi="宋体" w:cs="宋体"/>
          <w:color w:val="auto"/>
          <w:sz w:val="22"/>
          <w:lang w:val="en-US" w:eastAsia="zh-CN"/>
        </w:rPr>
      </w:pPr>
      <w:r>
        <w:rPr>
          <w:rFonts w:hint="eastAsia" w:ascii="宋体" w:hAnsi="宋体" w:cs="宋体"/>
          <w:color w:val="auto"/>
          <w:sz w:val="22"/>
          <w:lang w:val="en-US" w:eastAsia="zh-CN"/>
        </w:rPr>
        <w:t>2</w:t>
      </w:r>
      <w:r>
        <w:rPr>
          <w:rFonts w:hint="eastAsia" w:ascii="宋体" w:hAnsi="宋体" w:cs="宋体"/>
          <w:color w:val="auto"/>
          <w:sz w:val="22"/>
        </w:rPr>
        <w:t>.</w:t>
      </w:r>
      <w:r>
        <w:rPr>
          <w:rFonts w:hint="eastAsia" w:ascii="宋体" w:hAnsi="宋体" w:cs="宋体"/>
          <w:color w:val="auto"/>
          <w:sz w:val="22"/>
          <w:lang w:val="en-US" w:eastAsia="zh-CN"/>
        </w:rPr>
        <w:t>5</w:t>
      </w:r>
      <w:r>
        <w:rPr>
          <w:rFonts w:hint="eastAsia" w:ascii="宋体" w:hAnsi="宋体" w:cs="宋体"/>
          <w:color w:val="auto"/>
          <w:sz w:val="22"/>
        </w:rPr>
        <w:t>.</w:t>
      </w:r>
      <w:r>
        <w:rPr>
          <w:rFonts w:hint="eastAsia" w:ascii="宋体" w:hAnsi="宋体" w:cs="宋体"/>
          <w:color w:val="auto"/>
          <w:sz w:val="22"/>
          <w:lang w:val="en-US" w:eastAsia="zh-CN"/>
        </w:rPr>
        <w:t xml:space="preserve">3 </w:t>
      </w:r>
      <w:r>
        <w:rPr>
          <w:rFonts w:hint="eastAsia" w:ascii="宋体" w:hAnsi="宋体" w:cs="宋体"/>
          <w:color w:val="auto"/>
          <w:sz w:val="22"/>
        </w:rPr>
        <w:t>镍饼表面不应有直径大于</w:t>
      </w:r>
      <w:r>
        <w:rPr>
          <w:rFonts w:hint="eastAsia" w:ascii="宋体" w:hAnsi="宋体" w:cs="宋体"/>
          <w:color w:val="auto"/>
          <w:sz w:val="22"/>
          <w:lang w:val="en-US" w:eastAsia="zh-CN"/>
        </w:rPr>
        <w:t>1</w:t>
      </w:r>
      <w:r>
        <w:rPr>
          <w:rFonts w:hint="eastAsia" w:ascii="宋体" w:hAnsi="宋体" w:cs="宋体"/>
          <w:color w:val="auto"/>
          <w:sz w:val="22"/>
        </w:rPr>
        <w:t>mm的</w:t>
      </w:r>
      <w:r>
        <w:rPr>
          <w:rFonts w:hint="eastAsia" w:ascii="宋体" w:hAnsi="宋体" w:cs="宋体"/>
          <w:color w:val="auto"/>
          <w:sz w:val="22"/>
          <w:lang w:eastAsia="zh-CN"/>
        </w:rPr>
        <w:t>密集</w:t>
      </w:r>
      <w:r>
        <w:rPr>
          <w:rFonts w:hint="eastAsia" w:ascii="宋体" w:hAnsi="宋体" w:cs="宋体"/>
          <w:color w:val="auto"/>
          <w:sz w:val="22"/>
        </w:rPr>
        <w:t>气孔</w:t>
      </w:r>
      <w:r>
        <w:rPr>
          <w:rFonts w:hint="eastAsia" w:ascii="宋体" w:hAnsi="宋体" w:cs="宋体"/>
          <w:color w:val="auto"/>
          <w:sz w:val="22"/>
          <w:lang w:eastAsia="zh-CN"/>
        </w:rPr>
        <w:t>。直径不大于</w:t>
      </w:r>
      <w:r>
        <w:rPr>
          <w:rFonts w:hint="eastAsia" w:ascii="宋体" w:hAnsi="宋体" w:cs="宋体"/>
          <w:color w:val="auto"/>
          <w:sz w:val="22"/>
          <w:lang w:val="en-US" w:eastAsia="zh-CN"/>
        </w:rPr>
        <w:t>1</w:t>
      </w:r>
      <w:r>
        <w:rPr>
          <w:rFonts w:hint="eastAsia" w:ascii="宋体" w:hAnsi="宋体" w:cs="宋体"/>
          <w:color w:val="auto"/>
          <w:sz w:val="22"/>
        </w:rPr>
        <w:t>mm的</w:t>
      </w:r>
      <w:r>
        <w:rPr>
          <w:rFonts w:hint="eastAsia" w:ascii="宋体" w:hAnsi="宋体" w:cs="宋体"/>
          <w:color w:val="auto"/>
          <w:sz w:val="22"/>
          <w:lang w:eastAsia="zh-CN"/>
        </w:rPr>
        <w:t>密集</w:t>
      </w:r>
      <w:r>
        <w:rPr>
          <w:rFonts w:hint="eastAsia" w:ascii="宋体" w:hAnsi="宋体" w:cs="宋体"/>
          <w:color w:val="auto"/>
          <w:sz w:val="22"/>
        </w:rPr>
        <w:t>气孔</w:t>
      </w:r>
      <w:r>
        <w:rPr>
          <w:rFonts w:hint="eastAsia" w:ascii="宋体" w:hAnsi="宋体" w:cs="宋体"/>
          <w:color w:val="auto"/>
          <w:sz w:val="22"/>
          <w:lang w:eastAsia="zh-CN"/>
        </w:rPr>
        <w:t>区总面积不应超过镍饼单面面积的</w:t>
      </w:r>
      <w:r>
        <w:rPr>
          <w:rFonts w:hint="eastAsia" w:ascii="宋体" w:hAnsi="宋体" w:cs="宋体"/>
          <w:color w:val="auto"/>
          <w:sz w:val="22"/>
          <w:lang w:val="en-US" w:eastAsia="zh-CN"/>
        </w:rPr>
        <w:t>15%。</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313" w:beforeLines="100" w:after="313" w:afterLines="100"/>
        <w:textAlignment w:val="auto"/>
        <w:rPr>
          <w:rFonts w:hint="default" w:ascii="宋体" w:hAnsi="宋体" w:eastAsia="宋体" w:cs="宋体"/>
          <w:color w:val="auto"/>
          <w:sz w:val="22"/>
          <w:lang w:val="en-US" w:eastAsia="zh-CN"/>
        </w:rPr>
      </w:pPr>
      <w:r>
        <w:rPr>
          <w:rFonts w:hint="eastAsia" w:ascii="宋体" w:hAnsi="宋体" w:cs="宋体"/>
          <w:color w:val="auto"/>
          <w:sz w:val="22"/>
          <w:lang w:val="en-US" w:eastAsia="zh-CN"/>
        </w:rPr>
        <w:t>2.5.4 产品表面高度大于3</w:t>
      </w:r>
      <w:r>
        <w:rPr>
          <w:rFonts w:hint="eastAsia" w:ascii="宋体" w:hAnsi="宋体" w:cs="宋体"/>
          <w:color w:val="auto"/>
          <w:sz w:val="22"/>
        </w:rPr>
        <w:t>mm</w:t>
      </w:r>
      <w:r>
        <w:rPr>
          <w:rFonts w:hint="eastAsia" w:ascii="宋体" w:hAnsi="宋体" w:cs="宋体"/>
          <w:color w:val="auto"/>
          <w:sz w:val="22"/>
          <w:lang w:eastAsia="zh-CN"/>
        </w:rPr>
        <w:t>密集结粒区总面积不应超过镍饼单面面积的</w:t>
      </w:r>
      <w:r>
        <w:rPr>
          <w:rFonts w:hint="eastAsia" w:ascii="宋体" w:hAnsi="宋体" w:cs="宋体"/>
          <w:color w:val="auto"/>
          <w:sz w:val="22"/>
          <w:lang w:val="en-US" w:eastAsia="zh-CN"/>
        </w:rPr>
        <w:t>15%.</w:t>
      </w:r>
    </w:p>
    <w:p>
      <w:pPr>
        <w:widowControl/>
        <w:tabs>
          <w:tab w:val="center" w:pos="4201"/>
          <w:tab w:val="right" w:leader="dot" w:pos="9298"/>
        </w:tabs>
        <w:autoSpaceDE w:val="0"/>
        <w:autoSpaceDN w:val="0"/>
        <w:rPr>
          <w:rFonts w:hint="eastAsia" w:ascii="宋体" w:hAnsi="宋体" w:cs="宋体"/>
          <w:b/>
          <w:bCs/>
          <w:color w:val="auto"/>
          <w:sz w:val="22"/>
          <w:szCs w:val="22"/>
          <w:lang w:val="en-US" w:eastAsia="zh-CN"/>
        </w:rPr>
      </w:pPr>
      <w:r>
        <w:rPr>
          <w:rFonts w:hint="eastAsia" w:ascii="宋体" w:hAnsi="宋体" w:cs="宋体"/>
          <w:b/>
          <w:bCs/>
          <w:color w:val="auto"/>
          <w:sz w:val="22"/>
          <w:szCs w:val="22"/>
          <w:lang w:val="en-US" w:eastAsia="zh-CN"/>
        </w:rPr>
        <w:t>2.6 电镀性能</w:t>
      </w:r>
    </w:p>
    <w:p>
      <w:pPr>
        <w:widowControl/>
        <w:tabs>
          <w:tab w:val="center" w:pos="4201"/>
          <w:tab w:val="right" w:leader="dot" w:pos="9298"/>
        </w:tabs>
        <w:autoSpaceDE w:val="0"/>
        <w:autoSpaceDN w:val="0"/>
        <w:rPr>
          <w:rFonts w:hint="eastAsia" w:ascii="宋体" w:hAnsi="宋体" w:cs="宋体"/>
          <w:color w:val="auto"/>
          <w:sz w:val="22"/>
          <w:lang w:val="en-US" w:eastAsia="zh-CN"/>
        </w:rPr>
      </w:pPr>
    </w:p>
    <w:p>
      <w:pPr>
        <w:widowControl/>
        <w:tabs>
          <w:tab w:val="center" w:pos="4201"/>
          <w:tab w:val="right" w:leader="dot" w:pos="9298"/>
        </w:tabs>
        <w:autoSpaceDE w:val="0"/>
        <w:autoSpaceDN w:val="0"/>
        <w:rPr>
          <w:rFonts w:hint="default" w:ascii="宋体" w:hAnsi="宋体" w:cs="宋体"/>
          <w:color w:val="auto"/>
          <w:sz w:val="22"/>
          <w:lang w:val="en-US" w:eastAsia="zh-CN"/>
        </w:rPr>
      </w:pPr>
      <w:r>
        <w:rPr>
          <w:rFonts w:hint="eastAsia" w:ascii="宋体" w:hAnsi="宋体" w:cs="宋体"/>
          <w:color w:val="auto"/>
          <w:sz w:val="22"/>
          <w:lang w:val="en-US" w:eastAsia="zh-CN"/>
        </w:rPr>
        <w:t>2.6.1 赫尔槽实验合格</w:t>
      </w:r>
    </w:p>
    <w:p>
      <w:pPr>
        <w:widowControl/>
        <w:spacing w:before="312" w:beforeLines="100" w:after="312" w:afterLines="100"/>
        <w:outlineLvl w:val="1"/>
        <w:rPr>
          <w:rFonts w:hint="eastAsia"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 xml:space="preserve"> 试验方法</w:t>
      </w:r>
    </w:p>
    <w:p>
      <w:pPr>
        <w:widowControl/>
        <w:spacing w:before="312" w:beforeLines="100" w:after="312" w:afterLines="100"/>
        <w:outlineLvl w:val="1"/>
        <w:rPr>
          <w:rFonts w:hint="eastAsia" w:ascii="宋体" w:hAnsi="宋体" w:cs="宋体"/>
          <w:color w:val="auto"/>
          <w:sz w:val="22"/>
        </w:rPr>
      </w:pPr>
      <w:r>
        <w:rPr>
          <w:rFonts w:hint="eastAsia" w:ascii="宋体" w:hAnsi="宋体" w:cs="宋体"/>
          <w:color w:val="auto"/>
          <w:sz w:val="22"/>
          <w:lang w:val="en-US" w:eastAsia="zh-CN"/>
        </w:rPr>
        <w:t>3</w:t>
      </w:r>
      <w:r>
        <w:rPr>
          <w:rFonts w:hint="eastAsia" w:ascii="宋体" w:hAnsi="宋体" w:cs="宋体"/>
          <w:color w:val="auto"/>
          <w:sz w:val="22"/>
        </w:rPr>
        <w:t>.1</w:t>
      </w:r>
      <w:r>
        <w:rPr>
          <w:rFonts w:hint="eastAsia" w:ascii="宋体" w:hAnsi="宋体" w:cs="宋体"/>
          <w:color w:val="auto"/>
          <w:sz w:val="22"/>
          <w:lang w:val="en-US" w:eastAsia="zh-CN"/>
        </w:rPr>
        <w:t xml:space="preserve"> </w:t>
      </w:r>
      <w:r>
        <w:rPr>
          <w:rFonts w:hint="eastAsia" w:ascii="宋体" w:hAnsi="宋体" w:cs="宋体"/>
          <w:color w:val="auto"/>
          <w:sz w:val="22"/>
        </w:rPr>
        <w:t>镍饼化学成分的测定按GB/T8647(所有部分)的规定进行。</w:t>
      </w:r>
    </w:p>
    <w:p>
      <w:pPr>
        <w:widowControl/>
        <w:spacing w:before="312" w:beforeLines="100" w:after="312" w:afterLines="100"/>
        <w:outlineLvl w:val="1"/>
        <w:rPr>
          <w:rFonts w:hint="eastAsia" w:ascii="宋体" w:hAnsi="宋体" w:cs="宋体"/>
          <w:color w:val="auto"/>
          <w:sz w:val="22"/>
        </w:rPr>
      </w:pPr>
      <w:r>
        <w:rPr>
          <w:rFonts w:hint="eastAsia" w:ascii="宋体" w:hAnsi="宋体" w:cs="宋体"/>
          <w:color w:val="auto"/>
          <w:sz w:val="22"/>
          <w:lang w:val="en-US" w:eastAsia="zh-CN"/>
        </w:rPr>
        <w:t>3</w:t>
      </w:r>
      <w:r>
        <w:rPr>
          <w:rFonts w:hint="eastAsia" w:ascii="宋体" w:hAnsi="宋体" w:cs="宋体"/>
          <w:color w:val="auto"/>
          <w:sz w:val="22"/>
        </w:rPr>
        <w:t>.2</w:t>
      </w:r>
      <w:r>
        <w:rPr>
          <w:rFonts w:hint="eastAsia" w:ascii="宋体" w:hAnsi="宋体" w:cs="宋体"/>
          <w:color w:val="auto"/>
          <w:sz w:val="22"/>
          <w:lang w:val="en-US" w:eastAsia="zh-CN"/>
        </w:rPr>
        <w:t xml:space="preserve"> </w:t>
      </w:r>
      <w:r>
        <w:rPr>
          <w:rFonts w:hint="eastAsia" w:ascii="宋体" w:hAnsi="宋体" w:cs="宋体"/>
          <w:color w:val="auto"/>
          <w:sz w:val="22"/>
        </w:rPr>
        <w:t>镍饼的形状和尺寸由相应精度的量具检测。</w:t>
      </w:r>
    </w:p>
    <w:p>
      <w:pPr>
        <w:widowControl/>
        <w:spacing w:before="312" w:beforeLines="100" w:after="312" w:afterLines="100"/>
        <w:outlineLvl w:val="1"/>
        <w:rPr>
          <w:rFonts w:hint="eastAsia" w:ascii="宋体" w:hAnsi="宋体" w:cs="宋体"/>
          <w:color w:val="auto"/>
          <w:sz w:val="22"/>
        </w:rPr>
      </w:pPr>
      <w:r>
        <w:rPr>
          <w:rFonts w:hint="eastAsia" w:ascii="宋体" w:hAnsi="宋体" w:cs="宋体"/>
          <w:color w:val="auto"/>
          <w:sz w:val="22"/>
          <w:lang w:val="en-US" w:eastAsia="zh-CN"/>
        </w:rPr>
        <w:t>3</w:t>
      </w:r>
      <w:r>
        <w:rPr>
          <w:rFonts w:hint="eastAsia" w:ascii="宋体" w:hAnsi="宋体" w:cs="宋体"/>
          <w:color w:val="auto"/>
          <w:sz w:val="22"/>
        </w:rPr>
        <w:t>.3</w:t>
      </w:r>
      <w:r>
        <w:rPr>
          <w:rFonts w:hint="eastAsia" w:ascii="宋体" w:hAnsi="宋体" w:cs="宋体"/>
          <w:color w:val="auto"/>
          <w:sz w:val="22"/>
          <w:lang w:val="en-US" w:eastAsia="zh-CN"/>
        </w:rPr>
        <w:t xml:space="preserve"> </w:t>
      </w:r>
      <w:r>
        <w:rPr>
          <w:rFonts w:hint="eastAsia" w:ascii="宋体" w:hAnsi="宋体" w:cs="宋体"/>
          <w:color w:val="auto"/>
          <w:sz w:val="22"/>
        </w:rPr>
        <w:t>镍饼的外观质量用目视进行测量。</w:t>
      </w:r>
    </w:p>
    <w:p>
      <w:pPr>
        <w:widowControl/>
        <w:spacing w:before="156" w:beforeLines="50" w:after="156" w:afterLines="50"/>
        <w:jc w:val="left"/>
        <w:outlineLvl w:val="3"/>
        <w:rPr>
          <w:rFonts w:hint="eastAsia" w:ascii="宋体" w:hAnsi="宋体" w:eastAsia="宋体" w:cs="宋体"/>
          <w:color w:val="auto"/>
          <w:sz w:val="22"/>
          <w:lang w:val="en-US" w:eastAsia="zh-CN"/>
        </w:rPr>
      </w:pPr>
      <w:r>
        <w:rPr>
          <w:rFonts w:hint="eastAsia" w:ascii="宋体" w:hAnsi="宋体" w:cs="宋体"/>
          <w:color w:val="auto"/>
          <w:sz w:val="22"/>
          <w:lang w:val="en-US" w:eastAsia="zh-CN"/>
        </w:rPr>
        <w:t>3.4 电镀性能通过赫尔槽实验进行检测。</w:t>
      </w:r>
    </w:p>
    <w:p>
      <w:pPr>
        <w:widowControl/>
        <w:spacing w:before="312" w:beforeLines="100" w:after="312" w:afterLines="100"/>
        <w:outlineLvl w:val="1"/>
        <w:rPr>
          <w:rFonts w:ascii="宋体" w:hAnsi="宋体" w:cs="宋体"/>
          <w:b/>
          <w:bCs/>
          <w:color w:val="auto"/>
          <w:sz w:val="22"/>
        </w:rPr>
      </w:pPr>
      <w:r>
        <w:rPr>
          <w:rFonts w:hint="eastAsia" w:ascii="宋体" w:hAnsi="宋体" w:cs="宋体"/>
          <w:b/>
          <w:bCs/>
          <w:color w:val="auto"/>
          <w:sz w:val="22"/>
          <w:lang w:val="en-US" w:eastAsia="zh-CN"/>
        </w:rPr>
        <w:t>4</w:t>
      </w:r>
      <w:r>
        <w:rPr>
          <w:rFonts w:hint="eastAsia" w:ascii="宋体" w:hAnsi="宋体" w:cs="宋体"/>
          <w:b/>
          <w:bCs/>
          <w:color w:val="auto"/>
          <w:sz w:val="22"/>
        </w:rPr>
        <w:t xml:space="preserve"> 检验规则</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2"/>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.1</w:t>
      </w:r>
      <w:r>
        <w:rPr>
          <w:rFonts w:hint="eastAsia" w:ascii="宋体" w:hAnsi="宋体" w:cs="宋体"/>
          <w:color w:val="auto"/>
          <w:sz w:val="24"/>
          <w:lang w:val="en-US" w:eastAsia="zh-CN"/>
        </w:rPr>
        <w:t xml:space="preserve"> </w:t>
      </w:r>
      <w:r>
        <w:rPr>
          <w:rFonts w:hint="eastAsia" w:ascii="宋体" w:hAnsi="宋体" w:cs="宋体"/>
          <w:color w:val="auto"/>
          <w:sz w:val="22"/>
        </w:rPr>
        <w:t>检查与验收</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3"/>
        <w:rPr>
          <w:rFonts w:ascii="宋体" w:hAnsi="宋体" w:cs="宋体"/>
          <w:color w:val="auto"/>
          <w:sz w:val="22"/>
        </w:rPr>
      </w:pPr>
      <w:r>
        <w:rPr>
          <w:rFonts w:hint="eastAsia" w:ascii="宋体" w:hAnsi="宋体" w:cs="宋体"/>
          <w:color w:val="auto"/>
          <w:sz w:val="22"/>
          <w:lang w:val="en-US" w:eastAsia="zh-CN"/>
        </w:rPr>
        <w:t>4</w:t>
      </w:r>
      <w:r>
        <w:rPr>
          <w:rFonts w:hint="eastAsia" w:ascii="宋体" w:hAnsi="宋体" w:cs="宋体"/>
          <w:color w:val="auto"/>
          <w:sz w:val="22"/>
        </w:rPr>
        <w:t>.1.1镍饼应由供方或第三方进行检验，保证产品质量符合本文件及订货单的规定。</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3"/>
        <w:rPr>
          <w:rFonts w:ascii="宋体" w:hAnsi="宋体" w:cs="宋体"/>
          <w:color w:val="auto"/>
          <w:sz w:val="22"/>
        </w:rPr>
      </w:pPr>
      <w:r>
        <w:rPr>
          <w:rFonts w:hint="eastAsia" w:ascii="宋体" w:hAnsi="宋体" w:cs="宋体"/>
          <w:color w:val="auto"/>
          <w:sz w:val="22"/>
          <w:lang w:val="en-US" w:eastAsia="zh-CN"/>
        </w:rPr>
        <w:t>4</w:t>
      </w:r>
      <w:r>
        <w:rPr>
          <w:rFonts w:hint="eastAsia" w:ascii="宋体" w:hAnsi="宋体" w:cs="宋体"/>
          <w:color w:val="auto"/>
          <w:sz w:val="22"/>
        </w:rPr>
        <w:t>.1.2</w:t>
      </w:r>
      <w:r>
        <w:rPr>
          <w:rFonts w:hint="eastAsia" w:ascii="宋体" w:hAnsi="宋体" w:cs="宋体"/>
          <w:color w:val="auto"/>
          <w:sz w:val="22"/>
          <w:lang w:val="en-US" w:eastAsia="zh-CN"/>
        </w:rPr>
        <w:t xml:space="preserve"> </w:t>
      </w:r>
      <w:r>
        <w:rPr>
          <w:rFonts w:hint="eastAsia" w:ascii="宋体" w:hAnsi="宋体" w:cs="宋体"/>
          <w:color w:val="auto"/>
          <w:sz w:val="22"/>
        </w:rPr>
        <w:t>需方可对收到的产品按文件的规定进行检验。如检验结果与本文件及订货单的规定不符时，应在收到产品之日起</w:t>
      </w:r>
      <w:r>
        <w:rPr>
          <w:rFonts w:hint="eastAsia" w:ascii="宋体" w:hAnsi="宋体" w:cs="宋体"/>
          <w:color w:val="auto"/>
          <w:sz w:val="22"/>
          <w:lang w:val="en-US" w:eastAsia="zh-CN"/>
        </w:rPr>
        <w:t>30天</w:t>
      </w:r>
      <w:r>
        <w:rPr>
          <w:rFonts w:hint="eastAsia" w:ascii="宋体" w:hAnsi="宋体" w:cs="宋体"/>
          <w:color w:val="auto"/>
          <w:sz w:val="22"/>
        </w:rPr>
        <w:t>内以书面形式向供方提出，由供需双方协商解决。如需仲裁，应由供需双方在需方共同取样或由供需双方协商确定。</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2"/>
        <w:rPr>
          <w:rFonts w:hint="eastAsia" w:ascii="宋体" w:hAnsi="宋体" w:cs="宋体"/>
          <w:bCs/>
          <w:color w:val="auto"/>
          <w:sz w:val="22"/>
        </w:rPr>
      </w:pPr>
      <w:r>
        <w:rPr>
          <w:rFonts w:hint="eastAsia" w:ascii="宋体" w:hAnsi="宋体" w:cs="宋体"/>
          <w:bCs/>
          <w:color w:val="auto"/>
          <w:sz w:val="22"/>
          <w:lang w:val="en-US" w:eastAsia="zh-CN"/>
        </w:rPr>
        <w:t>4</w:t>
      </w:r>
      <w:r>
        <w:rPr>
          <w:rFonts w:hint="eastAsia" w:ascii="宋体" w:hAnsi="宋体" w:cs="宋体"/>
          <w:bCs/>
          <w:color w:val="auto"/>
          <w:sz w:val="22"/>
        </w:rPr>
        <w:t>.2</w:t>
      </w:r>
      <w:r>
        <w:rPr>
          <w:rFonts w:hint="eastAsia" w:ascii="宋体" w:hAnsi="宋体" w:cs="宋体"/>
          <w:bCs/>
          <w:color w:val="auto"/>
          <w:sz w:val="22"/>
          <w:lang w:val="en-US" w:eastAsia="zh-CN"/>
        </w:rPr>
        <w:t xml:space="preserve"> </w:t>
      </w:r>
      <w:r>
        <w:rPr>
          <w:rFonts w:hint="eastAsia" w:ascii="宋体" w:hAnsi="宋体" w:cs="宋体"/>
          <w:bCs/>
          <w:color w:val="auto"/>
          <w:sz w:val="22"/>
        </w:rPr>
        <w:t>组批</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440" w:firstLineChars="200"/>
        <w:jc w:val="left"/>
        <w:textAlignment w:val="auto"/>
        <w:outlineLvl w:val="2"/>
        <w:rPr>
          <w:rFonts w:ascii="宋体" w:hAnsi="宋体" w:cs="宋体"/>
          <w:color w:val="auto"/>
          <w:sz w:val="22"/>
        </w:rPr>
      </w:pPr>
      <w:r>
        <w:rPr>
          <w:rFonts w:hint="eastAsia" w:ascii="宋体" w:hAnsi="宋体" w:cs="宋体"/>
          <w:color w:val="auto"/>
          <w:sz w:val="22"/>
        </w:rPr>
        <w:t xml:space="preserve"> 产品应成品提交验收，每批产品应由同一循环系统、同一生产周期生产的产品组成；</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2"/>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.3</w:t>
      </w:r>
      <w:r>
        <w:rPr>
          <w:rFonts w:hint="eastAsia" w:ascii="宋体" w:hAnsi="宋体" w:cs="宋体"/>
          <w:color w:val="auto"/>
          <w:sz w:val="24"/>
          <w:lang w:val="en-US" w:eastAsia="zh-CN"/>
        </w:rPr>
        <w:t xml:space="preserve"> </w:t>
      </w:r>
      <w:r>
        <w:rPr>
          <w:rFonts w:hint="eastAsia" w:ascii="宋体" w:hAnsi="宋体" w:cs="宋体"/>
          <w:color w:val="auto"/>
          <w:sz w:val="24"/>
        </w:rPr>
        <w:t xml:space="preserve">检验项目 </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440" w:firstLineChars="200"/>
        <w:jc w:val="left"/>
        <w:textAlignment w:val="auto"/>
        <w:outlineLvl w:val="2"/>
        <w:rPr>
          <w:rFonts w:hint="eastAsia" w:ascii="宋体" w:hAnsi="宋体" w:cs="宋体"/>
          <w:color w:val="auto"/>
          <w:sz w:val="22"/>
        </w:rPr>
      </w:pPr>
      <w:r>
        <w:rPr>
          <w:rFonts w:hint="eastAsia" w:ascii="宋体" w:hAnsi="宋体" w:cs="宋体"/>
          <w:color w:val="auto"/>
          <w:sz w:val="22"/>
        </w:rPr>
        <w:t>每批镍饼应进行化学成分、形状及外观质量、</w:t>
      </w:r>
      <w:r>
        <w:rPr>
          <w:rFonts w:hint="eastAsia" w:ascii="宋体" w:hAnsi="宋体" w:cs="宋体"/>
          <w:color w:val="auto"/>
          <w:sz w:val="22"/>
          <w:lang w:eastAsia="zh-CN"/>
        </w:rPr>
        <w:t>电化学性能</w:t>
      </w:r>
      <w:r>
        <w:rPr>
          <w:rFonts w:hint="eastAsia" w:ascii="宋体" w:hAnsi="宋体" w:cs="宋体"/>
          <w:color w:val="auto"/>
          <w:sz w:val="22"/>
        </w:rPr>
        <w:t>的检测。</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3"/>
        <w:rPr>
          <w:rFonts w:hint="eastAsia" w:ascii="宋体" w:hAnsi="宋体" w:cs="宋体"/>
          <w:color w:val="auto"/>
          <w:sz w:val="22"/>
          <w:lang w:val="en-US" w:eastAsia="zh-CN"/>
        </w:rPr>
      </w:pPr>
      <w:r>
        <w:rPr>
          <w:rFonts w:hint="eastAsia" w:ascii="宋体" w:hAnsi="宋体" w:cs="宋体"/>
          <w:color w:val="auto"/>
          <w:sz w:val="22"/>
          <w:lang w:val="en-US" w:eastAsia="zh-CN"/>
        </w:rPr>
        <w:t>4</w:t>
      </w:r>
      <w:r>
        <w:rPr>
          <w:rFonts w:hint="eastAsia" w:ascii="宋体" w:hAnsi="宋体" w:cs="宋体"/>
          <w:color w:val="auto"/>
          <w:sz w:val="22"/>
        </w:rPr>
        <w:t>.4</w:t>
      </w:r>
      <w:r>
        <w:rPr>
          <w:rFonts w:hint="eastAsia" w:ascii="宋体" w:hAnsi="宋体" w:cs="宋体"/>
          <w:color w:val="auto"/>
          <w:sz w:val="24"/>
        </w:rPr>
        <w:t>取样</w:t>
      </w:r>
      <w:r>
        <w:rPr>
          <w:rFonts w:hint="eastAsia" w:ascii="宋体" w:hAnsi="宋体" w:cs="宋体"/>
          <w:color w:val="auto"/>
          <w:sz w:val="24"/>
          <w:lang w:eastAsia="zh-CN"/>
        </w:rPr>
        <w:t>与制样：</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2"/>
        <w:rPr>
          <w:rFonts w:hint="default" w:ascii="宋体" w:hAnsi="宋体" w:cs="宋体"/>
          <w:color w:val="auto"/>
          <w:sz w:val="22"/>
          <w:szCs w:val="22"/>
          <w:lang w:val="en-US" w:eastAsia="zh-CN"/>
        </w:rPr>
      </w:pP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 xml:space="preserve">.4.1 </w:t>
      </w:r>
      <w:r>
        <w:rPr>
          <w:rFonts w:hint="eastAsia" w:ascii="宋体" w:hAnsi="宋体" w:cs="宋体"/>
          <w:color w:val="auto"/>
          <w:sz w:val="22"/>
          <w:szCs w:val="22"/>
          <w:lang w:val="en-US" w:eastAsia="zh-CN"/>
        </w:rPr>
        <w:t>用8mm-12mm之间的砖头在镍饼上钻取碎屑，</w:t>
      </w:r>
      <w:r>
        <w:rPr>
          <w:rFonts w:hint="eastAsia" w:ascii="宋体" w:hAnsi="宋体" w:cs="宋体"/>
          <w:color w:val="auto"/>
          <w:sz w:val="22"/>
          <w:szCs w:val="22"/>
          <w:lang w:eastAsia="zh-CN"/>
        </w:rPr>
        <w:t>钻屑从底部进行，钻样钻至产品厚度的</w:t>
      </w:r>
      <w:r>
        <w:rPr>
          <w:rFonts w:hint="eastAsia" w:ascii="宋体" w:hAnsi="宋体" w:cs="宋体"/>
          <w:color w:val="auto"/>
          <w:sz w:val="22"/>
          <w:szCs w:val="22"/>
          <w:lang w:val="en-US" w:eastAsia="zh-CN"/>
        </w:rPr>
        <w:t>2/3处。化学成分应逐批检验。试验样品的取样应安置GB/T26022的规定进行。</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2"/>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4.4.2 外形尺寸、外观质量逐个检验。</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2"/>
        <w:rPr>
          <w:rFonts w:hint="eastAsia" w:ascii="宋体" w:hAnsi="宋体" w:cs="宋体"/>
          <w:color w:val="auto"/>
          <w:sz w:val="22"/>
          <w:lang w:val="en-US" w:eastAsia="zh-CN"/>
        </w:rPr>
      </w:pPr>
      <w:r>
        <w:rPr>
          <w:rFonts w:hint="eastAsia" w:ascii="宋体" w:hAnsi="宋体" w:cs="宋体"/>
          <w:color w:val="auto"/>
          <w:sz w:val="22"/>
          <w:lang w:val="en-US" w:eastAsia="zh-CN"/>
        </w:rPr>
        <w:t>4.4.3 赫尔槽实验合格</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2"/>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4</w:t>
      </w:r>
      <w:r>
        <w:rPr>
          <w:rFonts w:hint="eastAsia" w:ascii="宋体" w:hAnsi="宋体" w:eastAsia="宋体" w:cs="宋体"/>
          <w:color w:val="auto"/>
          <w:sz w:val="22"/>
          <w:szCs w:val="22"/>
          <w:lang w:val="en-US" w:eastAsia="zh-CN"/>
        </w:rPr>
        <w:t>.4.2.1</w:t>
      </w:r>
      <w:r>
        <w:rPr>
          <w:rFonts w:hint="eastAsia"/>
          <w:color w:val="auto"/>
          <w:sz w:val="22"/>
          <w:szCs w:val="22"/>
          <w:lang w:val="en-US" w:eastAsia="zh-CN"/>
        </w:rPr>
        <w:t xml:space="preserve">  用量桶量取250ML的电镀溶液加热至55</w:t>
      </w:r>
      <w:r>
        <w:rPr>
          <w:rFonts w:hint="eastAsia" w:ascii="宋体" w:hAnsi="宋体" w:eastAsia="宋体" w:cs="宋体"/>
          <w:color w:val="auto"/>
          <w:sz w:val="22"/>
          <w:szCs w:val="22"/>
          <w:lang w:val="en-US" w:eastAsia="zh-CN"/>
        </w:rPr>
        <w:t>℃。</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2"/>
        <w:rPr>
          <w:rFonts w:hint="eastAsia"/>
          <w:color w:val="auto"/>
          <w:sz w:val="22"/>
          <w:szCs w:val="22"/>
          <w:lang w:val="en-US" w:eastAsia="zh-CN"/>
        </w:rPr>
      </w:pPr>
      <w:r>
        <w:rPr>
          <w:rFonts w:hint="eastAsia" w:ascii="宋体" w:hAnsi="宋体" w:cs="宋体"/>
          <w:color w:val="auto"/>
          <w:sz w:val="22"/>
          <w:szCs w:val="22"/>
          <w:lang w:val="en-US" w:eastAsia="zh-CN"/>
        </w:rPr>
        <w:t>4</w:t>
      </w:r>
      <w:r>
        <w:rPr>
          <w:rFonts w:hint="eastAsia" w:ascii="宋体" w:hAnsi="宋体" w:eastAsia="宋体" w:cs="宋体"/>
          <w:color w:val="auto"/>
          <w:sz w:val="22"/>
          <w:szCs w:val="22"/>
          <w:lang w:val="en-US" w:eastAsia="zh-CN"/>
        </w:rPr>
        <w:t>.4.2.2</w:t>
      </w:r>
      <w:r>
        <w:rPr>
          <w:rFonts w:hint="eastAsia"/>
          <w:color w:val="auto"/>
          <w:sz w:val="22"/>
          <w:szCs w:val="22"/>
          <w:lang w:val="en-US" w:eastAsia="zh-CN"/>
        </w:rPr>
        <w:t xml:space="preserve">  将加热好的镀液倒入赫尔槽内。</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2"/>
        <w:rPr>
          <w:rFonts w:hint="eastAsia"/>
          <w:color w:val="auto"/>
          <w:sz w:val="22"/>
          <w:szCs w:val="22"/>
          <w:lang w:val="en-US" w:eastAsia="zh-CN"/>
        </w:rPr>
      </w:pPr>
      <w:r>
        <w:rPr>
          <w:rFonts w:hint="eastAsia" w:ascii="宋体" w:hAnsi="宋体" w:cs="宋体"/>
          <w:color w:val="auto"/>
          <w:sz w:val="22"/>
          <w:szCs w:val="22"/>
          <w:lang w:val="en-US" w:eastAsia="zh-CN"/>
        </w:rPr>
        <w:t>4</w:t>
      </w:r>
      <w:r>
        <w:rPr>
          <w:rFonts w:hint="eastAsia" w:ascii="宋体" w:hAnsi="宋体" w:eastAsia="宋体" w:cs="宋体"/>
          <w:color w:val="auto"/>
          <w:sz w:val="22"/>
          <w:szCs w:val="22"/>
          <w:lang w:val="en-US" w:eastAsia="zh-CN"/>
        </w:rPr>
        <w:t>.4.2.3</w:t>
      </w:r>
      <w:r>
        <w:rPr>
          <w:rFonts w:hint="eastAsia"/>
          <w:color w:val="auto"/>
          <w:sz w:val="22"/>
          <w:szCs w:val="22"/>
          <w:lang w:val="en-US" w:eastAsia="zh-CN"/>
        </w:rPr>
        <w:t xml:space="preserve">  按以上图形装入镍阳极及铜阴极，并与整流器正负极相连。</w:t>
      </w:r>
    </w:p>
    <w:p>
      <w:pPr>
        <w:keepNext w:val="0"/>
        <w:keepLines w:val="0"/>
        <w:pageBreakBefore w:val="0"/>
        <w:kinsoku/>
        <w:wordWrap/>
        <w:overflowPunct/>
        <w:topLinePunct w:val="0"/>
        <w:autoSpaceDE/>
        <w:autoSpaceDN/>
        <w:bidi w:val="0"/>
        <w:adjustRightInd/>
        <w:snapToGrid/>
        <w:spacing w:before="313" w:beforeLines="100" w:after="313" w:afterLines="100"/>
        <w:textAlignment w:val="auto"/>
        <w:rPr>
          <w:rFonts w:hint="eastAsia"/>
          <w:color w:val="auto"/>
          <w:sz w:val="22"/>
          <w:szCs w:val="22"/>
          <w:lang w:val="en-US" w:eastAsia="zh-CN"/>
        </w:rPr>
      </w:pPr>
      <w:r>
        <w:rPr>
          <w:rFonts w:hint="eastAsia" w:ascii="宋体" w:hAnsi="宋体" w:cs="宋体"/>
          <w:color w:val="auto"/>
          <w:sz w:val="22"/>
          <w:szCs w:val="22"/>
          <w:lang w:val="en-US" w:eastAsia="zh-CN"/>
        </w:rPr>
        <w:t>4</w:t>
      </w:r>
      <w:r>
        <w:rPr>
          <w:rFonts w:hint="eastAsia" w:ascii="宋体" w:hAnsi="宋体" w:eastAsia="宋体" w:cs="宋体"/>
          <w:color w:val="auto"/>
          <w:sz w:val="22"/>
          <w:szCs w:val="22"/>
          <w:lang w:val="en-US" w:eastAsia="zh-CN"/>
        </w:rPr>
        <w:t xml:space="preserve">.4.2.4 </w:t>
      </w:r>
      <w:r>
        <w:rPr>
          <w:rFonts w:hint="eastAsia"/>
          <w:color w:val="auto"/>
          <w:sz w:val="22"/>
          <w:szCs w:val="22"/>
          <w:lang w:val="en-US" w:eastAsia="zh-CN"/>
        </w:rPr>
        <w:t xml:space="preserve"> 打开整流器开关，并调节电流为2A.开始计时两分钟。</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2"/>
        <w:rPr>
          <w:rFonts w:hint="eastAsia" w:eastAsia="宋体"/>
          <w:color w:val="auto"/>
          <w:sz w:val="22"/>
          <w:szCs w:val="22"/>
          <w:lang w:val="en-US" w:eastAsia="zh-CN"/>
        </w:rPr>
      </w:pPr>
      <w:r>
        <w:rPr>
          <w:rFonts w:hint="eastAsia" w:ascii="宋体" w:hAnsi="宋体" w:cs="宋体"/>
          <w:color w:val="auto"/>
          <w:sz w:val="22"/>
          <w:szCs w:val="22"/>
          <w:lang w:val="en-US" w:eastAsia="zh-CN"/>
        </w:rPr>
        <w:t>4</w:t>
      </w:r>
      <w:r>
        <w:rPr>
          <w:rFonts w:hint="eastAsia" w:ascii="宋体" w:hAnsi="宋体" w:eastAsia="宋体" w:cs="宋体"/>
          <w:color w:val="auto"/>
          <w:sz w:val="22"/>
          <w:szCs w:val="22"/>
          <w:lang w:val="en-US" w:eastAsia="zh-CN"/>
        </w:rPr>
        <w:t>.4.2.5</w:t>
      </w:r>
      <w:r>
        <w:rPr>
          <w:rFonts w:hint="eastAsia"/>
          <w:color w:val="auto"/>
          <w:sz w:val="22"/>
          <w:szCs w:val="22"/>
          <w:lang w:val="en-US" w:eastAsia="zh-CN"/>
        </w:rPr>
        <w:t xml:space="preserve">  时间到后，取出铜阴极，水洗吹干，观察样片情况。</w:t>
      </w:r>
    </w:p>
    <w:p>
      <w:pPr>
        <w:pStyle w:val="8"/>
        <w:keepNext w:val="0"/>
        <w:keepLines w:val="0"/>
        <w:pageBreakBefore w:val="0"/>
        <w:numPr>
          <w:ilvl w:val="0"/>
          <w:numId w:val="0"/>
        </w:numPr>
        <w:kinsoku/>
        <w:wordWrap/>
        <w:overflowPunct/>
        <w:topLinePunct w:val="0"/>
        <w:autoSpaceDE/>
        <w:autoSpaceDN/>
        <w:bidi w:val="0"/>
        <w:adjustRightInd/>
        <w:snapToGrid/>
        <w:spacing w:before="313" w:beforeLines="100" w:after="313" w:afterLines="100"/>
        <w:ind w:leftChars="0"/>
        <w:textAlignment w:val="auto"/>
        <w:rPr>
          <w:rFonts w:ascii="宋体" w:hAnsi="宋体" w:cs="宋体"/>
          <w:color w:val="auto"/>
          <w:sz w:val="24"/>
        </w:rPr>
      </w:pPr>
      <w:r>
        <w:rPr>
          <w:rFonts w:hint="eastAsia" w:ascii="宋体" w:hAnsi="宋体" w:cs="宋体"/>
          <w:color w:val="auto"/>
          <w:sz w:val="22"/>
          <w:lang w:val="en-US" w:eastAsia="zh-CN"/>
        </w:rPr>
        <w:t>4</w:t>
      </w:r>
      <w:r>
        <w:rPr>
          <w:rFonts w:hint="eastAsia" w:ascii="宋体" w:hAnsi="宋体" w:cs="宋体"/>
          <w:color w:val="auto"/>
          <w:sz w:val="22"/>
        </w:rPr>
        <w:t>.5</w:t>
      </w:r>
      <w:r>
        <w:rPr>
          <w:rFonts w:hint="eastAsia" w:ascii="宋体" w:hAnsi="宋体" w:cs="宋体"/>
          <w:color w:val="auto"/>
          <w:sz w:val="22"/>
          <w:lang w:val="en-US" w:eastAsia="zh-CN"/>
        </w:rPr>
        <w:t xml:space="preserve"> </w:t>
      </w:r>
      <w:r>
        <w:rPr>
          <w:rFonts w:hint="eastAsia" w:ascii="宋体" w:hAnsi="宋体" w:cs="宋体"/>
          <w:color w:val="auto"/>
          <w:sz w:val="24"/>
        </w:rPr>
        <w:t>检验结果的判定</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3"/>
        <w:rPr>
          <w:rFonts w:hint="eastAsia" w:ascii="宋体" w:hAnsi="宋体" w:cs="宋体"/>
          <w:color w:val="auto"/>
          <w:sz w:val="22"/>
        </w:rPr>
      </w:pPr>
      <w:r>
        <w:rPr>
          <w:rFonts w:hint="eastAsia" w:ascii="宋体" w:hAnsi="宋体" w:cs="宋体"/>
          <w:color w:val="auto"/>
          <w:sz w:val="22"/>
          <w:lang w:val="en-US" w:eastAsia="zh-CN"/>
        </w:rPr>
        <w:t>4</w:t>
      </w:r>
      <w:r>
        <w:rPr>
          <w:rFonts w:hint="eastAsia" w:ascii="宋体" w:hAnsi="宋体" w:cs="宋体"/>
          <w:color w:val="auto"/>
          <w:sz w:val="22"/>
        </w:rPr>
        <w:t>.5.1</w:t>
      </w:r>
      <w:r>
        <w:rPr>
          <w:rFonts w:hint="eastAsia" w:ascii="宋体" w:hAnsi="宋体" w:cs="宋体"/>
          <w:color w:val="auto"/>
          <w:sz w:val="22"/>
          <w:lang w:val="en-US" w:eastAsia="zh-CN"/>
        </w:rPr>
        <w:t xml:space="preserve"> </w:t>
      </w:r>
      <w:r>
        <w:rPr>
          <w:rFonts w:hint="eastAsia" w:ascii="宋体" w:hAnsi="宋体" w:cs="宋体"/>
          <w:color w:val="auto"/>
          <w:sz w:val="22"/>
        </w:rPr>
        <w:t>对分析结果按GB/T 8170规定的方法进行修约后进行判定。</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3"/>
        <w:rPr>
          <w:rFonts w:hint="eastAsia" w:ascii="宋体" w:hAnsi="宋体" w:cs="宋体"/>
          <w:color w:val="auto"/>
          <w:sz w:val="22"/>
        </w:rPr>
      </w:pPr>
      <w:r>
        <w:rPr>
          <w:rFonts w:hint="eastAsia" w:ascii="宋体" w:hAnsi="宋体" w:cs="宋体"/>
          <w:color w:val="auto"/>
          <w:sz w:val="22"/>
          <w:lang w:val="en-US" w:eastAsia="zh-CN"/>
        </w:rPr>
        <w:t>4</w:t>
      </w:r>
      <w:r>
        <w:rPr>
          <w:rFonts w:hint="eastAsia" w:ascii="宋体" w:hAnsi="宋体" w:cs="宋体"/>
          <w:color w:val="auto"/>
          <w:sz w:val="22"/>
        </w:rPr>
        <w:t>.5.2</w:t>
      </w:r>
      <w:r>
        <w:rPr>
          <w:rFonts w:hint="eastAsia" w:ascii="宋体" w:hAnsi="宋体" w:cs="宋体"/>
          <w:color w:val="auto"/>
          <w:sz w:val="22"/>
          <w:lang w:val="en-US" w:eastAsia="zh-CN"/>
        </w:rPr>
        <w:t xml:space="preserve"> </w:t>
      </w:r>
      <w:r>
        <w:rPr>
          <w:rFonts w:hint="eastAsia" w:ascii="宋体" w:hAnsi="宋体" w:cs="宋体"/>
          <w:color w:val="auto"/>
          <w:sz w:val="22"/>
        </w:rPr>
        <w:t>镍饼化学成分的分析结果与本文件的规定不符时，判该批产品不合格。</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3"/>
        <w:rPr>
          <w:rFonts w:hint="eastAsia" w:ascii="宋体" w:hAnsi="宋体" w:cs="宋体"/>
          <w:color w:val="auto"/>
          <w:sz w:val="22"/>
          <w:lang w:val="en-US" w:eastAsia="zh-CN"/>
        </w:rPr>
      </w:pPr>
      <w:r>
        <w:rPr>
          <w:rFonts w:hint="eastAsia" w:ascii="宋体" w:hAnsi="宋体" w:cs="宋体"/>
          <w:color w:val="auto"/>
          <w:sz w:val="22"/>
          <w:lang w:val="en-US" w:eastAsia="zh-CN"/>
        </w:rPr>
        <w:t>4</w:t>
      </w:r>
      <w:r>
        <w:rPr>
          <w:rFonts w:hint="eastAsia" w:ascii="宋体" w:hAnsi="宋体" w:cs="宋体"/>
          <w:color w:val="auto"/>
          <w:sz w:val="22"/>
        </w:rPr>
        <w:t>.5.3镍饼的形状和尺寸、外观质量检验结果与本文件的规定不符时，</w:t>
      </w:r>
      <w:r>
        <w:rPr>
          <w:rFonts w:hint="eastAsia" w:ascii="宋体" w:hAnsi="宋体" w:cs="宋体"/>
          <w:color w:val="auto"/>
          <w:sz w:val="22"/>
          <w:lang w:eastAsia="zh-CN"/>
        </w:rPr>
        <w:t>整箱内产品尺寸偏差率应不大于</w:t>
      </w:r>
      <w:r>
        <w:rPr>
          <w:rFonts w:hint="eastAsia" w:ascii="宋体" w:hAnsi="宋体" w:cs="宋体"/>
          <w:color w:val="auto"/>
          <w:sz w:val="22"/>
          <w:lang w:val="en-US" w:eastAsia="zh-CN"/>
        </w:rPr>
        <w:t>5%，否则按批判不合格。</w:t>
      </w:r>
    </w:p>
    <w:p>
      <w:pPr>
        <w:keepNext w:val="0"/>
        <w:keepLines w:val="0"/>
        <w:pageBreakBefore w:val="0"/>
        <w:widowControl/>
        <w:kinsoku/>
        <w:wordWrap/>
        <w:overflowPunct/>
        <w:topLinePunct w:val="0"/>
        <w:autoSpaceDE/>
        <w:autoSpaceDN/>
        <w:bidi w:val="0"/>
        <w:adjustRightInd/>
        <w:snapToGrid/>
        <w:spacing w:before="313" w:beforeLines="100" w:after="313" w:afterLines="100"/>
        <w:jc w:val="left"/>
        <w:textAlignment w:val="auto"/>
        <w:outlineLvl w:val="3"/>
        <w:rPr>
          <w:rFonts w:hint="default" w:ascii="宋体" w:hAnsi="宋体" w:cs="宋体"/>
          <w:color w:val="auto"/>
          <w:sz w:val="22"/>
          <w:lang w:val="en-US" w:eastAsia="zh-CN"/>
        </w:rPr>
      </w:pPr>
      <w:r>
        <w:rPr>
          <w:rFonts w:hint="eastAsia" w:ascii="宋体" w:hAnsi="宋体" w:cs="宋体"/>
          <w:color w:val="auto"/>
          <w:sz w:val="22"/>
          <w:lang w:val="en-US" w:eastAsia="zh-CN"/>
        </w:rPr>
        <w:t>4.5.4 赫尔槽实验观察样品情况。镀层正常，则赫尔槽电镀实验合格。如样片出现发黑、发乌、条纹、烧焦、起皮、则赫尔槽实验不合格。</w:t>
      </w:r>
    </w:p>
    <w:p>
      <w:pPr>
        <w:widowControl/>
        <w:spacing w:before="312" w:beforeLines="100" w:after="312" w:afterLines="100"/>
        <w:outlineLvl w:val="1"/>
        <w:rPr>
          <w:rFonts w:hint="eastAsia" w:ascii="宋体" w:hAnsi="宋体" w:cs="宋体"/>
          <w:b/>
          <w:color w:val="auto"/>
          <w:sz w:val="24"/>
        </w:rPr>
      </w:pPr>
      <w:r>
        <w:rPr>
          <w:rFonts w:hint="eastAsia" w:ascii="宋体" w:hAnsi="宋体" w:cs="宋体"/>
          <w:b/>
          <w:color w:val="auto"/>
          <w:sz w:val="24"/>
          <w:lang w:val="en-US" w:eastAsia="zh-CN"/>
        </w:rPr>
        <w:t>5</w:t>
      </w:r>
      <w:r>
        <w:rPr>
          <w:rFonts w:hint="eastAsia" w:ascii="宋体" w:hAnsi="宋体" w:cs="宋体"/>
          <w:b/>
          <w:color w:val="auto"/>
          <w:sz w:val="24"/>
        </w:rPr>
        <w:t xml:space="preserve">  标志、包装、运输、贮存和随行文件</w:t>
      </w:r>
    </w:p>
    <w:p>
      <w:pPr>
        <w:widowControl/>
        <w:spacing w:before="312" w:beforeLines="100" w:after="312" w:afterLines="100"/>
        <w:outlineLvl w:val="1"/>
        <w:rPr>
          <w:rFonts w:ascii="宋体" w:hAnsi="宋体" w:cs="宋体"/>
          <w:color w:val="auto"/>
          <w:sz w:val="24"/>
        </w:rPr>
      </w:pPr>
      <w:r>
        <w:rPr>
          <w:rFonts w:hint="eastAsia" w:ascii="宋体" w:hAnsi="宋体" w:cs="宋体"/>
          <w:color w:val="auto"/>
          <w:sz w:val="22"/>
          <w:lang w:val="en-US" w:eastAsia="zh-CN"/>
        </w:rPr>
        <w:t>5</w:t>
      </w:r>
      <w:r>
        <w:rPr>
          <w:rFonts w:hint="eastAsia" w:ascii="宋体" w:hAnsi="宋体" w:cs="宋体"/>
          <w:color w:val="auto"/>
          <w:sz w:val="22"/>
        </w:rPr>
        <w:t>.1</w:t>
      </w:r>
      <w:r>
        <w:rPr>
          <w:rFonts w:hint="eastAsia" w:ascii="宋体" w:hAnsi="宋体" w:cs="宋体"/>
          <w:color w:val="auto"/>
          <w:sz w:val="24"/>
        </w:rPr>
        <w:t>标志</w:t>
      </w:r>
    </w:p>
    <w:p>
      <w:pPr>
        <w:widowControl/>
        <w:spacing w:before="156" w:beforeLines="50" w:after="156" w:afterLines="50"/>
        <w:jc w:val="left"/>
        <w:outlineLvl w:val="3"/>
        <w:rPr>
          <w:rFonts w:ascii="宋体" w:hAnsi="宋体" w:cs="宋体"/>
          <w:color w:val="auto"/>
          <w:sz w:val="24"/>
        </w:rPr>
      </w:pPr>
      <w:r>
        <w:rPr>
          <w:rFonts w:hint="eastAsia" w:ascii="宋体" w:hAnsi="宋体" w:cs="宋体"/>
          <w:color w:val="auto"/>
          <w:sz w:val="22"/>
          <w:lang w:val="en-US" w:eastAsia="zh-CN"/>
        </w:rPr>
        <w:t>5</w:t>
      </w:r>
      <w:r>
        <w:rPr>
          <w:rFonts w:hint="eastAsia" w:ascii="宋体" w:hAnsi="宋体" w:cs="宋体"/>
          <w:color w:val="auto"/>
          <w:sz w:val="22"/>
        </w:rPr>
        <w:t>.1.1镍饼每袋应有标识，并注明：</w:t>
      </w:r>
    </w:p>
    <w:p>
      <w:pPr>
        <w:keepNext w:val="0"/>
        <w:keepLines w:val="0"/>
        <w:pageBreakBefore w:val="0"/>
        <w:widowControl/>
        <w:numPr>
          <w:ilvl w:val="0"/>
          <w:numId w:val="5"/>
        </w:numPr>
        <w:kinsoku/>
        <w:wordWrap/>
        <w:overflowPunct/>
        <w:topLinePunct w:val="0"/>
        <w:autoSpaceDE/>
        <w:autoSpaceDN/>
        <w:bidi w:val="0"/>
        <w:adjustRightInd/>
        <w:snapToGrid/>
        <w:ind w:left="737" w:hanging="420"/>
        <w:textAlignment w:val="auto"/>
        <w:rPr>
          <w:rFonts w:ascii="宋体" w:hAnsi="宋体" w:cs="宋体"/>
          <w:color w:val="auto"/>
          <w:sz w:val="22"/>
        </w:rPr>
      </w:pPr>
      <w:r>
        <w:rPr>
          <w:rFonts w:hint="eastAsia" w:ascii="宋体" w:hAnsi="宋体" w:cs="宋体"/>
          <w:color w:val="auto"/>
          <w:sz w:val="22"/>
        </w:rPr>
        <w:t>产品名称；</w:t>
      </w:r>
    </w:p>
    <w:p>
      <w:pPr>
        <w:keepNext w:val="0"/>
        <w:keepLines w:val="0"/>
        <w:pageBreakBefore w:val="0"/>
        <w:widowControl/>
        <w:numPr>
          <w:ilvl w:val="0"/>
          <w:numId w:val="5"/>
        </w:numPr>
        <w:kinsoku/>
        <w:wordWrap/>
        <w:overflowPunct/>
        <w:topLinePunct w:val="0"/>
        <w:autoSpaceDE/>
        <w:autoSpaceDN/>
        <w:bidi w:val="0"/>
        <w:adjustRightInd/>
        <w:snapToGrid/>
        <w:ind w:left="737" w:hanging="420"/>
        <w:textAlignment w:val="auto"/>
        <w:rPr>
          <w:rFonts w:ascii="宋体" w:hAnsi="宋体" w:cs="宋体"/>
          <w:color w:val="auto"/>
          <w:sz w:val="22"/>
        </w:rPr>
      </w:pPr>
      <w:r>
        <w:rPr>
          <w:rFonts w:hint="eastAsia" w:ascii="宋体" w:hAnsi="宋体" w:cs="宋体"/>
          <w:color w:val="auto"/>
          <w:sz w:val="22"/>
        </w:rPr>
        <w:t>产品牌号；</w:t>
      </w:r>
    </w:p>
    <w:p>
      <w:pPr>
        <w:keepNext w:val="0"/>
        <w:keepLines w:val="0"/>
        <w:pageBreakBefore w:val="0"/>
        <w:widowControl/>
        <w:numPr>
          <w:ilvl w:val="0"/>
          <w:numId w:val="5"/>
        </w:numPr>
        <w:kinsoku/>
        <w:wordWrap/>
        <w:overflowPunct/>
        <w:topLinePunct w:val="0"/>
        <w:autoSpaceDE/>
        <w:autoSpaceDN/>
        <w:bidi w:val="0"/>
        <w:adjustRightInd/>
        <w:snapToGrid/>
        <w:ind w:left="737" w:hanging="420"/>
        <w:textAlignment w:val="auto"/>
        <w:rPr>
          <w:rFonts w:ascii="宋体" w:hAnsi="宋体" w:cs="宋体"/>
          <w:color w:val="auto"/>
          <w:sz w:val="22"/>
        </w:rPr>
      </w:pPr>
      <w:r>
        <w:rPr>
          <w:rFonts w:hint="eastAsia" w:ascii="宋体" w:hAnsi="宋体" w:cs="宋体"/>
          <w:color w:val="auto"/>
          <w:sz w:val="22"/>
        </w:rPr>
        <w:t>供方名称；</w:t>
      </w:r>
    </w:p>
    <w:p>
      <w:pPr>
        <w:keepNext w:val="0"/>
        <w:keepLines w:val="0"/>
        <w:pageBreakBefore w:val="0"/>
        <w:widowControl/>
        <w:numPr>
          <w:ilvl w:val="0"/>
          <w:numId w:val="5"/>
        </w:numPr>
        <w:kinsoku/>
        <w:wordWrap/>
        <w:overflowPunct/>
        <w:topLinePunct w:val="0"/>
        <w:autoSpaceDE/>
        <w:autoSpaceDN/>
        <w:bidi w:val="0"/>
        <w:adjustRightInd/>
        <w:snapToGrid/>
        <w:ind w:left="737" w:hanging="420"/>
        <w:textAlignment w:val="auto"/>
        <w:rPr>
          <w:rFonts w:ascii="宋体" w:hAnsi="宋体" w:cs="宋体"/>
          <w:color w:val="auto"/>
          <w:sz w:val="22"/>
        </w:rPr>
      </w:pPr>
      <w:r>
        <w:rPr>
          <w:rFonts w:hint="eastAsia" w:ascii="宋体" w:hAnsi="宋体" w:cs="宋体"/>
          <w:color w:val="auto"/>
          <w:sz w:val="22"/>
        </w:rPr>
        <w:t>净重</w:t>
      </w:r>
    </w:p>
    <w:p>
      <w:pPr>
        <w:keepNext w:val="0"/>
        <w:keepLines w:val="0"/>
        <w:pageBreakBefore w:val="0"/>
        <w:widowControl/>
        <w:numPr>
          <w:ilvl w:val="0"/>
          <w:numId w:val="5"/>
        </w:numPr>
        <w:kinsoku/>
        <w:wordWrap/>
        <w:overflowPunct/>
        <w:topLinePunct w:val="0"/>
        <w:autoSpaceDE/>
        <w:autoSpaceDN/>
        <w:bidi w:val="0"/>
        <w:adjustRightInd/>
        <w:snapToGrid/>
        <w:ind w:left="737" w:hanging="420"/>
        <w:textAlignment w:val="auto"/>
        <w:rPr>
          <w:rFonts w:ascii="宋体" w:hAnsi="宋体" w:cs="宋体"/>
          <w:color w:val="auto"/>
          <w:sz w:val="22"/>
        </w:rPr>
      </w:pPr>
      <w:r>
        <w:rPr>
          <w:rFonts w:hint="eastAsia" w:ascii="宋体" w:hAnsi="宋体" w:cs="宋体"/>
          <w:color w:val="auto"/>
          <w:sz w:val="22"/>
        </w:rPr>
        <w:t>其他。</w:t>
      </w:r>
    </w:p>
    <w:p>
      <w:pPr>
        <w:widowControl/>
        <w:spacing w:before="156" w:beforeLines="50" w:after="156" w:afterLines="50"/>
        <w:jc w:val="left"/>
        <w:outlineLvl w:val="3"/>
        <w:rPr>
          <w:rFonts w:ascii="宋体" w:hAnsi="宋体" w:cs="宋体"/>
          <w:color w:val="auto"/>
          <w:sz w:val="22"/>
        </w:rPr>
      </w:pPr>
      <w:r>
        <w:rPr>
          <w:rFonts w:hint="eastAsia" w:ascii="宋体" w:hAnsi="宋体" w:cs="宋体"/>
          <w:color w:val="auto"/>
          <w:sz w:val="22"/>
          <w:lang w:val="en-US" w:eastAsia="zh-CN"/>
        </w:rPr>
        <w:t>5</w:t>
      </w:r>
      <w:r>
        <w:rPr>
          <w:rFonts w:hint="eastAsia" w:ascii="宋体" w:hAnsi="宋体" w:cs="宋体"/>
          <w:color w:val="auto"/>
          <w:sz w:val="22"/>
        </w:rPr>
        <w:t>.1.2每个外包装箱上应注明：</w:t>
      </w:r>
    </w:p>
    <w:p>
      <w:pPr>
        <w:widowControl/>
        <w:numPr>
          <w:ilvl w:val="0"/>
          <w:numId w:val="6"/>
        </w:numPr>
        <w:tabs>
          <w:tab w:val="left" w:pos="735"/>
        </w:tabs>
        <w:rPr>
          <w:rFonts w:ascii="宋体" w:hAnsi="宋体" w:cs="宋体"/>
          <w:color w:val="auto"/>
          <w:sz w:val="22"/>
        </w:rPr>
      </w:pPr>
      <w:r>
        <w:rPr>
          <w:rFonts w:hint="eastAsia" w:ascii="宋体" w:hAnsi="宋体" w:cs="宋体"/>
          <w:color w:val="auto"/>
          <w:sz w:val="22"/>
        </w:rPr>
        <w:t>供方名称；</w:t>
      </w:r>
    </w:p>
    <w:p>
      <w:pPr>
        <w:widowControl/>
        <w:numPr>
          <w:ilvl w:val="0"/>
          <w:numId w:val="5"/>
        </w:numPr>
        <w:rPr>
          <w:rFonts w:ascii="宋体" w:hAnsi="宋体" w:cs="宋体"/>
          <w:color w:val="auto"/>
          <w:sz w:val="24"/>
        </w:rPr>
      </w:pPr>
      <w:r>
        <w:rPr>
          <w:rFonts w:hint="eastAsia" w:ascii="宋体" w:hAnsi="宋体" w:cs="宋体"/>
          <w:color w:val="auto"/>
          <w:sz w:val="22"/>
        </w:rPr>
        <w:t>产品名称</w:t>
      </w:r>
      <w:r>
        <w:rPr>
          <w:rFonts w:hint="eastAsia" w:ascii="宋体" w:hAnsi="宋体" w:cs="宋体"/>
          <w:color w:val="auto"/>
          <w:sz w:val="24"/>
        </w:rPr>
        <w:t>；</w:t>
      </w:r>
    </w:p>
    <w:p>
      <w:pPr>
        <w:widowControl/>
        <w:numPr>
          <w:ilvl w:val="0"/>
          <w:numId w:val="5"/>
        </w:numPr>
        <w:rPr>
          <w:rFonts w:ascii="宋体" w:hAnsi="宋体" w:cs="宋体"/>
          <w:color w:val="auto"/>
          <w:sz w:val="24"/>
        </w:rPr>
      </w:pPr>
      <w:r>
        <w:rPr>
          <w:rFonts w:hint="eastAsia" w:ascii="宋体" w:hAnsi="宋体" w:cs="宋体"/>
          <w:color w:val="auto"/>
          <w:sz w:val="24"/>
        </w:rPr>
        <w:t>净重；</w:t>
      </w:r>
    </w:p>
    <w:p>
      <w:pPr>
        <w:widowControl/>
        <w:numPr>
          <w:ilvl w:val="0"/>
          <w:numId w:val="5"/>
        </w:numPr>
        <w:rPr>
          <w:rFonts w:ascii="宋体" w:hAnsi="宋体" w:cs="宋体"/>
          <w:color w:val="auto"/>
          <w:sz w:val="24"/>
        </w:rPr>
      </w:pPr>
      <w:r>
        <w:rPr>
          <w:rFonts w:hint="eastAsia" w:ascii="宋体" w:hAnsi="宋体" w:cs="宋体"/>
          <w:color w:val="auto"/>
          <w:sz w:val="24"/>
        </w:rPr>
        <w:t>生产批号；</w:t>
      </w:r>
    </w:p>
    <w:p>
      <w:pPr>
        <w:widowControl/>
        <w:numPr>
          <w:ilvl w:val="0"/>
          <w:numId w:val="5"/>
        </w:numPr>
        <w:rPr>
          <w:rFonts w:ascii="宋体" w:hAnsi="宋体" w:cs="宋体"/>
          <w:color w:val="auto"/>
          <w:sz w:val="24"/>
        </w:rPr>
      </w:pPr>
      <w:r>
        <w:rPr>
          <w:rFonts w:hint="eastAsia" w:ascii="宋体" w:hAnsi="宋体" w:cs="宋体"/>
          <w:color w:val="auto"/>
          <w:sz w:val="24"/>
        </w:rPr>
        <w:t>其他。</w:t>
      </w:r>
    </w:p>
    <w:p>
      <w:pPr>
        <w:widowControl/>
        <w:ind w:left="315"/>
        <w:rPr>
          <w:rFonts w:ascii="宋体" w:hAnsi="宋体" w:cs="宋体"/>
          <w:color w:val="auto"/>
          <w:sz w:val="24"/>
        </w:rPr>
      </w:pPr>
    </w:p>
    <w:p>
      <w:pPr>
        <w:widowControl/>
        <w:spacing w:before="156" w:beforeLines="50" w:after="156" w:afterLines="50"/>
        <w:jc w:val="left"/>
        <w:outlineLvl w:val="2"/>
        <w:rPr>
          <w:rFonts w:ascii="宋体" w:hAnsi="宋体" w:cs="宋体"/>
          <w:color w:val="auto"/>
          <w:sz w:val="24"/>
        </w:rPr>
      </w:pPr>
      <w:r>
        <w:rPr>
          <w:rFonts w:hint="eastAsia" w:ascii="宋体" w:hAnsi="宋体" w:cs="宋体"/>
          <w:color w:val="auto"/>
          <w:sz w:val="22"/>
          <w:lang w:val="en-US" w:eastAsia="zh-CN"/>
        </w:rPr>
        <w:t>5</w:t>
      </w:r>
      <w:r>
        <w:rPr>
          <w:rFonts w:hint="eastAsia" w:ascii="宋体" w:hAnsi="宋体" w:cs="宋体"/>
          <w:color w:val="auto"/>
          <w:sz w:val="22"/>
        </w:rPr>
        <w:t>.2</w:t>
      </w:r>
      <w:r>
        <w:rPr>
          <w:rFonts w:hint="eastAsia" w:ascii="宋体" w:hAnsi="宋体" w:cs="宋体"/>
          <w:color w:val="auto"/>
          <w:sz w:val="24"/>
        </w:rPr>
        <w:t>包装、运输和贮存</w:t>
      </w:r>
    </w:p>
    <w:p>
      <w:pPr>
        <w:spacing w:line="320" w:lineRule="exact"/>
        <w:ind w:firstLine="440" w:firstLineChars="200"/>
        <w:rPr>
          <w:rFonts w:ascii="宋体" w:hAnsi="宋体" w:cs="宋体"/>
          <w:color w:val="auto"/>
          <w:sz w:val="22"/>
        </w:rPr>
      </w:pPr>
      <w:r>
        <w:rPr>
          <w:rFonts w:hint="eastAsia" w:ascii="宋体" w:hAnsi="宋体" w:cs="宋体"/>
          <w:color w:val="auto"/>
          <w:sz w:val="22"/>
        </w:rPr>
        <w:t>产品的包装、运输和贮存应符合GB/T 8888的规定。</w:t>
      </w:r>
    </w:p>
    <w:p>
      <w:pPr>
        <w:widowControl/>
        <w:spacing w:before="156" w:beforeLines="50" w:after="156" w:afterLines="50"/>
        <w:jc w:val="left"/>
        <w:outlineLvl w:val="2"/>
        <w:rPr>
          <w:rFonts w:ascii="宋体" w:hAnsi="宋体" w:cs="宋体"/>
          <w:color w:val="auto"/>
          <w:sz w:val="24"/>
        </w:rPr>
      </w:pPr>
      <w:r>
        <w:rPr>
          <w:rFonts w:hint="eastAsia" w:ascii="宋体" w:hAnsi="宋体" w:cs="宋体"/>
          <w:color w:val="auto"/>
          <w:sz w:val="22"/>
          <w:lang w:val="en-US" w:eastAsia="zh-CN"/>
        </w:rPr>
        <w:t>5</w:t>
      </w:r>
      <w:r>
        <w:rPr>
          <w:rFonts w:hint="eastAsia" w:ascii="宋体" w:hAnsi="宋体" w:cs="宋体"/>
          <w:color w:val="auto"/>
          <w:sz w:val="22"/>
        </w:rPr>
        <w:t>.3</w:t>
      </w:r>
      <w:r>
        <w:rPr>
          <w:rFonts w:hint="eastAsia" w:ascii="宋体" w:hAnsi="宋体" w:cs="宋体"/>
          <w:color w:val="auto"/>
          <w:sz w:val="24"/>
        </w:rPr>
        <w:t>随行文件</w:t>
      </w:r>
    </w:p>
    <w:p>
      <w:pPr>
        <w:widowControl/>
        <w:tabs>
          <w:tab w:val="center" w:pos="4887"/>
        </w:tabs>
        <w:autoSpaceDE w:val="0"/>
        <w:autoSpaceDN w:val="0"/>
        <w:ind w:firstLine="440" w:firstLineChars="200"/>
        <w:rPr>
          <w:rFonts w:ascii="宋体" w:hAnsi="宋体" w:cs="宋体"/>
          <w:color w:val="auto"/>
          <w:sz w:val="22"/>
        </w:rPr>
      </w:pPr>
      <w:r>
        <w:rPr>
          <w:rFonts w:hint="eastAsia" w:ascii="宋体" w:hAnsi="宋体" w:cs="宋体"/>
          <w:color w:val="auto"/>
          <w:sz w:val="22"/>
        </w:rPr>
        <w:t>每批镍饼应附有随行文件，其中除应包括供方信息、产品信息、本文件编号、出厂日期或包装日期外，还应包括：</w:t>
      </w:r>
    </w:p>
    <w:p>
      <w:pPr>
        <w:widowControl/>
        <w:tabs>
          <w:tab w:val="center" w:pos="4887"/>
        </w:tabs>
        <w:autoSpaceDE w:val="0"/>
        <w:autoSpaceDN w:val="0"/>
        <w:ind w:firstLine="440" w:firstLineChars="200"/>
        <w:rPr>
          <w:rFonts w:hint="eastAsia" w:ascii="宋体" w:hAnsi="宋体" w:cs="宋体"/>
          <w:sz w:val="22"/>
        </w:rPr>
      </w:pPr>
      <w:r>
        <w:rPr>
          <w:rFonts w:hint="eastAsia" w:ascii="宋体" w:hAnsi="宋体" w:cs="宋体"/>
          <w:sz w:val="22"/>
        </w:rPr>
        <w:t>a）合格证；</w:t>
      </w:r>
    </w:p>
    <w:p>
      <w:pPr>
        <w:widowControl/>
        <w:tabs>
          <w:tab w:val="center" w:pos="4887"/>
        </w:tabs>
        <w:autoSpaceDE w:val="0"/>
        <w:autoSpaceDN w:val="0"/>
        <w:ind w:firstLine="440" w:firstLineChars="200"/>
        <w:rPr>
          <w:rFonts w:hint="eastAsia" w:ascii="宋体" w:hAnsi="宋体" w:cs="宋体"/>
          <w:sz w:val="22"/>
        </w:rPr>
      </w:pPr>
      <w:r>
        <w:rPr>
          <w:rFonts w:hint="eastAsia" w:ascii="宋体" w:hAnsi="宋体" w:cs="宋体"/>
          <w:sz w:val="22"/>
        </w:rPr>
        <w:t>b）成品检验报告；</w:t>
      </w:r>
    </w:p>
    <w:p>
      <w:pPr>
        <w:widowControl/>
        <w:tabs>
          <w:tab w:val="center" w:pos="4887"/>
        </w:tabs>
        <w:autoSpaceDE w:val="0"/>
        <w:autoSpaceDN w:val="0"/>
        <w:ind w:firstLine="440" w:firstLineChars="200"/>
        <w:rPr>
          <w:rFonts w:ascii="宋体" w:hAnsi="宋体" w:cs="宋体"/>
          <w:sz w:val="22"/>
        </w:rPr>
      </w:pPr>
      <w:r>
        <w:rPr>
          <w:rFonts w:hint="eastAsia" w:ascii="宋体" w:hAnsi="宋体" w:cs="宋体"/>
          <w:sz w:val="22"/>
        </w:rPr>
        <w:t>c）产品使用说明；</w:t>
      </w:r>
    </w:p>
    <w:p>
      <w:pPr>
        <w:widowControl/>
        <w:tabs>
          <w:tab w:val="center" w:pos="4887"/>
        </w:tabs>
        <w:autoSpaceDE w:val="0"/>
        <w:autoSpaceDN w:val="0"/>
        <w:ind w:left="440"/>
        <w:rPr>
          <w:rFonts w:ascii="宋体" w:hAnsi="宋体" w:cs="宋体"/>
          <w:sz w:val="22"/>
        </w:rPr>
      </w:pPr>
      <w:r>
        <w:rPr>
          <w:rFonts w:hint="eastAsia" w:ascii="宋体" w:hAnsi="宋体" w:cs="宋体"/>
          <w:sz w:val="22"/>
        </w:rPr>
        <w:t>d) 其他。</w:t>
      </w:r>
    </w:p>
    <w:p>
      <w:pPr>
        <w:widowControl/>
        <w:spacing w:before="312" w:beforeLines="100" w:after="312" w:afterLines="100"/>
        <w:outlineLvl w:val="1"/>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 xml:space="preserve"> 订货单内容</w:t>
      </w:r>
    </w:p>
    <w:p>
      <w:pPr>
        <w:widowControl/>
        <w:tabs>
          <w:tab w:val="left" w:pos="735"/>
        </w:tabs>
        <w:rPr>
          <w:rFonts w:ascii="宋体" w:hAnsi="宋体" w:cs="宋体"/>
          <w:sz w:val="22"/>
        </w:rPr>
      </w:pPr>
      <w:r>
        <w:rPr>
          <w:rFonts w:hint="eastAsia" w:ascii="宋体" w:hAnsi="宋体" w:cs="宋体"/>
          <w:sz w:val="24"/>
        </w:rPr>
        <w:t xml:space="preserve">    </w:t>
      </w:r>
      <w:r>
        <w:rPr>
          <w:rFonts w:hint="eastAsia" w:ascii="宋体" w:hAnsi="宋体" w:cs="宋体"/>
          <w:sz w:val="22"/>
        </w:rPr>
        <w:t>需方可根据自身需要，在订购本文件所列产品的订货单内，列出如下内容：</w:t>
      </w:r>
    </w:p>
    <w:p>
      <w:pPr>
        <w:widowControl/>
        <w:tabs>
          <w:tab w:val="left" w:pos="735"/>
        </w:tabs>
        <w:rPr>
          <w:rFonts w:ascii="宋体" w:hAnsi="宋体" w:cs="宋体"/>
          <w:sz w:val="22"/>
        </w:rPr>
      </w:pPr>
      <w:r>
        <w:rPr>
          <w:rFonts w:hint="eastAsia" w:ascii="宋体" w:hAnsi="宋体" w:cs="宋体"/>
          <w:sz w:val="22"/>
        </w:rPr>
        <w:t xml:space="preserve">    </w:t>
      </w:r>
      <w:r>
        <w:rPr>
          <w:rFonts w:ascii="宋体" w:hAnsi="宋体" w:cs="宋体"/>
          <w:sz w:val="22"/>
        </w:rPr>
        <w:t>a</w:t>
      </w:r>
      <w:r>
        <w:rPr>
          <w:rFonts w:hint="eastAsia" w:ascii="宋体" w:hAnsi="宋体" w:cs="宋体"/>
          <w:sz w:val="22"/>
        </w:rPr>
        <w:t>）产品名称；</w:t>
      </w:r>
    </w:p>
    <w:p>
      <w:pPr>
        <w:widowControl/>
        <w:tabs>
          <w:tab w:val="left" w:pos="735"/>
        </w:tabs>
        <w:rPr>
          <w:rFonts w:ascii="宋体" w:hAnsi="宋体" w:cs="宋体"/>
          <w:sz w:val="22"/>
        </w:rPr>
      </w:pPr>
      <w:r>
        <w:rPr>
          <w:rFonts w:hint="eastAsia" w:ascii="宋体" w:hAnsi="宋体" w:cs="宋体"/>
          <w:sz w:val="22"/>
        </w:rPr>
        <w:t xml:space="preserve">    b）牌号；</w:t>
      </w:r>
    </w:p>
    <w:p>
      <w:pPr>
        <w:widowControl/>
        <w:tabs>
          <w:tab w:val="left" w:pos="735"/>
        </w:tabs>
        <w:rPr>
          <w:rFonts w:ascii="宋体" w:hAnsi="宋体" w:cs="宋体"/>
          <w:sz w:val="22"/>
        </w:rPr>
      </w:pPr>
      <w:r>
        <w:rPr>
          <w:rFonts w:hint="eastAsia" w:ascii="宋体" w:hAnsi="宋体" w:cs="宋体"/>
          <w:sz w:val="22"/>
        </w:rPr>
        <w:t xml:space="preserve">    c）规格；</w:t>
      </w:r>
    </w:p>
    <w:p>
      <w:pPr>
        <w:widowControl/>
        <w:tabs>
          <w:tab w:val="left" w:pos="735"/>
        </w:tabs>
        <w:rPr>
          <w:rFonts w:hint="eastAsia" w:ascii="宋体" w:hAnsi="宋体" w:cs="宋体"/>
          <w:sz w:val="22"/>
        </w:rPr>
      </w:pPr>
      <w:r>
        <w:rPr>
          <w:rFonts w:hint="eastAsia" w:ascii="宋体" w:hAnsi="宋体" w:cs="宋体"/>
          <w:sz w:val="22"/>
        </w:rPr>
        <w:t xml:space="preserve">    d）化学成分及检测方法的特殊要求；</w:t>
      </w:r>
    </w:p>
    <w:p>
      <w:pPr>
        <w:widowControl/>
        <w:tabs>
          <w:tab w:val="left" w:pos="735"/>
        </w:tabs>
        <w:rPr>
          <w:rFonts w:ascii="宋体" w:hAnsi="宋体" w:cs="宋体"/>
          <w:sz w:val="22"/>
        </w:rPr>
      </w:pPr>
      <w:r>
        <w:rPr>
          <w:rFonts w:hint="eastAsia" w:ascii="宋体" w:hAnsi="宋体" w:cs="宋体"/>
          <w:sz w:val="22"/>
        </w:rPr>
        <w:t xml:space="preserve">    e）包装方式；</w:t>
      </w:r>
    </w:p>
    <w:p>
      <w:pPr>
        <w:widowControl/>
        <w:tabs>
          <w:tab w:val="left" w:pos="735"/>
        </w:tabs>
        <w:rPr>
          <w:rFonts w:ascii="宋体" w:hAnsi="宋体" w:cs="宋体"/>
          <w:sz w:val="22"/>
        </w:rPr>
      </w:pPr>
      <w:r>
        <w:rPr>
          <w:rFonts w:hint="eastAsia" w:ascii="宋体" w:hAnsi="宋体" w:cs="宋体"/>
          <w:sz w:val="22"/>
        </w:rPr>
        <w:t xml:space="preserve">    f）本文件编号；</w:t>
      </w:r>
    </w:p>
    <w:p>
      <w:pPr>
        <w:widowControl/>
        <w:tabs>
          <w:tab w:val="left" w:pos="735"/>
        </w:tabs>
        <w:rPr>
          <w:rFonts w:ascii="宋体" w:hAnsi="宋体" w:cs="宋体"/>
          <w:sz w:val="22"/>
        </w:rPr>
      </w:pPr>
      <w:r>
        <w:rPr>
          <w:rFonts w:hint="eastAsia" w:ascii="宋体" w:hAnsi="宋体" w:cs="宋体"/>
          <w:sz w:val="22"/>
        </w:rPr>
        <w:t xml:space="preserve">    g）其他。</w:t>
      </w:r>
    </w:p>
    <w:p>
      <w:pPr>
        <w:widowControl/>
        <w:tabs>
          <w:tab w:val="left" w:pos="735"/>
        </w:tabs>
        <w:rPr>
          <w:rFonts w:ascii="宋体"/>
          <w:kern w:val="0"/>
          <w:szCs w:val="20"/>
        </w:rPr>
      </w:pPr>
    </w:p>
    <w:p>
      <w:pPr>
        <w:widowControl/>
        <w:tabs>
          <w:tab w:val="left" w:pos="735"/>
        </w:tabs>
        <w:rPr>
          <w:rFonts w:hint="eastAsia" w:ascii="宋体"/>
          <w:b/>
          <w:bCs/>
          <w:color w:val="auto"/>
          <w:kern w:val="0"/>
          <w:sz w:val="28"/>
          <w:szCs w:val="28"/>
          <w:lang w:eastAsia="zh-CN"/>
        </w:rPr>
      </w:pPr>
      <w:r>
        <w:rPr>
          <w:rFonts w:hint="eastAsia" w:ascii="宋体"/>
          <w:b/>
          <w:bCs/>
          <w:color w:val="auto"/>
          <w:kern w:val="0"/>
          <w:sz w:val="28"/>
          <w:szCs w:val="28"/>
          <w:lang w:eastAsia="zh-CN"/>
        </w:rPr>
        <w:t>四、明确标准中涉及专利情况</w:t>
      </w:r>
    </w:p>
    <w:p>
      <w:pPr>
        <w:widowControl/>
        <w:tabs>
          <w:tab w:val="left" w:pos="735"/>
        </w:tabs>
        <w:ind w:firstLine="480" w:firstLineChars="200"/>
        <w:rPr>
          <w:rFonts w:hint="eastAsia" w:ascii="宋体"/>
          <w:color w:val="auto"/>
          <w:kern w:val="0"/>
          <w:sz w:val="24"/>
          <w:szCs w:val="24"/>
          <w:lang w:eastAsia="zh-CN"/>
        </w:rPr>
      </w:pPr>
      <w:r>
        <w:rPr>
          <w:rFonts w:hint="eastAsia" w:ascii="宋体"/>
          <w:color w:val="auto"/>
          <w:kern w:val="0"/>
          <w:sz w:val="24"/>
          <w:szCs w:val="24"/>
          <w:lang w:eastAsia="zh-CN"/>
        </w:rPr>
        <w:t>本文不涉及专利问题。</w:t>
      </w:r>
    </w:p>
    <w:p>
      <w:pPr>
        <w:widowControl/>
        <w:tabs>
          <w:tab w:val="left" w:pos="735"/>
        </w:tabs>
        <w:rPr>
          <w:rFonts w:hint="eastAsia" w:ascii="宋体"/>
          <w:b/>
          <w:bCs/>
          <w:color w:val="auto"/>
          <w:kern w:val="0"/>
          <w:sz w:val="28"/>
          <w:szCs w:val="28"/>
          <w:lang w:eastAsia="zh-CN"/>
        </w:rPr>
      </w:pPr>
      <w:r>
        <w:rPr>
          <w:rFonts w:hint="eastAsia" w:ascii="宋体"/>
          <w:b/>
          <w:bCs/>
          <w:color w:val="auto"/>
          <w:kern w:val="0"/>
          <w:sz w:val="28"/>
          <w:szCs w:val="28"/>
          <w:lang w:eastAsia="zh-CN"/>
        </w:rPr>
        <w:t>五、采用国际标准和国外先进标准的情况，与国际、国内同类标准水平的对比情况</w:t>
      </w:r>
    </w:p>
    <w:p>
      <w:pPr>
        <w:widowControl/>
        <w:tabs>
          <w:tab w:val="left" w:pos="735"/>
        </w:tabs>
        <w:ind w:firstLine="480" w:firstLineChars="200"/>
        <w:rPr>
          <w:rFonts w:hint="eastAsia" w:ascii="宋体"/>
          <w:kern w:val="0"/>
          <w:sz w:val="24"/>
          <w:szCs w:val="24"/>
          <w:lang w:eastAsia="zh-CN"/>
        </w:rPr>
      </w:pPr>
      <w:r>
        <w:rPr>
          <w:rFonts w:hint="eastAsia" w:ascii="宋体"/>
          <w:kern w:val="0"/>
          <w:sz w:val="24"/>
          <w:szCs w:val="24"/>
          <w:lang w:eastAsia="zh-CN"/>
        </w:rPr>
        <w:t>本文件没有采用国际标准。本文件在制定过程中未检测到同类国际标准。</w:t>
      </w:r>
    </w:p>
    <w:p>
      <w:pPr>
        <w:widowControl/>
        <w:tabs>
          <w:tab w:val="left" w:pos="735"/>
        </w:tabs>
        <w:ind w:firstLine="480" w:firstLineChars="200"/>
        <w:rPr>
          <w:rFonts w:hint="eastAsia" w:ascii="宋体"/>
          <w:kern w:val="0"/>
          <w:sz w:val="24"/>
          <w:szCs w:val="24"/>
          <w:lang w:eastAsia="zh-CN"/>
        </w:rPr>
      </w:pPr>
      <w:r>
        <w:rPr>
          <w:rFonts w:hint="eastAsia" w:ascii="宋体"/>
          <w:kern w:val="0"/>
          <w:sz w:val="24"/>
          <w:szCs w:val="24"/>
          <w:lang w:eastAsia="zh-CN"/>
        </w:rPr>
        <w:t>本文件在制定过程中，以企业实际需求为依据，标准客观反应了目前镍饼的使用状况，具有适用性、准确性、指导性和先进性。</w:t>
      </w:r>
    </w:p>
    <w:p>
      <w:pPr>
        <w:widowControl/>
        <w:tabs>
          <w:tab w:val="left" w:pos="735"/>
        </w:tabs>
        <w:ind w:firstLine="480" w:firstLineChars="200"/>
        <w:rPr>
          <w:rFonts w:hint="eastAsia" w:ascii="宋体"/>
          <w:kern w:val="0"/>
          <w:sz w:val="24"/>
          <w:szCs w:val="24"/>
          <w:lang w:eastAsia="zh-CN"/>
        </w:rPr>
      </w:pPr>
      <w:r>
        <w:rPr>
          <w:rFonts w:hint="eastAsia" w:ascii="宋体"/>
          <w:kern w:val="0"/>
          <w:sz w:val="24"/>
          <w:szCs w:val="24"/>
          <w:lang w:eastAsia="zh-CN"/>
        </w:rPr>
        <w:t>本文件填补了国内外相关标准的空白。</w:t>
      </w:r>
    </w:p>
    <w:p>
      <w:pPr>
        <w:widowControl/>
        <w:tabs>
          <w:tab w:val="left" w:pos="735"/>
        </w:tabs>
        <w:rPr>
          <w:rFonts w:hint="eastAsia" w:ascii="宋体"/>
          <w:kern w:val="0"/>
          <w:sz w:val="24"/>
          <w:szCs w:val="24"/>
          <w:lang w:eastAsia="zh-CN"/>
        </w:rPr>
      </w:pPr>
    </w:p>
    <w:p>
      <w:pPr>
        <w:widowControl/>
        <w:numPr>
          <w:ilvl w:val="0"/>
          <w:numId w:val="7"/>
        </w:numPr>
        <w:tabs>
          <w:tab w:val="left" w:pos="735"/>
        </w:tabs>
        <w:rPr>
          <w:rFonts w:hint="eastAsia" w:ascii="宋体"/>
          <w:b/>
          <w:bCs/>
          <w:kern w:val="0"/>
          <w:sz w:val="28"/>
          <w:szCs w:val="28"/>
          <w:lang w:eastAsia="zh-CN"/>
        </w:rPr>
      </w:pPr>
      <w:r>
        <w:rPr>
          <w:rFonts w:hint="eastAsia" w:ascii="宋体"/>
          <w:b/>
          <w:bCs/>
          <w:kern w:val="0"/>
          <w:sz w:val="28"/>
          <w:szCs w:val="28"/>
          <w:lang w:eastAsia="zh-CN"/>
        </w:rPr>
        <w:t>与有关的现行法律、法规和强制性国家标准的关系</w:t>
      </w:r>
    </w:p>
    <w:p>
      <w:pPr>
        <w:widowControl/>
        <w:numPr>
          <w:ilvl w:val="0"/>
          <w:numId w:val="0"/>
        </w:numPr>
        <w:tabs>
          <w:tab w:val="left" w:pos="735"/>
        </w:tabs>
        <w:ind w:firstLine="480" w:firstLineChars="200"/>
        <w:rPr>
          <w:rFonts w:hint="eastAsia" w:ascii="宋体"/>
          <w:kern w:val="0"/>
          <w:sz w:val="24"/>
          <w:szCs w:val="24"/>
          <w:lang w:eastAsia="zh-CN"/>
        </w:rPr>
      </w:pPr>
      <w:r>
        <w:rPr>
          <w:rFonts w:hint="eastAsia" w:ascii="宋体"/>
          <w:kern w:val="0"/>
          <w:sz w:val="24"/>
          <w:szCs w:val="24"/>
          <w:lang w:eastAsia="zh-CN"/>
        </w:rPr>
        <w:t>本文件不存在与相关法律、法规、规章相抵触之处，也不与其它标准相冲突。</w:t>
      </w:r>
    </w:p>
    <w:p>
      <w:pPr>
        <w:widowControl/>
        <w:numPr>
          <w:ilvl w:val="0"/>
          <w:numId w:val="7"/>
        </w:numPr>
        <w:tabs>
          <w:tab w:val="left" w:pos="735"/>
        </w:tabs>
        <w:ind w:left="0" w:leftChars="0" w:firstLine="0" w:firstLineChars="0"/>
        <w:rPr>
          <w:rFonts w:hint="eastAsia" w:ascii="宋体"/>
          <w:b/>
          <w:bCs/>
          <w:kern w:val="0"/>
          <w:sz w:val="28"/>
          <w:szCs w:val="28"/>
          <w:lang w:eastAsia="zh-CN"/>
        </w:rPr>
      </w:pPr>
      <w:r>
        <w:rPr>
          <w:rFonts w:hint="eastAsia" w:ascii="宋体"/>
          <w:b/>
          <w:bCs/>
          <w:kern w:val="0"/>
          <w:sz w:val="28"/>
          <w:szCs w:val="28"/>
          <w:lang w:eastAsia="zh-CN"/>
        </w:rPr>
        <w:t>重大分歧意见的处理经过和依据</w:t>
      </w:r>
    </w:p>
    <w:p>
      <w:pPr>
        <w:widowControl/>
        <w:numPr>
          <w:ilvl w:val="0"/>
          <w:numId w:val="0"/>
        </w:numPr>
        <w:tabs>
          <w:tab w:val="left" w:pos="735"/>
        </w:tabs>
        <w:ind w:leftChars="0" w:firstLine="480" w:firstLineChars="200"/>
        <w:rPr>
          <w:rFonts w:hint="eastAsia" w:ascii="宋体"/>
          <w:kern w:val="0"/>
          <w:sz w:val="24"/>
          <w:szCs w:val="24"/>
          <w:lang w:eastAsia="zh-CN"/>
        </w:rPr>
      </w:pPr>
      <w:r>
        <w:rPr>
          <w:rFonts w:hint="eastAsia" w:ascii="宋体"/>
          <w:kern w:val="0"/>
          <w:sz w:val="24"/>
          <w:szCs w:val="24"/>
          <w:lang w:eastAsia="zh-CN"/>
        </w:rPr>
        <w:t>无。</w:t>
      </w:r>
    </w:p>
    <w:p>
      <w:pPr>
        <w:widowControl/>
        <w:numPr>
          <w:ilvl w:val="0"/>
          <w:numId w:val="7"/>
        </w:numPr>
        <w:tabs>
          <w:tab w:val="left" w:pos="735"/>
        </w:tabs>
        <w:ind w:left="0" w:leftChars="0" w:firstLine="0" w:firstLineChars="0"/>
        <w:rPr>
          <w:rFonts w:hint="eastAsia" w:ascii="宋体"/>
          <w:b/>
          <w:bCs/>
          <w:kern w:val="0"/>
          <w:sz w:val="28"/>
          <w:szCs w:val="28"/>
          <w:lang w:eastAsia="zh-CN"/>
        </w:rPr>
      </w:pPr>
      <w:r>
        <w:rPr>
          <w:rFonts w:hint="eastAsia" w:ascii="宋体"/>
          <w:b/>
          <w:bCs/>
          <w:kern w:val="0"/>
          <w:sz w:val="28"/>
          <w:szCs w:val="28"/>
          <w:lang w:eastAsia="zh-CN"/>
        </w:rPr>
        <w:t>标准作为强制性标准或推荐性标准的建议</w:t>
      </w:r>
    </w:p>
    <w:p>
      <w:pPr>
        <w:widowControl/>
        <w:numPr>
          <w:ilvl w:val="0"/>
          <w:numId w:val="0"/>
        </w:numPr>
        <w:tabs>
          <w:tab w:val="left" w:pos="735"/>
        </w:tabs>
        <w:ind w:leftChars="0"/>
        <w:rPr>
          <w:rFonts w:hint="eastAsia" w:ascii="宋体"/>
          <w:kern w:val="0"/>
          <w:sz w:val="24"/>
          <w:szCs w:val="24"/>
          <w:lang w:val="en-US" w:eastAsia="zh-CN"/>
        </w:rPr>
      </w:pPr>
      <w:r>
        <w:rPr>
          <w:rFonts w:hint="eastAsia" w:ascii="宋体"/>
          <w:kern w:val="0"/>
          <w:sz w:val="24"/>
          <w:szCs w:val="24"/>
          <w:lang w:val="en-US" w:eastAsia="zh-CN"/>
        </w:rPr>
        <w:t xml:space="preserve">    建议行业标准镍饼作为推荐性标准颁布实施。</w:t>
      </w:r>
    </w:p>
    <w:p>
      <w:pPr>
        <w:widowControl/>
        <w:numPr>
          <w:ilvl w:val="0"/>
          <w:numId w:val="7"/>
        </w:numPr>
        <w:tabs>
          <w:tab w:val="left" w:pos="735"/>
        </w:tabs>
        <w:ind w:left="0" w:leftChars="0" w:firstLine="0" w:firstLineChars="0"/>
        <w:rPr>
          <w:rFonts w:hint="eastAsia" w:ascii="宋体"/>
          <w:b/>
          <w:bCs/>
          <w:kern w:val="0"/>
          <w:sz w:val="28"/>
          <w:szCs w:val="28"/>
          <w:lang w:val="en-US" w:eastAsia="zh-CN"/>
        </w:rPr>
      </w:pPr>
      <w:r>
        <w:rPr>
          <w:rFonts w:hint="eastAsia" w:ascii="宋体"/>
          <w:b/>
          <w:bCs/>
          <w:kern w:val="0"/>
          <w:sz w:val="28"/>
          <w:szCs w:val="28"/>
          <w:lang w:val="en-US" w:eastAsia="zh-CN"/>
        </w:rPr>
        <w:t>贯彻标准的要求和措施建议</w:t>
      </w:r>
    </w:p>
    <w:p>
      <w:pPr>
        <w:widowControl/>
        <w:numPr>
          <w:ilvl w:val="0"/>
          <w:numId w:val="0"/>
        </w:numPr>
        <w:tabs>
          <w:tab w:val="left" w:pos="735"/>
        </w:tabs>
        <w:ind w:leftChars="0" w:firstLine="480" w:firstLineChars="200"/>
        <w:rPr>
          <w:rFonts w:hint="eastAsia" w:ascii="宋体"/>
          <w:kern w:val="0"/>
          <w:sz w:val="24"/>
          <w:szCs w:val="24"/>
          <w:lang w:val="en-US" w:eastAsia="zh-CN"/>
        </w:rPr>
      </w:pPr>
      <w:r>
        <w:rPr>
          <w:rFonts w:hint="eastAsia" w:ascii="宋体"/>
          <w:kern w:val="0"/>
          <w:sz w:val="24"/>
          <w:szCs w:val="24"/>
          <w:lang w:val="en-US" w:eastAsia="zh-CN"/>
        </w:rPr>
        <w:t>建议本文件在批准发布3个月后实施。</w:t>
      </w:r>
    </w:p>
    <w:p>
      <w:pPr>
        <w:widowControl/>
        <w:numPr>
          <w:ilvl w:val="0"/>
          <w:numId w:val="7"/>
        </w:numPr>
        <w:tabs>
          <w:tab w:val="left" w:pos="735"/>
        </w:tabs>
        <w:ind w:left="0" w:leftChars="0" w:firstLine="0" w:firstLineChars="0"/>
        <w:rPr>
          <w:rFonts w:hint="eastAsia" w:ascii="宋体"/>
          <w:b/>
          <w:bCs/>
          <w:kern w:val="0"/>
          <w:sz w:val="28"/>
          <w:szCs w:val="28"/>
          <w:lang w:val="en-US" w:eastAsia="zh-CN"/>
        </w:rPr>
      </w:pPr>
      <w:r>
        <w:rPr>
          <w:rFonts w:hint="eastAsia" w:ascii="宋体"/>
          <w:b/>
          <w:bCs/>
          <w:kern w:val="0"/>
          <w:sz w:val="28"/>
          <w:szCs w:val="28"/>
          <w:lang w:val="en-US" w:eastAsia="zh-CN"/>
        </w:rPr>
        <w:t>废止现行有关标准的建议</w:t>
      </w:r>
    </w:p>
    <w:p>
      <w:pPr>
        <w:widowControl/>
        <w:numPr>
          <w:ilvl w:val="0"/>
          <w:numId w:val="0"/>
        </w:numPr>
        <w:tabs>
          <w:tab w:val="left" w:pos="735"/>
        </w:tabs>
        <w:ind w:leftChars="0" w:firstLine="480" w:firstLineChars="200"/>
        <w:rPr>
          <w:rFonts w:hint="eastAsia" w:ascii="宋体"/>
          <w:kern w:val="0"/>
          <w:sz w:val="24"/>
          <w:szCs w:val="24"/>
          <w:lang w:val="en-US" w:eastAsia="zh-CN"/>
        </w:rPr>
      </w:pPr>
      <w:r>
        <w:rPr>
          <w:rFonts w:hint="eastAsia" w:ascii="宋体"/>
          <w:kern w:val="0"/>
          <w:sz w:val="24"/>
          <w:szCs w:val="24"/>
          <w:lang w:val="en-US" w:eastAsia="zh-CN"/>
        </w:rPr>
        <w:t>无。</w:t>
      </w:r>
    </w:p>
    <w:p>
      <w:pPr>
        <w:widowControl/>
        <w:numPr>
          <w:ilvl w:val="0"/>
          <w:numId w:val="7"/>
        </w:numPr>
        <w:tabs>
          <w:tab w:val="left" w:pos="735"/>
        </w:tabs>
        <w:ind w:left="0" w:leftChars="0" w:firstLine="0" w:firstLineChars="0"/>
        <w:rPr>
          <w:rFonts w:hint="eastAsia" w:ascii="宋体"/>
          <w:b/>
          <w:bCs/>
          <w:kern w:val="0"/>
          <w:sz w:val="28"/>
          <w:szCs w:val="28"/>
          <w:lang w:val="en-US" w:eastAsia="zh-CN"/>
        </w:rPr>
      </w:pPr>
      <w:r>
        <w:rPr>
          <w:rFonts w:hint="eastAsia" w:ascii="宋体"/>
          <w:b/>
          <w:bCs/>
          <w:kern w:val="0"/>
          <w:sz w:val="28"/>
          <w:szCs w:val="28"/>
          <w:lang w:val="en-US" w:eastAsia="zh-CN"/>
        </w:rPr>
        <w:t>其他应予说明的事项</w:t>
      </w:r>
    </w:p>
    <w:p>
      <w:pPr>
        <w:widowControl/>
        <w:numPr>
          <w:ilvl w:val="0"/>
          <w:numId w:val="0"/>
        </w:numPr>
        <w:tabs>
          <w:tab w:val="left" w:pos="735"/>
        </w:tabs>
        <w:ind w:leftChars="0" w:firstLine="480" w:firstLineChars="200"/>
        <w:rPr>
          <w:rFonts w:hint="default" w:ascii="宋体"/>
          <w:kern w:val="0"/>
          <w:sz w:val="24"/>
          <w:szCs w:val="24"/>
          <w:lang w:val="en-US" w:eastAsia="zh-CN"/>
        </w:rPr>
      </w:pPr>
      <w:r>
        <w:rPr>
          <w:rFonts w:hint="eastAsia" w:ascii="宋体"/>
          <w:kern w:val="0"/>
          <w:sz w:val="24"/>
          <w:szCs w:val="24"/>
          <w:lang w:val="en-US" w:eastAsia="zh-CN"/>
        </w:rPr>
        <w:t>无。</w:t>
      </w:r>
    </w:p>
    <w:p>
      <w:pPr>
        <w:widowControl/>
        <w:numPr>
          <w:ilvl w:val="0"/>
          <w:numId w:val="0"/>
        </w:numPr>
        <w:tabs>
          <w:tab w:val="left" w:pos="735"/>
        </w:tabs>
        <w:rPr>
          <w:rFonts w:hint="eastAsia" w:ascii="宋体"/>
          <w:kern w:val="0"/>
          <w:sz w:val="24"/>
          <w:szCs w:val="24"/>
          <w:lang w:eastAsia="zh-CN"/>
        </w:rPr>
      </w:pPr>
    </w:p>
    <w:p>
      <w:pPr>
        <w:pStyle w:val="7"/>
        <w:spacing w:line="360" w:lineRule="auto"/>
        <w:ind w:left="0" w:leftChars="0" w:firstLine="0" w:firstLineChars="0"/>
        <w:jc w:val="righ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FF"/>
          <w:sz w:val="22"/>
          <w:szCs w:val="22"/>
          <w:lang w:val="en-US" w:eastAsia="zh-CN"/>
        </w:rPr>
        <w:t xml:space="preserve">      </w:t>
      </w:r>
      <w:r>
        <w:rPr>
          <w:rFonts w:hint="eastAsia" w:ascii="宋体" w:hAnsi="宋体" w:cs="宋体"/>
          <w:color w:val="000000" w:themeColor="text1"/>
          <w:sz w:val="22"/>
          <w:szCs w:val="22"/>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p>
    <w:p>
      <w:pPr>
        <w:pStyle w:val="7"/>
        <w:spacing w:line="360" w:lineRule="auto"/>
        <w:ind w:left="0" w:leftChars="0" w:firstLine="0" w:firstLineChars="0"/>
        <w:jc w:val="righ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镍饼行业标准起草小组</w:t>
      </w:r>
    </w:p>
    <w:p>
      <w:pPr>
        <w:pStyle w:val="7"/>
        <w:spacing w:line="360" w:lineRule="auto"/>
        <w:ind w:left="0" w:leftChars="0" w:firstLine="0" w:firstLineChars="0"/>
        <w:jc w:val="right"/>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二零二叁年二月二十八日</w:t>
      </w:r>
    </w:p>
    <w:p>
      <w:pPr>
        <w:pStyle w:val="7"/>
        <w:spacing w:line="360" w:lineRule="auto"/>
        <w:ind w:left="0" w:leftChars="0" w:firstLine="0" w:firstLineChars="0"/>
        <w:jc w:val="right"/>
        <w:rPr>
          <w:rFonts w:hint="eastAsia" w:ascii="宋体" w:hAnsi="宋体" w:cs="宋体"/>
          <w:color w:val="000000" w:themeColor="text1"/>
          <w:sz w:val="22"/>
          <w:szCs w:val="22"/>
          <w:lang w:eastAsia="zh-CN"/>
          <w14:textFill>
            <w14:solidFill>
              <w14:schemeClr w14:val="tx1"/>
            </w14:solidFill>
          </w14:textFill>
        </w:rPr>
      </w:pPr>
    </w:p>
    <w:p>
      <w:pPr>
        <w:widowControl/>
        <w:adjustRightInd w:val="0"/>
        <w:snapToGrid w:val="0"/>
        <w:spacing w:line="340" w:lineRule="exact"/>
        <w:rPr>
          <w:rFonts w:hint="eastAsia" w:ascii="宋体" w:hAnsi="宋体"/>
          <w:b/>
          <w:bCs/>
          <w:sz w:val="22"/>
          <w:szCs w:val="22"/>
        </w:rPr>
      </w:pPr>
    </w:p>
    <w:p>
      <w:pPr>
        <w:widowControl/>
        <w:adjustRightInd w:val="0"/>
        <w:snapToGrid w:val="0"/>
        <w:spacing w:line="340" w:lineRule="exact"/>
        <w:rPr>
          <w:rFonts w:hint="eastAsia" w:ascii="宋体" w:hAnsi="宋体"/>
          <w:b/>
          <w:bCs/>
          <w:sz w:val="22"/>
          <w:szCs w:val="22"/>
        </w:rPr>
      </w:pPr>
    </w:p>
    <w:p>
      <w:pPr>
        <w:widowControl/>
        <w:adjustRightInd w:val="0"/>
        <w:snapToGrid w:val="0"/>
        <w:spacing w:line="340" w:lineRule="exact"/>
        <w:rPr>
          <w:rFonts w:hint="eastAsia" w:ascii="宋体" w:hAnsi="宋体"/>
          <w:b/>
          <w:bCs/>
          <w:sz w:val="22"/>
          <w:szCs w:val="22"/>
        </w:rPr>
      </w:pPr>
    </w:p>
    <w:p>
      <w:pPr>
        <w:widowControl/>
        <w:adjustRightInd w:val="0"/>
        <w:snapToGrid w:val="0"/>
        <w:spacing w:line="340" w:lineRule="exact"/>
        <w:rPr>
          <w:rFonts w:hint="eastAsia" w:ascii="宋体" w:hAnsi="宋体"/>
          <w:b/>
          <w:bCs/>
          <w:sz w:val="22"/>
          <w:szCs w:val="22"/>
        </w:rPr>
      </w:pPr>
    </w:p>
    <w:p>
      <w:pPr>
        <w:widowControl/>
        <w:adjustRightInd w:val="0"/>
        <w:snapToGrid w:val="0"/>
        <w:spacing w:line="340" w:lineRule="exact"/>
        <w:rPr>
          <w:rFonts w:hint="eastAsia" w:ascii="宋体" w:hAnsi="宋体"/>
          <w:b/>
          <w:bCs/>
          <w:sz w:val="22"/>
          <w:szCs w:val="22"/>
        </w:rPr>
      </w:pPr>
    </w:p>
    <w:p>
      <w:pPr>
        <w:widowControl/>
        <w:adjustRightInd w:val="0"/>
        <w:snapToGrid w:val="0"/>
        <w:spacing w:line="340" w:lineRule="exact"/>
        <w:rPr>
          <w:rFonts w:hint="eastAsia" w:ascii="宋体" w:hAnsi="宋体"/>
          <w:b/>
          <w:bCs/>
          <w:sz w:val="22"/>
          <w:szCs w:val="22"/>
        </w:rPr>
      </w:pPr>
    </w:p>
    <w:p>
      <w:pPr>
        <w:widowControl/>
        <w:adjustRightInd w:val="0"/>
        <w:snapToGrid w:val="0"/>
        <w:spacing w:line="340" w:lineRule="exact"/>
        <w:rPr>
          <w:rFonts w:hint="eastAsia" w:ascii="宋体" w:hAnsi="宋体"/>
          <w:b/>
          <w:bCs/>
          <w:sz w:val="22"/>
          <w:szCs w:val="22"/>
        </w:rPr>
      </w:pPr>
    </w:p>
    <w:p>
      <w:pPr>
        <w:widowControl/>
        <w:adjustRightInd w:val="0"/>
        <w:snapToGrid w:val="0"/>
        <w:spacing w:line="340" w:lineRule="exact"/>
        <w:rPr>
          <w:rFonts w:hint="eastAsia" w:ascii="宋体" w:hAnsi="宋体"/>
          <w:b/>
          <w:bCs/>
          <w:sz w:val="22"/>
          <w:szCs w:val="22"/>
        </w:rPr>
      </w:pPr>
    </w:p>
    <w:p>
      <w:pPr>
        <w:widowControl/>
        <w:adjustRightInd w:val="0"/>
        <w:snapToGrid w:val="0"/>
        <w:spacing w:line="340" w:lineRule="exact"/>
        <w:rPr>
          <w:rFonts w:hint="eastAsia" w:ascii="宋体" w:hAnsi="宋体"/>
          <w:b/>
          <w:bCs/>
          <w:sz w:val="22"/>
          <w:szCs w:val="22"/>
        </w:rPr>
      </w:pPr>
    </w:p>
    <w:p>
      <w:pPr>
        <w:widowControl/>
        <w:adjustRightInd w:val="0"/>
        <w:snapToGrid w:val="0"/>
        <w:spacing w:line="340" w:lineRule="exact"/>
        <w:rPr>
          <w:rFonts w:hint="eastAsia" w:ascii="宋体" w:hAnsi="宋体"/>
          <w:b/>
          <w:bCs/>
          <w:sz w:val="22"/>
          <w:szCs w:val="22"/>
        </w:rPr>
      </w:pPr>
    </w:p>
    <w:p>
      <w:pPr>
        <w:widowControl/>
        <w:adjustRightInd w:val="0"/>
        <w:snapToGrid w:val="0"/>
        <w:spacing w:line="340" w:lineRule="exact"/>
        <w:rPr>
          <w:rFonts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620"/>
        <w:tab w:val="clear" w:pos="4153"/>
      </w:tabs>
      <w:ind w:right="360" w:firstLine="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24</w: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620"/>
        <w:tab w:val="clear" w:pos="4153"/>
      </w:tabs>
      <w:ind w:right="360" w:firstLine="360"/>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620"/>
        <w:tab w:val="clear" w:pos="4153"/>
      </w:tabs>
      <w:ind w:right="360" w:firstLine="360"/>
    </w:pP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4C3A5"/>
    <w:multiLevelType w:val="multilevel"/>
    <w:tmpl w:val="A3D4C3A5"/>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D905020"/>
    <w:multiLevelType w:val="singleLevel"/>
    <w:tmpl w:val="0D905020"/>
    <w:lvl w:ilvl="0" w:tentative="0">
      <w:start w:val="6"/>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pStyle w:val="11"/>
      <w:suff w:val="nothing"/>
      <w:lvlText w:val="%1.%2.%3　"/>
      <w:lvlJc w:val="left"/>
      <w:pPr>
        <w:ind w:left="52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9"/>
      <w:suff w:val="nothing"/>
      <w:lvlText w:val="%1.%2.%3.%4.%5　"/>
      <w:lvlJc w:val="left"/>
      <w:pPr>
        <w:ind w:left="0" w:firstLine="0"/>
      </w:pPr>
      <w:rPr>
        <w:rFonts w:hint="eastAsia" w:ascii="黑体" w:hAnsi="Times New Roman" w:eastAsia="黑体"/>
        <w:b w:val="0"/>
        <w:i w:val="0"/>
        <w:sz w:val="21"/>
      </w:rPr>
    </w:lvl>
    <w:lvl w:ilvl="5" w:tentative="0">
      <w:start w:val="1"/>
      <w:numFmt w:val="decimal"/>
      <w:pStyle w:val="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3FFDC7A"/>
    <w:multiLevelType w:val="singleLevel"/>
    <w:tmpl w:val="43FFDC7A"/>
    <w:lvl w:ilvl="0" w:tentative="0">
      <w:start w:val="2"/>
      <w:numFmt w:val="decimal"/>
      <w:suff w:val="space"/>
      <w:lvlText w:val="%1."/>
      <w:lvlJc w:val="left"/>
    </w:lvl>
  </w:abstractNum>
  <w:abstractNum w:abstractNumId="4">
    <w:nsid w:val="44C50F90"/>
    <w:multiLevelType w:val="multilevel"/>
    <w:tmpl w:val="44C50F90"/>
    <w:lvl w:ilvl="0" w:tentative="0">
      <w:start w:val="1"/>
      <w:numFmt w:val="lowerLetter"/>
      <w:lvlText w:val="%1)"/>
      <w:lvlJc w:val="left"/>
      <w:pPr>
        <w:tabs>
          <w:tab w:val="left" w:pos="735"/>
        </w:tabs>
        <w:ind w:left="629" w:hanging="419"/>
      </w:pPr>
      <w:rPr>
        <w:rFonts w:hint="eastAsia" w:ascii="宋体" w:eastAsia="宋体"/>
        <w:b w:val="0"/>
        <w:i w:val="0"/>
        <w:color w:val="auto"/>
        <w:sz w:val="21"/>
        <w:szCs w:val="21"/>
      </w:rPr>
    </w:lvl>
    <w:lvl w:ilvl="1" w:tentative="0">
      <w:start w:val="1"/>
      <w:numFmt w:val="decimal"/>
      <w:lvlText w:val="%2)"/>
      <w:lvlJc w:val="left"/>
      <w:pPr>
        <w:tabs>
          <w:tab w:val="left" w:pos="1260"/>
        </w:tabs>
        <w:ind w:left="1154" w:hanging="419"/>
      </w:pPr>
      <w:rPr>
        <w:rFonts w:hint="eastAsia"/>
      </w:rPr>
    </w:lvl>
    <w:lvl w:ilvl="2" w:tentative="0">
      <w:start w:val="1"/>
      <w:numFmt w:val="decimal"/>
      <w:lvlText w:val="(%3)"/>
      <w:lvlJc w:val="left"/>
      <w:pPr>
        <w:tabs>
          <w:tab w:val="left" w:pos="0"/>
        </w:tabs>
        <w:ind w:left="1574" w:hanging="420"/>
      </w:pPr>
      <w:rPr>
        <w:rFonts w:hint="eastAsia" w:ascii="宋体" w:eastAsia="宋体"/>
        <w:b w:val="0"/>
        <w:i w:val="0"/>
        <w:sz w:val="21"/>
        <w:szCs w:val="21"/>
      </w:rPr>
    </w:lvl>
    <w:lvl w:ilvl="3" w:tentative="0">
      <w:start w:val="1"/>
      <w:numFmt w:val="decimal"/>
      <w:lvlText w:val="%4."/>
      <w:lvlJc w:val="left"/>
      <w:pPr>
        <w:tabs>
          <w:tab w:val="left" w:pos="2100"/>
        </w:tabs>
        <w:ind w:left="1994" w:hanging="419"/>
      </w:pPr>
      <w:rPr>
        <w:rFonts w:hint="eastAsia"/>
      </w:rPr>
    </w:lvl>
    <w:lvl w:ilvl="4" w:tentative="0">
      <w:start w:val="1"/>
      <w:numFmt w:val="lowerLetter"/>
      <w:lvlText w:val="%5)"/>
      <w:lvlJc w:val="left"/>
      <w:pPr>
        <w:tabs>
          <w:tab w:val="left" w:pos="2520"/>
        </w:tabs>
        <w:ind w:left="2414" w:hanging="419"/>
      </w:pPr>
      <w:rPr>
        <w:rFonts w:hint="eastAsia"/>
      </w:rPr>
    </w:lvl>
    <w:lvl w:ilvl="5" w:tentative="0">
      <w:start w:val="1"/>
      <w:numFmt w:val="lowerRoman"/>
      <w:lvlText w:val="%6."/>
      <w:lvlJc w:val="right"/>
      <w:pPr>
        <w:tabs>
          <w:tab w:val="left" w:pos="2940"/>
        </w:tabs>
        <w:ind w:left="2834" w:hanging="419"/>
      </w:pPr>
      <w:rPr>
        <w:rFonts w:hint="eastAsia"/>
      </w:rPr>
    </w:lvl>
    <w:lvl w:ilvl="6" w:tentative="0">
      <w:start w:val="1"/>
      <w:numFmt w:val="decimal"/>
      <w:lvlText w:val="%7."/>
      <w:lvlJc w:val="left"/>
      <w:pPr>
        <w:tabs>
          <w:tab w:val="left" w:pos="3360"/>
        </w:tabs>
        <w:ind w:left="3254" w:hanging="419"/>
      </w:pPr>
      <w:rPr>
        <w:rFonts w:hint="eastAsia"/>
      </w:rPr>
    </w:lvl>
    <w:lvl w:ilvl="7" w:tentative="0">
      <w:start w:val="1"/>
      <w:numFmt w:val="lowerLetter"/>
      <w:lvlText w:val="%8)"/>
      <w:lvlJc w:val="left"/>
      <w:pPr>
        <w:tabs>
          <w:tab w:val="left" w:pos="3780"/>
        </w:tabs>
        <w:ind w:left="3674" w:hanging="419"/>
      </w:pPr>
      <w:rPr>
        <w:rFonts w:hint="eastAsia"/>
      </w:rPr>
    </w:lvl>
    <w:lvl w:ilvl="8" w:tentative="0">
      <w:start w:val="1"/>
      <w:numFmt w:val="lowerRoman"/>
      <w:lvlText w:val="%9."/>
      <w:lvlJc w:val="right"/>
      <w:pPr>
        <w:tabs>
          <w:tab w:val="left" w:pos="4200"/>
        </w:tabs>
        <w:ind w:left="4094" w:hanging="419"/>
      </w:pPr>
      <w:rPr>
        <w:rFonts w:hint="eastAsia"/>
      </w:rPr>
    </w:lvl>
  </w:abstractNum>
  <w:abstractNum w:abstractNumId="5">
    <w:nsid w:val="4F30B805"/>
    <w:multiLevelType w:val="singleLevel"/>
    <w:tmpl w:val="4F30B805"/>
    <w:lvl w:ilvl="0" w:tentative="0">
      <w:start w:val="1"/>
      <w:numFmt w:val="decimal"/>
      <w:suff w:val="nothing"/>
      <w:lvlText w:val="（%1）"/>
      <w:lvlJc w:val="left"/>
    </w:lvl>
  </w:abstractNum>
  <w:num w:numId="1">
    <w:abstractNumId w:val="2"/>
  </w:num>
  <w:num w:numId="2">
    <w:abstractNumId w:val="0"/>
  </w:num>
  <w:num w:numId="3">
    <w:abstractNumId w:val="5"/>
  </w:num>
  <w:num w:numId="4">
    <w:abstractNumId w:val="3"/>
  </w:num>
  <w:num w:numId="5">
    <w:abstractNumId w:val="4"/>
  </w:num>
  <w:num w:numId="6">
    <w:abstractNumId w:val="4"/>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YTgzYzJhYWUxZGViOTNhZjRjOWRlM2Y1ZTdlNTYifQ=="/>
  </w:docVars>
  <w:rsids>
    <w:rsidRoot w:val="08594E18"/>
    <w:rsid w:val="08594E18"/>
    <w:rsid w:val="1347361C"/>
    <w:rsid w:val="14EF1092"/>
    <w:rsid w:val="193D07EF"/>
    <w:rsid w:val="1FAA6760"/>
    <w:rsid w:val="42E6744A"/>
    <w:rsid w:val="5BA80875"/>
    <w:rsid w:val="7B12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6">
    <w:name w:val="page number"/>
    <w:basedOn w:val="5"/>
    <w:qFormat/>
    <w:uiPriority w:val="0"/>
  </w:style>
  <w:style w:type="paragraph" w:customStyle="1" w:styleId="7">
    <w:name w:val="List Paragraph"/>
    <w:basedOn w:val="1"/>
    <w:qFormat/>
    <w:uiPriority w:val="34"/>
    <w:pPr>
      <w:ind w:firstLine="420" w:firstLineChars="200"/>
    </w:pPr>
  </w:style>
  <w:style w:type="paragraph" w:customStyle="1" w:styleId="8">
    <w:name w:val="五级条标题"/>
    <w:basedOn w:val="9"/>
    <w:next w:val="13"/>
    <w:qFormat/>
    <w:uiPriority w:val="0"/>
    <w:pPr>
      <w:numPr>
        <w:ilvl w:val="5"/>
        <w:numId w:val="1"/>
      </w:numPr>
      <w:outlineLvl w:val="6"/>
    </w:pPr>
  </w:style>
  <w:style w:type="paragraph" w:customStyle="1" w:styleId="9">
    <w:name w:val="四级条标题"/>
    <w:basedOn w:val="10"/>
    <w:next w:val="13"/>
    <w:qFormat/>
    <w:uiPriority w:val="0"/>
    <w:pPr>
      <w:numPr>
        <w:ilvl w:val="4"/>
        <w:numId w:val="1"/>
      </w:numPr>
      <w:outlineLvl w:val="5"/>
    </w:pPr>
  </w:style>
  <w:style w:type="paragraph" w:customStyle="1" w:styleId="10">
    <w:name w:val="三级条标题"/>
    <w:basedOn w:val="11"/>
    <w:next w:val="13"/>
    <w:qFormat/>
    <w:uiPriority w:val="0"/>
    <w:pPr>
      <w:numPr>
        <w:ilvl w:val="2"/>
        <w:numId w:val="0"/>
      </w:numPr>
      <w:outlineLvl w:val="4"/>
    </w:pPr>
  </w:style>
  <w:style w:type="paragraph" w:customStyle="1" w:styleId="11">
    <w:name w:val="二级条标题"/>
    <w:basedOn w:val="12"/>
    <w:next w:val="13"/>
    <w:qFormat/>
    <w:uiPriority w:val="0"/>
    <w:pPr>
      <w:numPr>
        <w:ilvl w:val="2"/>
        <w:numId w:val="1"/>
      </w:numPr>
      <w:spacing w:before="50" w:after="50"/>
      <w:outlineLvl w:val="3"/>
    </w:pPr>
  </w:style>
  <w:style w:type="paragraph" w:customStyle="1" w:styleId="12">
    <w:name w:val="一级条标题"/>
    <w:next w:val="13"/>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2023-08-19T05:24:00Z</dcterms:created>
  <dc:creator>Administrator</dc:creator>
  <cp:lastModifiedBy>ss</cp:lastModifiedBy>
  <dcterms:modified xsi:type="dcterms:W3CDTF">2023-08-25T06:49:22Z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81B775CC0A6E4A189776742B7DA899D9_13</vt:lpwstr>
  </property>
</Properties>
</file>