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13.030.01</w:t>
            </w:r>
          </w:p>
        </w:tc>
      </w:tr>
      <w:tr>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H 60</w:t>
            </w:r>
          </w:p>
        </w:tc>
      </w:tr>
    </w:tbl>
    <w:p>
      <w:pPr>
        <w:pStyle w:val="53"/>
        <w:framePr w:w="9639" w:h="1092" w:hRule="exact" w:hSpace="181" w:vSpace="181" w:wrap="around" w:hAnchor="page" w:x="1305" w:y="1790"/>
        <w:rPr>
          <w:rFonts w:ascii="黑体" w:hAnsi="黑体" w:eastAsia="黑体"/>
          <w:b w:val="0"/>
          <w:bCs w:val="0"/>
          <w:w w:val="100"/>
          <w:sz w:val="72"/>
          <w:szCs w:val="72"/>
        </w:rPr>
      </w:pPr>
      <w:bookmarkStart w:id="0"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0"/>
    <w:p>
      <w:pPr>
        <w:pStyle w:val="199"/>
        <w:framePr w:wrap="around"/>
      </w:pPr>
      <w:r>
        <w:t>T/</w:t>
      </w:r>
      <w:r>
        <w:rPr>
          <w:rFonts w:hint="eastAsia"/>
        </w:rPr>
        <w:t>CNIA</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fldChar w:fldCharType="begin">
          <w:ffData>
            <w:name w:val="NSTD_CODE_B"/>
            <w:enabled/>
            <w:calcOnExit w:val="0"/>
            <w:textInput>
              <w:default w:val="XXXX"/>
            </w:textInput>
          </w:ffData>
        </w:fldChar>
      </w:r>
      <w:bookmarkStart w:id="2" w:name="NSTD_CODE_B"/>
      <w:r>
        <w:instrText xml:space="preserve"> FORMTEXT </w:instrText>
      </w:r>
      <w:r>
        <w:fldChar w:fldCharType="separate"/>
      </w:r>
      <w:r>
        <w:t>XXXX</w:t>
      </w:r>
      <w:r>
        <w:fldChar w:fldCharType="end"/>
      </w:r>
      <w:bookmarkEnd w:id="2"/>
    </w:p>
    <w:p>
      <w:pPr>
        <w:pStyle w:val="200"/>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201"/>
        <w:framePr w:h="6974" w:hRule="exact" w:wrap="around" w:x="1066" w:y="5236"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锌</w:t>
      </w:r>
      <w:r>
        <w:rPr>
          <w:rFonts w:hint="eastAsia"/>
        </w:rPr>
        <w:t>冶炼</w:t>
      </w:r>
      <w:r>
        <w:t>污酸</w:t>
      </w:r>
      <w:r>
        <w:rPr>
          <w:rFonts w:hint="eastAsia"/>
        </w:rPr>
        <w:t>资源化</w:t>
      </w:r>
      <w:r>
        <w:t>回收利用</w:t>
      </w:r>
    </w:p>
    <w:p>
      <w:pPr>
        <w:pStyle w:val="201"/>
        <w:framePr w:h="6974" w:hRule="exact" w:wrap="around" w:x="1066" w:y="5236" w:anchorLock="1"/>
      </w:pPr>
      <w:r>
        <w:t>技术规范</w:t>
      </w:r>
      <w:r>
        <w:fldChar w:fldCharType="end"/>
      </w:r>
      <w:bookmarkEnd w:id="4"/>
    </w:p>
    <w:p>
      <w:pPr>
        <w:framePr w:w="9639" w:h="6974" w:hRule="exact" w:wrap="around" w:vAnchor="page" w:hAnchor="page" w:x="1066" w:y="5236" w:anchorLock="1"/>
        <w:ind w:left="-1418"/>
      </w:pPr>
    </w:p>
    <w:p>
      <w:pPr>
        <w:framePr w:w="9639" w:h="6974" w:hRule="exact" w:wrap="around" w:vAnchor="page" w:hAnchor="page" w:x="1066" w:y="5236" w:anchorLock="1"/>
        <w:spacing w:line="760" w:lineRule="exact"/>
        <w:ind w:left="-1418"/>
      </w:pPr>
      <w:r>
        <w:rPr>
          <w:rFonts w:eastAsia="黑体"/>
          <w:szCs w:val="28"/>
        </w:rPr>
        <w:t>Technical Speci</w:t>
      </w:r>
    </w:p>
    <w:p>
      <w:pPr>
        <w:pStyle w:val="129"/>
        <w:framePr w:w="9639" w:h="6974" w:hRule="exact" w:wrap="around" w:vAnchor="page" w:hAnchor="page" w:x="1066" w:y="5236" w:anchorLock="1"/>
        <w:spacing w:before="440" w:after="160"/>
        <w:textAlignment w:val="bottom"/>
        <w:rPr>
          <w:rFonts w:eastAsia="黑体"/>
          <w:szCs w:val="28"/>
        </w:rPr>
      </w:pPr>
      <w:r>
        <w:rPr>
          <w:rFonts w:eastAsia="黑体"/>
          <w:szCs w:val="28"/>
        </w:rPr>
        <w:t xml:space="preserve">Technical specification for recycling and utilization of waste acid from </w:t>
      </w:r>
    </w:p>
    <w:p>
      <w:pPr>
        <w:pStyle w:val="129"/>
        <w:framePr w:w="9639" w:h="6974" w:hRule="exact" w:wrap="around" w:vAnchor="page" w:hAnchor="page" w:x="1066" w:y="5236" w:anchorLock="1"/>
        <w:spacing w:before="440" w:after="160"/>
        <w:textAlignment w:val="bottom"/>
        <w:rPr>
          <w:rFonts w:eastAsia="黑体"/>
          <w:szCs w:val="28"/>
        </w:rPr>
      </w:pPr>
      <w:r>
        <w:rPr>
          <w:rFonts w:hint="eastAsia" w:eastAsia="黑体"/>
          <w:szCs w:val="28"/>
        </w:rPr>
        <w:t>zinc</w:t>
      </w:r>
      <w:r>
        <w:rPr>
          <w:rFonts w:eastAsia="黑体"/>
          <w:szCs w:val="28"/>
        </w:rPr>
        <w:t xml:space="preserve"> smelting</w:t>
      </w:r>
    </w:p>
    <w:p>
      <w:pPr>
        <w:pStyle w:val="129"/>
        <w:framePr w:w="9639" w:h="6974" w:hRule="exact" w:wrap="around" w:vAnchor="page" w:hAnchor="page" w:x="1066" w:y="5236" w:anchorLock="1"/>
        <w:spacing w:before="440" w:after="160"/>
        <w:textAlignment w:val="bottom"/>
        <w:rPr>
          <w:sz w:val="24"/>
          <w:szCs w:val="28"/>
        </w:rPr>
      </w:pPr>
      <w:bookmarkStart w:id="5" w:name="下拉1"/>
      <w:r>
        <w:rPr>
          <w:sz w:val="24"/>
          <w:szCs w:val="28"/>
        </w:rPr>
        <w:t>（</w:t>
      </w:r>
      <w:r>
        <w:rPr>
          <w:rFonts w:hint="eastAsia"/>
          <w:sz w:val="24"/>
          <w:szCs w:val="28"/>
          <w:lang w:val="en-US" w:eastAsia="zh-Hans"/>
        </w:rPr>
        <w:t>送审</w:t>
      </w:r>
      <w:bookmarkStart w:id="48" w:name="_GoBack"/>
      <w:bookmarkEnd w:id="48"/>
      <w:r>
        <w:rPr>
          <w:rFonts w:hint="eastAsia"/>
          <w:sz w:val="24"/>
          <w:szCs w:val="28"/>
        </w:rPr>
        <w:t>稿</w:t>
      </w:r>
      <w:r>
        <w:rPr>
          <w:sz w:val="24"/>
          <w:szCs w:val="28"/>
          <w:lang w:eastAsia="zh-Hans"/>
        </w:rPr>
        <w:t>）</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5"/>
    </w:p>
    <w:p>
      <w:pPr>
        <w:pStyle w:val="129"/>
        <w:framePr w:w="9639" w:h="6974" w:hRule="exact" w:wrap="around" w:vAnchor="page" w:hAnchor="page" w:x="1066" w:y="5236"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29"/>
        <w:framePr w:w="9639" w:h="6974" w:hRule="exact" w:wrap="around" w:vAnchor="page" w:hAnchor="page" w:x="1066" w:y="5236" w:anchorLock="1"/>
        <w:spacing w:before="720" w:beforeLines="300" w:after="72" w:afterLines="30" w:line="240" w:lineRule="auto"/>
        <w:textAlignment w:val="bottom"/>
        <w:rPr>
          <w:b/>
          <w:sz w:val="21"/>
          <w:szCs w:val="28"/>
        </w:rPr>
      </w:pPr>
      <w:bookmarkStart w:id="7" w:name="下拉2"/>
      <w:r>
        <w:rPr>
          <w:b/>
          <w:sz w:val="21"/>
          <w:szCs w:val="28"/>
        </w:rPr>
        <w:fldChar w:fldCharType="begin">
          <w:ffData>
            <w:name w:val="下拉2"/>
            <w:enabled/>
            <w:calcOnExit w:val="0"/>
            <w:ddList/>
          </w:ffData>
        </w:fldChar>
      </w:r>
      <w:r>
        <w:rPr>
          <w:b/>
          <w:sz w:val="21"/>
          <w:szCs w:val="28"/>
        </w:rPr>
        <w:instrText xml:space="preserve">FORMDROPDOWN</w:instrText>
      </w:r>
      <w:r>
        <w:rPr>
          <w:b/>
          <w:sz w:val="21"/>
          <w:szCs w:val="28"/>
        </w:rPr>
        <w:fldChar w:fldCharType="separate"/>
      </w:r>
      <w:r>
        <w:rPr>
          <w:b/>
          <w:sz w:val="21"/>
          <w:szCs w:val="28"/>
        </w:rPr>
        <w:fldChar w:fldCharType="end"/>
      </w:r>
      <w:bookmarkEnd w:id="7"/>
    </w:p>
    <w:p>
      <w:pPr>
        <w:pStyle w:val="197"/>
        <w:framePr w:wrap="around" w:y="14176"/>
      </w:pPr>
      <w:bookmarkStart w:id="8" w:name="PLSH_DATE_Y"/>
      <w:r>
        <w:rPr>
          <w:rFonts w:ascii="黑体"/>
        </w:rPr>
        <w:fldChar w:fldCharType="begin">
          <w:ffData>
            <w:name w:val="PLSH_DATE_Y"/>
            <w:enabled/>
            <w:calcOnExit w:val="0"/>
            <w:textInput>
              <w:default w:val="XXXX"/>
              <w:maxLength w:val="4"/>
            </w:textInput>
          </w:ffData>
        </w:fldChar>
      </w:r>
      <w:r>
        <w:rPr>
          <w:rFonts w:ascii="黑体"/>
        </w:rPr>
        <w:instrText xml:space="preserve">FORMTEXT</w:instrText>
      </w:r>
      <w:r>
        <w:rPr>
          <w:rFonts w:ascii="黑体"/>
        </w:rPr>
        <w:fldChar w:fldCharType="separate"/>
      </w:r>
      <w:r>
        <w:rPr>
          <w:rFonts w:hint="eastAsia" w:ascii="黑体"/>
        </w:rPr>
        <w:t>XXXX</w:t>
      </w:r>
      <w:r>
        <w:rPr>
          <w:rFonts w:ascii="黑体"/>
        </w:rPr>
        <w:fldChar w:fldCharType="end"/>
      </w:r>
      <w:bookmarkEnd w:id="8"/>
      <w:r>
        <w:t xml:space="preserve"> </w:t>
      </w:r>
      <w:r>
        <w:rPr>
          <w:rFonts w:ascii="黑体"/>
        </w:rPr>
        <w:t>-</w:t>
      </w:r>
      <w:r>
        <w:t xml:space="preserve"> </w:t>
      </w:r>
      <w:bookmarkStart w:id="9" w:name="PLSH_DATE_M"/>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hint="eastAsia"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5"/>
        <w:framePr w:w="4754" w:h="584" w:hRule="exact" w:hSpace="181" w:vSpace="181" w:wrap="around" w:vAnchor="page" w:hAnchor="page" w:x="7152" w:y="14889"/>
        <w:rPr>
          <w:rFonts w:hAnsi="黑体"/>
        </w:rPr>
      </w:pP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b/>
          <w:color w:val="000000"/>
          <w:sz w:val="28"/>
          <w:szCs w:val="28"/>
        </w:rPr>
        <mc:AlternateContent>
          <mc:Choice Requires="wps">
            <w:drawing>
              <wp:anchor distT="0" distB="0" distL="114300" distR="114300" simplePos="0" relativeHeight="251662336" behindDoc="0" locked="1" layoutInCell="1" allowOverlap="1">
                <wp:simplePos x="0" y="0"/>
                <wp:positionH relativeFrom="margin">
                  <wp:posOffset>-133985</wp:posOffset>
                </wp:positionH>
                <wp:positionV relativeFrom="margin">
                  <wp:posOffset>8221345</wp:posOffset>
                </wp:positionV>
                <wp:extent cx="4839970" cy="776605"/>
                <wp:effectExtent l="0" t="0" r="11430" b="10795"/>
                <wp:wrapNone/>
                <wp:docPr id="2" name="文本框 2"/>
                <wp:cNvGraphicFramePr/>
                <a:graphic xmlns:a="http://schemas.openxmlformats.org/drawingml/2006/main">
                  <a:graphicData uri="http://schemas.microsoft.com/office/word/2010/wordprocessingShape">
                    <wps:wsp>
                      <wps:cNvSpPr txBox="1"/>
                      <wps:spPr>
                        <a:xfrm>
                          <a:off x="0" y="0"/>
                          <a:ext cx="4839970" cy="776605"/>
                        </a:xfrm>
                        <a:prstGeom prst="rect">
                          <a:avLst/>
                        </a:prstGeom>
                        <a:solidFill>
                          <a:srgbClr val="FFFFFF"/>
                        </a:solidFill>
                        <a:ln>
                          <a:noFill/>
                        </a:ln>
                      </wps:spPr>
                      <wps:txbx>
                        <w:txbxContent>
                          <w:p>
                            <w:pPr>
                              <w:pStyle w:val="122"/>
                              <w:jc w:val="both"/>
                              <w:rPr>
                                <w:szCs w:val="36"/>
                              </w:rPr>
                            </w:pPr>
                            <w:r>
                              <w:rPr>
                                <w:rFonts w:hint="eastAsia"/>
                                <w:szCs w:val="36"/>
                              </w:rPr>
                              <w:t>中</w:t>
                            </w:r>
                            <w:r>
                              <w:rPr>
                                <w:szCs w:val="36"/>
                              </w:rPr>
                              <w:t xml:space="preserve"> </w:t>
                            </w:r>
                            <w:r>
                              <w:rPr>
                                <w:rFonts w:hint="eastAsia"/>
                                <w:szCs w:val="36"/>
                              </w:rPr>
                              <w:t>国</w:t>
                            </w:r>
                            <w:r>
                              <w:rPr>
                                <w:szCs w:val="36"/>
                              </w:rPr>
                              <w:t xml:space="preserve"> </w:t>
                            </w:r>
                            <w:r>
                              <w:rPr>
                                <w:rFonts w:hint="eastAsia"/>
                                <w:szCs w:val="36"/>
                              </w:rPr>
                              <w:t>有</w:t>
                            </w:r>
                            <w:r>
                              <w:rPr>
                                <w:szCs w:val="36"/>
                              </w:rPr>
                              <w:t xml:space="preserve"> </w:t>
                            </w:r>
                            <w:r>
                              <w:rPr>
                                <w:rFonts w:hint="eastAsia"/>
                                <w:szCs w:val="36"/>
                              </w:rPr>
                              <w:t>色</w:t>
                            </w:r>
                            <w:r>
                              <w:rPr>
                                <w:szCs w:val="36"/>
                              </w:rPr>
                              <w:t xml:space="preserve"> </w:t>
                            </w:r>
                            <w:r>
                              <w:rPr>
                                <w:rFonts w:hint="eastAsia"/>
                                <w:szCs w:val="36"/>
                              </w:rPr>
                              <w:t>金</w:t>
                            </w:r>
                            <w:r>
                              <w:rPr>
                                <w:szCs w:val="36"/>
                              </w:rPr>
                              <w:t xml:space="preserve"> </w:t>
                            </w:r>
                            <w:r>
                              <w:rPr>
                                <w:rFonts w:hint="eastAsia"/>
                                <w:szCs w:val="36"/>
                              </w:rPr>
                              <w:t>属</w:t>
                            </w:r>
                            <w:r>
                              <w:rPr>
                                <w:szCs w:val="36"/>
                              </w:rPr>
                              <w:t xml:space="preserve"> </w:t>
                            </w:r>
                            <w:r>
                              <w:rPr>
                                <w:rFonts w:hint="eastAsia"/>
                                <w:szCs w:val="36"/>
                              </w:rPr>
                              <w:t>工</w:t>
                            </w:r>
                            <w:r>
                              <w:rPr>
                                <w:szCs w:val="36"/>
                              </w:rPr>
                              <w:t xml:space="preserve"> </w:t>
                            </w:r>
                            <w:r>
                              <w:rPr>
                                <w:rFonts w:hint="eastAsia"/>
                                <w:szCs w:val="36"/>
                              </w:rPr>
                              <w:t>业</w:t>
                            </w:r>
                            <w:r>
                              <w:rPr>
                                <w:szCs w:val="36"/>
                              </w:rPr>
                              <w:t xml:space="preserve"> </w:t>
                            </w:r>
                            <w:r>
                              <w:rPr>
                                <w:rFonts w:hint="eastAsia"/>
                                <w:szCs w:val="36"/>
                              </w:rPr>
                              <w:t>协</w:t>
                            </w:r>
                            <w:r>
                              <w:rPr>
                                <w:szCs w:val="36"/>
                              </w:rPr>
                              <w:t xml:space="preserve"> </w:t>
                            </w:r>
                            <w:r>
                              <w:rPr>
                                <w:rFonts w:hint="eastAsia"/>
                                <w:szCs w:val="36"/>
                              </w:rPr>
                              <w:t>会</w:t>
                            </w:r>
                            <w:r>
                              <w:rPr>
                                <w:szCs w:val="36"/>
                              </w:rPr>
                              <w:t xml:space="preserve"> </w:t>
                            </w:r>
                          </w:p>
                          <w:p>
                            <w:pPr>
                              <w:pStyle w:val="122"/>
                              <w:jc w:val="both"/>
                              <w:rPr>
                                <w:szCs w:val="36"/>
                              </w:rPr>
                            </w:pPr>
                            <w:r>
                              <w:rPr>
                                <w:rFonts w:hint="eastAsia"/>
                                <w:w w:val="130"/>
                                <w:szCs w:val="36"/>
                              </w:rPr>
                              <w:t>中</w:t>
                            </w:r>
                            <w:r>
                              <w:rPr>
                                <w:w w:val="130"/>
                                <w:szCs w:val="36"/>
                              </w:rPr>
                              <w:t xml:space="preserve">  </w:t>
                            </w:r>
                            <w:r>
                              <w:rPr>
                                <w:rFonts w:hint="eastAsia"/>
                                <w:w w:val="130"/>
                                <w:szCs w:val="36"/>
                              </w:rPr>
                              <w:t>国</w:t>
                            </w:r>
                            <w:r>
                              <w:rPr>
                                <w:w w:val="130"/>
                                <w:szCs w:val="36"/>
                              </w:rPr>
                              <w:t xml:space="preserve">  </w:t>
                            </w:r>
                            <w:r>
                              <w:rPr>
                                <w:rFonts w:hint="eastAsia"/>
                                <w:w w:val="130"/>
                                <w:szCs w:val="36"/>
                              </w:rPr>
                              <w:t>有</w:t>
                            </w:r>
                            <w:r>
                              <w:rPr>
                                <w:w w:val="130"/>
                                <w:szCs w:val="36"/>
                              </w:rPr>
                              <w:t xml:space="preserve">  </w:t>
                            </w:r>
                            <w:r>
                              <w:rPr>
                                <w:rFonts w:hint="eastAsia"/>
                                <w:w w:val="130"/>
                                <w:szCs w:val="36"/>
                              </w:rPr>
                              <w:t>色</w:t>
                            </w:r>
                            <w:r>
                              <w:rPr>
                                <w:w w:val="130"/>
                                <w:szCs w:val="36"/>
                              </w:rPr>
                              <w:t xml:space="preserve">  </w:t>
                            </w:r>
                            <w:r>
                              <w:rPr>
                                <w:rFonts w:hint="eastAsia"/>
                                <w:w w:val="130"/>
                                <w:szCs w:val="36"/>
                              </w:rPr>
                              <w:t>金</w:t>
                            </w:r>
                            <w:r>
                              <w:rPr>
                                <w:w w:val="130"/>
                                <w:szCs w:val="36"/>
                              </w:rPr>
                              <w:t xml:space="preserve">  </w:t>
                            </w:r>
                            <w:r>
                              <w:rPr>
                                <w:rFonts w:hint="eastAsia"/>
                                <w:w w:val="130"/>
                                <w:szCs w:val="36"/>
                              </w:rPr>
                              <w:t>属</w:t>
                            </w:r>
                            <w:r>
                              <w:rPr>
                                <w:w w:val="130"/>
                                <w:szCs w:val="36"/>
                              </w:rPr>
                              <w:t xml:space="preserve">  </w:t>
                            </w:r>
                            <w:r>
                              <w:rPr>
                                <w:rFonts w:hint="eastAsia"/>
                                <w:w w:val="130"/>
                                <w:szCs w:val="36"/>
                              </w:rPr>
                              <w:t>学</w:t>
                            </w:r>
                            <w:r>
                              <w:rPr>
                                <w:w w:val="130"/>
                                <w:szCs w:val="36"/>
                              </w:rPr>
                              <w:t xml:space="preserve">  </w:t>
                            </w:r>
                            <w:r>
                              <w:rPr>
                                <w:rFonts w:hint="eastAsia"/>
                                <w:w w:val="130"/>
                                <w:szCs w:val="36"/>
                              </w:rPr>
                              <w:t>会</w:t>
                            </w:r>
                            <w:r>
                              <w:rPr>
                                <w:w w:val="130"/>
                                <w:szCs w:val="36"/>
                              </w:rPr>
                              <w:t xml:space="preserve"> </w:t>
                            </w:r>
                          </w:p>
                        </w:txbxContent>
                      </wps:txbx>
                      <wps:bodyPr lIns="0" tIns="0" rIns="0" bIns="0" upright="1"/>
                    </wps:wsp>
                  </a:graphicData>
                </a:graphic>
              </wp:anchor>
            </w:drawing>
          </mc:Choice>
          <mc:Fallback>
            <w:pict>
              <v:shape id="_x0000_s1026" o:spid="_x0000_s1026" o:spt="202" type="#_x0000_t202" style="position:absolute;left:0pt;margin-left:-10.55pt;margin-top:647.35pt;height:61.15pt;width:381.1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YE91htoA&#10;AAANAQAADwAAAAAAAAABACAAAAA4AAAAZHJzL2Rvd25yZXYueG1sUEsBAhQAFAAAAAgAh07iQJCJ&#10;PovOAQAAmwMAAA4AAAAAAAAAAQAgAAAAPwEAAGRycy9lMm9Eb2MueG1sUEsFBgAAAAAGAAYAWQEA&#10;AH8FAAAAAA==&#10;">
                <v:fill on="t" focussize="0,0"/>
                <v:stroke on="f"/>
                <v:imagedata o:title=""/>
                <o:lock v:ext="edit" aspectratio="f"/>
                <v:textbox inset="0mm,0mm,0mm,0mm">
                  <w:txbxContent>
                    <w:p>
                      <w:pPr>
                        <w:pStyle w:val="122"/>
                        <w:jc w:val="both"/>
                        <w:rPr>
                          <w:szCs w:val="36"/>
                        </w:rPr>
                      </w:pPr>
                      <w:r>
                        <w:rPr>
                          <w:rFonts w:hint="eastAsia"/>
                          <w:szCs w:val="36"/>
                        </w:rPr>
                        <w:t>中</w:t>
                      </w:r>
                      <w:r>
                        <w:rPr>
                          <w:szCs w:val="36"/>
                        </w:rPr>
                        <w:t xml:space="preserve"> </w:t>
                      </w:r>
                      <w:r>
                        <w:rPr>
                          <w:rFonts w:hint="eastAsia"/>
                          <w:szCs w:val="36"/>
                        </w:rPr>
                        <w:t>国</w:t>
                      </w:r>
                      <w:r>
                        <w:rPr>
                          <w:szCs w:val="36"/>
                        </w:rPr>
                        <w:t xml:space="preserve"> </w:t>
                      </w:r>
                      <w:r>
                        <w:rPr>
                          <w:rFonts w:hint="eastAsia"/>
                          <w:szCs w:val="36"/>
                        </w:rPr>
                        <w:t>有</w:t>
                      </w:r>
                      <w:r>
                        <w:rPr>
                          <w:szCs w:val="36"/>
                        </w:rPr>
                        <w:t xml:space="preserve"> </w:t>
                      </w:r>
                      <w:r>
                        <w:rPr>
                          <w:rFonts w:hint="eastAsia"/>
                          <w:szCs w:val="36"/>
                        </w:rPr>
                        <w:t>色</w:t>
                      </w:r>
                      <w:r>
                        <w:rPr>
                          <w:szCs w:val="36"/>
                        </w:rPr>
                        <w:t xml:space="preserve"> </w:t>
                      </w:r>
                      <w:r>
                        <w:rPr>
                          <w:rFonts w:hint="eastAsia"/>
                          <w:szCs w:val="36"/>
                        </w:rPr>
                        <w:t>金</w:t>
                      </w:r>
                      <w:r>
                        <w:rPr>
                          <w:szCs w:val="36"/>
                        </w:rPr>
                        <w:t xml:space="preserve"> </w:t>
                      </w:r>
                      <w:r>
                        <w:rPr>
                          <w:rFonts w:hint="eastAsia"/>
                          <w:szCs w:val="36"/>
                        </w:rPr>
                        <w:t>属</w:t>
                      </w:r>
                      <w:r>
                        <w:rPr>
                          <w:szCs w:val="36"/>
                        </w:rPr>
                        <w:t xml:space="preserve"> </w:t>
                      </w:r>
                      <w:r>
                        <w:rPr>
                          <w:rFonts w:hint="eastAsia"/>
                          <w:szCs w:val="36"/>
                        </w:rPr>
                        <w:t>工</w:t>
                      </w:r>
                      <w:r>
                        <w:rPr>
                          <w:szCs w:val="36"/>
                        </w:rPr>
                        <w:t xml:space="preserve"> </w:t>
                      </w:r>
                      <w:r>
                        <w:rPr>
                          <w:rFonts w:hint="eastAsia"/>
                          <w:szCs w:val="36"/>
                        </w:rPr>
                        <w:t>业</w:t>
                      </w:r>
                      <w:r>
                        <w:rPr>
                          <w:szCs w:val="36"/>
                        </w:rPr>
                        <w:t xml:space="preserve"> </w:t>
                      </w:r>
                      <w:r>
                        <w:rPr>
                          <w:rFonts w:hint="eastAsia"/>
                          <w:szCs w:val="36"/>
                        </w:rPr>
                        <w:t>协</w:t>
                      </w:r>
                      <w:r>
                        <w:rPr>
                          <w:szCs w:val="36"/>
                        </w:rPr>
                        <w:t xml:space="preserve"> </w:t>
                      </w:r>
                      <w:r>
                        <w:rPr>
                          <w:rFonts w:hint="eastAsia"/>
                          <w:szCs w:val="36"/>
                        </w:rPr>
                        <w:t>会</w:t>
                      </w:r>
                      <w:r>
                        <w:rPr>
                          <w:szCs w:val="36"/>
                        </w:rPr>
                        <w:t xml:space="preserve"> </w:t>
                      </w:r>
                    </w:p>
                    <w:p>
                      <w:pPr>
                        <w:pStyle w:val="122"/>
                        <w:jc w:val="both"/>
                        <w:rPr>
                          <w:szCs w:val="36"/>
                        </w:rPr>
                      </w:pPr>
                      <w:r>
                        <w:rPr>
                          <w:rFonts w:hint="eastAsia"/>
                          <w:w w:val="130"/>
                          <w:szCs w:val="36"/>
                        </w:rPr>
                        <w:t>中</w:t>
                      </w:r>
                      <w:r>
                        <w:rPr>
                          <w:w w:val="130"/>
                          <w:szCs w:val="36"/>
                        </w:rPr>
                        <w:t xml:space="preserve">  </w:t>
                      </w:r>
                      <w:r>
                        <w:rPr>
                          <w:rFonts w:hint="eastAsia"/>
                          <w:w w:val="130"/>
                          <w:szCs w:val="36"/>
                        </w:rPr>
                        <w:t>国</w:t>
                      </w:r>
                      <w:r>
                        <w:rPr>
                          <w:w w:val="130"/>
                          <w:szCs w:val="36"/>
                        </w:rPr>
                        <w:t xml:space="preserve">  </w:t>
                      </w:r>
                      <w:r>
                        <w:rPr>
                          <w:rFonts w:hint="eastAsia"/>
                          <w:w w:val="130"/>
                          <w:szCs w:val="36"/>
                        </w:rPr>
                        <w:t>有</w:t>
                      </w:r>
                      <w:r>
                        <w:rPr>
                          <w:w w:val="130"/>
                          <w:szCs w:val="36"/>
                        </w:rPr>
                        <w:t xml:space="preserve">  </w:t>
                      </w:r>
                      <w:r>
                        <w:rPr>
                          <w:rFonts w:hint="eastAsia"/>
                          <w:w w:val="130"/>
                          <w:szCs w:val="36"/>
                        </w:rPr>
                        <w:t>色</w:t>
                      </w:r>
                      <w:r>
                        <w:rPr>
                          <w:w w:val="130"/>
                          <w:szCs w:val="36"/>
                        </w:rPr>
                        <w:t xml:space="preserve">  </w:t>
                      </w:r>
                      <w:r>
                        <w:rPr>
                          <w:rFonts w:hint="eastAsia"/>
                          <w:w w:val="130"/>
                          <w:szCs w:val="36"/>
                        </w:rPr>
                        <w:t>金</w:t>
                      </w:r>
                      <w:r>
                        <w:rPr>
                          <w:w w:val="130"/>
                          <w:szCs w:val="36"/>
                        </w:rPr>
                        <w:t xml:space="preserve">  </w:t>
                      </w:r>
                      <w:r>
                        <w:rPr>
                          <w:rFonts w:hint="eastAsia"/>
                          <w:w w:val="130"/>
                          <w:szCs w:val="36"/>
                        </w:rPr>
                        <w:t>属</w:t>
                      </w:r>
                      <w:r>
                        <w:rPr>
                          <w:w w:val="130"/>
                          <w:szCs w:val="36"/>
                        </w:rPr>
                        <w:t xml:space="preserve">  </w:t>
                      </w:r>
                      <w:r>
                        <w:rPr>
                          <w:rFonts w:hint="eastAsia"/>
                          <w:w w:val="130"/>
                          <w:szCs w:val="36"/>
                        </w:rPr>
                        <w:t>学</w:t>
                      </w:r>
                      <w:r>
                        <w:rPr>
                          <w:w w:val="130"/>
                          <w:szCs w:val="36"/>
                        </w:rPr>
                        <w:t xml:space="preserve">  </w:t>
                      </w:r>
                      <w:r>
                        <w:rPr>
                          <w:rFonts w:hint="eastAsia"/>
                          <w:w w:val="130"/>
                          <w:szCs w:val="36"/>
                        </w:rPr>
                        <w:t>会</w:t>
                      </w:r>
                      <w:r>
                        <w:rPr>
                          <w:w w:val="130"/>
                          <w:szCs w:val="36"/>
                        </w:rPr>
                        <w:t xml:space="preserve"> </w:t>
                      </w:r>
                    </w:p>
                  </w:txbxContent>
                </v:textbox>
                <w10:anchorlock/>
              </v:shape>
            </w:pict>
          </mc:Fallback>
        </mc:AlternateConten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4"/>
        <w:spacing w:after="0" w:afterLines="0" w:line="360" w:lineRule="auto"/>
        <w:rPr>
          <w:rFonts w:ascii="Times New Roman" w:hAnsi="Times New Roman"/>
        </w:rPr>
      </w:pPr>
      <w:bookmarkStart w:id="14" w:name="BookMark1"/>
      <w:r>
        <w:rPr>
          <w:rFonts w:ascii="Times New Roman" w:hAnsi="Times New Roman"/>
          <w:spacing w:val="320"/>
        </w:rPr>
        <w:t>目</w:t>
      </w:r>
      <w:r>
        <w:rPr>
          <w:rFonts w:ascii="Times New Roman" w:hAnsi="Times New Roman"/>
        </w:rPr>
        <w:t>次</w:t>
      </w:r>
    </w:p>
    <w:p>
      <w:pPr>
        <w:pStyle w:val="20"/>
        <w:tabs>
          <w:tab w:val="right" w:leader="dot" w:pos="9344"/>
        </w:tabs>
        <w:spacing w:line="360" w:lineRule="auto"/>
        <w:rPr>
          <w:rFonts w:ascii="Times New Roman" w:hAnsi="Times New Roman" w:eastAsiaTheme="minorEastAsia"/>
          <w:sz w:val="28"/>
          <w:szCs w:val="24"/>
        </w:rPr>
      </w:pPr>
      <w:r>
        <w:rPr>
          <w:rFonts w:ascii="Times New Roman" w:hAnsi="Times New Roman"/>
          <w:sz w:val="28"/>
          <w:szCs w:val="24"/>
        </w:rPr>
        <w:fldChar w:fldCharType="begin"/>
      </w:r>
      <w:r>
        <w:rPr>
          <w:rFonts w:ascii="Times New Roman" w:hAnsi="Times New Roman"/>
          <w:sz w:val="28"/>
          <w:szCs w:val="24"/>
        </w:rPr>
        <w:instrText xml:space="preserve"> TOC \o "1-1" \h \z </w:instrText>
      </w:r>
      <w:r>
        <w:rPr>
          <w:rFonts w:ascii="Times New Roman" w:hAnsi="Times New Roman"/>
          <w:sz w:val="28"/>
          <w:szCs w:val="24"/>
        </w:rPr>
        <w:fldChar w:fldCharType="separate"/>
      </w:r>
      <w:r>
        <w:fldChar w:fldCharType="begin"/>
      </w:r>
      <w:r>
        <w:instrText xml:space="preserve"> HYPERLINK \l "_Toc142657337" </w:instrText>
      </w:r>
      <w:r>
        <w:fldChar w:fldCharType="separate"/>
      </w:r>
      <w:r>
        <w:rPr>
          <w:rStyle w:val="34"/>
          <w:rFonts w:ascii="Times New Roman"/>
          <w:spacing w:val="320"/>
          <w:sz w:val="28"/>
          <w:szCs w:val="24"/>
        </w:rPr>
        <w:t>前</w:t>
      </w:r>
      <w:r>
        <w:rPr>
          <w:rStyle w:val="34"/>
          <w:rFonts w:ascii="Times New Roman"/>
          <w:sz w:val="28"/>
          <w:szCs w:val="24"/>
        </w:rPr>
        <w:t>言</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_Toc142657337 \h </w:instrText>
      </w:r>
      <w:r>
        <w:rPr>
          <w:rFonts w:ascii="Times New Roman" w:hAnsi="Times New Roman"/>
          <w:sz w:val="28"/>
          <w:szCs w:val="24"/>
        </w:rPr>
        <w:fldChar w:fldCharType="separate"/>
      </w:r>
      <w:r>
        <w:rPr>
          <w:rFonts w:ascii="Times New Roman" w:hAnsi="Times New Roman"/>
          <w:sz w:val="28"/>
          <w:szCs w:val="24"/>
        </w:rPr>
        <w:t>I</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"_Toc142657338" </w:instrText>
      </w:r>
      <w:r>
        <w:fldChar w:fldCharType="separate"/>
      </w:r>
      <w:r>
        <w:rPr>
          <w:rStyle w:val="34"/>
          <w:rFonts w:ascii="Times New Roman"/>
          <w:sz w:val="28"/>
          <w:szCs w:val="24"/>
        </w:rPr>
        <w:t>1 范围</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_Toc142657338 \h </w:instrText>
      </w:r>
      <w:r>
        <w:rPr>
          <w:rFonts w:ascii="Times New Roman" w:hAnsi="Times New Roman"/>
          <w:sz w:val="28"/>
          <w:szCs w:val="24"/>
        </w:rPr>
        <w:fldChar w:fldCharType="separate"/>
      </w:r>
      <w:r>
        <w:rPr>
          <w:rFonts w:ascii="Times New Roman" w:hAnsi="Times New Roman"/>
          <w:sz w:val="28"/>
          <w:szCs w:val="24"/>
        </w:rPr>
        <w:t>- 1 -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"_Toc142657339" </w:instrText>
      </w:r>
      <w:r>
        <w:fldChar w:fldCharType="separate"/>
      </w:r>
      <w:r>
        <w:rPr>
          <w:rStyle w:val="34"/>
          <w:rFonts w:ascii="Times New Roman"/>
          <w:sz w:val="28"/>
          <w:szCs w:val="24"/>
        </w:rPr>
        <w:t>2 规范性引用文件</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_Toc142657339 \h </w:instrText>
      </w:r>
      <w:r>
        <w:rPr>
          <w:rFonts w:ascii="Times New Roman" w:hAnsi="Times New Roman"/>
          <w:sz w:val="28"/>
          <w:szCs w:val="24"/>
        </w:rPr>
        <w:fldChar w:fldCharType="separate"/>
      </w:r>
      <w:r>
        <w:rPr>
          <w:rFonts w:ascii="Times New Roman" w:hAnsi="Times New Roman"/>
          <w:sz w:val="28"/>
          <w:szCs w:val="24"/>
        </w:rPr>
        <w:t>- 1 -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"_Toc142657340" </w:instrText>
      </w:r>
      <w:r>
        <w:fldChar w:fldCharType="separate"/>
      </w:r>
      <w:r>
        <w:rPr>
          <w:rStyle w:val="34"/>
          <w:rFonts w:ascii="Times New Roman"/>
          <w:sz w:val="28"/>
          <w:szCs w:val="24"/>
        </w:rPr>
        <w:t>3 术语和定义</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_Toc142657340 \h </w:instrText>
      </w:r>
      <w:r>
        <w:rPr>
          <w:rFonts w:ascii="Times New Roman" w:hAnsi="Times New Roman"/>
          <w:sz w:val="28"/>
          <w:szCs w:val="24"/>
        </w:rPr>
        <w:fldChar w:fldCharType="separate"/>
      </w:r>
      <w:r>
        <w:rPr>
          <w:rFonts w:ascii="Times New Roman" w:hAnsi="Times New Roman"/>
          <w:sz w:val="28"/>
          <w:szCs w:val="24"/>
        </w:rPr>
        <w:t>- 3 -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"_Toc142657341" </w:instrText>
      </w:r>
      <w:r>
        <w:fldChar w:fldCharType="separate"/>
      </w:r>
      <w:r>
        <w:rPr>
          <w:rStyle w:val="34"/>
          <w:rFonts w:ascii="Times New Roman"/>
          <w:sz w:val="28"/>
          <w:szCs w:val="24"/>
        </w:rPr>
        <w:t>4 总体要求</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_Toc142657341 \h </w:instrText>
      </w:r>
      <w:r>
        <w:rPr>
          <w:rFonts w:ascii="Times New Roman" w:hAnsi="Times New Roman"/>
          <w:sz w:val="28"/>
          <w:szCs w:val="24"/>
        </w:rPr>
        <w:fldChar w:fldCharType="separate"/>
      </w:r>
      <w:r>
        <w:rPr>
          <w:rFonts w:ascii="Times New Roman" w:hAnsi="Times New Roman"/>
          <w:sz w:val="28"/>
          <w:szCs w:val="24"/>
        </w:rPr>
        <w:t>- 4 -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"_Toc142657342" </w:instrText>
      </w:r>
      <w:r>
        <w:fldChar w:fldCharType="separate"/>
      </w:r>
      <w:r>
        <w:rPr>
          <w:rStyle w:val="34"/>
          <w:rFonts w:ascii="Times New Roman"/>
          <w:sz w:val="28"/>
          <w:szCs w:val="24"/>
        </w:rPr>
        <w:t>5 工艺设计要求</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_Toc142657342 \h </w:instrText>
      </w:r>
      <w:r>
        <w:rPr>
          <w:rFonts w:ascii="Times New Roman" w:hAnsi="Times New Roman"/>
          <w:sz w:val="28"/>
          <w:szCs w:val="24"/>
        </w:rPr>
        <w:fldChar w:fldCharType="separate"/>
      </w:r>
      <w:r>
        <w:rPr>
          <w:rFonts w:ascii="Times New Roman" w:hAnsi="Times New Roman"/>
          <w:sz w:val="28"/>
          <w:szCs w:val="24"/>
        </w:rPr>
        <w:t>- 4 -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"_Toc142657343" </w:instrText>
      </w:r>
      <w:r>
        <w:fldChar w:fldCharType="separate"/>
      </w:r>
      <w:r>
        <w:rPr>
          <w:rStyle w:val="34"/>
          <w:rFonts w:ascii="Times New Roman"/>
          <w:sz w:val="28"/>
          <w:szCs w:val="24"/>
        </w:rPr>
        <w:t>6 工艺设备和材质要求</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_Toc142657343 \h </w:instrText>
      </w:r>
      <w:r>
        <w:rPr>
          <w:rFonts w:ascii="Times New Roman" w:hAnsi="Times New Roman"/>
          <w:sz w:val="28"/>
          <w:szCs w:val="24"/>
        </w:rPr>
        <w:fldChar w:fldCharType="separate"/>
      </w:r>
      <w:r>
        <w:rPr>
          <w:rFonts w:ascii="Times New Roman" w:hAnsi="Times New Roman"/>
          <w:sz w:val="28"/>
          <w:szCs w:val="24"/>
        </w:rPr>
        <w:t>- 6 -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"_Toc142657344" </w:instrText>
      </w:r>
      <w:r>
        <w:fldChar w:fldCharType="separate"/>
      </w:r>
      <w:r>
        <w:rPr>
          <w:rStyle w:val="34"/>
          <w:rFonts w:ascii="Times New Roman"/>
          <w:sz w:val="28"/>
          <w:szCs w:val="24"/>
        </w:rPr>
        <w:t>7 检测与监测要求</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_Toc142657344 \h </w:instrText>
      </w:r>
      <w:r>
        <w:rPr>
          <w:rFonts w:ascii="Times New Roman" w:hAnsi="Times New Roman"/>
          <w:sz w:val="28"/>
          <w:szCs w:val="24"/>
        </w:rPr>
        <w:fldChar w:fldCharType="separate"/>
      </w:r>
      <w:r>
        <w:rPr>
          <w:rFonts w:ascii="Times New Roman" w:hAnsi="Times New Roman"/>
          <w:sz w:val="28"/>
          <w:szCs w:val="24"/>
        </w:rPr>
        <w:t>- 7 -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"_Toc142657345" </w:instrText>
      </w:r>
      <w:r>
        <w:fldChar w:fldCharType="separate"/>
      </w:r>
      <w:r>
        <w:rPr>
          <w:rStyle w:val="34"/>
          <w:rFonts w:ascii="Times New Roman"/>
          <w:sz w:val="28"/>
          <w:szCs w:val="24"/>
        </w:rPr>
        <w:t>8 运行与维护</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_Toc142657345 \h </w:instrText>
      </w:r>
      <w:r>
        <w:rPr>
          <w:rFonts w:ascii="Times New Roman" w:hAnsi="Times New Roman"/>
          <w:sz w:val="28"/>
          <w:szCs w:val="24"/>
        </w:rPr>
        <w:fldChar w:fldCharType="separate"/>
      </w:r>
      <w:r>
        <w:rPr>
          <w:rFonts w:ascii="Times New Roman" w:hAnsi="Times New Roman"/>
          <w:sz w:val="28"/>
          <w:szCs w:val="24"/>
        </w:rPr>
        <w:t>- 7 -</w:t>
      </w:r>
      <w:r>
        <w:rPr>
          <w:rFonts w:ascii="Times New Roman" w:hAnsi="Times New Roman"/>
          <w:sz w:val="28"/>
          <w:szCs w:val="24"/>
        </w:rPr>
        <w:fldChar w:fldCharType="end"/>
      </w:r>
      <w:r>
        <w:rPr>
          <w:rFonts w:ascii="Times New Roman" w:hAnsi="Times New Roman"/>
          <w:sz w:val="28"/>
          <w:szCs w:val="24"/>
        </w:rPr>
        <w:fldChar w:fldCharType="end"/>
      </w:r>
    </w:p>
    <w:p>
      <w:pPr>
        <w:pStyle w:val="20"/>
        <w:tabs>
          <w:tab w:val="right" w:leader="dot" w:pos="9344"/>
        </w:tabs>
        <w:spacing w:line="360" w:lineRule="auto"/>
        <w:rPr>
          <w:rFonts w:ascii="Times New Roman" w:hAnsi="Times New Roman" w:eastAsiaTheme="minorEastAsia"/>
          <w:sz w:val="28"/>
          <w:szCs w:val="24"/>
        </w:rPr>
      </w:pPr>
      <w:r>
        <w:fldChar w:fldCharType="begin"/>
      </w:r>
      <w:r>
        <w:instrText xml:space="preserve"> HYPERLINK \l "_Toc142657346" </w:instrText>
      </w:r>
      <w:r>
        <w:fldChar w:fldCharType="separate"/>
      </w:r>
      <w:r>
        <w:rPr>
          <w:rStyle w:val="34"/>
          <w:rFonts w:ascii="Times New Roman"/>
          <w:sz w:val="28"/>
          <w:szCs w:val="24"/>
        </w:rPr>
        <w:t>参考文献</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_Toc142657346 \h </w:instrText>
      </w:r>
      <w:r>
        <w:rPr>
          <w:rFonts w:ascii="Times New Roman" w:hAnsi="Times New Roman"/>
          <w:sz w:val="28"/>
          <w:szCs w:val="24"/>
        </w:rPr>
        <w:fldChar w:fldCharType="separate"/>
      </w:r>
      <w:r>
        <w:rPr>
          <w:rFonts w:ascii="Times New Roman" w:hAnsi="Times New Roman"/>
          <w:sz w:val="28"/>
          <w:szCs w:val="24"/>
        </w:rPr>
        <w:t>- 8 -</w:t>
      </w:r>
      <w:r>
        <w:rPr>
          <w:rFonts w:ascii="Times New Roman" w:hAnsi="Times New Roman"/>
          <w:sz w:val="28"/>
          <w:szCs w:val="24"/>
        </w:rPr>
        <w:fldChar w:fldCharType="end"/>
      </w:r>
      <w:r>
        <w:rPr>
          <w:rFonts w:ascii="Times New Roman" w:hAnsi="Times New Roman"/>
          <w:sz w:val="28"/>
          <w:szCs w:val="24"/>
        </w:rPr>
        <w:fldChar w:fldCharType="end"/>
      </w:r>
    </w:p>
    <w:p>
      <w:pPr>
        <w:pStyle w:val="94"/>
        <w:spacing w:after="0" w:afterLines="0" w:line="360" w:lineRule="auto"/>
        <w:rPr>
          <w:sz w:val="36"/>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r>
        <w:rPr>
          <w:rFonts w:ascii="Times New Roman" w:hAnsi="Times New Roman"/>
          <w:sz w:val="28"/>
          <w:szCs w:val="24"/>
        </w:rPr>
        <w:fldChar w:fldCharType="end"/>
      </w:r>
    </w:p>
    <w:bookmarkEnd w:id="14"/>
    <w:p>
      <w:pPr>
        <w:pStyle w:val="92"/>
        <w:spacing w:after="360"/>
        <w:rPr>
          <w:rFonts w:ascii="Times New Roman"/>
        </w:rPr>
      </w:pPr>
      <w:bookmarkStart w:id="15" w:name="_Toc142657337"/>
      <w:bookmarkStart w:id="16" w:name="BookMark2"/>
      <w:r>
        <w:rPr>
          <w:rFonts w:ascii="Times New Roman"/>
          <w:spacing w:val="320"/>
        </w:rPr>
        <w:t>前</w:t>
      </w:r>
      <w:r>
        <w:rPr>
          <w:rFonts w:ascii="Times New Roman"/>
        </w:rPr>
        <w:t>言</w:t>
      </w:r>
      <w:bookmarkEnd w:id="15"/>
    </w:p>
    <w:p>
      <w:pPr>
        <w:spacing w:line="360" w:lineRule="auto"/>
        <w:ind w:firstLine="420" w:firstLineChars="200"/>
        <w:rPr>
          <w:rFonts w:ascii="Times New Roman" w:hAnsi="Times New Roman"/>
        </w:rPr>
      </w:pPr>
      <w:r>
        <w:rPr>
          <w:rFonts w:ascii="Times New Roman" w:hAnsi="Times New Roman"/>
        </w:rPr>
        <w:t>本文件按照GB/T 1.1-2020《标准化工作导则 第1部分：标准化文件的结构和起草规则》的规定起草。</w:t>
      </w:r>
    </w:p>
    <w:p>
      <w:pPr>
        <w:spacing w:line="360" w:lineRule="auto"/>
        <w:ind w:firstLine="420" w:firstLineChars="200"/>
        <w:rPr>
          <w:rFonts w:ascii="Times New Roman" w:hAnsi="Times New Roman"/>
        </w:rPr>
      </w:pPr>
      <w:r>
        <w:rPr>
          <w:rFonts w:ascii="Times New Roman" w:hAnsi="Times New Roman"/>
        </w:rPr>
        <w:t>请注意本文件的某些内容可能涉及专利。本文件的发布机构不承担识别专利的责任。</w:t>
      </w:r>
    </w:p>
    <w:p>
      <w:pPr>
        <w:spacing w:line="360" w:lineRule="auto"/>
        <w:ind w:firstLine="420" w:firstLineChars="200"/>
        <w:rPr>
          <w:rFonts w:ascii="Times New Roman" w:hAnsi="Times New Roman"/>
        </w:rPr>
      </w:pPr>
      <w:r>
        <w:rPr>
          <w:rFonts w:ascii="Times New Roman" w:hAnsi="Times New Roman"/>
        </w:rPr>
        <w:t>本文件由全国有色金属标准化技术委员会（SAC/TC 243）提出并归口。</w:t>
      </w:r>
    </w:p>
    <w:p>
      <w:pPr>
        <w:spacing w:line="360" w:lineRule="auto"/>
        <w:ind w:firstLine="420" w:firstLineChars="200"/>
        <w:rPr>
          <w:rFonts w:ascii="Times New Roman" w:hAnsi="Times New Roman"/>
        </w:rPr>
      </w:pPr>
      <w:r>
        <w:rPr>
          <w:rFonts w:ascii="Times New Roman" w:hAnsi="Times New Roman"/>
        </w:rPr>
        <w:t>本文件起草单位：赛恩斯环保股份有限公司、中南大学、株洲冶炼集团股份有限公司、中国恩菲工程技术有限公司、中金岭南有色金属股份有限公司、安阳岷山有色金属有限责任公司。</w:t>
      </w:r>
    </w:p>
    <w:p>
      <w:pPr>
        <w:spacing w:line="360" w:lineRule="auto"/>
        <w:ind w:firstLine="420" w:firstLineChars="200"/>
        <w:rPr>
          <w:rFonts w:ascii="Times New Roman" w:hAnsi="Times New Roman"/>
        </w:rPr>
      </w:pPr>
      <w:r>
        <w:rPr>
          <w:rFonts w:ascii="Times New Roman" w:hAnsi="Times New Roman"/>
        </w:rPr>
        <w:t xml:space="preserve">本文件主要起草人： </w:t>
      </w:r>
    </w:p>
    <w:p>
      <w:pPr>
        <w:pStyle w:val="59"/>
        <w:ind w:firstLine="420"/>
        <w:rPr>
          <w:rFonts w:ascii="Times New Roman"/>
        </w:rPr>
      </w:pPr>
    </w:p>
    <w:p>
      <w:pPr>
        <w:pStyle w:val="59"/>
        <w:ind w:firstLine="420"/>
        <w:rPr>
          <w:rFonts w:ascii="Times New Roman"/>
        </w:rPr>
      </w:pPr>
    </w:p>
    <w:p/>
    <w:p/>
    <w:p/>
    <w:p/>
    <w:p/>
    <w:p/>
    <w:p/>
    <w:p/>
    <w:p/>
    <w:p>
      <w:pPr>
        <w:tabs>
          <w:tab w:val="center" w:pos="4677"/>
        </w:tabs>
        <w:sectPr>
          <w:pgSz w:w="11906" w:h="16838"/>
          <w:pgMar w:top="567" w:right="1134" w:bottom="1134" w:left="1134" w:header="1418" w:footer="1134" w:gutter="284"/>
          <w:pgNumType w:fmt="upperRoman" w:start="1"/>
          <w:cols w:space="425" w:num="1"/>
          <w:formProt w:val="0"/>
          <w:docGrid w:linePitch="312" w:charSpace="0"/>
        </w:sectPr>
      </w:pPr>
      <w:r>
        <w:tab/>
      </w:r>
    </w:p>
    <w:bookmarkEnd w:id="16"/>
    <w:p>
      <w:pPr>
        <w:spacing w:line="20" w:lineRule="exact"/>
        <w:jc w:val="center"/>
        <w:rPr>
          <w:rFonts w:ascii="Times New Roman" w:hAnsi="Times New Roman" w:eastAsia="黑体"/>
          <w:sz w:val="32"/>
          <w:szCs w:val="32"/>
        </w:rPr>
      </w:pPr>
      <w:bookmarkStart w:id="17"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514DCE07A708478CAC98E4F85C18AAC5"/>
        </w:placeholder>
      </w:sdtPr>
      <w:sdtEndPr>
        <w:rPr>
          <w:rFonts w:ascii="Times New Roman" w:hAnsi="Times New Roman"/>
        </w:rPr>
      </w:sdtEndPr>
      <w:sdtContent>
        <w:p>
          <w:pPr>
            <w:pStyle w:val="181"/>
            <w:spacing w:before="436" w:beforeLines="182" w:after="528" w:afterLines="220"/>
            <w:rPr>
              <w:rFonts w:ascii="Times New Roman" w:hAnsi="Times New Roman"/>
            </w:rPr>
          </w:pPr>
          <w:bookmarkStart w:id="18" w:name="NEW_STAND_NAME"/>
          <w:r>
            <w:rPr>
              <w:rFonts w:ascii="Times New Roman" w:hAnsi="Times New Roman"/>
            </w:rPr>
            <w:t>锌</w:t>
          </w:r>
          <w:r>
            <w:rPr>
              <w:rFonts w:hint="eastAsia" w:ascii="Times New Roman" w:hAnsi="Times New Roman"/>
            </w:rPr>
            <w:t>冶炼</w:t>
          </w:r>
          <w:r>
            <w:rPr>
              <w:rFonts w:ascii="Times New Roman" w:hAnsi="Times New Roman"/>
            </w:rPr>
            <w:t>污酸资源化回收利用技术规范</w:t>
          </w:r>
        </w:p>
      </w:sdtContent>
    </w:sdt>
    <w:bookmarkEnd w:id="18"/>
    <w:p>
      <w:pPr>
        <w:pStyle w:val="107"/>
        <w:spacing w:before="240" w:after="240"/>
        <w:rPr>
          <w:rFonts w:ascii="Times New Roman"/>
        </w:rPr>
      </w:pPr>
      <w:bookmarkStart w:id="19" w:name="_Toc26986771"/>
      <w:bookmarkStart w:id="20" w:name="_Toc26718930"/>
      <w:bookmarkStart w:id="21" w:name="_Toc24884211"/>
      <w:bookmarkStart w:id="22" w:name="_Toc17233325"/>
      <w:bookmarkStart w:id="23" w:name="_Toc26648465"/>
      <w:bookmarkStart w:id="24" w:name="_Toc142657338"/>
      <w:bookmarkStart w:id="25" w:name="_Toc26986530"/>
      <w:bookmarkStart w:id="26" w:name="_Toc71206719"/>
      <w:bookmarkStart w:id="27" w:name="_Toc17233333"/>
      <w:bookmarkStart w:id="28" w:name="_Toc24884218"/>
      <w:r>
        <w:rPr>
          <w:rFonts w:ascii="Times New Roman"/>
        </w:rPr>
        <w:t>范围</w:t>
      </w:r>
      <w:bookmarkEnd w:id="19"/>
      <w:bookmarkEnd w:id="20"/>
      <w:bookmarkEnd w:id="21"/>
      <w:bookmarkEnd w:id="22"/>
      <w:bookmarkEnd w:id="23"/>
      <w:bookmarkEnd w:id="24"/>
      <w:bookmarkEnd w:id="25"/>
      <w:bookmarkEnd w:id="26"/>
      <w:bookmarkEnd w:id="27"/>
      <w:bookmarkEnd w:id="28"/>
    </w:p>
    <w:p>
      <w:pPr>
        <w:widowControl/>
        <w:ind w:firstLine="420" w:firstLineChars="200"/>
        <w:jc w:val="left"/>
        <w:rPr>
          <w:rFonts w:ascii="Times New Roman" w:hAnsi="Times New Roman"/>
        </w:rPr>
      </w:pPr>
      <w:bookmarkStart w:id="29" w:name="_Toc26718931"/>
      <w:bookmarkStart w:id="30" w:name="_Toc26986531"/>
      <w:bookmarkStart w:id="31" w:name="_Toc24884219"/>
      <w:bookmarkStart w:id="32" w:name="_Toc26986772"/>
      <w:bookmarkStart w:id="33" w:name="_Toc17233326"/>
      <w:bookmarkStart w:id="34" w:name="_Toc71206720"/>
      <w:bookmarkStart w:id="35" w:name="_Toc26648466"/>
      <w:bookmarkStart w:id="36" w:name="_Toc17233334"/>
      <w:bookmarkStart w:id="37" w:name="_Toc24884212"/>
      <w:r>
        <w:rPr>
          <w:rFonts w:ascii="Times New Roman" w:hAnsi="Times New Roman"/>
        </w:rPr>
        <w:t>本文件规定了锌</w:t>
      </w:r>
      <w:r>
        <w:rPr>
          <w:rFonts w:hint="eastAsia" w:ascii="Times New Roman" w:hAnsi="Times New Roman"/>
        </w:rPr>
        <w:t>冶炼</w:t>
      </w:r>
      <w:r>
        <w:rPr>
          <w:rFonts w:ascii="Times New Roman" w:hAnsi="Times New Roman"/>
        </w:rPr>
        <w:t>污酸资源化回收利用技术的</w:t>
      </w:r>
      <w:r>
        <w:rPr>
          <w:rFonts w:hint="eastAsia" w:ascii="Times New Roman" w:hAnsi="Times New Roman"/>
        </w:rPr>
        <w:t>总体</w:t>
      </w:r>
      <w:r>
        <w:rPr>
          <w:rFonts w:ascii="Times New Roman" w:hAnsi="Times New Roman"/>
        </w:rPr>
        <w:t>要求</w:t>
      </w:r>
      <w:r>
        <w:rPr>
          <w:rFonts w:hint="eastAsia" w:ascii="Times New Roman" w:hAnsi="Times New Roman"/>
        </w:rPr>
        <w:t>、工艺设计要求、工艺设备和材质要求、检测与监测要求和运行与维护</w:t>
      </w:r>
      <w:r>
        <w:rPr>
          <w:rFonts w:ascii="Times New Roman" w:hAnsi="Times New Roman"/>
        </w:rPr>
        <w:t>。</w:t>
      </w:r>
    </w:p>
    <w:p>
      <w:pPr>
        <w:widowControl/>
        <w:ind w:firstLine="420" w:firstLineChars="200"/>
        <w:jc w:val="left"/>
        <w:rPr>
          <w:rFonts w:ascii="Times New Roman" w:hAnsi="Times New Roman"/>
        </w:rPr>
      </w:pPr>
      <w:r>
        <w:rPr>
          <w:rFonts w:ascii="Times New Roman" w:hAnsi="Times New Roman"/>
        </w:rPr>
        <w:t>本文件适用于以高效回收有价金属、硫酸和氟氯等资源为目的的锌</w:t>
      </w:r>
      <w:r>
        <w:rPr>
          <w:rFonts w:hint="eastAsia" w:ascii="Times New Roman" w:hAnsi="Times New Roman"/>
        </w:rPr>
        <w:t>冶炼</w:t>
      </w:r>
      <w:r>
        <w:rPr>
          <w:rFonts w:ascii="Times New Roman" w:hAnsi="Times New Roman"/>
        </w:rPr>
        <w:t>污酸资源化回收利用技术，可</w:t>
      </w:r>
      <w:r>
        <w:rPr>
          <w:rFonts w:hint="eastAsia" w:ascii="Times New Roman" w:hAnsi="Times New Roman"/>
        </w:rPr>
        <w:t>指导</w:t>
      </w:r>
      <w:r>
        <w:rPr>
          <w:rFonts w:ascii="Times New Roman" w:hAnsi="Times New Roman"/>
        </w:rPr>
        <w:t>锌冶炼企业污酸资源化</w:t>
      </w:r>
      <w:r>
        <w:rPr>
          <w:rFonts w:hint="eastAsia" w:ascii="Times New Roman" w:hAnsi="Times New Roman"/>
        </w:rPr>
        <w:t>处理</w:t>
      </w:r>
      <w:r>
        <w:rPr>
          <w:rFonts w:ascii="Times New Roman" w:hAnsi="Times New Roman"/>
        </w:rPr>
        <w:t>及运行管理。</w:t>
      </w:r>
    </w:p>
    <w:p>
      <w:pPr>
        <w:pStyle w:val="107"/>
        <w:spacing w:before="240" w:after="240"/>
        <w:rPr>
          <w:rFonts w:ascii="Times New Roman"/>
        </w:rPr>
      </w:pPr>
      <w:bookmarkStart w:id="38" w:name="_Toc142657339"/>
      <w:r>
        <w:rPr>
          <w:rFonts w:ascii="Times New Roman"/>
        </w:rPr>
        <w:t>规范性引用文件</w:t>
      </w:r>
      <w:bookmarkEnd w:id="29"/>
      <w:bookmarkEnd w:id="30"/>
      <w:bookmarkEnd w:id="31"/>
      <w:bookmarkEnd w:id="32"/>
      <w:bookmarkEnd w:id="33"/>
      <w:bookmarkEnd w:id="34"/>
      <w:bookmarkEnd w:id="35"/>
      <w:bookmarkEnd w:id="36"/>
      <w:bookmarkEnd w:id="37"/>
      <w:bookmarkEnd w:id="38"/>
    </w:p>
    <w:p>
      <w:pPr>
        <w:widowControl/>
        <w:ind w:firstLine="420" w:firstLineChars="200"/>
        <w:jc w:val="left"/>
        <w:rPr>
          <w:rFonts w:ascii="Times New Roman" w:hAns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20" w:firstLineChars="200"/>
        <w:jc w:val="left"/>
        <w:rPr>
          <w:rFonts w:ascii="Times New Roman" w:hAnsi="Times New Roman"/>
        </w:rPr>
      </w:pPr>
      <w:r>
        <w:rPr>
          <w:rFonts w:ascii="Times New Roman" w:hAnsi="Times New Roman"/>
        </w:rPr>
        <w:t>GBZ 1 工业企业设计卫生标准</w:t>
      </w:r>
    </w:p>
    <w:p>
      <w:pPr>
        <w:widowControl/>
        <w:ind w:firstLine="420" w:firstLineChars="200"/>
        <w:jc w:val="left"/>
        <w:rPr>
          <w:rFonts w:ascii="Times New Roman" w:hAnsi="Times New Roman"/>
        </w:rPr>
      </w:pPr>
      <w:r>
        <w:rPr>
          <w:rFonts w:ascii="Times New Roman" w:hAnsi="Times New Roman"/>
        </w:rPr>
        <w:t>GB/T 12459 钢制对焊无缝管件</w:t>
      </w:r>
    </w:p>
    <w:p>
      <w:pPr>
        <w:widowControl/>
        <w:ind w:firstLine="420" w:firstLineChars="200"/>
        <w:jc w:val="left"/>
        <w:rPr>
          <w:rFonts w:ascii="Times New Roman" w:hAnsi="Times New Roman"/>
        </w:rPr>
      </w:pPr>
      <w:r>
        <w:rPr>
          <w:rFonts w:ascii="Times New Roman"/>
          <w:color w:val="000000" w:themeColor="text1"/>
          <w14:textFill>
            <w14:solidFill>
              <w14:schemeClr w14:val="tx1"/>
            </w14:solidFill>
          </w14:textFill>
        </w:rPr>
        <w:t>GB14554-93</w:t>
      </w:r>
      <w:r>
        <w:t>恶臭污染物排放标准</w:t>
      </w:r>
    </w:p>
    <w:p>
      <w:pPr>
        <w:widowControl/>
        <w:ind w:firstLine="420" w:firstLineChars="200"/>
        <w:jc w:val="left"/>
        <w:rPr>
          <w:rFonts w:ascii="Times New Roman" w:hAnsi="Times New Roman"/>
        </w:rPr>
      </w:pPr>
      <w:r>
        <w:rPr>
          <w:rFonts w:ascii="Times New Roman" w:hAnsi="Times New Roman"/>
        </w:rPr>
        <w:t>GB 150</w:t>
      </w:r>
      <w:r>
        <w:rPr>
          <w:rFonts w:hint="eastAsia" w:ascii="Times New Roman" w:hAnsi="Times New Roman"/>
        </w:rPr>
        <w:t>（所有部分）</w:t>
      </w:r>
      <w:r>
        <w:rPr>
          <w:rFonts w:ascii="Times New Roman" w:hAnsi="Times New Roman"/>
        </w:rPr>
        <w:t xml:space="preserve"> 压力容器</w:t>
      </w:r>
    </w:p>
    <w:p>
      <w:pPr>
        <w:widowControl/>
        <w:ind w:firstLine="420" w:firstLineChars="200"/>
        <w:jc w:val="left"/>
        <w:rPr>
          <w:rFonts w:ascii="Times New Roman" w:hAnsi="Times New Roman"/>
        </w:rPr>
      </w:pPr>
      <w:r>
        <w:rPr>
          <w:rFonts w:ascii="Times New Roman" w:hAnsi="Times New Roman"/>
        </w:rPr>
        <w:t>GBZ 158 工业场所职业病危害警示标识</w:t>
      </w:r>
    </w:p>
    <w:p>
      <w:pPr>
        <w:widowControl/>
        <w:ind w:firstLine="420" w:firstLineChars="200"/>
        <w:jc w:val="left"/>
        <w:rPr>
          <w:rFonts w:ascii="Times New Roman" w:hAnsi="Times New Roman"/>
        </w:rPr>
      </w:pPr>
      <w:r>
        <w:rPr>
          <w:rFonts w:ascii="Times New Roman" w:hAnsi="Times New Roman"/>
        </w:rPr>
        <w:t>GB 18597 危险废物贮存污染控制标准</w:t>
      </w:r>
    </w:p>
    <w:p>
      <w:pPr>
        <w:widowControl/>
        <w:ind w:firstLine="420" w:firstLineChars="200"/>
        <w:jc w:val="left"/>
        <w:rPr>
          <w:rFonts w:ascii="Times New Roman" w:hAnsi="Times New Roman"/>
        </w:rPr>
      </w:pPr>
      <w:r>
        <w:rPr>
          <w:rFonts w:ascii="Times New Roman" w:hAnsi="Times New Roman"/>
        </w:rPr>
        <w:t>GB 18598 危险废物填埋污染控制标准</w:t>
      </w:r>
    </w:p>
    <w:p>
      <w:pPr>
        <w:widowControl/>
        <w:ind w:firstLine="420" w:firstLineChars="200"/>
        <w:jc w:val="left"/>
        <w:rPr>
          <w:rFonts w:ascii="Times New Roman" w:hAnsi="Times New Roman"/>
        </w:rPr>
      </w:pPr>
      <w:r>
        <w:rPr>
          <w:rFonts w:ascii="Times New Roman" w:hAnsi="Times New Roman"/>
        </w:rPr>
        <w:t>GB 18599 一般工业</w:t>
      </w:r>
      <w:r>
        <w:rPr>
          <w:rFonts w:hint="eastAsia" w:ascii="Times New Roman" w:hAnsi="Times New Roman"/>
        </w:rPr>
        <w:t>固体废物</w:t>
      </w:r>
      <w:r>
        <w:rPr>
          <w:rFonts w:ascii="Times New Roman" w:hAnsi="Times New Roman"/>
        </w:rPr>
        <w:t>贮存、处置场污染控制标准</w:t>
      </w:r>
    </w:p>
    <w:p>
      <w:pPr>
        <w:widowControl/>
        <w:ind w:firstLine="420" w:firstLineChars="200"/>
        <w:jc w:val="left"/>
        <w:rPr>
          <w:rFonts w:ascii="Times New Roman" w:hAnsi="Times New Roman"/>
        </w:rPr>
      </w:pPr>
      <w:r>
        <w:rPr>
          <w:rFonts w:ascii="Times New Roman" w:hAnsi="Times New Roman"/>
        </w:rPr>
        <w:t>GBZ 2.1 工业场所有害因素职业接触限值 第1部分：化学有害因素</w:t>
      </w:r>
    </w:p>
    <w:p>
      <w:pPr>
        <w:widowControl/>
        <w:ind w:firstLine="420" w:firstLineChars="200"/>
        <w:jc w:val="left"/>
        <w:rPr>
          <w:rFonts w:ascii="Times New Roman" w:hAnsi="Times New Roman"/>
        </w:rPr>
      </w:pPr>
      <w:r>
        <w:rPr>
          <w:rFonts w:ascii="Times New Roman" w:hAnsi="Times New Roman"/>
        </w:rPr>
        <w:t>GBZ 2.2 工业场所有害因素职业接触限值 第2部分：物理因素</w:t>
      </w:r>
    </w:p>
    <w:p>
      <w:pPr>
        <w:widowControl/>
        <w:ind w:firstLine="420" w:firstLineChars="200"/>
        <w:jc w:val="left"/>
        <w:rPr>
          <w:rFonts w:ascii="Times New Roman" w:hAnsi="Times New Roman"/>
        </w:rPr>
      </w:pPr>
      <w:r>
        <w:rPr>
          <w:rFonts w:ascii="Times New Roman" w:hAnsi="Times New Roman"/>
        </w:rPr>
        <w:t>GB/T 2346 液压气动系统及元件 公称压力系列</w:t>
      </w:r>
    </w:p>
    <w:p>
      <w:pPr>
        <w:widowControl/>
        <w:ind w:firstLine="420" w:firstLineChars="200"/>
        <w:jc w:val="left"/>
        <w:rPr>
          <w:rFonts w:hint="eastAsia" w:ascii="Times New Roman" w:hAnsi="Times New Roman"/>
        </w:rPr>
      </w:pPr>
      <w:r>
        <w:rPr>
          <w:rFonts w:ascii="Times New Roman"/>
          <w:color w:val="000000" w:themeColor="text1"/>
          <w14:textFill>
            <w14:solidFill>
              <w14:schemeClr w14:val="tx1"/>
            </w14:solidFill>
          </w14:textFill>
        </w:rPr>
        <w:t>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25466-2010 铅、锌工业污染物排放标准 </w:t>
      </w:r>
    </w:p>
    <w:p>
      <w:pPr>
        <w:widowControl/>
        <w:ind w:firstLine="420" w:firstLineChars="200"/>
        <w:jc w:val="left"/>
        <w:rPr>
          <w:rFonts w:ascii="Times New Roman" w:hAnsi="Times New Roman"/>
        </w:rPr>
      </w:pPr>
      <w:r>
        <w:rPr>
          <w:rFonts w:hint="eastAsia" w:ascii="Times New Roman" w:hAnsi="Times New Roman"/>
        </w:rPr>
        <w:t>G</w:t>
      </w:r>
      <w:r>
        <w:rPr>
          <w:rFonts w:ascii="Times New Roman" w:hAnsi="Times New Roman"/>
        </w:rPr>
        <w:t>B/T 26520-2021 工业氯化钙</w:t>
      </w:r>
      <w:r>
        <w:rPr>
          <w:rFonts w:hint="eastAsia" w:ascii="Times New Roman" w:hAnsi="Times New Roman"/>
        </w:rPr>
        <w:t xml:space="preserve"> </w:t>
      </w:r>
      <w:r>
        <w:rPr>
          <w:rFonts w:ascii="Times New Roman" w:hAnsi="Times New Roman"/>
        </w:rPr>
        <w:t xml:space="preserve">  </w:t>
      </w:r>
    </w:p>
    <w:p>
      <w:pPr>
        <w:widowControl/>
        <w:ind w:firstLine="420" w:firstLineChars="200"/>
        <w:jc w:val="left"/>
        <w:rPr>
          <w:rFonts w:ascii="Times New Roman" w:hAnsi="Times New Roman"/>
        </w:rPr>
      </w:pPr>
      <w:r>
        <w:rPr>
          <w:rFonts w:ascii="Times New Roman" w:hAnsi="Times New Roman"/>
        </w:rPr>
        <w:t>GB 34330 固体废物鉴别标准</w:t>
      </w:r>
      <w:r>
        <w:rPr>
          <w:rFonts w:hint="eastAsia" w:ascii="Times New Roman" w:hAnsi="Times New Roman"/>
        </w:rPr>
        <w:t>通则</w:t>
      </w:r>
    </w:p>
    <w:p>
      <w:pPr>
        <w:widowControl/>
        <w:ind w:firstLine="420" w:firstLineChars="200"/>
        <w:jc w:val="left"/>
        <w:rPr>
          <w:rFonts w:ascii="Times New Roman" w:hAnsi="Times New Roman"/>
        </w:rPr>
      </w:pPr>
      <w:r>
        <w:rPr>
          <w:rFonts w:ascii="Times New Roman" w:hAnsi="Times New Roman"/>
        </w:rPr>
        <w:t>GB 5085.1 危险废物鉴别标准腐蚀性鉴别</w:t>
      </w:r>
    </w:p>
    <w:p>
      <w:pPr>
        <w:widowControl/>
        <w:ind w:firstLine="420" w:firstLineChars="200"/>
        <w:jc w:val="left"/>
        <w:rPr>
          <w:rFonts w:ascii="Times New Roman" w:hAnsi="Times New Roman"/>
        </w:rPr>
      </w:pPr>
      <w:r>
        <w:rPr>
          <w:rFonts w:ascii="Times New Roman" w:hAnsi="Times New Roman"/>
        </w:rPr>
        <w:t>GB 5085.3 危险废物鉴别标准浸出毒性鉴别</w:t>
      </w:r>
    </w:p>
    <w:p>
      <w:pPr>
        <w:widowControl/>
        <w:ind w:firstLine="420" w:firstLineChars="200"/>
        <w:jc w:val="left"/>
        <w:rPr>
          <w:rFonts w:ascii="Times New Roman" w:hAnsi="Times New Roman"/>
        </w:rPr>
      </w:pPr>
      <w:r>
        <w:rPr>
          <w:rFonts w:ascii="Times New Roman" w:hAnsi="Times New Roman"/>
        </w:rPr>
        <w:t>GB 5086.1 固体废物浸出毒性浸出方法 翻转法</w:t>
      </w:r>
    </w:p>
    <w:p>
      <w:pPr>
        <w:widowControl/>
        <w:ind w:firstLine="420" w:firstLineChars="200"/>
        <w:jc w:val="left"/>
        <w:rPr>
          <w:rFonts w:ascii="Times New Roman" w:hAnsi="Times New Roman"/>
        </w:rPr>
      </w:pPr>
      <w:r>
        <w:rPr>
          <w:rFonts w:hint="eastAsia" w:ascii="Times New Roman"/>
          <w:color w:val="000000" w:themeColor="text1"/>
          <w14:textFill>
            <w14:solidFill>
              <w14:schemeClr w14:val="tx1"/>
            </w14:solidFill>
          </w14:textFill>
        </w:rPr>
        <w:t>G</w:t>
      </w:r>
      <w:r>
        <w:rPr>
          <w:rFonts w:ascii="Times New Roman"/>
          <w:color w:val="000000" w:themeColor="text1"/>
          <w14:textFill>
            <w14:solidFill>
              <w14:schemeClr w14:val="tx1"/>
            </w14:solidFill>
          </w14:textFill>
        </w:rPr>
        <w:t>B/T 6009-2014 工业无水硫酸钠</w:t>
      </w:r>
    </w:p>
    <w:p>
      <w:pPr>
        <w:widowControl/>
        <w:ind w:firstLine="420" w:firstLineChars="20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7475-87</w:t>
      </w:r>
      <w:r>
        <w:rPr>
          <w:rFonts w:hint="eastAsia" w:ascii="Times New Roman"/>
          <w:color w:val="000000" w:themeColor="text1"/>
          <w14:textFill>
            <w14:solidFill>
              <w14:schemeClr w14:val="tx1"/>
            </w14:solidFill>
          </w14:textFill>
        </w:rPr>
        <w:t xml:space="preserve"> 水质铜、锌、铅、镉的测定 原子吸收分光光度法</w:t>
      </w:r>
    </w:p>
    <w:p>
      <w:pPr>
        <w:widowControl/>
        <w:ind w:firstLine="420" w:firstLineChars="200"/>
        <w:jc w:val="left"/>
        <w:rPr>
          <w:rFonts w:ascii="Times New Roman" w:hAnsi="Times New Roman"/>
        </w:rPr>
      </w:pPr>
      <w:r>
        <w:rPr>
          <w:rFonts w:ascii="Times New Roman" w:hAnsi="Times New Roman"/>
        </w:rPr>
        <w:t>HG 20536 聚四氟乙烯衬里设备</w:t>
      </w:r>
    </w:p>
    <w:p>
      <w:pPr>
        <w:widowControl/>
        <w:ind w:firstLine="420" w:firstLineChars="200"/>
        <w:jc w:val="left"/>
        <w:rPr>
          <w:rFonts w:ascii="Times New Roman" w:hAnsi="Times New Roman"/>
        </w:rPr>
      </w:pPr>
      <w:r>
        <w:rPr>
          <w:rFonts w:ascii="Times New Roman" w:hAnsi="Times New Roman"/>
        </w:rPr>
        <w:t>HG/T 20677 橡胶衬里化工设备设计规范</w:t>
      </w:r>
    </w:p>
    <w:p>
      <w:pPr>
        <w:widowControl/>
        <w:ind w:firstLine="420" w:firstLineChars="200"/>
        <w:jc w:val="left"/>
        <w:rPr>
          <w:rFonts w:ascii="Times New Roman" w:hAnsi="Times New Roman"/>
        </w:rPr>
      </w:pPr>
      <w:r>
        <w:rPr>
          <w:rFonts w:ascii="Times New Roman" w:hAnsi="Times New Roman"/>
        </w:rPr>
        <w:t>HG/T 20678 衬里钢壳设计技术规定</w:t>
      </w:r>
    </w:p>
    <w:p>
      <w:pPr>
        <w:widowControl/>
        <w:ind w:firstLine="420" w:firstLineChars="200"/>
        <w:jc w:val="left"/>
        <w:rPr>
          <w:rFonts w:ascii="Times New Roman" w:hAnsi="Times New Roman"/>
        </w:rPr>
      </w:pPr>
      <w:r>
        <w:rPr>
          <w:rFonts w:ascii="Times New Roman" w:hAnsi="Times New Roman"/>
        </w:rPr>
        <w:t>HG/T 20679 化工设备、管道外防腐设计条件</w:t>
      </w:r>
    </w:p>
    <w:p>
      <w:pPr>
        <w:widowControl/>
        <w:ind w:firstLine="420" w:firstLineChars="200"/>
        <w:jc w:val="left"/>
        <w:rPr>
          <w:rFonts w:ascii="Times New Roman" w:hAnsi="Times New Roman"/>
        </w:rPr>
      </w:pPr>
      <w:r>
        <w:rPr>
          <w:rFonts w:hint="eastAsia" w:ascii="Times New Roman" w:hAnsi="Times New Roman"/>
        </w:rPr>
        <w:t>H</w:t>
      </w:r>
      <w:r>
        <w:rPr>
          <w:rFonts w:ascii="Times New Roman" w:hAnsi="Times New Roman"/>
        </w:rPr>
        <w:t>J 298 危险废物鉴别技术规范</w:t>
      </w:r>
    </w:p>
    <w:p>
      <w:pPr>
        <w:widowControl/>
        <w:ind w:firstLine="420" w:firstLineChars="200"/>
        <w:jc w:val="left"/>
        <w:rPr>
          <w:rFonts w:ascii="Times New Roman" w:hAnsi="Times New Roman"/>
        </w:rPr>
      </w:pPr>
      <w:r>
        <w:rPr>
          <w:rFonts w:ascii="Times New Roman" w:hAnsi="Times New Roman"/>
        </w:rPr>
        <w:t>HJ 557 固体废物浸出毒性浸出方法水平振荡法</w:t>
      </w:r>
    </w:p>
    <w:p>
      <w:pPr>
        <w:widowControl/>
        <w:ind w:firstLine="420" w:firstLineChars="20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HJ</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694 </w:t>
      </w:r>
      <w:r>
        <w:rPr>
          <w:rFonts w:hint="eastAsia" w:ascii="Times New Roman"/>
          <w:color w:val="000000" w:themeColor="text1"/>
          <w14:textFill>
            <w14:solidFill>
              <w14:schemeClr w14:val="tx1"/>
            </w14:solidFill>
          </w14:textFill>
        </w:rPr>
        <w:t>水质汞、砷、硒、铋、锑的测定 原子荧光法</w:t>
      </w:r>
    </w:p>
    <w:p>
      <w:pPr>
        <w:widowControl/>
        <w:ind w:firstLine="420" w:firstLineChars="20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HJ 863.1 </w:t>
      </w:r>
      <w:r>
        <w:rPr>
          <w:rFonts w:hint="eastAsia" w:ascii="Times New Roman"/>
          <w:color w:val="000000" w:themeColor="text1"/>
          <w14:textFill>
            <w14:solidFill>
              <w14:schemeClr w14:val="tx1"/>
            </w14:solidFill>
          </w14:textFill>
        </w:rPr>
        <w:t>排污许可证申请与核发技术规范 有色金属工业—铅锌冶炼</w:t>
      </w:r>
    </w:p>
    <w:p>
      <w:pPr>
        <w:widowControl/>
        <w:ind w:firstLine="420" w:firstLineChars="200"/>
        <w:jc w:val="left"/>
        <w:rPr>
          <w:rFonts w:hint="eastAsia" w:ascii="Times New Roman" w:hAnsi="Times New Roman"/>
        </w:rPr>
      </w:pPr>
      <w:r>
        <w:rPr>
          <w:rFonts w:ascii="Times New Roman" w:hAnsi="Times New Roman"/>
        </w:rPr>
        <w:t>HJ 2042 危险废物处置工程技术导则</w:t>
      </w:r>
    </w:p>
    <w:p>
      <w:pPr>
        <w:widowControl/>
        <w:ind w:firstLine="420" w:firstLineChars="200"/>
        <w:jc w:val="left"/>
        <w:rPr>
          <w:rFonts w:ascii="Times New Roman" w:hAnsi="Times New Roman"/>
        </w:rPr>
      </w:pPr>
      <w:r>
        <w:rPr>
          <w:rFonts w:ascii="Times New Roman" w:hAnsi="Times New Roman"/>
        </w:rPr>
        <w:t>HY/T 034.3 电渗析技术</w:t>
      </w:r>
      <w:r>
        <w:rPr>
          <w:rFonts w:hint="eastAsia" w:ascii="Times New Roman" w:hAnsi="Times New Roman"/>
        </w:rPr>
        <w:t xml:space="preserve"> </w:t>
      </w:r>
      <w:r>
        <w:rPr>
          <w:rFonts w:ascii="Times New Roman" w:hAnsi="Times New Roman"/>
        </w:rPr>
        <w:t>电渗析器</w:t>
      </w:r>
    </w:p>
    <w:p>
      <w:pPr>
        <w:widowControl/>
        <w:ind w:firstLine="420" w:firstLineChars="200"/>
        <w:jc w:val="left"/>
        <w:rPr>
          <w:rFonts w:ascii="Times New Roman" w:hAnsi="Times New Roman"/>
        </w:rPr>
      </w:pPr>
      <w:r>
        <w:rPr>
          <w:rFonts w:ascii="Times New Roman"/>
        </w:rPr>
        <w:t>YB/T 5217</w:t>
      </w:r>
      <w:r>
        <w:rPr>
          <w:rFonts w:ascii="Times New Roman" w:hAnsi="Times New Roman"/>
        </w:rPr>
        <w:t xml:space="preserve"> </w:t>
      </w:r>
      <w:r>
        <w:rPr>
          <w:rFonts w:hint="eastAsia" w:ascii="Times New Roman" w:hAnsi="Times New Roman"/>
        </w:rPr>
        <w:t>萤石</w:t>
      </w:r>
    </w:p>
    <w:p>
      <w:pPr>
        <w:widowControl/>
        <w:ind w:firstLine="420" w:firstLineChars="200"/>
        <w:jc w:val="left"/>
        <w:rPr>
          <w:rFonts w:ascii="Times New Roman" w:hAnsi="Times New Roman"/>
        </w:rPr>
        <w:sectPr>
          <w:pgSz w:w="11906" w:h="16838"/>
          <w:pgMar w:top="567" w:right="1134" w:bottom="1134" w:left="1134" w:header="1418" w:footer="1134" w:gutter="284"/>
          <w:pgNumType w:fmt="numberInDash" w:start="1"/>
          <w:cols w:space="425" w:num="1"/>
          <w:formProt w:val="0"/>
          <w:docGrid w:linePitch="312" w:charSpace="0"/>
        </w:sectPr>
      </w:pPr>
      <w:r>
        <w:rPr>
          <w:rFonts w:ascii="Times New Roman" w:hAnsi="Times New Roman"/>
        </w:rPr>
        <w:t xml:space="preserve">    </w:t>
      </w:r>
    </w:p>
    <w:p>
      <w:pPr>
        <w:pStyle w:val="107"/>
        <w:spacing w:before="240" w:after="240"/>
        <w:rPr>
          <w:rFonts w:ascii="Times New Roman"/>
        </w:rPr>
      </w:pPr>
      <w:bookmarkStart w:id="39" w:name="_Toc71206721"/>
      <w:bookmarkStart w:id="40" w:name="_Toc142657340"/>
      <w:r>
        <w:rPr>
          <w:rFonts w:ascii="Times New Roman"/>
          <w:szCs w:val="21"/>
        </w:rPr>
        <w:t>术语和定义</w:t>
      </w:r>
      <w:bookmarkEnd w:id="17"/>
      <w:bookmarkEnd w:id="39"/>
      <w:bookmarkEnd w:id="40"/>
      <w:bookmarkStart w:id="41" w:name="_Toc26986532"/>
      <w:bookmarkEnd w:id="41"/>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 下列术语</w:t>
      </w:r>
      <w:r>
        <w:rPr>
          <w:rFonts w:hint="eastAsia" w:ascii="Times New Roman"/>
          <w:color w:val="000000" w:themeColor="text1"/>
          <w14:textFill>
            <w14:solidFill>
              <w14:schemeClr w14:val="tx1"/>
            </w14:solidFill>
          </w14:textFill>
        </w:rPr>
        <w:t>和</w:t>
      </w:r>
      <w:r>
        <w:rPr>
          <w:rFonts w:ascii="Times New Roman"/>
          <w:color w:val="000000" w:themeColor="text1"/>
          <w14:textFill>
            <w14:solidFill>
              <w14:schemeClr w14:val="tx1"/>
            </w14:solidFill>
          </w14:textFill>
        </w:rPr>
        <w:t>定义适用于本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 </w:t>
      </w:r>
    </w:p>
    <w:p>
      <w:pPr>
        <w:pStyle w:val="59"/>
        <w:spacing w:line="360" w:lineRule="auto"/>
        <w:ind w:firstLine="420"/>
        <w:rPr>
          <w:rFonts w:ascii="Times New Roman"/>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锌冶炼污酸 </w:t>
      </w:r>
      <w:r>
        <w:rPr>
          <w:rFonts w:ascii="黑体" w:hAnsi="黑体" w:eastAsia="黑体" w:cs="黑体"/>
          <w:color w:val="000000" w:themeColor="text1"/>
          <w14:textFill>
            <w14:solidFill>
              <w14:schemeClr w14:val="tx1"/>
            </w14:solidFill>
          </w14:textFill>
        </w:rPr>
        <w:t xml:space="preserve">waste acid from </w:t>
      </w:r>
      <w:r>
        <w:rPr>
          <w:rFonts w:hint="eastAsia" w:ascii="黑体" w:hAnsi="黑体" w:eastAsia="黑体" w:cs="黑体"/>
          <w:color w:val="000000" w:themeColor="text1"/>
          <w14:textFill>
            <w14:solidFill>
              <w14:schemeClr w14:val="tx1"/>
            </w14:solidFill>
          </w14:textFill>
        </w:rPr>
        <w:t>zinc</w:t>
      </w:r>
      <w:r>
        <w:rPr>
          <w:rFonts w:ascii="黑体" w:hAnsi="黑体" w:eastAsia="黑体" w:cs="黑体"/>
          <w:color w:val="000000" w:themeColor="text1"/>
          <w14:textFill>
            <w14:solidFill>
              <w14:schemeClr w14:val="tx1"/>
            </w14:solidFill>
          </w14:textFill>
        </w:rPr>
        <w:t xml:space="preserve"> smelting</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锌</w:t>
      </w:r>
      <w:r>
        <w:rPr>
          <w:rFonts w:hint="eastAsia" w:ascii="Times New Roman"/>
          <w:color w:val="000000" w:themeColor="text1"/>
          <w14:textFill>
            <w14:solidFill>
              <w14:schemeClr w14:val="tx1"/>
            </w14:solidFill>
          </w14:textFill>
        </w:rPr>
        <w:t>冶炼</w:t>
      </w:r>
      <w:r>
        <w:rPr>
          <w:rFonts w:ascii="Times New Roman"/>
          <w:color w:val="000000" w:themeColor="text1"/>
          <w14:textFill>
            <w14:solidFill>
              <w14:schemeClr w14:val="tx1"/>
            </w14:solidFill>
          </w14:textFill>
        </w:rPr>
        <w:t>中冶炼烟气制酸过程净化工序排出的含有硫酸、</w:t>
      </w:r>
      <w:r>
        <w:rPr>
          <w:rFonts w:hint="eastAsia" w:ascii="Times New Roman"/>
          <w:color w:val="000000" w:themeColor="text1"/>
          <w14:textFill>
            <w14:solidFill>
              <w14:schemeClr w14:val="tx1"/>
            </w14:solidFill>
          </w14:textFill>
        </w:rPr>
        <w:t>重金属离子（砷、锌、铜、铅、汞、镉等）、</w:t>
      </w:r>
      <w:r>
        <w:rPr>
          <w:rFonts w:ascii="Times New Roman"/>
          <w:color w:val="000000" w:themeColor="text1"/>
          <w14:textFill>
            <w14:solidFill>
              <w14:schemeClr w14:val="tx1"/>
            </w14:solidFill>
          </w14:textFill>
        </w:rPr>
        <w:t>氟氯等化合物和其他有害杂质的稀酸溶液。</w:t>
      </w:r>
    </w:p>
    <w:p>
      <w:pPr>
        <w:pStyle w:val="59"/>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3.2</w:t>
      </w:r>
      <w:r>
        <w:rPr>
          <w:rFonts w:hint="eastAsia" w:ascii="Times New Roman" w:eastAsia="黑体"/>
          <w:color w:val="000000" w:themeColor="text1"/>
          <w14:textFill>
            <w14:solidFill>
              <w14:schemeClr w14:val="tx1"/>
            </w14:solidFill>
          </w14:textFill>
        </w:rPr>
        <w:t xml:space="preserve">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气液强化硫化法 </w:t>
      </w:r>
      <w:r>
        <w:rPr>
          <w:rFonts w:ascii="黑体" w:hAnsi="黑体" w:eastAsia="黑体" w:cs="黑体"/>
          <w:color w:val="000000" w:themeColor="text1"/>
          <w14:textFill>
            <w14:solidFill>
              <w14:schemeClr w14:val="tx1"/>
            </w14:solidFill>
          </w14:textFill>
        </w:rPr>
        <w:t xml:space="preserve">gas-liquid enhanced </w:t>
      </w:r>
      <w:r>
        <w:rPr>
          <w:rFonts w:hint="eastAsia" w:ascii="黑体" w:hAnsi="黑体" w:eastAsia="黑体" w:cs="黑体"/>
          <w:color w:val="000000" w:themeColor="text1"/>
          <w14:textFill>
            <w14:solidFill>
              <w14:schemeClr w14:val="tx1"/>
            </w14:solidFill>
          </w14:textFill>
        </w:rPr>
        <w:t>s</w:t>
      </w:r>
      <w:r>
        <w:rPr>
          <w:rFonts w:ascii="黑体" w:hAnsi="黑体" w:eastAsia="黑体" w:cs="黑体"/>
          <w:color w:val="000000" w:themeColor="text1"/>
          <w14:textFill>
            <w14:solidFill>
              <w14:schemeClr w14:val="tx1"/>
            </w14:solidFill>
          </w14:textFill>
        </w:rPr>
        <w:t xml:space="preserve">ulfidation </w:t>
      </w:r>
      <w:r>
        <w:rPr>
          <w:rFonts w:ascii="Times New Roman" w:eastAsia="黑体"/>
          <w:color w:val="000000" w:themeColor="text1"/>
          <w14:textFill>
            <w14:solidFill>
              <w14:schemeClr w14:val="tx1"/>
            </w14:solidFill>
          </w14:textFill>
        </w:rPr>
        <w:t>method</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利用硫化氢气体，通过高效气液强化反应器与污酸中的砷、汞和铅等重金属离子生成硫化物沉淀，从而实现重金属离子深度脱除的</w:t>
      </w:r>
      <w:r>
        <w:rPr>
          <w:rFonts w:hint="eastAsia" w:ascii="Times New Roman"/>
          <w:color w:val="000000" w:themeColor="text1"/>
          <w14:textFill>
            <w14:solidFill>
              <w14:schemeClr w14:val="tx1"/>
            </w14:solidFill>
          </w14:textFill>
        </w:rPr>
        <w:t>技术</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3.3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电渗析法 </w:t>
      </w:r>
      <w:r>
        <w:rPr>
          <w:rFonts w:hint="eastAsia" w:ascii="Times New Roman" w:eastAsia="黑体"/>
          <w:color w:val="000000" w:themeColor="text1"/>
          <w14:textFill>
            <w14:solidFill>
              <w14:schemeClr w14:val="tx1"/>
            </w14:solidFill>
          </w14:textFill>
        </w:rPr>
        <w:t>e</w:t>
      </w:r>
      <w:r>
        <w:rPr>
          <w:rFonts w:ascii="Times New Roman" w:eastAsia="黑体"/>
          <w:color w:val="000000" w:themeColor="text1"/>
          <w14:textFill>
            <w14:solidFill>
              <w14:schemeClr w14:val="tx1"/>
            </w14:solidFill>
          </w14:textFill>
        </w:rPr>
        <w:t>lectrodialysis method</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以直流电为推动力，利用阴阳离子交换膜的选择透过性，使</w:t>
      </w:r>
      <w:r>
        <w:rPr>
          <w:rFonts w:hint="eastAsia" w:ascii="Times New Roman"/>
          <w:color w:val="000000" w:themeColor="text1"/>
          <w14:textFill>
            <w14:solidFill>
              <w14:schemeClr w14:val="tx1"/>
            </w14:solidFill>
          </w14:textFill>
        </w:rPr>
        <w:t>污酸</w:t>
      </w:r>
      <w:r>
        <w:rPr>
          <w:rFonts w:ascii="Times New Roman"/>
          <w:color w:val="000000" w:themeColor="text1"/>
          <w14:textFill>
            <w14:solidFill>
              <w14:schemeClr w14:val="tx1"/>
            </w14:solidFill>
          </w14:textFill>
        </w:rPr>
        <w:t>中的阴阳离子通过膜</w:t>
      </w:r>
      <w:r>
        <w:rPr>
          <w:rFonts w:hint="eastAsia" w:ascii="Times New Roman"/>
          <w:color w:val="000000" w:themeColor="text1"/>
          <w14:textFill>
            <w14:solidFill>
              <w14:schemeClr w14:val="tx1"/>
            </w14:solidFill>
          </w14:textFill>
        </w:rPr>
        <w:t>定向</w:t>
      </w:r>
      <w:r>
        <w:rPr>
          <w:rFonts w:ascii="Times New Roman"/>
          <w:color w:val="000000" w:themeColor="text1"/>
          <w14:textFill>
            <w14:solidFill>
              <w14:schemeClr w14:val="tx1"/>
            </w14:solidFill>
          </w14:textFill>
        </w:rPr>
        <w:t>迁移</w:t>
      </w:r>
      <w:r>
        <w:rPr>
          <w:rFonts w:hint="eastAsia" w:ascii="Times New Roman"/>
          <w:color w:val="000000" w:themeColor="text1"/>
          <w14:textFill>
            <w14:solidFill>
              <w14:schemeClr w14:val="tx1"/>
            </w14:solidFill>
          </w14:textFill>
        </w:rPr>
        <w:t>实现酸</w:t>
      </w:r>
      <w:r>
        <w:rPr>
          <w:rFonts w:ascii="Times New Roman"/>
          <w:color w:val="000000" w:themeColor="text1"/>
          <w14:textFill>
            <w14:solidFill>
              <w14:schemeClr w14:val="tx1"/>
            </w14:solidFill>
          </w14:textFill>
        </w:rPr>
        <w:t>浓缩</w:t>
      </w:r>
      <w:r>
        <w:rPr>
          <w:rFonts w:hint="eastAsia" w:ascii="Times New Roman"/>
          <w:color w:val="000000" w:themeColor="text1"/>
          <w14:textFill>
            <w14:solidFill>
              <w14:schemeClr w14:val="tx1"/>
            </w14:solidFill>
          </w14:textFill>
        </w:rPr>
        <w:t>的技术</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3.4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蒸发浓缩法 </w:t>
      </w:r>
      <w:r>
        <w:rPr>
          <w:rFonts w:hint="eastAsia" w:ascii="Times New Roman" w:eastAsia="黑体"/>
          <w:color w:val="000000" w:themeColor="text1"/>
          <w14:textFill>
            <w14:solidFill>
              <w14:schemeClr w14:val="tx1"/>
            </w14:solidFill>
          </w14:textFill>
        </w:rPr>
        <w:t>e</w:t>
      </w:r>
      <w:r>
        <w:rPr>
          <w:rFonts w:ascii="Times New Roman" w:eastAsia="黑体"/>
          <w:color w:val="000000" w:themeColor="text1"/>
          <w14:textFill>
            <w14:solidFill>
              <w14:schemeClr w14:val="tx1"/>
            </w14:solidFill>
          </w14:textFill>
        </w:rPr>
        <w:t>vaporative concentration method</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通过加热和减压的方式使污酸溶液中水挥发而提高酸浓度的一种热浓缩</w:t>
      </w:r>
      <w:r>
        <w:rPr>
          <w:rFonts w:hint="eastAsia" w:ascii="Times New Roman"/>
          <w:color w:val="000000" w:themeColor="text1"/>
          <w14:textFill>
            <w14:solidFill>
              <w14:schemeClr w14:val="tx1"/>
            </w14:solidFill>
          </w14:textFill>
        </w:rPr>
        <w:t>技术</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3.5</w:t>
      </w:r>
      <w:r>
        <w:rPr>
          <w:rFonts w:hint="eastAsia" w:ascii="Times New Roman" w:eastAsia="黑体"/>
          <w:color w:val="000000" w:themeColor="text1"/>
          <w14:textFill>
            <w14:solidFill>
              <w14:schemeClr w14:val="tx1"/>
            </w14:solidFill>
          </w14:textFill>
        </w:rPr>
        <w:t xml:space="preserve">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催化吹脱法 </w:t>
      </w:r>
      <w:r>
        <w:rPr>
          <w:rFonts w:hint="eastAsia" w:ascii="Times New Roman" w:eastAsia="黑体"/>
          <w:color w:val="000000" w:themeColor="text1"/>
          <w14:textFill>
            <w14:solidFill>
              <w14:schemeClr w14:val="tx1"/>
            </w14:solidFill>
          </w14:textFill>
        </w:rPr>
        <w:t>c</w:t>
      </w:r>
      <w:r>
        <w:rPr>
          <w:rFonts w:ascii="Times New Roman" w:eastAsia="黑体"/>
          <w:color w:val="000000" w:themeColor="text1"/>
          <w14:textFill>
            <w14:solidFill>
              <w14:schemeClr w14:val="tx1"/>
            </w14:solidFill>
          </w14:textFill>
        </w:rPr>
        <w:t>atalytic stripping method</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利用污酸不</w:t>
      </w:r>
      <w:r>
        <w:rPr>
          <w:rFonts w:hint="eastAsia" w:ascii="Times New Roman"/>
          <w:color w:val="000000" w:themeColor="text1"/>
          <w14:textFill>
            <w14:solidFill>
              <w14:schemeClr w14:val="tx1"/>
            </w14:solidFill>
          </w14:textFill>
        </w:rPr>
        <w:t>同</w:t>
      </w:r>
      <w:r>
        <w:rPr>
          <w:rFonts w:ascii="Times New Roman"/>
          <w:color w:val="000000" w:themeColor="text1"/>
          <w14:textFill>
            <w14:solidFill>
              <w14:schemeClr w14:val="tx1"/>
            </w14:solidFill>
          </w14:textFill>
        </w:rPr>
        <w:t>组分的挥发特性，通过加入催化剂和强制载气等措施，使污酸中易挥发的氟化氢和氯化氢以气体的形态从液相向气相快速转移，从而实现硫酸与氢氟酸和盐酸分离的一种处理</w:t>
      </w:r>
      <w:r>
        <w:rPr>
          <w:rFonts w:hint="eastAsia" w:ascii="Times New Roman"/>
          <w:color w:val="000000" w:themeColor="text1"/>
          <w14:textFill>
            <w14:solidFill>
              <w14:schemeClr w14:val="tx1"/>
            </w14:solidFill>
          </w14:textFill>
        </w:rPr>
        <w:t>技术</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3.6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氟氯分盐法 </w:t>
      </w:r>
      <w:r>
        <w:rPr>
          <w:rFonts w:hint="eastAsia" w:ascii="Times New Roman" w:eastAsia="黑体"/>
          <w:color w:val="000000" w:themeColor="text1"/>
          <w14:textFill>
            <w14:solidFill>
              <w14:schemeClr w14:val="tx1"/>
            </w14:solidFill>
          </w14:textFill>
        </w:rPr>
        <w:t>f</w:t>
      </w:r>
      <w:r>
        <w:rPr>
          <w:rFonts w:ascii="Times New Roman" w:eastAsia="黑体"/>
          <w:color w:val="000000" w:themeColor="text1"/>
          <w14:textFill>
            <w14:solidFill>
              <w14:schemeClr w14:val="tx1"/>
            </w14:solidFill>
          </w14:textFill>
        </w:rPr>
        <w:t>luorine and chlorine salt method</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将污酸中分离出的氢氟酸和盐酸组成的混酸分别通过化学沉淀法和蒸发结晶法制备成产品级</w:t>
      </w:r>
      <w:r>
        <w:rPr>
          <w:rFonts w:hint="eastAsia" w:ascii="Times New Roman"/>
          <w:color w:val="000000" w:themeColor="text1"/>
          <w14:textFill>
            <w14:solidFill>
              <w14:schemeClr w14:val="tx1"/>
            </w14:solidFill>
          </w14:textFill>
        </w:rPr>
        <w:t>萤石</w:t>
      </w:r>
      <w:r>
        <w:rPr>
          <w:rFonts w:ascii="Times New Roman"/>
          <w:color w:val="000000" w:themeColor="text1"/>
          <w14:textFill>
            <w14:solidFill>
              <w14:schemeClr w14:val="tx1"/>
            </w14:solidFill>
          </w14:textFill>
        </w:rPr>
        <w:t>和氯化钙的处理</w:t>
      </w:r>
      <w:r>
        <w:rPr>
          <w:rFonts w:hint="eastAsia" w:ascii="Times New Roman"/>
          <w:color w:val="000000" w:themeColor="text1"/>
          <w14:textFill>
            <w14:solidFill>
              <w14:schemeClr w14:val="tx1"/>
            </w14:solidFill>
          </w14:textFill>
        </w:rPr>
        <w:t>技术</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ascii="黑体" w:hAnsi="黑体" w:eastAsia="黑体" w:cs="黑体"/>
          <w:color w:val="000000" w:themeColor="text1"/>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t xml:space="preserve">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极液 </w:t>
      </w:r>
      <w:r>
        <w:rPr>
          <w:rFonts w:ascii="黑体" w:hAnsi="黑体" w:eastAsia="黑体" w:cs="黑体"/>
          <w:color w:val="000000" w:themeColor="text1"/>
          <w14:textFill>
            <w14:solidFill>
              <w14:schemeClr w14:val="tx1"/>
            </w14:solidFill>
          </w14:textFill>
        </w:rPr>
        <w:t>electrolyte</w:t>
      </w:r>
    </w:p>
    <w:p>
      <w:pPr>
        <w:pStyle w:val="59"/>
        <w:spacing w:line="360" w:lineRule="auto"/>
        <w:ind w:firstLine="420"/>
        <w:rPr>
          <w:rFonts w:ascii="Times New Roman"/>
          <w:b/>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指极</w:t>
      </w:r>
      <w:r>
        <w:rPr>
          <w:rFonts w:ascii="Times New Roman"/>
          <w:color w:val="000000" w:themeColor="text1"/>
          <w14:textFill>
            <w14:solidFill>
              <w14:schemeClr w14:val="tx1"/>
            </w14:solidFill>
          </w14:textFill>
        </w:rPr>
        <w:t>室内加入的电解质溶液，起导电作用，将外加电源与极室、中间室形成闭合回路。</w:t>
      </w:r>
    </w:p>
    <w:p>
      <w:pPr>
        <w:pStyle w:val="59"/>
        <w:spacing w:line="360" w:lineRule="auto"/>
        <w:ind w:firstLine="0" w:firstLineChars="0"/>
        <w:rPr>
          <w:rFonts w:ascii="Times New Roman"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ascii="黑体" w:hAnsi="黑体" w:eastAsia="黑体" w:cs="黑体"/>
          <w:color w:val="000000" w:themeColor="text1"/>
          <w14:textFill>
            <w14:solidFill>
              <w14:schemeClr w14:val="tx1"/>
            </w14:solidFill>
          </w14:textFill>
        </w:rPr>
        <w:t>8</w:t>
      </w:r>
      <w:r>
        <w:rPr>
          <w:rFonts w:hint="eastAsia" w:ascii="黑体" w:hAnsi="黑体" w:eastAsia="黑体" w:cs="黑体"/>
          <w:color w:val="000000" w:themeColor="text1"/>
          <w14:textFill>
            <w14:solidFill>
              <w14:schemeClr w14:val="tx1"/>
            </w14:solidFill>
          </w14:textFill>
        </w:rPr>
        <w:t xml:space="preserve"> </w:t>
      </w:r>
    </w:p>
    <w:p>
      <w:pPr>
        <w:pStyle w:val="59"/>
        <w:spacing w:line="360" w:lineRule="auto"/>
        <w:ind w:firstLine="420"/>
      </w:pPr>
      <w:r>
        <w:rPr>
          <w:rFonts w:hint="eastAsia" w:ascii="黑体" w:hAnsi="黑体" w:eastAsia="黑体" w:cs="黑体"/>
          <w:color w:val="000000" w:themeColor="text1"/>
          <w14:textFill>
            <w14:solidFill>
              <w14:schemeClr w14:val="tx1"/>
            </w14:solidFill>
          </w14:textFill>
        </w:rPr>
        <w:t xml:space="preserve">浊度 </w:t>
      </w:r>
      <w:r>
        <w:t>turbidity</w:t>
      </w:r>
    </w:p>
    <w:p>
      <w:pPr>
        <w:pStyle w:val="59"/>
        <w:spacing w:line="360" w:lineRule="auto"/>
        <w:ind w:firstLine="420"/>
      </w:pPr>
      <w:r>
        <w:t xml:space="preserve">也称浑浊度。是由于水中对光有散射作用物质的存在，而引起液体透明度降低的一种量度。水中悬浮及胶体微粒会散射和吸收通过样品的光线，光线的散射现象产生浊度，利用样品中微粒物质对光的散射特性表征浊度，测量结果单位为 NTU（散射浊度单位 </w:t>
      </w:r>
      <w:r>
        <w:rPr>
          <w:rFonts w:ascii="Times New Roman"/>
        </w:rPr>
        <w:t>Nephelometric Turbidity Units</w:t>
      </w:r>
      <w:r>
        <w:t>）。</w:t>
      </w:r>
    </w:p>
    <w:p>
      <w:pPr>
        <w:pStyle w:val="59"/>
        <w:spacing w:line="360" w:lineRule="auto"/>
        <w:ind w:firstLine="0" w:firstLineChars="0"/>
        <w:rPr>
          <w:rFonts w:ascii="Times New Roman"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ascii="黑体" w:hAnsi="黑体" w:eastAsia="黑体" w:cs="黑体"/>
          <w:color w:val="000000" w:themeColor="text1"/>
          <w14:textFill>
            <w14:solidFill>
              <w14:schemeClr w14:val="tx1"/>
            </w14:solidFill>
          </w14:textFill>
        </w:rPr>
        <w:t>9</w:t>
      </w:r>
      <w:r>
        <w:rPr>
          <w:rFonts w:hint="eastAsia" w:ascii="黑体" w:hAnsi="黑体" w:eastAsia="黑体" w:cs="黑体"/>
          <w:color w:val="000000" w:themeColor="text1"/>
          <w14:textFill>
            <w14:solidFill>
              <w14:schemeClr w14:val="tx1"/>
            </w14:solidFill>
          </w14:textFill>
        </w:rPr>
        <w:t xml:space="preserve"> </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净化酸 </w:t>
      </w:r>
      <w:r>
        <w:t>purified acid</w:t>
      </w:r>
    </w:p>
    <w:p>
      <w:pPr>
        <w:pStyle w:val="59"/>
        <w:spacing w:line="360" w:lineRule="auto"/>
        <w:ind w:firstLine="420"/>
      </w:pPr>
      <w:r>
        <w:rPr>
          <w:rFonts w:hint="eastAsia"/>
        </w:rPr>
        <w:t>锌冶炼过程中产生的污酸经过</w:t>
      </w:r>
      <w:r>
        <w:rPr>
          <w:rFonts w:hint="eastAsia" w:ascii="Times New Roman"/>
          <w:color w:val="000000" w:themeColor="text1"/>
          <w14:textFill>
            <w14:solidFill>
              <w14:schemeClr w14:val="tx1"/>
            </w14:solidFill>
          </w14:textFill>
        </w:rPr>
        <w:t>除杂</w:t>
      </w:r>
      <w:r>
        <w:rPr>
          <w:rFonts w:ascii="Times New Roman"/>
          <w:color w:val="000000" w:themeColor="text1"/>
          <w14:textFill>
            <w14:solidFill>
              <w14:schemeClr w14:val="tx1"/>
            </w14:solidFill>
          </w14:textFill>
        </w:rPr>
        <w:t>、浓缩、净化工艺处理后，得到的高浓度</w:t>
      </w:r>
      <w:r>
        <w:rPr>
          <w:rFonts w:hint="eastAsia" w:ascii="Times New Roman"/>
          <w:color w:val="000000" w:themeColor="text1"/>
          <w14:textFill>
            <w14:solidFill>
              <w14:schemeClr w14:val="tx1"/>
            </w14:solidFill>
          </w14:textFill>
        </w:rPr>
        <w:t>和</w:t>
      </w:r>
      <w:r>
        <w:rPr>
          <w:rFonts w:ascii="Times New Roman"/>
          <w:color w:val="000000" w:themeColor="text1"/>
          <w14:textFill>
            <w14:solidFill>
              <w14:schemeClr w14:val="tx1"/>
            </w14:solidFill>
          </w14:textFill>
        </w:rPr>
        <w:t>高纯度的硫酸溶液。</w:t>
      </w:r>
    </w:p>
    <w:p>
      <w:pPr>
        <w:pStyle w:val="59"/>
        <w:spacing w:line="360" w:lineRule="auto"/>
        <w:ind w:firstLine="0" w:firstLineChars="0"/>
        <w:rPr>
          <w:rFonts w:ascii="Times New Roman"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3.</w:t>
      </w:r>
      <w:r>
        <w:rPr>
          <w:rFonts w:ascii="黑体" w:hAnsi="黑体" w:eastAsia="黑体" w:cs="黑体"/>
          <w:color w:val="000000" w:themeColor="text1"/>
          <w14:textFill>
            <w14:solidFill>
              <w14:schemeClr w14:val="tx1"/>
            </w14:solidFill>
          </w14:textFill>
        </w:rPr>
        <w:t>10</w:t>
      </w:r>
      <w:r>
        <w:rPr>
          <w:rFonts w:hint="eastAsia" w:ascii="黑体" w:hAnsi="黑体" w:eastAsia="黑体" w:cs="黑体"/>
          <w:color w:val="000000" w:themeColor="text1"/>
          <w14:textFill>
            <w14:solidFill>
              <w14:schemeClr w14:val="tx1"/>
            </w14:solidFill>
          </w14:textFill>
        </w:rPr>
        <w:t xml:space="preserve"> </w:t>
      </w:r>
    </w:p>
    <w:p>
      <w:pPr>
        <w:pStyle w:val="59"/>
        <w:spacing w:line="360" w:lineRule="auto"/>
        <w:ind w:firstLine="420"/>
      </w:pPr>
      <w:r>
        <w:rPr>
          <w:rFonts w:hint="eastAsia" w:ascii="黑体" w:hAnsi="黑体" w:eastAsia="黑体" w:cs="黑体"/>
          <w:color w:val="000000" w:themeColor="text1"/>
          <w14:textFill>
            <w14:solidFill>
              <w14:schemeClr w14:val="tx1"/>
            </w14:solidFill>
          </w14:textFill>
        </w:rPr>
        <w:t xml:space="preserve">净化水 </w:t>
      </w:r>
      <w:r>
        <w:t>purified water</w:t>
      </w:r>
    </w:p>
    <w:p>
      <w:pPr>
        <w:pStyle w:val="59"/>
        <w:spacing w:line="360" w:lineRule="auto"/>
        <w:ind w:firstLine="420"/>
        <w:rPr>
          <w:rFonts w:ascii="黑体" w:hAnsi="黑体" w:eastAsia="黑体" w:cs="黑体"/>
          <w:color w:val="000000" w:themeColor="text1"/>
          <w14:textFill>
            <w14:solidFill>
              <w14:schemeClr w14:val="tx1"/>
            </w14:solidFill>
          </w14:textFill>
        </w:rPr>
      </w:pPr>
      <w:r>
        <w:rPr>
          <w:rFonts w:hint="eastAsia"/>
        </w:rPr>
        <w:t>锌冶炼过程中产生的污酸在蒸发浓缩、电渗析处理过程中</w:t>
      </w:r>
      <w:r>
        <w:rPr>
          <w:rFonts w:ascii="Times New Roman"/>
          <w:color w:val="000000" w:themeColor="text1"/>
          <w14:textFill>
            <w14:solidFill>
              <w14:schemeClr w14:val="tx1"/>
            </w14:solidFill>
          </w14:textFill>
        </w:rPr>
        <w:t>，得到的</w:t>
      </w:r>
      <w:r>
        <w:rPr>
          <w:rFonts w:hint="eastAsia" w:ascii="Times New Roman"/>
          <w:color w:val="000000" w:themeColor="text1"/>
          <w14:textFill>
            <w14:solidFill>
              <w14:schemeClr w14:val="tx1"/>
            </w14:solidFill>
          </w14:textFill>
        </w:rPr>
        <w:t>杂质</w:t>
      </w:r>
      <w:r>
        <w:rPr>
          <w:rFonts w:ascii="Times New Roman"/>
          <w:color w:val="000000" w:themeColor="text1"/>
          <w14:textFill>
            <w14:solidFill>
              <w14:schemeClr w14:val="tx1"/>
            </w14:solidFill>
          </w14:textFill>
        </w:rPr>
        <w:t>含量较低的水溶液。</w:t>
      </w:r>
    </w:p>
    <w:p>
      <w:pPr>
        <w:pStyle w:val="107"/>
        <w:spacing w:before="240" w:after="240"/>
        <w:rPr>
          <w:rFonts w:hAnsi="黑体" w:cs="黑体"/>
          <w:color w:val="000000" w:themeColor="text1"/>
          <w14:textFill>
            <w14:solidFill>
              <w14:schemeClr w14:val="tx1"/>
            </w14:solidFill>
          </w14:textFill>
        </w:rPr>
      </w:pPr>
      <w:bookmarkStart w:id="42" w:name="_Toc142657341"/>
      <w:r>
        <w:rPr>
          <w:rFonts w:hint="eastAsia" w:hAnsi="黑体" w:cs="黑体"/>
          <w:color w:val="000000" w:themeColor="text1"/>
          <w14:textFill>
            <w14:solidFill>
              <w14:schemeClr w14:val="tx1"/>
            </w14:solidFill>
          </w14:textFill>
        </w:rPr>
        <w:t>总体要求</w:t>
      </w:r>
      <w:bookmarkEnd w:id="42"/>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4.1 </w:t>
      </w:r>
      <w:r>
        <w:rPr>
          <w:rFonts w:ascii="Times New Roman"/>
          <w:color w:val="000000" w:themeColor="text1"/>
          <w14:textFill>
            <w14:solidFill>
              <w14:schemeClr w14:val="tx1"/>
            </w14:solidFill>
          </w14:textFill>
        </w:rPr>
        <w:t>锌</w:t>
      </w:r>
      <w:r>
        <w:rPr>
          <w:rFonts w:hint="eastAsia" w:ascii="Times New Roman"/>
          <w:color w:val="000000" w:themeColor="text1"/>
          <w14:textFill>
            <w14:solidFill>
              <w14:schemeClr w14:val="tx1"/>
            </w14:solidFill>
          </w14:textFill>
        </w:rPr>
        <w:t>冶炼</w:t>
      </w:r>
      <w:r>
        <w:rPr>
          <w:rFonts w:ascii="Times New Roman"/>
          <w:color w:val="000000" w:themeColor="text1"/>
          <w14:textFill>
            <w14:solidFill>
              <w14:schemeClr w14:val="tx1"/>
            </w14:solidFill>
          </w14:textFill>
        </w:rPr>
        <w:t>污酸资源化回收利用项目的建设与运行管理应遵守国家和地方相关法律法规、产业政策、排放许可制度和行业污染等管理要求，并积极推行清洁生产。</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资源化回收利用应符合经批准的环境影响评价文件的要求。</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3</w:t>
      </w:r>
      <w:r>
        <w:rPr>
          <w:rFonts w:ascii="黑体" w:hAnsi="黑体" w:eastAsia="黑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涉及锌冶炼污酸资源化回收利用的生产装置、储罐和管道应急池等存在土壤污染风险的设施，应按照国</w:t>
      </w:r>
      <w:r>
        <w:rPr>
          <w:rFonts w:hint="eastAsia" w:ascii="Times New Roman"/>
          <w:color w:val="000000" w:themeColor="text1"/>
          <w14:textFill>
            <w14:solidFill>
              <w14:schemeClr w14:val="tx1"/>
            </w14:solidFill>
          </w14:textFill>
        </w:rPr>
        <w:t>家</w:t>
      </w:r>
      <w:r>
        <w:rPr>
          <w:rFonts w:ascii="Times New Roman"/>
          <w:color w:val="000000" w:themeColor="text1"/>
          <w14:textFill>
            <w14:solidFill>
              <w14:schemeClr w14:val="tx1"/>
            </w14:solidFill>
          </w14:textFill>
        </w:rPr>
        <w:t>标准和规范要求，</w:t>
      </w:r>
      <w:r>
        <w:rPr>
          <w:rFonts w:hint="eastAsia" w:ascii="Times New Roman"/>
          <w:color w:val="000000" w:themeColor="text1"/>
          <w14:textFill>
            <w14:solidFill>
              <w14:schemeClr w14:val="tx1"/>
            </w14:solidFill>
          </w14:textFill>
        </w:rPr>
        <w:t>设计、</w:t>
      </w:r>
      <w:r>
        <w:rPr>
          <w:rFonts w:ascii="Times New Roman"/>
          <w:color w:val="000000" w:themeColor="text1"/>
          <w14:textFill>
            <w14:solidFill>
              <w14:schemeClr w14:val="tx1"/>
            </w14:solidFill>
          </w14:textFill>
        </w:rPr>
        <w:t>建设和安装防腐蚀、防泄露设施和监测装置。</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4.4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资源化回收利用技术应用中产生的净化酸、净化水、污泥（金属硫化物沉渣）应优先回用或回收，处理过程中产生的硫酸钠、萤石（氟化钙）和氯化钙等</w:t>
      </w:r>
      <w:r>
        <w:rPr>
          <w:rFonts w:hint="eastAsia" w:ascii="Times New Roman"/>
          <w:color w:val="000000" w:themeColor="text1"/>
          <w14:textFill>
            <w14:solidFill>
              <w14:schemeClr w14:val="tx1"/>
            </w14:solidFill>
          </w14:textFill>
        </w:rPr>
        <w:t>副产品</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应符合G</w:t>
      </w:r>
      <w:r>
        <w:rPr>
          <w:rFonts w:ascii="Times New Roman"/>
          <w:color w:val="000000" w:themeColor="text1"/>
          <w14:textFill>
            <w14:solidFill>
              <w14:schemeClr w14:val="tx1"/>
            </w14:solidFill>
          </w14:textFill>
        </w:rPr>
        <w:t>B/T 6009-2014、</w:t>
      </w:r>
      <w:r>
        <w:rPr>
          <w:rFonts w:ascii="Times New Roman"/>
        </w:rPr>
        <w:t>YB/T 5217</w:t>
      </w:r>
      <w:r>
        <w:rPr>
          <w:rFonts w:ascii="Times New Roman"/>
          <w:color w:val="000000" w:themeColor="text1"/>
          <w14:textFill>
            <w14:solidFill>
              <w14:schemeClr w14:val="tx1"/>
            </w14:solidFill>
          </w14:textFill>
        </w:rPr>
        <w:t>和</w:t>
      </w:r>
      <w:r>
        <w:rPr>
          <w:rFonts w:hint="eastAsia" w:ascii="Times New Roman"/>
          <w:color w:val="000000" w:themeColor="text1"/>
          <w14:textFill>
            <w14:solidFill>
              <w14:schemeClr w14:val="tx1"/>
            </w14:solidFill>
          </w14:textFill>
        </w:rPr>
        <w:t>G</w:t>
      </w:r>
      <w:r>
        <w:rPr>
          <w:rFonts w:ascii="Times New Roman"/>
          <w:color w:val="000000" w:themeColor="text1"/>
          <w14:textFill>
            <w14:solidFill>
              <w14:schemeClr w14:val="tx1"/>
            </w14:solidFill>
          </w14:textFill>
        </w:rPr>
        <w:t>B/T-26520-2021</w:t>
      </w:r>
      <w:r>
        <w:rPr>
          <w:rFonts w:hint="eastAsia" w:ascii="Times New Roman"/>
          <w:color w:val="000000" w:themeColor="text1"/>
          <w14:textFill>
            <w14:solidFill>
              <w14:schemeClr w14:val="tx1"/>
            </w14:solidFill>
          </w14:textFill>
        </w:rPr>
        <w:t>的规定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 xml:space="preserve">.5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资源化回收利用技术应用中应采取二次污染防治措施。</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4.6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资源化处理过程中产生的污泥等固体废物应按照其管理属性分别处置。不能自行综合利用或处置的，应交给有相应资质和处理能力的企业进行综合利用或处置。危险废物的贮存、处置、转移等应符合GB 18597、GB 18598、GB 18599、HJ 2042以及《危险废物转移联单管理办法》</w:t>
      </w:r>
      <w:r>
        <w:rPr>
          <w:rFonts w:hint="eastAsia" w:ascii="Times New Roman"/>
          <w:color w:val="000000" w:themeColor="text1"/>
          <w14:textFill>
            <w14:solidFill>
              <w14:schemeClr w14:val="tx1"/>
            </w14:solidFill>
          </w14:textFill>
        </w:rPr>
        <w:t>的规定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4.7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资源化回收利用技术应用中应设置硫化氢、硫酸事故</w:t>
      </w:r>
      <w:r>
        <w:rPr>
          <w:rFonts w:hint="eastAsia" w:ascii="Times New Roman"/>
          <w:color w:val="000000" w:themeColor="text1"/>
          <w14:textFill>
            <w14:solidFill>
              <w14:schemeClr w14:val="tx1"/>
            </w14:solidFill>
          </w14:textFill>
        </w:rPr>
        <w:t>应急</w:t>
      </w:r>
      <w:r>
        <w:rPr>
          <w:rFonts w:ascii="Times New Roman"/>
          <w:color w:val="000000" w:themeColor="text1"/>
          <w14:textFill>
            <w14:solidFill>
              <w14:schemeClr w14:val="tx1"/>
            </w14:solidFill>
          </w14:textFill>
        </w:rPr>
        <w:t>处理设施。</w:t>
      </w:r>
    </w:p>
    <w:p>
      <w:pPr>
        <w:pStyle w:val="59"/>
        <w:spacing w:line="360" w:lineRule="auto"/>
        <w:ind w:firstLine="0" w:firstLineChars="0"/>
        <w:rPr>
          <w:rFonts w:ascii="Times New Roman"/>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.8</w:t>
      </w:r>
      <w:r>
        <w:rPr>
          <w:rFonts w:ascii="Times New Roman"/>
          <w:color w:val="000000" w:themeColor="text1"/>
          <w14:textFill>
            <w14:solidFill>
              <w14:schemeClr w14:val="tx1"/>
            </w14:solidFill>
          </w14:textFill>
        </w:rPr>
        <w:t xml:space="preserve"> 硫化氢制备、气液强化硫化反应、硫化沉淀分离应在密闭容器中进行，溢出的硫化氢气体应进行吸收处理，尾气排放</w:t>
      </w:r>
      <w:r>
        <w:rPr>
          <w:rFonts w:hint="eastAsia" w:ascii="Times New Roman"/>
          <w:color w:val="000000" w:themeColor="text1"/>
          <w14:textFill>
            <w14:solidFill>
              <w14:schemeClr w14:val="tx1"/>
            </w14:solidFill>
          </w14:textFill>
        </w:rPr>
        <w:t>应符合</w:t>
      </w:r>
      <w:r>
        <w:rPr>
          <w:rFonts w:ascii="Times New Roman"/>
          <w:color w:val="000000" w:themeColor="text1"/>
          <w14:textFill>
            <w14:solidFill>
              <w14:schemeClr w14:val="tx1"/>
            </w14:solidFill>
          </w14:textFill>
        </w:rPr>
        <w:t>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25466的规定。</w:t>
      </w:r>
    </w:p>
    <w:p>
      <w:pPr>
        <w:pStyle w:val="59"/>
        <w:spacing w:line="360" w:lineRule="auto"/>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.9 应设置硫化氢气体安全和报警装置，且应与</w:t>
      </w:r>
      <w:r>
        <w:rPr>
          <w:rFonts w:hint="eastAsia" w:ascii="Times New Roman"/>
          <w:color w:val="000000" w:themeColor="text1"/>
          <w14:textFill>
            <w14:solidFill>
              <w14:schemeClr w14:val="tx1"/>
            </w14:solidFill>
          </w14:textFill>
        </w:rPr>
        <w:t>应急</w:t>
      </w:r>
      <w:r>
        <w:rPr>
          <w:rFonts w:ascii="Times New Roman"/>
          <w:color w:val="000000" w:themeColor="text1"/>
          <w14:textFill>
            <w14:solidFill>
              <w14:schemeClr w14:val="tx1"/>
            </w14:solidFill>
          </w14:textFill>
        </w:rPr>
        <w:t>系统实现连锁。</w:t>
      </w:r>
    </w:p>
    <w:p>
      <w:pPr>
        <w:pStyle w:val="59"/>
        <w:spacing w:line="360" w:lineRule="auto"/>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.10 在易爆或有腐蚀性气体、液体的环境</w:t>
      </w:r>
      <w:r>
        <w:rPr>
          <w:rFonts w:hint="eastAsia" w:ascii="Times New Roman"/>
          <w:color w:val="000000" w:themeColor="text1"/>
          <w14:textFill>
            <w14:solidFill>
              <w14:schemeClr w14:val="tx1"/>
            </w14:solidFill>
          </w14:textFill>
        </w:rPr>
        <w:t>下工作的</w:t>
      </w:r>
      <w:r>
        <w:rPr>
          <w:rFonts w:ascii="Times New Roman"/>
          <w:color w:val="000000" w:themeColor="text1"/>
          <w14:textFill>
            <w14:solidFill>
              <w14:schemeClr w14:val="tx1"/>
            </w14:solidFill>
          </w14:textFill>
        </w:rPr>
        <w:t>仪表和自动</w:t>
      </w:r>
      <w:r>
        <w:rPr>
          <w:rFonts w:hint="eastAsia" w:ascii="Times New Roman"/>
          <w:color w:val="000000" w:themeColor="text1"/>
          <w14:textFill>
            <w14:solidFill>
              <w14:schemeClr w14:val="tx1"/>
            </w14:solidFill>
          </w14:textFill>
        </w:rPr>
        <w:t>控制</w:t>
      </w:r>
      <w:r>
        <w:rPr>
          <w:rFonts w:ascii="Times New Roman"/>
          <w:color w:val="000000" w:themeColor="text1"/>
          <w14:textFill>
            <w14:solidFill>
              <w14:schemeClr w14:val="tx1"/>
            </w14:solidFill>
          </w14:textFill>
        </w:rPr>
        <w:t>系统应做好防爆、防腐</w:t>
      </w:r>
      <w:r>
        <w:rPr>
          <w:rFonts w:hint="eastAsia" w:ascii="Times New Roman"/>
          <w:color w:val="000000" w:themeColor="text1"/>
          <w14:textFill>
            <w14:solidFill>
              <w14:schemeClr w14:val="tx1"/>
            </w14:solidFill>
          </w14:textFill>
        </w:rPr>
        <w:t>措施</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.11 污酸资源化回收利用中的职业卫生应符合GBZ 1、GBZ 2.1、GBZ 2.2和GBZ158的规定，在施工、运行过程中应加强劳动安全管理，应严格执行安全检查制度，及时消除事故隐患，防止事故发生。</w:t>
      </w:r>
    </w:p>
    <w:p>
      <w:pPr>
        <w:pStyle w:val="107"/>
        <w:spacing w:before="240" w:after="240"/>
        <w:rPr>
          <w:rFonts w:ascii="Times New Roman"/>
          <w:color w:val="000000" w:themeColor="text1"/>
          <w14:textFill>
            <w14:solidFill>
              <w14:schemeClr w14:val="tx1"/>
            </w14:solidFill>
          </w14:textFill>
        </w:rPr>
      </w:pPr>
      <w:bookmarkStart w:id="43" w:name="_Toc142657342"/>
      <w:r>
        <w:rPr>
          <w:rFonts w:ascii="Times New Roman"/>
          <w:szCs w:val="21"/>
        </w:rPr>
        <w:t>工艺设计</w:t>
      </w:r>
      <w:r>
        <w:rPr>
          <w:rFonts w:hint="eastAsia" w:ascii="Times New Roman"/>
          <w:szCs w:val="21"/>
        </w:rPr>
        <w:t>要求</w:t>
      </w:r>
      <w:bookmarkEnd w:id="43"/>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5.1 一般</w:t>
      </w:r>
      <w:r>
        <w:rPr>
          <w:rFonts w:hint="eastAsia" w:ascii="黑体" w:hAnsi="黑体" w:eastAsia="黑体"/>
          <w:color w:val="000000" w:themeColor="text1"/>
          <w14:textFill>
            <w14:solidFill>
              <w14:schemeClr w14:val="tx1"/>
            </w14:solidFill>
          </w14:textFill>
        </w:rPr>
        <w:t>要求</w:t>
      </w:r>
    </w:p>
    <w:p>
      <w:pPr>
        <w:pStyle w:val="59"/>
        <w:spacing w:line="360" w:lineRule="auto"/>
        <w:ind w:firstLine="0" w:firstLineChars="0"/>
        <w:rPr>
          <w:rFonts w:hint="eastAsia"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5.1.1</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采取合适措施</w:t>
      </w:r>
      <w:r>
        <w:rPr>
          <w:rFonts w:hint="eastAsia" w:ascii="Times New Roman"/>
          <w:color w:val="000000" w:themeColor="text1"/>
          <w14:textFill>
            <w14:solidFill>
              <w14:schemeClr w14:val="tx1"/>
            </w14:solidFill>
          </w14:textFill>
        </w:rPr>
        <w:t>保障</w:t>
      </w:r>
      <w:r>
        <w:rPr>
          <w:rFonts w:ascii="Times New Roman"/>
          <w:color w:val="000000" w:themeColor="text1"/>
          <w14:textFill>
            <w14:solidFill>
              <w14:schemeClr w14:val="tx1"/>
            </w14:solidFill>
          </w14:textFill>
        </w:rPr>
        <w:t>污酸原水水质成分，污酸中钙离子浓度应小于</w:t>
      </w:r>
      <w:r>
        <w:rPr>
          <w:rFonts w:hint="eastAsia" w:ascii="Times New Roman"/>
          <w:color w:val="000000" w:themeColor="text1"/>
          <w14:textFill>
            <w14:solidFill>
              <w14:schemeClr w14:val="tx1"/>
            </w14:solidFill>
          </w14:textFill>
        </w:rPr>
        <w:t>5mg</w:t>
      </w:r>
      <w:r>
        <w:rPr>
          <w:rFonts w:ascii="Times New Roman"/>
          <w:color w:val="000000" w:themeColor="text1"/>
          <w14:textFill>
            <w14:solidFill>
              <w14:schemeClr w14:val="tx1"/>
            </w14:solidFill>
          </w14:textFill>
        </w:rPr>
        <w:t>/L，盐浓度宜</w:t>
      </w:r>
      <w:r>
        <w:rPr>
          <w:rFonts w:hint="eastAsia" w:ascii="Times New Roman"/>
          <w:color w:val="000000" w:themeColor="text1"/>
          <w14:textFill>
            <w14:solidFill>
              <w14:schemeClr w14:val="tx1"/>
            </w14:solidFill>
          </w14:textFill>
        </w:rPr>
        <w:t>控制</w:t>
      </w:r>
      <w:r>
        <w:rPr>
          <w:rFonts w:ascii="Times New Roman"/>
          <w:color w:val="000000" w:themeColor="text1"/>
          <w14:textFill>
            <w14:solidFill>
              <w14:schemeClr w14:val="tx1"/>
            </w14:solidFill>
          </w14:textFill>
        </w:rPr>
        <w:t>在小于</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000mg/L。</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5.1.2 </w:t>
      </w:r>
      <w:r>
        <w:rPr>
          <w:rFonts w:ascii="Times New Roman"/>
          <w:color w:val="000000" w:themeColor="text1"/>
          <w14:textFill>
            <w14:solidFill>
              <w14:schemeClr w14:val="tx1"/>
            </w14:solidFill>
          </w14:textFill>
        </w:rPr>
        <w:t>应根据污酸产生量、成分、回用要求、污泥处置等因素，并进行技术经济</w:t>
      </w:r>
      <w:r>
        <w:rPr>
          <w:rFonts w:hint="eastAsia" w:ascii="Times New Roman"/>
          <w:color w:val="000000" w:themeColor="text1"/>
          <w14:textFill>
            <w14:solidFill>
              <w14:schemeClr w14:val="tx1"/>
            </w14:solidFill>
          </w14:textFill>
        </w:rPr>
        <w:t>性</w:t>
      </w:r>
      <w:r>
        <w:rPr>
          <w:rFonts w:ascii="Times New Roman"/>
          <w:color w:val="000000" w:themeColor="text1"/>
          <w14:textFill>
            <w14:solidFill>
              <w14:schemeClr w14:val="tx1"/>
            </w14:solidFill>
          </w14:textFill>
        </w:rPr>
        <w:t>比较，优先选用</w:t>
      </w:r>
      <w:r>
        <w:rPr>
          <w:rFonts w:hint="eastAsia" w:ascii="Times New Roman"/>
          <w:color w:val="000000" w:themeColor="text1"/>
          <w14:textFill>
            <w14:solidFill>
              <w14:schemeClr w14:val="tx1"/>
            </w14:solidFill>
          </w14:textFill>
        </w:rPr>
        <w:t>符合</w:t>
      </w:r>
      <w:r>
        <w:rPr>
          <w:rFonts w:ascii="Times New Roman"/>
          <w:color w:val="000000" w:themeColor="text1"/>
          <w14:textFill>
            <w14:solidFill>
              <w14:schemeClr w14:val="tx1"/>
            </w14:solidFill>
          </w14:textFill>
        </w:rPr>
        <w:t>企业生产实践的工艺。</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5.2 工艺选择</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5.2.1</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污酸</w:t>
      </w:r>
      <w:r>
        <w:rPr>
          <w:rFonts w:ascii="Times New Roman"/>
          <w:color w:val="000000" w:themeColor="text1"/>
          <w14:textFill>
            <w14:solidFill>
              <w14:schemeClr w14:val="tx1"/>
            </w14:solidFill>
          </w14:textFill>
        </w:rPr>
        <w:t>资源化回收利用应根据污酸</w:t>
      </w:r>
      <w:r>
        <w:rPr>
          <w:rFonts w:hint="eastAsia" w:ascii="Times New Roman"/>
          <w:color w:val="000000" w:themeColor="text1"/>
          <w14:textFill>
            <w14:solidFill>
              <w14:schemeClr w14:val="tx1"/>
            </w14:solidFill>
          </w14:textFill>
        </w:rPr>
        <w:t>的</w:t>
      </w:r>
      <w:r>
        <w:rPr>
          <w:rFonts w:ascii="Times New Roman"/>
          <w:color w:val="000000" w:themeColor="text1"/>
          <w14:textFill>
            <w14:solidFill>
              <w14:schemeClr w14:val="tx1"/>
            </w14:solidFill>
          </w14:textFill>
        </w:rPr>
        <w:t>组分、浓度、回收及综合利用的方式，选用气液强化硫化法、电渗析</w:t>
      </w:r>
      <w:r>
        <w:rPr>
          <w:rFonts w:hint="eastAsia" w:ascii="Times New Roman"/>
          <w:color w:val="000000" w:themeColor="text1"/>
          <w14:textFill>
            <w14:solidFill>
              <w14:schemeClr w14:val="tx1"/>
            </w14:solidFill>
          </w14:textFill>
        </w:rPr>
        <w:t>法</w:t>
      </w:r>
      <w:r>
        <w:rPr>
          <w:rFonts w:ascii="Times New Roman"/>
          <w:color w:val="000000" w:themeColor="text1"/>
          <w14:textFill>
            <w14:solidFill>
              <w14:schemeClr w14:val="tx1"/>
            </w14:solidFill>
          </w14:textFill>
        </w:rPr>
        <w:t>、蒸发浓缩法、催化吹脱法</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氟氯分盐法工艺中的单一或者组合工艺回收有价金属、酸和水等资源。</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5.2.2 </w:t>
      </w:r>
      <w:r>
        <w:rPr>
          <w:rFonts w:ascii="Times New Roman"/>
          <w:color w:val="000000" w:themeColor="text1"/>
          <w14:textFill>
            <w14:solidFill>
              <w14:schemeClr w14:val="tx1"/>
            </w14:solidFill>
          </w14:textFill>
        </w:rPr>
        <w:t>污酸中酸度高于5%时，</w:t>
      </w:r>
      <w:r>
        <w:rPr>
          <w:rFonts w:hint="eastAsia" w:ascii="Times New Roman"/>
          <w:color w:val="000000" w:themeColor="text1"/>
          <w14:textFill>
            <w14:solidFill>
              <w14:schemeClr w14:val="tx1"/>
            </w14:solidFill>
          </w14:textFill>
        </w:rPr>
        <w:t>应优先</w:t>
      </w:r>
      <w:r>
        <w:rPr>
          <w:rFonts w:ascii="Times New Roman"/>
          <w:color w:val="000000" w:themeColor="text1"/>
          <w14:textFill>
            <w14:solidFill>
              <w14:schemeClr w14:val="tx1"/>
            </w14:solidFill>
          </w14:textFill>
        </w:rPr>
        <w:t>采用气液强化硫化-蒸发浓缩-催化吹脱组合工艺；</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5.2.3 </w:t>
      </w:r>
      <w:r>
        <w:rPr>
          <w:rFonts w:ascii="Times New Roman"/>
          <w:color w:val="000000" w:themeColor="text1"/>
          <w14:textFill>
            <w14:solidFill>
              <w14:schemeClr w14:val="tx1"/>
            </w14:solidFill>
          </w14:textFill>
        </w:rPr>
        <w:t>污酸中酸度低于5%时，应优先采用气液</w:t>
      </w:r>
      <w:r>
        <w:rPr>
          <w:rFonts w:hint="eastAsia" w:ascii="Times New Roman"/>
          <w:color w:val="000000" w:themeColor="text1"/>
          <w14:textFill>
            <w14:solidFill>
              <w14:schemeClr w14:val="tx1"/>
            </w14:solidFill>
          </w14:textFill>
        </w:rPr>
        <w:t>强化</w:t>
      </w:r>
      <w:r>
        <w:rPr>
          <w:rFonts w:ascii="Times New Roman"/>
          <w:color w:val="000000" w:themeColor="text1"/>
          <w14:textFill>
            <w14:solidFill>
              <w14:schemeClr w14:val="tx1"/>
            </w14:solidFill>
          </w14:textFill>
        </w:rPr>
        <w:t>硫化-电渗析-蒸发浓缩-催化吹脱组合工艺。</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 </w:t>
      </w:r>
      <w:r>
        <w:rPr>
          <w:rFonts w:hint="eastAsia" w:ascii="黑体" w:hAnsi="黑体" w:eastAsia="黑体"/>
          <w:color w:val="000000" w:themeColor="text1"/>
          <w14:textFill>
            <w14:solidFill>
              <w14:schemeClr w14:val="tx1"/>
            </w14:solidFill>
          </w14:textFill>
        </w:rPr>
        <w:t>工艺</w:t>
      </w:r>
      <w:r>
        <w:rPr>
          <w:rFonts w:ascii="黑体" w:hAnsi="黑体" w:eastAsia="黑体"/>
          <w:color w:val="000000" w:themeColor="text1"/>
          <w14:textFill>
            <w14:solidFill>
              <w14:schemeClr w14:val="tx1"/>
            </w14:solidFill>
          </w14:textFill>
        </w:rPr>
        <w:t>要求</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5.3.1 </w:t>
      </w:r>
      <w:r>
        <w:rPr>
          <w:rFonts w:ascii="Times New Roman"/>
          <w:color w:val="000000" w:themeColor="text1"/>
          <w14:textFill>
            <w14:solidFill>
              <w14:schemeClr w14:val="tx1"/>
            </w14:solidFill>
          </w14:textFill>
        </w:rPr>
        <w:t>污酸资源化回收利用全工艺流程</w:t>
      </w:r>
      <w:r>
        <w:rPr>
          <w:rFonts w:hint="eastAsia" w:ascii="Times New Roman"/>
          <w:color w:val="000000" w:themeColor="text1"/>
          <w14:textFill>
            <w14:solidFill>
              <w14:schemeClr w14:val="tx1"/>
            </w14:solidFill>
          </w14:textFill>
        </w:rPr>
        <w:t>包括</w:t>
      </w:r>
      <w:r>
        <w:rPr>
          <w:rFonts w:ascii="Times New Roman"/>
          <w:color w:val="000000" w:themeColor="text1"/>
          <w14:textFill>
            <w14:solidFill>
              <w14:schemeClr w14:val="tx1"/>
            </w14:solidFill>
          </w14:textFill>
        </w:rPr>
        <w:t>气液强化硫化法、电渗析法、蒸发浓缩法、催化吹脱法和氟氯分盐法五个模块，如图1所示，企业可根据</w:t>
      </w:r>
      <w:r>
        <w:rPr>
          <w:rFonts w:hint="eastAsia" w:ascii="Times New Roman"/>
          <w:color w:val="000000" w:themeColor="text1"/>
          <w14:textFill>
            <w14:solidFill>
              <w14:schemeClr w14:val="tx1"/>
            </w14:solidFill>
          </w14:textFill>
        </w:rPr>
        <w:t>污酸</w:t>
      </w:r>
      <w:r>
        <w:rPr>
          <w:rFonts w:ascii="Times New Roman"/>
          <w:color w:val="000000" w:themeColor="text1"/>
          <w14:textFill>
            <w14:solidFill>
              <w14:schemeClr w14:val="tx1"/>
            </w14:solidFill>
          </w14:textFill>
        </w:rPr>
        <w:t>水质情况，选用不同的组合工艺。</w:t>
      </w:r>
    </w:p>
    <w:p>
      <w:pPr>
        <w:pStyle w:val="59"/>
        <w:spacing w:line="360" w:lineRule="auto"/>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c">
            <w:drawing>
              <wp:inline distT="0" distB="0" distL="0" distR="0">
                <wp:extent cx="6253480" cy="1621155"/>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文本框 3"/>
                        <wps:cNvSpPr txBox="1"/>
                        <wps:spPr>
                          <a:xfrm>
                            <a:off x="36011" y="372614"/>
                            <a:ext cx="456565" cy="2705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pPr>
                              <w:r>
                                <w:rPr>
                                  <w:rFonts w:hint="eastAsia"/>
                                </w:rPr>
                                <w:t>污酸</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箭头连接符 4"/>
                        <wps:cNvCnPr/>
                        <wps:spPr bwMode="auto">
                          <a:xfrm>
                            <a:off x="394457" y="489658"/>
                            <a:ext cx="336499" cy="0"/>
                          </a:xfrm>
                          <a:prstGeom prst="straightConnector1">
                            <a:avLst/>
                          </a:prstGeom>
                          <a:noFill/>
                          <a:ln w="9525">
                            <a:solidFill>
                              <a:srgbClr val="000000"/>
                            </a:solidFill>
                            <a:round/>
                            <a:headEnd w="med" len="lg"/>
                            <a:tailEnd type="stealth" w="sm" len="lg"/>
                          </a:ln>
                        </wps:spPr>
                        <wps:bodyPr/>
                      </wps:wsp>
                      <wps:wsp>
                        <wps:cNvPr id="20" name="文本框 3"/>
                        <wps:cNvSpPr txBox="1"/>
                        <wps:spPr>
                          <a:xfrm>
                            <a:off x="635859" y="357985"/>
                            <a:ext cx="59563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调节池</w:t>
                              </w:r>
                            </w:p>
                          </w:txbxContent>
                        </wps:txbx>
                        <wps:bodyPr rot="0" spcFirstLastPara="0" vert="horz" wrap="none" lIns="91440" tIns="45720" rIns="91440" bIns="45720" numCol="1" spcCol="0" rtlCol="0" fromWordArt="0" anchor="t" anchorCtr="0" forceAA="0" compatLnSpc="1">
                          <a:noAutofit/>
                        </wps:bodyPr>
                      </wps:wsp>
                      <wps:wsp>
                        <wps:cNvPr id="27" name="直接箭头连接符 9"/>
                        <wps:cNvCnPr/>
                        <wps:spPr bwMode="auto">
                          <a:xfrm>
                            <a:off x="1137827" y="479161"/>
                            <a:ext cx="335915" cy="0"/>
                          </a:xfrm>
                          <a:prstGeom prst="straightConnector1">
                            <a:avLst/>
                          </a:prstGeom>
                          <a:noFill/>
                          <a:ln w="9525">
                            <a:solidFill>
                              <a:srgbClr val="000000"/>
                            </a:solidFill>
                            <a:round/>
                            <a:headEnd w="med" len="lg"/>
                            <a:tailEnd type="stealth" w="sm" len="lg"/>
                          </a:ln>
                        </wps:spPr>
                        <wps:bodyPr/>
                      </wps:wsp>
                      <wps:wsp>
                        <wps:cNvPr id="28" name="文本框 3"/>
                        <wps:cNvSpPr txBox="1"/>
                        <wps:spPr>
                          <a:xfrm>
                            <a:off x="1415703" y="358626"/>
                            <a:ext cx="995680"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气液强化</w:t>
                              </w:r>
                              <w:r>
                                <w:rPr>
                                  <w:rFonts w:ascii="Calibri" w:cs="Times New Roman"/>
                                  <w:kern w:val="2"/>
                                  <w:sz w:val="21"/>
                                  <w:szCs w:val="21"/>
                                  <w:bdr w:val="single" w:color="auto" w:sz="4" w:space="0"/>
                                </w:rPr>
                                <w:t>硫化</w:t>
                              </w:r>
                            </w:p>
                          </w:txbxContent>
                        </wps:txbx>
                        <wps:bodyPr rot="0" spcFirstLastPara="0" vert="horz" wrap="none" lIns="91440" tIns="45720" rIns="91440" bIns="45720" numCol="1" spcCol="0" rtlCol="0" fromWordArt="0" anchor="t" anchorCtr="0" forceAA="0" compatLnSpc="1">
                          <a:noAutofit/>
                        </wps:bodyPr>
                      </wps:wsp>
                      <wps:wsp>
                        <wps:cNvPr id="29" name="直接箭头连接符 11"/>
                        <wps:cNvCnPr/>
                        <wps:spPr bwMode="auto">
                          <a:xfrm>
                            <a:off x="2308006" y="482993"/>
                            <a:ext cx="335915" cy="0"/>
                          </a:xfrm>
                          <a:prstGeom prst="straightConnector1">
                            <a:avLst/>
                          </a:prstGeom>
                          <a:noFill/>
                          <a:ln w="9525">
                            <a:solidFill>
                              <a:srgbClr val="000000"/>
                            </a:solidFill>
                            <a:round/>
                            <a:headEnd w="med" len="lg"/>
                            <a:tailEnd type="stealth" w="sm" len="lg"/>
                          </a:ln>
                        </wps:spPr>
                        <wps:bodyPr/>
                      </wps:wsp>
                      <wps:wsp>
                        <wps:cNvPr id="30" name="文本框 3"/>
                        <wps:cNvSpPr txBox="1"/>
                        <wps:spPr>
                          <a:xfrm>
                            <a:off x="2569433" y="354136"/>
                            <a:ext cx="59563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电渗析</w:t>
                              </w:r>
                            </w:p>
                          </w:txbxContent>
                        </wps:txbx>
                        <wps:bodyPr rot="0" spcFirstLastPara="0" vert="horz" wrap="none" lIns="91440" tIns="45720" rIns="91440" bIns="45720" numCol="1" spcCol="0" rtlCol="0" fromWordArt="0" anchor="t" anchorCtr="0" forceAA="0" compatLnSpc="1">
                          <a:noAutofit/>
                        </wps:bodyPr>
                      </wps:wsp>
                      <wps:wsp>
                        <wps:cNvPr id="31" name="直接箭头连接符 13"/>
                        <wps:cNvCnPr/>
                        <wps:spPr bwMode="auto">
                          <a:xfrm>
                            <a:off x="4125028" y="493245"/>
                            <a:ext cx="335915" cy="0"/>
                          </a:xfrm>
                          <a:prstGeom prst="straightConnector1">
                            <a:avLst/>
                          </a:prstGeom>
                          <a:noFill/>
                          <a:ln w="9525">
                            <a:solidFill>
                              <a:srgbClr val="000000"/>
                            </a:solidFill>
                            <a:round/>
                            <a:headEnd w="med" len="lg"/>
                            <a:tailEnd type="stealth" w="sm" len="lg"/>
                          </a:ln>
                        </wps:spPr>
                        <wps:bodyPr/>
                      </wps:wsp>
                      <wps:wsp>
                        <wps:cNvPr id="32" name="文本框 3"/>
                        <wps:cNvSpPr txBox="1"/>
                        <wps:spPr>
                          <a:xfrm>
                            <a:off x="4380817" y="350322"/>
                            <a:ext cx="72898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催化吹脱</w:t>
                              </w:r>
                            </w:p>
                          </w:txbxContent>
                        </wps:txbx>
                        <wps:bodyPr rot="0" spcFirstLastPara="0" vert="horz" wrap="none" lIns="91440" tIns="45720" rIns="91440" bIns="45720" numCol="1" spcCol="0" rtlCol="0" fromWordArt="0" anchor="t" anchorCtr="0" forceAA="0" compatLnSpc="1">
                          <a:noAutofit/>
                        </wps:bodyPr>
                      </wps:wsp>
                      <wps:wsp>
                        <wps:cNvPr id="33" name="直接箭头连接符 15"/>
                        <wps:cNvCnPr/>
                        <wps:spPr bwMode="auto">
                          <a:xfrm>
                            <a:off x="5071487" y="504440"/>
                            <a:ext cx="456872" cy="0"/>
                          </a:xfrm>
                          <a:prstGeom prst="straightConnector1">
                            <a:avLst/>
                          </a:prstGeom>
                          <a:noFill/>
                          <a:ln w="9525">
                            <a:solidFill>
                              <a:srgbClr val="000000"/>
                            </a:solidFill>
                            <a:round/>
                            <a:headEnd w="med" len="lg"/>
                            <a:tailEnd type="stealth" w="sm" len="lg"/>
                          </a:ln>
                        </wps:spPr>
                        <wps:bodyPr/>
                      </wps:wsp>
                      <wps:wsp>
                        <wps:cNvPr id="34" name="文本框 3"/>
                        <wps:cNvSpPr txBox="1"/>
                        <wps:spPr>
                          <a:xfrm>
                            <a:off x="5428105" y="350896"/>
                            <a:ext cx="728980" cy="349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氟氯</w:t>
                              </w:r>
                              <w:r>
                                <w:rPr>
                                  <w:rFonts w:ascii="Calibri" w:cs="Times New Roman"/>
                                  <w:kern w:val="2"/>
                                  <w:sz w:val="21"/>
                                  <w:szCs w:val="21"/>
                                  <w:bdr w:val="single" w:color="auto" w:sz="4" w:space="0"/>
                                </w:rPr>
                                <w:t>分盐</w:t>
                              </w:r>
                            </w:p>
                          </w:txbxContent>
                        </wps:txbx>
                        <wps:bodyPr rot="0" spcFirstLastPara="0" vert="horz" wrap="none" lIns="91440" tIns="45720" rIns="91440" bIns="45720" numCol="1" spcCol="0" rtlCol="0" fromWordArt="0" anchor="t" anchorCtr="0" forceAA="0" compatLnSpc="1">
                          <a:noAutofit/>
                        </wps:bodyPr>
                      </wps:wsp>
                      <wps:wsp>
                        <wps:cNvPr id="35" name="直接箭头连接符 6"/>
                        <wps:cNvCnPr/>
                        <wps:spPr bwMode="auto">
                          <a:xfrm>
                            <a:off x="1930648" y="599248"/>
                            <a:ext cx="0" cy="241402"/>
                          </a:xfrm>
                          <a:prstGeom prst="straightConnector1">
                            <a:avLst/>
                          </a:prstGeom>
                          <a:noFill/>
                          <a:ln w="9525">
                            <a:solidFill>
                              <a:srgbClr val="000000"/>
                            </a:solidFill>
                            <a:round/>
                            <a:tailEnd type="stealth" w="sm" len="lg"/>
                          </a:ln>
                        </wps:spPr>
                        <wps:bodyPr/>
                      </wps:wsp>
                      <wps:wsp>
                        <wps:cNvPr id="36" name="文本框 3"/>
                        <wps:cNvSpPr txBox="1"/>
                        <wps:spPr>
                          <a:xfrm>
                            <a:off x="1701939" y="719685"/>
                            <a:ext cx="45656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line="400" w:lineRule="exact"/>
                                <w:jc w:val="both"/>
                              </w:pPr>
                              <w:r>
                                <w:rPr>
                                  <w:rFonts w:hint="eastAsia" w:ascii="Calibri" w:cs="Times New Roman"/>
                                  <w:kern w:val="2"/>
                                  <w:sz w:val="21"/>
                                  <w:szCs w:val="21"/>
                                </w:rPr>
                                <w:t>污泥</w:t>
                              </w:r>
                            </w:p>
                          </w:txbxContent>
                        </wps:txbx>
                        <wps:bodyPr rot="0" spcFirstLastPara="0" vert="horz" wrap="none" lIns="91440" tIns="45720" rIns="91440" bIns="45720" numCol="1" spcCol="0" rtlCol="0" fromWordArt="0" anchor="t" anchorCtr="0" forceAA="0" compatLnSpc="1">
                          <a:noAutofit/>
                        </wps:bodyPr>
                      </wps:wsp>
                      <wps:wsp>
                        <wps:cNvPr id="37" name="直接箭头连接符 21"/>
                        <wps:cNvCnPr/>
                        <wps:spPr bwMode="auto">
                          <a:xfrm>
                            <a:off x="2866884" y="562881"/>
                            <a:ext cx="0" cy="241300"/>
                          </a:xfrm>
                          <a:prstGeom prst="straightConnector1">
                            <a:avLst/>
                          </a:prstGeom>
                          <a:noFill/>
                          <a:ln w="9525">
                            <a:solidFill>
                              <a:srgbClr val="000000"/>
                            </a:solidFill>
                            <a:round/>
                            <a:tailEnd type="stealth" w="sm" len="lg"/>
                          </a:ln>
                        </wps:spPr>
                        <wps:bodyPr/>
                      </wps:wsp>
                      <wps:wsp>
                        <wps:cNvPr id="38" name="文本框 3"/>
                        <wps:cNvSpPr txBox="1"/>
                        <wps:spPr>
                          <a:xfrm>
                            <a:off x="2508782" y="834577"/>
                            <a:ext cx="723265" cy="5969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jc w:val="both"/>
                                <w:rPr>
                                  <w:rFonts w:ascii="Calibri" w:cs="Times New Roman"/>
                                  <w:kern w:val="2"/>
                                  <w:sz w:val="21"/>
                                  <w:szCs w:val="21"/>
                                </w:rPr>
                              </w:pPr>
                              <w:r>
                                <w:rPr>
                                  <w:rFonts w:hint="eastAsia" w:ascii="Calibri" w:cs="Times New Roman"/>
                                  <w:kern w:val="2"/>
                                  <w:sz w:val="21"/>
                                  <w:szCs w:val="21"/>
                                </w:rPr>
                                <w:t>淡液返回</w:t>
                              </w:r>
                            </w:p>
                            <w:p>
                              <w:pPr>
                                <w:pStyle w:val="26"/>
                                <w:spacing w:before="0" w:beforeAutospacing="0" w:after="0" w:afterAutospacing="0"/>
                                <w:jc w:val="both"/>
                              </w:pPr>
                              <w:r>
                                <w:rPr>
                                  <w:rFonts w:ascii="Calibri" w:cs="Times New Roman"/>
                                  <w:kern w:val="2"/>
                                  <w:sz w:val="21"/>
                                  <w:szCs w:val="21"/>
                                </w:rPr>
                                <w:t>洗涤补水</w:t>
                              </w:r>
                            </w:p>
                          </w:txbxContent>
                        </wps:txbx>
                        <wps:bodyPr rot="0" spcFirstLastPara="0" vert="horz" wrap="none" lIns="91440" tIns="45720" rIns="91440" bIns="45720" numCol="1" spcCol="0" rtlCol="0" fromWordArt="0" anchor="t" anchorCtr="0" forceAA="0" compatLnSpc="1">
                          <a:noAutofit/>
                        </wps:bodyPr>
                      </wps:wsp>
                      <wps:wsp>
                        <wps:cNvPr id="39" name="直接箭头连接符 23"/>
                        <wps:cNvCnPr/>
                        <wps:spPr bwMode="auto">
                          <a:xfrm>
                            <a:off x="4761377" y="584745"/>
                            <a:ext cx="0" cy="240665"/>
                          </a:xfrm>
                          <a:prstGeom prst="straightConnector1">
                            <a:avLst/>
                          </a:prstGeom>
                          <a:noFill/>
                          <a:ln w="9525">
                            <a:solidFill>
                              <a:srgbClr val="000000"/>
                            </a:solidFill>
                            <a:round/>
                            <a:tailEnd type="stealth" w="sm" len="lg"/>
                          </a:ln>
                        </wps:spPr>
                        <wps:bodyPr/>
                      </wps:wsp>
                      <wps:wsp>
                        <wps:cNvPr id="40" name="文本框 3"/>
                        <wps:cNvSpPr txBox="1"/>
                        <wps:spPr>
                          <a:xfrm>
                            <a:off x="4207834" y="715929"/>
                            <a:ext cx="112331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line="400" w:lineRule="exact"/>
                                <w:jc w:val="both"/>
                              </w:pPr>
                              <w:r>
                                <w:rPr>
                                  <w:rFonts w:hint="eastAsia" w:ascii="Calibri" w:cs="Times New Roman"/>
                                  <w:kern w:val="2"/>
                                  <w:sz w:val="21"/>
                                  <w:szCs w:val="21"/>
                                </w:rPr>
                                <w:t>浓酸</w:t>
                              </w:r>
                              <w:r>
                                <w:rPr>
                                  <w:rFonts w:ascii="Calibri" w:cs="Times New Roman"/>
                                  <w:kern w:val="2"/>
                                  <w:sz w:val="21"/>
                                  <w:szCs w:val="21"/>
                                </w:rPr>
                                <w:t>回用或外售</w:t>
                              </w:r>
                            </w:p>
                          </w:txbxContent>
                        </wps:txbx>
                        <wps:bodyPr rot="0" spcFirstLastPara="0" vert="horz" wrap="none" lIns="91440" tIns="45720" rIns="91440" bIns="45720" numCol="1" spcCol="0" rtlCol="0" fromWordArt="0" anchor="t" anchorCtr="0" forceAA="0" compatLnSpc="1">
                          <a:noAutofit/>
                        </wps:bodyPr>
                      </wps:wsp>
                      <wps:wsp>
                        <wps:cNvPr id="41" name="直接箭头连接符 25"/>
                        <wps:cNvCnPr/>
                        <wps:spPr bwMode="auto">
                          <a:xfrm>
                            <a:off x="5823639" y="587535"/>
                            <a:ext cx="0" cy="240665"/>
                          </a:xfrm>
                          <a:prstGeom prst="straightConnector1">
                            <a:avLst/>
                          </a:prstGeom>
                          <a:noFill/>
                          <a:ln w="9525">
                            <a:solidFill>
                              <a:srgbClr val="000000"/>
                            </a:solidFill>
                            <a:round/>
                            <a:tailEnd type="stealth" w="sm" len="lg"/>
                          </a:ln>
                        </wps:spPr>
                        <wps:bodyPr/>
                      </wps:wsp>
                      <wps:wsp>
                        <wps:cNvPr id="42" name="文本框 3"/>
                        <wps:cNvSpPr txBox="1"/>
                        <wps:spPr>
                          <a:xfrm>
                            <a:off x="5397728" y="818674"/>
                            <a:ext cx="856615"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ind w:firstLine="315" w:firstLineChars="150"/>
                                <w:jc w:val="both"/>
                                <w:rPr>
                                  <w:rFonts w:ascii="Calibri" w:cs="Times New Roman"/>
                                  <w:kern w:val="2"/>
                                  <w:sz w:val="21"/>
                                  <w:szCs w:val="21"/>
                                </w:rPr>
                              </w:pPr>
                              <w:r>
                                <w:rPr>
                                  <w:rFonts w:hint="eastAsia" w:ascii="Calibri" w:cs="Times New Roman"/>
                                  <w:kern w:val="2"/>
                                  <w:sz w:val="21"/>
                                  <w:szCs w:val="21"/>
                                </w:rPr>
                                <w:t>萤石</w:t>
                              </w:r>
                            </w:p>
                            <w:p>
                              <w:pPr>
                                <w:pStyle w:val="26"/>
                                <w:spacing w:before="0" w:beforeAutospacing="0" w:after="0" w:afterAutospacing="0"/>
                                <w:jc w:val="both"/>
                              </w:pPr>
                              <w:r>
                                <w:rPr>
                                  <w:rFonts w:ascii="Calibri" w:cs="Times New Roman"/>
                                  <w:kern w:val="2"/>
                                  <w:sz w:val="21"/>
                                  <w:szCs w:val="21"/>
                                </w:rPr>
                                <w:t>氯化钙产品</w:t>
                              </w:r>
                            </w:p>
                          </w:txbxContent>
                        </wps:txbx>
                        <wps:bodyPr rot="0" spcFirstLastPara="0" vert="horz" wrap="none" lIns="91440" tIns="45720" rIns="91440" bIns="45720" numCol="1" spcCol="0" rtlCol="0" fromWordArt="0" anchor="t" anchorCtr="0" forceAA="0" compatLnSpc="1">
                          <a:noAutofit/>
                        </wps:bodyPr>
                      </wps:wsp>
                      <wps:wsp>
                        <wps:cNvPr id="26" name="文本框 3"/>
                        <wps:cNvSpPr txBox="1"/>
                        <wps:spPr>
                          <a:xfrm>
                            <a:off x="3428975" y="350322"/>
                            <a:ext cx="72898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蒸发浓缩</w:t>
                              </w:r>
                            </w:p>
                          </w:txbxContent>
                        </wps:txbx>
                        <wps:bodyPr rot="0" spcFirstLastPara="0" vert="horz" wrap="none" lIns="91440" tIns="45720" rIns="91440" bIns="45720" numCol="1" spcCol="0" rtlCol="0" fromWordArt="0" anchor="t" anchorCtr="0" forceAA="0" compatLnSpc="1">
                          <a:noAutofit/>
                        </wps:bodyPr>
                      </wps:wsp>
                      <wps:wsp>
                        <wps:cNvPr id="43" name="直接箭头连接符 11"/>
                        <wps:cNvCnPr/>
                        <wps:spPr bwMode="auto">
                          <a:xfrm>
                            <a:off x="3134945" y="483257"/>
                            <a:ext cx="335915" cy="0"/>
                          </a:xfrm>
                          <a:prstGeom prst="straightConnector1">
                            <a:avLst/>
                          </a:prstGeom>
                          <a:noFill/>
                          <a:ln w="9525">
                            <a:solidFill>
                              <a:srgbClr val="000000"/>
                            </a:solidFill>
                            <a:round/>
                            <a:headEnd w="med" len="lg"/>
                            <a:tailEnd type="stealth" w="sm" len="lg"/>
                          </a:ln>
                        </wps:spPr>
                        <wps:bodyPr/>
                      </wps:wsp>
                    </wpc:wpc>
                  </a:graphicData>
                </a:graphic>
              </wp:inline>
            </w:drawing>
          </mc:Choice>
          <mc:Fallback>
            <w:pict>
              <v:group id="_x0000_s1026" o:spid="_x0000_s1026" o:spt="203" style="height:127.65pt;width:492.4pt;" coordsize="6253790,1621155" editas="canvas" o:gfxdata="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WAAAAZHJzL1BL&#10;AQIUABQAAAAIAIdO4kDv+BMp1wAAAAUBAAAPAAAAAAAAAAEAIAAAADgAAABkcnMvZG93bnJldi54&#10;bWxQSwECFAAUAAAACACHTuJAuzkzi1kGAADHMQAADgAAAAAAAAABACAAAAA8AQAAZHJzL2Uyb0Rv&#10;Yy54bWxQSwUGAAAAAAYABgBZAQAABwoAAAAA&#10;">
                <o:lock v:ext="edit" aspectratio="f"/>
                <v:shape id="_x0000_s1026" o:spid="_x0000_s1026" style="position:absolute;left:0;top:0;height:1621155;width:6253790;" filled="f" stroked="f" coordsize="21600,21600" o:gfxdata="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">
                  <v:fill on="f" focussize="0,0"/>
                  <v:stroke on="f"/>
                  <v:imagedata o:title=""/>
                  <o:lock v:ext="edit" aspectratio="t"/>
                </v:shape>
                <v:shape id="文本框 3" o:spid="_x0000_s1026" o:spt="202" type="#_x0000_t202" style="position:absolute;left:36011;top:372614;height:270537;width:456565;mso-wrap-style:none;" fillcolor="#FFFFFF [3201]" filled="t" stroked="f" coordsize="21600,21600" o:gfxdata="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KVBv+1AAAAAUBAAAPAAAAAAAAAAEAIAAAADgAAABkcnMvZG93bnJldi54&#10;bWxQSwECFAAUAAAACACHTuJAgxwruVoCAACkBAAADgAAAAAAAAABACAAAAA5AQAAZHJzL2Uyb0Rv&#10;Yy54bWxQSwUGAAAAAAYABgBZAQAABQYAAAAA&#10;">
                  <v:fill on="t" focussize="0,0"/>
                  <v:stroke on="f" weight="0.5pt"/>
                  <v:imagedata o:title=""/>
                  <o:lock v:ext="edit" aspectratio="f"/>
                  <v:textbox>
                    <w:txbxContent>
                      <w:p>
                        <w:pPr>
                          <w:spacing w:line="240" w:lineRule="auto"/>
                        </w:pPr>
                        <w:r>
                          <w:rPr>
                            <w:rFonts w:hint="eastAsia"/>
                          </w:rPr>
                          <w:t>污酸</w:t>
                        </w:r>
                      </w:p>
                    </w:txbxContent>
                  </v:textbox>
                </v:shape>
                <v:shape id="直接箭头连接符 4" o:spid="_x0000_s1026" o:spt="32" type="#_x0000_t32" style="position:absolute;left:394457;top:489658;height:0;width:336499;"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XR&#10;9NgAAAAFAQAADwAAAAAAAAABACAAAAA4AAAAZHJzL2Rvd25yZXYueG1sUEsBAhQAFAAAAAgAh07i&#10;QBNyH0MMAgAA3gMAAA4AAAAAAAAAAQAgAAAAPQEAAGRycy9lMm9Eb2MueG1sUEsFBgAAAAAGAAYA&#10;WQEAALsFAAAAAA==&#10;">
                  <v:fill on="f" focussize="0,0"/>
                  <v:stroke color="#000000" joinstyle="round" startarrowlength="long" endarrow="classic" endarrowwidth="narrow" endarrowlength="long"/>
                  <v:imagedata o:title=""/>
                  <o:lock v:ext="edit" aspectratio="f"/>
                </v:shape>
                <v:shape id="文本框 3" o:spid="_x0000_s1026" o:spt="202" type="#_x0000_t202" style="position:absolute;left:635859;top:357985;height:351790;width:59563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Q5v74tgAAAAFAQAADwAAAAAA&#10;AAABACAAAAA4AAAAZHJzL2Rvd25yZXYueG1sUEsBAhQAFAAAAAgAh07iQAKvISs2AgAATAQAAA4A&#10;AAAAAAAAAQAgAAAAPQEAAGRycy9lMm9Eb2MueG1sUEsFBgAAAAAGAAYAWQEAAOUFA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调节池</w:t>
                        </w:r>
                      </w:p>
                    </w:txbxContent>
                  </v:textbox>
                </v:shape>
                <v:shape id="直接箭头连接符 9" o:spid="_x0000_s1026" o:spt="32" type="#_x0000_t32" style="position:absolute;left:1137827;top:479161;height:0;width:335915;"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l&#10;0fTYAAAABQEAAA8AAAAAAAAAAQAgAAAAOAAAAGRycy9kb3ducmV2LnhtbFBLAQIUABQAAAAIAIdO&#10;4kDnKhIUDQIAAN8DAAAOAAAAAAAAAAEAIAAAAD0BAABkcnMvZTJvRG9jLnhtbFBLBQYAAAAABgAG&#10;AFkBAAC8BQAAAAA=&#10;">
                  <v:fill on="f" focussize="0,0"/>
                  <v:stroke color="#000000" joinstyle="round" startarrowlength="long" endarrow="classic" endarrowwidth="narrow" endarrowlength="long"/>
                  <v:imagedata o:title=""/>
                  <o:lock v:ext="edit" aspectratio="f"/>
                </v:shape>
                <v:shape id="文本框 3" o:spid="_x0000_s1026" o:spt="202" type="#_x0000_t202" style="position:absolute;left:1415703;top:358626;height:351155;width:99568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Dm/vi2AAAAAUBAAAPAAAA&#10;AAAAAAEAIAAAADgAAABkcnMvZG93bnJldi54bWxQSwECFAAUAAAACACHTuJAyGipmTgCAABNBAAA&#10;DgAAAAAAAAABACAAAAA9AQAAZHJzL2Uyb0RvYy54bWxQSwUGAAAAAAYABgBZAQAA5wU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气液强化</w:t>
                        </w:r>
                        <w:r>
                          <w:rPr>
                            <w:rFonts w:ascii="Calibri" w:cs="Times New Roman"/>
                            <w:kern w:val="2"/>
                            <w:sz w:val="21"/>
                            <w:szCs w:val="21"/>
                            <w:bdr w:val="single" w:color="auto" w:sz="4" w:space="0"/>
                          </w:rPr>
                          <w:t>硫化</w:t>
                        </w:r>
                      </w:p>
                    </w:txbxContent>
                  </v:textbox>
                </v:shape>
                <v:shape id="直接箭头连接符 11" o:spid="_x0000_s1026" o:spt="32" type="#_x0000_t32" style="position:absolute;left:2308006;top:482993;height:0;width:335915;"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P&#10;5dH02AAAAAUBAAAPAAAAAAAAAAEAIAAAADgAAABkcnMvZG93bnJldi54bWxQSwECFAAUAAAACACH&#10;TuJAKdaBkQ4CAADgAwAADgAAAAAAAAABACAAAAA9AQAAZHJzL2Uyb0RvYy54bWxQSwUGAAAAAAYA&#10;BgBZAQAAvQUAAAAA&#10;">
                  <v:fill on="f" focussize="0,0"/>
                  <v:stroke color="#000000" joinstyle="round" startarrowlength="long" endarrow="classic" endarrowwidth="narrow" endarrowlength="long"/>
                  <v:imagedata o:title=""/>
                  <o:lock v:ext="edit" aspectratio="f"/>
                </v:shape>
                <v:shape id="文本框 3" o:spid="_x0000_s1026" o:spt="202" type="#_x0000_t202" style="position:absolute;left:2569433;top:354136;height:350520;width:59563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Dm/vi2AAAAAUBAAAPAAAA&#10;AAAAAAEAIAAAADgAAABkcnMvZG93bnJldi54bWxQSwECFAAUAAAACACHTuJABuz1njgCAABNBAAA&#10;DgAAAAAAAAABACAAAAA9AQAAZHJzL2Uyb0RvYy54bWxQSwUGAAAAAAYABgBZAQAA5wU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电渗析</w:t>
                        </w:r>
                      </w:p>
                    </w:txbxContent>
                  </v:textbox>
                </v:shape>
                <v:shape id="直接箭头连接符 13" o:spid="_x0000_s1026" o:spt="32" type="#_x0000_t32" style="position:absolute;left:4125028;top:493245;height:0;width:335915;"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P&#10;5dH02AAAAAUBAAAPAAAAAAAAAAEAIAAAADgAAABkcnMvZG93bnJldi54bWxQSwECFAAUAAAACACH&#10;TuJA4yMjRA4CAADgAwAADgAAAAAAAAABACAAAAA9AQAAZHJzL2Uyb0RvYy54bWxQSwUGAAAAAAYA&#10;BgBZAQAAvQUAAAAA&#10;">
                  <v:fill on="f" focussize="0,0"/>
                  <v:stroke color="#000000" joinstyle="round" startarrowlength="long" endarrow="classic" endarrowwidth="narrow" endarrowlength="long"/>
                  <v:imagedata o:title=""/>
                  <o:lock v:ext="edit" aspectratio="f"/>
                </v:shape>
                <v:shape id="文本框 3" o:spid="_x0000_s1026" o:spt="202" type="#_x0000_t202" style="position:absolute;left:4380817;top:350322;height:350520;width:72898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Dm/vi2AAAAAUBAAAPAAAA&#10;AAAAAAEAIAAAADgAAABkcnMvZG93bnJldi54bWxQSwECFAAUAAAACACHTuJAQCU1RjgCAABNBAAA&#10;DgAAAAAAAAABACAAAAA9AQAAZHJzL2Uyb0RvYy54bWxQSwUGAAAAAAYABgBZAQAA5wU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催化吹脱</w:t>
                        </w:r>
                      </w:p>
                    </w:txbxContent>
                  </v:textbox>
                </v:shape>
                <v:shape id="直接箭头连接符 15" o:spid="_x0000_s1026" o:spt="32" type="#_x0000_t32" style="position:absolute;left:5071487;top:504440;height:0;width:456872;"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l&#10;0fTYAAAABQEAAA8AAAAAAAAAAQAgAAAAOAAAAGRycy9kb3ducmV2LnhtbFBLAQIUABQAAAAIAIdO&#10;4kD8ZK/vDQIAAOADAAAOAAAAAAAAAAEAIAAAAD0BAABkcnMvZTJvRG9jLnhtbFBLBQYAAAAABgAG&#10;AFkBAAC8BQAAAAA=&#10;">
                  <v:fill on="f" focussize="0,0"/>
                  <v:stroke color="#000000" joinstyle="round" startarrowlength="long" endarrow="classic" endarrowwidth="narrow" endarrowlength="long"/>
                  <v:imagedata o:title=""/>
                  <o:lock v:ext="edit" aspectratio="f"/>
                </v:shape>
                <v:shape id="文本框 3" o:spid="_x0000_s1026" o:spt="202" type="#_x0000_t202" style="position:absolute;left:5428105;top:350896;height:349885;width:72898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Dm/vi2AAAAAUBAAAPAAAA&#10;AAAAAAEAIAAAADgAAABkcnMvZG93bnJldi54bWxQSwECFAAUAAAACACHTuJA+tjKAzgCAABNBAAA&#10;DgAAAAAAAAABACAAAAA9AQAAZHJzL2Uyb0RvYy54bWxQSwUGAAAAAAYABgBZAQAA5wU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氟氯</w:t>
                        </w:r>
                        <w:r>
                          <w:rPr>
                            <w:rFonts w:ascii="Calibri" w:cs="Times New Roman"/>
                            <w:kern w:val="2"/>
                            <w:sz w:val="21"/>
                            <w:szCs w:val="21"/>
                            <w:bdr w:val="single" w:color="auto" w:sz="4" w:space="0"/>
                          </w:rPr>
                          <w:t>分盐</w:t>
                        </w:r>
                      </w:p>
                    </w:txbxContent>
                  </v:textbox>
                </v:shape>
                <v:shape id="直接箭头连接符 6" o:spid="_x0000_s1026" o:spt="32" type="#_x0000_t32" style="position:absolute;left:1930648;top:599248;height:241402;width:0;" filled="f" stroked="t" coordsize="21600,21600" o:gfxdata="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cAzzdYAAAAFAQAADwAAAAAA&#10;AAABACAAAAA4AAAAZHJzL2Rvd25yZXYueG1sUEsBAhQAFAAAAAgAh07iQD1ZvXL/AQAAwgMAAA4A&#10;AAAAAAAAAQAgAAAAOwEAAGRycy9lMm9Eb2MueG1sUEsFBgAAAAAGAAYAWQEAAKwFAAAAAA==&#10;">
                  <v:fill on="f" focussize="0,0"/>
                  <v:stroke color="#000000" joinstyle="round" endarrow="classic" endarrowwidth="narrow" endarrowlength="long"/>
                  <v:imagedata o:title=""/>
                  <o:lock v:ext="edit" aspectratio="f"/>
                </v:shape>
                <v:shape id="文本框 3" o:spid="_x0000_s1026" o:spt="202" type="#_x0000_t202" style="position:absolute;left:1701939;top:719685;height:373380;width:456565;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Ob++LYAAAABQEAAA8A&#10;AAAAAAAAAQAgAAAAOAAAAGRycy9kb3ducmV2LnhtbFBLAQIUABQAAAAIAIdO4kA1JeRcOgIAAE0E&#10;AAAOAAAAAAAAAAEAIAAAAD0BAABkcnMvZTJvRG9jLnhtbFBLBQYAAAAABgAGAFkBAADpBQAAAAA=&#10;">
                  <v:fill on="f" focussize="0,0"/>
                  <v:stroke on="f" weight="0.5pt"/>
                  <v:imagedata o:title=""/>
                  <o:lock v:ext="edit" aspectratio="f"/>
                  <v:textbox>
                    <w:txbxContent>
                      <w:p>
                        <w:pPr>
                          <w:pStyle w:val="26"/>
                          <w:spacing w:before="0" w:beforeAutospacing="0" w:after="0" w:afterAutospacing="0" w:line="400" w:lineRule="exact"/>
                          <w:jc w:val="both"/>
                        </w:pPr>
                        <w:r>
                          <w:rPr>
                            <w:rFonts w:hint="eastAsia" w:ascii="Calibri" w:cs="Times New Roman"/>
                            <w:kern w:val="2"/>
                            <w:sz w:val="21"/>
                            <w:szCs w:val="21"/>
                          </w:rPr>
                          <w:t>污泥</w:t>
                        </w:r>
                      </w:p>
                    </w:txbxContent>
                  </v:textbox>
                </v:shape>
                <v:shape id="直接箭头连接符 21" o:spid="_x0000_s1026" o:spt="32" type="#_x0000_t32" style="position:absolute;left:2866884;top:562881;height:241300;width:0;" filled="f" stroked="t" coordsize="21600,21600" o:gfxdata="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wDPN1gAAAAUBAAAP&#10;AAAAAAAAAAEAIAAAADgAAABkcnMvZG93bnJldi54bWxQSwECFAAUAAAACACHTuJAAmN8fAQCAADD&#10;AwAADgAAAAAAAAABACAAAAA7AQAAZHJzL2Uyb0RvYy54bWxQSwUGAAAAAAYABgBZAQAAsQUAAAAA&#10;">
                  <v:fill on="f" focussize="0,0"/>
                  <v:stroke color="#000000" joinstyle="round" endarrow="classic" endarrowwidth="narrow" endarrowlength="long"/>
                  <v:imagedata o:title=""/>
                  <o:lock v:ext="edit" aspectratio="f"/>
                </v:shape>
                <v:shape id="文本框 3" o:spid="_x0000_s1026" o:spt="202" type="#_x0000_t202" style="position:absolute;left:2508782;top:834577;height:596911;width:723265;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Ob++LYAAAABQEAAA8A&#10;AAAAAAAAAQAgAAAAOAAAAGRycy9kb3ducmV2LnhtbFBLAQIUABQAAAAIAIdO4kDkVIAfOgIAAE0E&#10;AAAOAAAAAAAAAAEAIAAAAD0BAABkcnMvZTJvRG9jLnhtbFBLBQYAAAAABgAGAFkBAADpBQAAAAA=&#10;">
                  <v:fill on="f" focussize="0,0"/>
                  <v:stroke on="f" weight="0.5pt"/>
                  <v:imagedata o:title=""/>
                  <o:lock v:ext="edit" aspectratio="f"/>
                  <v:textbox>
                    <w:txbxContent>
                      <w:p>
                        <w:pPr>
                          <w:pStyle w:val="26"/>
                          <w:spacing w:before="0" w:beforeAutospacing="0" w:after="0" w:afterAutospacing="0"/>
                          <w:jc w:val="both"/>
                          <w:rPr>
                            <w:rFonts w:ascii="Calibri" w:cs="Times New Roman"/>
                            <w:kern w:val="2"/>
                            <w:sz w:val="21"/>
                            <w:szCs w:val="21"/>
                          </w:rPr>
                        </w:pPr>
                        <w:r>
                          <w:rPr>
                            <w:rFonts w:hint="eastAsia" w:ascii="Calibri" w:cs="Times New Roman"/>
                            <w:kern w:val="2"/>
                            <w:sz w:val="21"/>
                            <w:szCs w:val="21"/>
                          </w:rPr>
                          <w:t>淡液返回</w:t>
                        </w:r>
                      </w:p>
                      <w:p>
                        <w:pPr>
                          <w:pStyle w:val="26"/>
                          <w:spacing w:before="0" w:beforeAutospacing="0" w:after="0" w:afterAutospacing="0"/>
                          <w:jc w:val="both"/>
                        </w:pPr>
                        <w:r>
                          <w:rPr>
                            <w:rFonts w:ascii="Calibri" w:cs="Times New Roman"/>
                            <w:kern w:val="2"/>
                            <w:sz w:val="21"/>
                            <w:szCs w:val="21"/>
                          </w:rPr>
                          <w:t>洗涤补水</w:t>
                        </w:r>
                      </w:p>
                    </w:txbxContent>
                  </v:textbox>
                </v:shape>
                <v:shape id="直接箭头连接符 23" o:spid="_x0000_s1026" o:spt="32" type="#_x0000_t32" style="position:absolute;left:4761377;top:584745;height:240665;width:0;" filled="f" stroked="t" coordsize="21600,21600" o:gfxdata="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wDPN1gAAAAUBAAAP&#10;AAAAAAAAAAEAIAAAADgAAABkcnMvZG93bnJldi54bWxQSwECFAAUAAAACACHTuJAjYDSYwQCAADD&#10;AwAADgAAAAAAAAABACAAAAA7AQAAZHJzL2Uyb0RvYy54bWxQSwUGAAAAAAYABgBZAQAAsQUAAAAA&#10;">
                  <v:fill on="f" focussize="0,0"/>
                  <v:stroke color="#000000" joinstyle="round" endarrow="classic" endarrowwidth="narrow" endarrowlength="long"/>
                  <v:imagedata o:title=""/>
                  <o:lock v:ext="edit" aspectratio="f"/>
                </v:shape>
                <v:shape id="文本框 3" o:spid="_x0000_s1026" o:spt="202" type="#_x0000_t202" style="position:absolute;left:4207834;top:715929;height:372110;width:1123315;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Dm/vi2AAAAAUBAAAP&#10;AAAAAAAAAAEAIAAAADgAAABkcnMvZG93bnJldi54bWxQSwECFAAUAAAACACHTuJACj7DbzsCAABO&#10;BAAADgAAAAAAAAABACAAAAA9AQAAZHJzL2Uyb0RvYy54bWxQSwUGAAAAAAYABgBZAQAA6gUAAAAA&#10;">
                  <v:fill on="f" focussize="0,0"/>
                  <v:stroke on="f" weight="0.5pt"/>
                  <v:imagedata o:title=""/>
                  <o:lock v:ext="edit" aspectratio="f"/>
                  <v:textbox>
                    <w:txbxContent>
                      <w:p>
                        <w:pPr>
                          <w:pStyle w:val="26"/>
                          <w:spacing w:before="0" w:beforeAutospacing="0" w:after="0" w:afterAutospacing="0" w:line="400" w:lineRule="exact"/>
                          <w:jc w:val="both"/>
                        </w:pPr>
                        <w:r>
                          <w:rPr>
                            <w:rFonts w:hint="eastAsia" w:ascii="Calibri" w:cs="Times New Roman"/>
                            <w:kern w:val="2"/>
                            <w:sz w:val="21"/>
                            <w:szCs w:val="21"/>
                          </w:rPr>
                          <w:t>浓酸</w:t>
                        </w:r>
                        <w:r>
                          <w:rPr>
                            <w:rFonts w:ascii="Calibri" w:cs="Times New Roman"/>
                            <w:kern w:val="2"/>
                            <w:sz w:val="21"/>
                            <w:szCs w:val="21"/>
                          </w:rPr>
                          <w:t>回用或外售</w:t>
                        </w:r>
                      </w:p>
                    </w:txbxContent>
                  </v:textbox>
                </v:shape>
                <v:shape id="直接箭头连接符 25" o:spid="_x0000_s1026" o:spt="32" type="#_x0000_t32" style="position:absolute;left:5823639;top:587535;height:240665;width:0;" filled="f" stroked="t" coordsize="21600,21600" o:gfxdata="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9wDPN1gAAAAUBAAAPAAAA&#10;AAAAAAEAIAAAADgAAABkcnMvZG93bnJldi54bWxQSwECFAAUAAAACACHTuJAFaroSAECAADDAwAA&#10;DgAAAAAAAAABACAAAAA7AQAAZHJzL2Uyb0RvYy54bWxQSwUGAAAAAAYABgBZAQAArgUAAAAA&#10;">
                  <v:fill on="f" focussize="0,0"/>
                  <v:stroke color="#000000" joinstyle="round" endarrow="classic" endarrowwidth="narrow" endarrowlength="long"/>
                  <v:imagedata o:title=""/>
                  <o:lock v:ext="edit" aspectratio="f"/>
                </v:shape>
                <v:shape id="文本框 3" o:spid="_x0000_s1026" o:spt="202" type="#_x0000_t202" style="position:absolute;left:5397728;top:818674;height:500380;width:856615;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5v74tgAAAAFAQAA&#10;DwAAAAAAAAABACAAAAA4AAAAZHJzL2Rvd25yZXYueG1sUEsBAhQAFAAAAAgAh07iQA9WIsg8AgAA&#10;TQQAAA4AAAAAAAAAAQAgAAAAPQEAAGRycy9lMm9Eb2MueG1sUEsFBgAAAAAGAAYAWQEAAOsFAAAA&#10;AA==&#10;">
                  <v:fill on="f" focussize="0,0"/>
                  <v:stroke on="f" weight="0.5pt"/>
                  <v:imagedata o:title=""/>
                  <o:lock v:ext="edit" aspectratio="f"/>
                  <v:textbox>
                    <w:txbxContent>
                      <w:p>
                        <w:pPr>
                          <w:pStyle w:val="26"/>
                          <w:spacing w:before="0" w:beforeAutospacing="0" w:after="0" w:afterAutospacing="0"/>
                          <w:ind w:firstLine="315" w:firstLineChars="150"/>
                          <w:jc w:val="both"/>
                          <w:rPr>
                            <w:rFonts w:ascii="Calibri" w:cs="Times New Roman"/>
                            <w:kern w:val="2"/>
                            <w:sz w:val="21"/>
                            <w:szCs w:val="21"/>
                          </w:rPr>
                        </w:pPr>
                        <w:r>
                          <w:rPr>
                            <w:rFonts w:hint="eastAsia" w:ascii="Calibri" w:cs="Times New Roman"/>
                            <w:kern w:val="2"/>
                            <w:sz w:val="21"/>
                            <w:szCs w:val="21"/>
                          </w:rPr>
                          <w:t>萤石</w:t>
                        </w:r>
                      </w:p>
                      <w:p>
                        <w:pPr>
                          <w:pStyle w:val="26"/>
                          <w:spacing w:before="0" w:beforeAutospacing="0" w:after="0" w:afterAutospacing="0"/>
                          <w:jc w:val="both"/>
                        </w:pPr>
                        <w:r>
                          <w:rPr>
                            <w:rFonts w:ascii="Calibri" w:cs="Times New Roman"/>
                            <w:kern w:val="2"/>
                            <w:sz w:val="21"/>
                            <w:szCs w:val="21"/>
                          </w:rPr>
                          <w:t>氯化钙产品</w:t>
                        </w:r>
                      </w:p>
                    </w:txbxContent>
                  </v:textbox>
                </v:shape>
                <v:shape id="文本框 3" o:spid="_x0000_s1026" o:spt="202" type="#_x0000_t202" style="position:absolute;left:3428975;top:350322;height:318770;width:728980;mso-wrap-style:none;" filled="f" stroked="f" coordsize="21600,21600" o:gfxdata="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EOb++LYAAAABQEAAA8AAAAA&#10;AAAAAQAgAAAAOAAAAGRycy9kb3ducmV2LnhtbFBLAQIUABQAAAAIAIdO4kDQ5dkqNwIAAE0EAAAO&#10;AAAAAAAAAAEAIAAAAD0BAABkcnMvZTJvRG9jLnhtbFBLBQYAAAAABgAGAFkBAADmBQAAAAA=&#10;">
                  <v:fill on="f" focussize="0,0"/>
                  <v:stroke on="f" weight="0.5pt"/>
                  <v:imagedata o:title=""/>
                  <o:lock v:ext="edit" aspectratio="f"/>
                  <v:textbox>
                    <w:txbxContent>
                      <w:p>
                        <w:pPr>
                          <w:pStyle w:val="26"/>
                          <w:spacing w:before="0" w:beforeAutospacing="0" w:after="0" w:afterAutospacing="0"/>
                          <w:rPr>
                            <w:bdr w:val="single" w:color="auto" w:sz="4" w:space="0"/>
                          </w:rPr>
                        </w:pPr>
                        <w:r>
                          <w:rPr>
                            <w:rFonts w:hint="eastAsia" w:ascii="Calibri" w:cs="Times New Roman"/>
                            <w:kern w:val="2"/>
                            <w:sz w:val="21"/>
                            <w:szCs w:val="21"/>
                            <w:bdr w:val="single" w:color="auto" w:sz="4" w:space="0"/>
                          </w:rPr>
                          <w:t>蒸发浓缩</w:t>
                        </w:r>
                      </w:p>
                    </w:txbxContent>
                  </v:textbox>
                </v:shape>
                <v:shape id="直接箭头连接符 11" o:spid="_x0000_s1026" o:spt="32" type="#_x0000_t32" style="position:absolute;left:3134945;top:483257;height:0;width:335915;" filled="f" stroked="t" coordsize="21600,21600" o:gfxdata="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P&#10;5dH02AAAAAUBAAAPAAAAAAAAAAEAIAAAADgAAABkcnMvZG93bnJldi54bWxQSwECFAAUAAAACACH&#10;TuJAg/t/sQ4CAADgAwAADgAAAAAAAAABACAAAAA9AQAAZHJzL2Uyb0RvYy54bWxQSwUGAAAAAAYA&#10;BgBZAQAAvQUAAAAA&#10;">
                  <v:fill on="f" focussize="0,0"/>
                  <v:stroke color="#000000" joinstyle="round" startarrowlength="long" endarrow="classic" endarrowwidth="narrow" endarrowlength="long"/>
                  <v:imagedata o:title=""/>
                  <o:lock v:ext="edit" aspectratio="f"/>
                </v:shape>
                <w10:wrap type="none"/>
                <w10:anchorlock/>
              </v:group>
            </w:pict>
          </mc:Fallback>
        </mc:AlternateContent>
      </w:r>
    </w:p>
    <w:p>
      <w:pPr>
        <w:widowControl/>
        <w:adjustRightInd/>
        <w:spacing w:line="240" w:lineRule="auto"/>
        <w:jc w:val="center"/>
        <w:rPr>
          <w:rFonts w:ascii="黑体" w:hAnsi="黑体" w:eastAsia="黑体" w:cs="黑体"/>
          <w:color w:val="000000" w:themeColor="text1"/>
          <w:kern w:val="0"/>
          <w:szCs w:val="20"/>
          <w14:textFill>
            <w14:solidFill>
              <w14:schemeClr w14:val="tx1"/>
            </w14:solidFill>
          </w14:textFill>
        </w:rPr>
      </w:pPr>
      <w:r>
        <w:rPr>
          <w:rFonts w:hint="eastAsia" w:ascii="黑体" w:hAnsi="黑体" w:eastAsia="黑体" w:cs="黑体"/>
          <w:color w:val="000000" w:themeColor="text1"/>
          <w:kern w:val="0"/>
          <w:szCs w:val="20"/>
          <w14:textFill>
            <w14:solidFill>
              <w14:schemeClr w14:val="tx1"/>
            </w14:solidFill>
          </w14:textFill>
        </w:rPr>
        <w:t>图1污酸资源化处理工艺流程图</w:t>
      </w:r>
    </w:p>
    <w:p>
      <w:pPr>
        <w:widowControl/>
        <w:adjustRightInd/>
        <w:spacing w:line="240" w:lineRule="auto"/>
        <w:jc w:val="center"/>
        <w:rPr>
          <w:rFonts w:hint="eastAsia" w:ascii="Times New Roman" w:hAnsi="Times New Roman"/>
          <w:color w:val="000000" w:themeColor="text1"/>
          <w:kern w:val="0"/>
          <w:szCs w:val="20"/>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5.3.2 </w:t>
      </w:r>
      <w:r>
        <w:rPr>
          <w:rFonts w:ascii="Times New Roman"/>
          <w:color w:val="000000" w:themeColor="text1"/>
          <w14:textFill>
            <w14:solidFill>
              <w14:schemeClr w14:val="tx1"/>
            </w14:solidFill>
          </w14:textFill>
        </w:rPr>
        <w:t>污酸中的砷、汞、铅和镉等重金属离子，应采用气液强化硫化法进行深度净化处理，砷、汞的去除率</w:t>
      </w:r>
      <w:r>
        <w:rPr>
          <w:rFonts w:hint="eastAsia" w:ascii="Times New Roman"/>
          <w:color w:val="000000" w:themeColor="text1"/>
          <w14:textFill>
            <w14:solidFill>
              <w14:schemeClr w14:val="tx1"/>
            </w14:solidFill>
          </w14:textFill>
        </w:rPr>
        <w:t>应达到</w:t>
      </w:r>
      <w:r>
        <w:rPr>
          <w:rFonts w:ascii="Times New Roman"/>
          <w:color w:val="000000" w:themeColor="text1"/>
          <w14:textFill>
            <w14:solidFill>
              <w14:schemeClr w14:val="tx1"/>
            </w14:solidFill>
          </w14:textFill>
        </w:rPr>
        <w:t>90%～99%，处理后砷和汞浓度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低于1mg/L~5 mg/L，铅和镉去除率</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达到60%~80%。气液强化硫化法应采用特制密闭反应釜，反应时间</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控制在为15</w:t>
      </w:r>
      <w:r>
        <w:rPr>
          <w:rFonts w:hint="eastAsia" w:ascii="Times New Roman"/>
          <w:color w:val="000000" w:themeColor="text1"/>
          <w14:textFill>
            <w14:solidFill>
              <w14:schemeClr w14:val="tx1"/>
            </w14:solidFill>
          </w14:textFill>
        </w:rPr>
        <w:t>min</w:t>
      </w:r>
      <w:r>
        <w:rPr>
          <w:rFonts w:ascii="Times New Roman"/>
          <w:color w:val="000000" w:themeColor="text1"/>
          <w14:textFill>
            <w14:solidFill>
              <w14:schemeClr w14:val="tx1"/>
            </w14:solidFill>
          </w14:textFill>
        </w:rPr>
        <w:t>～30min，反应终点应采用压力控制。硫化氢气体制备</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优先选用硫氢化钠或硫化钠溶液与稀硫酸反应制取</w:t>
      </w:r>
      <w:r>
        <w:rPr>
          <w:rFonts w:hint="eastAsia" w:ascii="Times New Roman"/>
          <w:color w:val="000000" w:themeColor="text1"/>
          <w14:textFill>
            <w14:solidFill>
              <w14:schemeClr w14:val="tx1"/>
            </w14:solidFill>
          </w14:textFill>
        </w:rPr>
        <w:t>或</w:t>
      </w:r>
      <w:r>
        <w:rPr>
          <w:rFonts w:ascii="Times New Roman"/>
          <w:color w:val="000000" w:themeColor="text1"/>
          <w14:textFill>
            <w14:solidFill>
              <w14:schemeClr w14:val="tx1"/>
            </w14:solidFill>
          </w14:textFill>
        </w:rPr>
        <w:t>甲醇裂解制氢气并与硫磺反应制取，硫酸钠溶液</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采用蒸发</w:t>
      </w:r>
      <w:r>
        <w:rPr>
          <w:rFonts w:hint="eastAsia" w:ascii="Times New Roman"/>
          <w:color w:val="000000" w:themeColor="text1"/>
          <w14:textFill>
            <w14:solidFill>
              <w14:schemeClr w14:val="tx1"/>
            </w14:solidFill>
          </w14:textFill>
        </w:rPr>
        <w:t>工艺</w:t>
      </w:r>
      <w:r>
        <w:rPr>
          <w:rFonts w:ascii="Times New Roman"/>
          <w:color w:val="000000" w:themeColor="text1"/>
          <w14:textFill>
            <w14:solidFill>
              <w14:schemeClr w14:val="tx1"/>
            </w14:solidFill>
          </w14:textFill>
        </w:rPr>
        <w:t>制成硫酸钠产品。</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5.3.3 </w:t>
      </w:r>
      <w:r>
        <w:rPr>
          <w:rFonts w:ascii="Times New Roman"/>
          <w:color w:val="000000" w:themeColor="text1"/>
          <w14:textFill>
            <w14:solidFill>
              <w14:schemeClr w14:val="tx1"/>
            </w14:solidFill>
          </w14:textFill>
        </w:rPr>
        <w:t>污酸中酸度低于5%时</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采用电渗析进行浓缩处理，浓缩</w:t>
      </w:r>
      <w:r>
        <w:rPr>
          <w:rFonts w:hint="eastAsia" w:ascii="Times New Roman"/>
          <w:color w:val="000000" w:themeColor="text1"/>
          <w14:textFill>
            <w14:solidFill>
              <w14:schemeClr w14:val="tx1"/>
            </w14:solidFill>
          </w14:textFill>
        </w:rPr>
        <w:t>后的</w:t>
      </w:r>
      <w:r>
        <w:rPr>
          <w:rFonts w:ascii="Times New Roman"/>
          <w:color w:val="000000" w:themeColor="text1"/>
          <w14:textFill>
            <w14:solidFill>
              <w14:schemeClr w14:val="tx1"/>
            </w14:solidFill>
          </w14:textFill>
        </w:rPr>
        <w:t>污酸酸浓度应控制在10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～15%，淡液pH</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控制在2～3，酸回收率</w:t>
      </w:r>
      <w:r>
        <w:rPr>
          <w:rFonts w:hint="eastAsia" w:ascii="Times New Roman"/>
          <w:color w:val="000000" w:themeColor="text1"/>
          <w14:textFill>
            <w14:solidFill>
              <w14:schemeClr w14:val="tx1"/>
            </w14:solidFill>
          </w14:textFill>
        </w:rPr>
        <w:t>应达到</w:t>
      </w:r>
      <w:r>
        <w:rPr>
          <w:rFonts w:ascii="Times New Roman"/>
          <w:color w:val="000000" w:themeColor="text1"/>
          <w14:textFill>
            <w14:solidFill>
              <w14:schemeClr w14:val="tx1"/>
            </w14:solidFill>
          </w14:textFill>
        </w:rPr>
        <w:t>80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～90%，极液</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采用稀硫酸，同时极液中氟离子浓度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低于20mg/L。</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5.3.4 </w:t>
      </w:r>
      <w:r>
        <w:rPr>
          <w:rFonts w:ascii="Times New Roman"/>
          <w:color w:val="000000" w:themeColor="text1"/>
          <w14:textFill>
            <w14:solidFill>
              <w14:schemeClr w14:val="tx1"/>
            </w14:solidFill>
          </w14:textFill>
        </w:rPr>
        <w:t>污酸进行电渗析浓缩前应进行预处理，原液浊度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小于3mg/L(隔板厚度1.5</w:t>
      </w:r>
      <w:r>
        <w:rPr>
          <w:rFonts w:hint="eastAsia" w:ascii="Times New Roman"/>
          <w:color w:val="000000" w:themeColor="text1"/>
          <w14:textFill>
            <w14:solidFill>
              <w14:schemeClr w14:val="tx1"/>
            </w14:solidFill>
          </w14:textFill>
        </w:rPr>
        <w:t>mm</w:t>
      </w:r>
      <w:r>
        <w:rPr>
          <w:rFonts w:ascii="Times New Roman"/>
          <w:color w:val="000000" w:themeColor="text1"/>
          <w14:textFill>
            <w14:solidFill>
              <w14:schemeClr w14:val="tx1"/>
            </w14:solidFill>
          </w14:textFill>
        </w:rPr>
        <w:t>~2.0mm)或小于0.3mg/L(隔板厚度0.5</w:t>
      </w:r>
      <w:r>
        <w:rPr>
          <w:rFonts w:hint="eastAsia" w:ascii="Times New Roman"/>
          <w:color w:val="000000" w:themeColor="text1"/>
          <w14:textFill>
            <w14:solidFill>
              <w14:schemeClr w14:val="tx1"/>
            </w14:solidFill>
          </w14:textFill>
        </w:rPr>
        <w:t>mm</w:t>
      </w:r>
      <w:r>
        <w:rPr>
          <w:rFonts w:ascii="Times New Roman"/>
          <w:color w:val="000000" w:themeColor="text1"/>
          <w14:textFill>
            <w14:solidFill>
              <w14:schemeClr w14:val="tx1"/>
            </w14:solidFill>
          </w14:textFill>
        </w:rPr>
        <w:t>~0.9mm)，水温</w:t>
      </w:r>
      <w:r>
        <w:rPr>
          <w:rFonts w:hint="eastAsia" w:ascii="Times New Roman"/>
          <w:color w:val="000000" w:themeColor="text1"/>
          <w14:textFill>
            <w14:solidFill>
              <w14:schemeClr w14:val="tx1"/>
            </w14:solidFill>
          </w14:textFill>
        </w:rPr>
        <w:t>不应</w:t>
      </w:r>
      <w:r>
        <w:rPr>
          <w:rFonts w:ascii="Times New Roman"/>
          <w:color w:val="000000" w:themeColor="text1"/>
          <w14:textFill>
            <w14:solidFill>
              <w14:schemeClr w14:val="tx1"/>
            </w14:solidFill>
          </w14:textFill>
        </w:rPr>
        <w:t>不超过40℃，化学需氧量（COD）含量</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小于3mg/L</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钙</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镁离子浓度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小于5mg/L。</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5.3.5</w:t>
      </w:r>
      <w:r>
        <w:rPr>
          <w:rFonts w:ascii="Times New Roman"/>
          <w:color w:val="000000" w:themeColor="text1"/>
          <w14:textFill>
            <w14:solidFill>
              <w14:schemeClr w14:val="tx1"/>
            </w14:solidFill>
          </w14:textFill>
        </w:rPr>
        <w:t xml:space="preserve"> 蒸发浓缩</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将污酸酸度浓缩至大于30%。</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5.3.6 </w:t>
      </w:r>
      <w:r>
        <w:rPr>
          <w:rFonts w:hint="eastAsia" w:ascii="Times New Roman"/>
          <w:color w:val="000000" w:themeColor="text1"/>
          <w14:textFill>
            <w14:solidFill>
              <w14:schemeClr w14:val="tx1"/>
            </w14:solidFill>
          </w14:textFill>
        </w:rPr>
        <w:t>催化吹脱法对污酸中氟、氯的脱除率应大于9</w:t>
      </w:r>
      <w:r>
        <w:rPr>
          <w:rFonts w:ascii="Times New Roman"/>
          <w:color w:val="000000" w:themeColor="text1"/>
          <w14:textFill>
            <w14:solidFill>
              <w14:schemeClr w14:val="tx1"/>
            </w14:solidFill>
          </w14:textFill>
        </w:rPr>
        <w:t>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酸浓缩倍数、硫酸产品质量浓度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根据企业需求确定，一般回收酸中酸浓度</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控制在</w:t>
      </w:r>
      <w:r>
        <w:rPr>
          <w:rFonts w:hint="eastAsia" w:ascii="Times New Roman"/>
          <w:color w:val="000000" w:themeColor="text1"/>
          <w14:textFill>
            <w14:solidFill>
              <w14:schemeClr w14:val="tx1"/>
            </w14:solidFill>
          </w14:textFill>
        </w:rPr>
        <w:t>7</w:t>
      </w:r>
      <w:r>
        <w:rPr>
          <w:rFonts w:ascii="Times New Roman"/>
          <w:color w:val="000000" w:themeColor="text1"/>
          <w14:textFill>
            <w14:solidFill>
              <w14:schemeClr w14:val="tx1"/>
            </w14:solidFill>
          </w14:textFill>
        </w:rPr>
        <w:t>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～80%，</w:t>
      </w:r>
      <w:r>
        <w:rPr>
          <w:rFonts w:hint="eastAsia" w:ascii="Times New Roman"/>
          <w:color w:val="000000" w:themeColor="text1"/>
          <w14:textFill>
            <w14:solidFill>
              <w14:schemeClr w14:val="tx1"/>
            </w14:solidFill>
          </w14:textFill>
        </w:rPr>
        <w:t>氟离子应小于4</w:t>
      </w:r>
      <w:r>
        <w:rPr>
          <w:rFonts w:ascii="Times New Roman"/>
          <w:color w:val="000000" w:themeColor="text1"/>
          <w14:textFill>
            <w14:solidFill>
              <w14:schemeClr w14:val="tx1"/>
            </w14:solidFill>
          </w14:textFill>
        </w:rPr>
        <w:t>00 mg/L</w:t>
      </w:r>
      <w:r>
        <w:rPr>
          <w:rFonts w:hint="eastAsia" w:ascii="Times New Roman"/>
          <w:color w:val="000000" w:themeColor="text1"/>
          <w14:textFill>
            <w14:solidFill>
              <w14:schemeClr w14:val="tx1"/>
            </w14:solidFill>
          </w14:textFill>
        </w:rPr>
        <w:t>，氯离子应小于</w:t>
      </w:r>
      <w:r>
        <w:rPr>
          <w:rFonts w:ascii="Times New Roman"/>
          <w:color w:val="000000" w:themeColor="text1"/>
          <w14:textFill>
            <w14:solidFill>
              <w14:schemeClr w14:val="tx1"/>
            </w14:solidFill>
          </w14:textFill>
        </w:rPr>
        <w:t>100 mg/L。</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5.3.7 </w:t>
      </w:r>
      <w:r>
        <w:rPr>
          <w:rFonts w:ascii="Times New Roman"/>
          <w:color w:val="000000" w:themeColor="text1"/>
          <w14:textFill>
            <w14:solidFill>
              <w14:schemeClr w14:val="tx1"/>
            </w14:solidFill>
          </w14:textFill>
        </w:rPr>
        <w:t>气液强化硫化法产出的</w:t>
      </w:r>
      <w:r>
        <w:rPr>
          <w:rFonts w:hint="eastAsia" w:ascii="Times New Roman"/>
          <w:color w:val="000000" w:themeColor="text1"/>
          <w14:textFill>
            <w14:solidFill>
              <w14:schemeClr w14:val="tx1"/>
            </w14:solidFill>
          </w14:textFill>
        </w:rPr>
        <w:t>污泥</w:t>
      </w:r>
      <w:r>
        <w:rPr>
          <w:rFonts w:ascii="Times New Roman"/>
          <w:color w:val="000000" w:themeColor="text1"/>
          <w14:textFill>
            <w14:solidFill>
              <w14:schemeClr w14:val="tx1"/>
            </w14:solidFill>
          </w14:textFill>
        </w:rPr>
        <w:t>含水率</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控制在</w:t>
      </w:r>
      <w:r>
        <w:rPr>
          <w:rFonts w:hint="eastAsia"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t>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～60%，</w:t>
      </w:r>
      <w:r>
        <w:rPr>
          <w:rFonts w:hint="eastAsia" w:ascii="Times New Roman"/>
          <w:color w:val="000000" w:themeColor="text1"/>
          <w14:textFill>
            <w14:solidFill>
              <w14:schemeClr w14:val="tx1"/>
            </w14:solidFill>
          </w14:textFill>
        </w:rPr>
        <w:t>污泥</w:t>
      </w:r>
      <w:r>
        <w:rPr>
          <w:rFonts w:ascii="Times New Roman"/>
          <w:color w:val="000000" w:themeColor="text1"/>
          <w14:textFill>
            <w14:solidFill>
              <w14:schemeClr w14:val="tx1"/>
            </w14:solidFill>
          </w14:textFill>
        </w:rPr>
        <w:t>中重金属含量应根据污酸水质确定，一般</w:t>
      </w:r>
      <w:r>
        <w:rPr>
          <w:rFonts w:hint="eastAsia" w:ascii="Times New Roman"/>
          <w:color w:val="000000" w:themeColor="text1"/>
          <w14:textFill>
            <w14:solidFill>
              <w14:schemeClr w14:val="tx1"/>
            </w14:solidFill>
          </w14:textFill>
        </w:rPr>
        <w:t>污泥</w:t>
      </w:r>
      <w:r>
        <w:rPr>
          <w:rFonts w:ascii="Times New Roman"/>
          <w:color w:val="000000" w:themeColor="text1"/>
          <w14:textFill>
            <w14:solidFill>
              <w14:schemeClr w14:val="tx1"/>
            </w14:solidFill>
          </w14:textFill>
        </w:rPr>
        <w:t>中砷含量</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大于</w:t>
      </w: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0%，其他重金属含量</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小于</w:t>
      </w:r>
      <w:r>
        <w:rPr>
          <w:rFonts w:hint="eastAsia" w:ascii="Times New Roman"/>
          <w:color w:val="000000" w:themeColor="text1"/>
          <w14:textFill>
            <w14:solidFill>
              <w14:schemeClr w14:val="tx1"/>
            </w14:solidFill>
          </w14:textFill>
        </w:rPr>
        <w:t>1%，应委托有处理资质的企业进行处理和处置。</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5.3.8 </w:t>
      </w:r>
      <w:r>
        <w:rPr>
          <w:rFonts w:hint="eastAsia" w:ascii="Times New Roman"/>
          <w:color w:val="000000" w:themeColor="text1"/>
          <w14:textFill>
            <w14:solidFill>
              <w14:schemeClr w14:val="tx1"/>
            </w14:solidFill>
          </w14:textFill>
        </w:rPr>
        <w:t>锌冶炼污酸资源化回收利用技术中应减少污染物排放，净化酸主要成分为硫酸，净化酸应优先回用至锌浸出车间。净化水主要来源于蒸发冷凝液，</w:t>
      </w:r>
      <w:r>
        <w:rPr>
          <w:rFonts w:ascii="Times New Roman"/>
          <w:color w:val="000000" w:themeColor="text1"/>
          <w14:textFill>
            <w14:solidFill>
              <w14:schemeClr w14:val="tx1"/>
            </w14:solidFill>
          </w14:textFill>
        </w:rPr>
        <w:t>pH</w:t>
      </w:r>
      <w:r>
        <w:rPr>
          <w:rFonts w:hint="eastAsia" w:ascii="Times New Roman"/>
          <w:color w:val="000000" w:themeColor="text1"/>
          <w14:textFill>
            <w14:solidFill>
              <w14:schemeClr w14:val="tx1"/>
            </w14:solidFill>
          </w14:textFill>
        </w:rPr>
        <w:t>宜为</w:t>
      </w:r>
      <w:r>
        <w:rPr>
          <w:rFonts w:ascii="Times New Roman"/>
          <w:color w:val="000000" w:themeColor="text1"/>
          <w14:textFill>
            <w14:solidFill>
              <w14:schemeClr w14:val="tx1"/>
            </w14:solidFill>
          </w14:textFill>
        </w:rPr>
        <w:t>1-2</w:t>
      </w:r>
      <w:r>
        <w:rPr>
          <w:rFonts w:hint="eastAsia" w:ascii="Times New Roman"/>
          <w:color w:val="000000" w:themeColor="text1"/>
          <w14:textFill>
            <w14:solidFill>
              <w14:schemeClr w14:val="tx1"/>
            </w14:solidFill>
          </w14:textFill>
        </w:rPr>
        <w:t>，净化水应优先作为烟气洗涤补水。</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5.4 污泥处理和处置</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5.4.1 </w:t>
      </w:r>
      <w:r>
        <w:rPr>
          <w:rFonts w:ascii="Times New Roman"/>
          <w:color w:val="000000" w:themeColor="text1"/>
          <w14:textFill>
            <w14:solidFill>
              <w14:schemeClr w14:val="tx1"/>
            </w14:solidFill>
          </w14:textFill>
        </w:rPr>
        <w:t>企业应根据《国家危险废物名录》、HJ298、</w:t>
      </w:r>
      <w:r>
        <w:rPr>
          <w:rFonts w:hint="eastAsia" w:ascii="Times New Roman"/>
          <w:color w:val="000000" w:themeColor="text1"/>
          <w14:textFill>
            <w14:solidFill>
              <w14:schemeClr w14:val="tx1"/>
            </w14:solidFill>
          </w14:textFill>
        </w:rPr>
        <w:t>G</w:t>
      </w:r>
      <w:r>
        <w:rPr>
          <w:rFonts w:ascii="Times New Roman"/>
          <w:color w:val="000000" w:themeColor="text1"/>
          <w14:textFill>
            <w14:solidFill>
              <w14:schemeClr w14:val="tx1"/>
            </w14:solidFill>
          </w14:textFill>
        </w:rPr>
        <w:t>B 34330、GB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5085.1、GB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5085.3、GB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5086.1、HJ</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557的规定确定污泥性质。</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5.4.2 </w:t>
      </w:r>
      <w:r>
        <w:rPr>
          <w:rFonts w:ascii="Times New Roman"/>
          <w:color w:val="000000" w:themeColor="text1"/>
          <w14:textFill>
            <w14:solidFill>
              <w14:schemeClr w14:val="tx1"/>
            </w14:solidFill>
          </w14:textFill>
        </w:rPr>
        <w:t>污泥处理系统由浓缩、脱水和泥饼储存等工序组成，各工序的</w:t>
      </w:r>
      <w:r>
        <w:rPr>
          <w:rFonts w:hint="eastAsia" w:ascii="Times New Roman"/>
          <w:color w:val="000000" w:themeColor="text1"/>
          <w14:textFill>
            <w14:solidFill>
              <w14:schemeClr w14:val="tx1"/>
            </w14:solidFill>
          </w14:textFill>
        </w:rPr>
        <w:t>应用</w:t>
      </w:r>
      <w:r>
        <w:rPr>
          <w:rFonts w:ascii="Times New Roman"/>
          <w:color w:val="000000" w:themeColor="text1"/>
          <w14:textFill>
            <w14:solidFill>
              <w14:schemeClr w14:val="tx1"/>
            </w14:solidFill>
          </w14:textFill>
        </w:rPr>
        <w:t>应根据</w:t>
      </w:r>
      <w:r>
        <w:rPr>
          <w:rFonts w:hint="eastAsia" w:ascii="Times New Roman"/>
          <w:color w:val="000000" w:themeColor="text1"/>
          <w14:textFill>
            <w14:solidFill>
              <w14:schemeClr w14:val="tx1"/>
            </w14:solidFill>
          </w14:textFill>
        </w:rPr>
        <w:t>污酸</w:t>
      </w:r>
      <w:r>
        <w:rPr>
          <w:rFonts w:ascii="Times New Roman"/>
          <w:color w:val="000000" w:themeColor="text1"/>
          <w14:textFill>
            <w14:solidFill>
              <w14:schemeClr w14:val="tx1"/>
            </w14:solidFill>
          </w14:textFill>
        </w:rPr>
        <w:t>处理工艺和污泥特点确定。</w:t>
      </w:r>
    </w:p>
    <w:p>
      <w:pPr>
        <w:pStyle w:val="107"/>
        <w:spacing w:before="240" w:after="240"/>
        <w:rPr>
          <w:rFonts w:ascii="Times New Roman"/>
          <w:color w:val="000000" w:themeColor="text1"/>
          <w14:textFill>
            <w14:solidFill>
              <w14:schemeClr w14:val="tx1"/>
            </w14:solidFill>
          </w14:textFill>
        </w:rPr>
      </w:pPr>
      <w:bookmarkStart w:id="44" w:name="_Toc142657343"/>
      <w:r>
        <w:rPr>
          <w:rFonts w:ascii="Times New Roman"/>
          <w:szCs w:val="21"/>
        </w:rPr>
        <w:t>工艺设备和材</w:t>
      </w:r>
      <w:r>
        <w:rPr>
          <w:rFonts w:hint="eastAsia" w:ascii="Times New Roman"/>
          <w:szCs w:val="21"/>
        </w:rPr>
        <w:t>质要求</w:t>
      </w:r>
      <w:bookmarkEnd w:id="44"/>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6.1</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一般</w:t>
      </w:r>
      <w:r>
        <w:rPr>
          <w:rFonts w:hint="eastAsia" w:ascii="黑体" w:hAnsi="黑体" w:eastAsia="黑体"/>
          <w:color w:val="000000" w:themeColor="text1"/>
          <w14:textFill>
            <w14:solidFill>
              <w14:schemeClr w14:val="tx1"/>
            </w14:solidFill>
          </w14:textFill>
        </w:rPr>
        <w:t>要求</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6.1.1</w:t>
      </w:r>
      <w:r>
        <w:rPr>
          <w:rFonts w:ascii="Times New Roman"/>
          <w:color w:val="000000" w:themeColor="text1"/>
          <w14:textFill>
            <w14:solidFill>
              <w14:schemeClr w14:val="tx1"/>
            </w14:solidFill>
          </w14:textFill>
        </w:rPr>
        <w:t xml:space="preserve"> 工艺设备（设施）和材料应根据处理工艺流程设计和选型，其设计参数应满足工艺流程对设备（设施）处理效果的要求。</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6.1.2</w:t>
      </w:r>
      <w:r>
        <w:rPr>
          <w:rFonts w:ascii="Times New Roman"/>
          <w:color w:val="000000" w:themeColor="text1"/>
          <w14:textFill>
            <w14:solidFill>
              <w14:schemeClr w14:val="tx1"/>
            </w14:solidFill>
          </w14:textFill>
        </w:rPr>
        <w:t xml:space="preserve"> 工艺设备应优先采用《国家鼓励发展的重大环保技术装备目录》中适用的环保技术装备。</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6.1.3 </w:t>
      </w:r>
      <w:r>
        <w:rPr>
          <w:rFonts w:hint="eastAsia" w:ascii="Times New Roman"/>
          <w:color w:val="000000" w:themeColor="text1"/>
          <w14:textFill>
            <w14:solidFill>
              <w14:schemeClr w14:val="tx1"/>
            </w14:solidFill>
          </w14:textFill>
        </w:rPr>
        <w:t>工艺</w:t>
      </w:r>
      <w:r>
        <w:rPr>
          <w:rFonts w:ascii="Times New Roman"/>
          <w:color w:val="000000" w:themeColor="text1"/>
          <w14:textFill>
            <w14:solidFill>
              <w14:schemeClr w14:val="tx1"/>
            </w14:solidFill>
          </w14:textFill>
        </w:rPr>
        <w:t>设备和材料性能要求应符合</w:t>
      </w:r>
      <w:r>
        <w:rPr>
          <w:rFonts w:hint="eastAsia" w:ascii="Times New Roman"/>
          <w:color w:val="000000" w:themeColor="text1"/>
          <w14:textFill>
            <w14:solidFill>
              <w14:schemeClr w14:val="tx1"/>
            </w14:solidFill>
          </w14:textFill>
        </w:rPr>
        <w:t>设备和</w:t>
      </w:r>
      <w:r>
        <w:rPr>
          <w:rFonts w:ascii="Times New Roman"/>
          <w:color w:val="000000" w:themeColor="text1"/>
          <w14:textFill>
            <w14:solidFill>
              <w14:schemeClr w14:val="tx1"/>
            </w14:solidFill>
          </w14:textFill>
        </w:rPr>
        <w:t>产品标准</w:t>
      </w:r>
      <w:r>
        <w:rPr>
          <w:rFonts w:hint="eastAsia" w:ascii="Times New Roman"/>
          <w:color w:val="000000" w:themeColor="text1"/>
          <w14:textFill>
            <w14:solidFill>
              <w14:schemeClr w14:val="tx1"/>
            </w14:solidFill>
          </w14:textFill>
        </w:rPr>
        <w:t>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6.2 硫化氢气体制备装置</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硫化氢气体制备装置应选择合适的内衬、釜体和密封材料</w:t>
      </w:r>
      <w:r>
        <w:rPr>
          <w:rFonts w:hint="eastAsia" w:ascii="Times New Roman"/>
          <w:color w:val="000000" w:themeColor="text1"/>
          <w14:textFill>
            <w14:solidFill>
              <w14:schemeClr w14:val="tx1"/>
            </w14:solidFill>
          </w14:textFill>
        </w:rPr>
        <w:t>，衬里钢壳应符合</w:t>
      </w:r>
      <w:r>
        <w:rPr>
          <w:rFonts w:ascii="Times New Roman"/>
        </w:rPr>
        <w:t>HG/T 20678</w:t>
      </w:r>
      <w:r>
        <w:rPr>
          <w:rFonts w:hint="eastAsia" w:ascii="Times New Roman"/>
        </w:rPr>
        <w:t>的规定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6.3</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气液强化硫化反应装置</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6.3.1 </w:t>
      </w:r>
      <w:r>
        <w:rPr>
          <w:rFonts w:ascii="Times New Roman"/>
          <w:color w:val="000000" w:themeColor="text1"/>
          <w14:textFill>
            <w14:solidFill>
              <w14:schemeClr w14:val="tx1"/>
            </w14:solidFill>
          </w14:textFill>
        </w:rPr>
        <w:t>硫化氢气体与污酸的硫化反应，</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采用密闭反应器并配置气液强化混合装置，反应器</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采用衬胶或衬聚四氟乙烯处理</w:t>
      </w:r>
      <w:r>
        <w:rPr>
          <w:rFonts w:hint="eastAsia" w:ascii="Times New Roman"/>
          <w:color w:val="000000" w:themeColor="text1"/>
          <w14:textFill>
            <w14:solidFill>
              <w14:schemeClr w14:val="tx1"/>
            </w14:solidFill>
          </w14:textFill>
        </w:rPr>
        <w:t>，衬胶或衬四氟乙烯应符合</w:t>
      </w:r>
      <w:r>
        <w:rPr>
          <w:rFonts w:ascii="Times New Roman"/>
        </w:rPr>
        <w:t>HG 20536</w:t>
      </w:r>
      <w:r>
        <w:rPr>
          <w:rFonts w:hint="eastAsia" w:ascii="Times New Roman"/>
        </w:rPr>
        <w:t>、</w:t>
      </w:r>
      <w:r>
        <w:rPr>
          <w:rFonts w:ascii="Times New Roman"/>
        </w:rPr>
        <w:t>HG/T 20677</w:t>
      </w:r>
      <w:r>
        <w:rPr>
          <w:rFonts w:hint="eastAsia" w:ascii="Times New Roman"/>
        </w:rPr>
        <w:t>的规定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6.3.2</w:t>
      </w:r>
      <w:r>
        <w:rPr>
          <w:rFonts w:hint="eastAsia" w:ascii="黑体" w:hAnsi="黑体" w:eastAsia="黑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气液强化反应器应设置观察孔及检修孔。 </w:t>
      </w: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6.4</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电渗析设备</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6.4.1 </w:t>
      </w:r>
      <w:r>
        <w:rPr>
          <w:rFonts w:ascii="Times New Roman"/>
          <w:color w:val="000000" w:themeColor="text1"/>
          <w14:textFill>
            <w14:solidFill>
              <w14:schemeClr w14:val="tx1"/>
            </w14:solidFill>
          </w14:textFill>
        </w:rPr>
        <w:t>电渗析设备的技术要求应符合HY/T 034.3</w:t>
      </w:r>
      <w:r>
        <w:rPr>
          <w:rFonts w:hint="eastAsia" w:ascii="Times New Roman"/>
          <w:color w:val="000000" w:themeColor="text1"/>
          <w14:textFill>
            <w14:solidFill>
              <w14:schemeClr w14:val="tx1"/>
            </w14:solidFill>
          </w14:textFill>
        </w:rPr>
        <w:t>的规定。</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6.4.2</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应对进水采取预处理措施</w:t>
      </w:r>
      <w:r>
        <w:rPr>
          <w:rFonts w:hint="eastAsia" w:ascii="Times New Roman"/>
          <w:color w:val="000000" w:themeColor="text1"/>
          <w14:textFill>
            <w14:solidFill>
              <w14:schemeClr w14:val="tx1"/>
            </w14:solidFill>
          </w14:textFill>
        </w:rPr>
        <w:t>，主要包括以下内容：</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 预处理方法包括澄清、过滤和曝气</w:t>
      </w:r>
      <w:r>
        <w:rPr>
          <w:rFonts w:hint="eastAsia" w:ascii="Times New Roman"/>
          <w:color w:val="000000" w:themeColor="text1"/>
          <w14:textFill>
            <w14:solidFill>
              <w14:schemeClr w14:val="tx1"/>
            </w14:solidFill>
          </w14:textFill>
        </w:rPr>
        <w:t>等</w:t>
      </w:r>
      <w:r>
        <w:rPr>
          <w:rFonts w:ascii="Times New Roman"/>
          <w:color w:val="000000" w:themeColor="text1"/>
          <w14:textFill>
            <w14:solidFill>
              <w14:schemeClr w14:val="tx1"/>
            </w14:solidFill>
          </w14:textFill>
        </w:rPr>
        <w:t>工艺</w:t>
      </w:r>
      <w:r>
        <w:rPr>
          <w:rFonts w:hint="eastAsia" w:ascii="Times New Roman"/>
          <w:color w:val="000000" w:themeColor="text1"/>
          <w14:textFill>
            <w14:solidFill>
              <w14:schemeClr w14:val="tx1"/>
            </w14:solidFill>
          </w14:textFill>
        </w:rPr>
        <w:t>；</w:t>
      </w:r>
    </w:p>
    <w:p>
      <w:pPr>
        <w:pStyle w:val="59"/>
        <w:spacing w:line="360" w:lineRule="auto"/>
        <w:ind w:left="609" w:leftChars="190" w:hanging="210" w:hanging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b) 电渗析器的进水压力</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保持稳定，应设专用供水泵或者高位水池，进水管路应设流量计和压力表</w:t>
      </w:r>
      <w:r>
        <w:rPr>
          <w:rFonts w:hint="eastAsia" w:ascii="Times New Roman"/>
          <w:color w:val="000000" w:themeColor="text1"/>
          <w14:textFill>
            <w14:solidFill>
              <w14:schemeClr w14:val="tx1"/>
            </w14:solidFill>
          </w14:textFill>
        </w:rPr>
        <w:t>；</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c) 应定期</w:t>
      </w:r>
      <w:r>
        <w:rPr>
          <w:rFonts w:hint="eastAsia" w:ascii="Times New Roman"/>
          <w:color w:val="000000" w:themeColor="text1"/>
          <w14:textFill>
            <w14:solidFill>
              <w14:schemeClr w14:val="tx1"/>
            </w14:solidFill>
          </w14:textFill>
        </w:rPr>
        <w:t>用</w:t>
      </w:r>
      <w:r>
        <w:rPr>
          <w:rFonts w:ascii="Times New Roman"/>
          <w:color w:val="000000" w:themeColor="text1"/>
          <w14:textFill>
            <w14:solidFill>
              <w14:schemeClr w14:val="tx1"/>
            </w14:solidFill>
          </w14:textFill>
        </w:rPr>
        <w:t>酸清洗</w:t>
      </w:r>
      <w:r>
        <w:rPr>
          <w:rFonts w:hint="eastAsia" w:ascii="Times New Roman"/>
          <w:color w:val="000000" w:themeColor="text1"/>
          <w14:textFill>
            <w14:solidFill>
              <w14:schemeClr w14:val="tx1"/>
            </w14:solidFill>
          </w14:textFill>
        </w:rPr>
        <w:t>釜体</w:t>
      </w:r>
      <w:r>
        <w:rPr>
          <w:rFonts w:ascii="Times New Roman"/>
          <w:color w:val="000000" w:themeColor="text1"/>
          <w14:textFill>
            <w14:solidFill>
              <w14:schemeClr w14:val="tx1"/>
            </w14:solidFill>
          </w14:textFill>
        </w:rPr>
        <w:t>和管路系统，一般用不超过2%的HCl进行定期酸洗</w:t>
      </w:r>
      <w:r>
        <w:rPr>
          <w:rFonts w:hint="eastAsia" w:ascii="Times New Roman"/>
          <w:color w:val="000000" w:themeColor="text1"/>
          <w14:textFill>
            <w14:solidFill>
              <w14:schemeClr w14:val="tx1"/>
            </w14:solidFill>
          </w14:textFill>
        </w:rPr>
        <w:t>；</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d) 应</w:t>
      </w:r>
      <w:r>
        <w:rPr>
          <w:rFonts w:hint="eastAsia" w:ascii="Times New Roman"/>
          <w:color w:val="000000" w:themeColor="text1"/>
          <w14:textFill>
            <w14:solidFill>
              <w14:schemeClr w14:val="tx1"/>
            </w14:solidFill>
          </w14:textFill>
        </w:rPr>
        <w:t>设置</w:t>
      </w:r>
      <w:r>
        <w:rPr>
          <w:rFonts w:ascii="Times New Roman"/>
          <w:color w:val="000000" w:themeColor="text1"/>
          <w14:textFill>
            <w14:solidFill>
              <w14:schemeClr w14:val="tx1"/>
            </w14:solidFill>
          </w14:textFill>
        </w:rPr>
        <w:t>管路反冲洗系统。</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6.4.3</w:t>
      </w:r>
      <w:r>
        <w:rPr>
          <w:rFonts w:ascii="Times New Roman"/>
          <w:color w:val="000000" w:themeColor="text1"/>
          <w14:textFill>
            <w14:solidFill>
              <w14:schemeClr w14:val="tx1"/>
            </w14:solidFill>
          </w14:textFill>
        </w:rPr>
        <w:t xml:space="preserve"> 电渗析设备电极</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优先选用耐腐蚀的钛涂铂或钛涂铱电极，膜片应优先选择防腐蚀的聚四氟乙烯、聚二氟乙烯、聚丙烯腈类、聚砜类等作为基材。</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6.5 酸蒸发浓缩设备</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6.5.1 </w:t>
      </w:r>
      <w:r>
        <w:rPr>
          <w:rFonts w:ascii="Times New Roman"/>
          <w:color w:val="000000" w:themeColor="text1"/>
          <w14:textFill>
            <w14:solidFill>
              <w14:schemeClr w14:val="tx1"/>
            </w14:solidFill>
          </w14:textFill>
        </w:rPr>
        <w:t>蒸发浓缩设备的选型应根据溶液</w:t>
      </w:r>
      <w:r>
        <w:rPr>
          <w:rFonts w:hint="eastAsia" w:ascii="Times New Roman"/>
          <w:color w:val="000000" w:themeColor="text1"/>
          <w14:textFill>
            <w14:solidFill>
              <w14:schemeClr w14:val="tx1"/>
            </w14:solidFill>
          </w14:textFill>
        </w:rPr>
        <w:t>组分</w:t>
      </w:r>
      <w:r>
        <w:rPr>
          <w:rFonts w:ascii="Times New Roman"/>
          <w:color w:val="000000" w:themeColor="text1"/>
          <w14:textFill>
            <w14:solidFill>
              <w14:schemeClr w14:val="tx1"/>
            </w14:solidFill>
          </w14:textFill>
        </w:rPr>
        <w:t>、处理量、浓缩倍数的要求通过试验</w:t>
      </w:r>
      <w:r>
        <w:rPr>
          <w:rFonts w:hint="eastAsia" w:ascii="Times New Roman"/>
          <w:color w:val="000000" w:themeColor="text1"/>
          <w14:textFill>
            <w14:solidFill>
              <w14:schemeClr w14:val="tx1"/>
            </w14:solidFill>
          </w14:textFill>
        </w:rPr>
        <w:t>确定</w:t>
      </w:r>
      <w:r>
        <w:rPr>
          <w:rFonts w:ascii="Times New Roman"/>
          <w:color w:val="000000" w:themeColor="text1"/>
          <w14:textFill>
            <w14:solidFill>
              <w14:schemeClr w14:val="tx1"/>
            </w14:solidFill>
          </w14:textFill>
        </w:rPr>
        <w:t>或根据相同型号、</w:t>
      </w:r>
      <w:r>
        <w:rPr>
          <w:rFonts w:hint="eastAsia" w:ascii="Times New Roman"/>
          <w:color w:val="000000" w:themeColor="text1"/>
          <w14:textFill>
            <w14:solidFill>
              <w14:schemeClr w14:val="tx1"/>
            </w14:solidFill>
          </w14:textFill>
        </w:rPr>
        <w:t>类似项目经验</w:t>
      </w:r>
      <w:r>
        <w:rPr>
          <w:rFonts w:ascii="Times New Roman"/>
          <w:color w:val="000000" w:themeColor="text1"/>
          <w14:textFill>
            <w14:solidFill>
              <w14:schemeClr w14:val="tx1"/>
            </w14:solidFill>
          </w14:textFill>
        </w:rPr>
        <w:t>确定。</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6.5.2 </w:t>
      </w:r>
      <w:r>
        <w:rPr>
          <w:rFonts w:ascii="Times New Roman"/>
          <w:color w:val="000000" w:themeColor="text1"/>
          <w14:textFill>
            <w14:solidFill>
              <w14:schemeClr w14:val="tx1"/>
            </w14:solidFill>
          </w14:textFill>
        </w:rPr>
        <w:t>蒸发</w:t>
      </w:r>
      <w:r>
        <w:rPr>
          <w:rFonts w:hint="eastAsia" w:ascii="Times New Roman"/>
          <w:color w:val="000000" w:themeColor="text1"/>
          <w14:textFill>
            <w14:solidFill>
              <w14:schemeClr w14:val="tx1"/>
            </w14:solidFill>
          </w14:textFill>
        </w:rPr>
        <w:t>换热</w:t>
      </w:r>
      <w:r>
        <w:rPr>
          <w:rFonts w:ascii="Times New Roman"/>
          <w:color w:val="000000" w:themeColor="text1"/>
          <w14:textFill>
            <w14:solidFill>
              <w14:schemeClr w14:val="tx1"/>
            </w14:solidFill>
          </w14:textFill>
        </w:rPr>
        <w:t>设备</w:t>
      </w:r>
      <w:r>
        <w:rPr>
          <w:rFonts w:hint="eastAsia" w:ascii="Times New Roman"/>
          <w:color w:val="000000" w:themeColor="text1"/>
          <w14:textFill>
            <w14:solidFill>
              <w14:schemeClr w14:val="tx1"/>
            </w14:solidFill>
          </w14:textFill>
        </w:rPr>
        <w:t>应优先</w:t>
      </w:r>
      <w:r>
        <w:rPr>
          <w:rFonts w:ascii="Times New Roman"/>
          <w:color w:val="000000" w:themeColor="text1"/>
          <w14:textFill>
            <w14:solidFill>
              <w14:schemeClr w14:val="tx1"/>
            </w14:solidFill>
          </w14:textFill>
        </w:rPr>
        <w:t>选用间接热交换，热交换设备</w:t>
      </w:r>
      <w:r>
        <w:rPr>
          <w:rFonts w:hint="eastAsia" w:ascii="Times New Roman"/>
          <w:color w:val="000000" w:themeColor="text1"/>
          <w14:textFill>
            <w14:solidFill>
              <w14:schemeClr w14:val="tx1"/>
            </w14:solidFill>
          </w14:textFill>
        </w:rPr>
        <w:t>应优先</w:t>
      </w:r>
      <w:r>
        <w:rPr>
          <w:rFonts w:ascii="Times New Roman"/>
          <w:color w:val="000000" w:themeColor="text1"/>
          <w14:textFill>
            <w14:solidFill>
              <w14:schemeClr w14:val="tx1"/>
            </w14:solidFill>
          </w14:textFill>
        </w:rPr>
        <w:t>选用防腐、导热、耐温性能较好的石墨材料</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蒸发</w:t>
      </w:r>
      <w:r>
        <w:rPr>
          <w:rFonts w:hint="eastAsia" w:ascii="Times New Roman"/>
          <w:color w:val="000000" w:themeColor="text1"/>
          <w14:textFill>
            <w14:solidFill>
              <w14:schemeClr w14:val="tx1"/>
            </w14:solidFill>
          </w14:textFill>
        </w:rPr>
        <w:t>分离</w:t>
      </w:r>
      <w:r>
        <w:rPr>
          <w:rFonts w:ascii="Times New Roman"/>
          <w:color w:val="000000" w:themeColor="text1"/>
          <w14:textFill>
            <w14:solidFill>
              <w14:schemeClr w14:val="tx1"/>
            </w14:solidFill>
          </w14:textFill>
        </w:rPr>
        <w:t>设备应优先选用衬四氟</w:t>
      </w:r>
      <w:r>
        <w:rPr>
          <w:rFonts w:hint="eastAsia" w:ascii="Times New Roman"/>
          <w:color w:val="000000" w:themeColor="text1"/>
          <w14:textFill>
            <w14:solidFill>
              <w14:schemeClr w14:val="tx1"/>
            </w14:solidFill>
          </w14:textFill>
        </w:rPr>
        <w:t>乙烯</w:t>
      </w:r>
      <w:r>
        <w:rPr>
          <w:rFonts w:ascii="Times New Roman"/>
          <w:color w:val="000000" w:themeColor="text1"/>
          <w14:textFill>
            <w14:solidFill>
              <w14:schemeClr w14:val="tx1"/>
            </w14:solidFill>
          </w14:textFill>
        </w:rPr>
        <w:t>材质。</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6.6 催化吹脱设备</w:t>
      </w:r>
    </w:p>
    <w:p>
      <w:pPr>
        <w:pStyle w:val="59"/>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吹脱</w:t>
      </w:r>
      <w:r>
        <w:rPr>
          <w:rFonts w:hint="eastAsia" w:ascii="Times New Roman"/>
          <w:color w:val="000000" w:themeColor="text1"/>
          <w14:textFill>
            <w14:solidFill>
              <w14:schemeClr w14:val="tx1"/>
            </w14:solidFill>
          </w14:textFill>
        </w:rPr>
        <w:t>塔应优先</w:t>
      </w:r>
      <w:r>
        <w:rPr>
          <w:rFonts w:ascii="Times New Roman"/>
          <w:color w:val="000000" w:themeColor="text1"/>
          <w14:textFill>
            <w14:solidFill>
              <w14:schemeClr w14:val="tx1"/>
            </w14:solidFill>
          </w14:textFill>
        </w:rPr>
        <w:t>选用防腐、导热、耐温性能较好的石墨材料</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吹脱循环罐应优先选用衬四氟</w:t>
      </w:r>
      <w:r>
        <w:rPr>
          <w:rFonts w:hint="eastAsia" w:ascii="Times New Roman"/>
          <w:color w:val="000000" w:themeColor="text1"/>
          <w14:textFill>
            <w14:solidFill>
              <w14:schemeClr w14:val="tx1"/>
            </w14:solidFill>
          </w14:textFill>
        </w:rPr>
        <w:t>乙烯</w:t>
      </w:r>
      <w:r>
        <w:rPr>
          <w:rFonts w:ascii="Times New Roman"/>
          <w:color w:val="000000" w:themeColor="text1"/>
          <w14:textFill>
            <w14:solidFill>
              <w14:schemeClr w14:val="tx1"/>
            </w14:solidFill>
          </w14:textFill>
        </w:rPr>
        <w:t>材质。</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6.7 脱水设备</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6.7.1 </w:t>
      </w:r>
      <w:r>
        <w:rPr>
          <w:rFonts w:ascii="Times New Roman"/>
          <w:color w:val="000000" w:themeColor="text1"/>
          <w14:textFill>
            <w14:solidFill>
              <w14:schemeClr w14:val="tx1"/>
            </w14:solidFill>
          </w14:textFill>
        </w:rPr>
        <w:t>脱水设备产率和污泥含水率应通过试验或根据相同机型、相似污泥脱水运行数据确定。</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6.7.2</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污泥应优先</w:t>
      </w:r>
      <w:r>
        <w:rPr>
          <w:rFonts w:ascii="Times New Roman"/>
          <w:color w:val="000000" w:themeColor="text1"/>
          <w14:textFill>
            <w14:solidFill>
              <w14:schemeClr w14:val="tx1"/>
            </w14:solidFill>
          </w14:textFill>
        </w:rPr>
        <w:t>选用厢式</w:t>
      </w:r>
      <w:r>
        <w:rPr>
          <w:rFonts w:hint="eastAsia" w:ascii="Times New Roman"/>
          <w:color w:val="000000" w:themeColor="text1"/>
          <w14:textFill>
            <w14:solidFill>
              <w14:schemeClr w14:val="tx1"/>
            </w14:solidFill>
          </w14:textFill>
        </w:rPr>
        <w:t>暗流</w:t>
      </w:r>
      <w:r>
        <w:rPr>
          <w:rFonts w:ascii="Times New Roman"/>
          <w:color w:val="000000" w:themeColor="text1"/>
          <w14:textFill>
            <w14:solidFill>
              <w14:schemeClr w14:val="tx1"/>
            </w14:solidFill>
          </w14:textFill>
        </w:rPr>
        <w:t>压滤机进行脱水。</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6.7.3</w:t>
      </w:r>
      <w:r>
        <w:rPr>
          <w:rFonts w:ascii="Times New Roman"/>
          <w:color w:val="000000" w:themeColor="text1"/>
          <w14:textFill>
            <w14:solidFill>
              <w14:schemeClr w14:val="tx1"/>
            </w14:solidFill>
          </w14:textFill>
        </w:rPr>
        <w:t xml:space="preserve"> 压滤机的设计工作时间每班不宜大于6h，工作台数应根据所处理的最大干污泥量确定，</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不少于2台。</w:t>
      </w:r>
    </w:p>
    <w:p>
      <w:pPr>
        <w:pStyle w:val="59"/>
        <w:spacing w:line="360" w:lineRule="auto"/>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6.8 管道</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6.8.1 </w:t>
      </w:r>
      <w:r>
        <w:rPr>
          <w:rFonts w:ascii="Times New Roman"/>
          <w:color w:val="000000" w:themeColor="text1"/>
          <w14:textFill>
            <w14:solidFill>
              <w14:schemeClr w14:val="tx1"/>
            </w14:solidFill>
          </w14:textFill>
        </w:rPr>
        <w:t>管道应采用密封处理，禁止采用溜槽。</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6.8.2</w:t>
      </w:r>
      <w:r>
        <w:rPr>
          <w:rFonts w:hint="eastAsia" w:ascii="黑体" w:hAnsi="黑体" w:eastAsia="黑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管道</w:t>
      </w:r>
      <w:r>
        <w:rPr>
          <w:rFonts w:hint="eastAsia" w:ascii="Times New Roman"/>
          <w:color w:val="000000" w:themeColor="text1"/>
          <w14:textFill>
            <w14:solidFill>
              <w14:schemeClr w14:val="tx1"/>
            </w14:solidFill>
          </w14:textFill>
        </w:rPr>
        <w:t>及管件</w:t>
      </w:r>
      <w:r>
        <w:rPr>
          <w:rFonts w:ascii="Times New Roman"/>
          <w:color w:val="000000" w:themeColor="text1"/>
          <w14:textFill>
            <w14:solidFill>
              <w14:schemeClr w14:val="tx1"/>
            </w14:solidFill>
          </w14:textFill>
        </w:rPr>
        <w:t>应选用耐腐蚀管道</w:t>
      </w:r>
      <w:r>
        <w:rPr>
          <w:rFonts w:hint="eastAsia" w:ascii="Times New Roman"/>
          <w:color w:val="000000" w:themeColor="text1"/>
          <w14:textFill>
            <w14:solidFill>
              <w14:schemeClr w14:val="tx1"/>
            </w14:solidFill>
          </w14:textFill>
        </w:rPr>
        <w:t>及管件</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应优先</w:t>
      </w:r>
      <w:r>
        <w:rPr>
          <w:rFonts w:ascii="Times New Roman"/>
          <w:color w:val="000000" w:themeColor="text1"/>
          <w14:textFill>
            <w14:solidFill>
              <w14:schemeClr w14:val="tx1"/>
            </w14:solidFill>
          </w14:textFill>
        </w:rPr>
        <w:t>选用玻璃钢</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塑料</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衬塑金属复合</w:t>
      </w:r>
      <w:r>
        <w:rPr>
          <w:rFonts w:hint="eastAsia" w:ascii="Times New Roman"/>
          <w:color w:val="000000" w:themeColor="text1"/>
          <w14:textFill>
            <w14:solidFill>
              <w14:schemeClr w14:val="tx1"/>
            </w14:solidFill>
          </w14:textFill>
        </w:rPr>
        <w:t>材质</w:t>
      </w:r>
      <w:r>
        <w:rPr>
          <w:rFonts w:ascii="Times New Roman"/>
          <w:color w:val="000000" w:themeColor="text1"/>
          <w14:textFill>
            <w14:solidFill>
              <w14:schemeClr w14:val="tx1"/>
            </w14:solidFill>
          </w14:textFill>
        </w:rPr>
        <w:t>等</w:t>
      </w:r>
      <w:r>
        <w:rPr>
          <w:rFonts w:hint="eastAsia" w:ascii="Times New Roman"/>
          <w:color w:val="000000" w:themeColor="text1"/>
          <w14:textFill>
            <w14:solidFill>
              <w14:schemeClr w14:val="tx1"/>
            </w14:solidFill>
          </w14:textFill>
        </w:rPr>
        <w:t>，管件及管道的外防腐应符合</w:t>
      </w:r>
      <w:r>
        <w:rPr>
          <w:rFonts w:ascii="Times New Roman"/>
        </w:rPr>
        <w:t>HGJ 34-90</w:t>
      </w:r>
      <w:r>
        <w:rPr>
          <w:rFonts w:hint="eastAsia" w:ascii="Times New Roman"/>
          <w:color w:val="000000" w:themeColor="text1"/>
          <w14:textFill>
            <w14:solidFill>
              <w14:schemeClr w14:val="tx1"/>
            </w14:solidFill>
          </w14:textFill>
        </w:rPr>
        <w:t>的规定</w:t>
      </w:r>
      <w:r>
        <w:rPr>
          <w:rFonts w:ascii="Times New Roman"/>
          <w:color w:val="000000" w:themeColor="text1"/>
          <w14:textFill>
            <w14:solidFill>
              <w14:schemeClr w14:val="tx1"/>
            </w14:solidFill>
          </w14:textFill>
        </w:rPr>
        <w:t>。</w:t>
      </w:r>
    </w:p>
    <w:p>
      <w:pPr>
        <w:pStyle w:val="107"/>
        <w:spacing w:before="240" w:after="240"/>
        <w:rPr>
          <w:rFonts w:ascii="Times New Roman"/>
          <w:color w:val="000000" w:themeColor="text1"/>
          <w14:textFill>
            <w14:solidFill>
              <w14:schemeClr w14:val="tx1"/>
            </w14:solidFill>
          </w14:textFill>
        </w:rPr>
      </w:pPr>
      <w:bookmarkStart w:id="45" w:name="_Toc142657344"/>
      <w:r>
        <w:rPr>
          <w:rFonts w:ascii="Times New Roman"/>
          <w:szCs w:val="21"/>
        </w:rPr>
        <w:t>检测与</w:t>
      </w:r>
      <w:r>
        <w:rPr>
          <w:rFonts w:hint="eastAsia" w:ascii="Times New Roman"/>
          <w:szCs w:val="21"/>
        </w:rPr>
        <w:t>监测要求</w:t>
      </w:r>
      <w:bookmarkEnd w:id="45"/>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7.1 </w:t>
      </w:r>
      <w:r>
        <w:rPr>
          <w:rFonts w:hint="eastAsia" w:ascii="Times New Roman"/>
          <w:color w:val="000000" w:themeColor="text1"/>
          <w14:textFill>
            <w14:solidFill>
              <w14:schemeClr w14:val="tx1"/>
            </w14:solidFill>
          </w14:textFill>
        </w:rPr>
        <w:t>锌冶炼污酸</w:t>
      </w:r>
      <w:r>
        <w:rPr>
          <w:rFonts w:ascii="Times New Roman"/>
          <w:color w:val="000000" w:themeColor="text1"/>
          <w14:textFill>
            <w14:solidFill>
              <w14:schemeClr w14:val="tx1"/>
            </w14:solidFill>
          </w14:textFill>
        </w:rPr>
        <w:t>资源化回收利用</w:t>
      </w:r>
      <w:r>
        <w:rPr>
          <w:rFonts w:hint="eastAsia" w:ascii="Times New Roman"/>
          <w:color w:val="000000" w:themeColor="text1"/>
          <w14:textFill>
            <w14:solidFill>
              <w14:schemeClr w14:val="tx1"/>
            </w14:solidFill>
          </w14:textFill>
        </w:rPr>
        <w:t>系统</w:t>
      </w:r>
      <w:r>
        <w:rPr>
          <w:rFonts w:ascii="Times New Roman"/>
          <w:color w:val="000000" w:themeColor="text1"/>
          <w14:textFill>
            <w14:solidFill>
              <w14:schemeClr w14:val="tx1"/>
            </w14:solidFill>
          </w14:textFill>
        </w:rPr>
        <w:t>的运行应</w:t>
      </w:r>
      <w:r>
        <w:rPr>
          <w:rFonts w:hint="eastAsia" w:ascii="Times New Roman"/>
          <w:color w:val="000000" w:themeColor="text1"/>
          <w14:textFill>
            <w14:solidFill>
              <w14:schemeClr w14:val="tx1"/>
            </w14:solidFill>
          </w14:textFill>
        </w:rPr>
        <w:t>实现可靠的自动化过程控制</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7.2 </w:t>
      </w:r>
      <w:r>
        <w:rPr>
          <w:rFonts w:ascii="Times New Roman"/>
          <w:color w:val="000000" w:themeColor="text1"/>
          <w14:textFill>
            <w14:solidFill>
              <w14:schemeClr w14:val="tx1"/>
            </w14:solidFill>
          </w14:textFill>
        </w:rPr>
        <w:t>各处理工序产生的</w:t>
      </w:r>
      <w:r>
        <w:rPr>
          <w:rFonts w:hint="eastAsia" w:ascii="Times New Roman"/>
          <w:color w:val="000000" w:themeColor="text1"/>
          <w14:textFill>
            <w14:solidFill>
              <w14:schemeClr w14:val="tx1"/>
            </w14:solidFill>
          </w14:textFill>
        </w:rPr>
        <w:t>污泥</w:t>
      </w:r>
      <w:r>
        <w:rPr>
          <w:rFonts w:ascii="Times New Roman"/>
          <w:color w:val="000000" w:themeColor="text1"/>
          <w14:textFill>
            <w14:solidFill>
              <w14:schemeClr w14:val="tx1"/>
            </w14:solidFill>
          </w14:textFill>
        </w:rPr>
        <w:t>、产品应进行成分、含水率</w:t>
      </w:r>
      <w:r>
        <w:rPr>
          <w:rFonts w:hint="eastAsia" w:ascii="Times New Roman"/>
          <w:color w:val="000000" w:themeColor="text1"/>
          <w14:textFill>
            <w14:solidFill>
              <w14:schemeClr w14:val="tx1"/>
            </w14:solidFill>
          </w14:textFill>
        </w:rPr>
        <w:t>的</w:t>
      </w:r>
      <w:r>
        <w:rPr>
          <w:rFonts w:ascii="Times New Roman"/>
          <w:color w:val="000000" w:themeColor="text1"/>
          <w14:textFill>
            <w14:solidFill>
              <w14:schemeClr w14:val="tx1"/>
            </w14:solidFill>
          </w14:textFill>
        </w:rPr>
        <w:t>分析化验检测。</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7.3 </w:t>
      </w:r>
      <w:r>
        <w:rPr>
          <w:rFonts w:ascii="Times New Roman"/>
          <w:color w:val="000000" w:themeColor="text1"/>
          <w14:textFill>
            <w14:solidFill>
              <w14:schemeClr w14:val="tx1"/>
            </w14:solidFill>
          </w14:textFill>
        </w:rPr>
        <w:t>各检测项目的分析化验方法应</w:t>
      </w:r>
      <w:r>
        <w:rPr>
          <w:rFonts w:hint="eastAsia" w:ascii="Times New Roman"/>
          <w:color w:val="000000" w:themeColor="text1"/>
          <w14:textFill>
            <w14:solidFill>
              <w14:schemeClr w14:val="tx1"/>
            </w14:solidFill>
          </w14:textFill>
        </w:rPr>
        <w:t>符合</w:t>
      </w:r>
      <w:r>
        <w:rPr>
          <w:rFonts w:ascii="Times New Roman"/>
          <w:color w:val="000000" w:themeColor="text1"/>
          <w14:textFill>
            <w14:solidFill>
              <w14:schemeClr w14:val="tx1"/>
            </w14:solidFill>
          </w14:textFill>
        </w:rPr>
        <w:t>HJ</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694和GB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7475-87</w:t>
      </w:r>
      <w:r>
        <w:rPr>
          <w:rFonts w:hint="eastAsia" w:ascii="Times New Roman"/>
          <w:color w:val="000000" w:themeColor="text1"/>
          <w14:textFill>
            <w14:solidFill>
              <w14:schemeClr w14:val="tx1"/>
            </w14:solidFill>
          </w14:textFill>
        </w:rPr>
        <w:t>和的规定</w:t>
      </w:r>
      <w:r>
        <w:rPr>
          <w:rFonts w:ascii="Times New Roman"/>
          <w:color w:val="000000" w:themeColor="text1"/>
          <w14:textFill>
            <w14:solidFill>
              <w14:schemeClr w14:val="tx1"/>
            </w14:solidFill>
          </w14:textFill>
        </w:rPr>
        <w:t>。</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7.4</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排放尾气</w:t>
      </w:r>
      <w:r>
        <w:rPr>
          <w:rFonts w:ascii="Times New Roman"/>
          <w:color w:val="000000" w:themeColor="text1"/>
          <w14:textFill>
            <w14:solidFill>
              <w14:schemeClr w14:val="tx1"/>
            </w14:solidFill>
          </w14:textFill>
        </w:rPr>
        <w:t>应根据GB14554-93、HJ 863.3以及自行监测技术指南确定排放口的检查因子、监测频次、监测技术手段和监测设施。</w:t>
      </w:r>
    </w:p>
    <w:p>
      <w:pPr>
        <w:pStyle w:val="107"/>
        <w:spacing w:before="240" w:after="240"/>
        <w:rPr>
          <w:rFonts w:ascii="Times New Roman"/>
          <w:szCs w:val="21"/>
        </w:rPr>
      </w:pPr>
      <w:bookmarkStart w:id="46" w:name="_Toc142657345"/>
      <w:r>
        <w:rPr>
          <w:rFonts w:ascii="Times New Roman"/>
          <w:szCs w:val="21"/>
        </w:rPr>
        <w:t>运行与维护</w:t>
      </w:r>
      <w:bookmarkEnd w:id="46"/>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8.1</w:t>
      </w:r>
      <w:r>
        <w:rPr>
          <w:rFonts w:hint="eastAsia" w:ascii="黑体" w:hAnsi="黑体" w:eastAsia="黑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污酸资源化回收利用工程运行和维护应符合国家</w:t>
      </w:r>
      <w:r>
        <w:rPr>
          <w:rFonts w:hint="eastAsia" w:ascii="Times New Roman"/>
          <w:color w:val="000000" w:themeColor="text1"/>
          <w14:textFill>
            <w14:solidFill>
              <w14:schemeClr w14:val="tx1"/>
            </w14:solidFill>
          </w14:textFill>
        </w:rPr>
        <w:t>相关</w:t>
      </w:r>
      <w:r>
        <w:rPr>
          <w:rFonts w:ascii="Times New Roman"/>
          <w:color w:val="000000" w:themeColor="text1"/>
          <w14:textFill>
            <w14:solidFill>
              <w14:schemeClr w14:val="tx1"/>
            </w14:solidFill>
          </w14:textFill>
        </w:rPr>
        <w:t>法律、法规</w:t>
      </w:r>
      <w:r>
        <w:rPr>
          <w:rFonts w:hint="eastAsia" w:ascii="Times New Roman"/>
          <w:color w:val="000000" w:themeColor="text1"/>
          <w14:textFill>
            <w14:solidFill>
              <w14:schemeClr w14:val="tx1"/>
            </w14:solidFill>
          </w14:textFill>
        </w:rPr>
        <w:t>的要求，</w:t>
      </w:r>
      <w:r>
        <w:rPr>
          <w:rFonts w:ascii="Times New Roman"/>
          <w:color w:val="000000" w:themeColor="text1"/>
          <w14:textFill>
            <w14:solidFill>
              <w14:schemeClr w14:val="tx1"/>
            </w14:solidFill>
          </w14:textFill>
        </w:rPr>
        <w:t>且各系统操作人员应经过岗位安全培训及技能培训。</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8.2</w:t>
      </w:r>
      <w:r>
        <w:rPr>
          <w:rFonts w:hint="eastAsia" w:ascii="黑体" w:hAnsi="黑体" w:eastAsia="黑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各系统的操作人员应严格按照操作规程要求，运行、维护和管理各处理设施，检查并记录处理建、构筑物、设备、电器和仪表的运行状况。</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8.3 </w:t>
      </w:r>
      <w:r>
        <w:rPr>
          <w:rFonts w:ascii="Times New Roman"/>
          <w:color w:val="000000" w:themeColor="text1"/>
          <w14:textFill>
            <w14:solidFill>
              <w14:schemeClr w14:val="tx1"/>
            </w14:solidFill>
          </w14:textFill>
        </w:rPr>
        <w:t>运行和维护维护前</w:t>
      </w:r>
      <w:r>
        <w:rPr>
          <w:rFonts w:hint="eastAsia" w:ascii="Times New Roman"/>
          <w:color w:val="000000" w:themeColor="text1"/>
          <w14:textFill>
            <w14:solidFill>
              <w14:schemeClr w14:val="tx1"/>
            </w14:solidFill>
          </w14:textFill>
        </w:rPr>
        <w:t>应</w:t>
      </w:r>
      <w:r>
        <w:rPr>
          <w:rFonts w:ascii="Times New Roman"/>
          <w:color w:val="000000" w:themeColor="text1"/>
          <w14:textFill>
            <w14:solidFill>
              <w14:schemeClr w14:val="tx1"/>
            </w14:solidFill>
          </w14:textFill>
        </w:rPr>
        <w:t>做好技术交底、技术培训工作，严格按照设计图纸和标准、规范进行运行和维护，严格材料质检关，做好运行和维护日志。</w:t>
      </w:r>
    </w:p>
    <w:p>
      <w:pPr>
        <w:pStyle w:val="59"/>
        <w:spacing w:line="36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8.4</w:t>
      </w:r>
      <w:r>
        <w:rPr>
          <w:rFonts w:ascii="Times New Roman"/>
          <w:color w:val="000000" w:themeColor="text1"/>
          <w14:textFill>
            <w14:solidFill>
              <w14:schemeClr w14:val="tx1"/>
            </w14:solidFill>
          </w14:textFill>
        </w:rPr>
        <w:t xml:space="preserve"> 应根据污酸资源化回收利用工程运行和周围环境情况，配备人力、设备通讯等资源，编制应急预案，建立完善的应急处理机制。</w:t>
      </w: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107"/>
        <w:numPr>
          <w:ilvl w:val="0"/>
          <w:numId w:val="0"/>
        </w:numPr>
        <w:spacing w:before="240" w:after="240"/>
        <w:jc w:val="center"/>
        <w:rPr>
          <w:rFonts w:ascii="宋体" w:hAnsi="宋体" w:eastAsia="宋体"/>
        </w:rPr>
      </w:pPr>
      <w:bookmarkStart w:id="47" w:name="_Toc142657346"/>
      <w:r>
        <w:rPr>
          <w:rFonts w:hint="eastAsia" w:ascii="宋体" w:hAnsi="宋体" w:eastAsia="宋体"/>
        </w:rPr>
        <w:t>参考文献</w:t>
      </w:r>
      <w:bookmarkEnd w:id="47"/>
    </w:p>
    <w:p>
      <w:pPr>
        <w:pStyle w:val="59"/>
        <w:spacing w:line="360" w:lineRule="auto"/>
        <w:ind w:firstLine="0" w:firstLineChars="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国家危险废物名录</w:t>
      </w:r>
    </w:p>
    <w:p>
      <w:pPr>
        <w:pStyle w:val="59"/>
        <w:spacing w:line="360" w:lineRule="auto"/>
        <w:ind w:firstLine="0" w:firstLineChars="0"/>
        <w:rPr>
          <w:rFonts w:ascii="Times New Roman"/>
          <w:color w:val="000000" w:themeColor="text1"/>
          <w14:textFill>
            <w14:solidFill>
              <w14:schemeClr w14:val="tx1"/>
            </w14:solidFill>
          </w14:textFill>
        </w:rPr>
      </w:pPr>
      <w:r>
        <w:rPr>
          <w:rFonts w:hAnsi="宋体" w:cs="宋体"/>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《危险废物转移联单管理办法》</w:t>
      </w:r>
    </w:p>
    <w:p>
      <w:pPr>
        <w:pStyle w:val="59"/>
        <w:spacing w:line="360" w:lineRule="auto"/>
        <w:ind w:firstLine="0" w:firstLineChars="0"/>
        <w:rPr>
          <w:rFonts w:ascii="Times New Roman"/>
          <w:color w:val="000000" w:themeColor="text1"/>
          <w14:textFill>
            <w14:solidFill>
              <w14:schemeClr w14:val="tx1"/>
            </w14:solidFill>
          </w14:textFill>
        </w:rPr>
      </w:pPr>
      <w:r>
        <w:rPr>
          <w:rFonts w:hAnsi="宋体" w:cs="宋体"/>
          <w:color w:val="000000" w:themeColor="text1"/>
          <w14:textFill>
            <w14:solidFill>
              <w14:schemeClr w14:val="tx1"/>
            </w14:solidFill>
          </w14:textFill>
        </w:rPr>
        <w:t>[3]</w:t>
      </w:r>
      <w:r>
        <w:rPr>
          <w:rFonts w:hint="eastAsia" w:ascii="Times New Roman"/>
          <w:color w:val="000000" w:themeColor="text1"/>
          <w14:textFill>
            <w14:solidFill>
              <w14:schemeClr w14:val="tx1"/>
            </w14:solidFill>
          </w14:textFill>
        </w:rPr>
        <w:t>《国家鼓励发展的重大环保技术装备目录》</w:t>
      </w: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rPr>
          <w:rFonts w:ascii="Times New Roman"/>
          <w:color w:val="000000" w:themeColor="text1"/>
          <w14:textFill>
            <w14:solidFill>
              <w14:schemeClr w14:val="tx1"/>
            </w14:solidFill>
          </w14:textFill>
        </w:rPr>
      </w:pPr>
    </w:p>
    <w:p>
      <w:pPr>
        <w:pStyle w:val="59"/>
        <w:spacing w:line="360" w:lineRule="auto"/>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___________________________________</w:t>
      </w:r>
    </w:p>
    <w:sectPr>
      <w:pgSz w:w="11906" w:h="16838"/>
      <w:pgMar w:top="567" w:right="1134" w:bottom="1134" w:left="1134" w:header="1418" w:footer="1134" w:gutter="284"/>
      <w:pgNumType w:fmt="numberInDash"/>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66696"/>
    </w:sdtPr>
    <w:sdtContent>
      <w:p>
        <w:pPr>
          <w:pStyle w:val="18"/>
          <w:jc w:val="center"/>
        </w:pPr>
        <w:r>
          <w:fldChar w:fldCharType="begin"/>
        </w:r>
        <w:r>
          <w:instrText xml:space="preserve">PAGE   \* MERGEFORMAT</w:instrText>
        </w:r>
        <w:r>
          <w:fldChar w:fldCharType="separate"/>
        </w:r>
        <w:r>
          <w:rPr>
            <w:lang w:val="zh-CN"/>
          </w:rPr>
          <w:t>I</w:t>
        </w:r>
        <w:r>
          <w:fldChar w:fldCharType="end"/>
        </w:r>
      </w:p>
    </w:sdtContent>
  </w:sdt>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T/CNIA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T/CNIA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8450"/>
        </w:tabs>
        <w:ind w:left="8450" w:hanging="648"/>
      </w:pPr>
    </w:lvl>
    <w:lvl w:ilvl="1" w:tentative="0">
      <w:start w:val="1"/>
      <w:numFmt w:val="lowerLetter"/>
      <w:lvlText w:val="%2)"/>
      <w:lvlJc w:val="left"/>
      <w:pPr>
        <w:tabs>
          <w:tab w:val="left" w:pos="8642"/>
        </w:tabs>
        <w:ind w:left="8642" w:hanging="420"/>
      </w:pPr>
    </w:lvl>
    <w:lvl w:ilvl="2" w:tentative="0">
      <w:start w:val="1"/>
      <w:numFmt w:val="lowerRoman"/>
      <w:lvlText w:val="%3."/>
      <w:lvlJc w:val="right"/>
      <w:pPr>
        <w:tabs>
          <w:tab w:val="left" w:pos="9062"/>
        </w:tabs>
        <w:ind w:left="9062" w:hanging="420"/>
      </w:pPr>
    </w:lvl>
    <w:lvl w:ilvl="3" w:tentative="0">
      <w:start w:val="1"/>
      <w:numFmt w:val="decimal"/>
      <w:lvlText w:val="%4."/>
      <w:lvlJc w:val="left"/>
      <w:pPr>
        <w:tabs>
          <w:tab w:val="left" w:pos="9482"/>
        </w:tabs>
        <w:ind w:left="9482" w:hanging="420"/>
      </w:pPr>
    </w:lvl>
    <w:lvl w:ilvl="4" w:tentative="0">
      <w:start w:val="1"/>
      <w:numFmt w:val="lowerLetter"/>
      <w:lvlText w:val="%5)"/>
      <w:lvlJc w:val="left"/>
      <w:pPr>
        <w:tabs>
          <w:tab w:val="left" w:pos="9902"/>
        </w:tabs>
        <w:ind w:left="9902" w:hanging="420"/>
      </w:pPr>
    </w:lvl>
    <w:lvl w:ilvl="5" w:tentative="0">
      <w:start w:val="1"/>
      <w:numFmt w:val="lowerRoman"/>
      <w:lvlText w:val="%6."/>
      <w:lvlJc w:val="right"/>
      <w:pPr>
        <w:tabs>
          <w:tab w:val="left" w:pos="10322"/>
        </w:tabs>
        <w:ind w:left="10322" w:hanging="420"/>
      </w:pPr>
    </w:lvl>
    <w:lvl w:ilvl="6" w:tentative="0">
      <w:start w:val="1"/>
      <w:numFmt w:val="decimal"/>
      <w:lvlText w:val="%7."/>
      <w:lvlJc w:val="left"/>
      <w:pPr>
        <w:tabs>
          <w:tab w:val="left" w:pos="10742"/>
        </w:tabs>
        <w:ind w:left="10742" w:hanging="420"/>
      </w:pPr>
    </w:lvl>
    <w:lvl w:ilvl="7" w:tentative="0">
      <w:start w:val="1"/>
      <w:numFmt w:val="lowerLetter"/>
      <w:lvlText w:val="%8)"/>
      <w:lvlJc w:val="left"/>
      <w:pPr>
        <w:tabs>
          <w:tab w:val="left" w:pos="11162"/>
        </w:tabs>
        <w:ind w:left="11162" w:hanging="420"/>
      </w:pPr>
    </w:lvl>
    <w:lvl w:ilvl="8" w:tentative="0">
      <w:start w:val="1"/>
      <w:numFmt w:val="lowerRoman"/>
      <w:lvlText w:val="%9."/>
      <w:lvlJc w:val="right"/>
      <w:pPr>
        <w:tabs>
          <w:tab w:val="left" w:pos="11582"/>
        </w:tabs>
        <w:ind w:left="11582"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793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841ADC"/>
    <w:rsid w:val="0000040A"/>
    <w:rsid w:val="000009AB"/>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D06"/>
    <w:rsid w:val="000329C9"/>
    <w:rsid w:val="000331D3"/>
    <w:rsid w:val="00033D02"/>
    <w:rsid w:val="000346A5"/>
    <w:rsid w:val="000359C3"/>
    <w:rsid w:val="00035A7D"/>
    <w:rsid w:val="000365ED"/>
    <w:rsid w:val="000401ED"/>
    <w:rsid w:val="00041858"/>
    <w:rsid w:val="0004249A"/>
    <w:rsid w:val="00043282"/>
    <w:rsid w:val="00043F15"/>
    <w:rsid w:val="0004419C"/>
    <w:rsid w:val="00044286"/>
    <w:rsid w:val="00045F0A"/>
    <w:rsid w:val="00045F66"/>
    <w:rsid w:val="00046194"/>
    <w:rsid w:val="000463A3"/>
    <w:rsid w:val="00047F28"/>
    <w:rsid w:val="000503AA"/>
    <w:rsid w:val="000506A1"/>
    <w:rsid w:val="00051585"/>
    <w:rsid w:val="000515DD"/>
    <w:rsid w:val="00051CE0"/>
    <w:rsid w:val="0005265A"/>
    <w:rsid w:val="000539DD"/>
    <w:rsid w:val="00053BD3"/>
    <w:rsid w:val="000556ED"/>
    <w:rsid w:val="00055FE2"/>
    <w:rsid w:val="0005616F"/>
    <w:rsid w:val="00060C2E"/>
    <w:rsid w:val="00061033"/>
    <w:rsid w:val="00061275"/>
    <w:rsid w:val="000619E9"/>
    <w:rsid w:val="000622D4"/>
    <w:rsid w:val="0006357D"/>
    <w:rsid w:val="00064CE4"/>
    <w:rsid w:val="00067F1E"/>
    <w:rsid w:val="00071CC0"/>
    <w:rsid w:val="00071CFC"/>
    <w:rsid w:val="00073C8C"/>
    <w:rsid w:val="00077B64"/>
    <w:rsid w:val="00080A1C"/>
    <w:rsid w:val="0008115B"/>
    <w:rsid w:val="00082317"/>
    <w:rsid w:val="00083D2C"/>
    <w:rsid w:val="00086AA1"/>
    <w:rsid w:val="00087A77"/>
    <w:rsid w:val="000908E2"/>
    <w:rsid w:val="00090B08"/>
    <w:rsid w:val="00090CA6"/>
    <w:rsid w:val="00092B8A"/>
    <w:rsid w:val="00092FB0"/>
    <w:rsid w:val="000934C5"/>
    <w:rsid w:val="00093D25"/>
    <w:rsid w:val="00093DAB"/>
    <w:rsid w:val="00094AB2"/>
    <w:rsid w:val="00094D73"/>
    <w:rsid w:val="00094E2F"/>
    <w:rsid w:val="00096D63"/>
    <w:rsid w:val="000A03F2"/>
    <w:rsid w:val="000A0B60"/>
    <w:rsid w:val="000A0EB8"/>
    <w:rsid w:val="000A19FC"/>
    <w:rsid w:val="000A296B"/>
    <w:rsid w:val="000A371A"/>
    <w:rsid w:val="000A5D13"/>
    <w:rsid w:val="000A7311"/>
    <w:rsid w:val="000B0137"/>
    <w:rsid w:val="000B060F"/>
    <w:rsid w:val="000B1592"/>
    <w:rsid w:val="000B1FF2"/>
    <w:rsid w:val="000B3CDA"/>
    <w:rsid w:val="000B6A0B"/>
    <w:rsid w:val="000B730E"/>
    <w:rsid w:val="000C0535"/>
    <w:rsid w:val="000C0F6C"/>
    <w:rsid w:val="000C11DB"/>
    <w:rsid w:val="000C1492"/>
    <w:rsid w:val="000C2FBD"/>
    <w:rsid w:val="000C4B41"/>
    <w:rsid w:val="000C57D6"/>
    <w:rsid w:val="000C6362"/>
    <w:rsid w:val="000C7666"/>
    <w:rsid w:val="000D0A9C"/>
    <w:rsid w:val="000D10C5"/>
    <w:rsid w:val="000D1795"/>
    <w:rsid w:val="000D329A"/>
    <w:rsid w:val="000D457E"/>
    <w:rsid w:val="000D4B9C"/>
    <w:rsid w:val="000D4EB6"/>
    <w:rsid w:val="000D753B"/>
    <w:rsid w:val="000D7BAE"/>
    <w:rsid w:val="000E2A25"/>
    <w:rsid w:val="000E2E2B"/>
    <w:rsid w:val="000E4C9E"/>
    <w:rsid w:val="000E6FD7"/>
    <w:rsid w:val="000F06E1"/>
    <w:rsid w:val="000F0E3C"/>
    <w:rsid w:val="000F19D5"/>
    <w:rsid w:val="000F1AD2"/>
    <w:rsid w:val="000F34FA"/>
    <w:rsid w:val="000F3A33"/>
    <w:rsid w:val="000F4050"/>
    <w:rsid w:val="000F4AEA"/>
    <w:rsid w:val="000F67E9"/>
    <w:rsid w:val="000F6F60"/>
    <w:rsid w:val="00104926"/>
    <w:rsid w:val="0011231C"/>
    <w:rsid w:val="00113B1E"/>
    <w:rsid w:val="0011711C"/>
    <w:rsid w:val="0012088F"/>
    <w:rsid w:val="00121FFE"/>
    <w:rsid w:val="00124E4F"/>
    <w:rsid w:val="001260B7"/>
    <w:rsid w:val="001265CB"/>
    <w:rsid w:val="00126680"/>
    <w:rsid w:val="001321C6"/>
    <w:rsid w:val="001325C4"/>
    <w:rsid w:val="00133010"/>
    <w:rsid w:val="001338EE"/>
    <w:rsid w:val="00133AAE"/>
    <w:rsid w:val="001349B2"/>
    <w:rsid w:val="00135323"/>
    <w:rsid w:val="001356C4"/>
    <w:rsid w:val="001366EC"/>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08"/>
    <w:rsid w:val="00163EE0"/>
    <w:rsid w:val="001642FA"/>
    <w:rsid w:val="001647BA"/>
    <w:rsid w:val="001649EB"/>
    <w:rsid w:val="00164BAF"/>
    <w:rsid w:val="00164FA8"/>
    <w:rsid w:val="00165065"/>
    <w:rsid w:val="00165434"/>
    <w:rsid w:val="0016580B"/>
    <w:rsid w:val="00165F49"/>
    <w:rsid w:val="00166367"/>
    <w:rsid w:val="00166B88"/>
    <w:rsid w:val="0016770A"/>
    <w:rsid w:val="001700F9"/>
    <w:rsid w:val="00170804"/>
    <w:rsid w:val="001708E9"/>
    <w:rsid w:val="0017340B"/>
    <w:rsid w:val="00173FB1"/>
    <w:rsid w:val="00176DFD"/>
    <w:rsid w:val="00182258"/>
    <w:rsid w:val="00183F6A"/>
    <w:rsid w:val="001852C9"/>
    <w:rsid w:val="001864B4"/>
    <w:rsid w:val="00187A0B"/>
    <w:rsid w:val="00190087"/>
    <w:rsid w:val="0019042E"/>
    <w:rsid w:val="001913C4"/>
    <w:rsid w:val="0019348F"/>
    <w:rsid w:val="00193A07"/>
    <w:rsid w:val="00194C95"/>
    <w:rsid w:val="00195C34"/>
    <w:rsid w:val="00196EF5"/>
    <w:rsid w:val="001978D1"/>
    <w:rsid w:val="001A1547"/>
    <w:rsid w:val="001A1A53"/>
    <w:rsid w:val="001A234A"/>
    <w:rsid w:val="001A4CF3"/>
    <w:rsid w:val="001A4D42"/>
    <w:rsid w:val="001A6631"/>
    <w:rsid w:val="001A6696"/>
    <w:rsid w:val="001A7E57"/>
    <w:rsid w:val="001B06E8"/>
    <w:rsid w:val="001B4F2B"/>
    <w:rsid w:val="001B4F67"/>
    <w:rsid w:val="001B5917"/>
    <w:rsid w:val="001B71D0"/>
    <w:rsid w:val="001B71EE"/>
    <w:rsid w:val="001C04A8"/>
    <w:rsid w:val="001C07FE"/>
    <w:rsid w:val="001C1981"/>
    <w:rsid w:val="001C2C03"/>
    <w:rsid w:val="001C42F7"/>
    <w:rsid w:val="001C49E5"/>
    <w:rsid w:val="001C4D5B"/>
    <w:rsid w:val="001C680C"/>
    <w:rsid w:val="001C6A2F"/>
    <w:rsid w:val="001C7FEA"/>
    <w:rsid w:val="001D0499"/>
    <w:rsid w:val="001D0BBE"/>
    <w:rsid w:val="001D0ED4"/>
    <w:rsid w:val="001D212F"/>
    <w:rsid w:val="001D29D7"/>
    <w:rsid w:val="001D2DE7"/>
    <w:rsid w:val="001D31D1"/>
    <w:rsid w:val="001D411C"/>
    <w:rsid w:val="001D6E27"/>
    <w:rsid w:val="001E1AE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730"/>
    <w:rsid w:val="00211969"/>
    <w:rsid w:val="002142EA"/>
    <w:rsid w:val="00215ADD"/>
    <w:rsid w:val="002204BB"/>
    <w:rsid w:val="00221B79"/>
    <w:rsid w:val="00221C6B"/>
    <w:rsid w:val="00221F87"/>
    <w:rsid w:val="002253A1"/>
    <w:rsid w:val="002258B5"/>
    <w:rsid w:val="00225CF8"/>
    <w:rsid w:val="00226B2F"/>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407"/>
    <w:rsid w:val="002566F2"/>
    <w:rsid w:val="00256796"/>
    <w:rsid w:val="0026148A"/>
    <w:rsid w:val="002616D9"/>
    <w:rsid w:val="00261E55"/>
    <w:rsid w:val="00262696"/>
    <w:rsid w:val="00262968"/>
    <w:rsid w:val="002631FB"/>
    <w:rsid w:val="00263D25"/>
    <w:rsid w:val="002643C3"/>
    <w:rsid w:val="0026451F"/>
    <w:rsid w:val="00264A0C"/>
    <w:rsid w:val="00266772"/>
    <w:rsid w:val="00266EEB"/>
    <w:rsid w:val="00267549"/>
    <w:rsid w:val="00267AF5"/>
    <w:rsid w:val="00267EF4"/>
    <w:rsid w:val="00270CB8"/>
    <w:rsid w:val="00271ACA"/>
    <w:rsid w:val="00272B08"/>
    <w:rsid w:val="00273A35"/>
    <w:rsid w:val="00276EA8"/>
    <w:rsid w:val="00281BB8"/>
    <w:rsid w:val="00281E9E"/>
    <w:rsid w:val="00282405"/>
    <w:rsid w:val="00285170"/>
    <w:rsid w:val="00285361"/>
    <w:rsid w:val="00292505"/>
    <w:rsid w:val="00292D60"/>
    <w:rsid w:val="00293B12"/>
    <w:rsid w:val="00293B30"/>
    <w:rsid w:val="00294611"/>
    <w:rsid w:val="00294D34"/>
    <w:rsid w:val="00294E3B"/>
    <w:rsid w:val="00296193"/>
    <w:rsid w:val="00296C66"/>
    <w:rsid w:val="00296EBE"/>
    <w:rsid w:val="002974E3"/>
    <w:rsid w:val="002A084B"/>
    <w:rsid w:val="002A1260"/>
    <w:rsid w:val="002A14F7"/>
    <w:rsid w:val="002A1589"/>
    <w:rsid w:val="002A1608"/>
    <w:rsid w:val="002A25DC"/>
    <w:rsid w:val="002A2EE3"/>
    <w:rsid w:val="002A3AAB"/>
    <w:rsid w:val="002A42CC"/>
    <w:rsid w:val="002A4874"/>
    <w:rsid w:val="002A4A0A"/>
    <w:rsid w:val="002A4CEA"/>
    <w:rsid w:val="002A5977"/>
    <w:rsid w:val="002A5A13"/>
    <w:rsid w:val="002A69E5"/>
    <w:rsid w:val="002A7321"/>
    <w:rsid w:val="002A757F"/>
    <w:rsid w:val="002A7F44"/>
    <w:rsid w:val="002B0C40"/>
    <w:rsid w:val="002B0FA3"/>
    <w:rsid w:val="002B1966"/>
    <w:rsid w:val="002B4508"/>
    <w:rsid w:val="002B5779"/>
    <w:rsid w:val="002B7332"/>
    <w:rsid w:val="002B74CD"/>
    <w:rsid w:val="002B7F51"/>
    <w:rsid w:val="002C09E7"/>
    <w:rsid w:val="002C1E06"/>
    <w:rsid w:val="002C3F07"/>
    <w:rsid w:val="002C5278"/>
    <w:rsid w:val="002C7EBB"/>
    <w:rsid w:val="002D06C1"/>
    <w:rsid w:val="002D2C48"/>
    <w:rsid w:val="002D3EB7"/>
    <w:rsid w:val="002D42B5"/>
    <w:rsid w:val="002D4F1A"/>
    <w:rsid w:val="002D6496"/>
    <w:rsid w:val="002D6EC6"/>
    <w:rsid w:val="002D79AC"/>
    <w:rsid w:val="002E039D"/>
    <w:rsid w:val="002E4D5A"/>
    <w:rsid w:val="002E6326"/>
    <w:rsid w:val="002F30E0"/>
    <w:rsid w:val="002F35E4"/>
    <w:rsid w:val="002F3730"/>
    <w:rsid w:val="002F38E1"/>
    <w:rsid w:val="002F6AA0"/>
    <w:rsid w:val="002F7AF6"/>
    <w:rsid w:val="00300E63"/>
    <w:rsid w:val="00302F5F"/>
    <w:rsid w:val="0030441D"/>
    <w:rsid w:val="00306063"/>
    <w:rsid w:val="00312783"/>
    <w:rsid w:val="00313B85"/>
    <w:rsid w:val="0031553B"/>
    <w:rsid w:val="00317604"/>
    <w:rsid w:val="00317988"/>
    <w:rsid w:val="003221B4"/>
    <w:rsid w:val="0032258D"/>
    <w:rsid w:val="00322E62"/>
    <w:rsid w:val="00324D13"/>
    <w:rsid w:val="00324EDD"/>
    <w:rsid w:val="003270DA"/>
    <w:rsid w:val="003270FD"/>
    <w:rsid w:val="003310B9"/>
    <w:rsid w:val="003331E4"/>
    <w:rsid w:val="00336C64"/>
    <w:rsid w:val="00337162"/>
    <w:rsid w:val="0034194F"/>
    <w:rsid w:val="00344605"/>
    <w:rsid w:val="003474AA"/>
    <w:rsid w:val="00350D1D"/>
    <w:rsid w:val="00351937"/>
    <w:rsid w:val="00352C83"/>
    <w:rsid w:val="00352F1A"/>
    <w:rsid w:val="00355DEB"/>
    <w:rsid w:val="00360A3D"/>
    <w:rsid w:val="0036107C"/>
    <w:rsid w:val="003615D2"/>
    <w:rsid w:val="0036292F"/>
    <w:rsid w:val="0036429C"/>
    <w:rsid w:val="00364A53"/>
    <w:rsid w:val="003654CB"/>
    <w:rsid w:val="00365AA9"/>
    <w:rsid w:val="00365CD4"/>
    <w:rsid w:val="00365F86"/>
    <w:rsid w:val="00365F87"/>
    <w:rsid w:val="003666A2"/>
    <w:rsid w:val="00366E89"/>
    <w:rsid w:val="003705F4"/>
    <w:rsid w:val="00370D58"/>
    <w:rsid w:val="00371316"/>
    <w:rsid w:val="00376713"/>
    <w:rsid w:val="00377DA6"/>
    <w:rsid w:val="0038000E"/>
    <w:rsid w:val="00381815"/>
    <w:rsid w:val="003819AF"/>
    <w:rsid w:val="003820E9"/>
    <w:rsid w:val="00382DE7"/>
    <w:rsid w:val="003840D8"/>
    <w:rsid w:val="00384A14"/>
    <w:rsid w:val="00384FFC"/>
    <w:rsid w:val="003872FC"/>
    <w:rsid w:val="00387ADC"/>
    <w:rsid w:val="00390020"/>
    <w:rsid w:val="003903D6"/>
    <w:rsid w:val="00390DEC"/>
    <w:rsid w:val="00390EE6"/>
    <w:rsid w:val="0039118F"/>
    <w:rsid w:val="00391380"/>
    <w:rsid w:val="00392AD7"/>
    <w:rsid w:val="003938D9"/>
    <w:rsid w:val="00394376"/>
    <w:rsid w:val="003943FF"/>
    <w:rsid w:val="003974EB"/>
    <w:rsid w:val="00397CC5"/>
    <w:rsid w:val="003A1582"/>
    <w:rsid w:val="003A3D9C"/>
    <w:rsid w:val="003A4077"/>
    <w:rsid w:val="003A4AA7"/>
    <w:rsid w:val="003A4D4B"/>
    <w:rsid w:val="003A7AC6"/>
    <w:rsid w:val="003B09AD"/>
    <w:rsid w:val="003B1F18"/>
    <w:rsid w:val="003B5BF0"/>
    <w:rsid w:val="003B60BF"/>
    <w:rsid w:val="003B6BE3"/>
    <w:rsid w:val="003C010C"/>
    <w:rsid w:val="003C0A6C"/>
    <w:rsid w:val="003C14F8"/>
    <w:rsid w:val="003C5A43"/>
    <w:rsid w:val="003C77AD"/>
    <w:rsid w:val="003D0519"/>
    <w:rsid w:val="003D0FF6"/>
    <w:rsid w:val="003D262C"/>
    <w:rsid w:val="003D3266"/>
    <w:rsid w:val="003D6D61"/>
    <w:rsid w:val="003D77FA"/>
    <w:rsid w:val="003E091D"/>
    <w:rsid w:val="003E1C53"/>
    <w:rsid w:val="003E2A69"/>
    <w:rsid w:val="003E2D49"/>
    <w:rsid w:val="003E2FD4"/>
    <w:rsid w:val="003E426C"/>
    <w:rsid w:val="003E49F6"/>
    <w:rsid w:val="003E660F"/>
    <w:rsid w:val="003E6DD8"/>
    <w:rsid w:val="003F0841"/>
    <w:rsid w:val="003F23D3"/>
    <w:rsid w:val="003F3F08"/>
    <w:rsid w:val="003F49F1"/>
    <w:rsid w:val="003F6272"/>
    <w:rsid w:val="003F7C4C"/>
    <w:rsid w:val="00400E72"/>
    <w:rsid w:val="00401400"/>
    <w:rsid w:val="00404869"/>
    <w:rsid w:val="00405884"/>
    <w:rsid w:val="00405F4C"/>
    <w:rsid w:val="00407D39"/>
    <w:rsid w:val="00413B97"/>
    <w:rsid w:val="0041477A"/>
    <w:rsid w:val="004167A3"/>
    <w:rsid w:val="00420039"/>
    <w:rsid w:val="00420B50"/>
    <w:rsid w:val="00426C9B"/>
    <w:rsid w:val="00430456"/>
    <w:rsid w:val="00431122"/>
    <w:rsid w:val="00432DAA"/>
    <w:rsid w:val="00433F7E"/>
    <w:rsid w:val="00434305"/>
    <w:rsid w:val="00435DF7"/>
    <w:rsid w:val="0044083F"/>
    <w:rsid w:val="00441AE7"/>
    <w:rsid w:val="00445574"/>
    <w:rsid w:val="004467FB"/>
    <w:rsid w:val="00452D6B"/>
    <w:rsid w:val="004531BA"/>
    <w:rsid w:val="00454484"/>
    <w:rsid w:val="00454990"/>
    <w:rsid w:val="0045517B"/>
    <w:rsid w:val="00463B77"/>
    <w:rsid w:val="00463C7B"/>
    <w:rsid w:val="004644A6"/>
    <w:rsid w:val="004659BD"/>
    <w:rsid w:val="00470775"/>
    <w:rsid w:val="00472F9A"/>
    <w:rsid w:val="00473119"/>
    <w:rsid w:val="004746B1"/>
    <w:rsid w:val="00474BBC"/>
    <w:rsid w:val="0047583F"/>
    <w:rsid w:val="00475DE8"/>
    <w:rsid w:val="004765A4"/>
    <w:rsid w:val="00481C44"/>
    <w:rsid w:val="00484936"/>
    <w:rsid w:val="00485C89"/>
    <w:rsid w:val="00486BE3"/>
    <w:rsid w:val="004905E4"/>
    <w:rsid w:val="00490A89"/>
    <w:rsid w:val="00490AB4"/>
    <w:rsid w:val="00491432"/>
    <w:rsid w:val="00492F02"/>
    <w:rsid w:val="004939AE"/>
    <w:rsid w:val="00496FEA"/>
    <w:rsid w:val="004A0FB8"/>
    <w:rsid w:val="004A12DF"/>
    <w:rsid w:val="004A1BA8"/>
    <w:rsid w:val="004A4B57"/>
    <w:rsid w:val="004A63FA"/>
    <w:rsid w:val="004A6A3D"/>
    <w:rsid w:val="004A7723"/>
    <w:rsid w:val="004A7DA5"/>
    <w:rsid w:val="004B0272"/>
    <w:rsid w:val="004B036C"/>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A26"/>
    <w:rsid w:val="004D4406"/>
    <w:rsid w:val="004D64E3"/>
    <w:rsid w:val="004D7C42"/>
    <w:rsid w:val="004E0465"/>
    <w:rsid w:val="004E127B"/>
    <w:rsid w:val="004E1C0A"/>
    <w:rsid w:val="004E30C5"/>
    <w:rsid w:val="004E4AA5"/>
    <w:rsid w:val="004E4AEE"/>
    <w:rsid w:val="004E59E3"/>
    <w:rsid w:val="004E67C0"/>
    <w:rsid w:val="004F22A5"/>
    <w:rsid w:val="004F391A"/>
    <w:rsid w:val="004F3CFB"/>
    <w:rsid w:val="004F6456"/>
    <w:rsid w:val="004F696E"/>
    <w:rsid w:val="004F6C36"/>
    <w:rsid w:val="004F6C71"/>
    <w:rsid w:val="00501139"/>
    <w:rsid w:val="005034E0"/>
    <w:rsid w:val="0050363E"/>
    <w:rsid w:val="005039BC"/>
    <w:rsid w:val="005043BB"/>
    <w:rsid w:val="00504A3D"/>
    <w:rsid w:val="00505767"/>
    <w:rsid w:val="005073F0"/>
    <w:rsid w:val="00510754"/>
    <w:rsid w:val="00510A7B"/>
    <w:rsid w:val="00512F6E"/>
    <w:rsid w:val="00513038"/>
    <w:rsid w:val="00514174"/>
    <w:rsid w:val="005144F7"/>
    <w:rsid w:val="00516088"/>
    <w:rsid w:val="00516B0B"/>
    <w:rsid w:val="005220EC"/>
    <w:rsid w:val="00523F95"/>
    <w:rsid w:val="00524D65"/>
    <w:rsid w:val="00525B16"/>
    <w:rsid w:val="00532AF1"/>
    <w:rsid w:val="00533D04"/>
    <w:rsid w:val="00534804"/>
    <w:rsid w:val="0053496E"/>
    <w:rsid w:val="00534BDF"/>
    <w:rsid w:val="00534E77"/>
    <w:rsid w:val="005354EA"/>
    <w:rsid w:val="0053585F"/>
    <w:rsid w:val="00535EC4"/>
    <w:rsid w:val="00535ED9"/>
    <w:rsid w:val="0053692B"/>
    <w:rsid w:val="00541853"/>
    <w:rsid w:val="00541862"/>
    <w:rsid w:val="00541C99"/>
    <w:rsid w:val="005434CD"/>
    <w:rsid w:val="00543BDA"/>
    <w:rsid w:val="005441CC"/>
    <w:rsid w:val="005479DA"/>
    <w:rsid w:val="00547BCC"/>
    <w:rsid w:val="0055013B"/>
    <w:rsid w:val="00551F6F"/>
    <w:rsid w:val="00552D22"/>
    <w:rsid w:val="00555044"/>
    <w:rsid w:val="00561475"/>
    <w:rsid w:val="00561718"/>
    <w:rsid w:val="00562308"/>
    <w:rsid w:val="0056487B"/>
    <w:rsid w:val="00564E1E"/>
    <w:rsid w:val="00564FB9"/>
    <w:rsid w:val="00567E8A"/>
    <w:rsid w:val="00570221"/>
    <w:rsid w:val="00573D9E"/>
    <w:rsid w:val="00574D23"/>
    <w:rsid w:val="00576694"/>
    <w:rsid w:val="005801E3"/>
    <w:rsid w:val="00581802"/>
    <w:rsid w:val="005836A8"/>
    <w:rsid w:val="0058409C"/>
    <w:rsid w:val="00584262"/>
    <w:rsid w:val="00584EE8"/>
    <w:rsid w:val="00586630"/>
    <w:rsid w:val="00586979"/>
    <w:rsid w:val="00587ADD"/>
    <w:rsid w:val="005928F1"/>
    <w:rsid w:val="00593A49"/>
    <w:rsid w:val="00596160"/>
    <w:rsid w:val="005966E2"/>
    <w:rsid w:val="00597007"/>
    <w:rsid w:val="005A0966"/>
    <w:rsid w:val="005A11B7"/>
    <w:rsid w:val="005A260B"/>
    <w:rsid w:val="005A4A1B"/>
    <w:rsid w:val="005A7830"/>
    <w:rsid w:val="005A7FCE"/>
    <w:rsid w:val="005B0BF2"/>
    <w:rsid w:val="005B0F3F"/>
    <w:rsid w:val="005B191C"/>
    <w:rsid w:val="005B2056"/>
    <w:rsid w:val="005B4903"/>
    <w:rsid w:val="005B4CEF"/>
    <w:rsid w:val="005B51CE"/>
    <w:rsid w:val="005B5885"/>
    <w:rsid w:val="005B5CD7"/>
    <w:rsid w:val="005B6CF6"/>
    <w:rsid w:val="005B7422"/>
    <w:rsid w:val="005C29B8"/>
    <w:rsid w:val="005C3E48"/>
    <w:rsid w:val="005C3FA0"/>
    <w:rsid w:val="005C5F21"/>
    <w:rsid w:val="005C7156"/>
    <w:rsid w:val="005D0C75"/>
    <w:rsid w:val="005D4171"/>
    <w:rsid w:val="005D6A95"/>
    <w:rsid w:val="005D6B2C"/>
    <w:rsid w:val="005D6D9C"/>
    <w:rsid w:val="005E2335"/>
    <w:rsid w:val="005E34CA"/>
    <w:rsid w:val="005E3C18"/>
    <w:rsid w:val="005E4250"/>
    <w:rsid w:val="005E5E07"/>
    <w:rsid w:val="005E6812"/>
    <w:rsid w:val="005E7881"/>
    <w:rsid w:val="005E78E0"/>
    <w:rsid w:val="005F0D9C"/>
    <w:rsid w:val="005F284E"/>
    <w:rsid w:val="006015CE"/>
    <w:rsid w:val="00603573"/>
    <w:rsid w:val="00604784"/>
    <w:rsid w:val="00606419"/>
    <w:rsid w:val="00607D29"/>
    <w:rsid w:val="00612952"/>
    <w:rsid w:val="00614CC1"/>
    <w:rsid w:val="00614E5E"/>
    <w:rsid w:val="00615A9D"/>
    <w:rsid w:val="00617387"/>
    <w:rsid w:val="006205D6"/>
    <w:rsid w:val="006231EE"/>
    <w:rsid w:val="00624F68"/>
    <w:rsid w:val="006252D8"/>
    <w:rsid w:val="006259BC"/>
    <w:rsid w:val="0062636B"/>
    <w:rsid w:val="00632182"/>
    <w:rsid w:val="00632AE0"/>
    <w:rsid w:val="00633C17"/>
    <w:rsid w:val="00634D9E"/>
    <w:rsid w:val="00636E3E"/>
    <w:rsid w:val="006379F7"/>
    <w:rsid w:val="00637E4D"/>
    <w:rsid w:val="00640620"/>
    <w:rsid w:val="00641A1F"/>
    <w:rsid w:val="0064219A"/>
    <w:rsid w:val="00645904"/>
    <w:rsid w:val="00645BB4"/>
    <w:rsid w:val="00646041"/>
    <w:rsid w:val="0065005B"/>
    <w:rsid w:val="00651ACB"/>
    <w:rsid w:val="00651C47"/>
    <w:rsid w:val="00652AB2"/>
    <w:rsid w:val="006533EF"/>
    <w:rsid w:val="00653FED"/>
    <w:rsid w:val="00654EC0"/>
    <w:rsid w:val="0065525B"/>
    <w:rsid w:val="006553AB"/>
    <w:rsid w:val="00655D4F"/>
    <w:rsid w:val="00656733"/>
    <w:rsid w:val="00656D29"/>
    <w:rsid w:val="00661A09"/>
    <w:rsid w:val="006640E5"/>
    <w:rsid w:val="006646F1"/>
    <w:rsid w:val="00664929"/>
    <w:rsid w:val="00664F62"/>
    <w:rsid w:val="006655E1"/>
    <w:rsid w:val="00672060"/>
    <w:rsid w:val="00672BFD"/>
    <w:rsid w:val="006749FA"/>
    <w:rsid w:val="00674D52"/>
    <w:rsid w:val="006770F4"/>
    <w:rsid w:val="00677A84"/>
    <w:rsid w:val="0068026D"/>
    <w:rsid w:val="00680A27"/>
    <w:rsid w:val="00680C80"/>
    <w:rsid w:val="006816A4"/>
    <w:rsid w:val="006819B8"/>
    <w:rsid w:val="006840A6"/>
    <w:rsid w:val="006850CD"/>
    <w:rsid w:val="00685AAB"/>
    <w:rsid w:val="006905A1"/>
    <w:rsid w:val="006A07AA"/>
    <w:rsid w:val="006A10D4"/>
    <w:rsid w:val="006A25E5"/>
    <w:rsid w:val="006A2B46"/>
    <w:rsid w:val="006A3315"/>
    <w:rsid w:val="006A336D"/>
    <w:rsid w:val="006A37B9"/>
    <w:rsid w:val="006B2672"/>
    <w:rsid w:val="006B54BF"/>
    <w:rsid w:val="006B5B3A"/>
    <w:rsid w:val="006B5F44"/>
    <w:rsid w:val="006B5F90"/>
    <w:rsid w:val="006B62E4"/>
    <w:rsid w:val="006C1BBA"/>
    <w:rsid w:val="006C2079"/>
    <w:rsid w:val="006C286F"/>
    <w:rsid w:val="006C3DE6"/>
    <w:rsid w:val="006C5A62"/>
    <w:rsid w:val="006C5D68"/>
    <w:rsid w:val="006C6976"/>
    <w:rsid w:val="006C6DD0"/>
    <w:rsid w:val="006D04EA"/>
    <w:rsid w:val="006D16C4"/>
    <w:rsid w:val="006D3E96"/>
    <w:rsid w:val="006D4515"/>
    <w:rsid w:val="006D4BB1"/>
    <w:rsid w:val="006D5BE5"/>
    <w:rsid w:val="006D6593"/>
    <w:rsid w:val="006F03A8"/>
    <w:rsid w:val="006F0940"/>
    <w:rsid w:val="006F2ACA"/>
    <w:rsid w:val="006F2ADC"/>
    <w:rsid w:val="006F2BFE"/>
    <w:rsid w:val="006F31E9"/>
    <w:rsid w:val="006F6284"/>
    <w:rsid w:val="007002C5"/>
    <w:rsid w:val="00704387"/>
    <w:rsid w:val="00707669"/>
    <w:rsid w:val="00711CBA"/>
    <w:rsid w:val="00711FB5"/>
    <w:rsid w:val="00712A01"/>
    <w:rsid w:val="00714F58"/>
    <w:rsid w:val="00721EC4"/>
    <w:rsid w:val="00722F5A"/>
    <w:rsid w:val="00722FBF"/>
    <w:rsid w:val="00722FC2"/>
    <w:rsid w:val="00724E1B"/>
    <w:rsid w:val="00725949"/>
    <w:rsid w:val="00727FA2"/>
    <w:rsid w:val="007313E6"/>
    <w:rsid w:val="007322D9"/>
    <w:rsid w:val="00732BC0"/>
    <w:rsid w:val="0073720F"/>
    <w:rsid w:val="00737796"/>
    <w:rsid w:val="007400D6"/>
    <w:rsid w:val="0074165C"/>
    <w:rsid w:val="00742C35"/>
    <w:rsid w:val="007432CA"/>
    <w:rsid w:val="007439BC"/>
    <w:rsid w:val="007439EB"/>
    <w:rsid w:val="00743CB4"/>
    <w:rsid w:val="00743F0A"/>
    <w:rsid w:val="007444E8"/>
    <w:rsid w:val="0074478A"/>
    <w:rsid w:val="0074548E"/>
    <w:rsid w:val="00745773"/>
    <w:rsid w:val="00746220"/>
    <w:rsid w:val="00746800"/>
    <w:rsid w:val="007501A8"/>
    <w:rsid w:val="00750D61"/>
    <w:rsid w:val="00750EE1"/>
    <w:rsid w:val="00752B4D"/>
    <w:rsid w:val="0075376B"/>
    <w:rsid w:val="007543BC"/>
    <w:rsid w:val="00755402"/>
    <w:rsid w:val="00756B26"/>
    <w:rsid w:val="00756EDF"/>
    <w:rsid w:val="0075715F"/>
    <w:rsid w:val="00757585"/>
    <w:rsid w:val="007600E3"/>
    <w:rsid w:val="007632B8"/>
    <w:rsid w:val="00763AD4"/>
    <w:rsid w:val="00764BDE"/>
    <w:rsid w:val="00765C43"/>
    <w:rsid w:val="00765EFB"/>
    <w:rsid w:val="007671CA"/>
    <w:rsid w:val="00767C61"/>
    <w:rsid w:val="0077008A"/>
    <w:rsid w:val="00773C1F"/>
    <w:rsid w:val="00774DA4"/>
    <w:rsid w:val="00776599"/>
    <w:rsid w:val="00777DAB"/>
    <w:rsid w:val="007808AD"/>
    <w:rsid w:val="0078114B"/>
    <w:rsid w:val="00781DD2"/>
    <w:rsid w:val="00781EC8"/>
    <w:rsid w:val="00783905"/>
    <w:rsid w:val="00783ECF"/>
    <w:rsid w:val="0078407D"/>
    <w:rsid w:val="0078413A"/>
    <w:rsid w:val="007959E8"/>
    <w:rsid w:val="00795E9C"/>
    <w:rsid w:val="007A0521"/>
    <w:rsid w:val="007A2E12"/>
    <w:rsid w:val="007A3475"/>
    <w:rsid w:val="007A41C8"/>
    <w:rsid w:val="007A54CE"/>
    <w:rsid w:val="007A6FD9"/>
    <w:rsid w:val="007A7FFA"/>
    <w:rsid w:val="007B04EB"/>
    <w:rsid w:val="007B0D4F"/>
    <w:rsid w:val="007B35CB"/>
    <w:rsid w:val="007B3E8E"/>
    <w:rsid w:val="007B4561"/>
    <w:rsid w:val="007B5675"/>
    <w:rsid w:val="007B5A3D"/>
    <w:rsid w:val="007B5B95"/>
    <w:rsid w:val="007B6032"/>
    <w:rsid w:val="007B68EA"/>
    <w:rsid w:val="007B7453"/>
    <w:rsid w:val="007C15FD"/>
    <w:rsid w:val="007C184A"/>
    <w:rsid w:val="007C2D89"/>
    <w:rsid w:val="007C4593"/>
    <w:rsid w:val="007C5309"/>
    <w:rsid w:val="007C6069"/>
    <w:rsid w:val="007D06C4"/>
    <w:rsid w:val="007D1352"/>
    <w:rsid w:val="007D2508"/>
    <w:rsid w:val="007D346A"/>
    <w:rsid w:val="007D6518"/>
    <w:rsid w:val="007D76BD"/>
    <w:rsid w:val="007D7ED1"/>
    <w:rsid w:val="007E0BF1"/>
    <w:rsid w:val="007E10B2"/>
    <w:rsid w:val="007F03DB"/>
    <w:rsid w:val="007F0ED8"/>
    <w:rsid w:val="007F0F63"/>
    <w:rsid w:val="007F207E"/>
    <w:rsid w:val="007F476E"/>
    <w:rsid w:val="007F75CE"/>
    <w:rsid w:val="008013A4"/>
    <w:rsid w:val="008027CE"/>
    <w:rsid w:val="00802E9B"/>
    <w:rsid w:val="00802F42"/>
    <w:rsid w:val="008032DA"/>
    <w:rsid w:val="00804383"/>
    <w:rsid w:val="00804BB7"/>
    <w:rsid w:val="00804D41"/>
    <w:rsid w:val="00810257"/>
    <w:rsid w:val="008104F5"/>
    <w:rsid w:val="00811072"/>
    <w:rsid w:val="00811369"/>
    <w:rsid w:val="008133AD"/>
    <w:rsid w:val="008146B9"/>
    <w:rsid w:val="00815419"/>
    <w:rsid w:val="008163C8"/>
    <w:rsid w:val="008164A1"/>
    <w:rsid w:val="00817325"/>
    <w:rsid w:val="008209E6"/>
    <w:rsid w:val="00823303"/>
    <w:rsid w:val="008233B2"/>
    <w:rsid w:val="00823A9F"/>
    <w:rsid w:val="00823C85"/>
    <w:rsid w:val="00825138"/>
    <w:rsid w:val="008269DD"/>
    <w:rsid w:val="008302DF"/>
    <w:rsid w:val="00830621"/>
    <w:rsid w:val="00831ECC"/>
    <w:rsid w:val="00832185"/>
    <w:rsid w:val="0083348C"/>
    <w:rsid w:val="008373D3"/>
    <w:rsid w:val="00840617"/>
    <w:rsid w:val="00840F84"/>
    <w:rsid w:val="00841ADC"/>
    <w:rsid w:val="00842A47"/>
    <w:rsid w:val="00843C13"/>
    <w:rsid w:val="008443DF"/>
    <w:rsid w:val="008454F8"/>
    <w:rsid w:val="00847B7D"/>
    <w:rsid w:val="00851083"/>
    <w:rsid w:val="0085173A"/>
    <w:rsid w:val="0085378F"/>
    <w:rsid w:val="008558E8"/>
    <w:rsid w:val="00855C27"/>
    <w:rsid w:val="008603CE"/>
    <w:rsid w:val="008620FC"/>
    <w:rsid w:val="008627A5"/>
    <w:rsid w:val="00863E05"/>
    <w:rsid w:val="00863F08"/>
    <w:rsid w:val="00865ACA"/>
    <w:rsid w:val="00865D28"/>
    <w:rsid w:val="00865F85"/>
    <w:rsid w:val="00867C10"/>
    <w:rsid w:val="00870439"/>
    <w:rsid w:val="00870DA1"/>
    <w:rsid w:val="008710F0"/>
    <w:rsid w:val="00871469"/>
    <w:rsid w:val="00873728"/>
    <w:rsid w:val="008832AB"/>
    <w:rsid w:val="00883F93"/>
    <w:rsid w:val="00884DB3"/>
    <w:rsid w:val="00885A9D"/>
    <w:rsid w:val="008864F6"/>
    <w:rsid w:val="0089049D"/>
    <w:rsid w:val="008928C9"/>
    <w:rsid w:val="008930CB"/>
    <w:rsid w:val="008936F3"/>
    <w:rsid w:val="008938DC"/>
    <w:rsid w:val="00893FD1"/>
    <w:rsid w:val="00894836"/>
    <w:rsid w:val="00895172"/>
    <w:rsid w:val="00895680"/>
    <w:rsid w:val="00896DFF"/>
    <w:rsid w:val="0089762C"/>
    <w:rsid w:val="008A173B"/>
    <w:rsid w:val="008A1893"/>
    <w:rsid w:val="008A1AB1"/>
    <w:rsid w:val="008A3F45"/>
    <w:rsid w:val="008A49F2"/>
    <w:rsid w:val="008A57E6"/>
    <w:rsid w:val="008A6662"/>
    <w:rsid w:val="008A6F81"/>
    <w:rsid w:val="008A769A"/>
    <w:rsid w:val="008A7D5B"/>
    <w:rsid w:val="008B0C9C"/>
    <w:rsid w:val="008B12A2"/>
    <w:rsid w:val="008B166D"/>
    <w:rsid w:val="008B17F4"/>
    <w:rsid w:val="008B3615"/>
    <w:rsid w:val="008B4AC4"/>
    <w:rsid w:val="008B50C8"/>
    <w:rsid w:val="008B5281"/>
    <w:rsid w:val="008B6E6B"/>
    <w:rsid w:val="008B7E05"/>
    <w:rsid w:val="008C13ED"/>
    <w:rsid w:val="008C1797"/>
    <w:rsid w:val="008C219C"/>
    <w:rsid w:val="008C27C2"/>
    <w:rsid w:val="008C4442"/>
    <w:rsid w:val="008C475E"/>
    <w:rsid w:val="008C4F88"/>
    <w:rsid w:val="008C619A"/>
    <w:rsid w:val="008D0CE8"/>
    <w:rsid w:val="008D141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946"/>
    <w:rsid w:val="008F4C29"/>
    <w:rsid w:val="008F5DFA"/>
    <w:rsid w:val="008F68F0"/>
    <w:rsid w:val="008F70BD"/>
    <w:rsid w:val="008F788F"/>
    <w:rsid w:val="008F7EA2"/>
    <w:rsid w:val="00902722"/>
    <w:rsid w:val="009027BC"/>
    <w:rsid w:val="009062E6"/>
    <w:rsid w:val="00907B05"/>
    <w:rsid w:val="00911BE5"/>
    <w:rsid w:val="00913CA9"/>
    <w:rsid w:val="009145AE"/>
    <w:rsid w:val="009146CE"/>
    <w:rsid w:val="00914CA7"/>
    <w:rsid w:val="00915C3E"/>
    <w:rsid w:val="009161A8"/>
    <w:rsid w:val="00922288"/>
    <w:rsid w:val="009245AE"/>
    <w:rsid w:val="009245F5"/>
    <w:rsid w:val="009249EC"/>
    <w:rsid w:val="0092565A"/>
    <w:rsid w:val="009273B3"/>
    <w:rsid w:val="009305B5"/>
    <w:rsid w:val="009378DD"/>
    <w:rsid w:val="009429D5"/>
    <w:rsid w:val="00942BF1"/>
    <w:rsid w:val="00945180"/>
    <w:rsid w:val="00945428"/>
    <w:rsid w:val="0094607B"/>
    <w:rsid w:val="009530EA"/>
    <w:rsid w:val="00953604"/>
    <w:rsid w:val="0095496B"/>
    <w:rsid w:val="00960F1E"/>
    <w:rsid w:val="009610DC"/>
    <w:rsid w:val="00961490"/>
    <w:rsid w:val="00962F42"/>
    <w:rsid w:val="0096381A"/>
    <w:rsid w:val="00963909"/>
    <w:rsid w:val="00965E04"/>
    <w:rsid w:val="009674AD"/>
    <w:rsid w:val="00970CDC"/>
    <w:rsid w:val="009725E9"/>
    <w:rsid w:val="00972B28"/>
    <w:rsid w:val="00975727"/>
    <w:rsid w:val="00977010"/>
    <w:rsid w:val="00977D02"/>
    <w:rsid w:val="00977FF9"/>
    <w:rsid w:val="009809BB"/>
    <w:rsid w:val="0098364B"/>
    <w:rsid w:val="00983A7D"/>
    <w:rsid w:val="0098478B"/>
    <w:rsid w:val="00990ED6"/>
    <w:rsid w:val="009911AF"/>
    <w:rsid w:val="00991875"/>
    <w:rsid w:val="00991F92"/>
    <w:rsid w:val="00992985"/>
    <w:rsid w:val="00993889"/>
    <w:rsid w:val="0099551B"/>
    <w:rsid w:val="00996BD2"/>
    <w:rsid w:val="009975D1"/>
    <w:rsid w:val="00997BF1"/>
    <w:rsid w:val="009A089C"/>
    <w:rsid w:val="009A118E"/>
    <w:rsid w:val="009A21CD"/>
    <w:rsid w:val="009A278C"/>
    <w:rsid w:val="009A2BC2"/>
    <w:rsid w:val="009A3379"/>
    <w:rsid w:val="009A42C1"/>
    <w:rsid w:val="009A5429"/>
    <w:rsid w:val="009A72AD"/>
    <w:rsid w:val="009B09E0"/>
    <w:rsid w:val="009B0BC5"/>
    <w:rsid w:val="009B1247"/>
    <w:rsid w:val="009B3650"/>
    <w:rsid w:val="009B3E56"/>
    <w:rsid w:val="009B6029"/>
    <w:rsid w:val="009B6971"/>
    <w:rsid w:val="009C1E1C"/>
    <w:rsid w:val="009C27F1"/>
    <w:rsid w:val="009C3152"/>
    <w:rsid w:val="009C3257"/>
    <w:rsid w:val="009C4CFA"/>
    <w:rsid w:val="009C5070"/>
    <w:rsid w:val="009D112C"/>
    <w:rsid w:val="009D1385"/>
    <w:rsid w:val="009D47FA"/>
    <w:rsid w:val="009D4C5B"/>
    <w:rsid w:val="009D50D2"/>
    <w:rsid w:val="009D6BCA"/>
    <w:rsid w:val="009E0F62"/>
    <w:rsid w:val="009E1B00"/>
    <w:rsid w:val="009E4A58"/>
    <w:rsid w:val="009E5A2D"/>
    <w:rsid w:val="009E5AB2"/>
    <w:rsid w:val="009E6219"/>
    <w:rsid w:val="009F03B3"/>
    <w:rsid w:val="00A0096C"/>
    <w:rsid w:val="00A0138D"/>
    <w:rsid w:val="00A01757"/>
    <w:rsid w:val="00A028C0"/>
    <w:rsid w:val="00A02BAE"/>
    <w:rsid w:val="00A06A6B"/>
    <w:rsid w:val="00A07E47"/>
    <w:rsid w:val="00A129D0"/>
    <w:rsid w:val="00A12C33"/>
    <w:rsid w:val="00A1376F"/>
    <w:rsid w:val="00A138BA"/>
    <w:rsid w:val="00A14C8E"/>
    <w:rsid w:val="00A153D9"/>
    <w:rsid w:val="00A156F5"/>
    <w:rsid w:val="00A15F09"/>
    <w:rsid w:val="00A169B6"/>
    <w:rsid w:val="00A2271D"/>
    <w:rsid w:val="00A237D5"/>
    <w:rsid w:val="00A260EF"/>
    <w:rsid w:val="00A30EFC"/>
    <w:rsid w:val="00A31984"/>
    <w:rsid w:val="00A32D73"/>
    <w:rsid w:val="00A3367B"/>
    <w:rsid w:val="00A3411E"/>
    <w:rsid w:val="00A3597D"/>
    <w:rsid w:val="00A36DD1"/>
    <w:rsid w:val="00A4006C"/>
    <w:rsid w:val="00A40091"/>
    <w:rsid w:val="00A4030F"/>
    <w:rsid w:val="00A41C79"/>
    <w:rsid w:val="00A41CB5"/>
    <w:rsid w:val="00A42CDF"/>
    <w:rsid w:val="00A4452E"/>
    <w:rsid w:val="00A4472C"/>
    <w:rsid w:val="00A44E69"/>
    <w:rsid w:val="00A4661E"/>
    <w:rsid w:val="00A5185E"/>
    <w:rsid w:val="00A55BD6"/>
    <w:rsid w:val="00A55D50"/>
    <w:rsid w:val="00A560C2"/>
    <w:rsid w:val="00A57142"/>
    <w:rsid w:val="00A648CD"/>
    <w:rsid w:val="00A6537A"/>
    <w:rsid w:val="00A67866"/>
    <w:rsid w:val="00A7053D"/>
    <w:rsid w:val="00A7068E"/>
    <w:rsid w:val="00A70B07"/>
    <w:rsid w:val="00A723F8"/>
    <w:rsid w:val="00A77CCB"/>
    <w:rsid w:val="00A83D8D"/>
    <w:rsid w:val="00A840A7"/>
    <w:rsid w:val="00A8446B"/>
    <w:rsid w:val="00A8473F"/>
    <w:rsid w:val="00A862D6"/>
    <w:rsid w:val="00A8715E"/>
    <w:rsid w:val="00A878CB"/>
    <w:rsid w:val="00A9295B"/>
    <w:rsid w:val="00A93B09"/>
    <w:rsid w:val="00A93F54"/>
    <w:rsid w:val="00A952D7"/>
    <w:rsid w:val="00A963F7"/>
    <w:rsid w:val="00A96AD8"/>
    <w:rsid w:val="00AA052C"/>
    <w:rsid w:val="00AA10B9"/>
    <w:rsid w:val="00AA1E45"/>
    <w:rsid w:val="00AA4286"/>
    <w:rsid w:val="00AA456B"/>
    <w:rsid w:val="00AA57F5"/>
    <w:rsid w:val="00AA672E"/>
    <w:rsid w:val="00AA6EC9"/>
    <w:rsid w:val="00AB11A3"/>
    <w:rsid w:val="00AB6309"/>
    <w:rsid w:val="00AB6C5F"/>
    <w:rsid w:val="00AB7129"/>
    <w:rsid w:val="00AC03DA"/>
    <w:rsid w:val="00AC0B0E"/>
    <w:rsid w:val="00AC0E22"/>
    <w:rsid w:val="00AC27A6"/>
    <w:rsid w:val="00AC30F7"/>
    <w:rsid w:val="00AC3A5A"/>
    <w:rsid w:val="00AC4D95"/>
    <w:rsid w:val="00AC5DF4"/>
    <w:rsid w:val="00AC6E65"/>
    <w:rsid w:val="00AD0AEF"/>
    <w:rsid w:val="00AD11B7"/>
    <w:rsid w:val="00AD1A94"/>
    <w:rsid w:val="00AD1C05"/>
    <w:rsid w:val="00AD2C9C"/>
    <w:rsid w:val="00AD4126"/>
    <w:rsid w:val="00AD421C"/>
    <w:rsid w:val="00AD44FA"/>
    <w:rsid w:val="00AE070A"/>
    <w:rsid w:val="00AE101C"/>
    <w:rsid w:val="00AE2A69"/>
    <w:rsid w:val="00AE37E5"/>
    <w:rsid w:val="00AE5B77"/>
    <w:rsid w:val="00AE5EB4"/>
    <w:rsid w:val="00AE6449"/>
    <w:rsid w:val="00AE7BE5"/>
    <w:rsid w:val="00AF0C18"/>
    <w:rsid w:val="00AF3A29"/>
    <w:rsid w:val="00AF47C5"/>
    <w:rsid w:val="00AF5362"/>
    <w:rsid w:val="00AF5398"/>
    <w:rsid w:val="00B00757"/>
    <w:rsid w:val="00B03C6B"/>
    <w:rsid w:val="00B0428F"/>
    <w:rsid w:val="00B049AF"/>
    <w:rsid w:val="00B0693B"/>
    <w:rsid w:val="00B07242"/>
    <w:rsid w:val="00B10534"/>
    <w:rsid w:val="00B113DB"/>
    <w:rsid w:val="00B11D8A"/>
    <w:rsid w:val="00B12981"/>
    <w:rsid w:val="00B147DD"/>
    <w:rsid w:val="00B156FD"/>
    <w:rsid w:val="00B21F61"/>
    <w:rsid w:val="00B2509C"/>
    <w:rsid w:val="00B261F1"/>
    <w:rsid w:val="00B265BC"/>
    <w:rsid w:val="00B31FB1"/>
    <w:rsid w:val="00B33952"/>
    <w:rsid w:val="00B33C5E"/>
    <w:rsid w:val="00B342F4"/>
    <w:rsid w:val="00B34369"/>
    <w:rsid w:val="00B34DC2"/>
    <w:rsid w:val="00B360A8"/>
    <w:rsid w:val="00B378E5"/>
    <w:rsid w:val="00B400E2"/>
    <w:rsid w:val="00B41142"/>
    <w:rsid w:val="00B430CE"/>
    <w:rsid w:val="00B4346D"/>
    <w:rsid w:val="00B43B6C"/>
    <w:rsid w:val="00B440F4"/>
    <w:rsid w:val="00B447A5"/>
    <w:rsid w:val="00B44CD8"/>
    <w:rsid w:val="00B4654C"/>
    <w:rsid w:val="00B47293"/>
    <w:rsid w:val="00B50E50"/>
    <w:rsid w:val="00B52120"/>
    <w:rsid w:val="00B54ABC"/>
    <w:rsid w:val="00B5586A"/>
    <w:rsid w:val="00B56FBE"/>
    <w:rsid w:val="00B60ACF"/>
    <w:rsid w:val="00B61587"/>
    <w:rsid w:val="00B62B58"/>
    <w:rsid w:val="00B63F68"/>
    <w:rsid w:val="00B65149"/>
    <w:rsid w:val="00B66567"/>
    <w:rsid w:val="00B66F52"/>
    <w:rsid w:val="00B66FE5"/>
    <w:rsid w:val="00B70585"/>
    <w:rsid w:val="00B72880"/>
    <w:rsid w:val="00B758BF"/>
    <w:rsid w:val="00B77EC8"/>
    <w:rsid w:val="00B8215B"/>
    <w:rsid w:val="00B827A6"/>
    <w:rsid w:val="00B82B57"/>
    <w:rsid w:val="00B831CE"/>
    <w:rsid w:val="00B84269"/>
    <w:rsid w:val="00B86677"/>
    <w:rsid w:val="00B87131"/>
    <w:rsid w:val="00B91CAB"/>
    <w:rsid w:val="00B9270F"/>
    <w:rsid w:val="00B939B1"/>
    <w:rsid w:val="00B96D40"/>
    <w:rsid w:val="00B97386"/>
    <w:rsid w:val="00BA263B"/>
    <w:rsid w:val="00BA42B2"/>
    <w:rsid w:val="00BA45AF"/>
    <w:rsid w:val="00BA58D4"/>
    <w:rsid w:val="00BA5B9E"/>
    <w:rsid w:val="00BA783C"/>
    <w:rsid w:val="00BA792C"/>
    <w:rsid w:val="00BA7C9A"/>
    <w:rsid w:val="00BB2EC4"/>
    <w:rsid w:val="00BB5741"/>
    <w:rsid w:val="00BB5F8F"/>
    <w:rsid w:val="00BB657A"/>
    <w:rsid w:val="00BB77A3"/>
    <w:rsid w:val="00BC1A4E"/>
    <w:rsid w:val="00BC5DC7"/>
    <w:rsid w:val="00BC678E"/>
    <w:rsid w:val="00BC6B8B"/>
    <w:rsid w:val="00BC73D8"/>
    <w:rsid w:val="00BD47D2"/>
    <w:rsid w:val="00BD52D7"/>
    <w:rsid w:val="00BD5AD2"/>
    <w:rsid w:val="00BE1EA8"/>
    <w:rsid w:val="00BE22A6"/>
    <w:rsid w:val="00BE22F3"/>
    <w:rsid w:val="00BE2957"/>
    <w:rsid w:val="00BE5B52"/>
    <w:rsid w:val="00BE790A"/>
    <w:rsid w:val="00BE7B8D"/>
    <w:rsid w:val="00BF0993"/>
    <w:rsid w:val="00BF10A9"/>
    <w:rsid w:val="00BF1703"/>
    <w:rsid w:val="00BF231C"/>
    <w:rsid w:val="00BF51E5"/>
    <w:rsid w:val="00BF74A6"/>
    <w:rsid w:val="00C013AD"/>
    <w:rsid w:val="00C04904"/>
    <w:rsid w:val="00C056B3"/>
    <w:rsid w:val="00C10385"/>
    <w:rsid w:val="00C103E5"/>
    <w:rsid w:val="00C13319"/>
    <w:rsid w:val="00C13EE9"/>
    <w:rsid w:val="00C21540"/>
    <w:rsid w:val="00C21906"/>
    <w:rsid w:val="00C21BFA"/>
    <w:rsid w:val="00C24C8D"/>
    <w:rsid w:val="00C25FE2"/>
    <w:rsid w:val="00C26B53"/>
    <w:rsid w:val="00C279B2"/>
    <w:rsid w:val="00C33E50"/>
    <w:rsid w:val="00C34C20"/>
    <w:rsid w:val="00C3545B"/>
    <w:rsid w:val="00C35A3E"/>
    <w:rsid w:val="00C3625B"/>
    <w:rsid w:val="00C37D0F"/>
    <w:rsid w:val="00C42130"/>
    <w:rsid w:val="00C423A4"/>
    <w:rsid w:val="00C423E3"/>
    <w:rsid w:val="00C44BF5"/>
    <w:rsid w:val="00C456BF"/>
    <w:rsid w:val="00C50E8C"/>
    <w:rsid w:val="00C521D6"/>
    <w:rsid w:val="00C55232"/>
    <w:rsid w:val="00C553A4"/>
    <w:rsid w:val="00C55A06"/>
    <w:rsid w:val="00C55D03"/>
    <w:rsid w:val="00C601BC"/>
    <w:rsid w:val="00C60283"/>
    <w:rsid w:val="00C62518"/>
    <w:rsid w:val="00C6329F"/>
    <w:rsid w:val="00C63340"/>
    <w:rsid w:val="00C63D38"/>
    <w:rsid w:val="00C643F9"/>
    <w:rsid w:val="00C64E95"/>
    <w:rsid w:val="00C6772F"/>
    <w:rsid w:val="00C71372"/>
    <w:rsid w:val="00C71C8D"/>
    <w:rsid w:val="00C72410"/>
    <w:rsid w:val="00C7287F"/>
    <w:rsid w:val="00C80CB8"/>
    <w:rsid w:val="00C819F8"/>
    <w:rsid w:val="00C8248C"/>
    <w:rsid w:val="00C84E33"/>
    <w:rsid w:val="00C86039"/>
    <w:rsid w:val="00C86D6F"/>
    <w:rsid w:val="00C87BD0"/>
    <w:rsid w:val="00C905FC"/>
    <w:rsid w:val="00C92D03"/>
    <w:rsid w:val="00C9319C"/>
    <w:rsid w:val="00C9435D"/>
    <w:rsid w:val="00C94DF2"/>
    <w:rsid w:val="00C96741"/>
    <w:rsid w:val="00C974D3"/>
    <w:rsid w:val="00CA2D1B"/>
    <w:rsid w:val="00CA375D"/>
    <w:rsid w:val="00CA5283"/>
    <w:rsid w:val="00CA5F5C"/>
    <w:rsid w:val="00CA6367"/>
    <w:rsid w:val="00CA662A"/>
    <w:rsid w:val="00CA7AFD"/>
    <w:rsid w:val="00CA7C3C"/>
    <w:rsid w:val="00CB0189"/>
    <w:rsid w:val="00CB0BA2"/>
    <w:rsid w:val="00CB1A42"/>
    <w:rsid w:val="00CB1B0C"/>
    <w:rsid w:val="00CB2072"/>
    <w:rsid w:val="00CB2C0B"/>
    <w:rsid w:val="00CB4421"/>
    <w:rsid w:val="00CB4B6E"/>
    <w:rsid w:val="00CB517D"/>
    <w:rsid w:val="00CC038D"/>
    <w:rsid w:val="00CC08DB"/>
    <w:rsid w:val="00CC39FF"/>
    <w:rsid w:val="00CC3C2F"/>
    <w:rsid w:val="00CC471C"/>
    <w:rsid w:val="00CC4AC8"/>
    <w:rsid w:val="00CC5233"/>
    <w:rsid w:val="00CC5DE6"/>
    <w:rsid w:val="00CC6E4E"/>
    <w:rsid w:val="00CC6FE8"/>
    <w:rsid w:val="00CC7202"/>
    <w:rsid w:val="00CD2808"/>
    <w:rsid w:val="00CD28BF"/>
    <w:rsid w:val="00CD352A"/>
    <w:rsid w:val="00CD3EEE"/>
    <w:rsid w:val="00CD4092"/>
    <w:rsid w:val="00CD4A20"/>
    <w:rsid w:val="00CD50A1"/>
    <w:rsid w:val="00CD519E"/>
    <w:rsid w:val="00CE0C4F"/>
    <w:rsid w:val="00CE30EA"/>
    <w:rsid w:val="00CF048A"/>
    <w:rsid w:val="00CF155A"/>
    <w:rsid w:val="00CF2947"/>
    <w:rsid w:val="00CF3086"/>
    <w:rsid w:val="00CF686F"/>
    <w:rsid w:val="00CF6E60"/>
    <w:rsid w:val="00CF7BCA"/>
    <w:rsid w:val="00D008FD"/>
    <w:rsid w:val="00D0321C"/>
    <w:rsid w:val="00D035EC"/>
    <w:rsid w:val="00D04D17"/>
    <w:rsid w:val="00D06AB1"/>
    <w:rsid w:val="00D06C36"/>
    <w:rsid w:val="00D06FC1"/>
    <w:rsid w:val="00D072ED"/>
    <w:rsid w:val="00D07A16"/>
    <w:rsid w:val="00D1067E"/>
    <w:rsid w:val="00D10F50"/>
    <w:rsid w:val="00D11272"/>
    <w:rsid w:val="00D1217F"/>
    <w:rsid w:val="00D126F5"/>
    <w:rsid w:val="00D13D11"/>
    <w:rsid w:val="00D1435C"/>
    <w:rsid w:val="00D1489E"/>
    <w:rsid w:val="00D20737"/>
    <w:rsid w:val="00D21E81"/>
    <w:rsid w:val="00D223DE"/>
    <w:rsid w:val="00D25E37"/>
    <w:rsid w:val="00D2661A"/>
    <w:rsid w:val="00D27582"/>
    <w:rsid w:val="00D27EC4"/>
    <w:rsid w:val="00D305E6"/>
    <w:rsid w:val="00D30EB9"/>
    <w:rsid w:val="00D32719"/>
    <w:rsid w:val="00D33333"/>
    <w:rsid w:val="00D343CC"/>
    <w:rsid w:val="00D352A2"/>
    <w:rsid w:val="00D4162B"/>
    <w:rsid w:val="00D4514F"/>
    <w:rsid w:val="00D451E2"/>
    <w:rsid w:val="00D45E89"/>
    <w:rsid w:val="00D45E8D"/>
    <w:rsid w:val="00D466AE"/>
    <w:rsid w:val="00D4734F"/>
    <w:rsid w:val="00D51BF3"/>
    <w:rsid w:val="00D53A44"/>
    <w:rsid w:val="00D60D04"/>
    <w:rsid w:val="00D62418"/>
    <w:rsid w:val="00D65A8E"/>
    <w:rsid w:val="00D66846"/>
    <w:rsid w:val="00D675FB"/>
    <w:rsid w:val="00D71BAC"/>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18D"/>
    <w:rsid w:val="00DA24F8"/>
    <w:rsid w:val="00DA28E8"/>
    <w:rsid w:val="00DA38D3"/>
    <w:rsid w:val="00DA3932"/>
    <w:rsid w:val="00DA3AFC"/>
    <w:rsid w:val="00DA64F8"/>
    <w:rsid w:val="00DA6C15"/>
    <w:rsid w:val="00DB0258"/>
    <w:rsid w:val="00DB20F7"/>
    <w:rsid w:val="00DB38EE"/>
    <w:rsid w:val="00DB498B"/>
    <w:rsid w:val="00DB66CA"/>
    <w:rsid w:val="00DB6BCA"/>
    <w:rsid w:val="00DB6F54"/>
    <w:rsid w:val="00DB73F7"/>
    <w:rsid w:val="00DC0321"/>
    <w:rsid w:val="00DC2555"/>
    <w:rsid w:val="00DC3067"/>
    <w:rsid w:val="00DC370B"/>
    <w:rsid w:val="00DC5B90"/>
    <w:rsid w:val="00DC5F66"/>
    <w:rsid w:val="00DC706D"/>
    <w:rsid w:val="00DD00FF"/>
    <w:rsid w:val="00DD0619"/>
    <w:rsid w:val="00DD07FB"/>
    <w:rsid w:val="00DD25C6"/>
    <w:rsid w:val="00DD4FE5"/>
    <w:rsid w:val="00DD54B0"/>
    <w:rsid w:val="00DD57EE"/>
    <w:rsid w:val="00DD6BCC"/>
    <w:rsid w:val="00DD6E97"/>
    <w:rsid w:val="00DE0A4B"/>
    <w:rsid w:val="00DE2410"/>
    <w:rsid w:val="00DE241E"/>
    <w:rsid w:val="00DE2939"/>
    <w:rsid w:val="00DE3D03"/>
    <w:rsid w:val="00DE6E81"/>
    <w:rsid w:val="00DE703F"/>
    <w:rsid w:val="00DE7595"/>
    <w:rsid w:val="00DE7AA0"/>
    <w:rsid w:val="00DF1961"/>
    <w:rsid w:val="00DF44DE"/>
    <w:rsid w:val="00DF4D2E"/>
    <w:rsid w:val="00E01138"/>
    <w:rsid w:val="00E021B6"/>
    <w:rsid w:val="00E02DFB"/>
    <w:rsid w:val="00E030F9"/>
    <w:rsid w:val="00E0311A"/>
    <w:rsid w:val="00E03138"/>
    <w:rsid w:val="00E06404"/>
    <w:rsid w:val="00E07959"/>
    <w:rsid w:val="00E11A85"/>
    <w:rsid w:val="00E12495"/>
    <w:rsid w:val="00E15CCD"/>
    <w:rsid w:val="00E202EF"/>
    <w:rsid w:val="00E208F2"/>
    <w:rsid w:val="00E210B5"/>
    <w:rsid w:val="00E2552F"/>
    <w:rsid w:val="00E26601"/>
    <w:rsid w:val="00E27BB8"/>
    <w:rsid w:val="00E31208"/>
    <w:rsid w:val="00E3121E"/>
    <w:rsid w:val="00E3137A"/>
    <w:rsid w:val="00E32CCF"/>
    <w:rsid w:val="00E34A98"/>
    <w:rsid w:val="00E35076"/>
    <w:rsid w:val="00E35182"/>
    <w:rsid w:val="00E35D1E"/>
    <w:rsid w:val="00E364F9"/>
    <w:rsid w:val="00E365FA"/>
    <w:rsid w:val="00E36789"/>
    <w:rsid w:val="00E439B3"/>
    <w:rsid w:val="00E44A83"/>
    <w:rsid w:val="00E456D4"/>
    <w:rsid w:val="00E502C1"/>
    <w:rsid w:val="00E502DD"/>
    <w:rsid w:val="00E50D3A"/>
    <w:rsid w:val="00E51387"/>
    <w:rsid w:val="00E51E68"/>
    <w:rsid w:val="00E52EFD"/>
    <w:rsid w:val="00E5408A"/>
    <w:rsid w:val="00E56800"/>
    <w:rsid w:val="00E57E75"/>
    <w:rsid w:val="00E60C63"/>
    <w:rsid w:val="00E62FF9"/>
    <w:rsid w:val="00E635D6"/>
    <w:rsid w:val="00E639BC"/>
    <w:rsid w:val="00E64C3B"/>
    <w:rsid w:val="00E664CC"/>
    <w:rsid w:val="00E70388"/>
    <w:rsid w:val="00E70F92"/>
    <w:rsid w:val="00E74313"/>
    <w:rsid w:val="00E7447D"/>
    <w:rsid w:val="00E74C54"/>
    <w:rsid w:val="00E77A03"/>
    <w:rsid w:val="00E80F64"/>
    <w:rsid w:val="00E822E8"/>
    <w:rsid w:val="00E82554"/>
    <w:rsid w:val="00E82606"/>
    <w:rsid w:val="00E831C1"/>
    <w:rsid w:val="00E846C8"/>
    <w:rsid w:val="00E84957"/>
    <w:rsid w:val="00E84A55"/>
    <w:rsid w:val="00E85BFF"/>
    <w:rsid w:val="00E90391"/>
    <w:rsid w:val="00E90597"/>
    <w:rsid w:val="00E906C2"/>
    <w:rsid w:val="00E9232C"/>
    <w:rsid w:val="00E9311F"/>
    <w:rsid w:val="00E934D1"/>
    <w:rsid w:val="00E94AF0"/>
    <w:rsid w:val="00E95D13"/>
    <w:rsid w:val="00E95DD3"/>
    <w:rsid w:val="00E969D5"/>
    <w:rsid w:val="00EA20C9"/>
    <w:rsid w:val="00EA58D1"/>
    <w:rsid w:val="00EA61BC"/>
    <w:rsid w:val="00EA681A"/>
    <w:rsid w:val="00EA735B"/>
    <w:rsid w:val="00EB1E69"/>
    <w:rsid w:val="00EB2086"/>
    <w:rsid w:val="00EB31ED"/>
    <w:rsid w:val="00EB5EDF"/>
    <w:rsid w:val="00EB60FE"/>
    <w:rsid w:val="00EB74DB"/>
    <w:rsid w:val="00EC24DE"/>
    <w:rsid w:val="00EC5359"/>
    <w:rsid w:val="00EC562A"/>
    <w:rsid w:val="00ED067A"/>
    <w:rsid w:val="00ED2B50"/>
    <w:rsid w:val="00ED5B89"/>
    <w:rsid w:val="00EE0350"/>
    <w:rsid w:val="00EE0719"/>
    <w:rsid w:val="00EE0E80"/>
    <w:rsid w:val="00EE613F"/>
    <w:rsid w:val="00EE616F"/>
    <w:rsid w:val="00EE6727"/>
    <w:rsid w:val="00EE7295"/>
    <w:rsid w:val="00EE7869"/>
    <w:rsid w:val="00EE7B89"/>
    <w:rsid w:val="00EF0505"/>
    <w:rsid w:val="00EF054A"/>
    <w:rsid w:val="00EF0835"/>
    <w:rsid w:val="00EF3235"/>
    <w:rsid w:val="00EF7E72"/>
    <w:rsid w:val="00F01CDF"/>
    <w:rsid w:val="00F0270C"/>
    <w:rsid w:val="00F05C72"/>
    <w:rsid w:val="00F06D37"/>
    <w:rsid w:val="00F07B9D"/>
    <w:rsid w:val="00F11586"/>
    <w:rsid w:val="00F1183B"/>
    <w:rsid w:val="00F11C9F"/>
    <w:rsid w:val="00F12263"/>
    <w:rsid w:val="00F124F7"/>
    <w:rsid w:val="00F1409D"/>
    <w:rsid w:val="00F14214"/>
    <w:rsid w:val="00F157A9"/>
    <w:rsid w:val="00F16F00"/>
    <w:rsid w:val="00F217A7"/>
    <w:rsid w:val="00F239EF"/>
    <w:rsid w:val="00F25BB6"/>
    <w:rsid w:val="00F26B7E"/>
    <w:rsid w:val="00F27A3B"/>
    <w:rsid w:val="00F31B09"/>
    <w:rsid w:val="00F33817"/>
    <w:rsid w:val="00F34F49"/>
    <w:rsid w:val="00F420D5"/>
    <w:rsid w:val="00F451EA"/>
    <w:rsid w:val="00F45447"/>
    <w:rsid w:val="00F456C6"/>
    <w:rsid w:val="00F4577B"/>
    <w:rsid w:val="00F46496"/>
    <w:rsid w:val="00F474D0"/>
    <w:rsid w:val="00F50179"/>
    <w:rsid w:val="00F515EE"/>
    <w:rsid w:val="00F56511"/>
    <w:rsid w:val="00F5684C"/>
    <w:rsid w:val="00F6194E"/>
    <w:rsid w:val="00F623AC"/>
    <w:rsid w:val="00F6412A"/>
    <w:rsid w:val="00F65893"/>
    <w:rsid w:val="00F66A4A"/>
    <w:rsid w:val="00F71E22"/>
    <w:rsid w:val="00F72142"/>
    <w:rsid w:val="00F72AE7"/>
    <w:rsid w:val="00F7618A"/>
    <w:rsid w:val="00F833BA"/>
    <w:rsid w:val="00F84FD0"/>
    <w:rsid w:val="00F859A8"/>
    <w:rsid w:val="00F86D87"/>
    <w:rsid w:val="00F87D42"/>
    <w:rsid w:val="00F9108B"/>
    <w:rsid w:val="00F91349"/>
    <w:rsid w:val="00F939AB"/>
    <w:rsid w:val="00F93A8A"/>
    <w:rsid w:val="00F95248"/>
    <w:rsid w:val="00F956A9"/>
    <w:rsid w:val="00F963ED"/>
    <w:rsid w:val="00F966CF"/>
    <w:rsid w:val="00F96CAE"/>
    <w:rsid w:val="00F97C99"/>
    <w:rsid w:val="00FA41CE"/>
    <w:rsid w:val="00FA662D"/>
    <w:rsid w:val="00FA73B1"/>
    <w:rsid w:val="00FB0CB9"/>
    <w:rsid w:val="00FB231D"/>
    <w:rsid w:val="00FB45F1"/>
    <w:rsid w:val="00FB4A72"/>
    <w:rsid w:val="00FB54E8"/>
    <w:rsid w:val="00FB667A"/>
    <w:rsid w:val="00FB7054"/>
    <w:rsid w:val="00FB7EE3"/>
    <w:rsid w:val="00FC17B7"/>
    <w:rsid w:val="00FC2CB7"/>
    <w:rsid w:val="00FC4090"/>
    <w:rsid w:val="00FC55B4"/>
    <w:rsid w:val="00FC74D6"/>
    <w:rsid w:val="00FD00E6"/>
    <w:rsid w:val="00FD09A1"/>
    <w:rsid w:val="00FD2A7C"/>
    <w:rsid w:val="00FD4394"/>
    <w:rsid w:val="00FD4563"/>
    <w:rsid w:val="00FD59EB"/>
    <w:rsid w:val="00FD7299"/>
    <w:rsid w:val="00FD7CAE"/>
    <w:rsid w:val="00FE1FBE"/>
    <w:rsid w:val="00FE3901"/>
    <w:rsid w:val="00FE39D3"/>
    <w:rsid w:val="00FE4BCE"/>
    <w:rsid w:val="00FE549D"/>
    <w:rsid w:val="00FE54AE"/>
    <w:rsid w:val="00FE576A"/>
    <w:rsid w:val="00FE772B"/>
    <w:rsid w:val="00FE7E79"/>
    <w:rsid w:val="00FF3E7D"/>
    <w:rsid w:val="00FF5B99"/>
    <w:rsid w:val="00FF730C"/>
    <w:rsid w:val="00FF73F4"/>
    <w:rsid w:val="00FF7CE4"/>
    <w:rsid w:val="00FF7E39"/>
    <w:rsid w:val="034C108A"/>
    <w:rsid w:val="038D16A3"/>
    <w:rsid w:val="03B21315"/>
    <w:rsid w:val="047A1C27"/>
    <w:rsid w:val="050B0C77"/>
    <w:rsid w:val="05AE2E5A"/>
    <w:rsid w:val="06053772"/>
    <w:rsid w:val="06511188"/>
    <w:rsid w:val="06620BC5"/>
    <w:rsid w:val="06DC2725"/>
    <w:rsid w:val="06E4782C"/>
    <w:rsid w:val="07302A71"/>
    <w:rsid w:val="07F615C4"/>
    <w:rsid w:val="086230FE"/>
    <w:rsid w:val="092B7994"/>
    <w:rsid w:val="097F1184"/>
    <w:rsid w:val="0C601702"/>
    <w:rsid w:val="0CF06F2A"/>
    <w:rsid w:val="0F5A68DD"/>
    <w:rsid w:val="0FBD0C1A"/>
    <w:rsid w:val="10262C63"/>
    <w:rsid w:val="10A32505"/>
    <w:rsid w:val="11D22DBF"/>
    <w:rsid w:val="11F528ED"/>
    <w:rsid w:val="126B2BAF"/>
    <w:rsid w:val="128B3251"/>
    <w:rsid w:val="137F2DB6"/>
    <w:rsid w:val="16730284"/>
    <w:rsid w:val="16EE19BB"/>
    <w:rsid w:val="173240D9"/>
    <w:rsid w:val="17397720"/>
    <w:rsid w:val="18C9062F"/>
    <w:rsid w:val="19645556"/>
    <w:rsid w:val="19772C14"/>
    <w:rsid w:val="1A1B310D"/>
    <w:rsid w:val="1A5328A6"/>
    <w:rsid w:val="1ABA46D4"/>
    <w:rsid w:val="1AF51BB0"/>
    <w:rsid w:val="1B033114"/>
    <w:rsid w:val="1C330BE1"/>
    <w:rsid w:val="1DF9736E"/>
    <w:rsid w:val="1E5F3116"/>
    <w:rsid w:val="1EF36D1C"/>
    <w:rsid w:val="20801F1B"/>
    <w:rsid w:val="20EB1A8B"/>
    <w:rsid w:val="22460F43"/>
    <w:rsid w:val="22BD1205"/>
    <w:rsid w:val="22CA1B74"/>
    <w:rsid w:val="2322375E"/>
    <w:rsid w:val="2483647E"/>
    <w:rsid w:val="24B108F5"/>
    <w:rsid w:val="25AC5561"/>
    <w:rsid w:val="26C07516"/>
    <w:rsid w:val="27D843EB"/>
    <w:rsid w:val="294206B6"/>
    <w:rsid w:val="297D349C"/>
    <w:rsid w:val="29F01EC0"/>
    <w:rsid w:val="2A780B78"/>
    <w:rsid w:val="2CCA2E9C"/>
    <w:rsid w:val="2D404F0C"/>
    <w:rsid w:val="2D67693D"/>
    <w:rsid w:val="2DE81100"/>
    <w:rsid w:val="2EC41B6D"/>
    <w:rsid w:val="30647164"/>
    <w:rsid w:val="3082583C"/>
    <w:rsid w:val="3152520E"/>
    <w:rsid w:val="323623CF"/>
    <w:rsid w:val="333077D1"/>
    <w:rsid w:val="33802506"/>
    <w:rsid w:val="340842AA"/>
    <w:rsid w:val="356D0868"/>
    <w:rsid w:val="35A63D7A"/>
    <w:rsid w:val="36A91D74"/>
    <w:rsid w:val="373A0C1E"/>
    <w:rsid w:val="37983B97"/>
    <w:rsid w:val="381E22EE"/>
    <w:rsid w:val="390414E4"/>
    <w:rsid w:val="392456E2"/>
    <w:rsid w:val="3A0F6392"/>
    <w:rsid w:val="3ACA22B9"/>
    <w:rsid w:val="3AFA69AA"/>
    <w:rsid w:val="3B951BD0"/>
    <w:rsid w:val="3C9B215F"/>
    <w:rsid w:val="3D1E069A"/>
    <w:rsid w:val="3EC80734"/>
    <w:rsid w:val="3ECB6600"/>
    <w:rsid w:val="3F19380F"/>
    <w:rsid w:val="3F6808DD"/>
    <w:rsid w:val="40095632"/>
    <w:rsid w:val="402266F3"/>
    <w:rsid w:val="43040332"/>
    <w:rsid w:val="436A4639"/>
    <w:rsid w:val="43943464"/>
    <w:rsid w:val="43E20674"/>
    <w:rsid w:val="45E32481"/>
    <w:rsid w:val="47431429"/>
    <w:rsid w:val="4779309D"/>
    <w:rsid w:val="47B70069"/>
    <w:rsid w:val="48055E32"/>
    <w:rsid w:val="48376AB4"/>
    <w:rsid w:val="49336B8C"/>
    <w:rsid w:val="49C32CF5"/>
    <w:rsid w:val="4A317C5F"/>
    <w:rsid w:val="4AFD5D93"/>
    <w:rsid w:val="4B1F3F5B"/>
    <w:rsid w:val="4BEC0FBE"/>
    <w:rsid w:val="4C560D6F"/>
    <w:rsid w:val="4C983FC5"/>
    <w:rsid w:val="4CA7245A"/>
    <w:rsid w:val="4D04165B"/>
    <w:rsid w:val="4D3B0DF4"/>
    <w:rsid w:val="4D986247"/>
    <w:rsid w:val="4DAB5F7A"/>
    <w:rsid w:val="4EC55DA8"/>
    <w:rsid w:val="4F0911AA"/>
    <w:rsid w:val="4F9111A0"/>
    <w:rsid w:val="502F4C40"/>
    <w:rsid w:val="504B134F"/>
    <w:rsid w:val="50722D7F"/>
    <w:rsid w:val="50BB4726"/>
    <w:rsid w:val="5187285A"/>
    <w:rsid w:val="52036385"/>
    <w:rsid w:val="5245699D"/>
    <w:rsid w:val="532742F5"/>
    <w:rsid w:val="535D3873"/>
    <w:rsid w:val="5391176E"/>
    <w:rsid w:val="5402441A"/>
    <w:rsid w:val="543A3BB4"/>
    <w:rsid w:val="548675FB"/>
    <w:rsid w:val="55432F3C"/>
    <w:rsid w:val="559612BE"/>
    <w:rsid w:val="56E85B49"/>
    <w:rsid w:val="57711FE2"/>
    <w:rsid w:val="587753D7"/>
    <w:rsid w:val="59097FF9"/>
    <w:rsid w:val="59814033"/>
    <w:rsid w:val="5A7122F9"/>
    <w:rsid w:val="5C5E240A"/>
    <w:rsid w:val="5D054B89"/>
    <w:rsid w:val="5DF75E4B"/>
    <w:rsid w:val="5E4F2952"/>
    <w:rsid w:val="5EB17168"/>
    <w:rsid w:val="5F667F53"/>
    <w:rsid w:val="61783F6D"/>
    <w:rsid w:val="62970423"/>
    <w:rsid w:val="64542A70"/>
    <w:rsid w:val="647E7AED"/>
    <w:rsid w:val="64BC3F71"/>
    <w:rsid w:val="669C24AC"/>
    <w:rsid w:val="67584625"/>
    <w:rsid w:val="679A2E90"/>
    <w:rsid w:val="679D028A"/>
    <w:rsid w:val="692F13B6"/>
    <w:rsid w:val="69584DB0"/>
    <w:rsid w:val="6985191D"/>
    <w:rsid w:val="69B95123"/>
    <w:rsid w:val="6A9811DC"/>
    <w:rsid w:val="6B00125C"/>
    <w:rsid w:val="6B19056F"/>
    <w:rsid w:val="6DDE15FC"/>
    <w:rsid w:val="6E5E7279"/>
    <w:rsid w:val="6F1F1ECC"/>
    <w:rsid w:val="6F593630"/>
    <w:rsid w:val="70A1528F"/>
    <w:rsid w:val="70CB5E68"/>
    <w:rsid w:val="718304F0"/>
    <w:rsid w:val="71864485"/>
    <w:rsid w:val="72077373"/>
    <w:rsid w:val="7218260C"/>
    <w:rsid w:val="723637B5"/>
    <w:rsid w:val="72A5093A"/>
    <w:rsid w:val="72CD3AF5"/>
    <w:rsid w:val="7384780B"/>
    <w:rsid w:val="74123DAE"/>
    <w:rsid w:val="7726029C"/>
    <w:rsid w:val="77B1904A"/>
    <w:rsid w:val="786D3CA8"/>
    <w:rsid w:val="7A187C44"/>
    <w:rsid w:val="7A39426D"/>
    <w:rsid w:val="7A9419C0"/>
    <w:rsid w:val="7ADC0A4E"/>
    <w:rsid w:val="7BC77B74"/>
    <w:rsid w:val="7BD007D6"/>
    <w:rsid w:val="7C501917"/>
    <w:rsid w:val="7C594C70"/>
    <w:rsid w:val="7CED53B8"/>
    <w:rsid w:val="7D845D1C"/>
    <w:rsid w:val="7DE40569"/>
    <w:rsid w:val="7E6B2A38"/>
    <w:rsid w:val="7EF40C80"/>
    <w:rsid w:val="7F1629A4"/>
    <w:rsid w:val="7F192494"/>
    <w:rsid w:val="7F69F74E"/>
    <w:rsid w:val="7F9805E5"/>
    <w:rsid w:val="7FB8C796"/>
    <w:rsid w:val="93FFC3AD"/>
    <w:rsid w:val="95EF87D8"/>
    <w:rsid w:val="9EFD7247"/>
    <w:rsid w:val="BEBCFAAE"/>
    <w:rsid w:val="C7DFE247"/>
    <w:rsid w:val="DFBF2EF1"/>
    <w:rsid w:val="EB1D242B"/>
    <w:rsid w:val="FBD9B943"/>
    <w:rsid w:val="FFCD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12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qFormat/>
    <w:uiPriority w:val="0"/>
    <w:pPr>
      <w:outlineLvl w:val="4"/>
    </w:pPr>
  </w:style>
  <w:style w:type="paragraph" w:customStyle="1" w:styleId="134">
    <w:name w:val="附录四级无标题条"/>
    <w:basedOn w:val="133"/>
    <w:next w:val="59"/>
    <w:qFormat/>
    <w:uiPriority w:val="0"/>
    <w:pPr>
      <w:outlineLvl w:val="5"/>
    </w:pPr>
  </w:style>
  <w:style w:type="paragraph" w:customStyle="1" w:styleId="135">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0"/>
    <w:next w:val="59"/>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8"/>
    <w:qFormat/>
    <w:uiPriority w:val="0"/>
    <w:pPr>
      <w:spacing w:before="0" w:beforeLines="0" w:after="0" w:afterLines="0"/>
      <w:outlineLvl w:val="9"/>
    </w:pPr>
    <w:rPr>
      <w:rFonts w:ascii="宋体" w:eastAsia="宋体"/>
    </w:rPr>
  </w:style>
  <w:style w:type="paragraph" w:customStyle="1" w:styleId="167">
    <w:name w:val="标准文件_五级无标题"/>
    <w:basedOn w:val="106"/>
    <w:qFormat/>
    <w:uiPriority w:val="0"/>
    <w:pPr>
      <w:spacing w:before="0" w:beforeLines="0" w:after="0" w:afterLines="0"/>
      <w:outlineLvl w:val="9"/>
    </w:pPr>
    <w:rPr>
      <w:rFonts w:ascii="宋体" w:eastAsia="宋体"/>
    </w:rPr>
  </w:style>
  <w:style w:type="paragraph" w:customStyle="1" w:styleId="168">
    <w:name w:val="标准文件_三级无标题"/>
    <w:basedOn w:val="97"/>
    <w:qFormat/>
    <w:uiPriority w:val="0"/>
    <w:pPr>
      <w:spacing w:before="0" w:beforeLines="0" w:after="0" w:afterLines="0"/>
      <w:outlineLvl w:val="9"/>
    </w:pPr>
    <w:rPr>
      <w:rFonts w:ascii="宋体" w:eastAsia="宋体"/>
    </w:rPr>
  </w:style>
  <w:style w:type="paragraph" w:customStyle="1" w:styleId="169">
    <w:name w:val="标准文件_二级无标题"/>
    <w:basedOn w:val="68"/>
    <w:qFormat/>
    <w:uiPriority w:val="0"/>
    <w:pPr>
      <w:spacing w:before="0" w:beforeLines="0" w:after="0" w:afterLines="0"/>
      <w:outlineLvl w:val="9"/>
    </w:pPr>
    <w:rPr>
      <w:rFonts w:ascii="宋体" w:eastAsia="宋体"/>
    </w:rPr>
  </w:style>
  <w:style w:type="paragraph" w:customStyle="1" w:styleId="170">
    <w:name w:val="标准_四级无标题"/>
    <w:basedOn w:val="101"/>
    <w:next w:val="59"/>
    <w:qFormat/>
    <w:uiPriority w:val="0"/>
    <w:rPr>
      <w:rFonts w:eastAsia="宋体"/>
    </w:rPr>
  </w:style>
  <w:style w:type="paragraph" w:customStyle="1" w:styleId="171">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qFormat/>
    <w:uiPriority w:val="0"/>
    <w:pPr>
      <w:numPr>
        <w:ilvl w:val="0"/>
        <w:numId w:val="24"/>
      </w:numPr>
      <w:ind w:firstLine="0" w:firstLineChars="0"/>
    </w:pPr>
    <w:rPr>
      <w:rFonts w:cs="Arial"/>
      <w:szCs w:val="28"/>
    </w:rPr>
  </w:style>
  <w:style w:type="paragraph" w:customStyle="1" w:styleId="174">
    <w:name w:val="标准文件_附录标题"/>
    <w:basedOn w:val="79"/>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qFormat/>
    <w:uiPriority w:val="0"/>
    <w:pPr>
      <w:ind w:firstLine="0" w:firstLineChars="0"/>
      <w:jc w:val="center"/>
    </w:pPr>
    <w:rPr>
      <w:sz w:val="18"/>
    </w:rPr>
  </w:style>
  <w:style w:type="paragraph" w:customStyle="1" w:styleId="183">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qFormat/>
    <w:uiPriority w:val="0"/>
    <w:rPr>
      <w:rFonts w:ascii="宋体" w:hAnsi="Times New Roman"/>
      <w:sz w:val="21"/>
    </w:rPr>
  </w:style>
  <w:style w:type="paragraph" w:customStyle="1" w:styleId="189">
    <w:name w:val="标准文件_表格续"/>
    <w:basedOn w:val="59"/>
    <w:next w:val="59"/>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二级项2"/>
    <w:basedOn w:val="59"/>
    <w:qFormat/>
    <w:uiPriority w:val="0"/>
    <w:pPr>
      <w:numPr>
        <w:ilvl w:val="1"/>
        <w:numId w:val="21"/>
      </w:numPr>
      <w:ind w:left="1271" w:hanging="420" w:firstLineChars="0"/>
    </w:pPr>
  </w:style>
  <w:style w:type="paragraph" w:customStyle="1" w:styleId="192">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59"/>
    <w:next w:val="59"/>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59"/>
    <w:qFormat/>
    <w:uiPriority w:val="0"/>
    <w:pPr>
      <w:ind w:left="811" w:firstLine="0" w:firstLineChars="0"/>
    </w:pPr>
    <w:rPr>
      <w:sz w:val="18"/>
    </w:rPr>
  </w:style>
  <w:style w:type="paragraph" w:customStyle="1" w:styleId="210">
    <w:name w:val="标准文件_注X后"/>
    <w:basedOn w:val="59"/>
    <w:qFormat/>
    <w:uiPriority w:val="0"/>
    <w:pPr>
      <w:ind w:left="811" w:firstLine="0" w:firstLineChars="0"/>
    </w:pPr>
    <w:rPr>
      <w:sz w:val="18"/>
    </w:rPr>
  </w:style>
  <w:style w:type="paragraph" w:customStyle="1" w:styleId="211">
    <w:name w:val="标准文件_示例后"/>
    <w:basedOn w:val="59"/>
    <w:qFormat/>
    <w:uiPriority w:val="0"/>
    <w:pPr>
      <w:ind w:left="964" w:firstLine="0" w:firstLineChars="0"/>
    </w:pPr>
    <w:rPr>
      <w:sz w:val="18"/>
    </w:rPr>
  </w:style>
  <w:style w:type="paragraph" w:customStyle="1" w:styleId="212">
    <w:name w:val="标准文件_示例X后"/>
    <w:basedOn w:val="59"/>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59"/>
    <w:next w:val="59"/>
    <w:qFormat/>
    <w:uiPriority w:val="0"/>
    <w:pPr>
      <w:tabs>
        <w:tab w:val="right" w:leader="dot" w:pos="9356"/>
      </w:tabs>
      <w:ind w:left="210" w:hanging="210" w:firstLineChars="0"/>
      <w:jc w:val="left"/>
    </w:pPr>
  </w:style>
  <w:style w:type="paragraph" w:customStyle="1" w:styleId="215">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59"/>
    <w:qFormat/>
    <w:uiPriority w:val="0"/>
    <w:pPr>
      <w:spacing w:before="0" w:beforeLines="0" w:after="0" w:afterLines="0" w:line="276" w:lineRule="auto"/>
    </w:pPr>
    <w:rPr>
      <w:rFonts w:ascii="宋体" w:eastAsia="宋体"/>
    </w:rPr>
  </w:style>
  <w:style w:type="paragraph" w:customStyle="1" w:styleId="225">
    <w:name w:val="标准文件_索引标题"/>
    <w:basedOn w:val="66"/>
    <w:next w:val="59"/>
    <w:qFormat/>
    <w:uiPriority w:val="0"/>
    <w:rPr>
      <w:rFonts w:hAnsi="黑体"/>
    </w:rPr>
  </w:style>
  <w:style w:type="paragraph" w:customStyle="1" w:styleId="226">
    <w:name w:val="标准文件_脚注内容"/>
    <w:basedOn w:val="59"/>
    <w:qFormat/>
    <w:uiPriority w:val="0"/>
    <w:pPr>
      <w:ind w:left="400" w:leftChars="200" w:hanging="200" w:hangingChars="200"/>
    </w:pPr>
    <w:rPr>
      <w:sz w:val="15"/>
    </w:rPr>
  </w:style>
  <w:style w:type="paragraph" w:customStyle="1" w:styleId="227">
    <w:name w:val="标准文件_术语条一"/>
    <w:basedOn w:val="166"/>
    <w:next w:val="59"/>
    <w:qFormat/>
    <w:uiPriority w:val="0"/>
  </w:style>
  <w:style w:type="paragraph" w:customStyle="1" w:styleId="228">
    <w:name w:val="标准文件_术语条二"/>
    <w:basedOn w:val="169"/>
    <w:next w:val="59"/>
    <w:qFormat/>
    <w:uiPriority w:val="0"/>
  </w:style>
  <w:style w:type="paragraph" w:customStyle="1" w:styleId="229">
    <w:name w:val="标准文件_术语条三"/>
    <w:basedOn w:val="168"/>
    <w:next w:val="59"/>
    <w:qFormat/>
    <w:uiPriority w:val="0"/>
  </w:style>
  <w:style w:type="paragraph" w:customStyle="1" w:styleId="230">
    <w:name w:val="标准文件_术语条四"/>
    <w:basedOn w:val="171"/>
    <w:next w:val="59"/>
    <w:qFormat/>
    <w:uiPriority w:val="0"/>
  </w:style>
  <w:style w:type="paragraph" w:customStyle="1" w:styleId="231">
    <w:name w:val="标准文件_术语条五"/>
    <w:basedOn w:val="167"/>
    <w:next w:val="59"/>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qFormat/>
    <w:uiPriority w:val="0"/>
    <w:rPr>
      <w:rFonts w:ascii="黑体" w:eastAsia="黑体"/>
      <w:spacing w:val="85"/>
      <w:w w:val="100"/>
      <w:position w:val="3"/>
      <w:sz w:val="28"/>
      <w:szCs w:val="28"/>
    </w:rPr>
  </w:style>
  <w:style w:type="character" w:customStyle="1" w:styleId="234">
    <w:name w:val="段 Char"/>
    <w:link w:val="123"/>
    <w:qFormat/>
    <w:uiPriority w:val="0"/>
    <w:rPr>
      <w:rFonts w:ascii="宋体" w:hAnsi="Times New Roman"/>
      <w:sz w:val="21"/>
    </w:rPr>
  </w:style>
  <w:style w:type="paragraph" w:customStyle="1" w:styleId="235">
    <w:name w:val="段 New"/>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批注文字 Char"/>
    <w:basedOn w:val="30"/>
    <w:link w:val="13"/>
    <w:semiHidden/>
    <w:qFormat/>
    <w:uiPriority w:val="99"/>
    <w:rPr>
      <w:rFonts w:ascii="Calibri" w:hAnsi="Calibri"/>
      <w:kern w:val="2"/>
      <w:sz w:val="21"/>
      <w:szCs w:val="21"/>
    </w:rPr>
  </w:style>
  <w:style w:type="paragraph" w:customStyle="1" w:styleId="237">
    <w:name w:val="Revision"/>
    <w:hidden/>
    <w:semiHidden/>
    <w:uiPriority w:val="99"/>
    <w:rPr>
      <w:rFonts w:ascii="Calibri" w:hAnsi="Calibri" w:eastAsia="宋体" w:cs="Times New Roman"/>
      <w:kern w:val="2"/>
      <w:sz w:val="21"/>
      <w:szCs w:val="21"/>
      <w:lang w:val="en-US" w:eastAsia="zh-CN" w:bidi="ar-SA"/>
    </w:rPr>
  </w:style>
  <w:style w:type="character" w:customStyle="1" w:styleId="238">
    <w:name w:val="cf01"/>
    <w:basedOn w:val="30"/>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4DCE07A708478CAC98E4F85C18AAC5"/>
        <w:style w:val=""/>
        <w:category>
          <w:name w:val="常规"/>
          <w:gallery w:val="placeholder"/>
        </w:category>
        <w:types>
          <w:type w:val="bbPlcHdr"/>
        </w:types>
        <w:behaviors>
          <w:behavior w:val="content"/>
        </w:behaviors>
        <w:description w:val=""/>
        <w:guid w:val="{39EA262C-0DA4-43FC-96DD-BD49F0EDAF1C}"/>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E4"/>
    <w:rsid w:val="00013D49"/>
    <w:rsid w:val="000B4412"/>
    <w:rsid w:val="000D7E7B"/>
    <w:rsid w:val="001155C8"/>
    <w:rsid w:val="00120550"/>
    <w:rsid w:val="00170CF8"/>
    <w:rsid w:val="001F305A"/>
    <w:rsid w:val="0026312D"/>
    <w:rsid w:val="002C33FA"/>
    <w:rsid w:val="002D4249"/>
    <w:rsid w:val="002E725D"/>
    <w:rsid w:val="00314A93"/>
    <w:rsid w:val="00413A48"/>
    <w:rsid w:val="00444161"/>
    <w:rsid w:val="004C0255"/>
    <w:rsid w:val="005116F0"/>
    <w:rsid w:val="005266D1"/>
    <w:rsid w:val="005B3F38"/>
    <w:rsid w:val="005D39DD"/>
    <w:rsid w:val="00745579"/>
    <w:rsid w:val="0077342A"/>
    <w:rsid w:val="007B3419"/>
    <w:rsid w:val="008D30A7"/>
    <w:rsid w:val="00911FE3"/>
    <w:rsid w:val="00944AA4"/>
    <w:rsid w:val="009D23AE"/>
    <w:rsid w:val="009E1BE4"/>
    <w:rsid w:val="00A14BB2"/>
    <w:rsid w:val="00A15C4C"/>
    <w:rsid w:val="00B529AF"/>
    <w:rsid w:val="00B81E99"/>
    <w:rsid w:val="00BF2AD7"/>
    <w:rsid w:val="00C134DE"/>
    <w:rsid w:val="00CC5B48"/>
    <w:rsid w:val="00CD2BE6"/>
    <w:rsid w:val="00EA3807"/>
    <w:rsid w:val="00ED19EB"/>
    <w:rsid w:val="00EE4D58"/>
    <w:rsid w:val="00FE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14DCE07A708478CAC98E4F85C18AAC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11</Pages>
  <Words>1075</Words>
  <Characters>6131</Characters>
  <Lines>51</Lines>
  <Paragraphs>14</Paragraphs>
  <TotalTime>2186</TotalTime>
  <ScaleCrop>false</ScaleCrop>
  <LinksUpToDate>false</LinksUpToDate>
  <CharactersWithSpaces>7192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2023-05-05T14:51:00Z</dcterms:created>
  <dc:creator>吕征宇</dc:creator>
  <dc:description>&lt;config cover="true" show_menu="true" version="1.0.0" doctype="SDKXY"&gt;_x000d_
&lt;/config&gt;</dc:description>
  <cp:lastModifiedBy>林若虚</cp:lastModifiedBy>
  <cp:lastPrinted>2021-02-03T00:22:00Z</cp:lastPrinted>
  <dcterms:modified xsi:type="dcterms:W3CDTF">2023-08-21T14:34:04Z</dcterms:modified>
  <dc:title>团体标准</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2052-5.5.1.7991</vt:lpwstr>
  </property>
  <property fmtid="{D5CDD505-2E9C-101B-9397-08002B2CF9AE}" pid="15" name="ICV">
    <vt:lpwstr>F5BCC998B8BE4264A2AF72A2F882E602</vt:lpwstr>
  </property>
</Properties>
</file>