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4"/>
          <w:szCs w:val="24"/>
        </w:rPr>
      </w:pPr>
      <w:r>
        <w:rPr>
          <w:rFonts w:ascii="Times New Roman" w:hAnsi="Times New Roman" w:cs="Times New Roman"/>
          <w:b/>
          <w:bCs/>
          <w:sz w:val="24"/>
          <w:szCs w:val="24"/>
        </w:rPr>
        <w:t>标准征求意见稿意见汇总处理表</w:t>
      </w:r>
    </w:p>
    <w:p>
      <w:pPr>
        <w:spacing w:line="360" w:lineRule="auto"/>
        <w:rPr>
          <w:rFonts w:ascii="Times New Roman" w:hAnsi="Times New Roman" w:cs="Times New Roman"/>
        </w:rPr>
      </w:pPr>
      <w:r>
        <w:rPr>
          <w:rFonts w:ascii="Times New Roman" w:hAnsi="Times New Roman" w:cs="Times New Roman"/>
        </w:rPr>
        <w:t>标准项目名称：</w:t>
      </w:r>
      <w:r>
        <w:rPr>
          <w:rFonts w:hint="eastAsia" w:ascii="Times New Roman" w:hAnsi="Times New Roman" w:cs="Times New Roman"/>
        </w:rPr>
        <w:t>锌合金行业绿色工厂评价要求</w:t>
      </w:r>
      <w:r>
        <w:rPr>
          <w:rFonts w:ascii="Times New Roman" w:hAnsi="Times New Roman" w:cs="Times New Roman"/>
        </w:rPr>
        <w:t xml:space="preserve">                                 </w:t>
      </w:r>
      <w:r>
        <w:rPr>
          <w:rFonts w:hint="eastAsia" w:ascii="Times New Roman" w:hAnsi="Times New Roman" w:cs="Times New Roman"/>
          <w:lang w:val="en-US" w:eastAsia="zh-CN"/>
        </w:rPr>
        <w:t xml:space="preserve">      </w:t>
      </w:r>
      <w:r>
        <w:rPr>
          <w:rFonts w:hint="eastAsia" w:ascii="Times New Roman" w:hAnsi="Times New Roman" w:cs="Times New Roman"/>
        </w:rPr>
        <w:t>承办人：</w:t>
      </w:r>
      <w:r>
        <w:rPr>
          <w:rFonts w:hint="eastAsia" w:ascii="Times New Roman" w:hAnsi="Times New Roman" w:cs="Times New Roman"/>
          <w:lang w:val="en-US" w:eastAsia="zh-CN"/>
        </w:rPr>
        <w:t xml:space="preserve">覃雪莲     </w:t>
      </w: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rPr>
        <w:t>共</w:t>
      </w:r>
      <w:r>
        <w:rPr>
          <w:rFonts w:hint="eastAsia" w:ascii="Times New Roman" w:hAnsi="Times New Roman" w:cs="Times New Roman"/>
          <w:lang w:val="en-US" w:eastAsia="zh-CN"/>
        </w:rPr>
        <w:t>4</w:t>
      </w:r>
      <w:r>
        <w:rPr>
          <w:rFonts w:hint="eastAsia" w:ascii="Times New Roman" w:hAnsi="Times New Roman" w:cs="Times New Roman"/>
        </w:rPr>
        <w:t xml:space="preserve">页 </w:t>
      </w:r>
      <w:r>
        <w:rPr>
          <w:rFonts w:ascii="Times New Roman" w:hAnsi="Times New Roman" w:cs="Times New Roman"/>
        </w:rPr>
        <w:t xml:space="preserve">  </w:t>
      </w:r>
      <w:r>
        <w:rPr>
          <w:rFonts w:hint="eastAsia" w:ascii="Times New Roman" w:hAnsi="Times New Roman" w:cs="Times New Roman"/>
        </w:rPr>
        <w:t>第</w:t>
      </w:r>
      <w:r>
        <w:rPr>
          <w:rFonts w:hint="eastAsia" w:ascii="Times New Roman" w:hAnsi="Times New Roman" w:cs="Times New Roman"/>
          <w:lang w:val="en-US" w:eastAsia="zh-CN"/>
        </w:rPr>
        <w:t>1</w:t>
      </w:r>
      <w:r>
        <w:rPr>
          <w:rFonts w:hint="eastAsia" w:ascii="Times New Roman" w:hAnsi="Times New Roman" w:cs="Times New Roman"/>
        </w:rPr>
        <w:t>页</w:t>
      </w:r>
    </w:p>
    <w:p>
      <w:pPr>
        <w:spacing w:line="360" w:lineRule="auto"/>
        <w:rPr>
          <w:rFonts w:ascii="Times New Roman" w:hAnsi="Times New Roman" w:cs="Times New Roman"/>
        </w:rPr>
      </w:pPr>
      <w:r>
        <w:rPr>
          <w:rFonts w:ascii="Times New Roman" w:hAnsi="Times New Roman" w:cs="Times New Roman"/>
        </w:rPr>
        <w:t>标准项目负责起草单位：株洲冶炼集团股份有限公司</w:t>
      </w: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rPr>
        <w:t>电话：</w:t>
      </w:r>
      <w:r>
        <w:rPr>
          <w:rFonts w:hint="eastAsia" w:ascii="Times New Roman" w:hAnsi="Times New Roman" w:cs="Times New Roman"/>
          <w:lang w:val="en-US" w:eastAsia="zh-CN"/>
        </w:rPr>
        <w:t>13467736036                2023</w:t>
      </w:r>
      <w:r>
        <w:rPr>
          <w:rFonts w:hint="eastAsia" w:ascii="Times New Roman" w:hAnsi="Times New Roman" w:cs="Times New Roman"/>
        </w:rPr>
        <w:t>年</w:t>
      </w:r>
      <w:r>
        <w:rPr>
          <w:rFonts w:hint="eastAsia" w:ascii="Times New Roman" w:hAnsi="Times New Roman" w:cs="Times New Roman"/>
          <w:lang w:val="en-US" w:eastAsia="zh-CN"/>
        </w:rPr>
        <w:t>8</w:t>
      </w:r>
      <w:r>
        <w:rPr>
          <w:rFonts w:hint="eastAsia" w:ascii="Times New Roman" w:hAnsi="Times New Roman" w:cs="Times New Roman"/>
        </w:rPr>
        <w:t>月</w:t>
      </w:r>
      <w:r>
        <w:rPr>
          <w:rFonts w:hint="eastAsia" w:ascii="Times New Roman" w:hAnsi="Times New Roman" w:cs="Times New Roman"/>
          <w:lang w:val="en-US" w:eastAsia="zh-CN"/>
        </w:rPr>
        <w:t>20</w:t>
      </w:r>
      <w:r>
        <w:rPr>
          <w:rFonts w:hint="eastAsia" w:ascii="Times New Roman" w:hAnsi="Times New Roman" w:cs="Times New Roman"/>
        </w:rPr>
        <w:t>日填写</w:t>
      </w:r>
    </w:p>
    <w:tbl>
      <w:tblPr>
        <w:tblStyle w:val="6"/>
        <w:tblW w:w="15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939"/>
        <w:gridCol w:w="4124"/>
        <w:gridCol w:w="3580"/>
        <w:gridCol w:w="1340"/>
        <w:gridCol w:w="3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19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标准章节</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编号</w:t>
            </w:r>
          </w:p>
        </w:tc>
        <w:tc>
          <w:tcPr>
            <w:tcW w:w="412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意见内容</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提出单位</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处理意见</w:t>
            </w: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w:t>
            </w:r>
          </w:p>
        </w:tc>
        <w:tc>
          <w:tcPr>
            <w:tcW w:w="1939" w:type="dxa"/>
            <w:vAlign w:val="center"/>
          </w:tcPr>
          <w:p>
            <w:pPr>
              <w:keepNext w:val="0"/>
              <w:keepLines w:val="0"/>
              <w:pageBreakBefore w:val="0"/>
              <w:kinsoku/>
              <w:wordWrap/>
              <w:overflowPunct/>
              <w:topLinePunct w:val="0"/>
              <w:autoSpaceDE/>
              <w:autoSpaceDN/>
              <w:bidi w:val="0"/>
              <w:adjustRightInd/>
              <w:snapToGrid/>
              <w:spacing w:before="120" w:beforeLines="50" w:after="120" w:afterLines="50" w:line="240" w:lineRule="auto"/>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标准名称</w:t>
            </w:r>
          </w:p>
        </w:tc>
        <w:tc>
          <w:tcPr>
            <w:tcW w:w="41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国民经济行业类型代码及名称表（2023）第32项“有色金属冶炼和压延加工业”3240代码将“有色金属合金制造”定义为：指以有色金属为基体，加入一种或几种其他元素所构成的合金生产活动。对应本文件中的适用范围，建议将标准名称修改为《锌合金制造行业绿色工厂评价要求》。</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天津金火炬合金材料制造有限公司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采纳</w:t>
            </w: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会上讨论</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2</w:t>
            </w:r>
          </w:p>
        </w:tc>
        <w:tc>
          <w:tcPr>
            <w:tcW w:w="19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cs="Times New Roman"/>
              </w:rPr>
              <w:t>表A.1中第5项温室气体</w:t>
            </w:r>
          </w:p>
        </w:tc>
        <w:tc>
          <w:tcPr>
            <w:tcW w:w="4124"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1"/>
                <w:szCs w:val="21"/>
              </w:rPr>
            </w:pPr>
            <w:r>
              <w:rPr>
                <w:rFonts w:hint="default" w:ascii="Times New Roman" w:hAnsi="Times New Roman" w:cs="Times New Roman"/>
              </w:rPr>
              <w:t>“第三方核查声明证明材料”建议修改为”第三方核查声明证明材料或温室气体排放量核算报告”</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天津金火炬合金材料制造有限公司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lang w:val="en-US" w:eastAsia="zh-CN"/>
              </w:rPr>
              <w:t>采纳</w:t>
            </w: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kern w:val="2"/>
                <w:sz w:val="21"/>
                <w:szCs w:val="21"/>
                <w:lang w:val="en-US" w:eastAsia="zh-CN" w:bidi="ar-SA"/>
              </w:rPr>
              <w:t>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3</w:t>
            </w:r>
          </w:p>
        </w:tc>
        <w:tc>
          <w:tcPr>
            <w:tcW w:w="1939" w:type="dxa"/>
            <w:vAlign w:val="center"/>
          </w:tcPr>
          <w:p>
            <w:pPr>
              <w:pStyle w:val="11"/>
              <w:numPr>
                <w:ilvl w:val="0"/>
                <w:numId w:val="0"/>
              </w:numPr>
              <w:spacing w:before="156" w:beforeLines="50" w:after="156" w:afterLines="50"/>
              <w:ind w:left="0" w:leftChars="0" w:firstLine="0" w:firstLineChars="0"/>
              <w:rPr>
                <w:rFonts w:hint="default" w:ascii="Times New Roman" w:hAnsi="Times New Roman" w:eastAsia="宋体" w:cs="Times New Roman"/>
                <w:sz w:val="21"/>
                <w:szCs w:val="21"/>
              </w:rPr>
            </w:pPr>
            <w:r>
              <w:rPr>
                <w:rFonts w:hint="default" w:ascii="Times New Roman" w:hAnsi="Times New Roman" w:eastAsia="宋体" w:cs="Times New Roman"/>
              </w:rPr>
              <w:t>表A.1  锌合金行业绿色工厂评价指标体系</w:t>
            </w:r>
          </w:p>
        </w:tc>
        <w:tc>
          <w:tcPr>
            <w:tcW w:w="4124" w:type="dxa"/>
            <w:vAlign w:val="center"/>
          </w:tcPr>
          <w:p>
            <w:pPr>
              <w:rPr>
                <w:rFonts w:hint="default" w:ascii="Times New Roman" w:hAnsi="Times New Roman" w:cs="Times New Roman"/>
                <w:sz w:val="21"/>
                <w:szCs w:val="21"/>
              </w:rPr>
            </w:pPr>
            <w:r>
              <w:rPr>
                <w:rFonts w:hint="default" w:ascii="Times New Roman" w:hAnsi="Times New Roman" w:cs="Times New Roman"/>
                <w:szCs w:val="21"/>
              </w:rPr>
              <w:t>能源与资源投入总分只有90分。</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天津金火炬合金材料制造有限公司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lang w:val="en-US" w:eastAsia="zh-CN"/>
              </w:rPr>
              <w:t>采纳</w:t>
            </w: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kern w:val="2"/>
                <w:sz w:val="21"/>
                <w:szCs w:val="21"/>
                <w:lang w:val="en-US" w:eastAsia="zh-CN" w:bidi="ar-SA"/>
              </w:rPr>
            </w:pPr>
            <w:r>
              <w:rPr>
                <w:rFonts w:hint="default" w:ascii="Times New Roman" w:hAnsi="Times New Roman" w:cs="Times New Roman"/>
                <w:kern w:val="2"/>
                <w:sz w:val="21"/>
                <w:szCs w:val="21"/>
                <w:lang w:val="en-US" w:eastAsia="zh-CN" w:bidi="ar-SA"/>
              </w:rPr>
              <w:t>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4</w:t>
            </w:r>
          </w:p>
        </w:tc>
        <w:tc>
          <w:tcPr>
            <w:tcW w:w="1939" w:type="dxa"/>
            <w:vAlign w:val="center"/>
          </w:tcPr>
          <w:p>
            <w:pPr>
              <w:pStyle w:val="11"/>
              <w:keepNext w:val="0"/>
              <w:keepLines w:val="0"/>
              <w:pageBreakBefore w:val="0"/>
              <w:numPr>
                <w:ilvl w:val="0"/>
                <w:numId w:val="0"/>
              </w:numPr>
              <w:kinsoku/>
              <w:wordWrap/>
              <w:overflowPunct/>
              <w:topLinePunct w:val="0"/>
              <w:autoSpaceDE/>
              <w:autoSpaceDN/>
              <w:bidi w:val="0"/>
              <w:adjustRightInd/>
              <w:snapToGrid/>
              <w:spacing w:before="156" w:beforeLines="50" w:after="156" w:afterLines="50" w:line="240" w:lineRule="auto"/>
              <w:ind w:left="0" w:leftChars="0" w:firstLine="0" w:firstLineChars="0"/>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eastAsia="宋体" w:cs="Times New Roman"/>
                <w:sz w:val="21"/>
                <w:szCs w:val="21"/>
              </w:rPr>
              <w:t>5.6.3 固体废物</w:t>
            </w:r>
          </w:p>
        </w:tc>
        <w:tc>
          <w:tcPr>
            <w:tcW w:w="412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建议“</w:t>
            </w:r>
            <w:r>
              <w:rPr>
                <w:rFonts w:hint="default" w:ascii="Times New Roman" w:hAnsi="Times New Roman" w:eastAsia="黑体" w:cs="Times New Roman"/>
                <w:sz w:val="21"/>
                <w:szCs w:val="21"/>
              </w:rPr>
              <w:t>5.6.3.4</w:t>
            </w:r>
            <w:r>
              <w:rPr>
                <w:rFonts w:hint="default" w:ascii="Times New Roman" w:hAnsi="Times New Roman" w:cs="Times New Roman"/>
                <w:sz w:val="21"/>
                <w:szCs w:val="21"/>
              </w:rPr>
              <w:t>工厂应建立危险废物处置台账，并保存处理记录。”改为“</w:t>
            </w:r>
            <w:r>
              <w:rPr>
                <w:rFonts w:hint="default" w:ascii="Times New Roman" w:hAnsi="Times New Roman" w:eastAsia="黑体" w:cs="Times New Roman"/>
                <w:sz w:val="21"/>
                <w:szCs w:val="21"/>
              </w:rPr>
              <w:t>5.6.3.4</w:t>
            </w:r>
            <w:r>
              <w:rPr>
                <w:rFonts w:hint="default" w:ascii="Times New Roman" w:hAnsi="Times New Roman" w:cs="Times New Roman"/>
                <w:sz w:val="21"/>
                <w:szCs w:val="21"/>
              </w:rPr>
              <w:t>工厂应按照</w:t>
            </w:r>
            <w:r>
              <w:rPr>
                <w:rFonts w:hint="default" w:ascii="Times New Roman" w:hAnsi="Times New Roman" w:eastAsia="宋体" w:cs="Times New Roman"/>
                <w:sz w:val="21"/>
                <w:szCs w:val="21"/>
              </w:rPr>
              <w:t>HJ 1259—2022</w:t>
            </w:r>
            <w:r>
              <w:rPr>
                <w:rFonts w:hint="default" w:ascii="Times New Roman" w:hAnsi="Times New Roman" w:cs="Times New Roman"/>
                <w:sz w:val="21"/>
                <w:szCs w:val="21"/>
              </w:rPr>
              <w:t>建立危险废物处置台账，并保存处理记录。”</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云南驰宏资源综合利用有限公司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2"/>
                <w:sz w:val="21"/>
                <w:szCs w:val="21"/>
                <w:lang w:val="en-US" w:eastAsia="zh-CN" w:bidi="ar-SA"/>
              </w:rPr>
              <w:t>采纳</w:t>
            </w: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2"/>
                <w:sz w:val="21"/>
                <w:szCs w:val="21"/>
                <w:lang w:val="en-US" w:eastAsia="zh-CN" w:bidi="ar-SA"/>
              </w:rPr>
              <w:t>已修改并在规范性引用文件中增加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5</w:t>
            </w:r>
          </w:p>
        </w:tc>
        <w:tc>
          <w:tcPr>
            <w:tcW w:w="1939" w:type="dxa"/>
            <w:vAlign w:val="center"/>
          </w:tcPr>
          <w:p>
            <w:pPr>
              <w:pStyle w:val="11"/>
              <w:keepNext w:val="0"/>
              <w:keepLines w:val="0"/>
              <w:pageBreakBefore w:val="0"/>
              <w:numPr>
                <w:ilvl w:val="0"/>
                <w:numId w:val="0"/>
              </w:numPr>
              <w:kinsoku/>
              <w:wordWrap/>
              <w:overflowPunct/>
              <w:topLinePunct w:val="0"/>
              <w:autoSpaceDE/>
              <w:autoSpaceDN/>
              <w:bidi w:val="0"/>
              <w:adjustRightInd/>
              <w:snapToGrid/>
              <w:spacing w:before="156" w:beforeLines="50" w:after="156" w:afterLines="50" w:line="240" w:lineRule="auto"/>
              <w:ind w:left="0" w:leftChars="0" w:firstLine="0" w:firstLineChars="0"/>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kern w:val="2"/>
                <w:szCs w:val="21"/>
              </w:rPr>
              <w:t>5.2.3.3计量设备</w:t>
            </w:r>
          </w:p>
        </w:tc>
        <w:tc>
          <w:tcPr>
            <w:tcW w:w="412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Cs w:val="21"/>
              </w:rPr>
              <w:t>建议列项前增加引导语或改为4级条。</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云南驰宏资源综合利用有限公司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2"/>
                <w:sz w:val="21"/>
                <w:szCs w:val="21"/>
                <w:lang w:val="en-US" w:eastAsia="zh-CN" w:bidi="ar-SA"/>
              </w:rPr>
              <w:t>采纳</w:t>
            </w: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2"/>
                <w:sz w:val="21"/>
                <w:szCs w:val="21"/>
                <w:lang w:val="en-US" w:eastAsia="zh-CN" w:bidi="ar-SA"/>
              </w:rPr>
              <w:t>已增加前导语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6</w:t>
            </w:r>
          </w:p>
        </w:tc>
        <w:tc>
          <w:tcPr>
            <w:tcW w:w="1939" w:type="dxa"/>
            <w:vAlign w:val="center"/>
          </w:tcPr>
          <w:p>
            <w:pPr>
              <w:pStyle w:val="11"/>
              <w:keepNext w:val="0"/>
              <w:keepLines w:val="0"/>
              <w:pageBreakBefore w:val="0"/>
              <w:numPr>
                <w:ilvl w:val="0"/>
                <w:numId w:val="0"/>
              </w:numPr>
              <w:kinsoku/>
              <w:wordWrap/>
              <w:overflowPunct/>
              <w:topLinePunct w:val="0"/>
              <w:autoSpaceDE/>
              <w:autoSpaceDN/>
              <w:bidi w:val="0"/>
              <w:adjustRightInd/>
              <w:snapToGrid/>
              <w:spacing w:before="156" w:beforeLines="50" w:after="156" w:afterLines="50" w:line="240" w:lineRule="auto"/>
              <w:ind w:left="0" w:leftChars="0" w:firstLine="0" w:firstLineChars="0"/>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kern w:val="2"/>
                <w:szCs w:val="21"/>
              </w:rPr>
              <w:t>5.3.4能源管理体系</w:t>
            </w:r>
          </w:p>
        </w:tc>
        <w:tc>
          <w:tcPr>
            <w:tcW w:w="412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Cs w:val="21"/>
              </w:rPr>
              <w:t>建议能源管理体系由“宜建立、实施并保持”改为“应建立、实施并保持”，“宜通过第三方认证”改为“应通过第三方认证”，与表A.1中该项目设为比选项一致。</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sz w:val="21"/>
                <w:szCs w:val="21"/>
                <w:lang w:val="en-US" w:eastAsia="zh-CN"/>
              </w:rPr>
              <w:t>云南驰宏资源综合利用有限公司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color w:val="auto"/>
                <w:kern w:val="2"/>
                <w:sz w:val="21"/>
                <w:szCs w:val="21"/>
                <w:lang w:val="en-US" w:eastAsia="zh-CN" w:bidi="ar-SA"/>
              </w:rPr>
              <w:t>采纳</w:t>
            </w: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2"/>
                <w:sz w:val="21"/>
                <w:szCs w:val="21"/>
                <w:lang w:val="en-US" w:eastAsia="zh-CN" w:bidi="ar-SA"/>
              </w:rPr>
              <w:t>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7</w:t>
            </w:r>
          </w:p>
        </w:tc>
        <w:tc>
          <w:tcPr>
            <w:tcW w:w="19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rPr>
              <w:t>5.5.3节能</w:t>
            </w:r>
          </w:p>
        </w:tc>
        <w:tc>
          <w:tcPr>
            <w:tcW w:w="4124"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szCs w:val="21"/>
              </w:rPr>
              <w:t>建议“锌合金绿色工厂产品能耗指标表”中能耗数据根据整个行业的调研情况来确定</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云南驰宏资源综合利用有限公司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采纳</w:t>
            </w: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能耗指标表的加入首先是预审会提出的修改意见，其次两个绿色产品标准中对能耗指标的确定也是来源于行业调研情况，会上讨论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8</w:t>
            </w:r>
          </w:p>
        </w:tc>
        <w:tc>
          <w:tcPr>
            <w:tcW w:w="1939" w:type="dxa"/>
            <w:vAlign w:val="center"/>
          </w:tcPr>
          <w:p>
            <w:pPr>
              <w:pStyle w:val="11"/>
              <w:numPr>
                <w:ilvl w:val="0"/>
                <w:numId w:val="0"/>
              </w:numPr>
              <w:spacing w:before="156" w:beforeLines="50" w:after="156" w:afterLines="50"/>
              <w:ind w:left="0" w:leftChars="0" w:firstLine="0" w:firstLineChars="0"/>
              <w:jc w:val="center"/>
              <w:rPr>
                <w:rFonts w:hint="default" w:ascii="Times New Roman" w:hAnsi="Times New Roman" w:eastAsia="宋体" w:cs="Times New Roman"/>
                <w:color w:val="auto"/>
              </w:rPr>
            </w:pPr>
            <w:r>
              <w:rPr>
                <w:rFonts w:hint="default" w:ascii="Times New Roman" w:hAnsi="Times New Roman" w:cs="Times New Roman"/>
                <w:color w:val="auto"/>
                <w:szCs w:val="21"/>
              </w:rPr>
              <w:t>5.7.1.1</w:t>
            </w:r>
          </w:p>
        </w:tc>
        <w:tc>
          <w:tcPr>
            <w:tcW w:w="4124" w:type="dxa"/>
            <w:vAlign w:val="center"/>
          </w:tcPr>
          <w:p>
            <w:pPr>
              <w:jc w:val="both"/>
              <w:rPr>
                <w:rFonts w:hint="default" w:ascii="Times New Roman" w:hAnsi="Times New Roman" w:cs="Times New Roman"/>
                <w:color w:val="auto"/>
                <w:szCs w:val="21"/>
              </w:rPr>
            </w:pPr>
            <w:r>
              <w:rPr>
                <w:rFonts w:hint="default" w:ascii="Times New Roman" w:hAnsi="Times New Roman" w:cs="Times New Roman"/>
                <w:color w:val="auto"/>
                <w:szCs w:val="21"/>
              </w:rPr>
              <w:t>建议“工厂应依据GB/T 36132-2018中附录A提供的方法计算或评估绩效”改为“</w:t>
            </w:r>
            <w:r>
              <w:rPr>
                <w:rFonts w:hint="default" w:ascii="Times New Roman" w:hAnsi="Times New Roman" w:cs="Times New Roman"/>
                <w:color w:val="auto"/>
              </w:rPr>
              <w:t>工厂应依据GB/T 36132中附录A提供的方法计算或评估绩效</w:t>
            </w:r>
            <w:r>
              <w:rPr>
                <w:rFonts w:hint="default" w:ascii="Times New Roman" w:hAnsi="Times New Roman" w:cs="Times New Roman"/>
                <w:color w:val="auto"/>
                <w:szCs w:val="21"/>
              </w:rPr>
              <w:t>”或规范性引用文件中加上年份。其它地方引用该标准的统一。</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云南驰宏资源综合利用有限公司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不采纳</w:t>
            </w: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为了避免修订后条文发生了变化，引用到某个文件具体条款需要带年代号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9</w:t>
            </w:r>
          </w:p>
        </w:tc>
        <w:tc>
          <w:tcPr>
            <w:tcW w:w="1939" w:type="dxa"/>
            <w:vAlign w:val="center"/>
          </w:tcPr>
          <w:p>
            <w:pPr>
              <w:pStyle w:val="11"/>
              <w:numPr>
                <w:ilvl w:val="0"/>
                <w:numId w:val="0"/>
              </w:numPr>
              <w:spacing w:before="156" w:beforeLines="50" w:after="156" w:afterLines="50"/>
              <w:ind w:left="0" w:leftChars="0" w:firstLine="0" w:firstLineChars="0"/>
              <w:rPr>
                <w:rFonts w:hint="default" w:ascii="Times New Roman" w:hAnsi="Times New Roman" w:eastAsia="宋体" w:cs="Times New Roman"/>
              </w:rPr>
            </w:pPr>
            <w:r>
              <w:rPr>
                <w:rFonts w:hint="default" w:ascii="Times New Roman" w:hAnsi="Times New Roman" w:eastAsia="宋体" w:cs="Times New Roman"/>
              </w:rPr>
              <w:t>编制说明3.1 主编单位简介</w:t>
            </w:r>
          </w:p>
        </w:tc>
        <w:tc>
          <w:tcPr>
            <w:tcW w:w="4124" w:type="dxa"/>
            <w:vAlign w:val="center"/>
          </w:tcPr>
          <w:p>
            <w:pPr>
              <w:rPr>
                <w:rFonts w:hint="default" w:ascii="Times New Roman" w:hAnsi="Times New Roman" w:cs="Times New Roman"/>
                <w:szCs w:val="21"/>
              </w:rPr>
            </w:pPr>
            <w:r>
              <w:rPr>
                <w:rFonts w:hint="default" w:ascii="Times New Roman" w:hAnsi="Times New Roman" w:cs="Times New Roman"/>
              </w:rPr>
              <w:t>建议增加其他编制单位简介</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color w:val="auto"/>
                <w:sz w:val="21"/>
                <w:szCs w:val="21"/>
                <w:lang w:val="en-US" w:eastAsia="zh-CN"/>
              </w:rPr>
              <w:t>云南驰宏资源综合利用有限公司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采纳</w:t>
            </w: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已在编制说明中增加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10</w:t>
            </w:r>
          </w:p>
        </w:tc>
        <w:tc>
          <w:tcPr>
            <w:tcW w:w="1939" w:type="dxa"/>
            <w:vAlign w:val="center"/>
          </w:tcPr>
          <w:p>
            <w:pPr>
              <w:pStyle w:val="11"/>
              <w:keepNext w:val="0"/>
              <w:keepLines w:val="0"/>
              <w:pageBreakBefore w:val="0"/>
              <w:numPr>
                <w:ilvl w:val="0"/>
                <w:numId w:val="0"/>
              </w:numPr>
              <w:kinsoku/>
              <w:wordWrap/>
              <w:overflowPunct/>
              <w:topLinePunct w:val="0"/>
              <w:autoSpaceDE/>
              <w:autoSpaceDN/>
              <w:bidi w:val="0"/>
              <w:adjustRightInd/>
              <w:snapToGrid/>
              <w:spacing w:before="156" w:beforeLines="50" w:after="156" w:afterLines="50"/>
              <w:ind w:left="0" w:leftChars="0" w:firstLine="0" w:firstLineChars="0"/>
              <w:textAlignment w:val="auto"/>
              <w:rPr>
                <w:rFonts w:hint="default" w:ascii="Times New Roman" w:hAnsi="Times New Roman" w:cs="Times New Roman"/>
                <w:sz w:val="21"/>
                <w:szCs w:val="21"/>
              </w:rPr>
            </w:pPr>
            <w:r>
              <w:rPr>
                <w:rFonts w:hint="default" w:ascii="Times New Roman" w:hAnsi="Times New Roman" w:eastAsia="宋体" w:cs="Times New Roman"/>
              </w:rPr>
              <w:t>表A.1  锌合金行业绿色工厂评价指标体系</w:t>
            </w:r>
          </w:p>
        </w:tc>
        <w:tc>
          <w:tcPr>
            <w:tcW w:w="4124" w:type="dxa"/>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cs="Times New Roman"/>
                <w:sz w:val="21"/>
                <w:szCs w:val="21"/>
              </w:rPr>
            </w:pPr>
            <w:r>
              <w:rPr>
                <w:rFonts w:hint="default" w:ascii="Times New Roman" w:hAnsi="Times New Roman" w:cs="Times New Roman"/>
                <w:szCs w:val="21"/>
              </w:rPr>
              <w:t>建议“具体评价要求”各条款统一标点符号。</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深圳市锃科合金有限公司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采纳</w:t>
            </w: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11</w:t>
            </w:r>
          </w:p>
        </w:tc>
        <w:tc>
          <w:tcPr>
            <w:tcW w:w="1939" w:type="dxa"/>
            <w:vAlign w:val="center"/>
          </w:tcPr>
          <w:p>
            <w:pPr>
              <w:pStyle w:val="11"/>
              <w:keepNext w:val="0"/>
              <w:keepLines w:val="0"/>
              <w:pageBreakBefore w:val="0"/>
              <w:numPr>
                <w:ilvl w:val="0"/>
                <w:numId w:val="0"/>
              </w:numPr>
              <w:kinsoku/>
              <w:wordWrap/>
              <w:overflowPunct/>
              <w:topLinePunct w:val="0"/>
              <w:autoSpaceDE/>
              <w:autoSpaceDN/>
              <w:bidi w:val="0"/>
              <w:adjustRightInd/>
              <w:snapToGrid/>
              <w:spacing w:before="156" w:beforeLines="50" w:after="156" w:afterLines="50"/>
              <w:ind w:left="0" w:leftChars="0" w:firstLine="0" w:firstLineChars="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eastAsia="宋体" w:cs="Times New Roman"/>
              </w:rPr>
              <w:t>表A.1  锌合金行业绿色工厂评价指标体系</w:t>
            </w:r>
          </w:p>
        </w:tc>
        <w:tc>
          <w:tcPr>
            <w:tcW w:w="4124" w:type="dxa"/>
            <w:vAlign w:val="center"/>
          </w:tcPr>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Cs w:val="21"/>
              </w:rPr>
              <w:t>0基本要求的工厂要求中“绿色工厂培训教育方案、培训记录等”建议改为“绿色工厂培训教育方案、培训记录、培训考评记录等”</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深圳市锃科合金有限公司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采纳</w:t>
            </w: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12</w:t>
            </w:r>
          </w:p>
        </w:tc>
        <w:tc>
          <w:tcPr>
            <w:tcW w:w="1939" w:type="dxa"/>
            <w:vAlign w:val="center"/>
          </w:tcPr>
          <w:p>
            <w:pPr>
              <w:spacing w:before="120" w:beforeLines="50" w:after="120" w:afterLines="50"/>
              <w:jc w:val="center"/>
              <w:rPr>
                <w:rFonts w:hint="default" w:ascii="Times New Roman" w:hAnsi="Times New Roman" w:cs="Times New Roman"/>
                <w:color w:val="auto"/>
                <w:sz w:val="21"/>
                <w:szCs w:val="21"/>
              </w:rPr>
            </w:pPr>
            <w:r>
              <w:rPr>
                <w:rFonts w:hint="default" w:ascii="Times New Roman" w:hAnsi="Times New Roman" w:eastAsia="宋体" w:cs="Times New Roman"/>
                <w:color w:val="auto"/>
                <w:lang w:val="en-US" w:eastAsia="zh-CN"/>
              </w:rPr>
              <w:t>5.2.3.1</w:t>
            </w:r>
          </w:p>
        </w:tc>
        <w:tc>
          <w:tcPr>
            <w:tcW w:w="4124" w:type="dxa"/>
            <w:vAlign w:val="center"/>
          </w:tcPr>
          <w:p>
            <w:pPr>
              <w:rPr>
                <w:rFonts w:hint="default" w:ascii="Times New Roman" w:hAnsi="Times New Roman" w:cs="Times New Roman"/>
                <w:color w:val="auto"/>
                <w:sz w:val="21"/>
                <w:szCs w:val="21"/>
              </w:rPr>
            </w:pPr>
            <w:r>
              <w:rPr>
                <w:rFonts w:hint="default" w:ascii="Times New Roman" w:hAnsi="Times New Roman" w:cs="Times New Roman"/>
                <w:bCs/>
                <w:color w:val="auto"/>
                <w:szCs w:val="21"/>
                <w:lang w:val="en-US" w:eastAsia="zh-CN"/>
              </w:rPr>
              <w:t>c</w:t>
            </w:r>
            <w:r>
              <w:rPr>
                <w:rFonts w:hint="default" w:ascii="Times New Roman" w:hAnsi="Times New Roman" w:cs="Times New Roman"/>
                <w:bCs/>
                <w:color w:val="auto"/>
                <w:szCs w:val="21"/>
              </w:rPr>
              <w:t>) 熔铸工序应使用节能型反射炉、电炉和无芯感应炉，应配备烟气余热利用系统等</w:t>
            </w:r>
            <w:r>
              <w:rPr>
                <w:rFonts w:hint="default" w:ascii="Times New Roman" w:hAnsi="Times New Roman" w:cs="Times New Roman"/>
                <w:bCs/>
                <w:color w:val="auto"/>
                <w:szCs w:val="21"/>
                <w:lang w:eastAsia="zh-CN"/>
              </w:rPr>
              <w:t>。</w:t>
            </w:r>
            <w:r>
              <w:rPr>
                <w:rFonts w:hint="default" w:ascii="Times New Roman" w:hAnsi="Times New Roman" w:cs="Times New Roman"/>
                <w:bCs/>
                <w:color w:val="auto"/>
                <w:szCs w:val="21"/>
                <w:lang w:val="en-US" w:eastAsia="zh-CN"/>
              </w:rPr>
              <w:t>建议修改为：工厂专用生产设备应使用各类节能设备设施，</w:t>
            </w:r>
            <w:r>
              <w:rPr>
                <w:rFonts w:hint="default" w:ascii="Times New Roman" w:hAnsi="Times New Roman" w:cs="Times New Roman"/>
                <w:bCs/>
                <w:color w:val="auto"/>
                <w:szCs w:val="21"/>
              </w:rPr>
              <w:t>应配备烟气余热利用系统等</w:t>
            </w:r>
            <w:r>
              <w:rPr>
                <w:rFonts w:hint="default" w:ascii="Times New Roman" w:hAnsi="Times New Roman" w:cs="Times New Roman"/>
                <w:bCs/>
                <w:color w:val="auto"/>
                <w:szCs w:val="21"/>
                <w:lang w:eastAsia="zh-CN"/>
              </w:rPr>
              <w:t>。</w:t>
            </w:r>
            <w:r>
              <w:rPr>
                <w:rFonts w:hint="default" w:ascii="Times New Roman" w:hAnsi="Times New Roman" w:cs="Times New Roman"/>
                <w:color w:val="auto"/>
                <w:lang w:val="en-US" w:eastAsia="zh-CN"/>
              </w:rPr>
              <w:t>因各企业工艺技术与生产模式的不同，也不仅仅只有</w:t>
            </w:r>
            <w:r>
              <w:rPr>
                <w:rFonts w:hint="default" w:ascii="Times New Roman" w:hAnsi="Times New Roman" w:cs="Times New Roman"/>
                <w:bCs/>
                <w:color w:val="auto"/>
                <w:szCs w:val="21"/>
              </w:rPr>
              <w:t>熔铸工序</w:t>
            </w:r>
            <w:r>
              <w:rPr>
                <w:rFonts w:hint="default" w:ascii="Times New Roman" w:hAnsi="Times New Roman" w:cs="Times New Roman"/>
                <w:bCs/>
                <w:color w:val="auto"/>
                <w:szCs w:val="21"/>
                <w:lang w:val="en-US" w:eastAsia="zh-CN"/>
              </w:rPr>
              <w:t>需要使用节能设备和</w:t>
            </w:r>
            <w:r>
              <w:rPr>
                <w:rFonts w:hint="default" w:ascii="Times New Roman" w:hAnsi="Times New Roman" w:cs="Times New Roman"/>
                <w:bCs/>
                <w:color w:val="auto"/>
                <w:szCs w:val="21"/>
              </w:rPr>
              <w:t>余热利用系统</w:t>
            </w:r>
            <w:r>
              <w:rPr>
                <w:rFonts w:hint="default" w:ascii="Times New Roman" w:hAnsi="Times New Roman" w:cs="Times New Roman"/>
                <w:bCs/>
                <w:color w:val="auto"/>
                <w:szCs w:val="21"/>
                <w:lang w:eastAsia="zh-CN"/>
              </w:rPr>
              <w:t>，</w:t>
            </w:r>
            <w:r>
              <w:rPr>
                <w:rFonts w:hint="default" w:ascii="Times New Roman" w:hAnsi="Times New Roman" w:cs="Times New Roman"/>
                <w:bCs/>
                <w:color w:val="auto"/>
                <w:szCs w:val="21"/>
                <w:lang w:val="en-US" w:eastAsia="zh-CN"/>
              </w:rPr>
              <w:t>其他工序一样需要，因此没必要专门指出</w:t>
            </w:r>
            <w:r>
              <w:rPr>
                <w:rFonts w:hint="default" w:ascii="Times New Roman" w:hAnsi="Times New Roman" w:cs="Times New Roman"/>
                <w:bCs/>
                <w:color w:val="auto"/>
                <w:szCs w:val="21"/>
              </w:rPr>
              <w:t>熔铸工序</w:t>
            </w:r>
            <w:r>
              <w:rPr>
                <w:rFonts w:hint="default" w:ascii="Times New Roman" w:hAnsi="Times New Roman" w:cs="Times New Roman"/>
                <w:bCs/>
                <w:color w:val="auto"/>
                <w:szCs w:val="21"/>
                <w:lang w:eastAsia="zh-CN"/>
              </w:rPr>
              <w:t>。</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eastAsia" w:ascii="Times New Roman" w:hAnsi="Times New Roman" w:cs="Times New Roman"/>
                <w:color w:val="auto"/>
              </w:rPr>
              <w:t>中金岭南科技有限公司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采纳</w:t>
            </w: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锌合金行业是指</w:t>
            </w:r>
            <w:r>
              <w:rPr>
                <w:rFonts w:hint="default" w:ascii="Times New Roman" w:hAnsi="Times New Roman" w:cs="Times New Roman"/>
                <w:color w:val="auto"/>
                <w:szCs w:val="21"/>
                <w:lang w:val="en-US" w:eastAsia="zh-CN"/>
              </w:rPr>
              <w:t>以</w:t>
            </w:r>
            <w:r>
              <w:rPr>
                <w:rFonts w:hint="default" w:ascii="Times New Roman" w:hAnsi="Times New Roman" w:cs="Times New Roman"/>
                <w:color w:val="auto"/>
                <w:szCs w:val="21"/>
              </w:rPr>
              <w:t>析出锌或锌锭</w:t>
            </w:r>
            <w:r>
              <w:rPr>
                <w:rFonts w:hint="default" w:ascii="Times New Roman" w:hAnsi="Times New Roman" w:cs="Times New Roman"/>
                <w:color w:val="auto"/>
                <w:szCs w:val="21"/>
                <w:lang w:val="en-US" w:eastAsia="zh-CN"/>
              </w:rPr>
              <w:t>生产</w:t>
            </w:r>
            <w:r>
              <w:rPr>
                <w:rFonts w:hint="default" w:ascii="Times New Roman" w:hAnsi="Times New Roman" w:cs="Times New Roman"/>
                <w:color w:val="auto"/>
                <w:szCs w:val="21"/>
              </w:rPr>
              <w:t>铸造用锌合金锭</w:t>
            </w:r>
            <w:r>
              <w:rPr>
                <w:rFonts w:hint="default" w:ascii="Times New Roman" w:hAnsi="Times New Roman" w:cs="Times New Roman"/>
                <w:color w:val="auto"/>
                <w:szCs w:val="21"/>
                <w:lang w:val="en-US" w:eastAsia="zh-CN"/>
              </w:rPr>
              <w:t>和热镀用锌合金锭</w:t>
            </w:r>
            <w:r>
              <w:rPr>
                <w:rFonts w:hint="default" w:ascii="Times New Roman" w:hAnsi="Times New Roman" w:cs="Times New Roman"/>
                <w:color w:val="auto"/>
                <w:szCs w:val="21"/>
              </w:rPr>
              <w:t>的行业。</w:t>
            </w:r>
            <w:r>
              <w:rPr>
                <w:rFonts w:hint="eastAsia" w:ascii="Times New Roman" w:hAnsi="Times New Roman" w:cs="Times New Roman"/>
                <w:color w:val="auto"/>
                <w:szCs w:val="21"/>
                <w:lang w:val="en-US" w:eastAsia="zh-CN"/>
              </w:rPr>
              <w:t>熔铸是其主要工序，此处仅仅是指出该行业的专用设备。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1</w:t>
            </w:r>
            <w:r>
              <w:rPr>
                <w:rFonts w:hint="eastAsia" w:ascii="Times New Roman" w:hAnsi="Times New Roman" w:cs="Times New Roman"/>
                <w:sz w:val="21"/>
                <w:szCs w:val="21"/>
                <w:lang w:val="en-US" w:eastAsia="zh-CN"/>
              </w:rPr>
              <w:t>3</w:t>
            </w:r>
          </w:p>
        </w:tc>
        <w:tc>
          <w:tcPr>
            <w:tcW w:w="1939" w:type="dxa"/>
            <w:vAlign w:val="center"/>
          </w:tcPr>
          <w:p>
            <w:pPr>
              <w:spacing w:line="360" w:lineRule="auto"/>
              <w:jc w:val="center"/>
              <w:rPr>
                <w:rFonts w:hint="default" w:ascii="Times New Roman" w:hAnsi="Times New Roman" w:cs="Times New Roman"/>
                <w:sz w:val="21"/>
                <w:szCs w:val="21"/>
              </w:rPr>
            </w:pPr>
            <w:r>
              <w:rPr>
                <w:rFonts w:hint="default" w:ascii="Times New Roman" w:hAnsi="Times New Roman" w:eastAsia="宋体" w:cs="Times New Roman"/>
                <w:lang w:val="en-US" w:eastAsia="zh-CN"/>
              </w:rPr>
              <w:t>5.2.3.1</w:t>
            </w:r>
          </w:p>
        </w:tc>
        <w:tc>
          <w:tcPr>
            <w:tcW w:w="4124" w:type="dxa"/>
            <w:vAlign w:val="center"/>
          </w:tcPr>
          <w:p>
            <w:pPr>
              <w:rPr>
                <w:rFonts w:hint="default" w:ascii="Times New Roman" w:hAnsi="Times New Roman" w:cs="Times New Roman"/>
                <w:sz w:val="21"/>
                <w:szCs w:val="21"/>
              </w:rPr>
            </w:pPr>
            <w:r>
              <w:rPr>
                <w:rFonts w:hint="default" w:ascii="Times New Roman" w:hAnsi="Times New Roman" w:cs="Times New Roman"/>
                <w:bCs/>
                <w:color w:val="000000"/>
                <w:szCs w:val="21"/>
                <w:lang w:val="en-US" w:eastAsia="zh-CN"/>
              </w:rPr>
              <w:t>e</w:t>
            </w:r>
            <w:r>
              <w:rPr>
                <w:rFonts w:hint="default" w:ascii="Times New Roman" w:hAnsi="Times New Roman" w:cs="Times New Roman"/>
                <w:bCs/>
                <w:color w:val="000000"/>
                <w:szCs w:val="21"/>
              </w:rPr>
              <w:t>）烟气净化系统应采用净化效率高、性能稳定、操作方便、滤袋寿命长、维修工作量小的布袋收尘器。</w:t>
            </w:r>
            <w:r>
              <w:rPr>
                <w:rFonts w:hint="default" w:ascii="Times New Roman" w:hAnsi="Times New Roman" w:cs="Times New Roman"/>
                <w:bCs/>
                <w:color w:val="000000"/>
                <w:szCs w:val="21"/>
                <w:lang w:eastAsia="zh-CN"/>
              </w:rPr>
              <w:t>——</w:t>
            </w:r>
            <w:r>
              <w:rPr>
                <w:rFonts w:hint="default" w:ascii="Times New Roman" w:hAnsi="Times New Roman" w:cs="Times New Roman"/>
                <w:bCs/>
                <w:color w:val="000000"/>
                <w:szCs w:val="21"/>
                <w:lang w:val="en-US" w:eastAsia="zh-CN"/>
              </w:rPr>
              <w:t>建议修改为：烟气净化系统应采用净化效率高、性能稳定、操作方便、维修工作量小且能满足国家和地方环保要求的设备设施。</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eastAsia" w:ascii="Times New Roman" w:hAnsi="Times New Roman" w:cs="Times New Roman"/>
              </w:rPr>
              <w:t>中金岭南科技有限公司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采纳</w:t>
            </w: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color w:val="auto"/>
                <w:sz w:val="21"/>
                <w:szCs w:val="21"/>
                <w:lang w:val="en-US" w:eastAsia="zh-CN"/>
              </w:rPr>
              <w:t>14</w:t>
            </w:r>
          </w:p>
        </w:tc>
        <w:tc>
          <w:tcPr>
            <w:tcW w:w="1939" w:type="dxa"/>
            <w:vAlign w:val="center"/>
          </w:tcPr>
          <w:p>
            <w:pPr>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kern w:val="2"/>
                <w:sz w:val="21"/>
                <w:szCs w:val="22"/>
                <w:lang w:val="en-US" w:eastAsia="zh-CN" w:bidi="ar-SA"/>
              </w:rPr>
              <w:t>5.2.3.2</w:t>
            </w:r>
          </w:p>
        </w:tc>
        <w:tc>
          <w:tcPr>
            <w:tcW w:w="4124" w:type="dxa"/>
            <w:vAlign w:val="center"/>
          </w:tcPr>
          <w:p>
            <w:pPr>
              <w:rPr>
                <w:rFonts w:hint="default" w:ascii="Times New Roman" w:hAnsi="Times New Roman" w:cs="Times New Roman"/>
                <w:color w:val="auto"/>
                <w:sz w:val="21"/>
                <w:szCs w:val="21"/>
              </w:rPr>
            </w:pPr>
            <w:r>
              <w:rPr>
                <w:rFonts w:hint="default" w:ascii="Times New Roman" w:hAnsi="Times New Roman" w:cs="Times New Roman"/>
                <w:color w:val="auto"/>
                <w:kern w:val="2"/>
                <w:sz w:val="21"/>
                <w:szCs w:val="22"/>
                <w:lang w:val="en-US" w:eastAsia="zh-CN" w:bidi="ar-SA"/>
              </w:rPr>
              <w:t>建议增加：已明令禁止生产、使用的设备和能耗高、效率低的设备应限期淘汰更新</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葫芦岛锌业股份有限公司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采纳</w:t>
            </w: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15</w:t>
            </w:r>
          </w:p>
        </w:tc>
        <w:tc>
          <w:tcPr>
            <w:tcW w:w="1939" w:type="dxa"/>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lang w:val="en-US" w:eastAsia="zh-CN"/>
              </w:rPr>
              <w:t xml:space="preserve">5.5.3 </w:t>
            </w:r>
          </w:p>
        </w:tc>
        <w:tc>
          <w:tcPr>
            <w:tcW w:w="4124" w:type="dxa"/>
            <w:vAlign w:val="center"/>
          </w:tcPr>
          <w:p>
            <w:pPr>
              <w:rPr>
                <w:rFonts w:hint="default" w:ascii="Times New Roman" w:hAnsi="Times New Roman" w:cs="Times New Roman"/>
                <w:lang w:val="en-US" w:eastAsia="zh-CN"/>
              </w:rPr>
            </w:pPr>
            <w:r>
              <w:rPr>
                <w:rFonts w:hint="default" w:ascii="Times New Roman" w:hAnsi="Times New Roman" w:cs="Times New Roman"/>
                <w:lang w:val="en-US" w:eastAsia="zh-CN"/>
              </w:rPr>
              <w:t>建议删除。</w:t>
            </w:r>
          </w:p>
          <w:p>
            <w:pPr>
              <w:rPr>
                <w:rFonts w:hint="default" w:ascii="Times New Roman" w:hAnsi="Times New Roman" w:cs="Times New Roman"/>
                <w:sz w:val="21"/>
                <w:szCs w:val="21"/>
              </w:rPr>
            </w:pPr>
            <w:r>
              <w:rPr>
                <w:rFonts w:hint="default" w:ascii="Times New Roman" w:hAnsi="Times New Roman" w:cs="Times New Roman"/>
                <w:lang w:val="en-US" w:eastAsia="zh-CN"/>
              </w:rPr>
              <w:t>因目前国家并未对热镀用锌合金锭和铸造用锌合金锭单位产品能耗和综合能耗有具体数值限定，建议连同《表1 锌合金绿色工厂产品能耗指标表》一并删除。</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lang w:val="en-US" w:eastAsia="zh-CN"/>
              </w:rPr>
            </w:pPr>
            <w:r>
              <w:rPr>
                <w:rFonts w:hint="eastAsia" w:ascii="Times New Roman" w:hAnsi="Times New Roman" w:cs="Times New Roman"/>
              </w:rPr>
              <w:t>中金岭南科技有限公司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color w:val="auto"/>
                <w:sz w:val="21"/>
                <w:szCs w:val="21"/>
                <w:lang w:val="en-US" w:eastAsia="zh-CN"/>
              </w:rPr>
              <w:t>采纳</w:t>
            </w: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1"/>
                <w:szCs w:val="21"/>
              </w:rPr>
            </w:pPr>
            <w:r>
              <w:rPr>
                <w:rFonts w:hint="default" w:ascii="Times New Roman" w:hAnsi="Times New Roman" w:cs="Times New Roman"/>
                <w:color w:val="auto"/>
                <w:sz w:val="21"/>
                <w:szCs w:val="21"/>
                <w:lang w:val="en-US" w:eastAsia="zh-CN"/>
              </w:rPr>
              <w:t>能耗指标表的加入首先是预审会提出的修改意见，其次两个绿色产品标准中对能耗指标的确定也是来源于行业调研情况，会上讨论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16</w:t>
            </w:r>
          </w:p>
        </w:tc>
        <w:tc>
          <w:tcPr>
            <w:tcW w:w="1939" w:type="dxa"/>
            <w:vAlign w:val="center"/>
          </w:tcPr>
          <w:p>
            <w:pPr>
              <w:spacing w:line="360" w:lineRule="auto"/>
              <w:jc w:val="center"/>
              <w:rPr>
                <w:rFonts w:hint="default" w:ascii="Times New Roman" w:hAnsi="Times New Roman" w:cs="Times New Roman"/>
                <w:sz w:val="21"/>
                <w:szCs w:val="21"/>
              </w:rPr>
            </w:pPr>
            <w:r>
              <w:rPr>
                <w:rFonts w:hint="default" w:ascii="Times New Roman" w:hAnsi="Times New Roman" w:cs="Times New Roman"/>
                <w:szCs w:val="21"/>
              </w:rPr>
              <w:t xml:space="preserve">5.4.1.2 </w:t>
            </w:r>
          </w:p>
        </w:tc>
        <w:tc>
          <w:tcPr>
            <w:tcW w:w="4124" w:type="dxa"/>
            <w:vAlign w:val="center"/>
          </w:tcPr>
          <w:p>
            <w:pPr>
              <w:jc w:val="left"/>
              <w:rPr>
                <w:rFonts w:hint="default" w:ascii="Times New Roman" w:hAnsi="Times New Roman" w:cs="Times New Roman"/>
                <w:sz w:val="21"/>
                <w:szCs w:val="21"/>
              </w:rPr>
            </w:pPr>
            <w:r>
              <w:rPr>
                <w:rFonts w:hint="default" w:ascii="Times New Roman" w:hAnsi="Times New Roman" w:cs="Times New Roman"/>
              </w:rPr>
              <w:t>锌合金各工序能耗应满足相关法律法规和标准要求，减少能源消耗。</w:t>
            </w:r>
            <w:r>
              <w:rPr>
                <w:rFonts w:hint="default" w:ascii="Times New Roman" w:hAnsi="Times New Roman" w:cs="Times New Roman"/>
                <w:lang w:val="en-US" w:eastAsia="zh-CN"/>
              </w:rPr>
              <w:t>建议修改为工厂</w:t>
            </w:r>
            <w:r>
              <w:rPr>
                <w:rFonts w:hint="default" w:ascii="Times New Roman" w:hAnsi="Times New Roman" w:cs="Times New Roman"/>
              </w:rPr>
              <w:t>各工序能耗应满足相关法律法规和标准要求，减少能源消耗。</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lang w:val="en-US" w:eastAsia="zh-CN"/>
              </w:rPr>
            </w:pPr>
            <w:r>
              <w:rPr>
                <w:rFonts w:hint="eastAsia" w:ascii="Times New Roman" w:hAnsi="Times New Roman" w:cs="Times New Roman"/>
              </w:rPr>
              <w:t>中金岭南科技有限公司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color w:val="auto"/>
                <w:sz w:val="21"/>
                <w:szCs w:val="21"/>
                <w:lang w:val="en-US" w:eastAsia="zh-CN"/>
              </w:rPr>
              <w:t>采纳</w:t>
            </w: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1</w:t>
            </w:r>
            <w:r>
              <w:rPr>
                <w:rFonts w:hint="eastAsia" w:ascii="Times New Roman" w:hAnsi="Times New Roman" w:cs="Times New Roman"/>
                <w:sz w:val="21"/>
                <w:szCs w:val="21"/>
                <w:lang w:val="en-US" w:eastAsia="zh-CN"/>
              </w:rPr>
              <w:t>7</w:t>
            </w:r>
          </w:p>
        </w:tc>
        <w:tc>
          <w:tcPr>
            <w:tcW w:w="19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eastAsia="宋体" w:cs="Times New Roman"/>
                <w:color w:val="auto"/>
                <w:szCs w:val="21"/>
              </w:rPr>
              <w:t>表A.1中第3项能源投入</w:t>
            </w:r>
          </w:p>
        </w:tc>
        <w:tc>
          <w:tcPr>
            <w:tcW w:w="4124"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1"/>
                <w:szCs w:val="21"/>
              </w:rPr>
            </w:pPr>
            <w:r>
              <w:rPr>
                <w:rFonts w:hint="default" w:ascii="Times New Roman" w:hAnsi="Times New Roman" w:cs="Times New Roman"/>
                <w:color w:val="auto"/>
              </w:rPr>
              <w:t>“充分利用余热、余压、氢气、氮气，产生的二次能源宜回收利用”该项评分为5分，建议调减为2分</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eastAsia" w:ascii="Times New Roman" w:hAnsi="Times New Roman" w:cs="Times New Roman"/>
                <w:lang w:val="en-US" w:eastAsia="zh-CN"/>
              </w:rPr>
              <w:t>湖南株冶火炬新材料有限公司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default" w:ascii="Times New Roman" w:hAnsi="Times New Roman" w:cs="Times New Roman"/>
                <w:color w:val="auto"/>
                <w:sz w:val="21"/>
                <w:szCs w:val="21"/>
                <w:lang w:val="en-US" w:eastAsia="zh-CN"/>
              </w:rPr>
              <w:t>采纳</w:t>
            </w: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已修改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1</w:t>
            </w:r>
            <w:r>
              <w:rPr>
                <w:rFonts w:hint="eastAsia" w:ascii="Times New Roman" w:hAnsi="Times New Roman" w:cs="Times New Roman"/>
                <w:sz w:val="21"/>
                <w:szCs w:val="21"/>
                <w:lang w:val="en-US" w:eastAsia="zh-CN"/>
              </w:rPr>
              <w:t>8</w:t>
            </w:r>
          </w:p>
        </w:tc>
        <w:tc>
          <w:tcPr>
            <w:tcW w:w="19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p>
        </w:tc>
        <w:tc>
          <w:tcPr>
            <w:tcW w:w="4124"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回函同意，无意见</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河北新金万利新材料科技有限公司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1</w:t>
            </w:r>
            <w:r>
              <w:rPr>
                <w:rFonts w:hint="eastAsia" w:ascii="Times New Roman" w:hAnsi="Times New Roman" w:cs="Times New Roman"/>
                <w:sz w:val="21"/>
                <w:szCs w:val="21"/>
                <w:lang w:val="en-US" w:eastAsia="zh-CN"/>
              </w:rPr>
              <w:t>9</w:t>
            </w:r>
          </w:p>
        </w:tc>
        <w:tc>
          <w:tcPr>
            <w:tcW w:w="19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p>
        </w:tc>
        <w:tc>
          <w:tcPr>
            <w:tcW w:w="4124"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回函同意，无意见</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冠县创宇新材料有限公司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kern w:val="2"/>
                <w:sz w:val="21"/>
                <w:szCs w:val="21"/>
                <w:lang w:val="en-US" w:eastAsia="zh-CN" w:bidi="ar-SA"/>
              </w:rPr>
              <w:t>20</w:t>
            </w:r>
          </w:p>
        </w:tc>
        <w:tc>
          <w:tcPr>
            <w:tcW w:w="19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p>
        </w:tc>
        <w:tc>
          <w:tcPr>
            <w:tcW w:w="4124"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回函同意，无意见</w:t>
            </w:r>
          </w:p>
        </w:tc>
        <w:tc>
          <w:tcPr>
            <w:tcW w:w="35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r>
              <w:rPr>
                <w:rFonts w:hint="eastAsia" w:ascii="Times New Roman" w:hAnsi="Times New Roman" w:cs="Times New Roman"/>
                <w:lang w:val="en-US" w:eastAsia="zh-CN"/>
              </w:rPr>
              <w:t>广西梧州市永鑫环保科技有限公司</w:t>
            </w:r>
          </w:p>
        </w:tc>
        <w:tc>
          <w:tcPr>
            <w:tcW w:w="13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p>
        </w:tc>
        <w:tc>
          <w:tcPr>
            <w:tcW w:w="33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1"/>
                <w:szCs w:val="21"/>
              </w:rPr>
            </w:pPr>
          </w:p>
        </w:tc>
      </w:tr>
    </w:tbl>
    <w:p>
      <w:pPr>
        <w:spacing w:line="360" w:lineRule="auto"/>
        <w:rPr>
          <w:rFonts w:ascii="Times New Roman" w:hAnsi="Times New Roman" w:cs="Times New Roman"/>
        </w:rPr>
      </w:pPr>
      <w:r>
        <w:rPr>
          <w:rFonts w:ascii="Times New Roman" w:hAnsi="Times New Roman" w:cs="Times New Roman"/>
        </w:rPr>
        <w:t>说明</w:t>
      </w:r>
      <w:r>
        <w:rPr>
          <w:rFonts w:hint="eastAsia" w:ascii="Times New Roman" w:hAnsi="Times New Roman" w:cs="Times New Roman"/>
        </w:rPr>
        <w:t>：</w:t>
      </w:r>
      <w:r>
        <w:rPr>
          <w:rFonts w:ascii="Times New Roman" w:hAnsi="Times New Roman" w:cs="Times New Roman"/>
        </w:rPr>
        <w:t>（1）发送《征求意见稿》的单位数：</w:t>
      </w:r>
      <w:r>
        <w:rPr>
          <w:rFonts w:hint="eastAsia" w:ascii="Times New Roman" w:hAnsi="Times New Roman" w:cs="Times New Roman"/>
          <w:lang w:val="en-US" w:eastAsia="zh-CN"/>
        </w:rPr>
        <w:t>9</w:t>
      </w:r>
      <w:r>
        <w:rPr>
          <w:rFonts w:ascii="Times New Roman" w:hAnsi="Times New Roman" w:cs="Times New Roman"/>
        </w:rPr>
        <w:t>个；</w:t>
      </w:r>
    </w:p>
    <w:p>
      <w:pPr>
        <w:spacing w:line="360" w:lineRule="auto"/>
        <w:ind w:firstLine="420" w:firstLineChars="200"/>
        <w:rPr>
          <w:rFonts w:ascii="Times New Roman" w:hAnsi="Times New Roman" w:cs="Times New Roman"/>
        </w:rPr>
      </w:pPr>
      <w:r>
        <w:rPr>
          <w:rFonts w:ascii="Times New Roman" w:hAnsi="Times New Roman" w:cs="Times New Roman"/>
        </w:rPr>
        <w:t>（2）收到《征求意见稿》后，回函的单位数：</w:t>
      </w:r>
      <w:r>
        <w:rPr>
          <w:rFonts w:hint="eastAsia" w:ascii="Times New Roman" w:hAnsi="Times New Roman" w:cs="Times New Roman"/>
          <w:lang w:val="en-US" w:eastAsia="zh-CN"/>
        </w:rPr>
        <w:t>9</w:t>
      </w:r>
      <w:r>
        <w:rPr>
          <w:rFonts w:ascii="Times New Roman" w:hAnsi="Times New Roman" w:cs="Times New Roman"/>
        </w:rPr>
        <w:t>个；</w:t>
      </w:r>
    </w:p>
    <w:p>
      <w:pPr>
        <w:spacing w:line="360" w:lineRule="auto"/>
        <w:ind w:firstLine="420" w:firstLineChars="200"/>
        <w:rPr>
          <w:rFonts w:ascii="Times New Roman" w:hAnsi="Times New Roman" w:cs="Times New Roman"/>
        </w:rPr>
      </w:pPr>
      <w:r>
        <w:rPr>
          <w:rFonts w:ascii="Times New Roman" w:hAnsi="Times New Roman" w:cs="Times New Roman"/>
        </w:rPr>
        <w:t>（3）收到《征求意见稿》后，回函并有建议或意见的单位数：</w:t>
      </w:r>
      <w:r>
        <w:rPr>
          <w:rFonts w:hint="eastAsia" w:ascii="Times New Roman" w:hAnsi="Times New Roman" w:cs="Times New Roman"/>
          <w:lang w:val="en-US" w:eastAsia="zh-CN"/>
        </w:rPr>
        <w:t>6</w:t>
      </w:r>
      <w:r>
        <w:rPr>
          <w:rFonts w:ascii="Times New Roman" w:hAnsi="Times New Roman" w:cs="Times New Roman"/>
        </w:rPr>
        <w:t>个；</w:t>
      </w:r>
    </w:p>
    <w:p>
      <w:pPr>
        <w:spacing w:line="360" w:lineRule="auto"/>
        <w:ind w:firstLine="420" w:firstLineChars="200"/>
        <w:rPr>
          <w:rFonts w:ascii="Times New Roman" w:hAnsi="Times New Roman" w:cs="Times New Roman"/>
        </w:rPr>
      </w:pPr>
      <w:r>
        <w:rPr>
          <w:rFonts w:ascii="Times New Roman" w:hAnsi="Times New Roman" w:cs="Times New Roman"/>
        </w:rPr>
        <w:t>（4）没有回函的单位数：</w:t>
      </w:r>
      <w:r>
        <w:rPr>
          <w:rFonts w:hint="eastAsia" w:ascii="Times New Roman" w:hAnsi="Times New Roman" w:cs="Times New Roman"/>
          <w:lang w:val="en-US" w:eastAsia="zh-CN"/>
        </w:rPr>
        <w:t>0</w:t>
      </w:r>
      <w:r>
        <w:rPr>
          <w:rFonts w:ascii="Times New Roman" w:hAnsi="Times New Roman" w:cs="Times New Roman"/>
        </w:rPr>
        <w:t>个。</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1"/>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47"/>
    <w:rsid w:val="000101DB"/>
    <w:rsid w:val="000104BE"/>
    <w:rsid w:val="00020E6B"/>
    <w:rsid w:val="00026726"/>
    <w:rsid w:val="00036A2E"/>
    <w:rsid w:val="0004609E"/>
    <w:rsid w:val="00046A21"/>
    <w:rsid w:val="00051878"/>
    <w:rsid w:val="0005317B"/>
    <w:rsid w:val="00056D00"/>
    <w:rsid w:val="00075F7C"/>
    <w:rsid w:val="000A253E"/>
    <w:rsid w:val="000A35E1"/>
    <w:rsid w:val="000D28DD"/>
    <w:rsid w:val="000E50BA"/>
    <w:rsid w:val="00105B17"/>
    <w:rsid w:val="00121B1A"/>
    <w:rsid w:val="00122A82"/>
    <w:rsid w:val="0014497A"/>
    <w:rsid w:val="00146809"/>
    <w:rsid w:val="0015465B"/>
    <w:rsid w:val="00172EEB"/>
    <w:rsid w:val="001760E8"/>
    <w:rsid w:val="001764D5"/>
    <w:rsid w:val="0018642B"/>
    <w:rsid w:val="00195519"/>
    <w:rsid w:val="001A5148"/>
    <w:rsid w:val="001C0D8C"/>
    <w:rsid w:val="001E189B"/>
    <w:rsid w:val="002017AA"/>
    <w:rsid w:val="00221147"/>
    <w:rsid w:val="00245CE6"/>
    <w:rsid w:val="002638C4"/>
    <w:rsid w:val="00266554"/>
    <w:rsid w:val="00284E94"/>
    <w:rsid w:val="002959F7"/>
    <w:rsid w:val="002B46DB"/>
    <w:rsid w:val="00306F5F"/>
    <w:rsid w:val="00314C18"/>
    <w:rsid w:val="00315EE8"/>
    <w:rsid w:val="00343B3B"/>
    <w:rsid w:val="00347D8F"/>
    <w:rsid w:val="003515C4"/>
    <w:rsid w:val="00361330"/>
    <w:rsid w:val="00363BD5"/>
    <w:rsid w:val="0036602D"/>
    <w:rsid w:val="003728D9"/>
    <w:rsid w:val="003732D7"/>
    <w:rsid w:val="003D0E4B"/>
    <w:rsid w:val="003E3AC4"/>
    <w:rsid w:val="003F6D3B"/>
    <w:rsid w:val="00445B81"/>
    <w:rsid w:val="00463F5C"/>
    <w:rsid w:val="00464D0B"/>
    <w:rsid w:val="0046530A"/>
    <w:rsid w:val="00475525"/>
    <w:rsid w:val="00477384"/>
    <w:rsid w:val="004A1AE1"/>
    <w:rsid w:val="004A3002"/>
    <w:rsid w:val="004B2EE4"/>
    <w:rsid w:val="004C68E1"/>
    <w:rsid w:val="004D0590"/>
    <w:rsid w:val="004D51B1"/>
    <w:rsid w:val="004E1C17"/>
    <w:rsid w:val="004F280B"/>
    <w:rsid w:val="005035B1"/>
    <w:rsid w:val="0050396D"/>
    <w:rsid w:val="00516839"/>
    <w:rsid w:val="00526944"/>
    <w:rsid w:val="005610F6"/>
    <w:rsid w:val="00565D32"/>
    <w:rsid w:val="00577D7A"/>
    <w:rsid w:val="005A197F"/>
    <w:rsid w:val="005B49CD"/>
    <w:rsid w:val="005B4AAB"/>
    <w:rsid w:val="005D30EA"/>
    <w:rsid w:val="005E108B"/>
    <w:rsid w:val="005E1FFB"/>
    <w:rsid w:val="005F7A99"/>
    <w:rsid w:val="00662C0C"/>
    <w:rsid w:val="006860FF"/>
    <w:rsid w:val="00690578"/>
    <w:rsid w:val="006A1CFE"/>
    <w:rsid w:val="006A249E"/>
    <w:rsid w:val="006A6BDC"/>
    <w:rsid w:val="006A7359"/>
    <w:rsid w:val="006B4843"/>
    <w:rsid w:val="006D5443"/>
    <w:rsid w:val="006E1106"/>
    <w:rsid w:val="00704728"/>
    <w:rsid w:val="007217BF"/>
    <w:rsid w:val="00723731"/>
    <w:rsid w:val="00732D65"/>
    <w:rsid w:val="007342BE"/>
    <w:rsid w:val="00734E76"/>
    <w:rsid w:val="00743ABC"/>
    <w:rsid w:val="007634B6"/>
    <w:rsid w:val="007718F5"/>
    <w:rsid w:val="00785C51"/>
    <w:rsid w:val="00794711"/>
    <w:rsid w:val="0079522A"/>
    <w:rsid w:val="007A38DF"/>
    <w:rsid w:val="007A7057"/>
    <w:rsid w:val="007A7E59"/>
    <w:rsid w:val="007D3271"/>
    <w:rsid w:val="007D723C"/>
    <w:rsid w:val="007F748F"/>
    <w:rsid w:val="00800910"/>
    <w:rsid w:val="00812D31"/>
    <w:rsid w:val="008429D2"/>
    <w:rsid w:val="00844815"/>
    <w:rsid w:val="0085648C"/>
    <w:rsid w:val="00867378"/>
    <w:rsid w:val="008722D7"/>
    <w:rsid w:val="0088180A"/>
    <w:rsid w:val="00887CE1"/>
    <w:rsid w:val="00893F46"/>
    <w:rsid w:val="008A2BE5"/>
    <w:rsid w:val="008B75F1"/>
    <w:rsid w:val="008C4D8D"/>
    <w:rsid w:val="008C70BB"/>
    <w:rsid w:val="008E5B58"/>
    <w:rsid w:val="009061D4"/>
    <w:rsid w:val="0091279C"/>
    <w:rsid w:val="00922BC7"/>
    <w:rsid w:val="00934B3A"/>
    <w:rsid w:val="0098464F"/>
    <w:rsid w:val="009C65E7"/>
    <w:rsid w:val="009C67E9"/>
    <w:rsid w:val="009F0125"/>
    <w:rsid w:val="00A2233C"/>
    <w:rsid w:val="00A34D11"/>
    <w:rsid w:val="00A50A0A"/>
    <w:rsid w:val="00A61D6A"/>
    <w:rsid w:val="00A70B8E"/>
    <w:rsid w:val="00A71D2D"/>
    <w:rsid w:val="00A7777B"/>
    <w:rsid w:val="00A87877"/>
    <w:rsid w:val="00A947F1"/>
    <w:rsid w:val="00AD2091"/>
    <w:rsid w:val="00AD2AD8"/>
    <w:rsid w:val="00AF06CF"/>
    <w:rsid w:val="00B10D02"/>
    <w:rsid w:val="00B2673C"/>
    <w:rsid w:val="00B67DE0"/>
    <w:rsid w:val="00B703BC"/>
    <w:rsid w:val="00B70B00"/>
    <w:rsid w:val="00B80952"/>
    <w:rsid w:val="00B81494"/>
    <w:rsid w:val="00B90635"/>
    <w:rsid w:val="00BA2255"/>
    <w:rsid w:val="00BA7E3E"/>
    <w:rsid w:val="00BC5517"/>
    <w:rsid w:val="00BC58E8"/>
    <w:rsid w:val="00BD71A2"/>
    <w:rsid w:val="00C02F25"/>
    <w:rsid w:val="00C04BE6"/>
    <w:rsid w:val="00C15D04"/>
    <w:rsid w:val="00C23BF4"/>
    <w:rsid w:val="00C2708A"/>
    <w:rsid w:val="00C31D0D"/>
    <w:rsid w:val="00C405E3"/>
    <w:rsid w:val="00C43902"/>
    <w:rsid w:val="00C54B20"/>
    <w:rsid w:val="00C576F9"/>
    <w:rsid w:val="00C76119"/>
    <w:rsid w:val="00C97945"/>
    <w:rsid w:val="00CB3B63"/>
    <w:rsid w:val="00CE23D7"/>
    <w:rsid w:val="00D12A87"/>
    <w:rsid w:val="00D25768"/>
    <w:rsid w:val="00D665DB"/>
    <w:rsid w:val="00D73D63"/>
    <w:rsid w:val="00D8303E"/>
    <w:rsid w:val="00DA2787"/>
    <w:rsid w:val="00DB5BFE"/>
    <w:rsid w:val="00DC59BC"/>
    <w:rsid w:val="00DD7A26"/>
    <w:rsid w:val="00E03AAB"/>
    <w:rsid w:val="00E1159B"/>
    <w:rsid w:val="00E26F24"/>
    <w:rsid w:val="00E3572C"/>
    <w:rsid w:val="00E50353"/>
    <w:rsid w:val="00E675B4"/>
    <w:rsid w:val="00E869F1"/>
    <w:rsid w:val="00EC3EA2"/>
    <w:rsid w:val="00EE65B6"/>
    <w:rsid w:val="00EE72E0"/>
    <w:rsid w:val="00F04359"/>
    <w:rsid w:val="00F04D6D"/>
    <w:rsid w:val="00F2002A"/>
    <w:rsid w:val="00F23A80"/>
    <w:rsid w:val="00F30F43"/>
    <w:rsid w:val="00F76E4F"/>
    <w:rsid w:val="00F85B2B"/>
    <w:rsid w:val="00F90812"/>
    <w:rsid w:val="00F971FE"/>
    <w:rsid w:val="00F97EDC"/>
    <w:rsid w:val="00FA4E6D"/>
    <w:rsid w:val="00FA7AE7"/>
    <w:rsid w:val="00FB0A9C"/>
    <w:rsid w:val="00FC3112"/>
    <w:rsid w:val="00FC545C"/>
    <w:rsid w:val="00FD1ADB"/>
    <w:rsid w:val="00FD3A7A"/>
    <w:rsid w:val="00FE57E0"/>
    <w:rsid w:val="03AC38B7"/>
    <w:rsid w:val="046318C1"/>
    <w:rsid w:val="076C7D4B"/>
    <w:rsid w:val="0B2C27CD"/>
    <w:rsid w:val="0CA352C8"/>
    <w:rsid w:val="10BD70C9"/>
    <w:rsid w:val="183E59AC"/>
    <w:rsid w:val="189A17E4"/>
    <w:rsid w:val="1997790E"/>
    <w:rsid w:val="1C3A704F"/>
    <w:rsid w:val="1D3E4388"/>
    <w:rsid w:val="1EA72D4F"/>
    <w:rsid w:val="1ECD6976"/>
    <w:rsid w:val="1F0A5B42"/>
    <w:rsid w:val="233F0CE8"/>
    <w:rsid w:val="26346D83"/>
    <w:rsid w:val="28D406FC"/>
    <w:rsid w:val="2B0E7AB2"/>
    <w:rsid w:val="3170436F"/>
    <w:rsid w:val="32501E83"/>
    <w:rsid w:val="326C2EC7"/>
    <w:rsid w:val="32D12B48"/>
    <w:rsid w:val="32E64967"/>
    <w:rsid w:val="336932CF"/>
    <w:rsid w:val="35AA2402"/>
    <w:rsid w:val="365302AE"/>
    <w:rsid w:val="371D37D3"/>
    <w:rsid w:val="3A8C7A7C"/>
    <w:rsid w:val="3AA351E0"/>
    <w:rsid w:val="3BD93241"/>
    <w:rsid w:val="3C061489"/>
    <w:rsid w:val="3CE73580"/>
    <w:rsid w:val="3CF35D1F"/>
    <w:rsid w:val="3D4B1ECD"/>
    <w:rsid w:val="3DC12568"/>
    <w:rsid w:val="447D7246"/>
    <w:rsid w:val="4805698D"/>
    <w:rsid w:val="48BD16AF"/>
    <w:rsid w:val="4A2A5A2A"/>
    <w:rsid w:val="4AF72E03"/>
    <w:rsid w:val="4C395BB8"/>
    <w:rsid w:val="4D5C1A47"/>
    <w:rsid w:val="50E83183"/>
    <w:rsid w:val="52DF25B0"/>
    <w:rsid w:val="530C0F48"/>
    <w:rsid w:val="545A361F"/>
    <w:rsid w:val="57541A7C"/>
    <w:rsid w:val="58B3100A"/>
    <w:rsid w:val="599C2A7B"/>
    <w:rsid w:val="5B965B3B"/>
    <w:rsid w:val="5C685983"/>
    <w:rsid w:val="5E01695E"/>
    <w:rsid w:val="5E134CE3"/>
    <w:rsid w:val="5FDA66AB"/>
    <w:rsid w:val="6853386F"/>
    <w:rsid w:val="68697EE2"/>
    <w:rsid w:val="69F12C8F"/>
    <w:rsid w:val="6C13145F"/>
    <w:rsid w:val="6C88441D"/>
    <w:rsid w:val="6F826DF1"/>
    <w:rsid w:val="6FFE36EE"/>
    <w:rsid w:val="70B55BD4"/>
    <w:rsid w:val="75C45344"/>
    <w:rsid w:val="75E8027D"/>
    <w:rsid w:val="76B61BCF"/>
    <w:rsid w:val="7A3814A1"/>
    <w:rsid w:val="7AB54642"/>
    <w:rsid w:val="7AEE228D"/>
    <w:rsid w:val="7C413482"/>
    <w:rsid w:val="7E444371"/>
    <w:rsid w:val="7F726E5F"/>
    <w:rsid w:val="7FE62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0"/>
    <w:rPr>
      <w:sz w:val="20"/>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章标题"/>
    <w:next w:val="12"/>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2">
    <w:name w:val="段"/>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131</Words>
  <Characters>748</Characters>
  <Lines>6</Lines>
  <Paragraphs>1</Paragraphs>
  <TotalTime>3</TotalTime>
  <ScaleCrop>false</ScaleCrop>
  <LinksUpToDate>false</LinksUpToDate>
  <CharactersWithSpaces>878</CharactersWithSpaces>
  <Application>WPS Office_11.8.2.12086_F1E327BC-269C-435d-A152-05C5408002CA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2020-09-14T02:37:00Z</dcterms:created>
  <dc:creator>覃 雪莲</dc:creator>
  <cp:lastModifiedBy>qinxu</cp:lastModifiedBy>
  <dcterms:modified xsi:type="dcterms:W3CDTF">2023-08-20T01:32:13Z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2052-11.8.2.12086</vt:lpwstr>
  </property>
  <property fmtid="{D5CDD505-2E9C-101B-9397-08002B2CF9AE}" pid="3" name="ICV">
    <vt:lpwstr>83A4CBBDF4034FE8BF8C579E3B686DCE</vt:lpwstr>
  </property>
</Properties>
</file>